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F" w:rsidRDefault="00AC655F" w:rsidP="00AC655F">
      <w:pPr>
        <w:spacing w:after="0" w:line="480" w:lineRule="auto"/>
        <w:rPr>
          <w:b/>
          <w:sz w:val="24"/>
          <w:szCs w:val="24"/>
        </w:rPr>
      </w:pPr>
      <w:r>
        <w:rPr>
          <w:b/>
          <w:sz w:val="24"/>
          <w:szCs w:val="24"/>
        </w:rPr>
        <w:t xml:space="preserve">Title: </w:t>
      </w:r>
      <w:r>
        <w:rPr>
          <w:b/>
          <w:sz w:val="24"/>
          <w:szCs w:val="24"/>
        </w:rPr>
        <w:tab/>
      </w:r>
      <w:r>
        <w:rPr>
          <w:b/>
          <w:sz w:val="24"/>
          <w:szCs w:val="24"/>
        </w:rPr>
        <w:tab/>
      </w:r>
      <w:r>
        <w:rPr>
          <w:b/>
          <w:sz w:val="24"/>
          <w:szCs w:val="24"/>
        </w:rPr>
        <w:tab/>
        <w:t xml:space="preserve">Judging the judge in Giovanni Boccaccio’s </w:t>
      </w:r>
      <w:r w:rsidRPr="007F3684">
        <w:rPr>
          <w:b/>
          <w:i/>
          <w:sz w:val="24"/>
          <w:szCs w:val="24"/>
        </w:rPr>
        <w:t>Decameron</w:t>
      </w:r>
      <w:r>
        <w:rPr>
          <w:b/>
          <w:sz w:val="24"/>
          <w:szCs w:val="24"/>
        </w:rPr>
        <w:t>.</w:t>
      </w:r>
    </w:p>
    <w:p w:rsidR="00AC655F" w:rsidRDefault="00AC655F" w:rsidP="00AC655F">
      <w:pPr>
        <w:pStyle w:val="FootnoteText"/>
        <w:spacing w:line="480" w:lineRule="auto"/>
        <w:rPr>
          <w:sz w:val="24"/>
          <w:szCs w:val="24"/>
        </w:rPr>
      </w:pPr>
      <w:r w:rsidRPr="00446CB0">
        <w:rPr>
          <w:b/>
          <w:sz w:val="24"/>
          <w:szCs w:val="24"/>
        </w:rPr>
        <w:t>Author details:</w:t>
      </w:r>
      <w:r>
        <w:rPr>
          <w:sz w:val="24"/>
          <w:szCs w:val="24"/>
        </w:rPr>
        <w:t xml:space="preserve"> </w:t>
      </w:r>
      <w:r>
        <w:rPr>
          <w:sz w:val="24"/>
          <w:szCs w:val="24"/>
        </w:rPr>
        <w:tab/>
        <w:t xml:space="preserve">Dr Clare Sandford-Couch, </w:t>
      </w:r>
    </w:p>
    <w:p w:rsidR="00AC655F" w:rsidRDefault="00AC655F" w:rsidP="00AC655F">
      <w:pPr>
        <w:pStyle w:val="FootnoteText"/>
        <w:spacing w:line="480" w:lineRule="auto"/>
        <w:ind w:left="1440" w:firstLine="720"/>
        <w:rPr>
          <w:sz w:val="24"/>
          <w:szCs w:val="24"/>
        </w:rPr>
      </w:pPr>
      <w:r w:rsidRPr="00D7732C">
        <w:rPr>
          <w:sz w:val="24"/>
          <w:szCs w:val="24"/>
        </w:rPr>
        <w:t xml:space="preserve">Senior Lecturer in Law, </w:t>
      </w:r>
    </w:p>
    <w:p w:rsidR="00AC655F" w:rsidRDefault="00AC655F" w:rsidP="00AC655F">
      <w:pPr>
        <w:pStyle w:val="FootnoteText"/>
        <w:spacing w:line="480" w:lineRule="auto"/>
        <w:ind w:left="1440" w:firstLine="720"/>
        <w:rPr>
          <w:sz w:val="24"/>
          <w:szCs w:val="24"/>
        </w:rPr>
      </w:pPr>
      <w:r>
        <w:rPr>
          <w:sz w:val="24"/>
          <w:szCs w:val="24"/>
        </w:rPr>
        <w:t xml:space="preserve">School of Law, </w:t>
      </w:r>
    </w:p>
    <w:p w:rsidR="00AC655F" w:rsidRDefault="00AC655F" w:rsidP="00AC655F">
      <w:pPr>
        <w:pStyle w:val="FootnoteText"/>
        <w:spacing w:line="480" w:lineRule="auto"/>
        <w:ind w:left="1440" w:firstLine="720"/>
        <w:rPr>
          <w:sz w:val="24"/>
          <w:szCs w:val="24"/>
        </w:rPr>
      </w:pPr>
      <w:r>
        <w:rPr>
          <w:sz w:val="24"/>
          <w:szCs w:val="24"/>
        </w:rPr>
        <w:t>Faculty of Business and Law,</w:t>
      </w:r>
    </w:p>
    <w:p w:rsidR="00AC655F" w:rsidRDefault="00AC655F" w:rsidP="00AC655F">
      <w:pPr>
        <w:pStyle w:val="FootnoteText"/>
        <w:spacing w:line="480" w:lineRule="auto"/>
        <w:ind w:left="1440" w:firstLine="720"/>
        <w:rPr>
          <w:sz w:val="24"/>
          <w:szCs w:val="24"/>
        </w:rPr>
      </w:pPr>
      <w:r>
        <w:rPr>
          <w:sz w:val="24"/>
          <w:szCs w:val="24"/>
        </w:rPr>
        <w:t>Northumbria University,</w:t>
      </w:r>
    </w:p>
    <w:p w:rsidR="00AC655F" w:rsidRDefault="00AC655F" w:rsidP="00AC655F">
      <w:pPr>
        <w:pStyle w:val="FootnoteText"/>
        <w:spacing w:line="480" w:lineRule="auto"/>
        <w:ind w:left="1440" w:firstLine="720"/>
        <w:rPr>
          <w:sz w:val="24"/>
          <w:szCs w:val="24"/>
        </w:rPr>
      </w:pPr>
      <w:proofErr w:type="gramStart"/>
      <w:r>
        <w:rPr>
          <w:sz w:val="24"/>
          <w:szCs w:val="24"/>
        </w:rPr>
        <w:t>Newcastle upon Tyne NE1 8ST.</w:t>
      </w:r>
      <w:proofErr w:type="gramEnd"/>
    </w:p>
    <w:p w:rsidR="00AC655F" w:rsidRPr="005D6D93" w:rsidRDefault="00AC655F" w:rsidP="00AC655F">
      <w:pPr>
        <w:pStyle w:val="FootnoteText"/>
        <w:spacing w:line="480" w:lineRule="auto"/>
        <w:ind w:left="1440" w:firstLine="720"/>
        <w:rPr>
          <w:sz w:val="24"/>
          <w:szCs w:val="24"/>
        </w:rPr>
      </w:pPr>
      <w:r w:rsidRPr="005D6D93">
        <w:rPr>
          <w:sz w:val="24"/>
          <w:szCs w:val="24"/>
        </w:rPr>
        <w:t>U.K.</w:t>
      </w:r>
    </w:p>
    <w:p w:rsidR="00AC655F" w:rsidRPr="005D6D93" w:rsidRDefault="00AC655F" w:rsidP="00AC655F">
      <w:pPr>
        <w:pStyle w:val="FootnoteText"/>
        <w:spacing w:line="480" w:lineRule="auto"/>
        <w:ind w:left="1440" w:firstLine="720"/>
        <w:rPr>
          <w:sz w:val="24"/>
          <w:szCs w:val="24"/>
        </w:rPr>
      </w:pPr>
      <w:hyperlink r:id="rId7" w:history="1">
        <w:r w:rsidRPr="005D6D93">
          <w:rPr>
            <w:rStyle w:val="Hyperlink"/>
            <w:sz w:val="24"/>
            <w:szCs w:val="24"/>
          </w:rPr>
          <w:t>clare.sandford-couch@northumbria.ac.uk</w:t>
        </w:r>
      </w:hyperlink>
      <w:r w:rsidRPr="005D6D93">
        <w:rPr>
          <w:sz w:val="24"/>
          <w:szCs w:val="24"/>
        </w:rPr>
        <w:t xml:space="preserve"> </w:t>
      </w:r>
    </w:p>
    <w:p w:rsidR="00AC655F" w:rsidRPr="005D6D93" w:rsidRDefault="00AC655F" w:rsidP="00AC655F">
      <w:pPr>
        <w:pStyle w:val="FootnoteText"/>
        <w:spacing w:line="480" w:lineRule="auto"/>
        <w:ind w:left="1440" w:firstLine="720"/>
        <w:rPr>
          <w:sz w:val="24"/>
          <w:szCs w:val="24"/>
        </w:rPr>
      </w:pPr>
      <w:r w:rsidRPr="005D6D93">
        <w:rPr>
          <w:sz w:val="24"/>
          <w:szCs w:val="24"/>
        </w:rPr>
        <w:t>Tel: +44 191 227 3311.</w:t>
      </w:r>
    </w:p>
    <w:p w:rsidR="00AC655F" w:rsidRPr="005D6D93" w:rsidRDefault="00AC655F" w:rsidP="00AC655F">
      <w:pPr>
        <w:spacing w:after="0" w:line="480" w:lineRule="auto"/>
        <w:rPr>
          <w:b/>
          <w:sz w:val="24"/>
          <w:szCs w:val="24"/>
        </w:rPr>
      </w:pPr>
    </w:p>
    <w:p w:rsidR="00AC655F" w:rsidRPr="00AE4B79" w:rsidRDefault="00AC655F" w:rsidP="00AC655F">
      <w:pPr>
        <w:spacing w:after="0" w:line="480" w:lineRule="auto"/>
        <w:rPr>
          <w:b/>
          <w:sz w:val="24"/>
          <w:szCs w:val="24"/>
        </w:rPr>
      </w:pPr>
      <w:r w:rsidRPr="00AE4B79">
        <w:rPr>
          <w:b/>
          <w:sz w:val="24"/>
          <w:szCs w:val="24"/>
        </w:rPr>
        <w:t>Abstract</w:t>
      </w:r>
      <w:r>
        <w:rPr>
          <w:b/>
          <w:sz w:val="24"/>
          <w:szCs w:val="24"/>
        </w:rPr>
        <w:t xml:space="preserve"> – 99 words</w:t>
      </w:r>
    </w:p>
    <w:p w:rsidR="00AC655F" w:rsidRDefault="00AC655F" w:rsidP="00AC655F">
      <w:pPr>
        <w:spacing w:after="0" w:line="480" w:lineRule="auto"/>
        <w:rPr>
          <w:sz w:val="24"/>
          <w:szCs w:val="24"/>
        </w:rPr>
      </w:pPr>
      <w:r w:rsidRPr="00DC6E6A">
        <w:rPr>
          <w:sz w:val="24"/>
          <w:szCs w:val="24"/>
        </w:rPr>
        <w:t xml:space="preserve">Taking an interdisciplinary approach the paper offers a fresh </w:t>
      </w:r>
      <w:r>
        <w:rPr>
          <w:sz w:val="24"/>
          <w:szCs w:val="24"/>
        </w:rPr>
        <w:t xml:space="preserve">legal historical </w:t>
      </w:r>
      <w:r w:rsidRPr="00DC6E6A">
        <w:rPr>
          <w:sz w:val="24"/>
          <w:szCs w:val="24"/>
        </w:rPr>
        <w:t>understanding of t</w:t>
      </w:r>
      <w:r w:rsidRPr="001C57AD">
        <w:rPr>
          <w:sz w:val="24"/>
          <w:szCs w:val="24"/>
        </w:rPr>
        <w:t xml:space="preserve">he fifth story of Day Eight </w:t>
      </w:r>
      <w:r>
        <w:rPr>
          <w:sz w:val="24"/>
          <w:szCs w:val="24"/>
        </w:rPr>
        <w:t>in</w:t>
      </w:r>
      <w:r w:rsidRPr="001C57AD">
        <w:rPr>
          <w:sz w:val="24"/>
          <w:szCs w:val="24"/>
        </w:rPr>
        <w:t xml:space="preserve"> Giovanni Boccaccio’s </w:t>
      </w:r>
      <w:r w:rsidRPr="001C57AD">
        <w:rPr>
          <w:i/>
          <w:sz w:val="24"/>
          <w:szCs w:val="24"/>
        </w:rPr>
        <w:t>Decameron</w:t>
      </w:r>
      <w:r>
        <w:rPr>
          <w:sz w:val="24"/>
          <w:szCs w:val="24"/>
        </w:rPr>
        <w:t xml:space="preserve">. Detailed analysis of the tale reveals much </w:t>
      </w:r>
      <w:r w:rsidRPr="00DC6E6A">
        <w:rPr>
          <w:sz w:val="24"/>
          <w:szCs w:val="24"/>
        </w:rPr>
        <w:t xml:space="preserve">about the realities of the administration of justice in </w:t>
      </w:r>
      <w:r w:rsidRPr="00DC6E6A">
        <w:rPr>
          <w:rFonts w:ascii="Calibri" w:hAnsi="Calibri"/>
          <w:sz w:val="24"/>
          <w:szCs w:val="24"/>
        </w:rPr>
        <w:t>fourteenth century Florence</w:t>
      </w:r>
      <w:r>
        <w:rPr>
          <w:rFonts w:ascii="Calibri" w:hAnsi="Calibri"/>
          <w:sz w:val="24"/>
          <w:szCs w:val="24"/>
        </w:rPr>
        <w:t xml:space="preserve"> </w:t>
      </w:r>
      <w:r>
        <w:rPr>
          <w:sz w:val="24"/>
          <w:szCs w:val="24"/>
        </w:rPr>
        <w:t xml:space="preserve">and </w:t>
      </w:r>
      <w:r w:rsidRPr="00DC6E6A">
        <w:rPr>
          <w:sz w:val="24"/>
          <w:szCs w:val="24"/>
        </w:rPr>
        <w:t xml:space="preserve">contemporary expectations of those </w:t>
      </w:r>
      <w:r w:rsidRPr="00DC6E6A">
        <w:rPr>
          <w:rFonts w:ascii="Calibri" w:hAnsi="Calibri"/>
          <w:sz w:val="24"/>
          <w:szCs w:val="24"/>
        </w:rPr>
        <w:t>exercising judicial authority</w:t>
      </w:r>
      <w:r>
        <w:rPr>
          <w:rFonts w:ascii="Calibri" w:hAnsi="Calibri"/>
          <w:sz w:val="24"/>
          <w:szCs w:val="24"/>
        </w:rPr>
        <w:t xml:space="preserve">. </w:t>
      </w:r>
      <w:r>
        <w:rPr>
          <w:sz w:val="24"/>
          <w:szCs w:val="24"/>
        </w:rPr>
        <w:t>In</w:t>
      </w:r>
      <w:r>
        <w:rPr>
          <w:rFonts w:cs="Arial"/>
          <w:sz w:val="24"/>
          <w:szCs w:val="24"/>
        </w:rPr>
        <w:t xml:space="preserve"> making apparent the expectation that judges would look and act in a certain manner, the </w:t>
      </w:r>
      <w:r w:rsidRPr="00DC6E6A">
        <w:rPr>
          <w:sz w:val="24"/>
          <w:szCs w:val="24"/>
        </w:rPr>
        <w:t xml:space="preserve">paper suggests that </w:t>
      </w:r>
      <w:r>
        <w:rPr>
          <w:sz w:val="24"/>
          <w:szCs w:val="24"/>
        </w:rPr>
        <w:t xml:space="preserve">Boccaccio’s story can be interpreted as offering an insight into the extent to which public perception of a man’s identity as a judge was dependent upon his appearance and attire. </w:t>
      </w:r>
    </w:p>
    <w:p w:rsidR="00AC655F" w:rsidRDefault="00AC655F" w:rsidP="00AC655F">
      <w:pPr>
        <w:pStyle w:val="FootnoteText"/>
        <w:spacing w:line="480" w:lineRule="auto"/>
        <w:rPr>
          <w:b/>
          <w:sz w:val="24"/>
          <w:szCs w:val="24"/>
        </w:rPr>
      </w:pPr>
    </w:p>
    <w:p w:rsidR="00AC655F" w:rsidRPr="00DC6E6A" w:rsidRDefault="00AC655F" w:rsidP="00AC655F">
      <w:pPr>
        <w:pStyle w:val="FootnoteText"/>
        <w:spacing w:line="480" w:lineRule="auto"/>
        <w:rPr>
          <w:b/>
          <w:sz w:val="24"/>
          <w:szCs w:val="24"/>
        </w:rPr>
      </w:pPr>
      <w:r w:rsidRPr="00DC6E6A">
        <w:rPr>
          <w:b/>
          <w:sz w:val="24"/>
          <w:szCs w:val="24"/>
        </w:rPr>
        <w:t xml:space="preserve">Keywords: </w:t>
      </w:r>
      <w:r w:rsidRPr="007F3684">
        <w:rPr>
          <w:i/>
          <w:sz w:val="24"/>
          <w:szCs w:val="24"/>
        </w:rPr>
        <w:t>Decameron</w:t>
      </w:r>
      <w:r>
        <w:rPr>
          <w:sz w:val="24"/>
          <w:szCs w:val="24"/>
        </w:rPr>
        <w:t>;</w:t>
      </w:r>
      <w:r>
        <w:rPr>
          <w:i/>
          <w:sz w:val="24"/>
          <w:szCs w:val="24"/>
        </w:rPr>
        <w:t xml:space="preserve"> </w:t>
      </w:r>
      <w:r>
        <w:rPr>
          <w:sz w:val="24"/>
          <w:szCs w:val="24"/>
        </w:rPr>
        <w:t>legal history; administ</w:t>
      </w:r>
      <w:r w:rsidRPr="00DC6E6A">
        <w:rPr>
          <w:sz w:val="24"/>
          <w:szCs w:val="24"/>
        </w:rPr>
        <w:t>r</w:t>
      </w:r>
      <w:r>
        <w:rPr>
          <w:sz w:val="24"/>
          <w:szCs w:val="24"/>
        </w:rPr>
        <w:t>ation of</w:t>
      </w:r>
      <w:r w:rsidRPr="00DC6E6A">
        <w:rPr>
          <w:sz w:val="24"/>
          <w:szCs w:val="24"/>
        </w:rPr>
        <w:t xml:space="preserve"> justice</w:t>
      </w:r>
      <w:r>
        <w:rPr>
          <w:sz w:val="24"/>
          <w:szCs w:val="24"/>
        </w:rPr>
        <w:t>; late-</w:t>
      </w:r>
      <w:r w:rsidRPr="001C57AD">
        <w:rPr>
          <w:sz w:val="24"/>
          <w:szCs w:val="24"/>
        </w:rPr>
        <w:t>medieval</w:t>
      </w:r>
      <w:r>
        <w:rPr>
          <w:sz w:val="24"/>
          <w:szCs w:val="24"/>
        </w:rPr>
        <w:t xml:space="preserve"> Florence; judges; </w:t>
      </w:r>
      <w:r>
        <w:rPr>
          <w:sz w:val="24"/>
        </w:rPr>
        <w:t xml:space="preserve">professional </w:t>
      </w:r>
      <w:r w:rsidRPr="00DA70C8">
        <w:rPr>
          <w:sz w:val="24"/>
        </w:rPr>
        <w:t>status</w:t>
      </w:r>
      <w:r>
        <w:rPr>
          <w:sz w:val="24"/>
        </w:rPr>
        <w:t xml:space="preserve">; </w:t>
      </w:r>
      <w:r>
        <w:rPr>
          <w:sz w:val="24"/>
          <w:szCs w:val="24"/>
        </w:rPr>
        <w:t>interdisciplinary</w:t>
      </w:r>
    </w:p>
    <w:p w:rsidR="00AC655F" w:rsidRDefault="00AC655F">
      <w:pPr>
        <w:rPr>
          <w:b/>
          <w:sz w:val="24"/>
          <w:szCs w:val="24"/>
          <w:lang w:val="en-US"/>
        </w:rPr>
      </w:pPr>
      <w:bookmarkStart w:id="0" w:name="_GoBack"/>
      <w:bookmarkEnd w:id="0"/>
      <w:r>
        <w:rPr>
          <w:b/>
          <w:sz w:val="24"/>
          <w:szCs w:val="24"/>
          <w:lang w:val="en-US"/>
        </w:rPr>
        <w:br w:type="page"/>
      </w:r>
    </w:p>
    <w:p w:rsidR="00AC655F" w:rsidRPr="00DD69AE" w:rsidRDefault="00AC655F" w:rsidP="00AC655F">
      <w:pPr>
        <w:spacing w:after="0" w:line="480" w:lineRule="auto"/>
        <w:rPr>
          <w:b/>
          <w:sz w:val="24"/>
          <w:szCs w:val="24"/>
          <w:lang w:val="en-US"/>
        </w:rPr>
      </w:pPr>
      <w:proofErr w:type="gramStart"/>
      <w:r w:rsidRPr="00DD69AE">
        <w:rPr>
          <w:b/>
          <w:sz w:val="24"/>
          <w:szCs w:val="24"/>
          <w:lang w:val="en-US"/>
        </w:rPr>
        <w:lastRenderedPageBreak/>
        <w:t xml:space="preserve">Judging the judge in Giovanni Boccaccio’s </w:t>
      </w:r>
      <w:r w:rsidRPr="00DD69AE">
        <w:rPr>
          <w:b/>
          <w:i/>
          <w:sz w:val="24"/>
          <w:szCs w:val="24"/>
          <w:lang w:val="en-US"/>
        </w:rPr>
        <w:t>Decameron</w:t>
      </w:r>
      <w:r w:rsidRPr="00DD69AE">
        <w:rPr>
          <w:b/>
          <w:sz w:val="24"/>
          <w:szCs w:val="24"/>
          <w:lang w:val="en-US"/>
        </w:rPr>
        <w:t>.</w:t>
      </w:r>
      <w:proofErr w:type="gramEnd"/>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i/>
          <w:sz w:val="24"/>
          <w:szCs w:val="24"/>
          <w:lang w:val="en-US"/>
        </w:rPr>
        <w:t>Three young men pull down the breeches of a judge from the Marches while he is administering the law on the Florentine bench (</w:t>
      </w:r>
      <w:r w:rsidRPr="00DD69AE">
        <w:rPr>
          <w:i/>
          <w:sz w:val="24"/>
          <w:szCs w:val="24"/>
          <w:lang w:val="en-US"/>
        </w:rPr>
        <w:t>Giovanni Boccaccio,</w:t>
      </w:r>
      <w:r w:rsidRPr="00DD69AE">
        <w:rPr>
          <w:sz w:val="24"/>
          <w:szCs w:val="24"/>
          <w:lang w:val="en-US"/>
        </w:rPr>
        <w:t xml:space="preserve"> The Decameron</w:t>
      </w:r>
      <w:r w:rsidRPr="00DD69AE">
        <w:rPr>
          <w:rFonts w:ascii="Calibri" w:hAnsi="Calibri"/>
          <w:i/>
          <w:sz w:val="24"/>
          <w:szCs w:val="24"/>
          <w:lang w:val="en-US"/>
        </w:rPr>
        <w:t xml:space="preserve"> </w:t>
      </w:r>
      <w:hyperlink r:id="rId8" w:history="1">
        <w:r w:rsidRPr="00DD69AE">
          <w:rPr>
            <w:rFonts w:ascii="Calibri" w:hAnsi="Calibri"/>
            <w:i/>
            <w:sz w:val="24"/>
            <w:szCs w:val="24"/>
            <w:lang w:val="en-US"/>
          </w:rPr>
          <w:t>VIII.5</w:t>
        </w:r>
      </w:hyperlink>
      <w:r w:rsidRPr="00DD69AE">
        <w:rPr>
          <w:rFonts w:ascii="Calibri" w:hAnsi="Calibri"/>
          <w:i/>
          <w:sz w:val="24"/>
          <w:szCs w:val="24"/>
          <w:lang w:val="en-US"/>
        </w:rPr>
        <w:t>).</w:t>
      </w:r>
      <w:r w:rsidRPr="00DD69AE">
        <w:rPr>
          <w:rStyle w:val="FootnoteReference"/>
          <w:rFonts w:ascii="Calibri" w:hAnsi="Calibri"/>
          <w:i/>
          <w:sz w:val="24"/>
          <w:szCs w:val="24"/>
          <w:lang w:val="en-US"/>
        </w:rPr>
        <w:footnoteReference w:id="1"/>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The Fifth Story of the Eighth Day in </w:t>
      </w:r>
      <w:r w:rsidRPr="00DD69AE">
        <w:rPr>
          <w:sz w:val="24"/>
          <w:szCs w:val="24"/>
          <w:lang w:val="en-US"/>
        </w:rPr>
        <w:t xml:space="preserve">Giovanni Boccaccio’s </w:t>
      </w:r>
      <w:r w:rsidRPr="00DD69AE">
        <w:rPr>
          <w:i/>
          <w:sz w:val="24"/>
          <w:szCs w:val="24"/>
          <w:lang w:val="en-US"/>
        </w:rPr>
        <w:t xml:space="preserve">Decameron </w:t>
      </w:r>
      <w:r>
        <w:rPr>
          <w:sz w:val="24"/>
          <w:szCs w:val="24"/>
          <w:lang w:val="en-US"/>
        </w:rPr>
        <w:t>is</w:t>
      </w:r>
      <w:r w:rsidRPr="00DD69AE">
        <w:rPr>
          <w:sz w:val="24"/>
          <w:szCs w:val="24"/>
          <w:lang w:val="en-US"/>
        </w:rPr>
        <w:t xml:space="preserve"> relatively little-studied </w:t>
      </w:r>
      <w:r>
        <w:rPr>
          <w:sz w:val="24"/>
          <w:szCs w:val="24"/>
          <w:lang w:val="en-US"/>
        </w:rPr>
        <w:t>by scholars in the English language</w:t>
      </w:r>
      <w:r w:rsidRPr="00DD69AE">
        <w:rPr>
          <w:sz w:val="24"/>
          <w:szCs w:val="24"/>
          <w:lang w:val="en-US"/>
        </w:rPr>
        <w:t>.</w:t>
      </w:r>
      <w:r>
        <w:rPr>
          <w:rStyle w:val="FootnoteReference"/>
          <w:sz w:val="24"/>
          <w:szCs w:val="24"/>
          <w:lang w:val="en-US"/>
        </w:rPr>
        <w:footnoteReference w:id="2"/>
      </w:r>
      <w:r w:rsidRPr="00DD69AE">
        <w:rPr>
          <w:sz w:val="24"/>
          <w:szCs w:val="24"/>
          <w:lang w:val="en-US"/>
        </w:rPr>
        <w:t xml:space="preserve"> It is perhaps not difficult to see why that might be the case. Although it is not the shortest story in the</w:t>
      </w:r>
      <w:r w:rsidRPr="00DD69AE">
        <w:rPr>
          <w:i/>
          <w:sz w:val="24"/>
          <w:szCs w:val="24"/>
          <w:lang w:val="en-US"/>
        </w:rPr>
        <w:t xml:space="preserve"> Decameron</w:t>
      </w:r>
      <w:r w:rsidRPr="00DD69AE">
        <w:rPr>
          <w:sz w:val="24"/>
          <w:szCs w:val="24"/>
          <w:lang w:val="en-US"/>
        </w:rPr>
        <w:t>, it is quite short, at around 1200 words. It seems to lack the dramatic ‘punch’ offered by other tales which have attracted far more scholarly attention.</w:t>
      </w:r>
      <w:r w:rsidRPr="00DD69AE">
        <w:rPr>
          <w:rStyle w:val="FootnoteReference"/>
          <w:sz w:val="24"/>
          <w:szCs w:val="24"/>
          <w:lang w:val="en-US"/>
        </w:rPr>
        <w:footnoteReference w:id="3"/>
      </w:r>
      <w:r w:rsidRPr="00DD69AE">
        <w:rPr>
          <w:sz w:val="24"/>
          <w:szCs w:val="24"/>
          <w:lang w:val="en-US"/>
        </w:rPr>
        <w:t xml:space="preserve"> However, it appears that its potential significance to legal historians may have been overlooked. Viewed from a fresh legal perspective, the story reveals much about the realities of the administration of justice in </w:t>
      </w:r>
      <w:r w:rsidRPr="00DD69AE">
        <w:rPr>
          <w:rFonts w:ascii="Calibri" w:hAnsi="Calibri"/>
          <w:sz w:val="24"/>
          <w:szCs w:val="24"/>
          <w:lang w:val="en-US"/>
        </w:rPr>
        <w:t>fourteenth century Florence. In particular, it seems to adumbrate a contemporary concern with the appearance and attire of those exercising judicial authority.</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rFonts w:ascii="Calibri" w:hAnsi="Calibri"/>
          <w:b/>
          <w:sz w:val="24"/>
          <w:szCs w:val="24"/>
          <w:lang w:val="en-US"/>
        </w:rPr>
      </w:pPr>
      <w:r w:rsidRPr="00DD69AE">
        <w:rPr>
          <w:b/>
          <w:i/>
          <w:sz w:val="24"/>
          <w:szCs w:val="24"/>
          <w:lang w:val="en-US"/>
        </w:rPr>
        <w:t>The Decameron</w:t>
      </w:r>
    </w:p>
    <w:p w:rsidR="00AC655F" w:rsidRPr="00DD69AE" w:rsidRDefault="00AC655F" w:rsidP="00AC655F">
      <w:pPr>
        <w:spacing w:after="0" w:line="480" w:lineRule="auto"/>
        <w:rPr>
          <w:sz w:val="24"/>
          <w:szCs w:val="24"/>
          <w:lang w:val="en-US"/>
        </w:rPr>
      </w:pPr>
      <w:r w:rsidRPr="00DD69AE">
        <w:rPr>
          <w:rFonts w:ascii="Calibri" w:hAnsi="Calibri"/>
          <w:sz w:val="24"/>
          <w:szCs w:val="24"/>
          <w:lang w:val="en-US"/>
        </w:rPr>
        <w:t xml:space="preserve">Firstly, a brief outline to the background to </w:t>
      </w:r>
      <w:r w:rsidRPr="00DD69AE">
        <w:rPr>
          <w:sz w:val="24"/>
          <w:szCs w:val="24"/>
          <w:lang w:val="en-US"/>
        </w:rPr>
        <w:t xml:space="preserve">Giovanni Boccaccio’s </w:t>
      </w:r>
      <w:r w:rsidRPr="00DD69AE">
        <w:rPr>
          <w:i/>
          <w:sz w:val="24"/>
          <w:szCs w:val="24"/>
          <w:lang w:val="en-US"/>
        </w:rPr>
        <w:t xml:space="preserve">Decameron </w:t>
      </w:r>
      <w:r w:rsidRPr="00DD69AE">
        <w:rPr>
          <w:sz w:val="24"/>
          <w:szCs w:val="24"/>
          <w:lang w:val="en-US"/>
        </w:rPr>
        <w:t xml:space="preserve">and to </w:t>
      </w:r>
      <w:r w:rsidRPr="00DD69AE">
        <w:rPr>
          <w:rFonts w:ascii="Calibri" w:hAnsi="Calibri"/>
          <w:sz w:val="24"/>
          <w:szCs w:val="24"/>
          <w:lang w:val="en-US"/>
        </w:rPr>
        <w:t xml:space="preserve">the tale itself. Giovanni Boccaccio was born in 1313, either in Florence, or in </w:t>
      </w:r>
      <w:proofErr w:type="spellStart"/>
      <w:r w:rsidRPr="00DD69AE">
        <w:rPr>
          <w:rFonts w:ascii="Calibri" w:hAnsi="Calibri"/>
          <w:sz w:val="24"/>
          <w:szCs w:val="24"/>
          <w:lang w:val="en-US"/>
        </w:rPr>
        <w:t>Certaldo</w:t>
      </w:r>
      <w:proofErr w:type="spellEnd"/>
      <w:r w:rsidRPr="00DD69AE">
        <w:rPr>
          <w:rFonts w:ascii="Calibri" w:hAnsi="Calibri"/>
          <w:sz w:val="24"/>
          <w:szCs w:val="24"/>
          <w:lang w:val="en-US"/>
        </w:rPr>
        <w:t xml:space="preserve">, a small town in Florentine territory. Boccaccio studied canon law, but later chose to concentrate on literature. After a period living in Naples, Boccaccio returned to Florence in 1341. His experiences during the Black Death c.1348 form the backdrop to </w:t>
      </w:r>
      <w:r w:rsidRPr="00DD69AE">
        <w:rPr>
          <w:rFonts w:ascii="Calibri" w:hAnsi="Calibri"/>
          <w:i/>
          <w:sz w:val="24"/>
          <w:szCs w:val="24"/>
          <w:lang w:val="en-US"/>
        </w:rPr>
        <w:t>The</w:t>
      </w:r>
      <w:r w:rsidRPr="00DD69AE">
        <w:rPr>
          <w:rFonts w:ascii="Calibri" w:hAnsi="Calibri"/>
          <w:sz w:val="24"/>
          <w:szCs w:val="24"/>
          <w:lang w:val="en-US"/>
        </w:rPr>
        <w:t xml:space="preserve"> </w:t>
      </w:r>
      <w:r w:rsidRPr="00DD69AE">
        <w:rPr>
          <w:i/>
          <w:sz w:val="24"/>
          <w:szCs w:val="24"/>
          <w:lang w:val="en-US"/>
        </w:rPr>
        <w:t>Decameron</w:t>
      </w:r>
      <w:r w:rsidRPr="00DD69AE">
        <w:rPr>
          <w:sz w:val="24"/>
          <w:szCs w:val="24"/>
          <w:lang w:val="en-US"/>
        </w:rPr>
        <w:t xml:space="preserve">, which was written c.1350.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i/>
          <w:sz w:val="24"/>
          <w:szCs w:val="24"/>
          <w:lang w:val="en-US"/>
        </w:rPr>
        <w:t>The</w:t>
      </w:r>
      <w:r w:rsidRPr="00DD69AE">
        <w:rPr>
          <w:rFonts w:ascii="Calibri" w:hAnsi="Calibri"/>
          <w:sz w:val="24"/>
          <w:szCs w:val="24"/>
          <w:lang w:val="en-US"/>
        </w:rPr>
        <w:t xml:space="preserve"> </w:t>
      </w:r>
      <w:r w:rsidRPr="00DD69AE">
        <w:rPr>
          <w:i/>
          <w:sz w:val="24"/>
          <w:szCs w:val="24"/>
          <w:lang w:val="en-US"/>
        </w:rPr>
        <w:t>Decameron</w:t>
      </w:r>
      <w:r w:rsidRPr="00DD69AE">
        <w:rPr>
          <w:sz w:val="24"/>
          <w:szCs w:val="24"/>
          <w:lang w:val="en-US"/>
        </w:rPr>
        <w:t xml:space="preserve"> consists of stories told by ten young Florentines, who each tell ten tales for ten days as they attempt to hide from the plague, moving location from city to countryside. </w:t>
      </w:r>
      <w:r w:rsidRPr="00DD69AE">
        <w:rPr>
          <w:rFonts w:ascii="Calibri" w:hAnsi="Calibri"/>
          <w:i/>
          <w:sz w:val="24"/>
          <w:szCs w:val="24"/>
          <w:lang w:val="en-US"/>
        </w:rPr>
        <w:t>The Decameron</w:t>
      </w:r>
      <w:r w:rsidRPr="00DD69AE">
        <w:rPr>
          <w:rFonts w:ascii="Calibri" w:hAnsi="Calibri"/>
          <w:sz w:val="24"/>
          <w:szCs w:val="24"/>
          <w:lang w:val="en-US"/>
        </w:rPr>
        <w:t xml:space="preserve"> has, of course, been subject to many interpretations and received much critical attention. There are generally agreed to be three central themes to the stories: fortune, love and wit; although many other themes are present. </w:t>
      </w:r>
      <w:r w:rsidRPr="00DD69AE">
        <w:rPr>
          <w:sz w:val="24"/>
          <w:szCs w:val="24"/>
          <w:lang w:val="en-US"/>
        </w:rPr>
        <w:t xml:space="preserve">The stories are told by seven women and three men. </w:t>
      </w:r>
      <w:r w:rsidRPr="00DD69AE">
        <w:rPr>
          <w:rFonts w:ascii="Calibri" w:hAnsi="Calibri"/>
          <w:sz w:val="24"/>
          <w:szCs w:val="24"/>
          <w:lang w:val="en-US"/>
        </w:rPr>
        <w:t xml:space="preserve">The role of these narrators in the </w:t>
      </w:r>
      <w:r w:rsidRPr="00DD69AE">
        <w:rPr>
          <w:rFonts w:ascii="Calibri" w:hAnsi="Calibri"/>
          <w:i/>
          <w:sz w:val="24"/>
          <w:szCs w:val="24"/>
          <w:lang w:val="en-US"/>
        </w:rPr>
        <w:t>Decameron</w:t>
      </w:r>
      <w:r w:rsidRPr="00DD69AE">
        <w:rPr>
          <w:rFonts w:ascii="Calibri" w:hAnsi="Calibri"/>
          <w:sz w:val="24"/>
          <w:szCs w:val="24"/>
          <w:lang w:val="en-US"/>
        </w:rPr>
        <w:t xml:space="preserve"> has been the subject of much scholarship. </w:t>
      </w:r>
      <w:r w:rsidRPr="00DD69AE">
        <w:rPr>
          <w:sz w:val="24"/>
          <w:szCs w:val="24"/>
          <w:lang w:val="en-US"/>
        </w:rPr>
        <w:t xml:space="preserve">Their names are pseudonyms, often indicating or alluding to specific qualities possessed by that individual. In one interpretation, the </w:t>
      </w:r>
      <w:r w:rsidRPr="00DD69AE">
        <w:rPr>
          <w:i/>
          <w:sz w:val="24"/>
          <w:szCs w:val="24"/>
          <w:lang w:val="en-US"/>
        </w:rPr>
        <w:t>Decameron</w:t>
      </w:r>
      <w:r w:rsidRPr="00DD69AE">
        <w:rPr>
          <w:sz w:val="24"/>
          <w:szCs w:val="24"/>
          <w:lang w:val="en-US"/>
        </w:rPr>
        <w:t xml:space="preserve"> has been regarded as an </w:t>
      </w:r>
      <w:proofErr w:type="spellStart"/>
      <w:r w:rsidRPr="00DD69AE">
        <w:rPr>
          <w:sz w:val="24"/>
          <w:szCs w:val="24"/>
          <w:lang w:val="en-US"/>
        </w:rPr>
        <w:t>allegorization</w:t>
      </w:r>
      <w:proofErr w:type="spellEnd"/>
      <w:r w:rsidRPr="00DD69AE">
        <w:rPr>
          <w:sz w:val="24"/>
          <w:szCs w:val="24"/>
          <w:lang w:val="en-US"/>
        </w:rPr>
        <w:t xml:space="preserve"> of the virtues, with each female narrator representing a theological or cardinal virtue. Some have suggested that Lauretta, the narrator of the eighth day, c</w:t>
      </w:r>
      <w:r w:rsidRPr="00DD69AE">
        <w:rPr>
          <w:rFonts w:ascii="Calibri" w:hAnsi="Calibri"/>
          <w:sz w:val="24"/>
          <w:szCs w:val="24"/>
          <w:lang w:val="en-US"/>
        </w:rPr>
        <w:t>an be identified as the cardinal virtue of Justice.</w:t>
      </w:r>
      <w:r w:rsidRPr="00DD69AE">
        <w:rPr>
          <w:rStyle w:val="FootnoteReference"/>
          <w:rFonts w:ascii="Calibri" w:hAnsi="Calibri"/>
          <w:sz w:val="24"/>
          <w:szCs w:val="24"/>
          <w:lang w:val="en-US"/>
        </w:rPr>
        <w:footnoteReference w:id="4"/>
      </w:r>
      <w:r w:rsidRPr="00DD69AE">
        <w:rPr>
          <w:rFonts w:ascii="Calibri" w:hAnsi="Calibri"/>
          <w:sz w:val="24"/>
          <w:szCs w:val="24"/>
          <w:lang w:val="en-US"/>
        </w:rPr>
        <w:t xml:space="preserve"> Perhaps unsurprisingly in which case, matters of law are given prominence during the tales of the Eighth Day,</w:t>
      </w:r>
      <w:r w:rsidRPr="00DD69AE">
        <w:rPr>
          <w:lang w:val="en-US"/>
        </w:rPr>
        <w:t xml:space="preserve"> </w:t>
      </w:r>
      <w:r w:rsidRPr="00DD69AE">
        <w:rPr>
          <w:sz w:val="24"/>
          <w:szCs w:val="24"/>
          <w:lang w:val="en-US"/>
        </w:rPr>
        <w:t>which deal with the tricks men and women play against each other</w:t>
      </w:r>
      <w:r w:rsidRPr="00DD69AE">
        <w:rPr>
          <w:rFonts w:ascii="Calibri" w:hAnsi="Calibri"/>
          <w:sz w:val="24"/>
          <w:szCs w:val="24"/>
          <w:lang w:val="en-US"/>
        </w:rPr>
        <w:t xml:space="preserve">. Indeed, the Fifth Story of the Eighth Day concerns a trick played upon a judge by a young Florentine, </w:t>
      </w:r>
      <w:proofErr w:type="spellStart"/>
      <w:r w:rsidRPr="00DD69AE">
        <w:rPr>
          <w:rFonts w:ascii="Calibri" w:hAnsi="Calibri"/>
          <w:sz w:val="24"/>
          <w:szCs w:val="24"/>
          <w:lang w:val="en-US"/>
        </w:rPr>
        <w:t>Maso</w:t>
      </w:r>
      <w:proofErr w:type="spellEnd"/>
      <w:r w:rsidRPr="00DD69AE">
        <w:rPr>
          <w:rFonts w:ascii="Calibri" w:hAnsi="Calibri"/>
          <w:sz w:val="24"/>
          <w:szCs w:val="24"/>
          <w:lang w:val="en-US"/>
        </w:rPr>
        <w:t xml:space="preserve"> </w:t>
      </w:r>
      <w:proofErr w:type="gramStart"/>
      <w:r w:rsidRPr="00DD69AE">
        <w:rPr>
          <w:rFonts w:ascii="Calibri" w:hAnsi="Calibri"/>
          <w:sz w:val="24"/>
          <w:szCs w:val="24"/>
          <w:lang w:val="en-US"/>
        </w:rPr>
        <w:t>del</w:t>
      </w:r>
      <w:proofErr w:type="gramEnd"/>
      <w:r w:rsidRPr="00DD69AE">
        <w:rPr>
          <w:rFonts w:ascii="Calibri" w:hAnsi="Calibri"/>
          <w:sz w:val="24"/>
          <w:szCs w:val="24"/>
          <w:lang w:val="en-US"/>
        </w:rPr>
        <w:t xml:space="preserve"> </w:t>
      </w:r>
      <w:proofErr w:type="spellStart"/>
      <w:r w:rsidRPr="00DD69AE">
        <w:rPr>
          <w:rFonts w:ascii="Calibri" w:hAnsi="Calibri"/>
          <w:sz w:val="24"/>
          <w:szCs w:val="24"/>
          <w:lang w:val="en-US"/>
        </w:rPr>
        <w:t>Saggio</w:t>
      </w:r>
      <w:proofErr w:type="spellEnd"/>
      <w:r w:rsidRPr="00DD69AE">
        <w:rPr>
          <w:rFonts w:ascii="Calibri" w:hAnsi="Calibri"/>
          <w:sz w:val="24"/>
          <w:szCs w:val="24"/>
          <w:lang w:val="en-US"/>
        </w:rPr>
        <w:t>.</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sz w:val="24"/>
          <w:szCs w:val="24"/>
          <w:lang w:val="en-US"/>
        </w:rPr>
      </w:pPr>
      <w:r w:rsidRPr="00DD69AE">
        <w:rPr>
          <w:rFonts w:ascii="Calibri" w:hAnsi="Calibri"/>
          <w:i/>
          <w:sz w:val="24"/>
          <w:szCs w:val="24"/>
          <w:lang w:val="en-US"/>
        </w:rPr>
        <w:t>The Decameron</w:t>
      </w:r>
      <w:r w:rsidRPr="00DD69AE">
        <w:rPr>
          <w:rFonts w:ascii="Calibri" w:hAnsi="Calibri"/>
          <w:sz w:val="24"/>
          <w:szCs w:val="24"/>
          <w:lang w:val="en-US"/>
        </w:rPr>
        <w:t xml:space="preserve"> is also rich in contemporary detail, although anyone attempting to treat literature such as </w:t>
      </w:r>
      <w:r w:rsidRPr="00DD69AE">
        <w:rPr>
          <w:sz w:val="24"/>
          <w:szCs w:val="24"/>
          <w:lang w:val="en-US"/>
        </w:rPr>
        <w:t xml:space="preserve">Boccaccio’s </w:t>
      </w:r>
      <w:r w:rsidRPr="00DD69AE">
        <w:rPr>
          <w:i/>
          <w:sz w:val="24"/>
          <w:szCs w:val="24"/>
          <w:lang w:val="en-US"/>
        </w:rPr>
        <w:t xml:space="preserve">Decameron </w:t>
      </w:r>
      <w:r w:rsidRPr="00DD69AE">
        <w:rPr>
          <w:rFonts w:ascii="Calibri" w:hAnsi="Calibri"/>
          <w:sz w:val="24"/>
          <w:szCs w:val="24"/>
          <w:lang w:val="en-US"/>
        </w:rPr>
        <w:t xml:space="preserve">as “a window” to the world of fourteenth century Florence should proceed with caution. Using literary sources often involves historians looking not so much at the works themselves but perhaps more at their context. However, a close reading of the text itself is rewarding for the legal historian. </w:t>
      </w:r>
      <w:r w:rsidRPr="00DD69AE">
        <w:rPr>
          <w:sz w:val="24"/>
          <w:szCs w:val="24"/>
          <w:lang w:val="en-US"/>
        </w:rPr>
        <w:t xml:space="preserve">Taken from a legal perspective, several of the tales can shed light upon aspects of the law, the legal system, </w:t>
      </w:r>
      <w:proofErr w:type="gramStart"/>
      <w:r w:rsidRPr="00DD69AE">
        <w:rPr>
          <w:sz w:val="24"/>
          <w:szCs w:val="24"/>
          <w:lang w:val="en-US"/>
        </w:rPr>
        <w:lastRenderedPageBreak/>
        <w:t>even</w:t>
      </w:r>
      <w:proofErr w:type="gramEnd"/>
      <w:r w:rsidRPr="00DD69AE">
        <w:rPr>
          <w:sz w:val="24"/>
          <w:szCs w:val="24"/>
          <w:lang w:val="en-US"/>
        </w:rPr>
        <w:t xml:space="preserve"> legal thought in fourteenth century Florence.</w:t>
      </w:r>
      <w:r w:rsidRPr="00DD69AE">
        <w:rPr>
          <w:rStyle w:val="FootnoteReference"/>
          <w:sz w:val="24"/>
          <w:szCs w:val="24"/>
          <w:lang w:val="en-US"/>
        </w:rPr>
        <w:footnoteReference w:id="5"/>
      </w:r>
      <w:r w:rsidRPr="00DD69AE">
        <w:rPr>
          <w:sz w:val="24"/>
          <w:szCs w:val="24"/>
          <w:lang w:val="en-US"/>
        </w:rPr>
        <w:t xml:space="preserve"> Many stories feature trials; several feature lawyers; Day 4 includes references to forced confessions (IV, 10) and corrupt judges (IV, 6 and 10). The use of torture as part of the judicial process is also addressed (II, 1). </w:t>
      </w:r>
      <w:proofErr w:type="gramStart"/>
      <w:r w:rsidRPr="00DD69AE">
        <w:rPr>
          <w:rFonts w:ascii="Calibri" w:hAnsi="Calibri"/>
          <w:sz w:val="24"/>
          <w:szCs w:val="24"/>
          <w:lang w:val="en-US"/>
        </w:rPr>
        <w:t xml:space="preserve">Despite the view </w:t>
      </w:r>
      <w:r w:rsidRPr="00DD69AE">
        <w:rPr>
          <w:sz w:val="24"/>
          <w:szCs w:val="24"/>
          <w:lang w:val="en-US"/>
        </w:rPr>
        <w:t>that</w:t>
      </w:r>
      <w:r>
        <w:rPr>
          <w:sz w:val="24"/>
          <w:szCs w:val="24"/>
          <w:lang w:val="en-US"/>
        </w:rPr>
        <w:t>,</w:t>
      </w:r>
      <w:r w:rsidRPr="00DD69AE">
        <w:rPr>
          <w:sz w:val="24"/>
          <w:szCs w:val="24"/>
          <w:lang w:val="en-US"/>
        </w:rPr>
        <w:t xml:space="preserve"> “Boccaccio’s </w:t>
      </w:r>
      <w:r w:rsidRPr="00DD69AE">
        <w:rPr>
          <w:i/>
          <w:sz w:val="24"/>
          <w:szCs w:val="24"/>
          <w:lang w:val="en-US"/>
        </w:rPr>
        <w:t>Decameron</w:t>
      </w:r>
      <w:r w:rsidRPr="00DD69AE">
        <w:rPr>
          <w:sz w:val="24"/>
          <w:szCs w:val="24"/>
          <w:lang w:val="en-US"/>
        </w:rPr>
        <w:t xml:space="preserve"> is of less significance [than other contemporary works such as Franco </w:t>
      </w:r>
      <w:proofErr w:type="spellStart"/>
      <w:r w:rsidRPr="00DD69AE">
        <w:rPr>
          <w:sz w:val="24"/>
          <w:szCs w:val="24"/>
          <w:lang w:val="en-US"/>
        </w:rPr>
        <w:t>Sacchetti’s</w:t>
      </w:r>
      <w:proofErr w:type="spellEnd"/>
      <w:r w:rsidRPr="00DD69AE">
        <w:rPr>
          <w:sz w:val="24"/>
          <w:szCs w:val="24"/>
          <w:lang w:val="en-US"/>
        </w:rPr>
        <w:t xml:space="preserve"> </w:t>
      </w:r>
      <w:proofErr w:type="spellStart"/>
      <w:r w:rsidRPr="00DD69AE">
        <w:rPr>
          <w:i/>
          <w:sz w:val="24"/>
          <w:szCs w:val="24"/>
          <w:lang w:val="en-US"/>
        </w:rPr>
        <w:t>Novelle</w:t>
      </w:r>
      <w:proofErr w:type="spellEnd"/>
      <w:r w:rsidRPr="00DD69AE">
        <w:rPr>
          <w:sz w:val="24"/>
          <w:szCs w:val="24"/>
          <w:lang w:val="en-US"/>
        </w:rPr>
        <w:t xml:space="preserve">] as a commentary on customs and mores”, themes relating to law and justice are seen to pervade the </w:t>
      </w:r>
      <w:r w:rsidRPr="006E362E">
        <w:rPr>
          <w:i/>
          <w:sz w:val="24"/>
          <w:szCs w:val="24"/>
          <w:lang w:val="en-US"/>
        </w:rPr>
        <w:t>Decameron</w:t>
      </w:r>
      <w:r w:rsidRPr="00DD69AE">
        <w:rPr>
          <w:sz w:val="24"/>
          <w:szCs w:val="24"/>
          <w:lang w:val="en-US"/>
        </w:rPr>
        <w:t>.</w:t>
      </w:r>
      <w:proofErr w:type="gramEnd"/>
      <w:r w:rsidRPr="00DD69AE">
        <w:rPr>
          <w:rStyle w:val="FootnoteReference"/>
          <w:sz w:val="24"/>
          <w:szCs w:val="24"/>
          <w:lang w:val="en-US"/>
        </w:rPr>
        <w:footnoteReference w:id="6"/>
      </w:r>
      <w:r w:rsidRPr="00DD69AE">
        <w:rPr>
          <w:sz w:val="24"/>
          <w:szCs w:val="24"/>
          <w:lang w:val="en-US"/>
        </w:rPr>
        <w:t xml:space="preserve">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sz w:val="24"/>
          <w:szCs w:val="24"/>
          <w:lang w:val="en-US"/>
        </w:rPr>
        <w:t xml:space="preserve">Indeed, Giuseppe </w:t>
      </w:r>
      <w:proofErr w:type="spellStart"/>
      <w:r w:rsidRPr="00DD69AE">
        <w:rPr>
          <w:sz w:val="24"/>
          <w:szCs w:val="24"/>
          <w:lang w:val="en-US"/>
        </w:rPr>
        <w:t>Mazzotta</w:t>
      </w:r>
      <w:proofErr w:type="spellEnd"/>
      <w:r w:rsidRPr="00DD69AE">
        <w:rPr>
          <w:sz w:val="24"/>
          <w:szCs w:val="24"/>
          <w:lang w:val="en-US"/>
        </w:rPr>
        <w:t xml:space="preserve"> noted that, “throughout the </w:t>
      </w:r>
      <w:r w:rsidRPr="006E362E">
        <w:rPr>
          <w:i/>
          <w:sz w:val="24"/>
          <w:szCs w:val="24"/>
          <w:lang w:val="en-US"/>
        </w:rPr>
        <w:t>Decameron</w:t>
      </w:r>
      <w:r w:rsidRPr="00DD69AE">
        <w:rPr>
          <w:sz w:val="24"/>
          <w:szCs w:val="24"/>
          <w:lang w:val="en-US"/>
        </w:rPr>
        <w:t xml:space="preserve"> there is a concern with the law and the judicial practice that is so extensive as to appear, on close inspection, nothing less than a central category of the narrative”; and yet surprisingly there remains little scholarship devoted to the question of the law in the </w:t>
      </w:r>
      <w:r w:rsidRPr="006E362E">
        <w:rPr>
          <w:i/>
          <w:sz w:val="24"/>
          <w:szCs w:val="24"/>
          <w:lang w:val="en-US"/>
        </w:rPr>
        <w:t>Decameron</w:t>
      </w:r>
      <w:r w:rsidRPr="00DD69AE">
        <w:rPr>
          <w:sz w:val="24"/>
          <w:szCs w:val="24"/>
          <w:lang w:val="en-US"/>
        </w:rPr>
        <w:t>.</w:t>
      </w:r>
      <w:r w:rsidRPr="00DD69AE">
        <w:rPr>
          <w:rStyle w:val="FootnoteReference"/>
          <w:sz w:val="24"/>
          <w:szCs w:val="24"/>
          <w:lang w:val="en-US"/>
        </w:rPr>
        <w:footnoteReference w:id="7"/>
      </w:r>
      <w:r w:rsidRPr="00DD69AE">
        <w:rPr>
          <w:sz w:val="24"/>
          <w:szCs w:val="24"/>
          <w:lang w:val="en-US"/>
        </w:rPr>
        <w:t xml:space="preserve"> Even </w:t>
      </w:r>
      <w:proofErr w:type="spellStart"/>
      <w:r w:rsidRPr="00DD69AE">
        <w:rPr>
          <w:sz w:val="24"/>
          <w:szCs w:val="24"/>
          <w:lang w:val="en-US"/>
        </w:rPr>
        <w:t>Mazzotta’s</w:t>
      </w:r>
      <w:proofErr w:type="spellEnd"/>
      <w:r w:rsidRPr="00DD69AE">
        <w:rPr>
          <w:sz w:val="24"/>
          <w:szCs w:val="24"/>
          <w:lang w:val="en-US"/>
        </w:rPr>
        <w:t xml:space="preserve"> detailed examination of the issues of the law in the </w:t>
      </w:r>
      <w:r w:rsidRPr="006E362E">
        <w:rPr>
          <w:i/>
          <w:sz w:val="24"/>
          <w:szCs w:val="24"/>
          <w:lang w:val="en-US"/>
        </w:rPr>
        <w:t>Decameron</w:t>
      </w:r>
      <w:r w:rsidRPr="00DD69AE">
        <w:rPr>
          <w:sz w:val="24"/>
          <w:szCs w:val="24"/>
          <w:lang w:val="en-US"/>
        </w:rPr>
        <w:t xml:space="preserve"> summarizes the point of </w:t>
      </w:r>
      <w:r w:rsidRPr="00DD69AE">
        <w:rPr>
          <w:rFonts w:ascii="Calibri" w:hAnsi="Calibri"/>
          <w:sz w:val="24"/>
          <w:szCs w:val="24"/>
          <w:lang w:val="en-US"/>
        </w:rPr>
        <w:t>the Fifth Story of the Eighth Day as exposing, “what the jurist’s cultivation of appearances can become: dissemblance and fakery”.</w:t>
      </w:r>
      <w:r w:rsidRPr="00DD69AE">
        <w:rPr>
          <w:rStyle w:val="FootnoteReference"/>
          <w:rFonts w:ascii="Calibri" w:hAnsi="Calibri"/>
          <w:sz w:val="24"/>
          <w:szCs w:val="24"/>
          <w:lang w:val="en-US"/>
        </w:rPr>
        <w:footnoteReference w:id="8"/>
      </w:r>
      <w:r w:rsidRPr="00DD69AE">
        <w:rPr>
          <w:rFonts w:ascii="Calibri" w:hAnsi="Calibri"/>
          <w:sz w:val="24"/>
          <w:szCs w:val="24"/>
          <w:lang w:val="en-US"/>
        </w:rPr>
        <w:t xml:space="preserve"> I suggest that it is not only this, but can offer much more. </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For the legal historian, much of the detail of the Fifth Story of the Eighth Day in </w:t>
      </w:r>
      <w:r w:rsidRPr="00DD69AE">
        <w:rPr>
          <w:sz w:val="24"/>
          <w:szCs w:val="24"/>
          <w:lang w:val="en-US"/>
        </w:rPr>
        <w:t xml:space="preserve">Giovanni Boccaccio’s </w:t>
      </w:r>
      <w:r w:rsidRPr="00DD69AE">
        <w:rPr>
          <w:i/>
          <w:sz w:val="24"/>
          <w:szCs w:val="24"/>
          <w:lang w:val="en-US"/>
        </w:rPr>
        <w:t xml:space="preserve">Decameron </w:t>
      </w:r>
      <w:r w:rsidRPr="00DD69AE">
        <w:rPr>
          <w:sz w:val="24"/>
          <w:szCs w:val="24"/>
          <w:lang w:val="en-US"/>
        </w:rPr>
        <w:t xml:space="preserve">is compelling. It alludes to the practical realities of how judges were appointed in </w:t>
      </w:r>
      <w:r w:rsidRPr="00DD69AE">
        <w:rPr>
          <w:rFonts w:ascii="Calibri" w:hAnsi="Calibri"/>
          <w:sz w:val="24"/>
          <w:szCs w:val="24"/>
          <w:lang w:val="en-US"/>
        </w:rPr>
        <w:t xml:space="preserve">fourteenth century Florence, and by whom, as well as who could (or even, as we shall see, perhaps should not) act as judge in an important city such as Florence. We gain details of everyday experiences of the law-courts, some of which perhaps indicate that matters of law and justice had a central role in Florentine society. Also, significantly for the </w:t>
      </w:r>
      <w:r w:rsidRPr="00DD69AE">
        <w:rPr>
          <w:rFonts w:ascii="Calibri" w:hAnsi="Calibri"/>
          <w:sz w:val="24"/>
          <w:szCs w:val="24"/>
          <w:lang w:val="en-US"/>
        </w:rPr>
        <w:lastRenderedPageBreak/>
        <w:t>purposes of this article, we learn of contemporary expectations of appearance and habits of those exercising judicial authority. All of this can be revealed by a detailed and close reading of the story.</w:t>
      </w:r>
    </w:p>
    <w:p w:rsidR="00AC655F" w:rsidRPr="00DD69AE" w:rsidRDefault="00AC655F" w:rsidP="00AC655F">
      <w:pPr>
        <w:spacing w:after="0" w:line="480" w:lineRule="auto"/>
        <w:rPr>
          <w:lang w:val="en-US"/>
        </w:rPr>
      </w:pPr>
    </w:p>
    <w:p w:rsidR="00AC655F" w:rsidRPr="00DD69AE" w:rsidRDefault="00AC655F" w:rsidP="00AC655F">
      <w:pPr>
        <w:spacing w:after="0" w:line="480" w:lineRule="auto"/>
        <w:rPr>
          <w:rFonts w:ascii="Calibri" w:hAnsi="Calibri"/>
          <w:b/>
          <w:sz w:val="24"/>
          <w:szCs w:val="24"/>
          <w:lang w:val="en-US"/>
        </w:rPr>
      </w:pPr>
      <w:r w:rsidRPr="00DD69AE">
        <w:rPr>
          <w:rFonts w:ascii="Calibri" w:hAnsi="Calibri"/>
          <w:b/>
          <w:sz w:val="24"/>
          <w:szCs w:val="24"/>
          <w:lang w:val="en-US"/>
        </w:rPr>
        <w:t xml:space="preserve">The Fifth Story of the Eighth Day in </w:t>
      </w:r>
      <w:r w:rsidRPr="00DD69AE">
        <w:rPr>
          <w:b/>
          <w:sz w:val="24"/>
          <w:szCs w:val="24"/>
          <w:lang w:val="en-US"/>
        </w:rPr>
        <w:t xml:space="preserve">Giovanni Boccaccio’s </w:t>
      </w:r>
      <w:r w:rsidRPr="00DD69AE">
        <w:rPr>
          <w:b/>
          <w:i/>
          <w:sz w:val="24"/>
          <w:szCs w:val="24"/>
          <w:lang w:val="en-US"/>
        </w:rPr>
        <w:t>Decameron</w:t>
      </w: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The narrator of the Eighth Day is Lauretta; as noted above, she has been identified by some as the cardinal virtue of Justice. The Fifth story itself is told by </w:t>
      </w:r>
      <w:proofErr w:type="spellStart"/>
      <w:r w:rsidRPr="00DD69AE">
        <w:rPr>
          <w:rFonts w:ascii="Calibri" w:hAnsi="Calibri"/>
          <w:sz w:val="24"/>
          <w:szCs w:val="24"/>
          <w:lang w:val="en-US"/>
        </w:rPr>
        <w:t>Filostrato</w:t>
      </w:r>
      <w:proofErr w:type="spellEnd"/>
      <w:r w:rsidRPr="00DD69AE">
        <w:rPr>
          <w:rFonts w:ascii="Calibri" w:hAnsi="Calibri"/>
          <w:sz w:val="24"/>
          <w:szCs w:val="24"/>
          <w:lang w:val="en-US"/>
        </w:rPr>
        <w:t xml:space="preserve">. His name alludes to another work of Boccaccio, </w:t>
      </w:r>
      <w:proofErr w:type="spellStart"/>
      <w:r w:rsidRPr="00DD69AE">
        <w:rPr>
          <w:rFonts w:ascii="Calibri" w:hAnsi="Calibri"/>
          <w:i/>
          <w:sz w:val="24"/>
          <w:szCs w:val="24"/>
          <w:lang w:val="en-US"/>
        </w:rPr>
        <w:t>Filostrato</w:t>
      </w:r>
      <w:proofErr w:type="spellEnd"/>
      <w:r w:rsidRPr="00DD69AE">
        <w:rPr>
          <w:rFonts w:ascii="Calibri" w:hAnsi="Calibri"/>
          <w:sz w:val="24"/>
          <w:szCs w:val="24"/>
          <w:lang w:val="en-US"/>
        </w:rPr>
        <w:t>, and also suggests one who is defeated or cast down by love.</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Turning to the detail of </w:t>
      </w:r>
      <w:proofErr w:type="spellStart"/>
      <w:r w:rsidRPr="00DD69AE">
        <w:rPr>
          <w:rFonts w:ascii="Calibri" w:hAnsi="Calibri"/>
          <w:sz w:val="24"/>
          <w:szCs w:val="24"/>
          <w:lang w:val="en-US"/>
        </w:rPr>
        <w:t>Filostrato’s</w:t>
      </w:r>
      <w:proofErr w:type="spellEnd"/>
      <w:r w:rsidRPr="00DD69AE">
        <w:rPr>
          <w:rFonts w:ascii="Calibri" w:hAnsi="Calibri"/>
          <w:sz w:val="24"/>
          <w:szCs w:val="24"/>
          <w:lang w:val="en-US"/>
        </w:rPr>
        <w:t xml:space="preserve"> story, what do we learn?</w:t>
      </w:r>
      <w:r w:rsidRPr="00DD69AE">
        <w:rPr>
          <w:sz w:val="24"/>
          <w:szCs w:val="24"/>
          <w:lang w:val="en-US"/>
        </w:rPr>
        <w:t xml:space="preserve"> Th</w:t>
      </w:r>
      <w:r w:rsidRPr="00DD69AE">
        <w:rPr>
          <w:rFonts w:ascii="Calibri" w:hAnsi="Calibri"/>
          <w:sz w:val="24"/>
          <w:szCs w:val="24"/>
          <w:lang w:val="en-US"/>
        </w:rPr>
        <w:t xml:space="preserve">e tale told in the Fifth Story of the Eighth Day in </w:t>
      </w:r>
      <w:r w:rsidRPr="00DD69AE">
        <w:rPr>
          <w:sz w:val="24"/>
          <w:szCs w:val="24"/>
          <w:lang w:val="en-US"/>
        </w:rPr>
        <w:t xml:space="preserve">Giovanni Boccaccio’s </w:t>
      </w:r>
      <w:r w:rsidRPr="00DD69AE">
        <w:rPr>
          <w:i/>
          <w:sz w:val="24"/>
          <w:szCs w:val="24"/>
          <w:lang w:val="en-US"/>
        </w:rPr>
        <w:t>Decameron</w:t>
      </w:r>
      <w:r w:rsidRPr="00DD69AE">
        <w:rPr>
          <w:sz w:val="24"/>
          <w:szCs w:val="24"/>
          <w:lang w:val="en-US"/>
        </w:rPr>
        <w:t>, begins:</w:t>
      </w:r>
    </w:p>
    <w:p w:rsidR="00AC655F" w:rsidRPr="00DD69AE" w:rsidRDefault="00AC655F" w:rsidP="00AC655F">
      <w:pPr>
        <w:spacing w:after="0" w:line="480" w:lineRule="auto"/>
        <w:ind w:left="720"/>
        <w:rPr>
          <w:rFonts w:ascii="Calibri" w:hAnsi="Calibri"/>
          <w:sz w:val="24"/>
          <w:szCs w:val="24"/>
          <w:lang w:val="en-US"/>
        </w:rPr>
      </w:pPr>
      <w:r w:rsidRPr="00DD69AE">
        <w:rPr>
          <w:rFonts w:ascii="Calibri" w:hAnsi="Calibri"/>
          <w:sz w:val="24"/>
          <w:szCs w:val="24"/>
          <w:lang w:val="en-US"/>
        </w:rPr>
        <w:t>“As all of you will doubtless have heard, the chief magistrates of our city very often come from the Marches, and tend as a rule to be mean-hearted men …</w:t>
      </w:r>
      <w:proofErr w:type="gramStart"/>
      <w:r w:rsidRPr="00DD69AE">
        <w:rPr>
          <w:rFonts w:ascii="Calibri" w:hAnsi="Calibri"/>
          <w:sz w:val="24"/>
          <w:szCs w:val="24"/>
          <w:lang w:val="en-US"/>
        </w:rPr>
        <w:t>”.</w:t>
      </w:r>
      <w:proofErr w:type="gramEnd"/>
      <w:r w:rsidRPr="00DD69AE">
        <w:rPr>
          <w:rStyle w:val="FootnoteReference"/>
          <w:rFonts w:ascii="Calibri" w:hAnsi="Calibri"/>
          <w:sz w:val="24"/>
          <w:szCs w:val="24"/>
          <w:lang w:val="en-US"/>
        </w:rPr>
        <w:footnoteReference w:id="9"/>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Th</w:t>
      </w:r>
      <w:r>
        <w:rPr>
          <w:sz w:val="24"/>
          <w:szCs w:val="24"/>
          <w:lang w:val="en-US"/>
        </w:rPr>
        <w:t>e</w:t>
      </w:r>
      <w:r w:rsidRPr="00DD69AE">
        <w:rPr>
          <w:sz w:val="24"/>
          <w:szCs w:val="24"/>
          <w:lang w:val="en-US"/>
        </w:rPr>
        <w:t xml:space="preserve"> paragraph is a rich seam for legal historians; it contains details of how judges were appointed in </w:t>
      </w:r>
      <w:r w:rsidRPr="00DD69AE">
        <w:rPr>
          <w:rFonts w:ascii="Calibri" w:hAnsi="Calibri"/>
          <w:sz w:val="24"/>
          <w:szCs w:val="24"/>
          <w:lang w:val="en-US"/>
        </w:rPr>
        <w:t xml:space="preserve">fourteenth century Florence, and by whom. </w:t>
      </w:r>
      <w:r>
        <w:rPr>
          <w:rFonts w:ascii="Calibri" w:hAnsi="Calibri"/>
          <w:sz w:val="24"/>
          <w:szCs w:val="24"/>
          <w:lang w:val="en-US"/>
        </w:rPr>
        <w:t>I</w:t>
      </w:r>
      <w:r w:rsidRPr="00DD69AE">
        <w:rPr>
          <w:rFonts w:ascii="Calibri" w:hAnsi="Calibri"/>
          <w:sz w:val="24"/>
          <w:szCs w:val="24"/>
          <w:lang w:val="en-US"/>
        </w:rPr>
        <w:t xml:space="preserve">t indicates that </w:t>
      </w:r>
      <w:r>
        <w:rPr>
          <w:sz w:val="24"/>
          <w:szCs w:val="24"/>
        </w:rPr>
        <w:t xml:space="preserve">the chief </w:t>
      </w:r>
      <w:r w:rsidRPr="00DD69AE">
        <w:rPr>
          <w:rFonts w:ascii="Calibri" w:hAnsi="Calibri"/>
          <w:sz w:val="24"/>
          <w:szCs w:val="24"/>
          <w:lang w:val="en-US"/>
        </w:rPr>
        <w:t>magistrate</w:t>
      </w:r>
      <w:r>
        <w:rPr>
          <w:rFonts w:ascii="Calibri" w:hAnsi="Calibri"/>
          <w:sz w:val="24"/>
          <w:szCs w:val="24"/>
          <w:lang w:val="en-US"/>
        </w:rPr>
        <w:t xml:space="preserve"> or</w:t>
      </w:r>
      <w:r>
        <w:rPr>
          <w:sz w:val="24"/>
          <w:szCs w:val="24"/>
        </w:rPr>
        <w:t xml:space="preserve"> judge </w:t>
      </w:r>
      <w:r w:rsidRPr="000552A4">
        <w:rPr>
          <w:sz w:val="24"/>
          <w:szCs w:val="24"/>
        </w:rPr>
        <w:t>was appointed by the communal authorities and he in turn appointed his subordinate judges but according to criteria set down by the commune.</w:t>
      </w:r>
      <w:r>
        <w:rPr>
          <w:sz w:val="24"/>
          <w:szCs w:val="24"/>
        </w:rPr>
        <w:t xml:space="preserve"> </w:t>
      </w:r>
      <w:r w:rsidRPr="00DD69AE">
        <w:rPr>
          <w:rFonts w:ascii="Calibri" w:hAnsi="Calibri"/>
          <w:sz w:val="24"/>
          <w:szCs w:val="24"/>
          <w:lang w:val="en-US"/>
        </w:rPr>
        <w:t xml:space="preserve">The </w:t>
      </w:r>
      <w:r>
        <w:rPr>
          <w:rFonts w:ascii="Calibri" w:hAnsi="Calibri"/>
          <w:sz w:val="24"/>
          <w:szCs w:val="24"/>
          <w:lang w:val="en-US"/>
        </w:rPr>
        <w:t>appointment as</w:t>
      </w:r>
      <w:r w:rsidRPr="00DD69AE">
        <w:rPr>
          <w:rFonts w:ascii="Calibri" w:hAnsi="Calibri"/>
          <w:sz w:val="24"/>
          <w:szCs w:val="24"/>
          <w:lang w:val="en-US"/>
        </w:rPr>
        <w:t xml:space="preserve"> chief magistrate </w:t>
      </w:r>
      <w:r>
        <w:rPr>
          <w:rFonts w:ascii="Calibri" w:hAnsi="Calibri"/>
          <w:sz w:val="24"/>
          <w:szCs w:val="24"/>
          <w:lang w:val="en-US"/>
        </w:rPr>
        <w:t>of someone who was not</w:t>
      </w:r>
      <w:r w:rsidRPr="00DD69AE">
        <w:rPr>
          <w:rFonts w:ascii="Calibri" w:hAnsi="Calibri"/>
          <w:sz w:val="24"/>
          <w:szCs w:val="24"/>
          <w:lang w:val="en-US"/>
        </w:rPr>
        <w:t xml:space="preserve"> </w:t>
      </w:r>
      <w:r>
        <w:rPr>
          <w:rFonts w:ascii="Calibri" w:hAnsi="Calibri"/>
          <w:sz w:val="24"/>
          <w:szCs w:val="24"/>
          <w:lang w:val="en-US"/>
        </w:rPr>
        <w:t>a</w:t>
      </w:r>
      <w:r w:rsidRPr="00DD69AE">
        <w:rPr>
          <w:rFonts w:ascii="Calibri" w:hAnsi="Calibri"/>
          <w:sz w:val="24"/>
          <w:szCs w:val="24"/>
          <w:lang w:val="en-US"/>
        </w:rPr>
        <w:t xml:space="preserve"> Florentine citizen but </w:t>
      </w:r>
      <w:r>
        <w:rPr>
          <w:rFonts w:ascii="Calibri" w:hAnsi="Calibri"/>
          <w:sz w:val="24"/>
          <w:szCs w:val="24"/>
          <w:lang w:val="en-US"/>
        </w:rPr>
        <w:t xml:space="preserve">one </w:t>
      </w:r>
      <w:r w:rsidRPr="00DD69AE">
        <w:rPr>
          <w:rFonts w:ascii="Calibri" w:hAnsi="Calibri"/>
          <w:sz w:val="24"/>
          <w:szCs w:val="24"/>
          <w:lang w:val="en-US"/>
        </w:rPr>
        <w:t xml:space="preserve">coming from </w:t>
      </w:r>
      <w:r>
        <w:rPr>
          <w:rFonts w:ascii="Calibri" w:hAnsi="Calibri"/>
          <w:sz w:val="24"/>
          <w:szCs w:val="24"/>
          <w:lang w:val="en-US"/>
        </w:rPr>
        <w:t xml:space="preserve">elsewhere, such as </w:t>
      </w:r>
      <w:r w:rsidRPr="00DD69AE">
        <w:rPr>
          <w:rFonts w:ascii="Calibri" w:hAnsi="Calibri"/>
          <w:sz w:val="24"/>
          <w:szCs w:val="24"/>
          <w:lang w:val="en-US"/>
        </w:rPr>
        <w:t>the Marches (also known as the Le Marche region of modern Italy)</w:t>
      </w:r>
      <w:r>
        <w:rPr>
          <w:rFonts w:ascii="Calibri" w:hAnsi="Calibri"/>
          <w:sz w:val="24"/>
          <w:szCs w:val="24"/>
          <w:lang w:val="en-US"/>
        </w:rPr>
        <w:t>,</w:t>
      </w:r>
      <w:r w:rsidRPr="00DD69AE">
        <w:rPr>
          <w:rFonts w:ascii="Calibri" w:hAnsi="Calibri"/>
          <w:sz w:val="24"/>
          <w:szCs w:val="24"/>
          <w:lang w:val="en-US"/>
        </w:rPr>
        <w:t xml:space="preserve"> was a well-established detail of the contemporary justice system.</w:t>
      </w:r>
      <w:r w:rsidRPr="00DD69AE">
        <w:rPr>
          <w:rStyle w:val="FootnoteReference"/>
          <w:rFonts w:ascii="Calibri" w:hAnsi="Calibri"/>
          <w:sz w:val="24"/>
          <w:szCs w:val="24"/>
          <w:lang w:val="en-US"/>
        </w:rPr>
        <w:footnoteReference w:id="10"/>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lastRenderedPageBreak/>
        <w:t xml:space="preserve">From the late twelfth century, as secular authorities in what is now northern and north-central Italy took control of the administration of justice in their independent and autonomous towns and cities, a system evolved whereby a single magistrate, the </w:t>
      </w:r>
      <w:proofErr w:type="spellStart"/>
      <w:r w:rsidRPr="00DD69AE">
        <w:rPr>
          <w:rFonts w:cs="Calibri"/>
          <w:i/>
          <w:sz w:val="24"/>
          <w:szCs w:val="24"/>
          <w:lang w:val="en-US"/>
        </w:rPr>
        <w:t>podestà</w:t>
      </w:r>
      <w:proofErr w:type="spellEnd"/>
      <w:r w:rsidRPr="00DD69AE">
        <w:rPr>
          <w:rFonts w:cs="Calibri"/>
          <w:sz w:val="24"/>
          <w:szCs w:val="24"/>
          <w:lang w:val="en-US"/>
        </w:rPr>
        <w:t xml:space="preserve">, was </w:t>
      </w:r>
      <w:r w:rsidRPr="00DD69AE">
        <w:rPr>
          <w:rFonts w:cs="Calibri"/>
          <w:color w:val="000000"/>
          <w:sz w:val="24"/>
          <w:szCs w:val="24"/>
          <w:lang w:val="en-US"/>
        </w:rPr>
        <w:t xml:space="preserve">appointed by civic authorities to exercise their </w:t>
      </w:r>
      <w:r w:rsidRPr="00DD69AE">
        <w:rPr>
          <w:rFonts w:cs="Calibri"/>
          <w:sz w:val="24"/>
          <w:szCs w:val="24"/>
          <w:lang w:val="en-US"/>
        </w:rPr>
        <w:t>powers of law enforcement within the territory of that town or city.</w:t>
      </w:r>
      <w:r w:rsidRPr="00DD69AE">
        <w:rPr>
          <w:rStyle w:val="FootnoteReference"/>
          <w:rFonts w:cs="Calibri"/>
          <w:sz w:val="24"/>
          <w:szCs w:val="24"/>
          <w:lang w:val="en-US"/>
        </w:rPr>
        <w:footnoteReference w:id="11"/>
      </w:r>
      <w:r w:rsidRPr="00DD69AE">
        <w:rPr>
          <w:rFonts w:cs="Calibri"/>
          <w:sz w:val="24"/>
          <w:szCs w:val="24"/>
          <w:lang w:val="en-US"/>
        </w:rPr>
        <w:t xml:space="preserve"> </w:t>
      </w:r>
      <w:r w:rsidRPr="00DD69AE">
        <w:rPr>
          <w:rFonts w:cs="Calibri"/>
          <w:color w:val="000000"/>
          <w:sz w:val="24"/>
          <w:szCs w:val="24"/>
          <w:lang w:val="en-US"/>
        </w:rPr>
        <w:t xml:space="preserve">The </w:t>
      </w:r>
      <w:proofErr w:type="spellStart"/>
      <w:r w:rsidRPr="00DD69AE">
        <w:rPr>
          <w:rFonts w:cs="Calibri"/>
          <w:iCs/>
          <w:color w:val="000000"/>
          <w:sz w:val="24"/>
          <w:szCs w:val="24"/>
          <w:bdr w:val="none" w:sz="0" w:space="0" w:color="auto" w:frame="1"/>
          <w:lang w:val="en-US"/>
        </w:rPr>
        <w:t>podestà</w:t>
      </w:r>
      <w:proofErr w:type="spellEnd"/>
      <w:r w:rsidRPr="00DD69AE">
        <w:rPr>
          <w:rFonts w:cs="Calibri"/>
          <w:color w:val="000000"/>
          <w:sz w:val="24"/>
          <w:szCs w:val="24"/>
          <w:lang w:val="en-US"/>
        </w:rPr>
        <w:t xml:space="preserve"> was usually not a citizen of the town or city in which he operated.</w:t>
      </w:r>
      <w:r w:rsidRPr="00DD69AE">
        <w:rPr>
          <w:rStyle w:val="FootnoteReference"/>
          <w:rFonts w:cs="Calibri"/>
          <w:sz w:val="24"/>
          <w:szCs w:val="24"/>
          <w:lang w:val="en-US"/>
        </w:rPr>
        <w:t xml:space="preserve"> </w:t>
      </w:r>
      <w:r w:rsidRPr="00DD69AE">
        <w:rPr>
          <w:rFonts w:cs="Calibri"/>
          <w:color w:val="000000"/>
          <w:sz w:val="24"/>
          <w:szCs w:val="24"/>
          <w:lang w:val="en-US"/>
        </w:rPr>
        <w:t xml:space="preserve">In theory, this brought an element of impartiality to the role. His appointment was for a limited term, </w:t>
      </w:r>
      <w:r w:rsidRPr="00DD69AE">
        <w:rPr>
          <w:rFonts w:cs="Calibri"/>
          <w:sz w:val="24"/>
          <w:szCs w:val="24"/>
          <w:lang w:val="en-US"/>
        </w:rPr>
        <w:t>often one year or six months,</w:t>
      </w:r>
      <w:r w:rsidRPr="00DD69AE">
        <w:rPr>
          <w:rFonts w:cs="Calibri"/>
          <w:color w:val="000000"/>
          <w:sz w:val="24"/>
          <w:szCs w:val="24"/>
          <w:lang w:val="en-US"/>
        </w:rPr>
        <w:t xml:space="preserve"> again to encourage impartiality. </w:t>
      </w:r>
      <w:r w:rsidRPr="00DD69AE">
        <w:rPr>
          <w:rFonts w:cs="Calibri"/>
          <w:sz w:val="24"/>
          <w:szCs w:val="24"/>
          <w:lang w:val="en-US"/>
        </w:rPr>
        <w:t xml:space="preserve">This may help to explain the reference in the tale to the fact that “very often” </w:t>
      </w:r>
      <w:proofErr w:type="spellStart"/>
      <w:r w:rsidRPr="00DD69AE">
        <w:rPr>
          <w:rFonts w:cs="Calibri"/>
          <w:sz w:val="24"/>
          <w:szCs w:val="24"/>
          <w:lang w:val="en-US"/>
        </w:rPr>
        <w:t>podestà</w:t>
      </w:r>
      <w:proofErr w:type="spellEnd"/>
      <w:r w:rsidRPr="00DD69AE">
        <w:rPr>
          <w:rFonts w:cs="Calibri"/>
          <w:sz w:val="24"/>
          <w:szCs w:val="24"/>
          <w:lang w:val="en-US"/>
        </w:rPr>
        <w:t xml:space="preserve"> appointed by the Florentine authorities came from the Marches. In addition, Le Marche was a region with relatively limited economic resources, which led many members of its rural aristocracy to become </w:t>
      </w:r>
      <w:proofErr w:type="spellStart"/>
      <w:r w:rsidRPr="00DD69AE">
        <w:rPr>
          <w:rFonts w:cs="Calibri"/>
          <w:sz w:val="24"/>
          <w:szCs w:val="24"/>
          <w:lang w:val="en-US"/>
        </w:rPr>
        <w:t>podestà</w:t>
      </w:r>
      <w:proofErr w:type="spellEnd"/>
      <w:r w:rsidRPr="00DD69AE">
        <w:rPr>
          <w:rFonts w:cs="Calibri"/>
          <w:sz w:val="24"/>
          <w:szCs w:val="24"/>
          <w:lang w:val="en-US"/>
        </w:rPr>
        <w:t>. Such officials formed, in effect, a “circulating professional aristocracy”.</w:t>
      </w:r>
      <w:r w:rsidRPr="00DD69AE">
        <w:rPr>
          <w:rStyle w:val="FootnoteReference"/>
          <w:rFonts w:cs="Calibri"/>
          <w:sz w:val="24"/>
          <w:szCs w:val="24"/>
          <w:lang w:val="en-US"/>
        </w:rPr>
        <w:footnoteReference w:id="12"/>
      </w:r>
      <w:r w:rsidRPr="00DD69AE">
        <w:rPr>
          <w:rFonts w:cs="Calibri"/>
          <w:sz w:val="24"/>
          <w:szCs w:val="24"/>
          <w:lang w:val="en-US"/>
        </w:rPr>
        <w:t xml:space="preserve">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There may have been other attractions to the communal authorities in Florence to appointing a </w:t>
      </w:r>
      <w:proofErr w:type="spellStart"/>
      <w:r w:rsidRPr="00DD69AE">
        <w:rPr>
          <w:rFonts w:cs="Calibri"/>
          <w:sz w:val="24"/>
          <w:szCs w:val="24"/>
          <w:lang w:val="en-US"/>
        </w:rPr>
        <w:t>podestà</w:t>
      </w:r>
      <w:proofErr w:type="spellEnd"/>
      <w:r w:rsidRPr="00DD69AE">
        <w:rPr>
          <w:rFonts w:cs="Calibri"/>
          <w:sz w:val="24"/>
          <w:szCs w:val="24"/>
          <w:lang w:val="en-US"/>
        </w:rPr>
        <w:t xml:space="preserve"> from a region other than Tuscany. In many cases, the </w:t>
      </w:r>
      <w:proofErr w:type="spellStart"/>
      <w:r w:rsidRPr="00DD69AE">
        <w:rPr>
          <w:rFonts w:cs="Calibri"/>
          <w:sz w:val="24"/>
          <w:szCs w:val="24"/>
          <w:lang w:val="en-US"/>
        </w:rPr>
        <w:t>podestà</w:t>
      </w:r>
      <w:proofErr w:type="spellEnd"/>
      <w:r w:rsidRPr="00DD69AE">
        <w:rPr>
          <w:rFonts w:cs="Calibri"/>
          <w:sz w:val="24"/>
          <w:szCs w:val="24"/>
          <w:lang w:val="en-US"/>
        </w:rPr>
        <w:t xml:space="preserve"> was an overtly political appointment.</w:t>
      </w:r>
      <w:r w:rsidRPr="00DD69AE">
        <w:rPr>
          <w:rStyle w:val="FootnoteReference"/>
          <w:rFonts w:cs="Calibri"/>
          <w:sz w:val="24"/>
          <w:szCs w:val="24"/>
          <w:lang w:val="en-US"/>
        </w:rPr>
        <w:footnoteReference w:id="13"/>
      </w:r>
      <w:r w:rsidRPr="00DD69AE">
        <w:rPr>
          <w:rFonts w:cs="Calibri"/>
          <w:sz w:val="24"/>
          <w:szCs w:val="24"/>
          <w:lang w:val="en-US"/>
        </w:rPr>
        <w:t xml:space="preserve"> One cannot assume an identity of interest between ‘the city-states’ of the region largely comprising what is now northern and north-central Italy. Some important cities like Florence had territorial ambitions and grew to dominate their neighbors: for example, in Tuscany, from c. 1250-1340, amongst others, Arezzo, Prato and San </w:t>
      </w:r>
      <w:proofErr w:type="spellStart"/>
      <w:r w:rsidRPr="00DD69AE">
        <w:rPr>
          <w:rFonts w:cs="Calibri"/>
          <w:sz w:val="24"/>
          <w:szCs w:val="24"/>
          <w:lang w:val="en-US"/>
        </w:rPr>
        <w:t>Gimignano</w:t>
      </w:r>
      <w:proofErr w:type="spellEnd"/>
      <w:r w:rsidRPr="00DD69AE">
        <w:rPr>
          <w:rFonts w:cs="Calibri"/>
          <w:sz w:val="24"/>
          <w:szCs w:val="24"/>
          <w:lang w:val="en-US"/>
        </w:rPr>
        <w:t>.</w:t>
      </w:r>
      <w:r w:rsidRPr="00DD69AE">
        <w:rPr>
          <w:rStyle w:val="FootnoteReference"/>
          <w:rFonts w:cs="Calibri"/>
          <w:sz w:val="24"/>
          <w:szCs w:val="24"/>
          <w:lang w:val="en-US"/>
        </w:rPr>
        <w:footnoteReference w:id="14"/>
      </w:r>
      <w:r w:rsidRPr="00DD69AE">
        <w:rPr>
          <w:rFonts w:cs="Calibri"/>
          <w:sz w:val="24"/>
          <w:szCs w:val="24"/>
          <w:lang w:val="en-US"/>
        </w:rPr>
        <w:t xml:space="preserve"> Against this complex background, the choice by the Florentine authorities of law enforcement officials from Le Marche, a different but neighboring region to Tuscany, may have been prudent.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color w:val="000000"/>
          <w:sz w:val="24"/>
          <w:szCs w:val="24"/>
          <w:lang w:val="en-US"/>
        </w:rPr>
      </w:pPr>
      <w:r w:rsidRPr="00DD69AE">
        <w:rPr>
          <w:rFonts w:cs="Calibri"/>
          <w:sz w:val="24"/>
          <w:szCs w:val="24"/>
          <w:lang w:val="en-US"/>
        </w:rPr>
        <w:t xml:space="preserve">The </w:t>
      </w:r>
      <w:proofErr w:type="spellStart"/>
      <w:r w:rsidRPr="00DD69AE">
        <w:rPr>
          <w:rFonts w:cs="Calibri"/>
          <w:sz w:val="24"/>
          <w:szCs w:val="24"/>
          <w:lang w:val="en-US"/>
        </w:rPr>
        <w:t>podestà</w:t>
      </w:r>
      <w:proofErr w:type="spellEnd"/>
      <w:r w:rsidRPr="00DD69AE">
        <w:rPr>
          <w:rFonts w:cs="Calibri"/>
          <w:sz w:val="24"/>
          <w:szCs w:val="24"/>
          <w:lang w:val="en-US"/>
        </w:rPr>
        <w:t xml:space="preserve"> was initially a noble but, by the fourteenth century, all were usually professionally qualified, most often as judges or notaries, or at least possessing a law degree.</w:t>
      </w:r>
      <w:r w:rsidRPr="00DD69AE">
        <w:rPr>
          <w:rStyle w:val="FootnoteReference"/>
          <w:rFonts w:cs="Calibri"/>
          <w:sz w:val="24"/>
          <w:szCs w:val="24"/>
          <w:lang w:val="en-US"/>
        </w:rPr>
        <w:footnoteReference w:id="15"/>
      </w:r>
      <w:r w:rsidRPr="00DD69AE">
        <w:rPr>
          <w:rFonts w:cs="Calibri"/>
          <w:sz w:val="24"/>
          <w:szCs w:val="24"/>
          <w:lang w:val="en-US"/>
        </w:rPr>
        <w:t xml:space="preserve"> The need for competent </w:t>
      </w:r>
      <w:proofErr w:type="spellStart"/>
      <w:r w:rsidRPr="00DD69AE">
        <w:rPr>
          <w:rFonts w:cs="Calibri"/>
          <w:sz w:val="24"/>
          <w:szCs w:val="24"/>
          <w:lang w:val="en-US"/>
        </w:rPr>
        <w:t>podestà</w:t>
      </w:r>
      <w:proofErr w:type="spellEnd"/>
      <w:r w:rsidRPr="00DD69AE">
        <w:rPr>
          <w:rFonts w:cs="Calibri"/>
          <w:sz w:val="24"/>
          <w:szCs w:val="24"/>
          <w:lang w:val="en-US"/>
        </w:rPr>
        <w:t xml:space="preserve"> produced a competitive market, with some cities even offering bonus payments to secure good candidates.</w:t>
      </w:r>
      <w:r w:rsidRPr="00DD69AE">
        <w:rPr>
          <w:rStyle w:val="FootnoteReference"/>
          <w:rFonts w:cs="Calibri"/>
          <w:sz w:val="24"/>
          <w:szCs w:val="24"/>
          <w:lang w:val="en-US"/>
        </w:rPr>
        <w:footnoteReference w:id="16"/>
      </w:r>
      <w:r w:rsidRPr="00DD69AE">
        <w:rPr>
          <w:rFonts w:cs="Calibri"/>
          <w:sz w:val="24"/>
          <w:szCs w:val="24"/>
          <w:lang w:val="en-US"/>
        </w:rPr>
        <w:t xml:space="preserve"> This system of administering justice largely remained in place across the late medieval period, despite political changes and the development in certain city-states of specialized courts or systems of appeal.</w:t>
      </w:r>
      <w:r w:rsidRPr="00DD69AE">
        <w:rPr>
          <w:rFonts w:cs="Calibri"/>
          <w:color w:val="000000"/>
          <w:sz w:val="24"/>
          <w:szCs w:val="24"/>
          <w:lang w:val="en-US"/>
        </w:rPr>
        <w:t xml:space="preserve"> This therefore was the regime that pertained at the time of Boccaccio’s </w:t>
      </w:r>
      <w:r w:rsidRPr="00DD69AE">
        <w:rPr>
          <w:rFonts w:cs="Calibri"/>
          <w:i/>
          <w:color w:val="000000"/>
          <w:sz w:val="24"/>
          <w:szCs w:val="24"/>
          <w:lang w:val="en-US"/>
        </w:rPr>
        <w:t>Decameron</w:t>
      </w:r>
      <w:r w:rsidRPr="00DD69AE">
        <w:rPr>
          <w:rFonts w:cs="Calibri"/>
          <w:color w:val="000000"/>
          <w:sz w:val="24"/>
          <w:szCs w:val="24"/>
          <w:lang w:val="en-US"/>
        </w:rPr>
        <w:t>.</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ind w:left="720"/>
        <w:rPr>
          <w:rFonts w:ascii="Calibri" w:hAnsi="Calibri"/>
          <w:sz w:val="24"/>
          <w:szCs w:val="24"/>
          <w:lang w:val="en-US"/>
        </w:rPr>
      </w:pPr>
      <w:r w:rsidRPr="00DD69AE">
        <w:rPr>
          <w:rFonts w:ascii="Calibri" w:hAnsi="Calibri"/>
          <w:sz w:val="24"/>
          <w:szCs w:val="24"/>
          <w:lang w:val="en-US"/>
        </w:rPr>
        <w:t xml:space="preserve">And because of their … avarice, they </w:t>
      </w:r>
      <w:r>
        <w:rPr>
          <w:rFonts w:ascii="Calibri" w:hAnsi="Calibri"/>
          <w:sz w:val="24"/>
          <w:szCs w:val="24"/>
          <w:lang w:val="en-US"/>
        </w:rPr>
        <w:t>[</w:t>
      </w:r>
      <w:r w:rsidRPr="00DD69AE">
        <w:rPr>
          <w:rFonts w:cs="Calibri"/>
          <w:sz w:val="24"/>
          <w:szCs w:val="24"/>
          <w:lang w:val="en-US"/>
        </w:rPr>
        <w:t xml:space="preserve">the </w:t>
      </w:r>
      <w:proofErr w:type="spellStart"/>
      <w:r w:rsidRPr="00DD69AE">
        <w:rPr>
          <w:rFonts w:cs="Calibri"/>
          <w:sz w:val="24"/>
          <w:szCs w:val="24"/>
          <w:lang w:val="en-US"/>
        </w:rPr>
        <w:t>podestà</w:t>
      </w:r>
      <w:proofErr w:type="spellEnd"/>
      <w:r>
        <w:rPr>
          <w:rFonts w:ascii="Calibri" w:hAnsi="Calibri"/>
          <w:sz w:val="24"/>
          <w:szCs w:val="24"/>
          <w:lang w:val="en-US"/>
        </w:rPr>
        <w:t xml:space="preserve">] </w:t>
      </w:r>
      <w:r w:rsidRPr="00DD69AE">
        <w:rPr>
          <w:rFonts w:ascii="Calibri" w:hAnsi="Calibri"/>
          <w:sz w:val="24"/>
          <w:szCs w:val="24"/>
          <w:lang w:val="en-US"/>
        </w:rPr>
        <w:t>bring with them judges and notaries who seem to have been brought up behind a plough or recruited from a cobbler’s shop rather than from any of the schools of law”.</w:t>
      </w:r>
    </w:p>
    <w:p w:rsidR="00AC655F" w:rsidRPr="00DD69AE" w:rsidRDefault="00AC655F" w:rsidP="00AC655F">
      <w:pPr>
        <w:spacing w:after="0" w:line="480" w:lineRule="auto"/>
        <w:rPr>
          <w:sz w:val="24"/>
          <w:szCs w:val="24"/>
          <w:lang w:val="en-US"/>
        </w:rPr>
      </w:pPr>
      <w:r w:rsidRPr="00DD69AE">
        <w:rPr>
          <w:rFonts w:cs="Calibri"/>
          <w:sz w:val="24"/>
          <w:szCs w:val="24"/>
          <w:lang w:val="en-US"/>
        </w:rPr>
        <w:t xml:space="preserve">As this opening paragraph of </w:t>
      </w:r>
      <w:proofErr w:type="spellStart"/>
      <w:r w:rsidRPr="00DD69AE">
        <w:rPr>
          <w:rFonts w:cs="Calibri"/>
          <w:sz w:val="24"/>
          <w:szCs w:val="24"/>
          <w:lang w:val="en-US"/>
        </w:rPr>
        <w:t>Filostrato’s</w:t>
      </w:r>
      <w:proofErr w:type="spellEnd"/>
      <w:r w:rsidRPr="00DD69AE">
        <w:rPr>
          <w:rFonts w:cs="Calibri"/>
          <w:sz w:val="24"/>
          <w:szCs w:val="24"/>
          <w:lang w:val="en-US"/>
        </w:rPr>
        <w:t xml:space="preserve"> tale in Day VIII, 5 makes clear, the </w:t>
      </w:r>
      <w:proofErr w:type="spellStart"/>
      <w:r w:rsidRPr="00DD69AE">
        <w:rPr>
          <w:rFonts w:cs="Calibri"/>
          <w:sz w:val="24"/>
          <w:szCs w:val="24"/>
          <w:lang w:val="en-US"/>
        </w:rPr>
        <w:t>podestà</w:t>
      </w:r>
      <w:proofErr w:type="spellEnd"/>
      <w:r w:rsidRPr="00DD69AE">
        <w:rPr>
          <w:rFonts w:cs="Calibri"/>
          <w:sz w:val="24"/>
          <w:szCs w:val="24"/>
          <w:lang w:val="en-US"/>
        </w:rPr>
        <w:t xml:space="preserve"> was expected to bring amongst his retinue, and maintain at his expense, officials necessary to perform his role. This included judges (although the</w:t>
      </w:r>
      <w:r w:rsidRPr="00DD69AE">
        <w:rPr>
          <w:rFonts w:cs="Calibri"/>
          <w:color w:val="000000"/>
          <w:sz w:val="24"/>
          <w:szCs w:val="24"/>
          <w:lang w:val="en-US"/>
        </w:rPr>
        <w:t xml:space="preserve"> </w:t>
      </w:r>
      <w:proofErr w:type="spellStart"/>
      <w:r w:rsidRPr="00DD69AE">
        <w:rPr>
          <w:rFonts w:cs="Calibri"/>
          <w:sz w:val="24"/>
          <w:szCs w:val="24"/>
          <w:lang w:val="en-US"/>
        </w:rPr>
        <w:t>podestà</w:t>
      </w:r>
      <w:proofErr w:type="spellEnd"/>
      <w:r w:rsidRPr="00DD69AE">
        <w:rPr>
          <w:rFonts w:cs="Calibri"/>
          <w:sz w:val="24"/>
          <w:szCs w:val="24"/>
          <w:lang w:val="en-US"/>
        </w:rPr>
        <w:t xml:space="preserve"> himself acted as judge in some cases), notaries, and other ‘law-enforcement’ officers. Such a system ensured that a relatively small body of highly professional, learned, skilled and experienced officials was involved in frequent movement between the city-states across the region. In part this was aided by the fact that at this time, “the cities of the center and north of Italy shared a roughly similar judicial structure and similar judicial procedures”.</w:t>
      </w:r>
      <w:r w:rsidRPr="00DD69AE">
        <w:rPr>
          <w:rStyle w:val="FootnoteReference"/>
          <w:rFonts w:cs="Calibri"/>
          <w:sz w:val="24"/>
          <w:szCs w:val="24"/>
          <w:lang w:val="en-US"/>
        </w:rPr>
        <w:footnoteReference w:id="17"/>
      </w:r>
      <w:r w:rsidRPr="00DD69AE">
        <w:rPr>
          <w:rFonts w:cs="Calibri"/>
          <w:sz w:val="24"/>
          <w:szCs w:val="24"/>
          <w:lang w:val="en-US"/>
        </w:rPr>
        <w:t xml:space="preserve"> Given the limited terms of office, often only 6 or twelve months, the mobility of many of the officials of law enforcement may have ensured transmission of certain practices across northern Italy.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Implicit in the critical tone in the opening paragraph of Day VIII, 5, is an expectation that the judges and notaries would have some form of legal education, having studied at one of the schools of law. The thirteenth century in northern Italy saw a significant increase in legal infrastructure. Concomitant with the increased role of governmental authorities in matters of justice goes an increased need for suitably qualified legal professionals familiar with the language of the law, its rules and processes, to ‘translate’ academic law into a justice system: to initiate legal proceedings, to investigate allegations, to hear and weigh evidence, to examine the accused and others, to pronounce decisions, and enforce sentences. Those educated in the schools of law, and the nascent universities, could fill that gap.</w:t>
      </w:r>
      <w:r w:rsidRPr="00DD69AE">
        <w:rPr>
          <w:rStyle w:val="FootnoteReference"/>
          <w:rFonts w:cs="Calibri"/>
          <w:sz w:val="24"/>
          <w:szCs w:val="24"/>
          <w:lang w:val="en-US"/>
        </w:rPr>
        <w:footnoteReference w:id="18"/>
      </w:r>
      <w:r w:rsidRPr="00DD69AE">
        <w:rPr>
          <w:rFonts w:cs="Calibri"/>
          <w:sz w:val="24"/>
          <w:szCs w:val="24"/>
          <w:lang w:val="en-US"/>
        </w:rPr>
        <w:t xml:space="preserve"> The substance of the materials studied in the schools was the </w:t>
      </w:r>
      <w:proofErr w:type="spellStart"/>
      <w:r w:rsidRPr="00DD69AE">
        <w:rPr>
          <w:rFonts w:cs="Calibri"/>
          <w:i/>
          <w:sz w:val="24"/>
          <w:szCs w:val="24"/>
          <w:lang w:val="en-US"/>
        </w:rPr>
        <w:t>ius</w:t>
      </w:r>
      <w:proofErr w:type="spellEnd"/>
      <w:r w:rsidRPr="00DD69AE">
        <w:rPr>
          <w:rFonts w:cs="Calibri"/>
          <w:i/>
          <w:sz w:val="24"/>
          <w:szCs w:val="24"/>
          <w:lang w:val="en-US"/>
        </w:rPr>
        <w:t xml:space="preserve"> commune</w:t>
      </w:r>
      <w:r w:rsidRPr="00DD69AE">
        <w:rPr>
          <w:rFonts w:cs="Calibri"/>
          <w:sz w:val="24"/>
          <w:szCs w:val="24"/>
          <w:lang w:val="en-US"/>
        </w:rPr>
        <w:t xml:space="preserve">, which underpinned contemporary legal practice. This combined principles and norms drawn from the </w:t>
      </w:r>
      <w:r w:rsidRPr="00DD69AE">
        <w:rPr>
          <w:rFonts w:cs="Calibri"/>
          <w:i/>
          <w:sz w:val="24"/>
          <w:szCs w:val="24"/>
          <w:lang w:val="en-US"/>
        </w:rPr>
        <w:t xml:space="preserve">corpus </w:t>
      </w:r>
      <w:proofErr w:type="spellStart"/>
      <w:r w:rsidRPr="00DD69AE">
        <w:rPr>
          <w:rFonts w:cs="Calibri"/>
          <w:i/>
          <w:sz w:val="24"/>
          <w:szCs w:val="24"/>
          <w:lang w:val="en-US"/>
        </w:rPr>
        <w:t>iuris</w:t>
      </w:r>
      <w:proofErr w:type="spellEnd"/>
      <w:r w:rsidRPr="00DD69AE">
        <w:rPr>
          <w:rFonts w:cs="Calibri"/>
          <w:i/>
          <w:sz w:val="24"/>
          <w:szCs w:val="24"/>
          <w:lang w:val="en-US"/>
        </w:rPr>
        <w:t xml:space="preserve"> </w:t>
      </w:r>
      <w:proofErr w:type="spellStart"/>
      <w:r w:rsidRPr="00DD69AE">
        <w:rPr>
          <w:rFonts w:cs="Calibri"/>
          <w:i/>
          <w:sz w:val="24"/>
          <w:szCs w:val="24"/>
          <w:lang w:val="en-US"/>
        </w:rPr>
        <w:t>canonici</w:t>
      </w:r>
      <w:proofErr w:type="spellEnd"/>
      <w:r w:rsidRPr="00DD69AE">
        <w:rPr>
          <w:rFonts w:cs="Calibri"/>
          <w:i/>
          <w:sz w:val="24"/>
          <w:szCs w:val="24"/>
          <w:lang w:val="en-US"/>
        </w:rPr>
        <w:t xml:space="preserve"> </w:t>
      </w:r>
      <w:r w:rsidRPr="00DD69AE">
        <w:rPr>
          <w:rFonts w:cs="Calibri"/>
          <w:sz w:val="24"/>
          <w:szCs w:val="24"/>
          <w:lang w:val="en-US"/>
        </w:rPr>
        <w:t>(the collection of significant sources of canon law based mainly on papal decretals and promulgations) and</w:t>
      </w:r>
      <w:r w:rsidRPr="00DD69AE">
        <w:rPr>
          <w:rFonts w:cs="Calibri"/>
          <w:i/>
          <w:sz w:val="24"/>
          <w:szCs w:val="24"/>
          <w:lang w:val="en-US"/>
        </w:rPr>
        <w:t xml:space="preserve"> corpus </w:t>
      </w:r>
      <w:proofErr w:type="spellStart"/>
      <w:r w:rsidRPr="00DD69AE">
        <w:rPr>
          <w:rFonts w:cs="Calibri"/>
          <w:i/>
          <w:sz w:val="24"/>
          <w:szCs w:val="24"/>
          <w:lang w:val="en-US"/>
        </w:rPr>
        <w:t>iuris</w:t>
      </w:r>
      <w:proofErr w:type="spellEnd"/>
      <w:r w:rsidRPr="00DD69AE">
        <w:rPr>
          <w:rFonts w:cs="Calibri"/>
          <w:i/>
          <w:sz w:val="24"/>
          <w:szCs w:val="24"/>
          <w:lang w:val="en-US"/>
        </w:rPr>
        <w:t xml:space="preserve"> </w:t>
      </w:r>
      <w:proofErr w:type="spellStart"/>
      <w:r w:rsidRPr="00DD69AE">
        <w:rPr>
          <w:rFonts w:cs="Calibri"/>
          <w:i/>
          <w:sz w:val="24"/>
          <w:szCs w:val="24"/>
          <w:lang w:val="en-US"/>
        </w:rPr>
        <w:t>civilis</w:t>
      </w:r>
      <w:proofErr w:type="spellEnd"/>
      <w:r w:rsidRPr="00DD69AE">
        <w:rPr>
          <w:rFonts w:cs="Calibri"/>
          <w:i/>
          <w:sz w:val="24"/>
          <w:szCs w:val="24"/>
          <w:lang w:val="en-US"/>
        </w:rPr>
        <w:t xml:space="preserve"> </w:t>
      </w:r>
      <w:r w:rsidRPr="00DD69AE">
        <w:rPr>
          <w:rFonts w:cs="Calibri"/>
          <w:sz w:val="24"/>
          <w:szCs w:val="24"/>
          <w:lang w:val="en-US"/>
        </w:rPr>
        <w:t>(which forms the basis of Latin jurisprudence), as mediated through commentaries and the schools of law.</w:t>
      </w:r>
      <w:r w:rsidRPr="00DD69AE">
        <w:rPr>
          <w:rStyle w:val="FootnoteReference"/>
          <w:rFonts w:cs="Calibri"/>
          <w:sz w:val="24"/>
          <w:szCs w:val="24"/>
          <w:lang w:val="en-US"/>
        </w:rPr>
        <w:footnoteReference w:id="19"/>
      </w:r>
      <w:r w:rsidRPr="00DD69AE">
        <w:rPr>
          <w:rFonts w:cs="Calibri"/>
          <w:sz w:val="24"/>
          <w:szCs w:val="24"/>
          <w:lang w:val="en-US"/>
        </w:rPr>
        <w:t xml:space="preserve"> Remember that this legal education was something with which Giovanni Boccaccio </w:t>
      </w:r>
      <w:proofErr w:type="gramStart"/>
      <w:r w:rsidRPr="00DD69AE">
        <w:rPr>
          <w:rFonts w:cs="Calibri"/>
          <w:sz w:val="24"/>
          <w:szCs w:val="24"/>
          <w:lang w:val="en-US"/>
        </w:rPr>
        <w:t>himself</w:t>
      </w:r>
      <w:proofErr w:type="gramEnd"/>
      <w:r w:rsidRPr="00DD69AE">
        <w:rPr>
          <w:rFonts w:cs="Calibri"/>
          <w:sz w:val="24"/>
          <w:szCs w:val="24"/>
          <w:lang w:val="en-US"/>
        </w:rPr>
        <w:t xml:space="preserve"> would have been aware, having studied canon law at one time.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In Paul </w:t>
      </w:r>
      <w:proofErr w:type="spellStart"/>
      <w:r w:rsidRPr="00DD69AE">
        <w:rPr>
          <w:rFonts w:cs="Calibri"/>
          <w:sz w:val="24"/>
          <w:szCs w:val="24"/>
          <w:lang w:val="en-US"/>
        </w:rPr>
        <w:t>Hyams’s</w:t>
      </w:r>
      <w:proofErr w:type="spellEnd"/>
      <w:r w:rsidRPr="00DD69AE">
        <w:rPr>
          <w:rFonts w:cs="Calibri"/>
          <w:sz w:val="24"/>
          <w:szCs w:val="24"/>
          <w:lang w:val="en-US"/>
        </w:rPr>
        <w:t xml:space="preserve"> view, “the emergence of a new breed of schools-trained lawyers may claim to be one of the most important consequences of the medieval legal revolution”.</w:t>
      </w:r>
      <w:r w:rsidRPr="00DD69AE">
        <w:rPr>
          <w:rStyle w:val="FootnoteReference"/>
          <w:rFonts w:cs="Calibri"/>
          <w:sz w:val="24"/>
          <w:szCs w:val="24"/>
          <w:lang w:val="en-US"/>
        </w:rPr>
        <w:footnoteReference w:id="20"/>
      </w:r>
      <w:r w:rsidRPr="00DD69AE">
        <w:rPr>
          <w:rFonts w:cs="Calibri"/>
          <w:sz w:val="24"/>
          <w:szCs w:val="24"/>
          <w:lang w:val="en-US"/>
        </w:rPr>
        <w:t xml:space="preserve"> The birth of a legal profession in a recognizably modern sense can be dated to this period, as the rise of the study of law in universities contributed to the intellectualizing of the law and the </w:t>
      </w:r>
      <w:r w:rsidRPr="00DD69AE">
        <w:rPr>
          <w:rFonts w:cs="Calibri"/>
          <w:sz w:val="24"/>
          <w:szCs w:val="24"/>
          <w:lang w:val="en-US"/>
        </w:rPr>
        <w:lastRenderedPageBreak/>
        <w:t>development of ethical standards of behavior among legal professionals.</w:t>
      </w:r>
      <w:r w:rsidRPr="00DD69AE">
        <w:rPr>
          <w:rStyle w:val="FootnoteReference"/>
          <w:rFonts w:cs="Calibri"/>
          <w:sz w:val="24"/>
          <w:szCs w:val="24"/>
          <w:lang w:val="en-US"/>
        </w:rPr>
        <w:footnoteReference w:id="21"/>
      </w:r>
      <w:r w:rsidRPr="00DD69AE">
        <w:rPr>
          <w:rFonts w:cs="Calibri"/>
          <w:sz w:val="24"/>
          <w:szCs w:val="24"/>
          <w:lang w:val="en-US"/>
        </w:rPr>
        <w:t xml:space="preserve"> The opening paragraph of the tale </w:t>
      </w:r>
      <w:r w:rsidRPr="00DD69AE">
        <w:rPr>
          <w:rFonts w:ascii="Calibri" w:hAnsi="Calibri"/>
          <w:sz w:val="24"/>
          <w:szCs w:val="24"/>
          <w:lang w:val="en-US"/>
        </w:rPr>
        <w:t xml:space="preserve">told in the Fifth Story of the Eighth Day </w:t>
      </w:r>
      <w:r w:rsidRPr="00DD69AE">
        <w:rPr>
          <w:rFonts w:cs="Calibri"/>
          <w:sz w:val="24"/>
          <w:szCs w:val="24"/>
          <w:lang w:val="en-US"/>
        </w:rPr>
        <w:t xml:space="preserve">reveals certain contemporary expectations of judges and other legal professionals, possibly reflecting this background.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To continue, </w:t>
      </w:r>
    </w:p>
    <w:p w:rsidR="00AC655F" w:rsidRPr="00DD69AE" w:rsidRDefault="00AC655F" w:rsidP="00AC655F">
      <w:pPr>
        <w:spacing w:after="0" w:line="480" w:lineRule="auto"/>
        <w:ind w:left="720"/>
        <w:rPr>
          <w:sz w:val="24"/>
          <w:szCs w:val="24"/>
          <w:lang w:val="en-US"/>
        </w:rPr>
      </w:pPr>
      <w:r w:rsidRPr="00DD69AE">
        <w:rPr>
          <w:sz w:val="24"/>
          <w:szCs w:val="24"/>
          <w:lang w:val="en-US"/>
        </w:rPr>
        <w:t xml:space="preserve">“one of these March-men came here once to take up his appointment as </w:t>
      </w:r>
      <w:proofErr w:type="spellStart"/>
      <w:r w:rsidRPr="00DD69AE">
        <w:rPr>
          <w:sz w:val="24"/>
          <w:szCs w:val="24"/>
          <w:lang w:val="en-US"/>
        </w:rPr>
        <w:t>podestà</w:t>
      </w:r>
      <w:proofErr w:type="spellEnd"/>
      <w:r w:rsidRPr="00DD69AE">
        <w:rPr>
          <w:sz w:val="24"/>
          <w:szCs w:val="24"/>
          <w:lang w:val="en-US"/>
        </w:rPr>
        <w:t xml:space="preserve">, and among the numerous judges he brought with him, there was one called Messer </w:t>
      </w:r>
      <w:proofErr w:type="spellStart"/>
      <w:r w:rsidRPr="00DD69AE">
        <w:rPr>
          <w:sz w:val="24"/>
          <w:szCs w:val="24"/>
          <w:lang w:val="en-US"/>
        </w:rPr>
        <w:t>Niccola</w:t>
      </w:r>
      <w:proofErr w:type="spellEnd"/>
      <w:r w:rsidRPr="00DD69AE">
        <w:rPr>
          <w:sz w:val="24"/>
          <w:szCs w:val="24"/>
          <w:lang w:val="en-US"/>
        </w:rPr>
        <w:t xml:space="preserve"> da San </w:t>
      </w:r>
      <w:proofErr w:type="spellStart"/>
      <w:r w:rsidRPr="00DD69AE">
        <w:rPr>
          <w:sz w:val="24"/>
          <w:szCs w:val="24"/>
          <w:lang w:val="en-US"/>
        </w:rPr>
        <w:t>Leipidio</w:t>
      </w:r>
      <w:proofErr w:type="spellEnd"/>
      <w:r w:rsidRPr="00DD69AE">
        <w:rPr>
          <w:sz w:val="24"/>
          <w:szCs w:val="24"/>
          <w:lang w:val="en-US"/>
        </w:rPr>
        <w:t>, who looked more like a coppersmith than anything else, and he was assigned to the panel of judges that tried criminal cases.”</w:t>
      </w:r>
    </w:p>
    <w:p w:rsidR="00AC655F" w:rsidRPr="00DD69AE" w:rsidRDefault="00AC655F" w:rsidP="00AC655F">
      <w:pPr>
        <w:spacing w:after="0" w:line="480" w:lineRule="auto"/>
        <w:rPr>
          <w:sz w:val="24"/>
          <w:szCs w:val="24"/>
          <w:lang w:val="en-US"/>
        </w:rPr>
      </w:pPr>
      <w:r w:rsidRPr="00DD69AE">
        <w:rPr>
          <w:sz w:val="24"/>
          <w:szCs w:val="24"/>
          <w:lang w:val="en-US"/>
        </w:rPr>
        <w:t>So, we have here the introduction of the main legal c</w:t>
      </w:r>
      <w:r>
        <w:rPr>
          <w:sz w:val="24"/>
          <w:szCs w:val="24"/>
          <w:lang w:val="en-US"/>
        </w:rPr>
        <w:t xml:space="preserve">haracter in the tale, a judge. His name suggests that he originated from the small </w:t>
      </w:r>
      <w:r w:rsidRPr="00DD69AE">
        <w:rPr>
          <w:sz w:val="24"/>
          <w:szCs w:val="24"/>
          <w:lang w:val="en-US"/>
        </w:rPr>
        <w:t>coastal</w:t>
      </w:r>
      <w:r>
        <w:rPr>
          <w:sz w:val="24"/>
          <w:szCs w:val="24"/>
          <w:lang w:val="en-US"/>
        </w:rPr>
        <w:t xml:space="preserve"> town of </w:t>
      </w:r>
      <w:r w:rsidRPr="00DD69AE">
        <w:rPr>
          <w:sz w:val="24"/>
          <w:szCs w:val="24"/>
          <w:lang w:val="en-US"/>
        </w:rPr>
        <w:t xml:space="preserve">Porto </w:t>
      </w:r>
      <w:proofErr w:type="spellStart"/>
      <w:r w:rsidRPr="00DD69AE">
        <w:rPr>
          <w:sz w:val="24"/>
          <w:szCs w:val="24"/>
          <w:lang w:val="en-US"/>
        </w:rPr>
        <w:t>Sant'Elpidio</w:t>
      </w:r>
      <w:proofErr w:type="spellEnd"/>
      <w:r w:rsidRPr="0005500F">
        <w:rPr>
          <w:sz w:val="24"/>
          <w:szCs w:val="24"/>
          <w:lang w:val="en-US"/>
        </w:rPr>
        <w:t xml:space="preserve"> </w:t>
      </w:r>
      <w:r w:rsidRPr="00DD69AE">
        <w:rPr>
          <w:sz w:val="24"/>
          <w:szCs w:val="24"/>
          <w:lang w:val="en-US"/>
        </w:rPr>
        <w:t>in the Marche region. The sophisticated young men in the tale may well have regarded such a ‘provincia</w:t>
      </w:r>
      <w:r>
        <w:rPr>
          <w:sz w:val="24"/>
          <w:szCs w:val="24"/>
          <w:lang w:val="en-US"/>
        </w:rPr>
        <w:t>l’ character</w:t>
      </w:r>
      <w:r w:rsidRPr="00DD69AE">
        <w:rPr>
          <w:sz w:val="24"/>
          <w:szCs w:val="24"/>
          <w:lang w:val="en-US"/>
        </w:rPr>
        <w:t xml:space="preserve"> as unsuitable to hold the important office of judge in a</w:t>
      </w:r>
      <w:r>
        <w:rPr>
          <w:sz w:val="24"/>
          <w:szCs w:val="24"/>
          <w:lang w:val="en-US"/>
        </w:rPr>
        <w:t xml:space="preserve"> </w:t>
      </w:r>
      <w:r w:rsidRPr="00DD69AE">
        <w:rPr>
          <w:sz w:val="24"/>
          <w:szCs w:val="24"/>
          <w:lang w:val="en-US"/>
        </w:rPr>
        <w:t xml:space="preserve">city </w:t>
      </w:r>
      <w:r>
        <w:rPr>
          <w:sz w:val="24"/>
          <w:szCs w:val="24"/>
          <w:lang w:val="en-US"/>
        </w:rPr>
        <w:t>like</w:t>
      </w:r>
      <w:r w:rsidRPr="00DD69AE">
        <w:rPr>
          <w:sz w:val="24"/>
          <w:szCs w:val="24"/>
          <w:lang w:val="en-US"/>
        </w:rPr>
        <w:t xml:space="preserve"> Florence, with its strong civic and cultured identity.</w:t>
      </w:r>
      <w:r w:rsidRPr="00DD69AE">
        <w:rPr>
          <w:rFonts w:eastAsiaTheme="minorEastAsia" w:cs="Calibri"/>
          <w:sz w:val="24"/>
          <w:szCs w:val="24"/>
          <w:lang w:val="en-US" w:eastAsia="zh-CN"/>
        </w:rPr>
        <w:t xml:space="preserve">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Note that the paragraph indicates judges </w:t>
      </w:r>
      <w:r>
        <w:rPr>
          <w:sz w:val="24"/>
          <w:szCs w:val="24"/>
          <w:lang w:val="en-US"/>
        </w:rPr>
        <w:t xml:space="preserve">would be chosen to </w:t>
      </w:r>
      <w:r w:rsidRPr="00DD69AE">
        <w:rPr>
          <w:sz w:val="24"/>
          <w:szCs w:val="24"/>
          <w:lang w:val="en-US"/>
        </w:rPr>
        <w:t xml:space="preserve">try criminal or civil cases. In fact, Florence at this time had a relatively complex court system, including criminal courts, often overseen by the </w:t>
      </w:r>
      <w:proofErr w:type="spellStart"/>
      <w:r w:rsidRPr="00DD69AE">
        <w:rPr>
          <w:sz w:val="24"/>
          <w:szCs w:val="24"/>
          <w:lang w:val="en-US"/>
        </w:rPr>
        <w:t>podestà</w:t>
      </w:r>
      <w:proofErr w:type="spellEnd"/>
      <w:r w:rsidRPr="00DD69AE">
        <w:rPr>
          <w:sz w:val="24"/>
          <w:szCs w:val="24"/>
          <w:lang w:val="en-US"/>
        </w:rPr>
        <w:t xml:space="preserve"> or other civic officials.</w:t>
      </w:r>
      <w:r w:rsidRPr="00DD69AE">
        <w:rPr>
          <w:rStyle w:val="FootnoteReference"/>
          <w:sz w:val="24"/>
          <w:szCs w:val="24"/>
          <w:lang w:val="en-US"/>
        </w:rPr>
        <w:footnoteReference w:id="22"/>
      </w:r>
      <w:r w:rsidRPr="00DD69AE">
        <w:rPr>
          <w:sz w:val="24"/>
          <w:szCs w:val="24"/>
          <w:lang w:val="en-US"/>
        </w:rPr>
        <w:t xml:space="preserve"> In addition, there were ecclesiastical and civil courts, as well as local courts, and the courts operated by the guilds. </w:t>
      </w:r>
      <w:r w:rsidRPr="00DD69AE">
        <w:rPr>
          <w:rFonts w:cs="Calibri"/>
          <w:sz w:val="24"/>
          <w:szCs w:val="24"/>
          <w:lang w:val="en-US"/>
        </w:rPr>
        <w:t xml:space="preserve">To an extent, the Florentine communal authorities were prepared to delegate or share some of the responsibility for certain matters, including the settlement or arbitration of disputes, with these other fora, leaving the communal criminal courts </w:t>
      </w:r>
      <w:r w:rsidRPr="00DD69AE">
        <w:rPr>
          <w:sz w:val="24"/>
          <w:szCs w:val="24"/>
          <w:lang w:val="en-US"/>
        </w:rPr>
        <w:t>to deal with most serious crimes.</w:t>
      </w:r>
    </w:p>
    <w:p w:rsidR="00AC655F" w:rsidRPr="00DD69AE" w:rsidRDefault="00AC655F" w:rsidP="00AC655F">
      <w:pPr>
        <w:spacing w:after="0" w:line="480" w:lineRule="auto"/>
        <w:rPr>
          <w:sz w:val="24"/>
          <w:szCs w:val="24"/>
          <w:lang w:val="en-US"/>
        </w:rPr>
      </w:pPr>
    </w:p>
    <w:p w:rsidR="00AC655F" w:rsidRPr="00DD69AE" w:rsidRDefault="00AC655F" w:rsidP="00AC655F">
      <w:pPr>
        <w:pStyle w:val="FootnoteText"/>
        <w:spacing w:line="480" w:lineRule="auto"/>
        <w:rPr>
          <w:rFonts w:ascii="Calibri" w:hAnsi="Calibri"/>
          <w:sz w:val="24"/>
          <w:szCs w:val="24"/>
          <w:lang w:val="en-US"/>
        </w:rPr>
      </w:pPr>
      <w:r w:rsidRPr="00DD69AE">
        <w:rPr>
          <w:rFonts w:ascii="Calibri" w:hAnsi="Calibri"/>
          <w:sz w:val="24"/>
          <w:szCs w:val="24"/>
          <w:lang w:val="en-US"/>
        </w:rPr>
        <w:lastRenderedPageBreak/>
        <w:t>We then learn that “it frequently happens that people go to the law-courts who have no business to be there at all”: this indicates that the courts were open to the public (or at least possibly to certain parts of the population), and as “the courtroom was crowded”, the proceedings were sufficiently interesting, and intelligible to the layperson, that Florentine citizens would attend for interest or entertainment.</w:t>
      </w:r>
      <w:r>
        <w:rPr>
          <w:rStyle w:val="FootnoteReference"/>
          <w:rFonts w:ascii="Calibri" w:hAnsi="Calibri"/>
          <w:sz w:val="24"/>
          <w:szCs w:val="24"/>
          <w:lang w:val="en-US"/>
        </w:rPr>
        <w:footnoteReference w:id="23"/>
      </w:r>
      <w:r w:rsidRPr="00DD69AE">
        <w:rPr>
          <w:rFonts w:ascii="Calibri" w:hAnsi="Calibri"/>
          <w:sz w:val="24"/>
          <w:szCs w:val="24"/>
          <w:lang w:val="en-US"/>
        </w:rPr>
        <w:t xml:space="preserve"> In part, this may be attributable to the fact that courtrooms at this time were most often not in </w:t>
      </w:r>
      <w:r>
        <w:rPr>
          <w:rFonts w:ascii="Calibri" w:hAnsi="Calibri"/>
          <w:sz w:val="24"/>
          <w:szCs w:val="24"/>
          <w:lang w:val="en-US"/>
        </w:rPr>
        <w:t xml:space="preserve">independent </w:t>
      </w:r>
      <w:r w:rsidRPr="00DD69AE">
        <w:rPr>
          <w:rFonts w:ascii="Calibri" w:hAnsi="Calibri"/>
          <w:sz w:val="24"/>
          <w:szCs w:val="24"/>
          <w:lang w:val="en-US"/>
        </w:rPr>
        <w:t xml:space="preserve">purpose-built </w:t>
      </w:r>
      <w:r>
        <w:rPr>
          <w:rFonts w:ascii="Calibri" w:hAnsi="Calibri"/>
          <w:sz w:val="24"/>
          <w:szCs w:val="24"/>
          <w:lang w:val="en-US"/>
        </w:rPr>
        <w:t xml:space="preserve">court </w:t>
      </w:r>
      <w:r w:rsidRPr="00DD69AE">
        <w:rPr>
          <w:rFonts w:ascii="Calibri" w:hAnsi="Calibri"/>
          <w:sz w:val="24"/>
          <w:szCs w:val="24"/>
          <w:lang w:val="en-US"/>
        </w:rPr>
        <w:t>buildings, but were housed in existing civic buildings such as the town hall</w:t>
      </w:r>
      <w:r>
        <w:rPr>
          <w:rFonts w:ascii="Calibri" w:hAnsi="Calibri"/>
          <w:sz w:val="24"/>
          <w:szCs w:val="24"/>
          <w:lang w:val="en-US"/>
        </w:rPr>
        <w:t xml:space="preserve"> or communal </w:t>
      </w:r>
      <w:r w:rsidRPr="00F40507">
        <w:rPr>
          <w:rFonts w:ascii="Calibri" w:hAnsi="Calibri"/>
          <w:i/>
          <w:sz w:val="24"/>
          <w:szCs w:val="24"/>
          <w:lang w:val="en-US"/>
        </w:rPr>
        <w:t>palazzi</w:t>
      </w:r>
      <w:r>
        <w:rPr>
          <w:rFonts w:ascii="Calibri" w:hAnsi="Calibri"/>
          <w:sz w:val="24"/>
          <w:szCs w:val="24"/>
          <w:lang w:val="en-US"/>
        </w:rPr>
        <w:t xml:space="preserve"> (for example, the Palazzo </w:t>
      </w:r>
      <w:proofErr w:type="spellStart"/>
      <w:r>
        <w:rPr>
          <w:rFonts w:ascii="Calibri" w:hAnsi="Calibri"/>
          <w:sz w:val="24"/>
          <w:szCs w:val="24"/>
          <w:lang w:val="en-US"/>
        </w:rPr>
        <w:t>della</w:t>
      </w:r>
      <w:proofErr w:type="spellEnd"/>
      <w:r>
        <w:rPr>
          <w:rFonts w:ascii="Calibri" w:hAnsi="Calibri"/>
          <w:sz w:val="24"/>
          <w:szCs w:val="24"/>
          <w:lang w:val="en-US"/>
        </w:rPr>
        <w:t xml:space="preserve"> </w:t>
      </w:r>
      <w:proofErr w:type="spellStart"/>
      <w:r>
        <w:rPr>
          <w:rFonts w:ascii="Calibri" w:hAnsi="Calibri"/>
          <w:sz w:val="24"/>
          <w:szCs w:val="24"/>
          <w:lang w:val="en-US"/>
        </w:rPr>
        <w:t>Ragione</w:t>
      </w:r>
      <w:proofErr w:type="spellEnd"/>
      <w:r>
        <w:rPr>
          <w:rFonts w:ascii="Calibri" w:hAnsi="Calibri"/>
          <w:sz w:val="24"/>
          <w:szCs w:val="24"/>
          <w:lang w:val="en-US"/>
        </w:rPr>
        <w:t xml:space="preserve"> in Padua, or the Palazzo </w:t>
      </w:r>
      <w:proofErr w:type="spellStart"/>
      <w:r>
        <w:rPr>
          <w:rFonts w:ascii="Calibri" w:hAnsi="Calibri"/>
          <w:sz w:val="24"/>
          <w:szCs w:val="24"/>
          <w:lang w:val="en-US"/>
        </w:rPr>
        <w:t>Pubblico</w:t>
      </w:r>
      <w:proofErr w:type="spellEnd"/>
      <w:r>
        <w:rPr>
          <w:rFonts w:ascii="Calibri" w:hAnsi="Calibri"/>
          <w:sz w:val="24"/>
          <w:szCs w:val="24"/>
          <w:lang w:val="en-US"/>
        </w:rPr>
        <w:t xml:space="preserve"> in Siena)</w:t>
      </w:r>
      <w:r w:rsidRPr="00DD69AE">
        <w:rPr>
          <w:rFonts w:ascii="Calibri" w:hAnsi="Calibri"/>
          <w:sz w:val="24"/>
          <w:szCs w:val="24"/>
          <w:lang w:val="en-US"/>
        </w:rPr>
        <w:t>.</w:t>
      </w:r>
      <w:r>
        <w:rPr>
          <w:rStyle w:val="FootnoteReference"/>
          <w:rFonts w:ascii="Calibri" w:hAnsi="Calibri"/>
          <w:sz w:val="24"/>
          <w:szCs w:val="24"/>
          <w:lang w:val="en-US"/>
        </w:rPr>
        <w:footnoteReference w:id="24"/>
      </w:r>
      <w:r>
        <w:rPr>
          <w:rFonts w:ascii="Calibri" w:hAnsi="Calibri"/>
          <w:sz w:val="24"/>
          <w:szCs w:val="24"/>
          <w:lang w:val="en-US"/>
        </w:rPr>
        <w:t xml:space="preserve"> </w:t>
      </w:r>
      <w:r w:rsidRPr="003C4B57">
        <w:rPr>
          <w:sz w:val="24"/>
          <w:szCs w:val="24"/>
          <w:lang w:val="en"/>
        </w:rPr>
        <w:t xml:space="preserve">Such </w:t>
      </w:r>
      <w:r w:rsidRPr="003C4B57">
        <w:rPr>
          <w:sz w:val="24"/>
          <w:szCs w:val="24"/>
        </w:rPr>
        <w:t xml:space="preserve">multifunctional </w:t>
      </w:r>
      <w:r>
        <w:rPr>
          <w:sz w:val="24"/>
          <w:szCs w:val="24"/>
        </w:rPr>
        <w:t xml:space="preserve">public </w:t>
      </w:r>
      <w:r w:rsidRPr="003C4B57">
        <w:rPr>
          <w:sz w:val="24"/>
          <w:szCs w:val="24"/>
        </w:rPr>
        <w:t xml:space="preserve">buildings </w:t>
      </w:r>
      <w:r>
        <w:rPr>
          <w:sz w:val="24"/>
          <w:szCs w:val="24"/>
        </w:rPr>
        <w:t>could house political,</w:t>
      </w:r>
      <w:r w:rsidRPr="003C4B57">
        <w:rPr>
          <w:sz w:val="24"/>
          <w:szCs w:val="24"/>
        </w:rPr>
        <w:t xml:space="preserve"> administrative</w:t>
      </w:r>
      <w:r>
        <w:rPr>
          <w:sz w:val="24"/>
          <w:szCs w:val="24"/>
        </w:rPr>
        <w:t>, even commercial</w:t>
      </w:r>
      <w:r w:rsidRPr="003C4B57">
        <w:rPr>
          <w:sz w:val="24"/>
          <w:szCs w:val="24"/>
        </w:rPr>
        <w:t xml:space="preserve"> activities a</w:t>
      </w:r>
      <w:r>
        <w:rPr>
          <w:sz w:val="24"/>
          <w:szCs w:val="24"/>
        </w:rPr>
        <w:t>s well as</w:t>
      </w:r>
      <w:r w:rsidRPr="003C4B57">
        <w:rPr>
          <w:sz w:val="24"/>
          <w:szCs w:val="24"/>
        </w:rPr>
        <w:t xml:space="preserve"> judicial</w:t>
      </w:r>
      <w:r>
        <w:rPr>
          <w:sz w:val="24"/>
          <w:szCs w:val="24"/>
        </w:rPr>
        <w:t xml:space="preserve"> proceedings</w:t>
      </w:r>
      <w:r w:rsidRPr="003C4B57">
        <w:rPr>
          <w:sz w:val="24"/>
          <w:szCs w:val="24"/>
        </w:rPr>
        <w:t>.</w:t>
      </w:r>
      <w:r>
        <w:rPr>
          <w:sz w:val="24"/>
          <w:szCs w:val="24"/>
        </w:rPr>
        <w:t xml:space="preserve"> </w:t>
      </w:r>
      <w:r w:rsidRPr="00DD69AE">
        <w:rPr>
          <w:rFonts w:ascii="Calibri" w:hAnsi="Calibri"/>
          <w:sz w:val="24"/>
          <w:szCs w:val="24"/>
          <w:lang w:val="en-US"/>
        </w:rPr>
        <w:t xml:space="preserve">It was often the case that the </w:t>
      </w:r>
      <w:proofErr w:type="spellStart"/>
      <w:r w:rsidRPr="00DD69AE">
        <w:rPr>
          <w:rFonts w:ascii="Calibri" w:hAnsi="Calibri"/>
          <w:sz w:val="24"/>
          <w:szCs w:val="24"/>
          <w:lang w:val="en-US"/>
        </w:rPr>
        <w:t>podestà</w:t>
      </w:r>
      <w:proofErr w:type="spellEnd"/>
      <w:r w:rsidRPr="00DD69AE">
        <w:rPr>
          <w:rFonts w:ascii="Calibri" w:hAnsi="Calibri"/>
          <w:sz w:val="24"/>
          <w:szCs w:val="24"/>
          <w:lang w:val="en-US"/>
        </w:rPr>
        <w:t xml:space="preserve">, together with his judges, notaries and other officials, had to live in the town hall throughout his term of office. In Florence, there was a separate </w:t>
      </w:r>
      <w:r w:rsidRPr="00DD69AE">
        <w:rPr>
          <w:rFonts w:cs="Calibri"/>
          <w:sz w:val="24"/>
          <w:szCs w:val="24"/>
          <w:lang w:val="en-US"/>
        </w:rPr>
        <w:t>civic building,</w:t>
      </w:r>
      <w:r w:rsidRPr="00DD69AE">
        <w:rPr>
          <w:rFonts w:ascii="Calibri" w:hAnsi="Calibri"/>
          <w:sz w:val="24"/>
          <w:szCs w:val="24"/>
          <w:lang w:val="en-US"/>
        </w:rPr>
        <w:t xml:space="preserve"> the Bargello,</w:t>
      </w:r>
      <w:r w:rsidRPr="00DD69AE">
        <w:rPr>
          <w:rFonts w:cs="Calibri"/>
          <w:sz w:val="24"/>
          <w:szCs w:val="24"/>
          <w:lang w:val="en-US"/>
        </w:rPr>
        <w:t xml:space="preserve"> which housed not only the </w:t>
      </w:r>
      <w:proofErr w:type="spellStart"/>
      <w:r w:rsidRPr="00DD69AE">
        <w:rPr>
          <w:rFonts w:cs="Calibri"/>
          <w:sz w:val="24"/>
          <w:szCs w:val="24"/>
          <w:lang w:val="en-US"/>
        </w:rPr>
        <w:t>podestà</w:t>
      </w:r>
      <w:proofErr w:type="spellEnd"/>
      <w:r w:rsidRPr="00DD69AE">
        <w:rPr>
          <w:rFonts w:cs="Calibri"/>
          <w:sz w:val="24"/>
          <w:szCs w:val="24"/>
          <w:lang w:val="en-US"/>
        </w:rPr>
        <w:t xml:space="preserve"> but also the machinery of administering justice, including courtrooms, </w:t>
      </w:r>
      <w:r w:rsidRPr="00DD69AE">
        <w:rPr>
          <w:rFonts w:ascii="Calibri" w:hAnsi="Calibri"/>
          <w:sz w:val="24"/>
          <w:szCs w:val="24"/>
          <w:lang w:val="en-US"/>
        </w:rPr>
        <w:t>prison</w:t>
      </w:r>
      <w:r w:rsidRPr="00DD69AE">
        <w:rPr>
          <w:rFonts w:cs="Calibri"/>
          <w:sz w:val="24"/>
          <w:szCs w:val="24"/>
          <w:lang w:val="en-US"/>
        </w:rPr>
        <w:t xml:space="preserve"> cells</w:t>
      </w:r>
      <w:r w:rsidRPr="00DD69AE">
        <w:rPr>
          <w:rFonts w:ascii="Calibri" w:hAnsi="Calibri"/>
          <w:sz w:val="24"/>
          <w:szCs w:val="24"/>
          <w:lang w:val="en-US"/>
        </w:rPr>
        <w:t xml:space="preserve"> </w:t>
      </w:r>
      <w:r w:rsidRPr="00DD69AE">
        <w:rPr>
          <w:rFonts w:cs="Calibri"/>
          <w:sz w:val="24"/>
          <w:szCs w:val="24"/>
          <w:lang w:val="en-US"/>
        </w:rPr>
        <w:t>and</w:t>
      </w:r>
      <w:r w:rsidRPr="00DD69AE">
        <w:rPr>
          <w:rFonts w:ascii="Calibri" w:hAnsi="Calibri"/>
          <w:sz w:val="24"/>
          <w:szCs w:val="24"/>
          <w:lang w:val="en-US"/>
        </w:rPr>
        <w:t xml:space="preserve"> a chapel</w:t>
      </w:r>
      <w:r w:rsidRPr="00DD69AE">
        <w:rPr>
          <w:rFonts w:cs="Calibri"/>
          <w:sz w:val="24"/>
          <w:szCs w:val="24"/>
          <w:lang w:val="en-US"/>
        </w:rPr>
        <w:t>;</w:t>
      </w:r>
      <w:r w:rsidRPr="00DD69AE">
        <w:rPr>
          <w:rFonts w:ascii="Calibri" w:hAnsi="Calibri"/>
          <w:sz w:val="24"/>
          <w:szCs w:val="24"/>
          <w:lang w:val="en-US"/>
        </w:rPr>
        <w:t xml:space="preserve"> criminal trials could also be held here</w:t>
      </w:r>
      <w:r w:rsidRPr="00DD69AE">
        <w:rPr>
          <w:rFonts w:cs="Calibri"/>
          <w:sz w:val="24"/>
          <w:szCs w:val="24"/>
          <w:lang w:val="en-US"/>
        </w:rPr>
        <w:t>.</w:t>
      </w:r>
      <w:r w:rsidRPr="00DD69AE">
        <w:rPr>
          <w:rFonts w:ascii="Calibri" w:hAnsi="Calibri"/>
          <w:sz w:val="24"/>
          <w:szCs w:val="24"/>
          <w:lang w:val="en-US"/>
        </w:rPr>
        <w:t xml:space="preserve"> This is an imposing building, and easily defended by the </w:t>
      </w:r>
      <w:proofErr w:type="spellStart"/>
      <w:r w:rsidRPr="00DD69AE">
        <w:rPr>
          <w:rFonts w:ascii="Calibri" w:hAnsi="Calibri"/>
          <w:sz w:val="24"/>
          <w:szCs w:val="24"/>
          <w:lang w:val="en-US"/>
        </w:rPr>
        <w:t>podestà</w:t>
      </w:r>
      <w:proofErr w:type="spellEnd"/>
      <w:r w:rsidRPr="00DD69AE">
        <w:rPr>
          <w:rFonts w:ascii="Calibri" w:hAnsi="Calibri"/>
          <w:sz w:val="24"/>
          <w:szCs w:val="24"/>
          <w:lang w:val="en-US"/>
        </w:rPr>
        <w:t xml:space="preserve"> in times of unrest. The same can be said for the town hall in Florence, the Palazzo </w:t>
      </w:r>
      <w:proofErr w:type="spellStart"/>
      <w:r w:rsidRPr="00DD69AE">
        <w:rPr>
          <w:rFonts w:ascii="Calibri" w:hAnsi="Calibri"/>
          <w:sz w:val="24"/>
          <w:szCs w:val="24"/>
          <w:lang w:val="en-US"/>
        </w:rPr>
        <w:t>Vecchio</w:t>
      </w:r>
      <w:proofErr w:type="spellEnd"/>
      <w:r w:rsidRPr="00DD69AE">
        <w:rPr>
          <w:rFonts w:ascii="Calibri" w:hAnsi="Calibri"/>
          <w:sz w:val="24"/>
          <w:szCs w:val="24"/>
          <w:lang w:val="en-US"/>
        </w:rPr>
        <w:t xml:space="preserve"> (or ‘Old Palace’), also known as the Palazzo </w:t>
      </w:r>
      <w:proofErr w:type="spellStart"/>
      <w:r w:rsidRPr="00DD69AE">
        <w:rPr>
          <w:rFonts w:ascii="Calibri" w:hAnsi="Calibri"/>
          <w:sz w:val="24"/>
          <w:szCs w:val="24"/>
          <w:lang w:val="en-US"/>
        </w:rPr>
        <w:t>della</w:t>
      </w:r>
      <w:proofErr w:type="spellEnd"/>
      <w:r w:rsidRPr="00DD69AE">
        <w:rPr>
          <w:rFonts w:ascii="Calibri" w:hAnsi="Calibri"/>
          <w:sz w:val="24"/>
          <w:szCs w:val="24"/>
          <w:lang w:val="en-US"/>
        </w:rPr>
        <w:t xml:space="preserve"> </w:t>
      </w:r>
      <w:proofErr w:type="spellStart"/>
      <w:r w:rsidRPr="00DD69AE">
        <w:rPr>
          <w:rFonts w:ascii="Calibri" w:hAnsi="Calibri"/>
          <w:sz w:val="24"/>
          <w:szCs w:val="24"/>
          <w:lang w:val="en-US"/>
        </w:rPr>
        <w:t>Signoria</w:t>
      </w:r>
      <w:proofErr w:type="spellEnd"/>
      <w:r w:rsidRPr="00DD69AE">
        <w:rPr>
          <w:rFonts w:ascii="Calibri" w:hAnsi="Calibri"/>
          <w:sz w:val="24"/>
          <w:szCs w:val="24"/>
          <w:lang w:val="en-US"/>
        </w:rPr>
        <w:t xml:space="preserve">, </w:t>
      </w:r>
      <w:proofErr w:type="gramStart"/>
      <w:r w:rsidRPr="00DD69AE">
        <w:rPr>
          <w:rFonts w:ascii="Calibri" w:hAnsi="Calibri"/>
          <w:sz w:val="24"/>
          <w:szCs w:val="24"/>
          <w:lang w:val="en-US"/>
        </w:rPr>
        <w:t>located</w:t>
      </w:r>
      <w:proofErr w:type="gramEnd"/>
      <w:r w:rsidRPr="00DD69AE">
        <w:rPr>
          <w:rFonts w:ascii="Calibri" w:hAnsi="Calibri"/>
          <w:sz w:val="24"/>
          <w:szCs w:val="24"/>
          <w:lang w:val="en-US"/>
        </w:rPr>
        <w:t xml:space="preserve"> on the Piazza </w:t>
      </w:r>
      <w:proofErr w:type="spellStart"/>
      <w:r w:rsidRPr="00DD69AE">
        <w:rPr>
          <w:rFonts w:ascii="Calibri" w:hAnsi="Calibri"/>
          <w:sz w:val="24"/>
          <w:szCs w:val="24"/>
          <w:lang w:val="en-US"/>
        </w:rPr>
        <w:t>della</w:t>
      </w:r>
      <w:proofErr w:type="spellEnd"/>
      <w:r w:rsidRPr="00DD69AE">
        <w:rPr>
          <w:rFonts w:ascii="Calibri" w:hAnsi="Calibri"/>
          <w:sz w:val="24"/>
          <w:szCs w:val="24"/>
          <w:lang w:val="en-US"/>
        </w:rPr>
        <w:t xml:space="preserve"> </w:t>
      </w:r>
      <w:proofErr w:type="spellStart"/>
      <w:r w:rsidRPr="00DD69AE">
        <w:rPr>
          <w:rFonts w:ascii="Calibri" w:hAnsi="Calibri"/>
          <w:sz w:val="24"/>
          <w:szCs w:val="24"/>
          <w:lang w:val="en-US"/>
        </w:rPr>
        <w:t>Signoria</w:t>
      </w:r>
      <w:proofErr w:type="spellEnd"/>
      <w:r w:rsidRPr="00DD69AE">
        <w:rPr>
          <w:rFonts w:ascii="Calibri" w:hAnsi="Calibri"/>
          <w:sz w:val="24"/>
          <w:szCs w:val="24"/>
          <w:lang w:val="en-US"/>
        </w:rPr>
        <w:t xml:space="preserve"> which was at the center of Florentine political life. Legal proceedings could also be held in the Palazzo </w:t>
      </w:r>
      <w:proofErr w:type="spellStart"/>
      <w:r w:rsidRPr="00DD69AE">
        <w:rPr>
          <w:rFonts w:ascii="Calibri" w:hAnsi="Calibri"/>
          <w:sz w:val="24"/>
          <w:szCs w:val="24"/>
          <w:lang w:val="en-US"/>
        </w:rPr>
        <w:t>Vecchio</w:t>
      </w:r>
      <w:proofErr w:type="spellEnd"/>
      <w:r w:rsidRPr="00DD69AE">
        <w:rPr>
          <w:rFonts w:ascii="Calibri" w:hAnsi="Calibri"/>
          <w:sz w:val="24"/>
          <w:szCs w:val="24"/>
          <w:lang w:val="en-US"/>
        </w:rPr>
        <w:t xml:space="preserve">. People may therefore have chosen to visit the law court when otherwise engaged in the town hall, making it arguable that </w:t>
      </w:r>
      <w:proofErr w:type="spellStart"/>
      <w:r w:rsidRPr="00DD69AE">
        <w:rPr>
          <w:rFonts w:ascii="Calibri" w:hAnsi="Calibri"/>
          <w:sz w:val="24"/>
          <w:szCs w:val="24"/>
          <w:lang w:val="en-US"/>
        </w:rPr>
        <w:t>Filostrato’s</w:t>
      </w:r>
      <w:proofErr w:type="spellEnd"/>
      <w:r w:rsidRPr="00DD69AE">
        <w:rPr>
          <w:rFonts w:ascii="Calibri" w:hAnsi="Calibri"/>
          <w:sz w:val="24"/>
          <w:szCs w:val="24"/>
          <w:lang w:val="en-US"/>
        </w:rPr>
        <w:t xml:space="preserve"> tale is most likely set in a criminal court in the Palazzo </w:t>
      </w:r>
      <w:proofErr w:type="spellStart"/>
      <w:r w:rsidRPr="00DD69AE">
        <w:rPr>
          <w:rFonts w:ascii="Calibri" w:hAnsi="Calibri"/>
          <w:sz w:val="24"/>
          <w:szCs w:val="24"/>
          <w:lang w:val="en-US"/>
        </w:rPr>
        <w:t>Vecchio</w:t>
      </w:r>
      <w:proofErr w:type="spellEnd"/>
      <w:r w:rsidRPr="00DD69AE">
        <w:rPr>
          <w:rFonts w:ascii="Calibri" w:hAnsi="Calibri"/>
          <w:sz w:val="24"/>
          <w:szCs w:val="24"/>
          <w:lang w:val="en-US"/>
        </w:rPr>
        <w:t xml:space="preserve">. </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We do not know what such a law-court would have looked like. Florentine public buildings such as the Palazzo </w:t>
      </w:r>
      <w:proofErr w:type="spellStart"/>
      <w:r w:rsidRPr="00DD69AE">
        <w:rPr>
          <w:rFonts w:ascii="Calibri" w:hAnsi="Calibri"/>
          <w:sz w:val="24"/>
          <w:szCs w:val="24"/>
          <w:lang w:val="en-US"/>
        </w:rPr>
        <w:t>della</w:t>
      </w:r>
      <w:proofErr w:type="spellEnd"/>
      <w:r w:rsidRPr="00DD69AE">
        <w:rPr>
          <w:rFonts w:ascii="Calibri" w:hAnsi="Calibri"/>
          <w:sz w:val="24"/>
          <w:szCs w:val="24"/>
          <w:lang w:val="en-US"/>
        </w:rPr>
        <w:t xml:space="preserve"> </w:t>
      </w:r>
      <w:proofErr w:type="spellStart"/>
      <w:r w:rsidRPr="00DD69AE">
        <w:rPr>
          <w:rFonts w:ascii="Calibri" w:hAnsi="Calibri"/>
          <w:sz w:val="24"/>
          <w:szCs w:val="24"/>
          <w:lang w:val="en-US"/>
        </w:rPr>
        <w:t>Signoria</w:t>
      </w:r>
      <w:proofErr w:type="spellEnd"/>
      <w:r w:rsidRPr="00DD69AE">
        <w:rPr>
          <w:rFonts w:ascii="Calibri" w:hAnsi="Calibri"/>
          <w:sz w:val="24"/>
          <w:szCs w:val="24"/>
          <w:lang w:val="en-US"/>
        </w:rPr>
        <w:t xml:space="preserve"> or the Bargello have been subject to significant </w:t>
      </w:r>
      <w:r w:rsidRPr="00DD69AE">
        <w:rPr>
          <w:rFonts w:ascii="Calibri" w:hAnsi="Calibri"/>
          <w:sz w:val="24"/>
          <w:szCs w:val="24"/>
          <w:lang w:val="en-US"/>
        </w:rPr>
        <w:lastRenderedPageBreak/>
        <w:t xml:space="preserve">architectural and decorative alteration since the fourteenth century. There are few contemporary images of courtrooms, or scenes of the administration of justice. The tale itself offers some clues. We are told that the judge sat on </w:t>
      </w:r>
      <w:r>
        <w:rPr>
          <w:rFonts w:ascii="Calibri" w:hAnsi="Calibri"/>
          <w:sz w:val="24"/>
          <w:szCs w:val="24"/>
          <w:lang w:val="en-US"/>
        </w:rPr>
        <w:t xml:space="preserve">a platform, which </w:t>
      </w:r>
      <w:proofErr w:type="spellStart"/>
      <w:r>
        <w:rPr>
          <w:rFonts w:ascii="Calibri" w:hAnsi="Calibri"/>
          <w:sz w:val="24"/>
          <w:szCs w:val="24"/>
          <w:lang w:val="en-US"/>
        </w:rPr>
        <w:t>Maso’s</w:t>
      </w:r>
      <w:proofErr w:type="spellEnd"/>
      <w:r>
        <w:rPr>
          <w:rFonts w:ascii="Calibri" w:hAnsi="Calibri"/>
          <w:sz w:val="24"/>
          <w:szCs w:val="24"/>
          <w:lang w:val="en-US"/>
        </w:rPr>
        <w:t xml:space="preserve"> friend was able to conceal </w:t>
      </w:r>
      <w:proofErr w:type="gramStart"/>
      <w:r w:rsidRPr="00DD69AE">
        <w:rPr>
          <w:rFonts w:ascii="Calibri" w:hAnsi="Calibri"/>
          <w:sz w:val="24"/>
          <w:szCs w:val="24"/>
          <w:lang w:val="en-US"/>
        </w:rPr>
        <w:t>h</w:t>
      </w:r>
      <w:r>
        <w:rPr>
          <w:rFonts w:ascii="Calibri" w:hAnsi="Calibri"/>
          <w:sz w:val="24"/>
          <w:szCs w:val="24"/>
          <w:lang w:val="en-US"/>
        </w:rPr>
        <w:t>i</w:t>
      </w:r>
      <w:r w:rsidRPr="00DD69AE">
        <w:rPr>
          <w:rFonts w:ascii="Calibri" w:hAnsi="Calibri"/>
          <w:sz w:val="24"/>
          <w:szCs w:val="24"/>
          <w:lang w:val="en-US"/>
        </w:rPr>
        <w:t>msel</w:t>
      </w:r>
      <w:r>
        <w:rPr>
          <w:rFonts w:ascii="Calibri" w:hAnsi="Calibri"/>
          <w:sz w:val="24"/>
          <w:szCs w:val="24"/>
          <w:lang w:val="en-US"/>
        </w:rPr>
        <w:t>f</w:t>
      </w:r>
      <w:proofErr w:type="gramEnd"/>
      <w:r w:rsidRPr="00DD69AE">
        <w:rPr>
          <w:rFonts w:ascii="Calibri" w:hAnsi="Calibri"/>
          <w:sz w:val="24"/>
          <w:szCs w:val="24"/>
          <w:lang w:val="en-US"/>
        </w:rPr>
        <w:t xml:space="preserve"> beneath; the judge was, therefore, raised above the other participants in the court.</w:t>
      </w:r>
      <w:r w:rsidRPr="00DD69AE">
        <w:rPr>
          <w:rStyle w:val="FootnoteReference"/>
          <w:rFonts w:ascii="Calibri" w:hAnsi="Calibri"/>
          <w:sz w:val="24"/>
          <w:szCs w:val="24"/>
          <w:lang w:val="en-US"/>
        </w:rPr>
        <w:footnoteReference w:id="25"/>
      </w:r>
      <w:r w:rsidRPr="00DD69AE">
        <w:rPr>
          <w:rFonts w:ascii="Calibri" w:hAnsi="Calibri"/>
          <w:sz w:val="24"/>
          <w:szCs w:val="24"/>
          <w:lang w:val="en-US"/>
        </w:rPr>
        <w:t xml:space="preserve"> Some indication of the elevation may be derived from </w:t>
      </w:r>
      <w:proofErr w:type="spellStart"/>
      <w:r w:rsidRPr="00DD69AE">
        <w:rPr>
          <w:rFonts w:ascii="Calibri" w:hAnsi="Calibri"/>
          <w:sz w:val="24"/>
          <w:szCs w:val="24"/>
          <w:lang w:val="en-US"/>
        </w:rPr>
        <w:t>Matteuzzo’s</w:t>
      </w:r>
      <w:proofErr w:type="spellEnd"/>
      <w:r w:rsidRPr="00DD69AE">
        <w:rPr>
          <w:rFonts w:ascii="Calibri" w:hAnsi="Calibri"/>
          <w:sz w:val="24"/>
          <w:szCs w:val="24"/>
          <w:lang w:val="en-US"/>
        </w:rPr>
        <w:t xml:space="preserve"> having to crawl into the space beneath. This platform was made of wood, as the judge rested his feet on a plank with what was evidently quite a substantial hole in it, “through which a hand and an arm could be thrust with the greatest of ease”.</w:t>
      </w:r>
      <w:r w:rsidRPr="00DD69AE">
        <w:rPr>
          <w:rStyle w:val="FootnoteReference"/>
          <w:rFonts w:ascii="Calibri" w:hAnsi="Calibri"/>
          <w:sz w:val="24"/>
          <w:szCs w:val="24"/>
          <w:lang w:val="en-US"/>
        </w:rPr>
        <w:footnoteReference w:id="26"/>
      </w:r>
      <w:r w:rsidRPr="00DD69AE">
        <w:rPr>
          <w:rFonts w:ascii="Calibri" w:hAnsi="Calibri"/>
          <w:sz w:val="24"/>
          <w:szCs w:val="24"/>
          <w:lang w:val="en-US"/>
        </w:rPr>
        <w:t xml:space="preserve"> In addition, we know that </w:t>
      </w:r>
      <w:proofErr w:type="spellStart"/>
      <w:r w:rsidRPr="00DD69AE">
        <w:rPr>
          <w:rFonts w:ascii="Calibri" w:hAnsi="Calibri"/>
          <w:sz w:val="24"/>
          <w:szCs w:val="24"/>
          <w:lang w:val="en-US"/>
        </w:rPr>
        <w:t>Maso</w:t>
      </w:r>
      <w:proofErr w:type="spellEnd"/>
      <w:r w:rsidRPr="00DD69AE">
        <w:rPr>
          <w:rFonts w:ascii="Calibri" w:hAnsi="Calibri"/>
          <w:sz w:val="24"/>
          <w:szCs w:val="24"/>
          <w:lang w:val="en-US"/>
        </w:rPr>
        <w:t xml:space="preserve"> could see the clothing of the judge when he sat, suggesting that judges did not sit behind a closed-fronted desk-like structure. </w:t>
      </w:r>
      <w:proofErr w:type="spellStart"/>
      <w:r w:rsidRPr="00DD69AE">
        <w:rPr>
          <w:rFonts w:ascii="Calibri" w:hAnsi="Calibri"/>
          <w:sz w:val="24"/>
          <w:szCs w:val="24"/>
          <w:lang w:val="en-US"/>
        </w:rPr>
        <w:t>Maso</w:t>
      </w:r>
      <w:proofErr w:type="spellEnd"/>
      <w:r w:rsidRPr="00DD69AE">
        <w:rPr>
          <w:rFonts w:ascii="Calibri" w:hAnsi="Calibri"/>
          <w:sz w:val="24"/>
          <w:szCs w:val="24"/>
          <w:lang w:val="en-US"/>
        </w:rPr>
        <w:t xml:space="preserve"> and </w:t>
      </w:r>
      <w:proofErr w:type="spellStart"/>
      <w:r w:rsidRPr="00DD69AE">
        <w:rPr>
          <w:rFonts w:ascii="Calibri" w:hAnsi="Calibri"/>
          <w:sz w:val="24"/>
          <w:szCs w:val="24"/>
          <w:lang w:val="en-US"/>
        </w:rPr>
        <w:t>Ribi</w:t>
      </w:r>
      <w:proofErr w:type="spellEnd"/>
      <w:r w:rsidRPr="00DD69AE">
        <w:rPr>
          <w:rFonts w:ascii="Calibri" w:hAnsi="Calibri"/>
          <w:sz w:val="24"/>
          <w:szCs w:val="24"/>
          <w:lang w:val="en-US"/>
        </w:rPr>
        <w:t xml:space="preserve"> could approach the judge from either side to seize the hem of his robe, seemingly indicating that the platform was open to the sides.</w:t>
      </w:r>
      <w:r w:rsidRPr="00DD69AE">
        <w:rPr>
          <w:rStyle w:val="FootnoteReference"/>
          <w:rFonts w:ascii="Calibri" w:hAnsi="Calibri"/>
          <w:sz w:val="24"/>
          <w:szCs w:val="24"/>
          <w:lang w:val="en-US"/>
        </w:rPr>
        <w:footnoteReference w:id="27"/>
      </w:r>
      <w:r w:rsidRPr="00DD69AE">
        <w:rPr>
          <w:rFonts w:ascii="Calibri" w:hAnsi="Calibri"/>
          <w:sz w:val="24"/>
          <w:szCs w:val="24"/>
          <w:lang w:val="en-US"/>
        </w:rPr>
        <w:t xml:space="preserve"> We can perhaps therefore imagine that it was something like a wooden dais on which the judge would sit, behind an open-fronted table or desk. Judges often assumed a position which raised them above those to whom they handed down the law; a vast number of illuminated legal manuscripts feature the law-giver seated or standing on a higher level to the other figures in the scene.</w:t>
      </w:r>
      <w:r w:rsidRPr="00DD69AE">
        <w:rPr>
          <w:rStyle w:val="FootnoteReference"/>
          <w:rFonts w:ascii="Calibri" w:hAnsi="Calibri"/>
          <w:sz w:val="24"/>
          <w:szCs w:val="24"/>
          <w:lang w:val="en-US"/>
        </w:rPr>
        <w:footnoteReference w:id="28"/>
      </w:r>
      <w:r w:rsidRPr="00DD69AE">
        <w:rPr>
          <w:rFonts w:ascii="Calibri" w:hAnsi="Calibri"/>
          <w:sz w:val="24"/>
          <w:szCs w:val="24"/>
          <w:lang w:val="en-US"/>
        </w:rPr>
        <w:t xml:space="preserve"> Peter Goodrich has commented that a judge “needs to have a surrounding that will provide the symbolic means of rendering justice as distinct from some merely administrative act”.</w:t>
      </w:r>
      <w:r w:rsidRPr="00DD69AE">
        <w:rPr>
          <w:rStyle w:val="FootnoteReference"/>
          <w:rFonts w:ascii="Calibri" w:hAnsi="Calibri"/>
          <w:sz w:val="24"/>
          <w:szCs w:val="24"/>
          <w:lang w:val="en-US"/>
        </w:rPr>
        <w:footnoteReference w:id="29"/>
      </w:r>
      <w:r w:rsidRPr="00DD69AE">
        <w:rPr>
          <w:rFonts w:ascii="Calibri" w:hAnsi="Calibri"/>
          <w:sz w:val="24"/>
          <w:szCs w:val="24"/>
          <w:lang w:val="en-US"/>
        </w:rPr>
        <w:t xml:space="preserve"> How much more important would such surroundings be in a room intended not only as a courtroom? The raised platform, therefore, had a significant role to play as a visual manifestation of the elevated status of its occupant and their function. </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rFonts w:cs="Arial"/>
          <w:sz w:val="24"/>
          <w:szCs w:val="24"/>
          <w:lang w:val="en-US"/>
        </w:rPr>
      </w:pPr>
      <w:r w:rsidRPr="00DD69AE">
        <w:rPr>
          <w:sz w:val="24"/>
          <w:szCs w:val="24"/>
          <w:lang w:val="en-US"/>
        </w:rPr>
        <w:t xml:space="preserve">Here we also have the first complaint about the appearance of this particular judge, and the comparison to a coppersmith may be significant; this legal professional presents more like an artisan than the narrator indicates contemporary Florentines expect of their judges. The social distinction between legal </w:t>
      </w:r>
      <w:r w:rsidRPr="00DD69AE">
        <w:rPr>
          <w:rFonts w:cs="Arial"/>
          <w:sz w:val="24"/>
          <w:szCs w:val="24"/>
          <w:lang w:val="en-US"/>
        </w:rPr>
        <w:t>professionals and artisans was also evident in the guild system in Florence.</w:t>
      </w:r>
      <w:r w:rsidRPr="00DD69AE">
        <w:rPr>
          <w:rStyle w:val="FootnoteReference"/>
          <w:rFonts w:cs="Arial"/>
          <w:sz w:val="24"/>
          <w:szCs w:val="24"/>
          <w:lang w:val="en-US"/>
        </w:rPr>
        <w:footnoteReference w:id="30"/>
      </w:r>
      <w:r w:rsidRPr="00DD69AE">
        <w:rPr>
          <w:sz w:val="24"/>
          <w:szCs w:val="24"/>
          <w:lang w:val="en-US"/>
        </w:rPr>
        <w:t xml:space="preserve"> Judges and notaries in Florence were part of a guild, the </w:t>
      </w:r>
      <w:r w:rsidRPr="00DD69AE">
        <w:rPr>
          <w:i/>
          <w:sz w:val="24"/>
          <w:szCs w:val="24"/>
          <w:lang w:val="en-US"/>
        </w:rPr>
        <w:t xml:space="preserve">Arte de’ </w:t>
      </w:r>
      <w:proofErr w:type="spellStart"/>
      <w:r w:rsidRPr="00DD69AE">
        <w:rPr>
          <w:i/>
          <w:sz w:val="24"/>
          <w:szCs w:val="24"/>
          <w:lang w:val="en-US"/>
        </w:rPr>
        <w:t>Giudici</w:t>
      </w:r>
      <w:proofErr w:type="spellEnd"/>
      <w:r w:rsidRPr="00DD69AE">
        <w:rPr>
          <w:i/>
          <w:sz w:val="24"/>
          <w:szCs w:val="24"/>
          <w:lang w:val="en-US"/>
        </w:rPr>
        <w:t xml:space="preserve"> e </w:t>
      </w:r>
      <w:proofErr w:type="spellStart"/>
      <w:r w:rsidRPr="00DD69AE">
        <w:rPr>
          <w:i/>
          <w:sz w:val="24"/>
          <w:szCs w:val="24"/>
          <w:lang w:val="en-US"/>
        </w:rPr>
        <w:t>Notai</w:t>
      </w:r>
      <w:proofErr w:type="spellEnd"/>
      <w:r w:rsidRPr="00DD69AE">
        <w:rPr>
          <w:sz w:val="24"/>
          <w:szCs w:val="24"/>
          <w:lang w:val="en-US"/>
        </w:rPr>
        <w:t xml:space="preserve">, which </w:t>
      </w:r>
      <w:r w:rsidRPr="00DD69AE">
        <w:rPr>
          <w:rFonts w:cs="Arial"/>
          <w:sz w:val="24"/>
          <w:szCs w:val="24"/>
          <w:lang w:val="en-US"/>
        </w:rPr>
        <w:t xml:space="preserve">was the oldest and most distinguished of the </w:t>
      </w:r>
      <w:r w:rsidRPr="00DD69AE">
        <w:rPr>
          <w:rFonts w:cs="Tahoma"/>
          <w:sz w:val="24"/>
          <w:szCs w:val="24"/>
          <w:lang w:val="en-US"/>
        </w:rPr>
        <w:t>21 Guilds (7 major and 14 minor) that provided Florence with its system of government at that time</w:t>
      </w:r>
      <w:r w:rsidRPr="00DD69AE">
        <w:rPr>
          <w:rFonts w:cs="Arial"/>
          <w:sz w:val="24"/>
          <w:szCs w:val="24"/>
          <w:lang w:val="en-US"/>
        </w:rPr>
        <w:t xml:space="preserve">. </w:t>
      </w:r>
      <w:r w:rsidRPr="00DD69AE">
        <w:rPr>
          <w:rFonts w:cs="Calibri"/>
          <w:sz w:val="24"/>
          <w:szCs w:val="24"/>
          <w:lang w:val="en-US"/>
        </w:rPr>
        <w:t>The Guilds were civic, political, religious, and commercial bodies.</w:t>
      </w:r>
      <w:r w:rsidRPr="00DD69AE">
        <w:rPr>
          <w:rStyle w:val="googqs-tidbitgoogqs-tidbit-0googqs-tidbit-hilite"/>
          <w:rFonts w:cs="Calibri"/>
          <w:sz w:val="24"/>
          <w:szCs w:val="24"/>
          <w:lang w:val="en-US"/>
        </w:rPr>
        <w:t xml:space="preserve"> </w:t>
      </w:r>
      <w:r w:rsidRPr="00DD69AE">
        <w:rPr>
          <w:rFonts w:cs="Arial"/>
          <w:sz w:val="24"/>
          <w:szCs w:val="24"/>
          <w:lang w:val="en-US"/>
        </w:rPr>
        <w:t>However, and uniquely, the Guild of Judges and Notaries</w:t>
      </w:r>
      <w:r w:rsidRPr="00DD69AE">
        <w:rPr>
          <w:rFonts w:cs="Arial"/>
          <w:bCs/>
          <w:sz w:val="24"/>
          <w:szCs w:val="24"/>
          <w:lang w:val="en-US"/>
        </w:rPr>
        <w:t xml:space="preserve"> did</w:t>
      </w:r>
      <w:r w:rsidRPr="00DD69AE">
        <w:rPr>
          <w:rFonts w:cs="Arial"/>
          <w:sz w:val="24"/>
          <w:szCs w:val="24"/>
          <w:lang w:val="en-US"/>
        </w:rPr>
        <w:t xml:space="preserve"> not regulate commercial activity; instead it represented those in charge of administering the secular justice system: as such it was central to Florentine public life. A distinction between legal professionals and those engaged in commerce </w:t>
      </w:r>
      <w:r w:rsidRPr="00DD69AE">
        <w:rPr>
          <w:rFonts w:eastAsiaTheme="minorEastAsia" w:cs="Calibri"/>
          <w:sz w:val="24"/>
          <w:szCs w:val="24"/>
          <w:lang w:val="en-US" w:eastAsia="zh-CN"/>
        </w:rPr>
        <w:t xml:space="preserve">is evident in the requirement that to be listed in the rolls of the Florentine guild of judges and notaries, among the so-called judges, one had to have studied canon or civil law at an Italian university for at least 5 years, studying a curriculum known as a ‘studio </w:t>
      </w:r>
      <w:proofErr w:type="spellStart"/>
      <w:r w:rsidRPr="00DD69AE">
        <w:rPr>
          <w:rFonts w:eastAsiaTheme="minorEastAsia" w:cs="Calibri"/>
          <w:sz w:val="24"/>
          <w:szCs w:val="24"/>
          <w:lang w:val="en-US" w:eastAsia="zh-CN"/>
        </w:rPr>
        <w:t>generale</w:t>
      </w:r>
      <w:proofErr w:type="spellEnd"/>
      <w:r w:rsidRPr="00DD69AE">
        <w:rPr>
          <w:rFonts w:eastAsiaTheme="minorEastAsia" w:cs="Calibri"/>
          <w:sz w:val="24"/>
          <w:szCs w:val="24"/>
          <w:lang w:val="en-US" w:eastAsia="zh-CN"/>
        </w:rPr>
        <w:t>’ in law.</w:t>
      </w:r>
      <w:r w:rsidRPr="00DD69AE">
        <w:rPr>
          <w:rStyle w:val="FootnoteReference"/>
          <w:rFonts w:eastAsiaTheme="minorEastAsia" w:cs="Calibri"/>
          <w:sz w:val="24"/>
          <w:szCs w:val="24"/>
          <w:lang w:val="en-US" w:eastAsia="zh-CN"/>
        </w:rPr>
        <w:footnoteReference w:id="31"/>
      </w:r>
      <w:r w:rsidRPr="00DD69AE">
        <w:rPr>
          <w:rFonts w:eastAsiaTheme="minorEastAsia" w:cs="Calibri"/>
          <w:sz w:val="24"/>
          <w:szCs w:val="24"/>
          <w:lang w:val="en-US" w:eastAsia="zh-CN"/>
        </w:rPr>
        <w:t xml:space="preserve"> </w:t>
      </w:r>
      <w:r w:rsidRPr="00DD69AE">
        <w:rPr>
          <w:rFonts w:cs="Arial"/>
          <w:sz w:val="24"/>
          <w:szCs w:val="24"/>
          <w:lang w:val="en-US"/>
        </w:rPr>
        <w:t>C</w:t>
      </w:r>
      <w:r w:rsidRPr="00DD69AE">
        <w:rPr>
          <w:rFonts w:cs="Calibri"/>
          <w:sz w:val="24"/>
          <w:szCs w:val="24"/>
          <w:lang w:val="en-US"/>
        </w:rPr>
        <w:t xml:space="preserve">riminal judges appointed by or brought to Florence by a foreign </w:t>
      </w:r>
      <w:proofErr w:type="spellStart"/>
      <w:r w:rsidRPr="00DD69AE">
        <w:rPr>
          <w:sz w:val="24"/>
          <w:szCs w:val="24"/>
          <w:lang w:val="en-US"/>
        </w:rPr>
        <w:t>podestà</w:t>
      </w:r>
      <w:proofErr w:type="spellEnd"/>
      <w:r w:rsidRPr="00DD69AE">
        <w:rPr>
          <w:rFonts w:cs="Calibri"/>
          <w:sz w:val="24"/>
          <w:szCs w:val="24"/>
          <w:lang w:val="en-US"/>
        </w:rPr>
        <w:t xml:space="preserve"> would usually not be Florentine citizens and so not members of this guild, placing </w:t>
      </w:r>
      <w:r w:rsidRPr="00DD69AE">
        <w:rPr>
          <w:sz w:val="24"/>
          <w:szCs w:val="24"/>
          <w:lang w:val="en-US"/>
        </w:rPr>
        <w:t xml:space="preserve">Messer </w:t>
      </w:r>
      <w:proofErr w:type="spellStart"/>
      <w:r w:rsidRPr="00DD69AE">
        <w:rPr>
          <w:sz w:val="24"/>
          <w:szCs w:val="24"/>
          <w:lang w:val="en-US"/>
        </w:rPr>
        <w:t>Niccola</w:t>
      </w:r>
      <w:proofErr w:type="spellEnd"/>
      <w:r w:rsidRPr="00DD69AE">
        <w:rPr>
          <w:sz w:val="24"/>
          <w:szCs w:val="24"/>
          <w:lang w:val="en-US"/>
        </w:rPr>
        <w:t xml:space="preserve"> da San </w:t>
      </w:r>
      <w:proofErr w:type="spellStart"/>
      <w:r w:rsidRPr="00DD69AE">
        <w:rPr>
          <w:sz w:val="24"/>
          <w:szCs w:val="24"/>
          <w:lang w:val="en-US"/>
        </w:rPr>
        <w:t>Leipidio</w:t>
      </w:r>
      <w:proofErr w:type="spellEnd"/>
      <w:r w:rsidRPr="00DD69AE">
        <w:rPr>
          <w:sz w:val="24"/>
          <w:szCs w:val="24"/>
          <w:lang w:val="en-US"/>
        </w:rPr>
        <w:t xml:space="preserve"> outside contemporary expectations of Florentine legal professionals. </w:t>
      </w:r>
      <w:r w:rsidRPr="00DD69AE">
        <w:rPr>
          <w:rFonts w:eastAsiaTheme="minorEastAsia" w:cs="Calibri"/>
          <w:sz w:val="24"/>
          <w:szCs w:val="24"/>
          <w:lang w:val="en-US" w:eastAsia="zh-CN"/>
        </w:rPr>
        <w:t xml:space="preserve">This distancing </w:t>
      </w:r>
      <w:r w:rsidRPr="00DD69AE">
        <w:rPr>
          <w:rFonts w:cs="Arial"/>
          <w:sz w:val="24"/>
          <w:szCs w:val="24"/>
          <w:lang w:val="en-US"/>
        </w:rPr>
        <w:t xml:space="preserve">is also evident in the narrator’s disparaging reference to judges and notaries who looked like countrymen, or cobblers, and the comparison of </w:t>
      </w:r>
      <w:r w:rsidRPr="00DD69AE">
        <w:rPr>
          <w:sz w:val="24"/>
          <w:szCs w:val="24"/>
          <w:lang w:val="en-US"/>
        </w:rPr>
        <w:t xml:space="preserve">Messer </w:t>
      </w:r>
      <w:proofErr w:type="spellStart"/>
      <w:r w:rsidRPr="00DD69AE">
        <w:rPr>
          <w:sz w:val="24"/>
          <w:szCs w:val="24"/>
          <w:lang w:val="en-US"/>
        </w:rPr>
        <w:t>Niccola</w:t>
      </w:r>
      <w:proofErr w:type="spellEnd"/>
      <w:r w:rsidRPr="00DD69AE">
        <w:rPr>
          <w:sz w:val="24"/>
          <w:szCs w:val="24"/>
          <w:lang w:val="en-US"/>
        </w:rPr>
        <w:t xml:space="preserve"> da San </w:t>
      </w:r>
      <w:proofErr w:type="spellStart"/>
      <w:r w:rsidRPr="00DD69AE">
        <w:rPr>
          <w:sz w:val="24"/>
          <w:szCs w:val="24"/>
          <w:lang w:val="en-US"/>
        </w:rPr>
        <w:t>Leipidio</w:t>
      </w:r>
      <w:proofErr w:type="spellEnd"/>
      <w:r w:rsidRPr="00DD69AE">
        <w:rPr>
          <w:sz w:val="24"/>
          <w:szCs w:val="24"/>
          <w:lang w:val="en-US"/>
        </w:rPr>
        <w:t xml:space="preserve"> to a coppersmith</w:t>
      </w:r>
      <w:r w:rsidRPr="00DD69AE">
        <w:rPr>
          <w:rFonts w:cs="Arial"/>
          <w:sz w:val="24"/>
          <w:szCs w:val="24"/>
          <w:lang w:val="en-US"/>
        </w:rPr>
        <w:t xml:space="preserve">.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lastRenderedPageBreak/>
        <w:t xml:space="preserve">The tale also informs us what so enraged the protagonists in the tale about the appearance of the judge. </w:t>
      </w:r>
    </w:p>
    <w:p w:rsidR="00AC655F" w:rsidRPr="00DD69AE" w:rsidRDefault="00AC655F" w:rsidP="00AC655F">
      <w:pPr>
        <w:spacing w:after="0" w:line="480" w:lineRule="auto"/>
        <w:ind w:left="720"/>
        <w:rPr>
          <w:sz w:val="24"/>
          <w:szCs w:val="24"/>
          <w:lang w:val="en-US"/>
        </w:rPr>
      </w:pPr>
      <w:r w:rsidRPr="00DD69AE">
        <w:rPr>
          <w:sz w:val="24"/>
          <w:szCs w:val="24"/>
          <w:lang w:val="en-US"/>
        </w:rPr>
        <w:t>“… he was struck by the [judge]’s curious and witless appearance, and began to scrutinize him carefully. And amongst the many strange features that he noted, unbecoming in any person of tidy habits and gentle breeding, he saw that the fur of his judge’s cap was thick with grime, that he had a quill-case dangling from his waist, and that his gown was longer than his robe”.</w:t>
      </w:r>
      <w:r w:rsidRPr="00DD69AE">
        <w:rPr>
          <w:rStyle w:val="FootnoteReference"/>
          <w:sz w:val="24"/>
          <w:szCs w:val="24"/>
          <w:lang w:val="en-US"/>
        </w:rPr>
        <w:footnoteReference w:id="32"/>
      </w:r>
    </w:p>
    <w:p w:rsidR="00AC655F" w:rsidRPr="00DD69AE" w:rsidRDefault="00AC655F" w:rsidP="00AC655F">
      <w:pPr>
        <w:spacing w:after="0" w:line="480" w:lineRule="auto"/>
        <w:rPr>
          <w:sz w:val="24"/>
          <w:szCs w:val="24"/>
          <w:lang w:val="en-US"/>
        </w:rPr>
      </w:pPr>
      <w:r w:rsidRPr="00DD69AE">
        <w:rPr>
          <w:sz w:val="24"/>
          <w:szCs w:val="24"/>
          <w:lang w:val="en-US"/>
        </w:rPr>
        <w:t xml:space="preserve">Note that we learn nothing of the judge’s personal attributes: whether he was tall or short, thin or fat, is not evident. The focus is specifically and consistently on his attire. In this way, Boccaccio’s story offers an insight into the extent to which public perception of this man’s identity – and suitability - as a judge was dependent upon his appearance and formal legal dress.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However, it is unsurprising that </w:t>
      </w:r>
      <w:proofErr w:type="spellStart"/>
      <w:r w:rsidRPr="00DD69AE">
        <w:rPr>
          <w:sz w:val="24"/>
          <w:szCs w:val="24"/>
          <w:lang w:val="en-US"/>
        </w:rPr>
        <w:t>Maso</w:t>
      </w:r>
      <w:proofErr w:type="spellEnd"/>
      <w:r w:rsidRPr="00DD69AE">
        <w:rPr>
          <w:sz w:val="24"/>
          <w:szCs w:val="24"/>
          <w:lang w:val="en-US"/>
        </w:rPr>
        <w:t xml:space="preserve"> commented upon details of clothing. The fourteenth century is often said to be the “starting point of fashion”, meaning people would have become increasingly aware of the range of clothing available and alive to particular nuances of changes in garments, particularly of “the increasing separation of clothing into fashionable dress and formal dress”.</w:t>
      </w:r>
      <w:r w:rsidRPr="00DD69AE">
        <w:rPr>
          <w:rStyle w:val="FootnoteReference"/>
          <w:sz w:val="24"/>
          <w:szCs w:val="24"/>
          <w:lang w:val="en-US"/>
        </w:rPr>
        <w:footnoteReference w:id="33"/>
      </w:r>
      <w:r w:rsidRPr="00DD69AE">
        <w:rPr>
          <w:sz w:val="24"/>
          <w:szCs w:val="24"/>
          <w:lang w:val="en-US"/>
        </w:rPr>
        <w:t xml:space="preserve"> This distinction is important in terms of there being a symbolic language of dress to convey modes of behavior. There is much research on the significance of medieval dress and textiles, and the meanings conveyed through their use.</w:t>
      </w:r>
      <w:r w:rsidRPr="00DD69AE">
        <w:rPr>
          <w:rStyle w:val="FootnoteReference"/>
          <w:sz w:val="24"/>
          <w:szCs w:val="24"/>
          <w:lang w:val="en-US"/>
        </w:rPr>
        <w:footnoteReference w:id="34"/>
      </w:r>
      <w:r w:rsidRPr="00DD69AE">
        <w:rPr>
          <w:sz w:val="24"/>
          <w:szCs w:val="24"/>
          <w:lang w:val="en-US"/>
        </w:rPr>
        <w:t xml:space="preserve"> The development of specific legal dress may be set in this context too: clothing could not only indicate a person’s worldly status, their wealth or social status, it could also represent a </w:t>
      </w:r>
      <w:r w:rsidRPr="00DD69AE">
        <w:rPr>
          <w:sz w:val="24"/>
          <w:szCs w:val="24"/>
          <w:lang w:val="en-US"/>
        </w:rPr>
        <w:lastRenderedPageBreak/>
        <w:t>character’s condition.</w:t>
      </w:r>
      <w:r w:rsidRPr="00DD69AE">
        <w:rPr>
          <w:rStyle w:val="FootnoteReference"/>
          <w:sz w:val="24"/>
          <w:szCs w:val="24"/>
          <w:lang w:val="en-US"/>
        </w:rPr>
        <w:footnoteReference w:id="35"/>
      </w:r>
      <w:r w:rsidRPr="00DD69AE">
        <w:rPr>
          <w:sz w:val="24"/>
          <w:szCs w:val="24"/>
          <w:lang w:val="en-US"/>
        </w:rPr>
        <w:t xml:space="preserve"> In the reactions of </w:t>
      </w:r>
      <w:proofErr w:type="spellStart"/>
      <w:r w:rsidRPr="00DD69AE">
        <w:rPr>
          <w:sz w:val="24"/>
          <w:szCs w:val="24"/>
          <w:lang w:val="en-US"/>
        </w:rPr>
        <w:t>Maso</w:t>
      </w:r>
      <w:proofErr w:type="spellEnd"/>
      <w:r w:rsidRPr="00DD69AE">
        <w:rPr>
          <w:sz w:val="24"/>
          <w:szCs w:val="24"/>
          <w:lang w:val="en-US"/>
        </w:rPr>
        <w:t xml:space="preserve"> and his friends to this judge’s appearance, we may see the contempt of wealthy Florentines to clothing indicating a lack of wealth, or a lack of respect deserved for a failure to dress appropriately to his professional status.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It is interesting that </w:t>
      </w:r>
      <w:proofErr w:type="spellStart"/>
      <w:r w:rsidRPr="00DD69AE">
        <w:rPr>
          <w:sz w:val="24"/>
          <w:szCs w:val="24"/>
          <w:lang w:val="en-US"/>
        </w:rPr>
        <w:t>Maso</w:t>
      </w:r>
      <w:proofErr w:type="spellEnd"/>
      <w:r w:rsidRPr="00DD69AE">
        <w:rPr>
          <w:sz w:val="24"/>
          <w:szCs w:val="24"/>
          <w:lang w:val="en-US"/>
        </w:rPr>
        <w:t xml:space="preserve"> was perturbed by the judge having at his waist a </w:t>
      </w:r>
      <w:proofErr w:type="spellStart"/>
      <w:r w:rsidRPr="00DD69AE">
        <w:rPr>
          <w:i/>
          <w:sz w:val="24"/>
          <w:szCs w:val="24"/>
          <w:lang w:val="en-US"/>
        </w:rPr>
        <w:t>pennaiuolo</w:t>
      </w:r>
      <w:proofErr w:type="spellEnd"/>
      <w:r w:rsidRPr="00DD69AE">
        <w:rPr>
          <w:sz w:val="24"/>
          <w:szCs w:val="24"/>
          <w:lang w:val="en-US"/>
        </w:rPr>
        <w:t xml:space="preserve"> - a pen-case or quill-case.</w:t>
      </w:r>
      <w:r w:rsidRPr="00DD69AE">
        <w:rPr>
          <w:rStyle w:val="FootnoteReference"/>
          <w:sz w:val="24"/>
          <w:szCs w:val="24"/>
          <w:lang w:val="en-US"/>
        </w:rPr>
        <w:footnoteReference w:id="36"/>
      </w:r>
      <w:r w:rsidRPr="00DD69AE">
        <w:rPr>
          <w:sz w:val="24"/>
          <w:szCs w:val="24"/>
          <w:lang w:val="en-US"/>
        </w:rPr>
        <w:t xml:space="preserve"> This criticism is not easy to understand; the case may have carried meanings or connotations now lost to us. Its presence at least </w:t>
      </w:r>
      <w:r>
        <w:rPr>
          <w:sz w:val="24"/>
          <w:szCs w:val="24"/>
          <w:lang w:val="en-US"/>
        </w:rPr>
        <w:t>appears to confirm</w:t>
      </w:r>
      <w:r w:rsidRPr="00DD69AE">
        <w:rPr>
          <w:sz w:val="24"/>
          <w:szCs w:val="24"/>
          <w:lang w:val="en-US"/>
        </w:rPr>
        <w:t xml:space="preserve"> that the judge was literate. Literacy was obviously important for those entering the professional and commercial worlds in late-medieval Italy. Florence itself was a highly literate society: a statement in a mid-fourteenth century Florentine chronicle indicating that 67-83% of male citizens in Florence attended school may seem surprisingly high, and has been debated by scholars, but is generally regarded as borne out by the 1427 </w:t>
      </w:r>
      <w:proofErr w:type="spellStart"/>
      <w:r w:rsidRPr="00DD69AE">
        <w:rPr>
          <w:i/>
          <w:sz w:val="24"/>
          <w:szCs w:val="24"/>
          <w:lang w:val="en-US"/>
        </w:rPr>
        <w:t>Catasto</w:t>
      </w:r>
      <w:proofErr w:type="spellEnd"/>
      <w:r w:rsidRPr="00DD69AE">
        <w:rPr>
          <w:sz w:val="24"/>
          <w:szCs w:val="24"/>
          <w:lang w:val="en-US"/>
        </w:rPr>
        <w:t>, the tax return submitted by all citizens and residents of Florence.</w:t>
      </w:r>
      <w:r w:rsidRPr="00DD69AE">
        <w:rPr>
          <w:rStyle w:val="FootnoteReference"/>
          <w:sz w:val="24"/>
          <w:szCs w:val="24"/>
          <w:lang w:val="en-US"/>
        </w:rPr>
        <w:footnoteReference w:id="37"/>
      </w:r>
      <w:r w:rsidRPr="00DD69AE">
        <w:rPr>
          <w:sz w:val="24"/>
          <w:szCs w:val="24"/>
          <w:lang w:val="en-US"/>
        </w:rPr>
        <w:t xml:space="preserve"> Fourteenth century Florence even had a system of public education, with schools and teachers funded by the communal authorities.</w:t>
      </w:r>
      <w:r w:rsidRPr="00DD69AE">
        <w:rPr>
          <w:rStyle w:val="FootnoteReference"/>
          <w:sz w:val="24"/>
          <w:szCs w:val="24"/>
          <w:lang w:val="en-US"/>
        </w:rPr>
        <w:footnoteReference w:id="38"/>
      </w:r>
      <w:r w:rsidRPr="00DD69AE">
        <w:rPr>
          <w:sz w:val="24"/>
          <w:szCs w:val="24"/>
          <w:lang w:val="en-US"/>
        </w:rPr>
        <w:t xml:space="preserve"> It seems </w:t>
      </w:r>
      <w:r>
        <w:rPr>
          <w:sz w:val="24"/>
          <w:szCs w:val="24"/>
          <w:lang w:val="en-US"/>
        </w:rPr>
        <w:t>puzzling</w:t>
      </w:r>
      <w:r w:rsidRPr="00DD69AE">
        <w:rPr>
          <w:sz w:val="24"/>
          <w:szCs w:val="24"/>
          <w:lang w:val="en-US"/>
        </w:rPr>
        <w:t xml:space="preserve"> that </w:t>
      </w:r>
      <w:proofErr w:type="spellStart"/>
      <w:r w:rsidRPr="00DD69AE">
        <w:rPr>
          <w:sz w:val="24"/>
          <w:szCs w:val="24"/>
          <w:lang w:val="en-US"/>
        </w:rPr>
        <w:t>Maso</w:t>
      </w:r>
      <w:proofErr w:type="spellEnd"/>
      <w:r w:rsidRPr="00DD69AE">
        <w:rPr>
          <w:sz w:val="24"/>
          <w:szCs w:val="24"/>
          <w:lang w:val="en-US"/>
        </w:rPr>
        <w:t xml:space="preserve"> was moved to disapprove of this pen-case. One interpretation might be that the </w:t>
      </w:r>
      <w:proofErr w:type="spellStart"/>
      <w:r w:rsidRPr="00DD69AE">
        <w:rPr>
          <w:i/>
          <w:sz w:val="24"/>
          <w:szCs w:val="24"/>
          <w:lang w:val="en-US"/>
        </w:rPr>
        <w:t>pennaiuolo</w:t>
      </w:r>
      <w:proofErr w:type="spellEnd"/>
      <w:r w:rsidRPr="00DD69AE">
        <w:rPr>
          <w:i/>
          <w:sz w:val="24"/>
          <w:szCs w:val="24"/>
          <w:lang w:val="en-US"/>
        </w:rPr>
        <w:t xml:space="preserve"> </w:t>
      </w:r>
      <w:r w:rsidRPr="00DD69AE">
        <w:rPr>
          <w:sz w:val="24"/>
          <w:szCs w:val="24"/>
          <w:lang w:val="en-US"/>
        </w:rPr>
        <w:t xml:space="preserve">should perhaps not have been worn so visibly by a judge; that it in some way compromised or detracted from the dignity of his formal legal dress. If so, here is a further indication that contemporary Florentines had quite specific expectations of the attire and appearance of those exercising judicial authority in the city.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eastAsia="en-GB"/>
        </w:rPr>
        <w:lastRenderedPageBreak/>
        <w:t xml:space="preserve">However, it is difficult to get a clear impression of what exactly judges in Florence would have worn. There are few if any contemporary Florentine artworks which specifically represent a judge in court, and the mid-fourteenth century </w:t>
      </w:r>
      <w:proofErr w:type="gramStart"/>
      <w:r w:rsidRPr="00DD69AE">
        <w:rPr>
          <w:rFonts w:cs="Calibri"/>
          <w:sz w:val="24"/>
          <w:szCs w:val="24"/>
          <w:lang w:val="en-US" w:eastAsia="en-GB"/>
        </w:rPr>
        <w:t>is</w:t>
      </w:r>
      <w:proofErr w:type="gramEnd"/>
      <w:r w:rsidRPr="00DD69AE">
        <w:rPr>
          <w:rFonts w:cs="Calibri"/>
          <w:sz w:val="24"/>
          <w:szCs w:val="24"/>
          <w:lang w:val="en-US" w:eastAsia="en-GB"/>
        </w:rPr>
        <w:t xml:space="preserve"> rather too early for reliable portrait painting.</w:t>
      </w:r>
      <w:r w:rsidRPr="00DD69AE">
        <w:rPr>
          <w:rStyle w:val="FootnoteReference"/>
          <w:rFonts w:cs="Calibri"/>
          <w:sz w:val="24"/>
          <w:szCs w:val="24"/>
          <w:lang w:val="en-US" w:eastAsia="en-GB"/>
        </w:rPr>
        <w:footnoteReference w:id="39"/>
      </w:r>
      <w:r w:rsidRPr="00DD69AE">
        <w:rPr>
          <w:rFonts w:cs="Calibri"/>
          <w:sz w:val="24"/>
          <w:szCs w:val="24"/>
          <w:lang w:val="en-US" w:eastAsia="en-GB"/>
        </w:rPr>
        <w:t xml:space="preserve"> </w:t>
      </w:r>
      <w:r w:rsidRPr="00DD69AE">
        <w:rPr>
          <w:sz w:val="24"/>
          <w:szCs w:val="24"/>
          <w:lang w:val="en-US"/>
        </w:rPr>
        <w:t>In any event, “in the visual representations of clothing in art of this period, there are daunting uncertainties in matching the type of garment pictured with the written descriptions”.</w:t>
      </w:r>
      <w:r w:rsidRPr="00DD69AE">
        <w:rPr>
          <w:rStyle w:val="FootnoteReference"/>
          <w:sz w:val="24"/>
          <w:szCs w:val="24"/>
          <w:lang w:val="en-US"/>
        </w:rPr>
        <w:footnoteReference w:id="40"/>
      </w:r>
      <w:r w:rsidRPr="00DD69AE">
        <w:rPr>
          <w:sz w:val="24"/>
          <w:szCs w:val="24"/>
          <w:lang w:val="en-US"/>
        </w:rPr>
        <w:t xml:space="preserve"> This perhaps underlines the importance of literature as a source for legal historians in such matters. Arguably,</w:t>
      </w:r>
      <w:r w:rsidRPr="00DD69AE">
        <w:rPr>
          <w:rFonts w:cs="Calibri"/>
          <w:sz w:val="24"/>
          <w:szCs w:val="24"/>
          <w:lang w:val="en-US"/>
        </w:rPr>
        <w:t xml:space="preserve"> “by the beginning of the fourteenth century, academics and some other professionals were easily recognizable by their dress”; in which case, </w:t>
      </w:r>
      <w:r w:rsidRPr="00DD69AE">
        <w:rPr>
          <w:sz w:val="24"/>
          <w:szCs w:val="24"/>
          <w:lang w:val="en-US"/>
        </w:rPr>
        <w:t>we might expect at this time that the judge’s costume would have made him readily identifiable in the courtroom</w:t>
      </w:r>
      <w:r w:rsidRPr="00DD69AE">
        <w:rPr>
          <w:rFonts w:cs="Calibri"/>
          <w:sz w:val="24"/>
          <w:szCs w:val="24"/>
          <w:lang w:val="en-US"/>
        </w:rPr>
        <w:t>.</w:t>
      </w:r>
      <w:r w:rsidRPr="00DD69AE">
        <w:rPr>
          <w:rStyle w:val="FootnoteReference"/>
          <w:rFonts w:cs="Calibri"/>
          <w:sz w:val="24"/>
          <w:szCs w:val="24"/>
          <w:lang w:val="en-US"/>
        </w:rPr>
        <w:footnoteReference w:id="41"/>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Style w:val="tgc"/>
          <w:rFonts w:ascii="Arial" w:hAnsi="Arial" w:cs="Arial"/>
          <w:color w:val="222222"/>
          <w:lang w:val="en-US"/>
        </w:rPr>
      </w:pPr>
      <w:r w:rsidRPr="00DD69AE">
        <w:rPr>
          <w:sz w:val="24"/>
          <w:szCs w:val="24"/>
          <w:lang w:val="en-US"/>
        </w:rPr>
        <w:t xml:space="preserve">The tale offers some detail of what this legal dress might comprise: the judge is described as wearing a cap, a gown and a robe. In Italian, the tale refers to </w:t>
      </w:r>
      <w:r w:rsidRPr="00DD69AE">
        <w:rPr>
          <w:i/>
          <w:sz w:val="24"/>
          <w:szCs w:val="24"/>
          <w:lang w:val="en-US"/>
        </w:rPr>
        <w:t>capo</w:t>
      </w:r>
      <w:r w:rsidRPr="00DD69AE">
        <w:rPr>
          <w:sz w:val="24"/>
          <w:szCs w:val="24"/>
          <w:lang w:val="en-US"/>
        </w:rPr>
        <w:t>: this may be translated as cap, but also cape.</w:t>
      </w:r>
      <w:r w:rsidRPr="00DD69AE">
        <w:rPr>
          <w:rFonts w:cs="Calibri"/>
          <w:sz w:val="24"/>
          <w:szCs w:val="24"/>
          <w:lang w:val="en-US"/>
        </w:rPr>
        <w:t xml:space="preserve"> </w:t>
      </w:r>
      <w:r>
        <w:rPr>
          <w:rFonts w:cs="Calibri"/>
          <w:sz w:val="24"/>
          <w:szCs w:val="24"/>
          <w:lang w:val="en-US"/>
        </w:rPr>
        <w:t xml:space="preserve">Either could be expected in contemporary clothing. Men would wear a form of hat, cap or hood; evident for example in some of the great Italian fresco cycles of the mid-fourteenth century, such as the citizens shown in </w:t>
      </w:r>
      <w:proofErr w:type="spellStart"/>
      <w:r>
        <w:rPr>
          <w:rFonts w:cs="Calibri"/>
          <w:sz w:val="24"/>
          <w:szCs w:val="24"/>
          <w:lang w:val="en-US"/>
        </w:rPr>
        <w:t>Ambrogio</w:t>
      </w:r>
      <w:proofErr w:type="spellEnd"/>
      <w:r>
        <w:rPr>
          <w:rFonts w:cs="Calibri"/>
          <w:sz w:val="24"/>
          <w:szCs w:val="24"/>
          <w:lang w:val="en-US"/>
        </w:rPr>
        <w:t xml:space="preserve"> Lorenzetti’s </w:t>
      </w:r>
      <w:r>
        <w:rPr>
          <w:rFonts w:cs="Calibri"/>
          <w:i/>
          <w:sz w:val="24"/>
          <w:szCs w:val="24"/>
          <w:lang w:val="en-US"/>
        </w:rPr>
        <w:t xml:space="preserve">The Good </w:t>
      </w:r>
      <w:r w:rsidRPr="00F17B3B">
        <w:rPr>
          <w:rFonts w:cs="Calibri"/>
          <w:i/>
          <w:sz w:val="24"/>
          <w:szCs w:val="24"/>
          <w:lang w:val="en-US"/>
        </w:rPr>
        <w:t>Govern</w:t>
      </w:r>
      <w:r>
        <w:rPr>
          <w:rFonts w:cs="Calibri"/>
          <w:i/>
          <w:sz w:val="24"/>
          <w:szCs w:val="24"/>
          <w:lang w:val="en-US"/>
        </w:rPr>
        <w:t xml:space="preserve">ment </w:t>
      </w:r>
      <w:r>
        <w:rPr>
          <w:rFonts w:cs="Calibri"/>
          <w:sz w:val="24"/>
          <w:szCs w:val="24"/>
          <w:lang w:val="en-US"/>
        </w:rPr>
        <w:t xml:space="preserve"> allegory in Siena’s Palazzo </w:t>
      </w:r>
      <w:proofErr w:type="spellStart"/>
      <w:r>
        <w:rPr>
          <w:rFonts w:cs="Calibri"/>
          <w:sz w:val="24"/>
          <w:szCs w:val="24"/>
          <w:lang w:val="en-US"/>
        </w:rPr>
        <w:t>Pubblico</w:t>
      </w:r>
      <w:proofErr w:type="spellEnd"/>
      <w:r>
        <w:rPr>
          <w:rFonts w:cs="Calibri"/>
          <w:sz w:val="24"/>
          <w:szCs w:val="24"/>
          <w:lang w:val="en-US"/>
        </w:rPr>
        <w:t xml:space="preserve"> (1337-40). Doctors of law </w:t>
      </w:r>
      <w:r w:rsidRPr="00DD69AE">
        <w:rPr>
          <w:rFonts w:cs="Calibri"/>
          <w:sz w:val="24"/>
          <w:szCs w:val="24"/>
          <w:lang w:val="en-US" w:eastAsia="en-GB"/>
        </w:rPr>
        <w:t>in the thirteenth and fourteenth centuries</w:t>
      </w:r>
      <w:r>
        <w:rPr>
          <w:rFonts w:cs="Calibri"/>
          <w:sz w:val="24"/>
          <w:szCs w:val="24"/>
          <w:lang w:val="en-US"/>
        </w:rPr>
        <w:t xml:space="preserve"> would wear hoods, often of the expensive cloth ‘scarlet’ and trimmed with white fur.</w:t>
      </w:r>
      <w:r>
        <w:rPr>
          <w:rStyle w:val="FootnoteReference"/>
          <w:sz w:val="24"/>
          <w:szCs w:val="24"/>
          <w:lang w:val="en-US"/>
        </w:rPr>
        <w:footnoteReference w:id="42"/>
      </w:r>
      <w:r>
        <w:rPr>
          <w:rFonts w:cs="Calibri"/>
          <w:sz w:val="24"/>
          <w:szCs w:val="24"/>
          <w:lang w:val="en-US"/>
        </w:rPr>
        <w:t xml:space="preserve"> ‘Capo’</w:t>
      </w:r>
      <w:r w:rsidRPr="00DD69AE">
        <w:rPr>
          <w:rFonts w:cs="Calibri"/>
          <w:sz w:val="24"/>
          <w:szCs w:val="24"/>
          <w:lang w:val="en-US"/>
        </w:rPr>
        <w:t xml:space="preserve"> may </w:t>
      </w:r>
      <w:r>
        <w:rPr>
          <w:rFonts w:cs="Calibri"/>
          <w:sz w:val="24"/>
          <w:szCs w:val="24"/>
          <w:lang w:val="en-US"/>
        </w:rPr>
        <w:t xml:space="preserve">also </w:t>
      </w:r>
      <w:r w:rsidRPr="00DD69AE">
        <w:rPr>
          <w:rFonts w:cs="Calibri"/>
          <w:sz w:val="24"/>
          <w:szCs w:val="24"/>
          <w:lang w:val="en-US"/>
        </w:rPr>
        <w:t>refer to a form of shoulder-cape</w:t>
      </w:r>
      <w:r>
        <w:rPr>
          <w:rFonts w:cs="Calibri"/>
          <w:sz w:val="24"/>
          <w:szCs w:val="24"/>
          <w:lang w:val="en-US"/>
        </w:rPr>
        <w:t>;</w:t>
      </w:r>
      <w:r w:rsidRPr="00DD69AE">
        <w:rPr>
          <w:rFonts w:cs="Calibri"/>
          <w:sz w:val="24"/>
          <w:szCs w:val="24"/>
          <w:lang w:val="en-US"/>
        </w:rPr>
        <w:t xml:space="preserve"> </w:t>
      </w:r>
      <w:r>
        <w:rPr>
          <w:rFonts w:cs="Calibri"/>
          <w:sz w:val="24"/>
          <w:szCs w:val="24"/>
          <w:lang w:val="en-US"/>
        </w:rPr>
        <w:t>r</w:t>
      </w:r>
      <w:r w:rsidRPr="00DD69AE">
        <w:rPr>
          <w:rFonts w:cs="Calibri"/>
          <w:sz w:val="24"/>
          <w:szCs w:val="24"/>
          <w:lang w:val="en-US" w:eastAsia="en-GB"/>
        </w:rPr>
        <w:t xml:space="preserve">obes or </w:t>
      </w:r>
      <w:r w:rsidRPr="00DD69AE">
        <w:rPr>
          <w:rFonts w:cs="Calibri"/>
          <w:sz w:val="24"/>
          <w:szCs w:val="24"/>
          <w:lang w:val="en-US"/>
        </w:rPr>
        <w:t>shoulder-pieces were particularly associated with teachers at universities, and doctors of law</w:t>
      </w:r>
      <w:r w:rsidRPr="00DD69AE">
        <w:rPr>
          <w:rFonts w:cs="Calibri"/>
          <w:sz w:val="24"/>
          <w:szCs w:val="24"/>
          <w:lang w:val="en-US" w:eastAsia="en-GB"/>
        </w:rPr>
        <w:t xml:space="preserve">. </w:t>
      </w:r>
      <w:r w:rsidRPr="00DD69AE">
        <w:rPr>
          <w:rFonts w:cs="Calibri"/>
          <w:sz w:val="24"/>
          <w:szCs w:val="24"/>
          <w:lang w:val="en-US"/>
        </w:rPr>
        <w:t xml:space="preserve">Shoulder-capes </w:t>
      </w:r>
      <w:r w:rsidRPr="00DD69AE">
        <w:rPr>
          <w:rFonts w:cs="Calibri"/>
          <w:sz w:val="24"/>
          <w:szCs w:val="24"/>
          <w:lang w:val="en-US" w:eastAsia="en-GB"/>
        </w:rPr>
        <w:t>also</w:t>
      </w:r>
      <w:r w:rsidRPr="00DD69AE">
        <w:rPr>
          <w:rFonts w:cs="Calibri"/>
          <w:sz w:val="24"/>
          <w:szCs w:val="24"/>
          <w:lang w:val="en-US"/>
        </w:rPr>
        <w:t xml:space="preserve"> feature in certain artistic images of nobles, </w:t>
      </w:r>
      <w:r w:rsidRPr="00DD69AE">
        <w:rPr>
          <w:rFonts w:cs="Calibri"/>
          <w:sz w:val="24"/>
          <w:szCs w:val="24"/>
          <w:lang w:val="en-US" w:eastAsia="en-GB"/>
        </w:rPr>
        <w:t xml:space="preserve">lawyers and judges </w:t>
      </w:r>
      <w:r w:rsidRPr="00DD69AE">
        <w:rPr>
          <w:rFonts w:cs="Calibri"/>
          <w:sz w:val="24"/>
          <w:szCs w:val="24"/>
          <w:lang w:val="en-US" w:eastAsia="en-GB"/>
        </w:rPr>
        <w:lastRenderedPageBreak/>
        <w:t>produced in and around northern and north-central Italy in the fourteenth century.</w:t>
      </w:r>
      <w:r>
        <w:rPr>
          <w:rStyle w:val="FootnoteReference"/>
          <w:sz w:val="24"/>
          <w:szCs w:val="24"/>
          <w:lang w:val="en-US" w:eastAsia="en-GB"/>
        </w:rPr>
        <w:footnoteReference w:id="43"/>
      </w:r>
      <w:r w:rsidRPr="00DD69AE">
        <w:rPr>
          <w:rFonts w:cs="Calibri"/>
          <w:sz w:val="24"/>
          <w:szCs w:val="24"/>
          <w:lang w:val="en-US" w:eastAsia="en-GB"/>
        </w:rPr>
        <w:t xml:space="preserve"> </w:t>
      </w:r>
      <w:r w:rsidRPr="00DD69AE">
        <w:rPr>
          <w:sz w:val="24"/>
          <w:szCs w:val="24"/>
          <w:lang w:val="en-US"/>
        </w:rPr>
        <w:t xml:space="preserve">The </w:t>
      </w:r>
      <w:r w:rsidRPr="00DD69AE">
        <w:rPr>
          <w:i/>
          <w:sz w:val="24"/>
          <w:szCs w:val="24"/>
          <w:lang w:val="en-US"/>
        </w:rPr>
        <w:t>capo</w:t>
      </w:r>
      <w:r w:rsidRPr="00DD69AE">
        <w:rPr>
          <w:sz w:val="24"/>
          <w:szCs w:val="24"/>
          <w:lang w:val="en-US"/>
        </w:rPr>
        <w:t xml:space="preserve"> (whether cap or cape) worn by the judge in the tale featured fur (</w:t>
      </w:r>
      <w:proofErr w:type="spellStart"/>
      <w:r w:rsidRPr="00DD69AE">
        <w:rPr>
          <w:i/>
          <w:sz w:val="24"/>
          <w:szCs w:val="24"/>
          <w:lang w:val="en-US"/>
        </w:rPr>
        <w:t>vaio</w:t>
      </w:r>
      <w:proofErr w:type="spellEnd"/>
      <w:r w:rsidRPr="00DD69AE">
        <w:rPr>
          <w:sz w:val="24"/>
          <w:szCs w:val="24"/>
          <w:lang w:val="en-US"/>
        </w:rPr>
        <w:t xml:space="preserve"> in the Italian). </w:t>
      </w:r>
      <w:proofErr w:type="spellStart"/>
      <w:r w:rsidRPr="00DD69AE">
        <w:rPr>
          <w:sz w:val="24"/>
          <w:szCs w:val="24"/>
          <w:lang w:val="en-US"/>
        </w:rPr>
        <w:t>Maso</w:t>
      </w:r>
      <w:proofErr w:type="spellEnd"/>
      <w:r w:rsidRPr="00DD69AE">
        <w:rPr>
          <w:sz w:val="24"/>
          <w:szCs w:val="24"/>
          <w:lang w:val="en-US"/>
        </w:rPr>
        <w:t xml:space="preserve"> was critical that this was “</w:t>
      </w:r>
      <w:proofErr w:type="spellStart"/>
      <w:r w:rsidRPr="00DD69AE">
        <w:rPr>
          <w:sz w:val="24"/>
          <w:szCs w:val="24"/>
          <w:lang w:val="en-US"/>
        </w:rPr>
        <w:t>affumicato</w:t>
      </w:r>
      <w:proofErr w:type="spellEnd"/>
      <w:r w:rsidRPr="00DD69AE">
        <w:rPr>
          <w:sz w:val="24"/>
          <w:szCs w:val="24"/>
          <w:lang w:val="en-US"/>
        </w:rPr>
        <w:t>”: ‘smoky’; so, grimy or discolored: perhaps from this we can infer that the fur trim should have been white. G</w:t>
      </w:r>
      <w:r w:rsidRPr="00DD69AE">
        <w:rPr>
          <w:rFonts w:cs="Calibri"/>
          <w:sz w:val="24"/>
          <w:szCs w:val="24"/>
          <w:lang w:val="en-US" w:eastAsia="en-GB"/>
        </w:rPr>
        <w:t>arments</w:t>
      </w:r>
      <w:r w:rsidRPr="00DD69AE">
        <w:rPr>
          <w:sz w:val="24"/>
          <w:szCs w:val="24"/>
          <w:lang w:val="en-US"/>
        </w:rPr>
        <w:t xml:space="preserve"> at this time were often </w:t>
      </w:r>
      <w:r w:rsidRPr="00DD69AE">
        <w:rPr>
          <w:rFonts w:cs="Calibri"/>
          <w:sz w:val="24"/>
          <w:szCs w:val="24"/>
          <w:lang w:val="en-US" w:eastAsia="en-GB"/>
        </w:rPr>
        <w:t>lined or trimmed with</w:t>
      </w:r>
      <w:r w:rsidRPr="00DD69AE">
        <w:rPr>
          <w:sz w:val="24"/>
          <w:szCs w:val="24"/>
          <w:lang w:val="en-US"/>
        </w:rPr>
        <w:t xml:space="preserve"> </w:t>
      </w:r>
      <w:r w:rsidRPr="00DD69AE">
        <w:rPr>
          <w:rFonts w:cs="Calibri"/>
          <w:sz w:val="24"/>
          <w:szCs w:val="24"/>
          <w:lang w:val="en-US"/>
        </w:rPr>
        <w:t xml:space="preserve">fur, which was often white: ermine, </w:t>
      </w:r>
      <w:proofErr w:type="spellStart"/>
      <w:r w:rsidRPr="00DD69AE">
        <w:rPr>
          <w:rFonts w:cs="Calibri"/>
          <w:sz w:val="24"/>
          <w:szCs w:val="24"/>
          <w:lang w:val="en-US"/>
        </w:rPr>
        <w:t>miniver</w:t>
      </w:r>
      <w:proofErr w:type="spellEnd"/>
      <w:r w:rsidRPr="00DD69AE">
        <w:rPr>
          <w:rFonts w:cs="Calibri"/>
          <w:sz w:val="24"/>
          <w:szCs w:val="24"/>
          <w:lang w:val="en-US"/>
        </w:rPr>
        <w:t xml:space="preserve">, or </w:t>
      </w:r>
      <w:proofErr w:type="spellStart"/>
      <w:r w:rsidRPr="00DD69AE">
        <w:rPr>
          <w:rFonts w:cs="Calibri"/>
          <w:sz w:val="24"/>
          <w:szCs w:val="24"/>
          <w:lang w:val="en-US"/>
        </w:rPr>
        <w:t>vair</w:t>
      </w:r>
      <w:proofErr w:type="spellEnd"/>
      <w:r w:rsidRPr="00DD69AE">
        <w:rPr>
          <w:rFonts w:cs="Calibri"/>
          <w:sz w:val="24"/>
          <w:szCs w:val="24"/>
          <w:lang w:val="en-US"/>
        </w:rPr>
        <w:t>, a</w:t>
      </w:r>
      <w:r w:rsidRPr="00DD69AE">
        <w:rPr>
          <w:rFonts w:cs="Calibri"/>
          <w:sz w:val="24"/>
          <w:szCs w:val="24"/>
          <w:lang w:val="en-US" w:eastAsia="en-GB"/>
        </w:rPr>
        <w:t xml:space="preserve"> fur like </w:t>
      </w:r>
      <w:proofErr w:type="spellStart"/>
      <w:r w:rsidRPr="00DD69AE">
        <w:rPr>
          <w:rFonts w:cs="Calibri"/>
          <w:sz w:val="24"/>
          <w:szCs w:val="24"/>
          <w:lang w:val="en-US" w:eastAsia="en-GB"/>
        </w:rPr>
        <w:t>miniver</w:t>
      </w:r>
      <w:proofErr w:type="spellEnd"/>
      <w:r w:rsidRPr="00DD69AE">
        <w:rPr>
          <w:rFonts w:cs="Calibri"/>
          <w:sz w:val="24"/>
          <w:szCs w:val="24"/>
          <w:lang w:val="en-US" w:eastAsia="en-GB"/>
        </w:rPr>
        <w:t xml:space="preserve">. This </w:t>
      </w:r>
      <w:r>
        <w:rPr>
          <w:rFonts w:cs="Calibri"/>
          <w:sz w:val="24"/>
          <w:szCs w:val="24"/>
          <w:lang w:val="en-US" w:eastAsia="en-GB"/>
        </w:rPr>
        <w:t xml:space="preserve">latter </w:t>
      </w:r>
      <w:r w:rsidRPr="00DD69AE">
        <w:rPr>
          <w:rFonts w:cs="Calibri"/>
          <w:sz w:val="24"/>
          <w:szCs w:val="24"/>
          <w:lang w:val="en-US" w:eastAsia="en-GB"/>
        </w:rPr>
        <w:t xml:space="preserve">was often indicated in medieval art by grey and white escutcheons, </w:t>
      </w:r>
      <w:r>
        <w:rPr>
          <w:rFonts w:cs="Calibri"/>
          <w:sz w:val="24"/>
          <w:szCs w:val="24"/>
          <w:lang w:val="en-US" w:eastAsia="en-GB"/>
        </w:rPr>
        <w:t xml:space="preserve">indicating the </w:t>
      </w:r>
      <w:r w:rsidRPr="00DD69AE">
        <w:rPr>
          <w:rStyle w:val="tgc"/>
          <w:rFonts w:cs="Arial"/>
          <w:color w:val="222222"/>
          <w:sz w:val="24"/>
          <w:szCs w:val="24"/>
          <w:lang w:val="en-US"/>
        </w:rPr>
        <w:t xml:space="preserve">fur </w:t>
      </w:r>
      <w:r>
        <w:rPr>
          <w:rFonts w:cs="Calibri"/>
          <w:sz w:val="24"/>
          <w:szCs w:val="24"/>
          <w:lang w:val="en-US" w:eastAsia="en-GB"/>
        </w:rPr>
        <w:t>made</w:t>
      </w:r>
      <w:r w:rsidRPr="00DD69AE">
        <w:rPr>
          <w:rFonts w:cs="Calibri"/>
          <w:sz w:val="24"/>
          <w:szCs w:val="24"/>
          <w:lang w:val="en-US" w:eastAsia="en-GB"/>
        </w:rPr>
        <w:t xml:space="preserve"> </w:t>
      </w:r>
      <w:r w:rsidRPr="00DD69AE">
        <w:rPr>
          <w:rStyle w:val="tgc"/>
          <w:rFonts w:cs="Arial"/>
          <w:color w:val="222222"/>
          <w:sz w:val="24"/>
          <w:szCs w:val="24"/>
          <w:lang w:val="en-US"/>
        </w:rPr>
        <w:t>from the backs of grey squirrels sewn together with their white underbellies.</w:t>
      </w:r>
      <w:r w:rsidRPr="00DD69AE">
        <w:rPr>
          <w:rStyle w:val="tgc"/>
          <w:rFonts w:ascii="Arial" w:hAnsi="Arial" w:cs="Arial"/>
          <w:color w:val="222222"/>
          <w:lang w:val="en-US"/>
        </w:rPr>
        <w:t xml:space="preserve"> </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In the tale, the judge also wore a gown and a robe, but these are described as “skimpy”; clearly these were too small for the judge, whether because they were acquired cheaply second-hand, or because he had gained weight without acquiring more suitable clothing. </w:t>
      </w:r>
      <w:proofErr w:type="spellStart"/>
      <w:r w:rsidRPr="00DD69AE">
        <w:rPr>
          <w:sz w:val="24"/>
          <w:szCs w:val="24"/>
          <w:lang w:val="en-US"/>
        </w:rPr>
        <w:t>Maso</w:t>
      </w:r>
      <w:proofErr w:type="spellEnd"/>
      <w:r w:rsidRPr="00DD69AE">
        <w:rPr>
          <w:sz w:val="24"/>
          <w:szCs w:val="24"/>
          <w:lang w:val="en-US"/>
        </w:rPr>
        <w:t xml:space="preserve"> also evidently disapproved of the judge’s gown being longer than his robe. Understanding </w:t>
      </w:r>
      <w:proofErr w:type="spellStart"/>
      <w:r w:rsidRPr="00DD69AE">
        <w:rPr>
          <w:sz w:val="24"/>
          <w:szCs w:val="24"/>
          <w:lang w:val="en-US"/>
        </w:rPr>
        <w:t>Maso’s</w:t>
      </w:r>
      <w:proofErr w:type="spellEnd"/>
      <w:r w:rsidRPr="00DD69AE">
        <w:rPr>
          <w:sz w:val="24"/>
          <w:szCs w:val="24"/>
          <w:lang w:val="en-US"/>
        </w:rPr>
        <w:t xml:space="preserve"> criticism in this regard is complicated by the fact that names for garments are unclear in Italy in this period, and as Margaret Scott noted, “there are regional variations in the names for similar garments”.</w:t>
      </w:r>
      <w:r w:rsidRPr="00DD69AE">
        <w:rPr>
          <w:rStyle w:val="FootnoteReference"/>
          <w:sz w:val="24"/>
          <w:szCs w:val="24"/>
          <w:lang w:val="en-US"/>
        </w:rPr>
        <w:footnoteReference w:id="44"/>
      </w:r>
      <w:r w:rsidRPr="00DD69AE">
        <w:rPr>
          <w:sz w:val="24"/>
          <w:szCs w:val="24"/>
          <w:lang w:val="en-US"/>
        </w:rPr>
        <w:t xml:space="preserve"> </w:t>
      </w:r>
      <w:r>
        <w:rPr>
          <w:sz w:val="24"/>
          <w:szCs w:val="24"/>
          <w:lang w:val="en-US"/>
        </w:rPr>
        <w:t>An element of caution is therefore needed when considering t</w:t>
      </w:r>
      <w:r w:rsidRPr="00DD69AE">
        <w:rPr>
          <w:sz w:val="24"/>
          <w:szCs w:val="24"/>
          <w:lang w:val="en-US"/>
        </w:rPr>
        <w:t>he terms that appear in Day VIII, 5 of</w:t>
      </w:r>
      <w:r w:rsidRPr="00DD69AE">
        <w:rPr>
          <w:rFonts w:ascii="Calibri" w:hAnsi="Calibri"/>
          <w:sz w:val="24"/>
          <w:szCs w:val="24"/>
          <w:lang w:val="en-US"/>
        </w:rPr>
        <w:t xml:space="preserve"> </w:t>
      </w:r>
      <w:r w:rsidRPr="00DD69AE">
        <w:rPr>
          <w:sz w:val="24"/>
          <w:szCs w:val="24"/>
          <w:lang w:val="en-US"/>
        </w:rPr>
        <w:t xml:space="preserve">Giovanni Boccaccio’s </w:t>
      </w:r>
      <w:r w:rsidRPr="00DD69AE">
        <w:rPr>
          <w:i/>
          <w:sz w:val="24"/>
          <w:szCs w:val="24"/>
          <w:lang w:val="en-US"/>
        </w:rPr>
        <w:t>Decameron</w:t>
      </w:r>
      <w:r>
        <w:rPr>
          <w:sz w:val="24"/>
          <w:szCs w:val="24"/>
          <w:lang w:val="en-US"/>
        </w:rPr>
        <w:t>:</w:t>
      </w:r>
      <w:r w:rsidRPr="00DD69AE">
        <w:rPr>
          <w:sz w:val="24"/>
          <w:szCs w:val="24"/>
          <w:lang w:val="en-US"/>
        </w:rPr>
        <w:t xml:space="preserve"> </w:t>
      </w:r>
      <w:r w:rsidRPr="00DD69AE">
        <w:rPr>
          <w:i/>
          <w:sz w:val="24"/>
          <w:szCs w:val="24"/>
          <w:lang w:val="en-US"/>
        </w:rPr>
        <w:t xml:space="preserve">la </w:t>
      </w:r>
      <w:proofErr w:type="spellStart"/>
      <w:r w:rsidRPr="00DD69AE">
        <w:rPr>
          <w:i/>
          <w:sz w:val="24"/>
          <w:szCs w:val="24"/>
          <w:lang w:val="en-US"/>
        </w:rPr>
        <w:t>guarnacca</w:t>
      </w:r>
      <w:proofErr w:type="spellEnd"/>
      <w:r w:rsidRPr="00DD69AE">
        <w:rPr>
          <w:sz w:val="24"/>
          <w:szCs w:val="24"/>
          <w:lang w:val="en-US"/>
        </w:rPr>
        <w:t xml:space="preserve"> – most likely a form of super-tunic, or outer robe - and </w:t>
      </w:r>
      <w:r w:rsidRPr="00DD69AE">
        <w:rPr>
          <w:i/>
          <w:sz w:val="24"/>
          <w:szCs w:val="24"/>
          <w:lang w:val="en-US"/>
        </w:rPr>
        <w:t xml:space="preserve">la </w:t>
      </w:r>
      <w:proofErr w:type="spellStart"/>
      <w:r w:rsidRPr="00DD69AE">
        <w:rPr>
          <w:i/>
          <w:sz w:val="24"/>
          <w:szCs w:val="24"/>
          <w:lang w:val="en-US"/>
        </w:rPr>
        <w:t>gonella</w:t>
      </w:r>
      <w:proofErr w:type="spellEnd"/>
      <w:r w:rsidRPr="00DD69AE">
        <w:rPr>
          <w:sz w:val="24"/>
          <w:szCs w:val="24"/>
          <w:lang w:val="en-US"/>
        </w:rPr>
        <w:t xml:space="preserve"> – the under-tunic. Citizens of Florence are likely to have worn outfits known as </w:t>
      </w:r>
      <w:r w:rsidRPr="00DD69AE">
        <w:rPr>
          <w:i/>
          <w:sz w:val="24"/>
          <w:szCs w:val="24"/>
          <w:lang w:val="en-US"/>
        </w:rPr>
        <w:t>robe</w:t>
      </w:r>
      <w:r w:rsidRPr="00DD69AE">
        <w:rPr>
          <w:sz w:val="24"/>
          <w:szCs w:val="24"/>
          <w:lang w:val="en-US"/>
        </w:rPr>
        <w:t>: “tunics with tight under-sleeves and super-tunics with looser three-quarter-length sleeves”, which “came to constitute almost a uniform of citizenship”.</w:t>
      </w:r>
      <w:r w:rsidRPr="00DD69AE">
        <w:rPr>
          <w:rStyle w:val="FootnoteReference"/>
          <w:sz w:val="24"/>
          <w:szCs w:val="24"/>
          <w:lang w:val="en-US"/>
        </w:rPr>
        <w:footnoteReference w:id="45"/>
      </w:r>
      <w:r w:rsidRPr="00DD69AE">
        <w:rPr>
          <w:sz w:val="24"/>
          <w:szCs w:val="24"/>
          <w:lang w:val="en-US"/>
        </w:rPr>
        <w:t xml:space="preserve"> Men of social status may have worn outer garments with fuller, cape-like sleeves.</w:t>
      </w:r>
      <w:r w:rsidRPr="00DD69AE">
        <w:rPr>
          <w:rStyle w:val="FootnoteReference"/>
          <w:sz w:val="24"/>
          <w:szCs w:val="24"/>
          <w:lang w:val="en-US"/>
        </w:rPr>
        <w:footnoteReference w:id="46"/>
      </w:r>
      <w:r w:rsidRPr="00DD69AE">
        <w:rPr>
          <w:sz w:val="24"/>
          <w:szCs w:val="24"/>
          <w:lang w:val="en-US"/>
        </w:rPr>
        <w:t xml:space="preserve"> All such details were important in the messages conveyed by appearance. A “garment’s length, width, number of layers, and quality of lining </w:t>
      </w:r>
      <w:r w:rsidRPr="00DD69AE">
        <w:rPr>
          <w:sz w:val="24"/>
          <w:szCs w:val="24"/>
          <w:lang w:val="en-US"/>
        </w:rPr>
        <w:lastRenderedPageBreak/>
        <w:t>material” all contributed to the evaluation of its wearer by an informed viewer; and an informed medieval viewer has been compared to a “student of reception theory today”, in their ability to search details for clues and subtle messages.</w:t>
      </w:r>
      <w:r w:rsidRPr="00DD69AE">
        <w:rPr>
          <w:rStyle w:val="FootnoteReference"/>
          <w:sz w:val="24"/>
          <w:szCs w:val="24"/>
          <w:lang w:val="en-US"/>
        </w:rPr>
        <w:footnoteReference w:id="47"/>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In any event, </w:t>
      </w:r>
      <w:proofErr w:type="spellStart"/>
      <w:r w:rsidRPr="00DD69AE">
        <w:rPr>
          <w:sz w:val="24"/>
          <w:szCs w:val="24"/>
          <w:lang w:val="en-US"/>
        </w:rPr>
        <w:t>Maso’s</w:t>
      </w:r>
      <w:proofErr w:type="spellEnd"/>
      <w:r w:rsidRPr="00DD69AE">
        <w:rPr>
          <w:sz w:val="24"/>
          <w:szCs w:val="24"/>
          <w:lang w:val="en-US"/>
        </w:rPr>
        <w:t xml:space="preserve"> disapproval indicates that, as such an informed viewer, he considered the length of clothing to be significant. Shorter clothes for men seem to have appeared in </w:t>
      </w:r>
      <w:proofErr w:type="gramStart"/>
      <w:r w:rsidRPr="00DD69AE">
        <w:rPr>
          <w:sz w:val="24"/>
          <w:szCs w:val="24"/>
          <w:lang w:val="en-US"/>
        </w:rPr>
        <w:t>western</w:t>
      </w:r>
      <w:proofErr w:type="gramEnd"/>
      <w:r w:rsidRPr="00DD69AE">
        <w:rPr>
          <w:sz w:val="24"/>
          <w:szCs w:val="24"/>
          <w:lang w:val="en-US"/>
        </w:rPr>
        <w:t xml:space="preserve"> Europe around 1335.</w:t>
      </w:r>
      <w:r w:rsidRPr="00DD69AE">
        <w:rPr>
          <w:rStyle w:val="FootnoteReference"/>
          <w:sz w:val="24"/>
          <w:szCs w:val="24"/>
          <w:lang w:val="en-US"/>
        </w:rPr>
        <w:footnoteReference w:id="48"/>
      </w:r>
      <w:r w:rsidRPr="00DD69AE">
        <w:rPr>
          <w:sz w:val="24"/>
          <w:szCs w:val="24"/>
          <w:lang w:val="en-US"/>
        </w:rPr>
        <w:t xml:space="preserve"> They may well have been worn for practical reasons much earlier. </w:t>
      </w:r>
      <w:proofErr w:type="spellStart"/>
      <w:r w:rsidRPr="00DD69AE">
        <w:rPr>
          <w:sz w:val="24"/>
          <w:szCs w:val="24"/>
          <w:lang w:val="en-US"/>
        </w:rPr>
        <w:t>Maso’s</w:t>
      </w:r>
      <w:proofErr w:type="spellEnd"/>
      <w:r w:rsidRPr="00DD69AE">
        <w:rPr>
          <w:sz w:val="24"/>
          <w:szCs w:val="24"/>
          <w:lang w:val="en-US"/>
        </w:rPr>
        <w:t xml:space="preserve"> views may have derived from an association of shorter robes with artisans, laborers, non-professional men; as Joanna Woods-Marsden noted, “the single most important factor determining an individual’s personal standing in the Renaissance [</w:t>
      </w:r>
      <w:r w:rsidRPr="00DD69AE">
        <w:rPr>
          <w:rFonts w:cs="Arial"/>
          <w:sz w:val="24"/>
          <w:szCs w:val="24"/>
          <w:lang w:val="en-US"/>
        </w:rPr>
        <w:t xml:space="preserve">taken as meaning the period c. 1300 to 1600, so covering </w:t>
      </w:r>
      <w:r w:rsidRPr="00DD69AE">
        <w:rPr>
          <w:rFonts w:cs="Calibri"/>
          <w:sz w:val="24"/>
          <w:szCs w:val="24"/>
          <w:lang w:val="en-US"/>
        </w:rPr>
        <w:t>the mid-fourteenth century</w:t>
      </w:r>
      <w:r w:rsidRPr="00DD69AE">
        <w:rPr>
          <w:sz w:val="24"/>
          <w:szCs w:val="24"/>
          <w:lang w:val="en-US"/>
        </w:rPr>
        <w:t>] … was the rank attached to his/her occupation, and this occupation was always evaluated socially on the basis of its proximity to, or distance from, physical labor”.</w:t>
      </w:r>
      <w:r w:rsidRPr="00DD69AE">
        <w:rPr>
          <w:rStyle w:val="FootnoteReference"/>
          <w:sz w:val="24"/>
          <w:szCs w:val="24"/>
          <w:lang w:val="en-US"/>
        </w:rPr>
        <w:footnoteReference w:id="49"/>
      </w:r>
      <w:r w:rsidRPr="00DD69AE">
        <w:rPr>
          <w:sz w:val="24"/>
          <w:szCs w:val="24"/>
          <w:lang w:val="en-US"/>
        </w:rPr>
        <w:t xml:space="preserve"> An association between short clothing and lower social status was evident in illuminated manuscripts, where analysis by Susan </w:t>
      </w:r>
      <w:proofErr w:type="spellStart"/>
      <w:r w:rsidRPr="00DD69AE">
        <w:rPr>
          <w:sz w:val="24"/>
          <w:szCs w:val="24"/>
          <w:lang w:val="en-US"/>
        </w:rPr>
        <w:t>L’Engle</w:t>
      </w:r>
      <w:proofErr w:type="spellEnd"/>
      <w:r w:rsidRPr="00DD69AE">
        <w:rPr>
          <w:sz w:val="24"/>
          <w:szCs w:val="24"/>
          <w:lang w:val="en-US"/>
        </w:rPr>
        <w:t xml:space="preserve"> reveals urban scenes generally featured long-robed figures, while lower classes of society – including criminals - tended to be “distinguished in medieval representations by more modest or abbreviated clothing … In general, short robes … designated an individual of inferior social class or of questionable merit”.</w:t>
      </w:r>
      <w:r w:rsidRPr="00DD69AE">
        <w:rPr>
          <w:rStyle w:val="FootnoteReference"/>
          <w:sz w:val="24"/>
          <w:szCs w:val="24"/>
          <w:lang w:val="en-US"/>
        </w:rPr>
        <w:footnoteReference w:id="50"/>
      </w:r>
      <w:r w:rsidRPr="00DD69AE">
        <w:rPr>
          <w:sz w:val="24"/>
          <w:szCs w:val="24"/>
          <w:lang w:val="en-US"/>
        </w:rPr>
        <w:t xml:space="preserve"> This distinction may explain </w:t>
      </w:r>
      <w:proofErr w:type="spellStart"/>
      <w:r w:rsidRPr="00DD69AE">
        <w:rPr>
          <w:sz w:val="24"/>
          <w:szCs w:val="24"/>
          <w:lang w:val="en-US"/>
        </w:rPr>
        <w:t>Maso’s</w:t>
      </w:r>
      <w:proofErr w:type="spellEnd"/>
      <w:r w:rsidRPr="00DD69AE">
        <w:rPr>
          <w:sz w:val="24"/>
          <w:szCs w:val="24"/>
          <w:lang w:val="en-US"/>
        </w:rPr>
        <w:t xml:space="preserve"> view of the judge’s gown being shorter than his robe as “unbecoming in any person of tidy habits and gentle breeding”; his comments representing the views of a citizen of a thriving and important city such as Florence of someone from the Marches, a </w:t>
      </w:r>
      <w:r w:rsidRPr="00DD69AE">
        <w:rPr>
          <w:sz w:val="24"/>
          <w:szCs w:val="24"/>
          <w:lang w:val="en-US"/>
        </w:rPr>
        <w:lastRenderedPageBreak/>
        <w:t>less-distinguished location, and towards those from lower social classes, a ‘coppersmith’, or those ‘</w:t>
      </w:r>
      <w:r w:rsidRPr="00DD69AE">
        <w:rPr>
          <w:rFonts w:ascii="Calibri" w:hAnsi="Calibri"/>
          <w:sz w:val="24"/>
          <w:szCs w:val="24"/>
          <w:lang w:val="en-US"/>
        </w:rPr>
        <w:t>brought up behind a plough or recruited from a cobbler’s shop’</w:t>
      </w:r>
      <w:r w:rsidRPr="00DD69AE">
        <w:rPr>
          <w:sz w:val="24"/>
          <w:szCs w:val="24"/>
          <w:lang w:val="en-US"/>
        </w:rPr>
        <w:t>.</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 xml:space="preserve">Alternatively, </w:t>
      </w:r>
      <w:proofErr w:type="spellStart"/>
      <w:r w:rsidRPr="00DD69AE">
        <w:rPr>
          <w:sz w:val="24"/>
          <w:szCs w:val="24"/>
          <w:lang w:val="en-US"/>
        </w:rPr>
        <w:t>Maso’s</w:t>
      </w:r>
      <w:proofErr w:type="spellEnd"/>
      <w:r w:rsidRPr="00DD69AE">
        <w:rPr>
          <w:sz w:val="24"/>
          <w:szCs w:val="24"/>
          <w:lang w:val="en-US"/>
        </w:rPr>
        <w:t xml:space="preserve"> critical view of the length of the gown worn by the judge may have derived from</w:t>
      </w:r>
      <w:r w:rsidRPr="00DD69AE">
        <w:rPr>
          <w:rFonts w:cs="Calibri"/>
          <w:sz w:val="24"/>
          <w:szCs w:val="24"/>
          <w:lang w:val="en-US"/>
        </w:rPr>
        <w:t xml:space="preserve"> an association of shorter robes with a </w:t>
      </w:r>
      <w:r w:rsidRPr="00DD69AE">
        <w:rPr>
          <w:sz w:val="24"/>
          <w:szCs w:val="24"/>
          <w:lang w:val="en-US"/>
        </w:rPr>
        <w:t>hated</w:t>
      </w:r>
      <w:r w:rsidRPr="00DD69AE">
        <w:rPr>
          <w:rFonts w:cs="Calibri"/>
          <w:sz w:val="24"/>
          <w:szCs w:val="24"/>
          <w:lang w:val="en-US"/>
        </w:rPr>
        <w:t xml:space="preserve"> political regime</w:t>
      </w:r>
      <w:r w:rsidRPr="00DD69AE">
        <w:rPr>
          <w:sz w:val="24"/>
          <w:szCs w:val="24"/>
          <w:lang w:val="en-US"/>
        </w:rPr>
        <w:t xml:space="preserve">. In Florence, the style for shorter robes came to be associated with the </w:t>
      </w:r>
      <w:r w:rsidRPr="00DD69AE">
        <w:rPr>
          <w:rFonts w:cs="Calibri"/>
          <w:sz w:val="24"/>
          <w:szCs w:val="24"/>
          <w:lang w:val="en-US"/>
        </w:rPr>
        <w:t>French followers of Walter IV de Brienne, the Duke of Athens, who had a brief ten month period of despotic rule over Florence in 1342-3 before he was forced from the city (this is discussed in more detail below).</w:t>
      </w:r>
      <w:r w:rsidRPr="00DD69AE">
        <w:rPr>
          <w:rStyle w:val="FootnoteReference"/>
          <w:rFonts w:cs="Calibri"/>
          <w:sz w:val="24"/>
          <w:szCs w:val="24"/>
          <w:lang w:val="en-US"/>
        </w:rPr>
        <w:footnoteReference w:id="51"/>
      </w:r>
      <w:r w:rsidRPr="00DD69AE">
        <w:rPr>
          <w:rFonts w:cs="Calibri"/>
          <w:sz w:val="24"/>
          <w:szCs w:val="24"/>
          <w:lang w:val="en-US"/>
        </w:rPr>
        <w:t xml:space="preserve"> Odile Blanc noted that “the new mode of dress became a symbol for the illegitimate government of Florence that had appointed a foreigner as head of the city-state”.</w:t>
      </w:r>
      <w:r w:rsidRPr="00DD69AE">
        <w:rPr>
          <w:rStyle w:val="FootnoteReference"/>
          <w:rFonts w:cs="Calibri"/>
          <w:sz w:val="24"/>
          <w:szCs w:val="24"/>
          <w:lang w:val="en-US"/>
        </w:rPr>
        <w:footnoteReference w:id="52"/>
      </w:r>
      <w:r w:rsidRPr="00DD69AE">
        <w:rPr>
          <w:rFonts w:cs="Calibri"/>
          <w:sz w:val="24"/>
          <w:szCs w:val="24"/>
          <w:lang w:val="en-US"/>
        </w:rPr>
        <w:t xml:space="preserve"> Worn intentionally to invoke this regime, or otherwise, this association would have ensured short robes were noteworthy in mid-fourteenth century Florence. </w:t>
      </w:r>
      <w:r w:rsidRPr="00DD69AE">
        <w:rPr>
          <w:sz w:val="24"/>
          <w:szCs w:val="24"/>
          <w:lang w:val="en-US"/>
        </w:rPr>
        <w:t xml:space="preserve">In any event, the tale informs us that the judge’s under-tunic hung down below his outer robe, and that this was a sartorial </w:t>
      </w:r>
      <w:r w:rsidRPr="00DD69AE">
        <w:rPr>
          <w:i/>
          <w:sz w:val="24"/>
          <w:szCs w:val="24"/>
          <w:lang w:val="en-US"/>
        </w:rPr>
        <w:t xml:space="preserve">faux pas </w:t>
      </w:r>
      <w:r w:rsidRPr="00DD69AE">
        <w:rPr>
          <w:sz w:val="24"/>
          <w:szCs w:val="24"/>
          <w:lang w:val="en-US"/>
        </w:rPr>
        <w:t>worthy of criticism.</w:t>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rFonts w:ascii="Calibri" w:hAnsi="Calibri" w:cs="Calibri"/>
          <w:sz w:val="24"/>
          <w:szCs w:val="24"/>
          <w:lang w:val="en-US"/>
        </w:rPr>
        <w:t xml:space="preserve">A contemporary Florentine viewer would have been well-equipped to draw quite detailed conclusions about a woolen garment and its wearer, </w:t>
      </w:r>
      <w:r w:rsidRPr="00DD69AE">
        <w:rPr>
          <w:rFonts w:cs="Calibri"/>
          <w:sz w:val="24"/>
          <w:szCs w:val="24"/>
          <w:lang w:val="en-US"/>
        </w:rPr>
        <w:t xml:space="preserve">as much of the city’s wealth derived from wool. </w:t>
      </w:r>
      <w:r w:rsidRPr="00DD69AE">
        <w:rPr>
          <w:rFonts w:ascii="Calibri" w:hAnsi="Calibri" w:cs="Calibri"/>
          <w:sz w:val="24"/>
          <w:szCs w:val="24"/>
          <w:lang w:val="en-US"/>
        </w:rPr>
        <w:t xml:space="preserve">A </w:t>
      </w:r>
      <w:r w:rsidRPr="00DD69AE">
        <w:rPr>
          <w:rFonts w:cs="Calibri"/>
          <w:sz w:val="24"/>
          <w:szCs w:val="24"/>
          <w:lang w:val="en-US" w:eastAsia="en-GB"/>
        </w:rPr>
        <w:t>fourteenth century</w:t>
      </w:r>
      <w:r w:rsidRPr="00DD69AE">
        <w:rPr>
          <w:rFonts w:ascii="Calibri" w:hAnsi="Calibri" w:cs="Calibri"/>
          <w:sz w:val="24"/>
          <w:szCs w:val="24"/>
          <w:lang w:val="en-US"/>
        </w:rPr>
        <w:t xml:space="preserve"> chronicle estimated its total annual value of wool production in the 1330s at 1,200,000 florins, not including profits</w:t>
      </w:r>
      <w:r w:rsidRPr="00DD69AE">
        <w:rPr>
          <w:rFonts w:ascii="Calibri" w:hAnsi="Calibri" w:cs="Calibri"/>
          <w:i/>
          <w:sz w:val="24"/>
          <w:szCs w:val="24"/>
          <w:lang w:val="en-US"/>
        </w:rPr>
        <w:t>.</w:t>
      </w:r>
      <w:r w:rsidRPr="00DD69AE">
        <w:rPr>
          <w:rFonts w:ascii="Calibri" w:hAnsi="Calibri" w:cs="Calibri"/>
          <w:sz w:val="24"/>
          <w:szCs w:val="24"/>
          <w:vertAlign w:val="superscript"/>
          <w:lang w:val="en-US"/>
        </w:rPr>
        <w:footnoteReference w:id="53"/>
      </w:r>
      <w:r w:rsidRPr="00DD69AE">
        <w:rPr>
          <w:rFonts w:ascii="Calibri" w:hAnsi="Calibri" w:cs="Calibri"/>
          <w:sz w:val="24"/>
          <w:szCs w:val="24"/>
          <w:lang w:val="en-US"/>
        </w:rPr>
        <w:t xml:space="preserve"> For context, average annual living costs at that time were around 13.5 florins per annum.</w:t>
      </w:r>
      <w:r w:rsidRPr="00DD69AE">
        <w:rPr>
          <w:rFonts w:ascii="Calibri" w:hAnsi="Calibri" w:cs="Calibri"/>
          <w:sz w:val="24"/>
          <w:szCs w:val="24"/>
          <w:vertAlign w:val="superscript"/>
          <w:lang w:val="en-US"/>
        </w:rPr>
        <w:footnoteReference w:id="54"/>
      </w:r>
      <w:r w:rsidRPr="00DD69AE">
        <w:rPr>
          <w:rFonts w:ascii="Calibri" w:hAnsi="Calibri" w:cs="Calibri"/>
          <w:sz w:val="24"/>
          <w:szCs w:val="24"/>
          <w:lang w:val="en-US"/>
        </w:rPr>
        <w:t xml:space="preserve"> It is estimated that in the second quarter of the fourteenth century at least 10,000 artisans and workers would </w:t>
      </w:r>
      <w:r w:rsidRPr="00DD69AE">
        <w:rPr>
          <w:rFonts w:ascii="Calibri" w:hAnsi="Calibri" w:cs="Calibri"/>
          <w:sz w:val="24"/>
          <w:szCs w:val="24"/>
          <w:lang w:val="en-US"/>
        </w:rPr>
        <w:lastRenderedPageBreak/>
        <w:t>have had some involvement in the wool trade in Florence.</w:t>
      </w:r>
      <w:r w:rsidRPr="00DD69AE">
        <w:rPr>
          <w:rFonts w:ascii="Calibri" w:hAnsi="Calibri" w:cs="Calibri"/>
          <w:sz w:val="24"/>
          <w:szCs w:val="24"/>
          <w:vertAlign w:val="superscript"/>
          <w:lang w:val="en-US"/>
        </w:rPr>
        <w:footnoteReference w:id="55"/>
      </w:r>
      <w:r w:rsidRPr="00DD69AE">
        <w:rPr>
          <w:rFonts w:ascii="Calibri" w:hAnsi="Calibri" w:cs="Calibri"/>
          <w:sz w:val="24"/>
          <w:szCs w:val="24"/>
          <w:lang w:val="en-US"/>
        </w:rPr>
        <w:t xml:space="preserve"> Other accounts suggest that roughly one-third of the population of Florence was involved in the wool industry in some form.</w:t>
      </w:r>
      <w:r w:rsidRPr="00DD69AE">
        <w:rPr>
          <w:rFonts w:ascii="Calibri" w:hAnsi="Calibri" w:cs="Calibri"/>
          <w:color w:val="231F20"/>
          <w:sz w:val="24"/>
          <w:szCs w:val="24"/>
          <w:vertAlign w:val="superscript"/>
          <w:lang w:val="en-US"/>
        </w:rPr>
        <w:footnoteReference w:id="56"/>
      </w:r>
      <w:r w:rsidRPr="00DD69AE">
        <w:rPr>
          <w:rFonts w:ascii="Calibri" w:hAnsi="Calibri" w:cs="Calibri"/>
          <w:sz w:val="24"/>
          <w:szCs w:val="24"/>
          <w:lang w:val="en-US"/>
        </w:rPr>
        <w:t xml:space="preserve"> Carole Collier Frick observed of Renaissance Florence that “in such a cloth-sophisticated milieu, every subtle distinction between grades of fabric was undoubtedly known and evaluated”.</w:t>
      </w:r>
      <w:r w:rsidRPr="00DD69AE">
        <w:rPr>
          <w:rStyle w:val="FootnoteReference"/>
          <w:rFonts w:ascii="Calibri" w:hAnsi="Calibri" w:cs="Calibri"/>
          <w:sz w:val="24"/>
          <w:szCs w:val="24"/>
          <w:lang w:val="en-US"/>
        </w:rPr>
        <w:footnoteReference w:id="57"/>
      </w:r>
      <w:r w:rsidRPr="00DD69AE">
        <w:rPr>
          <w:rFonts w:ascii="Calibri" w:hAnsi="Calibri" w:cs="Calibri"/>
          <w:sz w:val="24"/>
          <w:szCs w:val="24"/>
          <w:lang w:val="en-US"/>
        </w:rPr>
        <w:t xml:space="preserve"> The production of wool involved at least 27 different processes.</w:t>
      </w:r>
      <w:r w:rsidRPr="00DD69AE">
        <w:rPr>
          <w:rStyle w:val="FootnoteReference"/>
          <w:rFonts w:ascii="Calibri" w:hAnsi="Calibri" w:cs="Calibri"/>
          <w:sz w:val="24"/>
          <w:szCs w:val="24"/>
          <w:lang w:val="en-US"/>
        </w:rPr>
        <w:footnoteReference w:id="58"/>
      </w:r>
      <w:r w:rsidRPr="00DD69AE">
        <w:rPr>
          <w:rFonts w:ascii="Calibri" w:hAnsi="Calibri" w:cs="Calibri"/>
          <w:sz w:val="24"/>
          <w:szCs w:val="24"/>
          <w:lang w:val="en-US"/>
        </w:rPr>
        <w:t xml:space="preserve"> However, some finer grades of wool required even more. For example, ‘</w:t>
      </w:r>
      <w:r w:rsidRPr="00DD69AE">
        <w:rPr>
          <w:rFonts w:cs="Calibri"/>
          <w:sz w:val="24"/>
          <w:szCs w:val="24"/>
          <w:lang w:val="en-US"/>
        </w:rPr>
        <w:t>scarlet’ was not so much a color as a specific and expensive woolen cloth.</w:t>
      </w:r>
      <w:r w:rsidRPr="00DD69AE">
        <w:rPr>
          <w:rStyle w:val="FootnoteReference"/>
          <w:rFonts w:cs="Calibri"/>
          <w:sz w:val="24"/>
          <w:szCs w:val="24"/>
          <w:lang w:val="en-US"/>
        </w:rPr>
        <w:footnoteReference w:id="59"/>
      </w:r>
      <w:r w:rsidRPr="00DD69AE">
        <w:rPr>
          <w:rFonts w:cs="Calibri"/>
          <w:sz w:val="24"/>
          <w:szCs w:val="24"/>
          <w:lang w:val="en-US"/>
        </w:rPr>
        <w:t xml:space="preserve"> Much of its expense – and therefore its cachet – lay in the complexity of its manufacture. It required elaborate finishing, brushing three times and shearing the raised surface, to produce a finish that was “soft, dense and velvety”.</w:t>
      </w:r>
      <w:r w:rsidRPr="00DD69AE">
        <w:rPr>
          <w:rStyle w:val="FootnoteReference"/>
          <w:rFonts w:cs="Calibri"/>
          <w:sz w:val="24"/>
          <w:szCs w:val="24"/>
          <w:lang w:val="en-US"/>
        </w:rPr>
        <w:footnoteReference w:id="60"/>
      </w:r>
      <w:r w:rsidRPr="00DD69AE">
        <w:rPr>
          <w:rFonts w:cs="Calibri"/>
          <w:sz w:val="24"/>
          <w:szCs w:val="24"/>
          <w:lang w:val="en-US"/>
        </w:rPr>
        <w:t xml:space="preserve"> Such cloth would have been associated with higher levels of society.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Many early judges would have been nobles, or figures of established authority within a particular community. Indeed, </w:t>
      </w:r>
      <w:proofErr w:type="spellStart"/>
      <w:r w:rsidRPr="00DD69AE">
        <w:rPr>
          <w:rFonts w:eastAsiaTheme="minorEastAsia" w:cs="Calibri"/>
          <w:sz w:val="24"/>
          <w:szCs w:val="24"/>
          <w:lang w:val="en-US" w:eastAsia="zh-CN"/>
        </w:rPr>
        <w:t>Lauro</w:t>
      </w:r>
      <w:proofErr w:type="spellEnd"/>
      <w:r w:rsidRPr="00DD69AE">
        <w:rPr>
          <w:rFonts w:eastAsiaTheme="minorEastAsia" w:cs="Calibri"/>
          <w:sz w:val="24"/>
          <w:szCs w:val="24"/>
          <w:lang w:val="en-US" w:eastAsia="zh-CN"/>
        </w:rPr>
        <w:t xml:space="preserve"> </w:t>
      </w:r>
      <w:proofErr w:type="spellStart"/>
      <w:r w:rsidRPr="00DD69AE">
        <w:rPr>
          <w:rFonts w:eastAsiaTheme="minorEastAsia" w:cs="Calibri"/>
          <w:sz w:val="24"/>
          <w:szCs w:val="24"/>
          <w:lang w:val="en-US" w:eastAsia="zh-CN"/>
        </w:rPr>
        <w:t>Martines</w:t>
      </w:r>
      <w:proofErr w:type="spellEnd"/>
      <w:r w:rsidRPr="00DD69AE">
        <w:rPr>
          <w:rFonts w:eastAsiaTheme="minorEastAsia" w:cs="Calibri"/>
          <w:sz w:val="24"/>
          <w:szCs w:val="24"/>
          <w:lang w:val="en-US" w:eastAsia="zh-CN"/>
        </w:rPr>
        <w:t xml:space="preserve">’ analysis of family and background indicated that most prominent </w:t>
      </w:r>
      <w:r w:rsidRPr="00DD69AE">
        <w:rPr>
          <w:rFonts w:cs="Calibri"/>
          <w:sz w:val="24"/>
          <w:szCs w:val="24"/>
          <w:lang w:val="en-US" w:eastAsia="en-GB"/>
        </w:rPr>
        <w:t>fourteenth century</w:t>
      </w:r>
      <w:r w:rsidRPr="00DD69AE">
        <w:rPr>
          <w:rFonts w:eastAsiaTheme="minorEastAsia" w:cs="Calibri"/>
          <w:sz w:val="24"/>
          <w:szCs w:val="24"/>
          <w:lang w:val="en-US" w:eastAsia="zh-CN"/>
        </w:rPr>
        <w:t xml:space="preserve"> Florentine lawyers came from old ruling families.</w:t>
      </w:r>
      <w:r w:rsidRPr="00DD69AE">
        <w:rPr>
          <w:rStyle w:val="FootnoteReference"/>
          <w:rFonts w:eastAsiaTheme="minorEastAsia" w:cs="Calibri"/>
          <w:sz w:val="24"/>
          <w:szCs w:val="24"/>
          <w:lang w:val="en-US" w:eastAsia="zh-CN"/>
        </w:rPr>
        <w:footnoteReference w:id="61"/>
      </w:r>
      <w:r w:rsidRPr="00DD69AE">
        <w:rPr>
          <w:rFonts w:eastAsiaTheme="minorEastAsia" w:cs="Calibri"/>
          <w:sz w:val="24"/>
          <w:szCs w:val="24"/>
          <w:lang w:val="en-US" w:eastAsia="zh-CN"/>
        </w:rPr>
        <w:t xml:space="preserve"> </w:t>
      </w:r>
      <w:r w:rsidRPr="00DD69AE">
        <w:rPr>
          <w:rFonts w:cs="Calibri"/>
          <w:sz w:val="24"/>
          <w:szCs w:val="24"/>
          <w:lang w:val="en-US"/>
        </w:rPr>
        <w:t xml:space="preserve">So, it is possible that at the time of the </w:t>
      </w:r>
      <w:r w:rsidRPr="00DD69AE">
        <w:rPr>
          <w:rFonts w:cs="Calibri"/>
          <w:i/>
          <w:sz w:val="24"/>
          <w:szCs w:val="24"/>
          <w:lang w:val="en-US"/>
        </w:rPr>
        <w:t>Decameron</w:t>
      </w:r>
      <w:r w:rsidRPr="00DD69AE">
        <w:rPr>
          <w:rFonts w:cs="Calibri"/>
          <w:sz w:val="24"/>
          <w:szCs w:val="24"/>
          <w:lang w:val="en-US"/>
        </w:rPr>
        <w:t>, judges would tend to wear clothing similar to that of doctors of law or medicine, and other figures of secular authority (many judges may have been doctors of law, of course).</w:t>
      </w:r>
      <w:r w:rsidRPr="00DD69AE">
        <w:rPr>
          <w:rStyle w:val="FootnoteReference"/>
          <w:rFonts w:cs="Calibri"/>
          <w:sz w:val="24"/>
          <w:szCs w:val="24"/>
          <w:lang w:val="en-US"/>
        </w:rPr>
        <w:footnoteReference w:id="62"/>
      </w:r>
      <w:r w:rsidRPr="00DD69AE">
        <w:rPr>
          <w:rFonts w:cs="Calibri"/>
          <w:sz w:val="24"/>
          <w:szCs w:val="24"/>
          <w:lang w:val="en-US"/>
        </w:rPr>
        <w:t xml:space="preserve"> </w:t>
      </w:r>
      <w:r w:rsidRPr="00DD69AE">
        <w:rPr>
          <w:rFonts w:eastAsiaTheme="minorEastAsia" w:cs="Calibri"/>
          <w:sz w:val="24"/>
          <w:szCs w:val="24"/>
          <w:lang w:val="en-US" w:eastAsia="zh-CN"/>
        </w:rPr>
        <w:t>Judicial and legal</w:t>
      </w:r>
      <w:r w:rsidRPr="00DD69AE">
        <w:rPr>
          <w:rFonts w:eastAsiaTheme="minorEastAsia" w:cs="Calibri"/>
          <w:sz w:val="28"/>
          <w:szCs w:val="28"/>
          <w:lang w:val="en-US" w:eastAsia="zh-CN"/>
        </w:rPr>
        <w:t xml:space="preserve"> </w:t>
      </w:r>
      <w:r w:rsidRPr="00DD69AE">
        <w:rPr>
          <w:rFonts w:cs="Calibri"/>
          <w:sz w:val="24"/>
          <w:szCs w:val="24"/>
          <w:lang w:val="en-US"/>
        </w:rPr>
        <w:t xml:space="preserve">clothing could therefore include robes, often made of the expensive woolen cloth ‘scarlet’. As discussed above, these woolen robes could have white trim or features, being </w:t>
      </w:r>
      <w:r w:rsidRPr="00DD69AE">
        <w:rPr>
          <w:rFonts w:cs="Calibri"/>
          <w:sz w:val="24"/>
          <w:szCs w:val="24"/>
          <w:lang w:val="en-US" w:eastAsia="en-GB"/>
        </w:rPr>
        <w:t xml:space="preserve">trimmed or lined with </w:t>
      </w:r>
      <w:r w:rsidRPr="00DD69AE">
        <w:rPr>
          <w:rFonts w:cs="Calibri"/>
          <w:sz w:val="24"/>
          <w:szCs w:val="24"/>
          <w:lang w:val="en-US" w:eastAsia="en-GB"/>
        </w:rPr>
        <w:lastRenderedPageBreak/>
        <w:t>fur,</w:t>
      </w:r>
      <w:r w:rsidRPr="00DD69AE">
        <w:rPr>
          <w:rFonts w:cs="Calibri"/>
          <w:sz w:val="24"/>
          <w:szCs w:val="24"/>
          <w:lang w:val="en-US"/>
        </w:rPr>
        <w:t xml:space="preserve"> </w:t>
      </w:r>
      <w:r w:rsidRPr="00DD69AE">
        <w:rPr>
          <w:rFonts w:cs="Calibri"/>
          <w:sz w:val="24"/>
          <w:szCs w:val="24"/>
          <w:lang w:val="en-US" w:eastAsia="en-GB"/>
        </w:rPr>
        <w:t xml:space="preserve">and were sometimes worn with a hat similarly trimmed, or a shoulder-cape of such fur. </w:t>
      </w:r>
      <w:r w:rsidRPr="00DD69AE">
        <w:rPr>
          <w:rFonts w:cs="Calibri"/>
          <w:sz w:val="24"/>
          <w:szCs w:val="24"/>
          <w:lang w:val="en-US"/>
        </w:rPr>
        <w:t>This seems consistent with references in Boccaccio’s</w:t>
      </w:r>
      <w:r w:rsidRPr="00DD69AE">
        <w:rPr>
          <w:rFonts w:cs="Calibri"/>
          <w:i/>
          <w:sz w:val="24"/>
          <w:szCs w:val="24"/>
          <w:lang w:val="en-US"/>
        </w:rPr>
        <w:t xml:space="preserve"> Decameron</w:t>
      </w:r>
      <w:r w:rsidRPr="00DD69AE">
        <w:rPr>
          <w:rFonts w:cs="Calibri"/>
          <w:sz w:val="24"/>
          <w:szCs w:val="24"/>
          <w:lang w:val="en-US"/>
        </w:rPr>
        <w:t xml:space="preserve"> to Florentine judges or lawyers in flowing robes of scarlet and </w:t>
      </w:r>
      <w:proofErr w:type="spellStart"/>
      <w:r w:rsidRPr="00DD69AE">
        <w:rPr>
          <w:rFonts w:cs="Calibri"/>
          <w:sz w:val="24"/>
          <w:szCs w:val="24"/>
          <w:lang w:val="en-US"/>
        </w:rPr>
        <w:t>vair</w:t>
      </w:r>
      <w:proofErr w:type="spellEnd"/>
      <w:r w:rsidRPr="00DD69AE">
        <w:rPr>
          <w:rFonts w:cs="Calibri"/>
          <w:sz w:val="24"/>
          <w:szCs w:val="24"/>
          <w:lang w:val="en-US"/>
        </w:rPr>
        <w:t xml:space="preserve"> (VIII, 9).</w:t>
      </w:r>
      <w:r w:rsidRPr="00DD69AE">
        <w:rPr>
          <w:rStyle w:val="FootnoteReference"/>
          <w:rFonts w:cs="Calibri"/>
          <w:sz w:val="24"/>
          <w:szCs w:val="24"/>
          <w:lang w:val="en-US"/>
        </w:rPr>
        <w:footnoteReference w:id="63"/>
      </w:r>
      <w:r w:rsidRPr="00DD69AE">
        <w:rPr>
          <w:rFonts w:cs="Calibri"/>
          <w:sz w:val="24"/>
          <w:szCs w:val="24"/>
          <w:lang w:val="en-US" w:eastAsia="en-GB"/>
        </w:rPr>
        <w:t xml:space="preserve"> It is therefore significant that </w:t>
      </w:r>
      <w:r w:rsidRPr="00DD69AE">
        <w:rPr>
          <w:rFonts w:cs="Calibri"/>
          <w:sz w:val="24"/>
          <w:szCs w:val="24"/>
          <w:lang w:val="en-US"/>
        </w:rPr>
        <w:t>“luxury trimmings such as fur linings automatically evoke status and power”.</w:t>
      </w:r>
      <w:r w:rsidRPr="00DD69AE">
        <w:rPr>
          <w:rStyle w:val="FootnoteReference"/>
          <w:rFonts w:cs="Calibri"/>
          <w:sz w:val="24"/>
          <w:szCs w:val="24"/>
          <w:lang w:val="en-US"/>
        </w:rPr>
        <w:footnoteReference w:id="64"/>
      </w:r>
      <w:r w:rsidRPr="00DD69AE">
        <w:rPr>
          <w:rFonts w:cs="Calibri"/>
          <w:sz w:val="24"/>
          <w:szCs w:val="24"/>
          <w:lang w:val="en-US"/>
        </w:rPr>
        <w:t xml:space="preserve">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A highly visible and readily identifiable means of identifying the status and authority of the judge in any courtroom was to adopt specific and noticeable clothing</w:t>
      </w:r>
      <w:r>
        <w:rPr>
          <w:rFonts w:cs="Calibri"/>
          <w:sz w:val="24"/>
          <w:szCs w:val="24"/>
          <w:lang w:val="en-US"/>
        </w:rPr>
        <w:t>.</w:t>
      </w:r>
      <w:r w:rsidRPr="00DD69AE">
        <w:rPr>
          <w:rFonts w:cs="Calibri"/>
          <w:sz w:val="24"/>
          <w:szCs w:val="24"/>
          <w:lang w:val="en-US"/>
        </w:rPr>
        <w:t xml:space="preserve"> Fourteenth century Florentine courtrooms also evidently used </w:t>
      </w:r>
      <w:r>
        <w:rPr>
          <w:rFonts w:cs="Calibri"/>
          <w:sz w:val="24"/>
          <w:szCs w:val="24"/>
          <w:lang w:val="en-US"/>
        </w:rPr>
        <w:t xml:space="preserve">other </w:t>
      </w:r>
      <w:r w:rsidRPr="00DD69AE">
        <w:rPr>
          <w:rFonts w:cs="Calibri"/>
          <w:sz w:val="24"/>
          <w:szCs w:val="24"/>
          <w:lang w:val="en-US"/>
        </w:rPr>
        <w:t>physical signifiers of judicial status; as noted above, in the tale the judge sat on “the bench of justice”;</w:t>
      </w:r>
      <w:r w:rsidRPr="00DD69AE">
        <w:rPr>
          <w:rStyle w:val="FootnoteReference"/>
          <w:rFonts w:cs="Calibri"/>
          <w:sz w:val="24"/>
          <w:szCs w:val="24"/>
          <w:lang w:val="en-US"/>
        </w:rPr>
        <w:footnoteReference w:id="65"/>
      </w:r>
      <w:r w:rsidRPr="00DD69AE">
        <w:rPr>
          <w:rFonts w:cs="Calibri"/>
          <w:sz w:val="24"/>
          <w:szCs w:val="24"/>
          <w:lang w:val="en-US"/>
        </w:rPr>
        <w:t xml:space="preserve"> this was raised on a platform, and sufficiently elevated for </w:t>
      </w:r>
      <w:proofErr w:type="spellStart"/>
      <w:r w:rsidRPr="00DD69AE">
        <w:rPr>
          <w:rFonts w:cs="Calibri"/>
          <w:sz w:val="24"/>
          <w:szCs w:val="24"/>
          <w:lang w:val="en-US"/>
        </w:rPr>
        <w:t>Maso’s</w:t>
      </w:r>
      <w:proofErr w:type="spellEnd"/>
      <w:r w:rsidRPr="00DD69AE">
        <w:rPr>
          <w:rFonts w:cs="Calibri"/>
          <w:sz w:val="24"/>
          <w:szCs w:val="24"/>
          <w:lang w:val="en-US"/>
        </w:rPr>
        <w:t xml:space="preserve"> friend to conceal h</w:t>
      </w:r>
      <w:r>
        <w:rPr>
          <w:rFonts w:cs="Calibri"/>
          <w:sz w:val="24"/>
          <w:szCs w:val="24"/>
          <w:lang w:val="en-US"/>
        </w:rPr>
        <w:t>i</w:t>
      </w:r>
      <w:r w:rsidRPr="00DD69AE">
        <w:rPr>
          <w:rFonts w:cs="Calibri"/>
          <w:sz w:val="24"/>
          <w:szCs w:val="24"/>
          <w:lang w:val="en-US"/>
        </w:rPr>
        <w:t>msel</w:t>
      </w:r>
      <w:r>
        <w:rPr>
          <w:rFonts w:cs="Calibri"/>
          <w:sz w:val="24"/>
          <w:szCs w:val="24"/>
          <w:lang w:val="en-US"/>
        </w:rPr>
        <w:t>f</w:t>
      </w:r>
      <w:r w:rsidRPr="00DD69AE">
        <w:rPr>
          <w:rFonts w:cs="Calibri"/>
          <w:sz w:val="24"/>
          <w:szCs w:val="24"/>
          <w:lang w:val="en-US"/>
        </w:rPr>
        <w:t xml:space="preserve"> beneath.</w:t>
      </w:r>
      <w:r w:rsidRPr="00DD69AE">
        <w:rPr>
          <w:rStyle w:val="FootnoteReference"/>
          <w:rFonts w:cs="Calibri"/>
          <w:sz w:val="24"/>
          <w:szCs w:val="24"/>
          <w:lang w:val="en-US"/>
        </w:rPr>
        <w:footnoteReference w:id="66"/>
      </w:r>
      <w:r w:rsidRPr="00DD69AE">
        <w:rPr>
          <w:rFonts w:cs="Calibri"/>
          <w:sz w:val="24"/>
          <w:szCs w:val="24"/>
          <w:lang w:val="en-US"/>
        </w:rPr>
        <w:t xml:space="preserve"> Judicial clothing </w:t>
      </w:r>
      <w:r>
        <w:rPr>
          <w:rFonts w:cs="Calibri"/>
          <w:sz w:val="24"/>
          <w:szCs w:val="24"/>
          <w:lang w:val="en-US"/>
        </w:rPr>
        <w:t xml:space="preserve">and an elevated position </w:t>
      </w:r>
      <w:r w:rsidRPr="00DD69AE">
        <w:rPr>
          <w:rFonts w:cs="Calibri"/>
          <w:sz w:val="24"/>
          <w:szCs w:val="24"/>
          <w:lang w:val="en-US"/>
        </w:rPr>
        <w:t xml:space="preserve">emphasize the visibility of the law in that place; it is in a sense performative. The tale posits a relationship of appearance/attire and professional competence. With the wearing of clothing of status go certain expectations of the person in that role: the failures in the judge’s dress and appearance can therefore be read as ‘signs’ which act to diminish or devalue the status attached to legal professionals. This is perhaps best exemplified in </w:t>
      </w:r>
      <w:proofErr w:type="spellStart"/>
      <w:r w:rsidRPr="00DD69AE">
        <w:rPr>
          <w:rFonts w:cs="Calibri"/>
          <w:sz w:val="24"/>
          <w:szCs w:val="24"/>
          <w:lang w:val="en-US"/>
        </w:rPr>
        <w:t>Maso’s</w:t>
      </w:r>
      <w:proofErr w:type="spellEnd"/>
      <w:r w:rsidRPr="00DD69AE">
        <w:rPr>
          <w:rFonts w:cs="Calibri"/>
          <w:sz w:val="24"/>
          <w:szCs w:val="24"/>
          <w:lang w:val="en-US"/>
        </w:rPr>
        <w:t xml:space="preserve"> criticism of the “remarkable” breeches of the judge, with their drooping crotch.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We can perhaps see one consequence of this diminution or devaluation in the fact that </w:t>
      </w:r>
      <w:proofErr w:type="spellStart"/>
      <w:r w:rsidRPr="00DD69AE">
        <w:rPr>
          <w:rFonts w:cs="Calibri"/>
          <w:sz w:val="24"/>
          <w:szCs w:val="24"/>
          <w:lang w:val="en-US"/>
        </w:rPr>
        <w:t>Maso</w:t>
      </w:r>
      <w:proofErr w:type="spellEnd"/>
      <w:r w:rsidRPr="00DD69AE">
        <w:rPr>
          <w:rFonts w:cs="Calibri"/>
          <w:sz w:val="24"/>
          <w:szCs w:val="24"/>
          <w:lang w:val="en-US"/>
        </w:rPr>
        <w:t xml:space="preserve"> and his friends thought it acceptable to play a practical joke on a judge whilst he was in court and sitting on the bench of justice. Boccaccio’s use of humor is evident in many of the tales, several of which involve practical jokes</w:t>
      </w:r>
      <w:r w:rsidRPr="00DD69AE">
        <w:rPr>
          <w:sz w:val="24"/>
          <w:szCs w:val="24"/>
          <w:lang w:val="en-US"/>
        </w:rPr>
        <w:t xml:space="preserve"> with an element of slapstick or ridicule</w:t>
      </w:r>
      <w:r w:rsidRPr="00DD69AE">
        <w:rPr>
          <w:rFonts w:cs="Calibri"/>
          <w:sz w:val="24"/>
          <w:szCs w:val="24"/>
          <w:lang w:val="en-US"/>
        </w:rPr>
        <w:t xml:space="preserve">. </w:t>
      </w:r>
      <w:r w:rsidRPr="00DD69AE">
        <w:rPr>
          <w:rFonts w:cs="Calibri"/>
          <w:sz w:val="24"/>
          <w:szCs w:val="24"/>
          <w:lang w:val="en-US"/>
        </w:rPr>
        <w:lastRenderedPageBreak/>
        <w:t xml:space="preserve">These tales deploy the practical joke as a literary device, known as a </w:t>
      </w:r>
      <w:proofErr w:type="spellStart"/>
      <w:r w:rsidRPr="00DD69AE">
        <w:rPr>
          <w:rFonts w:cs="Calibri"/>
          <w:i/>
          <w:sz w:val="24"/>
          <w:szCs w:val="24"/>
          <w:lang w:val="en-US"/>
        </w:rPr>
        <w:t>beffa</w:t>
      </w:r>
      <w:proofErr w:type="spellEnd"/>
      <w:r w:rsidRPr="00DD69AE">
        <w:rPr>
          <w:rFonts w:cs="Calibri"/>
          <w:sz w:val="24"/>
          <w:szCs w:val="24"/>
          <w:lang w:val="en-US"/>
        </w:rPr>
        <w:t>, based primarily on the role of its agent or its victim.</w:t>
      </w:r>
      <w:r w:rsidRPr="00DD69AE">
        <w:rPr>
          <w:rStyle w:val="FootnoteReference"/>
          <w:rFonts w:cs="Calibri"/>
          <w:sz w:val="24"/>
          <w:szCs w:val="24"/>
          <w:lang w:val="en-US"/>
        </w:rPr>
        <w:footnoteReference w:id="67"/>
      </w:r>
      <w:r w:rsidRPr="00DD69AE">
        <w:rPr>
          <w:rFonts w:cs="Calibri"/>
          <w:sz w:val="24"/>
          <w:szCs w:val="24"/>
          <w:lang w:val="en-US"/>
        </w:rPr>
        <w:t xml:space="preserve"> Day VIII also features another tale, Story 9, in which a practical joke is played upon a member of a profession, in that case a doctor. The protagonist in VIII, 5, </w:t>
      </w:r>
      <w:proofErr w:type="spellStart"/>
      <w:r w:rsidRPr="00DD69AE">
        <w:rPr>
          <w:rFonts w:cs="Calibri"/>
          <w:sz w:val="24"/>
          <w:szCs w:val="24"/>
          <w:lang w:val="en-US"/>
        </w:rPr>
        <w:t>Maso</w:t>
      </w:r>
      <w:proofErr w:type="spellEnd"/>
      <w:r w:rsidRPr="00DD69AE">
        <w:rPr>
          <w:rFonts w:cs="Calibri"/>
          <w:sz w:val="24"/>
          <w:szCs w:val="24"/>
          <w:lang w:val="en-US"/>
        </w:rPr>
        <w:t xml:space="preserve"> </w:t>
      </w:r>
      <w:proofErr w:type="gramStart"/>
      <w:r w:rsidRPr="00DD69AE">
        <w:rPr>
          <w:rFonts w:cs="Calibri"/>
          <w:sz w:val="24"/>
          <w:szCs w:val="24"/>
          <w:lang w:val="en-US"/>
        </w:rPr>
        <w:t>del</w:t>
      </w:r>
      <w:proofErr w:type="gramEnd"/>
      <w:r w:rsidRPr="00DD69AE">
        <w:rPr>
          <w:rFonts w:cs="Calibri"/>
          <w:sz w:val="24"/>
          <w:szCs w:val="24"/>
          <w:lang w:val="en-US"/>
        </w:rPr>
        <w:t xml:space="preserve"> </w:t>
      </w:r>
      <w:proofErr w:type="spellStart"/>
      <w:r w:rsidRPr="00DD69AE">
        <w:rPr>
          <w:rFonts w:cs="Calibri"/>
          <w:sz w:val="24"/>
          <w:szCs w:val="24"/>
          <w:lang w:val="en-US"/>
        </w:rPr>
        <w:t>Saggio</w:t>
      </w:r>
      <w:proofErr w:type="spellEnd"/>
      <w:r w:rsidRPr="00DD69AE">
        <w:rPr>
          <w:rFonts w:cs="Calibri"/>
          <w:sz w:val="24"/>
          <w:szCs w:val="24"/>
          <w:lang w:val="en-US"/>
        </w:rPr>
        <w:t xml:space="preserve">, perpetrates another </w:t>
      </w:r>
      <w:proofErr w:type="spellStart"/>
      <w:r w:rsidRPr="00DD69AE">
        <w:rPr>
          <w:rFonts w:cs="Calibri"/>
          <w:i/>
          <w:sz w:val="24"/>
          <w:szCs w:val="24"/>
          <w:lang w:val="en-US"/>
        </w:rPr>
        <w:t>beffa</w:t>
      </w:r>
      <w:proofErr w:type="spellEnd"/>
      <w:r w:rsidRPr="00DD69AE">
        <w:rPr>
          <w:rFonts w:cs="Calibri"/>
          <w:sz w:val="24"/>
          <w:szCs w:val="24"/>
          <w:lang w:val="en-US"/>
        </w:rPr>
        <w:t xml:space="preserve"> on a simple fellow in VIII, 3. This would appear inappropriate in the case of someone holding the important and esteemed role as a judge in late medieval Florence. However, such a prank or deception is intended to achieve a specific goal.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sz w:val="24"/>
          <w:szCs w:val="24"/>
          <w:lang w:val="en-US"/>
        </w:rPr>
      </w:pPr>
      <w:r w:rsidRPr="00DD69AE">
        <w:rPr>
          <w:rFonts w:cs="Calibri"/>
          <w:sz w:val="24"/>
          <w:szCs w:val="24"/>
          <w:lang w:val="en-US"/>
        </w:rPr>
        <w:t xml:space="preserve">Salvatore Di Maria noted that Boccaccio made extensive use of the </w:t>
      </w:r>
      <w:proofErr w:type="spellStart"/>
      <w:r w:rsidRPr="00DD69AE">
        <w:rPr>
          <w:rFonts w:cs="Calibri"/>
          <w:i/>
          <w:sz w:val="24"/>
          <w:szCs w:val="24"/>
          <w:lang w:val="en-US"/>
        </w:rPr>
        <w:t>beffa</w:t>
      </w:r>
      <w:proofErr w:type="spellEnd"/>
      <w:r w:rsidRPr="00DD69AE">
        <w:rPr>
          <w:rFonts w:cs="Calibri"/>
          <w:sz w:val="24"/>
          <w:szCs w:val="24"/>
          <w:lang w:val="en-US"/>
        </w:rPr>
        <w:t xml:space="preserve"> in the Decameron, in which the dupes are characterized by “mental and/or social shortcomings”.</w:t>
      </w:r>
      <w:r w:rsidRPr="00DD69AE">
        <w:rPr>
          <w:rStyle w:val="FootnoteReference"/>
          <w:rFonts w:cs="Calibri"/>
          <w:sz w:val="24"/>
          <w:szCs w:val="24"/>
          <w:lang w:val="en-US"/>
        </w:rPr>
        <w:footnoteReference w:id="68"/>
      </w:r>
      <w:r w:rsidRPr="00DD69AE">
        <w:rPr>
          <w:rFonts w:cs="Calibri"/>
          <w:sz w:val="24"/>
          <w:szCs w:val="24"/>
          <w:lang w:val="en-US"/>
        </w:rPr>
        <w:t xml:space="preserve"> It has been suggested that “the foolish magistrate, like all fools in the Decameron, is mercilessly flouted by the tricksters”.</w:t>
      </w:r>
      <w:r w:rsidRPr="00DD69AE">
        <w:rPr>
          <w:rStyle w:val="FootnoteReference"/>
          <w:rFonts w:cs="Calibri"/>
          <w:sz w:val="24"/>
          <w:szCs w:val="24"/>
          <w:lang w:val="en-US"/>
        </w:rPr>
        <w:footnoteReference w:id="69"/>
      </w:r>
      <w:r w:rsidRPr="00DD69AE">
        <w:rPr>
          <w:rFonts w:cs="Calibri"/>
          <w:sz w:val="24"/>
          <w:szCs w:val="24"/>
          <w:lang w:val="en-US"/>
        </w:rPr>
        <w:t xml:space="preserve"> </w:t>
      </w:r>
      <w:r w:rsidRPr="00DD69AE">
        <w:rPr>
          <w:sz w:val="24"/>
          <w:szCs w:val="24"/>
          <w:lang w:val="en-US"/>
        </w:rPr>
        <w:t>The prank undoubtedly lowered the dignity of this judge, “literally divesting the figurehead of his semblance of authority”.</w:t>
      </w:r>
      <w:r w:rsidRPr="00DD69AE">
        <w:rPr>
          <w:rStyle w:val="FootnoteReference"/>
          <w:sz w:val="24"/>
          <w:szCs w:val="24"/>
          <w:lang w:val="en-US"/>
        </w:rPr>
        <w:footnoteReference w:id="70"/>
      </w:r>
      <w:r w:rsidRPr="00DD69AE">
        <w:rPr>
          <w:sz w:val="24"/>
          <w:szCs w:val="24"/>
          <w:lang w:val="en-US"/>
        </w:rPr>
        <w:t xml:space="preserve"> Here, </w:t>
      </w:r>
      <w:proofErr w:type="spellStart"/>
      <w:r w:rsidRPr="00DD69AE">
        <w:rPr>
          <w:sz w:val="24"/>
          <w:szCs w:val="24"/>
          <w:lang w:val="en-US"/>
        </w:rPr>
        <w:t>Maso</w:t>
      </w:r>
      <w:proofErr w:type="spellEnd"/>
      <w:r w:rsidRPr="00DD69AE">
        <w:rPr>
          <w:sz w:val="24"/>
          <w:szCs w:val="24"/>
          <w:lang w:val="en-US"/>
        </w:rPr>
        <w:t xml:space="preserve"> and his fellow Florentines rejected an expectation that they should accord the person fulfilling the judicial role a dignity and respect that the individual – by his attire and appearance – evidently did not deserve. The tale therefore contains a warning, of how important attire and appearance were in maintaining respect for the judge and his position. The </w:t>
      </w:r>
      <w:proofErr w:type="spellStart"/>
      <w:r w:rsidRPr="00DD69AE">
        <w:rPr>
          <w:i/>
          <w:sz w:val="24"/>
          <w:szCs w:val="24"/>
          <w:lang w:val="en-US"/>
        </w:rPr>
        <w:t>beffa</w:t>
      </w:r>
      <w:proofErr w:type="spellEnd"/>
      <w:r w:rsidRPr="00DD69AE">
        <w:rPr>
          <w:sz w:val="24"/>
          <w:szCs w:val="24"/>
          <w:lang w:val="en-US"/>
        </w:rPr>
        <w:t xml:space="preserve">, a practical joke, seems to indicate how easy it would be to alter the power relationship in the court, if the judge did not command authority.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sz w:val="24"/>
          <w:szCs w:val="24"/>
          <w:lang w:val="en-US"/>
        </w:rPr>
      </w:pPr>
      <w:r w:rsidRPr="00DD69AE">
        <w:rPr>
          <w:rFonts w:cs="Calibri"/>
          <w:sz w:val="24"/>
          <w:szCs w:val="24"/>
          <w:lang w:val="en-US"/>
        </w:rPr>
        <w:lastRenderedPageBreak/>
        <w:t xml:space="preserve">The </w:t>
      </w:r>
      <w:proofErr w:type="spellStart"/>
      <w:r w:rsidRPr="00DD69AE">
        <w:rPr>
          <w:rFonts w:cs="Calibri"/>
          <w:i/>
          <w:sz w:val="24"/>
          <w:szCs w:val="24"/>
          <w:lang w:val="en-US"/>
        </w:rPr>
        <w:t>beffa</w:t>
      </w:r>
      <w:proofErr w:type="spellEnd"/>
      <w:r w:rsidRPr="00DD69AE">
        <w:rPr>
          <w:rFonts w:cs="Calibri"/>
          <w:sz w:val="24"/>
          <w:szCs w:val="24"/>
          <w:lang w:val="en-US"/>
        </w:rPr>
        <w:t xml:space="preserve"> may also have a broader consequence: “by the mockery the very principle of inviolability of the law is subverted”.</w:t>
      </w:r>
      <w:r w:rsidRPr="00DD69AE">
        <w:rPr>
          <w:rStyle w:val="FootnoteReference"/>
          <w:rFonts w:cs="Calibri"/>
          <w:sz w:val="24"/>
          <w:szCs w:val="24"/>
          <w:lang w:val="en-US"/>
        </w:rPr>
        <w:footnoteReference w:id="71"/>
      </w:r>
      <w:r w:rsidRPr="00DD69AE">
        <w:rPr>
          <w:rFonts w:cs="Calibri"/>
          <w:sz w:val="24"/>
          <w:szCs w:val="24"/>
          <w:lang w:val="en-US"/>
        </w:rPr>
        <w:t xml:space="preserve"> </w:t>
      </w:r>
      <w:r w:rsidRPr="00DD69AE">
        <w:rPr>
          <w:sz w:val="24"/>
          <w:szCs w:val="24"/>
          <w:lang w:val="en-US"/>
        </w:rPr>
        <w:t xml:space="preserve">Does the </w:t>
      </w:r>
      <w:proofErr w:type="spellStart"/>
      <w:r w:rsidRPr="00DD69AE">
        <w:rPr>
          <w:i/>
          <w:sz w:val="24"/>
          <w:szCs w:val="24"/>
          <w:lang w:val="en-US"/>
        </w:rPr>
        <w:t>beffa</w:t>
      </w:r>
      <w:proofErr w:type="spellEnd"/>
      <w:r w:rsidRPr="00DD69AE">
        <w:rPr>
          <w:sz w:val="24"/>
          <w:szCs w:val="24"/>
          <w:lang w:val="en-US"/>
        </w:rPr>
        <w:t xml:space="preserve"> risk disruption of normative authority? On the contrary, it is the judge’s failure to conform to expectation that does so. In the medieval world, there was a belief that appearance could indicate character or personal qualities. An inappropriately ‘scruffy’ judge subverts the normative order. </w:t>
      </w:r>
      <w:r w:rsidRPr="00DD69AE">
        <w:rPr>
          <w:rFonts w:cs="Calibri"/>
          <w:sz w:val="24"/>
          <w:szCs w:val="24"/>
          <w:lang w:val="en-US"/>
        </w:rPr>
        <w:t>The notion of subversion or inversion in the tale is interesting:</w:t>
      </w:r>
      <w:r>
        <w:rPr>
          <w:rFonts w:cs="Calibri"/>
          <w:sz w:val="24"/>
          <w:szCs w:val="24"/>
          <w:lang w:val="en-US"/>
        </w:rPr>
        <w:t xml:space="preserve"> </w:t>
      </w:r>
      <w:r w:rsidRPr="006C28B4">
        <w:rPr>
          <w:sz w:val="24"/>
          <w:szCs w:val="24"/>
        </w:rPr>
        <w:t xml:space="preserve">the theme of inversion or reversal has been identified in the fabliaux, comic or satirical tales from medieval France, widely acknowledged as having </w:t>
      </w:r>
      <w:r>
        <w:rPr>
          <w:sz w:val="24"/>
          <w:szCs w:val="24"/>
        </w:rPr>
        <w:t xml:space="preserve">at least partly </w:t>
      </w:r>
      <w:r w:rsidRPr="006C28B4">
        <w:rPr>
          <w:sz w:val="24"/>
          <w:szCs w:val="24"/>
        </w:rPr>
        <w:t xml:space="preserve">inspired Boccaccio’s </w:t>
      </w:r>
      <w:r w:rsidRPr="004C0E48">
        <w:rPr>
          <w:i/>
          <w:sz w:val="24"/>
          <w:szCs w:val="24"/>
        </w:rPr>
        <w:t>Decameron</w:t>
      </w:r>
      <w:r w:rsidRPr="00DD69AE">
        <w:rPr>
          <w:rFonts w:cs="Calibri"/>
          <w:sz w:val="24"/>
          <w:szCs w:val="24"/>
          <w:lang w:val="en-US"/>
        </w:rPr>
        <w:t>.</w:t>
      </w:r>
      <w:r>
        <w:rPr>
          <w:rStyle w:val="FootnoteReference"/>
          <w:sz w:val="24"/>
          <w:szCs w:val="24"/>
          <w:lang w:val="en-US"/>
        </w:rPr>
        <w:footnoteReference w:id="72"/>
      </w:r>
      <w:r w:rsidRPr="00DD69AE">
        <w:rPr>
          <w:rFonts w:cs="Calibri"/>
          <w:sz w:val="24"/>
          <w:szCs w:val="24"/>
          <w:lang w:val="en-US"/>
        </w:rPr>
        <w:t xml:space="preserve"> But the theme of inversion could </w:t>
      </w:r>
      <w:r>
        <w:rPr>
          <w:rFonts w:cs="Calibri"/>
          <w:sz w:val="24"/>
          <w:szCs w:val="24"/>
          <w:lang w:val="en-US"/>
        </w:rPr>
        <w:t xml:space="preserve">be used </w:t>
      </w:r>
      <w:r w:rsidRPr="00DD69AE">
        <w:rPr>
          <w:rFonts w:cs="Calibri"/>
          <w:sz w:val="24"/>
          <w:szCs w:val="24"/>
          <w:lang w:val="en-US"/>
        </w:rPr>
        <w:t xml:space="preserve">here </w:t>
      </w:r>
      <w:r>
        <w:rPr>
          <w:rFonts w:cs="Calibri"/>
          <w:sz w:val="24"/>
          <w:szCs w:val="24"/>
          <w:lang w:val="en-US"/>
        </w:rPr>
        <w:t xml:space="preserve">by Boccaccio </w:t>
      </w:r>
      <w:r w:rsidRPr="00DD69AE">
        <w:rPr>
          <w:rFonts w:cs="Calibri"/>
          <w:sz w:val="24"/>
          <w:szCs w:val="24"/>
          <w:lang w:val="en-US"/>
        </w:rPr>
        <w:t xml:space="preserve">also to refer </w:t>
      </w:r>
      <w:r>
        <w:rPr>
          <w:rFonts w:cs="Calibri"/>
          <w:sz w:val="24"/>
          <w:szCs w:val="24"/>
          <w:lang w:val="en-US"/>
        </w:rPr>
        <w:t xml:space="preserve">to the </w:t>
      </w:r>
      <w:r w:rsidRPr="00DD69AE">
        <w:rPr>
          <w:rFonts w:cs="Calibri"/>
          <w:sz w:val="24"/>
          <w:szCs w:val="24"/>
          <w:lang w:val="en-US"/>
        </w:rPr>
        <w:t xml:space="preserve">possibility of the breakdown of society and the rule of law. </w:t>
      </w:r>
      <w:r w:rsidRPr="00DD69AE">
        <w:rPr>
          <w:sz w:val="24"/>
          <w:szCs w:val="24"/>
          <w:lang w:val="en-US"/>
        </w:rPr>
        <w:t xml:space="preserve">Could concerns at the disreputable appearance of a representative of legal authority echo contemporary fears of a breakdown of society? </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This was important: a judge who failed properly to exercise his authority could pose a direct threat to the rule of law, and so to the security of Florence, which may well have been a pressing concern in the mid-fourteenth century. Many scholars have reflected upon the impact upon the </w:t>
      </w:r>
      <w:r w:rsidRPr="00DD69AE">
        <w:rPr>
          <w:rFonts w:cs="Calibri"/>
          <w:i/>
          <w:sz w:val="24"/>
          <w:szCs w:val="24"/>
          <w:lang w:val="en-US"/>
        </w:rPr>
        <w:t>Decameron</w:t>
      </w:r>
      <w:r w:rsidRPr="00DD69AE">
        <w:rPr>
          <w:rFonts w:cs="Calibri"/>
          <w:sz w:val="24"/>
          <w:szCs w:val="24"/>
          <w:lang w:val="en-US"/>
        </w:rPr>
        <w:t xml:space="preserve"> of a fear of a breakdown of social order. </w:t>
      </w:r>
      <w:r w:rsidRPr="00DD69AE">
        <w:rPr>
          <w:sz w:val="24"/>
          <w:szCs w:val="24"/>
          <w:lang w:val="en-US"/>
        </w:rPr>
        <w:t xml:space="preserve">Joy </w:t>
      </w:r>
      <w:proofErr w:type="spellStart"/>
      <w:r w:rsidRPr="00DD69AE">
        <w:rPr>
          <w:sz w:val="24"/>
          <w:szCs w:val="24"/>
          <w:lang w:val="en-US"/>
        </w:rPr>
        <w:t>Hambeuchen</w:t>
      </w:r>
      <w:proofErr w:type="spellEnd"/>
      <w:r w:rsidRPr="00DD69AE">
        <w:rPr>
          <w:sz w:val="24"/>
          <w:szCs w:val="24"/>
          <w:lang w:val="en-US"/>
        </w:rPr>
        <w:t xml:space="preserve"> Potter</w:t>
      </w:r>
      <w:r w:rsidRPr="00DD69AE">
        <w:rPr>
          <w:rFonts w:cs="Calibri"/>
          <w:sz w:val="24"/>
          <w:szCs w:val="24"/>
          <w:lang w:val="en-US"/>
        </w:rPr>
        <w:t xml:space="preserve"> noted “the way in which [the </w:t>
      </w:r>
      <w:r w:rsidRPr="00DD69AE">
        <w:rPr>
          <w:rFonts w:cs="Calibri"/>
          <w:i/>
          <w:sz w:val="24"/>
          <w:szCs w:val="24"/>
          <w:lang w:val="en-US"/>
        </w:rPr>
        <w:t>Decameron</w:t>
      </w:r>
      <w:r w:rsidRPr="00DD69AE">
        <w:rPr>
          <w:rFonts w:cs="Calibri"/>
          <w:sz w:val="24"/>
          <w:szCs w:val="24"/>
          <w:lang w:val="en-US"/>
        </w:rPr>
        <w:t>] reflects Boccaccio’s awareness that his world is in crisis and his society in transition”.</w:t>
      </w:r>
      <w:r w:rsidRPr="00DD69AE">
        <w:rPr>
          <w:rStyle w:val="FootnoteReference"/>
          <w:rFonts w:cs="Calibri"/>
          <w:sz w:val="24"/>
          <w:szCs w:val="24"/>
          <w:lang w:val="en-US"/>
        </w:rPr>
        <w:footnoteReference w:id="73"/>
      </w:r>
      <w:r w:rsidRPr="00DD69AE">
        <w:rPr>
          <w:rFonts w:cs="Calibri"/>
          <w:sz w:val="24"/>
          <w:szCs w:val="24"/>
          <w:lang w:val="en-US"/>
        </w:rPr>
        <w:t xml:space="preserve"> Thomas M. Greene suggested that the value of social stability was even built into the structure of </w:t>
      </w:r>
      <w:r>
        <w:rPr>
          <w:rFonts w:cs="Calibri"/>
          <w:sz w:val="24"/>
          <w:szCs w:val="24"/>
          <w:lang w:val="en-US"/>
        </w:rPr>
        <w:t>t</w:t>
      </w:r>
      <w:r w:rsidRPr="004C0E48">
        <w:rPr>
          <w:rFonts w:cs="Calibri"/>
          <w:sz w:val="24"/>
          <w:szCs w:val="24"/>
          <w:lang w:val="en-US"/>
        </w:rPr>
        <w:t>he</w:t>
      </w:r>
      <w:r w:rsidRPr="00DD69AE">
        <w:rPr>
          <w:rFonts w:cs="Calibri"/>
          <w:i/>
          <w:sz w:val="24"/>
          <w:szCs w:val="24"/>
          <w:lang w:val="en-US"/>
        </w:rPr>
        <w:t xml:space="preserve"> Decameron</w:t>
      </w:r>
      <w:r w:rsidRPr="00DD69AE">
        <w:rPr>
          <w:rFonts w:cs="Calibri"/>
          <w:sz w:val="24"/>
          <w:szCs w:val="24"/>
          <w:lang w:val="en-US"/>
        </w:rPr>
        <w:t>.</w:t>
      </w:r>
      <w:r w:rsidRPr="00DD69AE">
        <w:rPr>
          <w:rStyle w:val="FootnoteReference"/>
          <w:rFonts w:cs="Calibri"/>
          <w:sz w:val="24"/>
          <w:szCs w:val="24"/>
          <w:lang w:val="en-US"/>
        </w:rPr>
        <w:footnoteReference w:id="74"/>
      </w:r>
      <w:r w:rsidRPr="00DD69AE">
        <w:rPr>
          <w:rFonts w:cs="Calibri"/>
          <w:sz w:val="24"/>
          <w:szCs w:val="24"/>
          <w:lang w:val="en-US"/>
        </w:rPr>
        <w:t xml:space="preserve"> </w:t>
      </w:r>
      <w:r w:rsidRPr="00DD69AE">
        <w:rPr>
          <w:rFonts w:ascii="Calibri" w:hAnsi="Calibri"/>
          <w:sz w:val="24"/>
          <w:szCs w:val="24"/>
          <w:lang w:val="en-US"/>
        </w:rPr>
        <w:t>Concerns over possible breakdown in society in Florence at this time stemmed from several sources.</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lastRenderedPageBreak/>
        <w:t>Florence’s usually turbulent politics appears to have worsened from c. 1320s, leading to the decision to forfeit independence and seek stability in foreign rulers, such as Robert of Naples (</w:t>
      </w:r>
      <w:r w:rsidRPr="00DD69AE">
        <w:rPr>
          <w:rFonts w:cs="Calibri"/>
          <w:i/>
          <w:sz w:val="24"/>
          <w:szCs w:val="24"/>
          <w:lang w:val="en-US"/>
        </w:rPr>
        <w:t>signore</w:t>
      </w:r>
      <w:r w:rsidRPr="00DD69AE">
        <w:rPr>
          <w:rFonts w:cs="Calibri"/>
          <w:sz w:val="24"/>
          <w:szCs w:val="24"/>
          <w:lang w:val="en-US"/>
        </w:rPr>
        <w:t xml:space="preserve"> of Florence 1313-22) and his son, Charles of Calabria (</w:t>
      </w:r>
      <w:r w:rsidRPr="00DD69AE">
        <w:rPr>
          <w:rStyle w:val="ft"/>
          <w:rFonts w:cs="Calibri"/>
          <w:sz w:val="24"/>
          <w:szCs w:val="24"/>
          <w:lang w:val="en-US"/>
        </w:rPr>
        <w:t>1325-28)</w:t>
      </w:r>
      <w:r w:rsidRPr="00DD69AE">
        <w:rPr>
          <w:rFonts w:cs="Calibri"/>
          <w:sz w:val="24"/>
          <w:szCs w:val="24"/>
          <w:lang w:val="en-US"/>
        </w:rPr>
        <w:t>. Thereafter, a merchant ‘oligarchy’ took control. Florence’s economic situation was badly affected in the 1330s by the bankruptcies of several banking houses, and on-going territorial battles. In 1340 there was a failed coup and the Florentine elite invited Walter of Brienne, the Duke of Athens, to take control in 1342. Although strong leadership had been a quality sought in Walter, his reign would be characterized as ‘despotic’, particularly in relation to the financial demands he made of its citizens. His ‘tyrannical’ rule, whilst welcomed by many of the lower classes, led to his violent expulsion from Florence in 1343. There is evidence to suggest that such economic, social and political upheaval may have impacted upon social stability, as “in Florence between the mid-1340s and mid-1350s there was a rise in prosecuted crime”, even though the long-term trend – in violent crime, at least – was downward.</w:t>
      </w:r>
      <w:r w:rsidRPr="00DD69AE">
        <w:rPr>
          <w:rStyle w:val="FootnoteReference"/>
          <w:rFonts w:cs="Calibri"/>
          <w:sz w:val="24"/>
          <w:szCs w:val="24"/>
          <w:lang w:val="en-US"/>
        </w:rPr>
        <w:footnoteReference w:id="75"/>
      </w:r>
      <w:r w:rsidRPr="00DD69AE">
        <w:rPr>
          <w:rFonts w:cs="Calibri"/>
          <w:sz w:val="24"/>
          <w:szCs w:val="24"/>
          <w:lang w:val="en-US"/>
        </w:rPr>
        <w:t xml:space="preserve"> This, of course, may not mean an increase in the number of crimes actually committed; it may have been attributable (whether in whole or in part), to an increased willingness by the Florentine authorities to bring prosecutions. However, this in itself may indicate a need to exert a level of control over a city stricken not only with economic, social and political concerns, but also facing the Black Death, which arrived in Florence in 1348.</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 xml:space="preserve">The terrible impact of Black Death is evident throughout the </w:t>
      </w:r>
      <w:r w:rsidRPr="00DD69AE">
        <w:rPr>
          <w:rFonts w:cs="Calibri"/>
          <w:i/>
          <w:sz w:val="24"/>
          <w:szCs w:val="24"/>
          <w:lang w:val="en-US"/>
        </w:rPr>
        <w:t>Decameron</w:t>
      </w:r>
      <w:r w:rsidRPr="00DD69AE">
        <w:rPr>
          <w:rFonts w:cs="Calibri"/>
          <w:sz w:val="24"/>
          <w:szCs w:val="24"/>
          <w:lang w:val="en-US"/>
        </w:rPr>
        <w:t xml:space="preserve">: indeed, the narrators would not be telling the stories that comprise the work if they were not attempting to evade the plague. The fact that both his father and stepmother died of the plague may well have contributed to, or prompted, not only Boccaccio’s desire for order to </w:t>
      </w:r>
      <w:r w:rsidRPr="00DD69AE">
        <w:rPr>
          <w:rFonts w:cs="Calibri"/>
          <w:sz w:val="24"/>
          <w:szCs w:val="24"/>
          <w:lang w:val="en-US"/>
        </w:rPr>
        <w:lastRenderedPageBreak/>
        <w:t>prevail over chaos, but also “his respect for human law in the midst of social dislocation”.</w:t>
      </w:r>
      <w:r w:rsidRPr="00DD69AE">
        <w:rPr>
          <w:rStyle w:val="FootnoteReference"/>
          <w:rFonts w:cs="Calibri"/>
          <w:sz w:val="24"/>
          <w:szCs w:val="24"/>
          <w:lang w:val="en-US"/>
        </w:rPr>
        <w:footnoteReference w:id="76"/>
      </w:r>
      <w:r w:rsidRPr="00DD69AE">
        <w:rPr>
          <w:rFonts w:cs="Calibri"/>
          <w:sz w:val="24"/>
          <w:szCs w:val="24"/>
          <w:lang w:val="en-US"/>
        </w:rPr>
        <w:t xml:space="preserve"> The introduction to the </w:t>
      </w:r>
      <w:r w:rsidRPr="00DD69AE">
        <w:rPr>
          <w:rFonts w:cs="Calibri"/>
          <w:i/>
          <w:sz w:val="24"/>
          <w:szCs w:val="24"/>
          <w:lang w:val="en-US"/>
        </w:rPr>
        <w:t xml:space="preserve">Decameron </w:t>
      </w:r>
      <w:r w:rsidRPr="00DD69AE">
        <w:rPr>
          <w:rFonts w:cs="Calibri"/>
          <w:sz w:val="24"/>
          <w:szCs w:val="24"/>
          <w:lang w:val="en-US"/>
        </w:rPr>
        <w:t>makes clear Boccaccio’s fears:</w:t>
      </w:r>
    </w:p>
    <w:p w:rsidR="00AC655F" w:rsidRDefault="00AC655F" w:rsidP="00AC655F">
      <w:pPr>
        <w:spacing w:after="0" w:line="480" w:lineRule="auto"/>
        <w:ind w:left="720"/>
        <w:rPr>
          <w:rFonts w:cs="Calibri"/>
          <w:sz w:val="24"/>
          <w:szCs w:val="24"/>
          <w:lang w:val="en-US"/>
        </w:rPr>
      </w:pPr>
      <w:r w:rsidRPr="00DD69AE">
        <w:rPr>
          <w:rFonts w:cs="Calibri"/>
          <w:sz w:val="24"/>
          <w:szCs w:val="24"/>
          <w:lang w:val="en-US"/>
        </w:rPr>
        <w:t>“In the face of so much affliction and misery, all respect for the laws of God and man had virtually broken down and been extinguished in our city. For like everyone else, those ministers and executors of the laws who were wither not dead or ill were left with so few subordinates that they were unable to discharge any of their duties. Hence everyone was free to behave as he pleased.”</w:t>
      </w:r>
      <w:r w:rsidRPr="00DD69AE">
        <w:rPr>
          <w:rStyle w:val="FootnoteReference"/>
          <w:rFonts w:cs="Calibri"/>
          <w:sz w:val="24"/>
          <w:szCs w:val="24"/>
          <w:lang w:val="en-US"/>
        </w:rPr>
        <w:footnoteReference w:id="77"/>
      </w: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His words evocatively convey a sense of urgency at the seeming imminence of the threat of social breakdown and descent into anarchy. “Because both crime and disease threatened society as a whole, the presence of one called forth fear of the other”.</w:t>
      </w:r>
      <w:r w:rsidRPr="00DD69AE">
        <w:rPr>
          <w:rStyle w:val="FootnoteReference"/>
          <w:rFonts w:cs="Calibri"/>
          <w:sz w:val="24"/>
          <w:szCs w:val="24"/>
          <w:lang w:val="en-US"/>
        </w:rPr>
        <w:footnoteReference w:id="78"/>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rFonts w:cs="Calibri"/>
          <w:sz w:val="24"/>
          <w:szCs w:val="24"/>
          <w:lang w:val="en-US"/>
        </w:rPr>
      </w:pPr>
      <w:r w:rsidRPr="00DD69AE">
        <w:rPr>
          <w:rFonts w:cs="Calibri"/>
          <w:sz w:val="24"/>
          <w:szCs w:val="24"/>
          <w:lang w:val="en-US"/>
        </w:rPr>
        <w:t>Thomas M. Greene noted that “the horror of communal dissolution depicted so vigorously in the introduction is itself a measure of the value of social stability”.</w:t>
      </w:r>
      <w:r w:rsidRPr="00DD69AE">
        <w:rPr>
          <w:rStyle w:val="FootnoteReference"/>
          <w:rFonts w:cs="Calibri"/>
          <w:sz w:val="24"/>
          <w:szCs w:val="24"/>
          <w:lang w:val="en-US"/>
        </w:rPr>
        <w:footnoteReference w:id="79"/>
      </w:r>
      <w:r w:rsidRPr="00DD69AE">
        <w:rPr>
          <w:rFonts w:cs="Calibri"/>
          <w:sz w:val="24"/>
          <w:szCs w:val="24"/>
          <w:lang w:val="en-US"/>
        </w:rPr>
        <w:t xml:space="preserve"> Threats posed to the values or status of the law, courts, or legal professions could challenge the continuation of the continuing social order. In Florence, a city </w:t>
      </w:r>
      <w:r>
        <w:rPr>
          <w:rFonts w:cs="Calibri"/>
          <w:sz w:val="24"/>
          <w:szCs w:val="24"/>
          <w:lang w:val="en-US"/>
        </w:rPr>
        <w:t xml:space="preserve">which had </w:t>
      </w:r>
      <w:r w:rsidRPr="00DD69AE">
        <w:rPr>
          <w:rFonts w:cs="Calibri"/>
          <w:sz w:val="24"/>
          <w:szCs w:val="24"/>
          <w:lang w:val="en-US"/>
        </w:rPr>
        <w:t>experienc</w:t>
      </w:r>
      <w:r>
        <w:rPr>
          <w:rFonts w:cs="Calibri"/>
          <w:sz w:val="24"/>
          <w:szCs w:val="24"/>
          <w:lang w:val="en-US"/>
        </w:rPr>
        <w:t>ed</w:t>
      </w:r>
      <w:r w:rsidRPr="00DD69AE">
        <w:rPr>
          <w:rFonts w:cs="Calibri"/>
          <w:sz w:val="24"/>
          <w:szCs w:val="24"/>
          <w:lang w:val="en-US"/>
        </w:rPr>
        <w:t xml:space="preserve"> extreme social and political upheaval</w:t>
      </w:r>
      <w:r>
        <w:rPr>
          <w:rFonts w:cs="Calibri"/>
          <w:sz w:val="24"/>
          <w:szCs w:val="24"/>
          <w:lang w:val="en-US"/>
        </w:rPr>
        <w:t xml:space="preserve"> at many points during the thirteenth and fourteenth centuries</w:t>
      </w:r>
      <w:r w:rsidRPr="00DD69AE">
        <w:rPr>
          <w:rFonts w:cs="Calibri"/>
          <w:sz w:val="24"/>
          <w:szCs w:val="24"/>
          <w:lang w:val="en-US"/>
        </w:rPr>
        <w:t>, we might expect a perhaps understandable emphasis on the role of the judge in maintaining law and order.</w:t>
      </w:r>
      <w:r>
        <w:rPr>
          <w:rFonts w:cs="Calibri"/>
          <w:sz w:val="24"/>
          <w:szCs w:val="24"/>
          <w:lang w:val="en-US"/>
        </w:rPr>
        <w:t xml:space="preserve"> </w:t>
      </w:r>
      <w:r w:rsidRPr="00DD69AE">
        <w:rPr>
          <w:rFonts w:cs="Calibri"/>
          <w:sz w:val="24"/>
          <w:szCs w:val="24"/>
          <w:lang w:val="en-US"/>
        </w:rPr>
        <w:t>The appearance and attire of the judge in Day VIII, 5 cast doubt upon his ability to do so, his perceived inadequacies posing a challenge to the place held by the law in that society. In this way, Day VIII, 5 deals directly with one of the important themes of the Decameron; a tale of one practical joke widens out to air the fears of a whole community.</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lastRenderedPageBreak/>
        <w:t xml:space="preserve">However, far from lowering the esteem in which judges were held in contemporary Florence, the joke played on the judge from the Marches both evidences and reinforces it. The narrator himself addresses this point: </w:t>
      </w:r>
    </w:p>
    <w:p w:rsidR="00AC655F" w:rsidRPr="00DD69AE" w:rsidRDefault="00AC655F" w:rsidP="00AC655F">
      <w:pPr>
        <w:spacing w:after="0" w:line="480" w:lineRule="auto"/>
        <w:ind w:left="720"/>
        <w:rPr>
          <w:sz w:val="24"/>
          <w:szCs w:val="24"/>
          <w:lang w:val="en-US"/>
        </w:rPr>
      </w:pPr>
      <w:r w:rsidRPr="00DD69AE">
        <w:rPr>
          <w:sz w:val="24"/>
          <w:szCs w:val="24"/>
          <w:lang w:val="en-US"/>
        </w:rPr>
        <w:t xml:space="preserve">“When the </w:t>
      </w:r>
      <w:proofErr w:type="spellStart"/>
      <w:r w:rsidRPr="00DD69AE">
        <w:rPr>
          <w:sz w:val="24"/>
          <w:szCs w:val="24"/>
          <w:lang w:val="en-US"/>
        </w:rPr>
        <w:t>podestà</w:t>
      </w:r>
      <w:proofErr w:type="spellEnd"/>
      <w:r w:rsidRPr="00DD69AE">
        <w:rPr>
          <w:sz w:val="24"/>
          <w:szCs w:val="24"/>
          <w:lang w:val="en-US"/>
        </w:rPr>
        <w:t>, for his part, was told what had happened, he practically threw a fit. But when it was pointed out by his friends that this had only been done in order to show him that the Florentines knew he had brought fools with him instead of judges so as to save money, he thought it best to hold his tongue, and nothing more was said about the matter”.</w:t>
      </w:r>
      <w:r w:rsidRPr="00DD69AE">
        <w:rPr>
          <w:rStyle w:val="FootnoteReference"/>
          <w:sz w:val="24"/>
          <w:szCs w:val="24"/>
          <w:lang w:val="en-US"/>
        </w:rPr>
        <w:footnoteReference w:id="80"/>
      </w:r>
    </w:p>
    <w:p w:rsidR="00AC655F" w:rsidRPr="00DD69AE" w:rsidRDefault="00AC655F" w:rsidP="00AC655F">
      <w:pPr>
        <w:spacing w:after="0" w:line="480" w:lineRule="auto"/>
        <w:rPr>
          <w:sz w:val="24"/>
          <w:szCs w:val="24"/>
          <w:lang w:val="en-US"/>
        </w:rPr>
      </w:pPr>
      <w:r w:rsidRPr="00DD69AE">
        <w:rPr>
          <w:sz w:val="24"/>
          <w:szCs w:val="24"/>
          <w:lang w:val="en-US"/>
        </w:rPr>
        <w:t xml:space="preserve">The intervention of </w:t>
      </w:r>
      <w:proofErr w:type="spellStart"/>
      <w:r w:rsidRPr="00DD69AE">
        <w:rPr>
          <w:sz w:val="24"/>
          <w:szCs w:val="24"/>
          <w:lang w:val="en-US"/>
        </w:rPr>
        <w:t>Maso</w:t>
      </w:r>
      <w:proofErr w:type="spellEnd"/>
      <w:r w:rsidRPr="00DD69AE">
        <w:rPr>
          <w:sz w:val="24"/>
          <w:szCs w:val="24"/>
          <w:lang w:val="en-US"/>
        </w:rPr>
        <w:t xml:space="preserve"> is therefore to be seen in a positive light. The judge received nothing less than his just deserts by the prank: in falling short of the dignity expected of legal professionals in Florence, he was deserving of ridicule. In a sense, justice was done. </w:t>
      </w:r>
      <w:r w:rsidRPr="00DD69AE">
        <w:rPr>
          <w:rFonts w:cs="Calibri"/>
          <w:sz w:val="24"/>
          <w:szCs w:val="24"/>
          <w:lang w:val="en-US"/>
        </w:rPr>
        <w:t>“The representation of legitimacy must be by means of legitimate signs”.</w:t>
      </w:r>
      <w:r w:rsidRPr="00DD69AE">
        <w:rPr>
          <w:rStyle w:val="FootnoteReference"/>
          <w:rFonts w:cs="Calibri"/>
          <w:sz w:val="24"/>
          <w:szCs w:val="24"/>
          <w:lang w:val="en-US"/>
        </w:rPr>
        <w:footnoteReference w:id="81"/>
      </w:r>
      <w:r w:rsidRPr="00DD69AE">
        <w:rPr>
          <w:rFonts w:cs="Calibri"/>
          <w:sz w:val="24"/>
          <w:szCs w:val="24"/>
          <w:lang w:val="en-US"/>
        </w:rPr>
        <w:t xml:space="preserve"> </w:t>
      </w:r>
      <w:r w:rsidRPr="00DD69AE">
        <w:rPr>
          <w:sz w:val="24"/>
          <w:szCs w:val="24"/>
          <w:lang w:val="en-US"/>
        </w:rPr>
        <w:t xml:space="preserve">A judge must act – and dress – in a manner consistent with his position of authority. By indicating how far this judicial appointee fell short of what Florentines could reasonably expect of their legal professionals, </w:t>
      </w:r>
      <w:proofErr w:type="spellStart"/>
      <w:r w:rsidRPr="00DD69AE">
        <w:rPr>
          <w:sz w:val="24"/>
          <w:szCs w:val="24"/>
          <w:lang w:val="en-US"/>
        </w:rPr>
        <w:t>Maso</w:t>
      </w:r>
      <w:proofErr w:type="spellEnd"/>
      <w:r w:rsidRPr="00DD69AE">
        <w:rPr>
          <w:sz w:val="24"/>
          <w:szCs w:val="24"/>
          <w:lang w:val="en-US"/>
        </w:rPr>
        <w:t xml:space="preserve"> and his friends ensured the </w:t>
      </w:r>
      <w:proofErr w:type="spellStart"/>
      <w:r w:rsidRPr="00DD69AE">
        <w:rPr>
          <w:sz w:val="24"/>
          <w:szCs w:val="24"/>
          <w:lang w:val="en-US"/>
        </w:rPr>
        <w:t>podestà</w:t>
      </w:r>
      <w:proofErr w:type="spellEnd"/>
      <w:r w:rsidRPr="00DD69AE">
        <w:rPr>
          <w:sz w:val="24"/>
          <w:szCs w:val="24"/>
          <w:lang w:val="en-US"/>
        </w:rPr>
        <w:t xml:space="preserve"> was aware of an expectation that he provide a better caliber of judge in future. </w:t>
      </w:r>
      <w:proofErr w:type="spellStart"/>
      <w:r w:rsidRPr="00DD69AE">
        <w:rPr>
          <w:sz w:val="24"/>
          <w:szCs w:val="24"/>
          <w:lang w:val="en-US"/>
        </w:rPr>
        <w:t>Maso’s</w:t>
      </w:r>
      <w:proofErr w:type="spellEnd"/>
      <w:r w:rsidRPr="00DD69AE">
        <w:rPr>
          <w:sz w:val="24"/>
          <w:szCs w:val="24"/>
          <w:lang w:val="en-US"/>
        </w:rPr>
        <w:t xml:space="preserve"> specific accusation that it was the “inborn miserliness and avarice” of the </w:t>
      </w:r>
      <w:proofErr w:type="spellStart"/>
      <w:r w:rsidRPr="00DD69AE">
        <w:rPr>
          <w:sz w:val="24"/>
          <w:szCs w:val="24"/>
          <w:lang w:val="en-US"/>
        </w:rPr>
        <w:t>podestà</w:t>
      </w:r>
      <w:proofErr w:type="spellEnd"/>
      <w:r w:rsidRPr="00DD69AE">
        <w:rPr>
          <w:sz w:val="24"/>
          <w:szCs w:val="24"/>
          <w:lang w:val="en-US"/>
        </w:rPr>
        <w:t xml:space="preserve"> that led to his judge being on the bench in a Florentine courtroom, </w:t>
      </w:r>
      <w:r>
        <w:rPr>
          <w:sz w:val="24"/>
          <w:szCs w:val="24"/>
          <w:lang w:val="en-US"/>
        </w:rPr>
        <w:t>appears</w:t>
      </w:r>
      <w:r w:rsidRPr="00DD69AE">
        <w:rPr>
          <w:sz w:val="24"/>
          <w:szCs w:val="24"/>
          <w:lang w:val="en-US"/>
        </w:rPr>
        <w:t xml:space="preserve"> to make a connection between the shortcomings of the judge and the method of judicial appointment. Seemingly, Florence, like other communes, found that “allowing the </w:t>
      </w:r>
      <w:proofErr w:type="spellStart"/>
      <w:r w:rsidRPr="00DD69AE">
        <w:rPr>
          <w:sz w:val="24"/>
          <w:szCs w:val="24"/>
          <w:lang w:val="en-US"/>
        </w:rPr>
        <w:t>podestà</w:t>
      </w:r>
      <w:proofErr w:type="spellEnd"/>
      <w:r w:rsidRPr="00DD69AE">
        <w:rPr>
          <w:sz w:val="24"/>
          <w:szCs w:val="24"/>
          <w:lang w:val="en-US"/>
        </w:rPr>
        <w:t xml:space="preserve"> to hire his own judges and to negotiate their salaries left him too much temptation to economize on experience and ability”.</w:t>
      </w:r>
      <w:r w:rsidRPr="00DD69AE">
        <w:rPr>
          <w:rStyle w:val="FootnoteReference"/>
          <w:sz w:val="24"/>
          <w:szCs w:val="24"/>
          <w:lang w:val="en-US"/>
        </w:rPr>
        <w:footnoteReference w:id="82"/>
      </w:r>
    </w:p>
    <w:p w:rsidR="00AC655F" w:rsidRPr="00DD69AE" w:rsidRDefault="00AC655F" w:rsidP="00AC655F">
      <w:pPr>
        <w:spacing w:after="0" w:line="480" w:lineRule="auto"/>
        <w:rPr>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lastRenderedPageBreak/>
        <w:t xml:space="preserve">This discontent with his officials would be a matter of concern for any </w:t>
      </w:r>
      <w:proofErr w:type="spellStart"/>
      <w:r w:rsidRPr="00DD69AE">
        <w:rPr>
          <w:sz w:val="24"/>
          <w:szCs w:val="24"/>
          <w:lang w:val="en-US"/>
        </w:rPr>
        <w:t>podestà</w:t>
      </w:r>
      <w:proofErr w:type="spellEnd"/>
      <w:r w:rsidRPr="00DD69AE">
        <w:rPr>
          <w:sz w:val="24"/>
          <w:szCs w:val="24"/>
          <w:lang w:val="en-US"/>
        </w:rPr>
        <w:t>, as his administration was subject to a “veritable trial” at the end of the term of office, in the form of a mandatory review known as the syndication process.</w:t>
      </w:r>
      <w:r w:rsidRPr="00DD69AE">
        <w:rPr>
          <w:rStyle w:val="FootnoteReference"/>
          <w:sz w:val="24"/>
          <w:szCs w:val="24"/>
          <w:lang w:val="en-US"/>
        </w:rPr>
        <w:footnoteReference w:id="83"/>
      </w:r>
      <w:r w:rsidRPr="00DD69AE">
        <w:rPr>
          <w:sz w:val="24"/>
          <w:szCs w:val="24"/>
          <w:lang w:val="en-US"/>
        </w:rPr>
        <w:t xml:space="preserve"> Syndication was intended to ensure accountability for any omissions or crimes committed during office by the </w:t>
      </w:r>
      <w:proofErr w:type="spellStart"/>
      <w:r w:rsidRPr="00DD69AE">
        <w:rPr>
          <w:sz w:val="24"/>
          <w:szCs w:val="24"/>
          <w:lang w:val="en-US"/>
        </w:rPr>
        <w:t>podestà</w:t>
      </w:r>
      <w:proofErr w:type="spellEnd"/>
      <w:r w:rsidRPr="00DD69AE">
        <w:rPr>
          <w:sz w:val="24"/>
          <w:szCs w:val="24"/>
          <w:lang w:val="en-US"/>
        </w:rPr>
        <w:t xml:space="preserve"> or any of his officials; all citizens could lodge complaints, and there was no right of appeal. Syndication trials could cover, for example, </w:t>
      </w:r>
      <w:proofErr w:type="spellStart"/>
      <w:r w:rsidRPr="00DD69AE">
        <w:rPr>
          <w:sz w:val="24"/>
          <w:szCs w:val="24"/>
          <w:lang w:val="en-US"/>
        </w:rPr>
        <w:t>podestà</w:t>
      </w:r>
      <w:proofErr w:type="spellEnd"/>
      <w:r w:rsidRPr="00DD69AE">
        <w:rPr>
          <w:sz w:val="24"/>
          <w:szCs w:val="24"/>
          <w:lang w:val="en-US"/>
        </w:rPr>
        <w:t xml:space="preserve"> considered deficient for not having the proper retinue, i.e. insufficient or incompetent men.</w:t>
      </w:r>
      <w:r w:rsidRPr="00DD69AE">
        <w:rPr>
          <w:rStyle w:val="FootnoteReference"/>
          <w:sz w:val="24"/>
          <w:szCs w:val="24"/>
          <w:lang w:val="en-US"/>
        </w:rPr>
        <w:footnoteReference w:id="84"/>
      </w:r>
      <w:r w:rsidRPr="00DD69AE">
        <w:rPr>
          <w:sz w:val="24"/>
          <w:szCs w:val="24"/>
          <w:lang w:val="en-US"/>
        </w:rPr>
        <w:t xml:space="preserve"> The city might decide not to pay the </w:t>
      </w:r>
      <w:proofErr w:type="spellStart"/>
      <w:r w:rsidRPr="00DD69AE">
        <w:rPr>
          <w:sz w:val="24"/>
          <w:szCs w:val="24"/>
          <w:lang w:val="en-US"/>
        </w:rPr>
        <w:t>podestà</w:t>
      </w:r>
      <w:proofErr w:type="spellEnd"/>
      <w:r w:rsidRPr="00DD69AE">
        <w:rPr>
          <w:sz w:val="24"/>
          <w:szCs w:val="24"/>
          <w:lang w:val="en-US"/>
        </w:rPr>
        <w:t xml:space="preserve"> (who was responsible for paying his retinue), or even punish them if their behavior fell short of expectations; usually this was by means of a fine, but a conviction of misfeasance in office would disqualify a </w:t>
      </w:r>
      <w:proofErr w:type="spellStart"/>
      <w:r w:rsidRPr="00DD69AE">
        <w:rPr>
          <w:sz w:val="24"/>
          <w:szCs w:val="24"/>
          <w:lang w:val="en-US"/>
        </w:rPr>
        <w:t>podestà</w:t>
      </w:r>
      <w:proofErr w:type="spellEnd"/>
      <w:r w:rsidRPr="00DD69AE">
        <w:rPr>
          <w:sz w:val="24"/>
          <w:szCs w:val="24"/>
          <w:lang w:val="en-US"/>
        </w:rPr>
        <w:t xml:space="preserve"> from serving in another city.</w:t>
      </w:r>
      <w:r w:rsidRPr="00DD69AE">
        <w:rPr>
          <w:rStyle w:val="FootnoteReference"/>
          <w:sz w:val="24"/>
          <w:szCs w:val="24"/>
          <w:lang w:val="en-US"/>
        </w:rPr>
        <w:footnoteReference w:id="85"/>
      </w:r>
      <w:r w:rsidRPr="00DD69AE">
        <w:rPr>
          <w:sz w:val="24"/>
          <w:szCs w:val="24"/>
          <w:lang w:val="en-US"/>
        </w:rPr>
        <w:t xml:space="preserve"> Evidence suggests that most syndication trials in fourteenth-century Florence ended in absolution, allowing both city and </w:t>
      </w:r>
      <w:proofErr w:type="spellStart"/>
      <w:r w:rsidRPr="00DD69AE">
        <w:rPr>
          <w:sz w:val="24"/>
          <w:szCs w:val="24"/>
          <w:lang w:val="en-US"/>
        </w:rPr>
        <w:t>podestà</w:t>
      </w:r>
      <w:proofErr w:type="spellEnd"/>
      <w:r w:rsidRPr="00DD69AE">
        <w:rPr>
          <w:sz w:val="24"/>
          <w:szCs w:val="24"/>
          <w:lang w:val="en-US"/>
        </w:rPr>
        <w:t xml:space="preserve"> to save face.</w:t>
      </w:r>
      <w:r w:rsidRPr="00DD69AE">
        <w:rPr>
          <w:rStyle w:val="FootnoteReference"/>
          <w:sz w:val="24"/>
          <w:szCs w:val="24"/>
          <w:lang w:val="en-US"/>
        </w:rPr>
        <w:footnoteReference w:id="86"/>
      </w:r>
      <w:r w:rsidRPr="00DD69AE">
        <w:rPr>
          <w:sz w:val="24"/>
          <w:szCs w:val="24"/>
          <w:lang w:val="en-US"/>
        </w:rPr>
        <w:t xml:space="preserve"> However, </w:t>
      </w:r>
      <w:proofErr w:type="spellStart"/>
      <w:r w:rsidRPr="00DD69AE">
        <w:rPr>
          <w:sz w:val="24"/>
          <w:szCs w:val="24"/>
          <w:lang w:val="en-US"/>
        </w:rPr>
        <w:t>Maso</w:t>
      </w:r>
      <w:proofErr w:type="spellEnd"/>
      <w:r w:rsidRPr="00DD69AE">
        <w:rPr>
          <w:sz w:val="24"/>
          <w:szCs w:val="24"/>
          <w:lang w:val="en-US"/>
        </w:rPr>
        <w:t xml:space="preserve"> and his friends offered a clear warning that this could not be assumed to the </w:t>
      </w:r>
      <w:proofErr w:type="spellStart"/>
      <w:r w:rsidRPr="00DD69AE">
        <w:rPr>
          <w:sz w:val="24"/>
          <w:szCs w:val="24"/>
          <w:lang w:val="en-US"/>
        </w:rPr>
        <w:t>podestà</w:t>
      </w:r>
      <w:proofErr w:type="spellEnd"/>
      <w:r w:rsidRPr="00DD69AE">
        <w:rPr>
          <w:sz w:val="24"/>
          <w:szCs w:val="24"/>
          <w:lang w:val="en-US"/>
        </w:rPr>
        <w:t xml:space="preserve"> who had chosen Messer </w:t>
      </w:r>
      <w:proofErr w:type="spellStart"/>
      <w:r w:rsidRPr="00DD69AE">
        <w:rPr>
          <w:sz w:val="24"/>
          <w:szCs w:val="24"/>
          <w:lang w:val="en-US"/>
        </w:rPr>
        <w:t>Niccola</w:t>
      </w:r>
      <w:proofErr w:type="spellEnd"/>
      <w:r w:rsidRPr="00DD69AE">
        <w:rPr>
          <w:sz w:val="24"/>
          <w:szCs w:val="24"/>
          <w:lang w:val="en-US"/>
        </w:rPr>
        <w:t xml:space="preserve"> da San </w:t>
      </w:r>
      <w:proofErr w:type="spellStart"/>
      <w:r w:rsidRPr="00DD69AE">
        <w:rPr>
          <w:sz w:val="24"/>
          <w:szCs w:val="24"/>
          <w:lang w:val="en-US"/>
        </w:rPr>
        <w:t>Leipidio</w:t>
      </w:r>
      <w:proofErr w:type="spellEnd"/>
      <w:r w:rsidRPr="00DD69AE">
        <w:rPr>
          <w:sz w:val="24"/>
          <w:szCs w:val="24"/>
          <w:lang w:val="en-US"/>
        </w:rPr>
        <w:t xml:space="preserve"> as one of his judges: by their actions, this </w:t>
      </w:r>
      <w:r w:rsidRPr="00DD69AE">
        <w:rPr>
          <w:rFonts w:cs="Calibri"/>
          <w:sz w:val="24"/>
          <w:szCs w:val="24"/>
          <w:lang w:val="en-US"/>
        </w:rPr>
        <w:t>judge, as judge, is judged, and found wanting.</w:t>
      </w:r>
    </w:p>
    <w:p w:rsidR="00AC655F" w:rsidRPr="00DD69AE" w:rsidRDefault="00AC655F" w:rsidP="00AC655F">
      <w:pPr>
        <w:spacing w:after="0" w:line="480" w:lineRule="auto"/>
        <w:rPr>
          <w:rFonts w:cs="Calibri"/>
          <w:sz w:val="24"/>
          <w:szCs w:val="24"/>
          <w:lang w:val="en-US"/>
        </w:rPr>
      </w:pPr>
    </w:p>
    <w:p w:rsidR="00AC655F" w:rsidRPr="00DD69AE" w:rsidRDefault="00AC655F" w:rsidP="00AC655F">
      <w:pPr>
        <w:spacing w:after="0" w:line="480" w:lineRule="auto"/>
        <w:rPr>
          <w:b/>
          <w:sz w:val="24"/>
          <w:szCs w:val="24"/>
          <w:lang w:val="en-US"/>
        </w:rPr>
      </w:pPr>
      <w:r w:rsidRPr="00DD69AE">
        <w:rPr>
          <w:b/>
          <w:sz w:val="24"/>
          <w:szCs w:val="24"/>
          <w:lang w:val="en-US"/>
        </w:rPr>
        <w:t>Conclusion</w:t>
      </w:r>
    </w:p>
    <w:p w:rsidR="00AC655F" w:rsidRPr="00DD69AE" w:rsidRDefault="00AC655F" w:rsidP="00AC655F">
      <w:pPr>
        <w:spacing w:after="0" w:line="480" w:lineRule="auto"/>
        <w:rPr>
          <w:rFonts w:ascii="Calibri" w:hAnsi="Calibri"/>
          <w:sz w:val="24"/>
          <w:szCs w:val="24"/>
          <w:lang w:val="en-US"/>
        </w:rPr>
      </w:pPr>
      <w:r w:rsidRPr="00DD69AE">
        <w:rPr>
          <w:rFonts w:ascii="Calibri" w:hAnsi="Calibri"/>
          <w:sz w:val="24"/>
          <w:szCs w:val="24"/>
          <w:lang w:val="en-US"/>
        </w:rPr>
        <w:t xml:space="preserve">As we have seen, fourteenth century literature, specifically the fifth story of Day Eight in Giovanni Boccaccio’s </w:t>
      </w:r>
      <w:r w:rsidRPr="00DD69AE">
        <w:rPr>
          <w:rFonts w:ascii="Calibri" w:hAnsi="Calibri"/>
          <w:i/>
          <w:sz w:val="24"/>
          <w:szCs w:val="24"/>
          <w:lang w:val="en-US"/>
        </w:rPr>
        <w:t>Decameron</w:t>
      </w:r>
      <w:r w:rsidRPr="00DD69AE">
        <w:rPr>
          <w:rFonts w:ascii="Calibri" w:hAnsi="Calibri"/>
          <w:sz w:val="24"/>
          <w:szCs w:val="24"/>
          <w:lang w:val="en-US"/>
        </w:rPr>
        <w:t xml:space="preserve">, reveals a contemporary concern with the appearance and attire of those exercising judicial authority. </w:t>
      </w:r>
      <w:r w:rsidRPr="00DD69AE">
        <w:rPr>
          <w:sz w:val="24"/>
          <w:szCs w:val="24"/>
          <w:lang w:val="en-US"/>
        </w:rPr>
        <w:t xml:space="preserve">At a time of heightened social tension, we can see that the appearance of this judge and the attitude of the </w:t>
      </w:r>
      <w:proofErr w:type="spellStart"/>
      <w:r w:rsidRPr="00DD69AE">
        <w:rPr>
          <w:sz w:val="24"/>
          <w:szCs w:val="24"/>
          <w:lang w:val="en-US"/>
        </w:rPr>
        <w:t>podestà</w:t>
      </w:r>
      <w:proofErr w:type="spellEnd"/>
      <w:r w:rsidRPr="00DD69AE">
        <w:rPr>
          <w:sz w:val="24"/>
          <w:szCs w:val="24"/>
          <w:lang w:val="en-US"/>
        </w:rPr>
        <w:t xml:space="preserve"> towards the appointment of his law enforcement officials were perceived as posing a threat to the </w:t>
      </w:r>
      <w:r w:rsidRPr="00DD69AE">
        <w:rPr>
          <w:sz w:val="24"/>
          <w:szCs w:val="24"/>
          <w:lang w:val="en-US"/>
        </w:rPr>
        <w:lastRenderedPageBreak/>
        <w:t xml:space="preserve">stability of the city. </w:t>
      </w:r>
      <w:r w:rsidRPr="00DD69AE">
        <w:rPr>
          <w:rFonts w:ascii="Calibri" w:hAnsi="Calibri"/>
          <w:sz w:val="24"/>
          <w:szCs w:val="24"/>
          <w:lang w:val="en-US"/>
        </w:rPr>
        <w:t xml:space="preserve">A failure in appearance was perceived as indicating someone unsuitable for and unworthy of the role and status afforded to legal professionals by the fourteenth century. However, more than that, a judge who failed to present the attire and appearance expected of such an authority figure could be seen as indicating a justice system, or even a society, breaking down or under threat. </w:t>
      </w:r>
    </w:p>
    <w:p w:rsidR="00AC655F" w:rsidRPr="00DD69AE" w:rsidRDefault="00AC655F" w:rsidP="00AC655F">
      <w:pPr>
        <w:spacing w:after="0" w:line="480" w:lineRule="auto"/>
        <w:rPr>
          <w:rFonts w:ascii="Calibri" w:hAnsi="Calibri"/>
          <w:sz w:val="24"/>
          <w:szCs w:val="24"/>
          <w:lang w:val="en-US"/>
        </w:rPr>
      </w:pPr>
    </w:p>
    <w:p w:rsidR="00AC655F" w:rsidRPr="00DD69AE" w:rsidRDefault="00AC655F" w:rsidP="00AC655F">
      <w:pPr>
        <w:spacing w:after="0" w:line="480" w:lineRule="auto"/>
        <w:rPr>
          <w:sz w:val="24"/>
          <w:szCs w:val="24"/>
          <w:lang w:val="en-US"/>
        </w:rPr>
      </w:pPr>
      <w:r w:rsidRPr="00DD69AE">
        <w:rPr>
          <w:sz w:val="24"/>
          <w:szCs w:val="24"/>
          <w:lang w:val="en-US"/>
        </w:rPr>
        <w:t>Marco Wan posed the question of what intellectual gain can be made from a legal reading of literature or other texts from the humanities.</w:t>
      </w:r>
      <w:r w:rsidRPr="00DD69AE">
        <w:rPr>
          <w:rStyle w:val="FootnoteReference"/>
          <w:sz w:val="24"/>
          <w:szCs w:val="24"/>
          <w:lang w:val="en-US"/>
        </w:rPr>
        <w:footnoteReference w:id="87"/>
      </w:r>
      <w:r w:rsidRPr="00DD69AE">
        <w:rPr>
          <w:sz w:val="24"/>
          <w:szCs w:val="24"/>
          <w:lang w:val="en-US"/>
        </w:rPr>
        <w:t xml:space="preserve"> Literature has much to tell us about law, lawyers, and the societies of which law is a part. This article has sought to explore how taking an interdisciplinary approach and staging an encounter between law, literature and legal history, can achieve fresh understandings. </w:t>
      </w:r>
      <w:r>
        <w:rPr>
          <w:sz w:val="24"/>
          <w:szCs w:val="24"/>
          <w:lang w:val="en-US"/>
        </w:rPr>
        <w:t>E</w:t>
      </w:r>
      <w:r w:rsidRPr="00DD69AE">
        <w:rPr>
          <w:sz w:val="24"/>
          <w:szCs w:val="24"/>
          <w:lang w:val="en-US"/>
        </w:rPr>
        <w:t>xplor</w:t>
      </w:r>
      <w:r>
        <w:rPr>
          <w:sz w:val="24"/>
          <w:szCs w:val="24"/>
          <w:lang w:val="en-US"/>
        </w:rPr>
        <w:t>ing</w:t>
      </w:r>
      <w:r w:rsidRPr="00DD69AE">
        <w:rPr>
          <w:sz w:val="24"/>
          <w:szCs w:val="24"/>
          <w:lang w:val="en-US"/>
        </w:rPr>
        <w:t xml:space="preserve"> Giovanni Boccaccio’s </w:t>
      </w:r>
      <w:r w:rsidRPr="00DD69AE">
        <w:rPr>
          <w:i/>
          <w:sz w:val="24"/>
          <w:szCs w:val="24"/>
          <w:lang w:val="en-US"/>
        </w:rPr>
        <w:t xml:space="preserve">Decameron </w:t>
      </w:r>
      <w:r w:rsidRPr="00DD69AE">
        <w:rPr>
          <w:sz w:val="24"/>
          <w:szCs w:val="24"/>
          <w:lang w:val="en-US"/>
        </w:rPr>
        <w:t>VIII, 5 as a dialogue, as literature responding to developments in legal history and to legal debates of its time</w:t>
      </w:r>
      <w:r>
        <w:rPr>
          <w:sz w:val="24"/>
          <w:szCs w:val="24"/>
          <w:lang w:val="en-US"/>
        </w:rPr>
        <w:t xml:space="preserve">, offers </w:t>
      </w:r>
      <w:r w:rsidRPr="00DD69AE">
        <w:rPr>
          <w:sz w:val="24"/>
          <w:szCs w:val="24"/>
          <w:lang w:val="en-US"/>
        </w:rPr>
        <w:t>a clearer understanding of the role and public perception of officials of the law as part of the social</w:t>
      </w:r>
      <w:r>
        <w:rPr>
          <w:sz w:val="24"/>
          <w:szCs w:val="24"/>
          <w:lang w:val="en-US"/>
        </w:rPr>
        <w:t xml:space="preserve"> order in late-medieval Florence</w:t>
      </w:r>
      <w:r w:rsidRPr="00DD69AE">
        <w:rPr>
          <w:sz w:val="24"/>
          <w:szCs w:val="24"/>
          <w:lang w:val="en-US"/>
        </w:rPr>
        <w:t xml:space="preserve">. </w:t>
      </w:r>
    </w:p>
    <w:p w:rsidR="00AC655F" w:rsidRDefault="00AC655F" w:rsidP="00AC655F">
      <w:pPr>
        <w:spacing w:after="0" w:line="480" w:lineRule="auto"/>
        <w:rPr>
          <w:sz w:val="24"/>
          <w:szCs w:val="24"/>
        </w:rPr>
      </w:pPr>
    </w:p>
    <w:p w:rsidR="00AC655F" w:rsidRDefault="00AC655F" w:rsidP="00AC655F">
      <w:pPr>
        <w:spacing w:after="0" w:line="480" w:lineRule="auto"/>
        <w:rPr>
          <w:b/>
          <w:sz w:val="24"/>
          <w:szCs w:val="24"/>
        </w:rPr>
      </w:pPr>
      <w:r>
        <w:rPr>
          <w:b/>
          <w:sz w:val="24"/>
          <w:szCs w:val="24"/>
        </w:rPr>
        <w:t>7137 words, excluding footnotes</w:t>
      </w:r>
    </w:p>
    <w:p w:rsidR="00AC655F" w:rsidRPr="009152A1" w:rsidRDefault="00AC655F" w:rsidP="00AC655F">
      <w:pPr>
        <w:spacing w:after="0" w:line="480" w:lineRule="auto"/>
        <w:rPr>
          <w:b/>
          <w:sz w:val="24"/>
          <w:szCs w:val="24"/>
        </w:rPr>
      </w:pPr>
      <w:r>
        <w:rPr>
          <w:b/>
          <w:sz w:val="24"/>
          <w:szCs w:val="24"/>
        </w:rPr>
        <w:t>9187 words, including footnotes</w:t>
      </w:r>
    </w:p>
    <w:p w:rsidR="00AC655F" w:rsidRDefault="00AC655F" w:rsidP="00AC655F">
      <w:pPr>
        <w:spacing w:after="0" w:line="480" w:lineRule="auto"/>
        <w:rPr>
          <w:sz w:val="24"/>
          <w:szCs w:val="24"/>
        </w:rPr>
      </w:pPr>
    </w:p>
    <w:p w:rsidR="00AC655F" w:rsidRDefault="00AC655F" w:rsidP="00AC655F">
      <w:pPr>
        <w:spacing w:after="0" w:line="480" w:lineRule="auto"/>
      </w:pPr>
    </w:p>
    <w:p w:rsidR="00AC655F" w:rsidRDefault="00AC655F" w:rsidP="00AC655F"/>
    <w:p w:rsidR="00AC655F" w:rsidRDefault="00AC655F">
      <w:r>
        <w:br w:type="page"/>
      </w:r>
    </w:p>
    <w:p w:rsidR="00AC655F" w:rsidRPr="008559C9" w:rsidRDefault="00AC655F" w:rsidP="00AC655F">
      <w:pPr>
        <w:pStyle w:val="FootnoteText"/>
        <w:spacing w:line="480" w:lineRule="auto"/>
        <w:rPr>
          <w:b/>
          <w:sz w:val="24"/>
          <w:szCs w:val="24"/>
        </w:rPr>
      </w:pPr>
      <w:r>
        <w:rPr>
          <w:b/>
          <w:sz w:val="24"/>
          <w:szCs w:val="24"/>
        </w:rPr>
        <w:lastRenderedPageBreak/>
        <w:t>Footnotes</w:t>
      </w:r>
    </w:p>
    <w:p w:rsidR="00AC655F" w:rsidRDefault="00AC655F" w:rsidP="00AC655F">
      <w:pPr>
        <w:pStyle w:val="FootnoteText"/>
        <w:spacing w:line="480" w:lineRule="auto"/>
        <w:rPr>
          <w:sz w:val="24"/>
          <w:szCs w:val="24"/>
        </w:rPr>
      </w:pPr>
      <w:r w:rsidRPr="00D7732C">
        <w:rPr>
          <w:rStyle w:val="FootnoteReference"/>
          <w:sz w:val="24"/>
          <w:szCs w:val="24"/>
        </w:rPr>
        <w:footnoteRef/>
      </w:r>
      <w:r w:rsidRPr="00D7732C">
        <w:rPr>
          <w:sz w:val="24"/>
          <w:szCs w:val="24"/>
        </w:rPr>
        <w:t xml:space="preserve"> All references are to Giovanni Boccaccio, </w:t>
      </w:r>
      <w:r w:rsidRPr="00D7732C">
        <w:rPr>
          <w:i/>
          <w:sz w:val="24"/>
          <w:szCs w:val="24"/>
        </w:rPr>
        <w:t>The Decameron</w:t>
      </w:r>
      <w:r w:rsidRPr="00D7732C">
        <w:rPr>
          <w:sz w:val="24"/>
          <w:szCs w:val="24"/>
        </w:rPr>
        <w:t xml:space="preserve">, trans. </w:t>
      </w:r>
      <w:proofErr w:type="spellStart"/>
      <w:r w:rsidRPr="00D7732C">
        <w:rPr>
          <w:sz w:val="24"/>
          <w:szCs w:val="24"/>
        </w:rPr>
        <w:t>G.H.McWilliam</w:t>
      </w:r>
      <w:proofErr w:type="spellEnd"/>
      <w:r w:rsidRPr="00D7732C">
        <w:rPr>
          <w:sz w:val="24"/>
          <w:szCs w:val="24"/>
        </w:rPr>
        <w:t xml:space="preserve"> (</w:t>
      </w:r>
      <w:proofErr w:type="spellStart"/>
      <w:r w:rsidRPr="00D7732C">
        <w:rPr>
          <w:sz w:val="24"/>
          <w:szCs w:val="24"/>
        </w:rPr>
        <w:t>Harmondsworth</w:t>
      </w:r>
      <w:proofErr w:type="spellEnd"/>
      <w:r w:rsidRPr="00D7732C">
        <w:rPr>
          <w:sz w:val="24"/>
          <w:szCs w:val="24"/>
        </w:rPr>
        <w:t xml:space="preserve">, </w:t>
      </w:r>
      <w:r>
        <w:rPr>
          <w:sz w:val="24"/>
          <w:szCs w:val="24"/>
        </w:rPr>
        <w:t xml:space="preserve">Penguin Books Ltd., </w:t>
      </w:r>
      <w:r w:rsidRPr="00D7732C">
        <w:rPr>
          <w:sz w:val="24"/>
          <w:szCs w:val="24"/>
        </w:rPr>
        <w:t xml:space="preserve">1972). The </w:t>
      </w:r>
      <w:r w:rsidRPr="00D7732C">
        <w:rPr>
          <w:rFonts w:ascii="Calibri" w:hAnsi="Calibri"/>
          <w:sz w:val="24"/>
          <w:szCs w:val="24"/>
        </w:rPr>
        <w:t>Fifth Story of the Eighth Day</w:t>
      </w:r>
      <w:r w:rsidRPr="00D7732C">
        <w:rPr>
          <w:sz w:val="24"/>
          <w:szCs w:val="24"/>
        </w:rPr>
        <w:t xml:space="preserve"> begins on page 610.</w:t>
      </w:r>
      <w:r w:rsidRPr="001C03F4">
        <w:rPr>
          <w:sz w:val="24"/>
          <w:szCs w:val="24"/>
        </w:rPr>
        <w:t xml:space="preserve"> </w:t>
      </w:r>
    </w:p>
    <w:p w:rsidR="00AC655F" w:rsidRDefault="00AC655F" w:rsidP="00AC655F">
      <w:pPr>
        <w:pStyle w:val="FootnoteText"/>
        <w:spacing w:line="480" w:lineRule="auto"/>
        <w:rPr>
          <w:sz w:val="24"/>
          <w:szCs w:val="24"/>
        </w:rPr>
      </w:pPr>
      <w:r>
        <w:rPr>
          <w:rStyle w:val="FootnoteReference"/>
          <w:sz w:val="24"/>
          <w:szCs w:val="24"/>
        </w:rPr>
        <w:t>2</w:t>
      </w:r>
      <w:r>
        <w:rPr>
          <w:sz w:val="24"/>
          <w:szCs w:val="24"/>
        </w:rPr>
        <w:t xml:space="preserve"> Detailed discussion of the place of the </w:t>
      </w:r>
      <w:r>
        <w:rPr>
          <w:i/>
          <w:sz w:val="24"/>
          <w:szCs w:val="24"/>
        </w:rPr>
        <w:t xml:space="preserve">Decameron </w:t>
      </w:r>
      <w:r>
        <w:rPr>
          <w:sz w:val="24"/>
          <w:szCs w:val="24"/>
        </w:rPr>
        <w:t>in Italian and European literary tradition or the vast literature and scholarship it has inspired is beyond the scope of this article. Of necessity, a specific narrow focus</w:t>
      </w:r>
      <w:r w:rsidRPr="001C03F4">
        <w:rPr>
          <w:sz w:val="24"/>
          <w:szCs w:val="24"/>
        </w:rPr>
        <w:t xml:space="preserve"> </w:t>
      </w:r>
      <w:r>
        <w:rPr>
          <w:sz w:val="24"/>
          <w:szCs w:val="24"/>
        </w:rPr>
        <w:t xml:space="preserve">has been taken, to encourage legal historical study of a tale which might not otherwise attract such an approach; similarly, wherever possible, </w:t>
      </w:r>
    </w:p>
    <w:p w:rsidR="00AC655F" w:rsidRPr="00D7732C" w:rsidRDefault="00AC655F" w:rsidP="00AC655F">
      <w:pPr>
        <w:pStyle w:val="FootnoteText"/>
        <w:spacing w:line="480" w:lineRule="auto"/>
        <w:rPr>
          <w:sz w:val="24"/>
          <w:szCs w:val="24"/>
        </w:rPr>
      </w:pPr>
      <w:proofErr w:type="gramStart"/>
      <w:r>
        <w:rPr>
          <w:sz w:val="24"/>
          <w:szCs w:val="24"/>
        </w:rPr>
        <w:t>references</w:t>
      </w:r>
      <w:proofErr w:type="gramEnd"/>
      <w:r>
        <w:rPr>
          <w:sz w:val="24"/>
          <w:szCs w:val="24"/>
        </w:rPr>
        <w:t xml:space="preserve"> are to resources in the English language, to broaden accessibility.</w:t>
      </w:r>
    </w:p>
    <w:p w:rsidR="00AC655F" w:rsidRPr="00D7732C" w:rsidRDefault="00AC655F" w:rsidP="00AC655F">
      <w:pPr>
        <w:pStyle w:val="FootnoteText"/>
        <w:spacing w:line="480" w:lineRule="auto"/>
        <w:rPr>
          <w:sz w:val="24"/>
          <w:szCs w:val="24"/>
        </w:rPr>
      </w:pPr>
      <w:r>
        <w:rPr>
          <w:rStyle w:val="FootnoteReference"/>
          <w:sz w:val="24"/>
          <w:szCs w:val="24"/>
        </w:rPr>
        <w:t>3</w:t>
      </w:r>
      <w:r w:rsidRPr="00D7732C">
        <w:rPr>
          <w:sz w:val="24"/>
          <w:szCs w:val="24"/>
        </w:rPr>
        <w:t xml:space="preserve"> Much scholarly attention seems to have focused on the stories of Day IV, 9; Day V, 1 and 8; Day VII, 7; Day VIII, 7; and Day X, 10.</w:t>
      </w:r>
    </w:p>
    <w:p w:rsidR="00AC655F" w:rsidRPr="00D7732C" w:rsidRDefault="00AC655F" w:rsidP="00AC655F">
      <w:pPr>
        <w:pStyle w:val="FootnoteText"/>
        <w:spacing w:line="480" w:lineRule="auto"/>
        <w:rPr>
          <w:sz w:val="24"/>
          <w:szCs w:val="24"/>
        </w:rPr>
      </w:pPr>
      <w:r>
        <w:rPr>
          <w:rStyle w:val="FootnoteReference"/>
          <w:sz w:val="24"/>
          <w:szCs w:val="24"/>
        </w:rPr>
        <w:t>4</w:t>
      </w:r>
      <w:r w:rsidRPr="00D7732C">
        <w:rPr>
          <w:sz w:val="24"/>
          <w:szCs w:val="24"/>
        </w:rPr>
        <w:t xml:space="preserve"> See Victoria Kirkham, </w:t>
      </w:r>
      <w:r>
        <w:rPr>
          <w:sz w:val="24"/>
          <w:szCs w:val="24"/>
        </w:rPr>
        <w:t>‘</w:t>
      </w:r>
      <w:r w:rsidRPr="00D7732C">
        <w:rPr>
          <w:sz w:val="24"/>
          <w:szCs w:val="24"/>
        </w:rPr>
        <w:t>An Allegorically Tempered Decameron</w:t>
      </w:r>
      <w:r>
        <w:rPr>
          <w:sz w:val="24"/>
          <w:szCs w:val="24"/>
        </w:rPr>
        <w:t>’,</w:t>
      </w:r>
      <w:r w:rsidRPr="00D7732C">
        <w:rPr>
          <w:sz w:val="24"/>
          <w:szCs w:val="24"/>
        </w:rPr>
        <w:t xml:space="preserve"> </w:t>
      </w:r>
      <w:proofErr w:type="spellStart"/>
      <w:r w:rsidRPr="00D7732C">
        <w:rPr>
          <w:i/>
          <w:sz w:val="24"/>
          <w:szCs w:val="24"/>
        </w:rPr>
        <w:t>Italica</w:t>
      </w:r>
      <w:proofErr w:type="spellEnd"/>
      <w:r w:rsidRPr="00D7732C">
        <w:rPr>
          <w:sz w:val="24"/>
          <w:szCs w:val="24"/>
        </w:rPr>
        <w:t xml:space="preserve"> Vol 62, No. 1 (1985), </w:t>
      </w:r>
      <w:r>
        <w:rPr>
          <w:sz w:val="24"/>
          <w:szCs w:val="24"/>
        </w:rPr>
        <w:t>pp. 1-23</w:t>
      </w:r>
      <w:r w:rsidRPr="00D7732C">
        <w:rPr>
          <w:sz w:val="24"/>
          <w:szCs w:val="24"/>
        </w:rPr>
        <w:t xml:space="preserve">. </w:t>
      </w:r>
      <w:r w:rsidRPr="00D7732C">
        <w:rPr>
          <w:rFonts w:ascii="Calibri" w:hAnsi="Calibri"/>
          <w:sz w:val="24"/>
          <w:szCs w:val="24"/>
        </w:rPr>
        <w:t xml:space="preserve">Her name may also be intended to allude to Petrarch’s Lauretta, or Laura; Boccaccio responded to Petrarch’s poetry in his </w:t>
      </w:r>
      <w:r w:rsidRPr="00D7732C">
        <w:rPr>
          <w:rFonts w:ascii="Calibri" w:hAnsi="Calibri"/>
          <w:i/>
          <w:sz w:val="24"/>
          <w:szCs w:val="24"/>
        </w:rPr>
        <w:t xml:space="preserve">De Vita </w:t>
      </w:r>
      <w:proofErr w:type="gramStart"/>
      <w:r w:rsidRPr="00D7732C">
        <w:rPr>
          <w:rFonts w:ascii="Calibri" w:hAnsi="Calibri"/>
          <w:i/>
          <w:sz w:val="24"/>
          <w:szCs w:val="24"/>
        </w:rPr>
        <w:t>et</w:t>
      </w:r>
      <w:proofErr w:type="gramEnd"/>
      <w:r w:rsidRPr="00D7732C">
        <w:rPr>
          <w:rFonts w:ascii="Calibri" w:hAnsi="Calibri"/>
          <w:i/>
          <w:sz w:val="24"/>
          <w:szCs w:val="24"/>
        </w:rPr>
        <w:t xml:space="preserve"> </w:t>
      </w:r>
      <w:proofErr w:type="spellStart"/>
      <w:r w:rsidRPr="00D7732C">
        <w:rPr>
          <w:rFonts w:ascii="Calibri" w:hAnsi="Calibri"/>
          <w:i/>
          <w:sz w:val="24"/>
          <w:szCs w:val="24"/>
        </w:rPr>
        <w:t>Moribus</w:t>
      </w:r>
      <w:proofErr w:type="spellEnd"/>
      <w:r w:rsidRPr="00D7732C">
        <w:rPr>
          <w:rFonts w:ascii="Calibri" w:hAnsi="Calibri"/>
          <w:i/>
          <w:sz w:val="24"/>
          <w:szCs w:val="24"/>
        </w:rPr>
        <w:t xml:space="preserve"> Domini </w:t>
      </w:r>
      <w:proofErr w:type="spellStart"/>
      <w:r w:rsidRPr="00D7732C">
        <w:rPr>
          <w:rFonts w:ascii="Calibri" w:hAnsi="Calibri"/>
          <w:i/>
          <w:sz w:val="24"/>
          <w:szCs w:val="24"/>
        </w:rPr>
        <w:t>Francisci</w:t>
      </w:r>
      <w:proofErr w:type="spellEnd"/>
      <w:r w:rsidRPr="00D7732C">
        <w:rPr>
          <w:rFonts w:ascii="Calibri" w:hAnsi="Calibri"/>
          <w:i/>
          <w:sz w:val="24"/>
          <w:szCs w:val="24"/>
        </w:rPr>
        <w:t xml:space="preserve"> </w:t>
      </w:r>
      <w:proofErr w:type="spellStart"/>
      <w:r w:rsidRPr="00D7732C">
        <w:rPr>
          <w:rFonts w:ascii="Calibri" w:hAnsi="Calibri"/>
          <w:i/>
          <w:sz w:val="24"/>
          <w:szCs w:val="24"/>
        </w:rPr>
        <w:t>Petracchi</w:t>
      </w:r>
      <w:proofErr w:type="spellEnd"/>
      <w:r w:rsidRPr="00D7732C">
        <w:rPr>
          <w:rFonts w:ascii="Calibri" w:hAnsi="Calibri"/>
          <w:i/>
          <w:sz w:val="24"/>
          <w:szCs w:val="24"/>
        </w:rPr>
        <w:t xml:space="preserve"> </w:t>
      </w:r>
      <w:proofErr w:type="spellStart"/>
      <w:r w:rsidRPr="00D7732C">
        <w:rPr>
          <w:rFonts w:ascii="Calibri" w:hAnsi="Calibri"/>
          <w:i/>
          <w:sz w:val="24"/>
          <w:szCs w:val="24"/>
        </w:rPr>
        <w:t>Florentia</w:t>
      </w:r>
      <w:proofErr w:type="spellEnd"/>
      <w:r w:rsidRPr="00D7732C">
        <w:rPr>
          <w:rFonts w:ascii="Calibri" w:hAnsi="Calibri"/>
          <w:sz w:val="24"/>
          <w:szCs w:val="24"/>
        </w:rPr>
        <w:t xml:space="preserve">. See Martin Eisner, </w:t>
      </w:r>
      <w:r w:rsidRPr="00D7732C">
        <w:rPr>
          <w:rFonts w:ascii="Calibri" w:hAnsi="Calibri" w:cs="Arial"/>
          <w:i/>
          <w:sz w:val="24"/>
          <w:szCs w:val="24"/>
        </w:rPr>
        <w:t xml:space="preserve">Boccaccio and the Invention of Italian Literature: Dante, Petrarch, </w:t>
      </w:r>
      <w:proofErr w:type="spellStart"/>
      <w:r w:rsidRPr="00D7732C">
        <w:rPr>
          <w:rFonts w:ascii="Calibri" w:hAnsi="Calibri" w:cs="Arial"/>
          <w:i/>
          <w:sz w:val="24"/>
          <w:szCs w:val="24"/>
        </w:rPr>
        <w:t>Cavalcanti</w:t>
      </w:r>
      <w:proofErr w:type="spellEnd"/>
      <w:r w:rsidRPr="00D7732C">
        <w:rPr>
          <w:rFonts w:ascii="Calibri" w:hAnsi="Calibri" w:cs="Arial"/>
          <w:i/>
          <w:sz w:val="24"/>
          <w:szCs w:val="24"/>
        </w:rPr>
        <w:t xml:space="preserve"> and the Authority of the Vernacular</w:t>
      </w:r>
      <w:r w:rsidRPr="00D7732C">
        <w:rPr>
          <w:rFonts w:ascii="Calibri" w:hAnsi="Calibri" w:cs="Arial"/>
          <w:sz w:val="24"/>
          <w:szCs w:val="24"/>
        </w:rPr>
        <w:t xml:space="preserve"> (Cambridge, Cambridge University Press, </w:t>
      </w:r>
      <w:r w:rsidRPr="00D7732C">
        <w:rPr>
          <w:rFonts w:ascii="Calibri" w:hAnsi="Calibri"/>
          <w:sz w:val="24"/>
          <w:szCs w:val="24"/>
        </w:rPr>
        <w:t>2013), p.79.</w:t>
      </w:r>
    </w:p>
    <w:p w:rsidR="00AC655F" w:rsidRPr="00D7732C" w:rsidRDefault="00AC655F" w:rsidP="00AC655F">
      <w:pPr>
        <w:pStyle w:val="FootnoteText"/>
        <w:spacing w:line="480" w:lineRule="auto"/>
        <w:rPr>
          <w:sz w:val="24"/>
          <w:szCs w:val="24"/>
        </w:rPr>
      </w:pPr>
      <w:r>
        <w:rPr>
          <w:rStyle w:val="FootnoteReference"/>
          <w:sz w:val="24"/>
          <w:szCs w:val="24"/>
        </w:rPr>
        <w:t>5</w:t>
      </w:r>
      <w:r w:rsidRPr="00D7732C">
        <w:rPr>
          <w:sz w:val="24"/>
          <w:szCs w:val="24"/>
        </w:rPr>
        <w:t xml:space="preserve"> On relationships between the </w:t>
      </w:r>
      <w:r w:rsidRPr="00D7732C">
        <w:rPr>
          <w:i/>
          <w:sz w:val="24"/>
          <w:szCs w:val="24"/>
        </w:rPr>
        <w:t>Decameron</w:t>
      </w:r>
      <w:r w:rsidRPr="00D7732C">
        <w:rPr>
          <w:sz w:val="24"/>
          <w:szCs w:val="24"/>
        </w:rPr>
        <w:t xml:space="preserve"> and legal thought, see Giuseppe </w:t>
      </w:r>
      <w:proofErr w:type="spellStart"/>
      <w:r w:rsidRPr="00D7732C">
        <w:rPr>
          <w:sz w:val="24"/>
          <w:szCs w:val="24"/>
        </w:rPr>
        <w:t>Mazzotta</w:t>
      </w:r>
      <w:proofErr w:type="spellEnd"/>
      <w:r w:rsidRPr="00D7732C">
        <w:rPr>
          <w:sz w:val="24"/>
          <w:szCs w:val="24"/>
        </w:rPr>
        <w:t xml:space="preserve">, </w:t>
      </w:r>
      <w:r w:rsidRPr="00D7732C">
        <w:rPr>
          <w:i/>
          <w:sz w:val="24"/>
          <w:szCs w:val="24"/>
        </w:rPr>
        <w:t>The World at Play in Boccaccio’s Decameron</w:t>
      </w:r>
      <w:r w:rsidRPr="00D7732C">
        <w:rPr>
          <w:sz w:val="24"/>
          <w:szCs w:val="24"/>
        </w:rPr>
        <w:t xml:space="preserve"> (Princeton</w:t>
      </w:r>
      <w:r w:rsidRPr="006A5FFC">
        <w:rPr>
          <w:sz w:val="24"/>
          <w:szCs w:val="24"/>
        </w:rPr>
        <w:t xml:space="preserve"> </w:t>
      </w:r>
      <w:r>
        <w:rPr>
          <w:sz w:val="24"/>
          <w:szCs w:val="24"/>
        </w:rPr>
        <w:t>N.J.,</w:t>
      </w:r>
      <w:r w:rsidRPr="00D7732C">
        <w:rPr>
          <w:sz w:val="24"/>
          <w:szCs w:val="24"/>
        </w:rPr>
        <w:t xml:space="preserve"> Princeton University Press, 1986), pp. 213-240.</w:t>
      </w:r>
    </w:p>
    <w:p w:rsidR="00AC655F" w:rsidRDefault="00AC655F" w:rsidP="00AC655F">
      <w:pPr>
        <w:pStyle w:val="FootnoteText"/>
        <w:spacing w:line="480" w:lineRule="auto"/>
        <w:rPr>
          <w:sz w:val="24"/>
          <w:szCs w:val="24"/>
        </w:rPr>
      </w:pPr>
      <w:r>
        <w:rPr>
          <w:rStyle w:val="FootnoteReference"/>
          <w:sz w:val="24"/>
          <w:szCs w:val="24"/>
        </w:rPr>
        <w:t>6</w:t>
      </w:r>
      <w:r w:rsidRPr="00D7732C">
        <w:rPr>
          <w:sz w:val="24"/>
          <w:szCs w:val="24"/>
        </w:rPr>
        <w:t xml:space="preserve"> </w:t>
      </w:r>
      <w:proofErr w:type="gramStart"/>
      <w:r w:rsidRPr="00D7732C">
        <w:rPr>
          <w:sz w:val="24"/>
          <w:szCs w:val="24"/>
        </w:rPr>
        <w:t xml:space="preserve">G.A. </w:t>
      </w:r>
      <w:proofErr w:type="spellStart"/>
      <w:r w:rsidRPr="00D7732C">
        <w:rPr>
          <w:sz w:val="24"/>
          <w:szCs w:val="24"/>
        </w:rPr>
        <w:t>Brucker</w:t>
      </w:r>
      <w:proofErr w:type="spellEnd"/>
      <w:r w:rsidRPr="00D7732C">
        <w:rPr>
          <w:sz w:val="24"/>
          <w:szCs w:val="24"/>
        </w:rPr>
        <w:t xml:space="preserve">, </w:t>
      </w:r>
      <w:r w:rsidRPr="00D7732C">
        <w:rPr>
          <w:i/>
          <w:sz w:val="24"/>
          <w:szCs w:val="24"/>
        </w:rPr>
        <w:t>Florentine Politics and Society 1343-1378</w:t>
      </w:r>
      <w:r w:rsidRPr="00D7732C">
        <w:rPr>
          <w:sz w:val="24"/>
          <w:szCs w:val="24"/>
        </w:rPr>
        <w:t xml:space="preserve"> (Princeton</w:t>
      </w:r>
      <w:r w:rsidRPr="006A5FFC">
        <w:rPr>
          <w:sz w:val="24"/>
          <w:szCs w:val="24"/>
        </w:rPr>
        <w:t xml:space="preserve"> </w:t>
      </w:r>
      <w:r>
        <w:rPr>
          <w:sz w:val="24"/>
          <w:szCs w:val="24"/>
        </w:rPr>
        <w:t>N.J.</w:t>
      </w:r>
      <w:r w:rsidRPr="00D7732C">
        <w:rPr>
          <w:sz w:val="24"/>
          <w:szCs w:val="24"/>
        </w:rPr>
        <w:t>, Princeton University Press, 1962), p.401.</w:t>
      </w:r>
      <w:proofErr w:type="gramEnd"/>
      <w:r>
        <w:rPr>
          <w:sz w:val="24"/>
          <w:szCs w:val="24"/>
        </w:rPr>
        <w:t xml:space="preserve"> </w:t>
      </w:r>
    </w:p>
    <w:p w:rsidR="00AC655F" w:rsidRPr="00D7732C" w:rsidRDefault="00AC655F" w:rsidP="00AC655F">
      <w:pPr>
        <w:pStyle w:val="FootnoteText"/>
        <w:spacing w:line="480" w:lineRule="auto"/>
        <w:rPr>
          <w:sz w:val="24"/>
          <w:szCs w:val="24"/>
        </w:rPr>
      </w:pPr>
      <w:r>
        <w:rPr>
          <w:rStyle w:val="FootnoteReference"/>
          <w:sz w:val="24"/>
          <w:szCs w:val="24"/>
        </w:rPr>
        <w:lastRenderedPageBreak/>
        <w:t>7</w:t>
      </w:r>
      <w:r w:rsidRPr="00D7732C">
        <w:rPr>
          <w:sz w:val="24"/>
          <w:szCs w:val="24"/>
        </w:rPr>
        <w:t xml:space="preserve"> </w:t>
      </w:r>
      <w:proofErr w:type="gramStart"/>
      <w:r w:rsidRPr="00D7732C">
        <w:rPr>
          <w:sz w:val="24"/>
          <w:szCs w:val="24"/>
        </w:rPr>
        <w:t xml:space="preserve">Giuseppe </w:t>
      </w:r>
      <w:proofErr w:type="spellStart"/>
      <w:r w:rsidRPr="00D7732C">
        <w:rPr>
          <w:sz w:val="24"/>
          <w:szCs w:val="24"/>
        </w:rPr>
        <w:t>Mazzotta</w:t>
      </w:r>
      <w:proofErr w:type="spellEnd"/>
      <w:r w:rsidRPr="00D7732C">
        <w:rPr>
          <w:sz w:val="24"/>
          <w:szCs w:val="24"/>
        </w:rPr>
        <w:t xml:space="preserve">, </w:t>
      </w:r>
      <w:r w:rsidRPr="00D7732C">
        <w:rPr>
          <w:i/>
          <w:sz w:val="24"/>
          <w:szCs w:val="24"/>
        </w:rPr>
        <w:t>The World at Play in Boccaccio’s</w:t>
      </w:r>
      <w:r>
        <w:rPr>
          <w:sz w:val="24"/>
          <w:szCs w:val="24"/>
        </w:rPr>
        <w:t xml:space="preserve"> Decameron (Princeton N.J.,</w:t>
      </w:r>
      <w:r w:rsidRPr="00D7732C">
        <w:rPr>
          <w:sz w:val="24"/>
          <w:szCs w:val="24"/>
        </w:rPr>
        <w:t xml:space="preserve"> Princeton University Press, 1986).</w:t>
      </w:r>
      <w:proofErr w:type="gramEnd"/>
      <w:r w:rsidRPr="00D7732C">
        <w:rPr>
          <w:sz w:val="24"/>
          <w:szCs w:val="24"/>
        </w:rPr>
        <w:t xml:space="preserve"> For </w:t>
      </w:r>
      <w:proofErr w:type="spellStart"/>
      <w:r w:rsidRPr="00D7732C">
        <w:rPr>
          <w:sz w:val="24"/>
          <w:szCs w:val="24"/>
        </w:rPr>
        <w:t>Mazzotta’s</w:t>
      </w:r>
      <w:proofErr w:type="spellEnd"/>
      <w:r w:rsidRPr="00D7732C">
        <w:rPr>
          <w:sz w:val="24"/>
          <w:szCs w:val="24"/>
        </w:rPr>
        <w:t xml:space="preserve"> examination of themes of law and justice in the Decameron, see</w:t>
      </w:r>
      <w:r w:rsidRPr="006A5FFC">
        <w:rPr>
          <w:sz w:val="24"/>
          <w:szCs w:val="24"/>
        </w:rPr>
        <w:t xml:space="preserve"> </w:t>
      </w:r>
      <w:proofErr w:type="spellStart"/>
      <w:r w:rsidRPr="00D7732C">
        <w:rPr>
          <w:sz w:val="24"/>
          <w:szCs w:val="24"/>
        </w:rPr>
        <w:t>Mazzotta</w:t>
      </w:r>
      <w:proofErr w:type="spellEnd"/>
      <w:r w:rsidRPr="00D7732C">
        <w:rPr>
          <w:sz w:val="24"/>
          <w:szCs w:val="24"/>
        </w:rPr>
        <w:t xml:space="preserve">, </w:t>
      </w:r>
      <w:r w:rsidRPr="005F5A8E">
        <w:rPr>
          <w:sz w:val="24"/>
          <w:szCs w:val="24"/>
        </w:rPr>
        <w:t>World at Play</w:t>
      </w:r>
      <w:r w:rsidRPr="00D7732C">
        <w:rPr>
          <w:sz w:val="24"/>
          <w:szCs w:val="24"/>
        </w:rPr>
        <w:t xml:space="preserve">, pp. 213-240. The quotation is from page 213. </w:t>
      </w:r>
    </w:p>
    <w:p w:rsidR="00AC655F" w:rsidRPr="00D7732C" w:rsidRDefault="00AC655F" w:rsidP="00AC655F">
      <w:pPr>
        <w:pStyle w:val="FootnoteText"/>
        <w:spacing w:line="480" w:lineRule="auto"/>
        <w:rPr>
          <w:sz w:val="24"/>
          <w:szCs w:val="24"/>
        </w:rPr>
      </w:pPr>
      <w:r>
        <w:rPr>
          <w:rStyle w:val="FootnoteReference"/>
          <w:sz w:val="24"/>
          <w:szCs w:val="24"/>
        </w:rPr>
        <w:t>8</w:t>
      </w:r>
      <w:r w:rsidRPr="00D7732C">
        <w:rPr>
          <w:sz w:val="24"/>
          <w:szCs w:val="24"/>
        </w:rPr>
        <w:t xml:space="preserve"> </w:t>
      </w:r>
      <w:proofErr w:type="spellStart"/>
      <w:r w:rsidRPr="00D7732C">
        <w:rPr>
          <w:sz w:val="24"/>
          <w:szCs w:val="24"/>
        </w:rPr>
        <w:t>Mazzotta</w:t>
      </w:r>
      <w:proofErr w:type="spellEnd"/>
      <w:r w:rsidRPr="00D7732C">
        <w:rPr>
          <w:sz w:val="24"/>
          <w:szCs w:val="24"/>
        </w:rPr>
        <w:t xml:space="preserve">, </w:t>
      </w:r>
      <w:r w:rsidRPr="006A5FFC">
        <w:rPr>
          <w:sz w:val="24"/>
          <w:szCs w:val="24"/>
        </w:rPr>
        <w:t>World at Play</w:t>
      </w:r>
      <w:r>
        <w:rPr>
          <w:sz w:val="24"/>
          <w:szCs w:val="24"/>
        </w:rPr>
        <w:t>,</w:t>
      </w:r>
      <w:r w:rsidRPr="006A5FFC">
        <w:rPr>
          <w:sz w:val="24"/>
          <w:szCs w:val="24"/>
        </w:rPr>
        <w:t xml:space="preserve"> </w:t>
      </w:r>
      <w:r w:rsidRPr="00D7732C">
        <w:rPr>
          <w:sz w:val="24"/>
          <w:szCs w:val="24"/>
        </w:rPr>
        <w:t>p</w:t>
      </w:r>
      <w:r>
        <w:rPr>
          <w:sz w:val="24"/>
          <w:szCs w:val="24"/>
        </w:rPr>
        <w:t>.</w:t>
      </w:r>
      <w:r w:rsidRPr="00D7732C">
        <w:rPr>
          <w:sz w:val="24"/>
          <w:szCs w:val="24"/>
        </w:rPr>
        <w:t xml:space="preserve"> 239. For </w:t>
      </w:r>
      <w:proofErr w:type="spellStart"/>
      <w:r w:rsidRPr="00D7732C">
        <w:rPr>
          <w:sz w:val="24"/>
          <w:szCs w:val="24"/>
        </w:rPr>
        <w:t>Mazzotta’s</w:t>
      </w:r>
      <w:proofErr w:type="spellEnd"/>
      <w:r w:rsidRPr="00D7732C">
        <w:rPr>
          <w:sz w:val="24"/>
          <w:szCs w:val="24"/>
        </w:rPr>
        <w:t xml:space="preserve"> analysis of the </w:t>
      </w:r>
      <w:r w:rsidRPr="00D7732C">
        <w:rPr>
          <w:rFonts w:ascii="Calibri" w:hAnsi="Calibri"/>
          <w:sz w:val="24"/>
          <w:szCs w:val="24"/>
        </w:rPr>
        <w:t>Fifth Story of the Eighth Day</w:t>
      </w:r>
      <w:r>
        <w:rPr>
          <w:sz w:val="24"/>
          <w:szCs w:val="24"/>
        </w:rPr>
        <w:t>, see pp.187-190</w:t>
      </w:r>
      <w:r w:rsidRPr="00D7732C">
        <w:rPr>
          <w:sz w:val="24"/>
          <w:szCs w:val="24"/>
        </w:rPr>
        <w:t>.</w:t>
      </w:r>
    </w:p>
    <w:p w:rsidR="00AC655F" w:rsidRDefault="00AC655F" w:rsidP="00AC655F">
      <w:pPr>
        <w:pStyle w:val="FootnoteText"/>
        <w:spacing w:line="480" w:lineRule="auto"/>
        <w:rPr>
          <w:sz w:val="24"/>
          <w:szCs w:val="24"/>
        </w:rPr>
      </w:pPr>
      <w:r>
        <w:rPr>
          <w:rStyle w:val="FootnoteReference"/>
          <w:sz w:val="24"/>
          <w:szCs w:val="24"/>
        </w:rPr>
        <w:t>9</w:t>
      </w:r>
      <w:r w:rsidRPr="00D7732C">
        <w:rPr>
          <w:sz w:val="24"/>
          <w:szCs w:val="24"/>
        </w:rPr>
        <w:t xml:space="preserve"> Boccaccio, </w:t>
      </w:r>
      <w:r w:rsidRPr="00D7732C">
        <w:rPr>
          <w:i/>
          <w:sz w:val="24"/>
          <w:szCs w:val="24"/>
        </w:rPr>
        <w:t>Decameron</w:t>
      </w:r>
      <w:r w:rsidRPr="00D7732C">
        <w:rPr>
          <w:sz w:val="24"/>
          <w:szCs w:val="24"/>
        </w:rPr>
        <w:t xml:space="preserve">, </w:t>
      </w:r>
      <w:r>
        <w:rPr>
          <w:sz w:val="24"/>
          <w:szCs w:val="24"/>
        </w:rPr>
        <w:t xml:space="preserve">p. </w:t>
      </w:r>
      <w:r w:rsidRPr="00D7732C">
        <w:rPr>
          <w:sz w:val="24"/>
          <w:szCs w:val="24"/>
        </w:rPr>
        <w:t>611.</w:t>
      </w:r>
    </w:p>
    <w:p w:rsidR="00AC655F" w:rsidRPr="00D7732C" w:rsidRDefault="00AC655F" w:rsidP="00AC655F">
      <w:pPr>
        <w:pStyle w:val="FootnoteText"/>
        <w:spacing w:line="480" w:lineRule="auto"/>
        <w:rPr>
          <w:sz w:val="24"/>
          <w:szCs w:val="24"/>
        </w:rPr>
      </w:pPr>
      <w:r w:rsidRPr="005D6D93">
        <w:rPr>
          <w:sz w:val="24"/>
          <w:szCs w:val="24"/>
          <w:vertAlign w:val="subscript"/>
        </w:rPr>
        <w:t>10</w:t>
      </w:r>
      <w:r>
        <w:rPr>
          <w:sz w:val="24"/>
          <w:szCs w:val="24"/>
        </w:rPr>
        <w:t xml:space="preserve"> A brief and accessible general introduction to the administration of justice in the late-medieval city-states of northern Italy is </w:t>
      </w:r>
      <w:r w:rsidRPr="00D7732C">
        <w:rPr>
          <w:rStyle w:val="ft"/>
          <w:rFonts w:cs="Calibri"/>
          <w:sz w:val="24"/>
          <w:szCs w:val="24"/>
        </w:rPr>
        <w:t>Philip J.</w:t>
      </w:r>
      <w:r w:rsidRPr="00D7732C">
        <w:rPr>
          <w:rFonts w:cs="Calibri"/>
          <w:sz w:val="24"/>
          <w:szCs w:val="24"/>
        </w:rPr>
        <w:t xml:space="preserve"> </w:t>
      </w:r>
      <w:r w:rsidRPr="00D7732C">
        <w:rPr>
          <w:rStyle w:val="ft"/>
          <w:rFonts w:cs="Calibri"/>
          <w:bCs/>
          <w:sz w:val="24"/>
          <w:szCs w:val="24"/>
        </w:rPr>
        <w:t xml:space="preserve">Jones, </w:t>
      </w:r>
      <w:r w:rsidRPr="00D7732C">
        <w:rPr>
          <w:rFonts w:cs="Calibri"/>
          <w:i/>
          <w:sz w:val="24"/>
          <w:szCs w:val="24"/>
        </w:rPr>
        <w:t xml:space="preserve">The Italian City-State: From Commune to </w:t>
      </w:r>
      <w:proofErr w:type="spellStart"/>
      <w:r w:rsidRPr="00D7732C">
        <w:rPr>
          <w:rFonts w:cs="Calibri"/>
          <w:i/>
          <w:sz w:val="24"/>
          <w:szCs w:val="24"/>
        </w:rPr>
        <w:t>Signoria</w:t>
      </w:r>
      <w:proofErr w:type="spellEnd"/>
      <w:r w:rsidRPr="00D7732C">
        <w:rPr>
          <w:rFonts w:cs="Calibri"/>
          <w:i/>
          <w:sz w:val="24"/>
          <w:szCs w:val="24"/>
        </w:rPr>
        <w:t xml:space="preserve"> </w:t>
      </w:r>
      <w:r w:rsidRPr="00D7732C">
        <w:rPr>
          <w:rFonts w:cs="Calibri"/>
          <w:sz w:val="24"/>
          <w:szCs w:val="24"/>
        </w:rPr>
        <w:t>(Oxford</w:t>
      </w:r>
      <w:r>
        <w:rPr>
          <w:rFonts w:cs="Calibri"/>
          <w:sz w:val="24"/>
          <w:szCs w:val="24"/>
        </w:rPr>
        <w:t>,</w:t>
      </w:r>
      <w:r w:rsidRPr="00D7732C">
        <w:rPr>
          <w:rFonts w:cs="Calibri"/>
          <w:sz w:val="24"/>
          <w:szCs w:val="24"/>
        </w:rPr>
        <w:t xml:space="preserve"> Clarendon Press, 1997), pp.</w:t>
      </w:r>
      <w:r>
        <w:rPr>
          <w:rFonts w:cs="Calibri"/>
          <w:sz w:val="24"/>
          <w:szCs w:val="24"/>
        </w:rPr>
        <w:t>374-382.</w:t>
      </w:r>
    </w:p>
    <w:p w:rsidR="00AC655F" w:rsidRDefault="00AC655F" w:rsidP="00AC655F">
      <w:pPr>
        <w:pStyle w:val="FootnoteText"/>
        <w:spacing w:line="480" w:lineRule="auto"/>
        <w:rPr>
          <w:rFonts w:cs="Calibri"/>
          <w:sz w:val="24"/>
          <w:szCs w:val="24"/>
          <w:lang w:val="en"/>
        </w:rPr>
      </w:pPr>
      <w:r>
        <w:rPr>
          <w:rStyle w:val="FootnoteReference"/>
          <w:rFonts w:cs="Calibri"/>
          <w:sz w:val="24"/>
          <w:szCs w:val="24"/>
        </w:rPr>
        <w:t>11</w:t>
      </w:r>
      <w:r w:rsidRPr="00D7732C">
        <w:rPr>
          <w:rFonts w:cs="Calibri"/>
          <w:sz w:val="24"/>
          <w:szCs w:val="24"/>
        </w:rPr>
        <w:t xml:space="preserve"> Although there is no significant work in English on the role of the </w:t>
      </w:r>
      <w:proofErr w:type="spellStart"/>
      <w:r w:rsidRPr="00D7732C">
        <w:rPr>
          <w:rFonts w:cs="Calibri"/>
          <w:sz w:val="24"/>
          <w:szCs w:val="24"/>
        </w:rPr>
        <w:t>podestà</w:t>
      </w:r>
      <w:proofErr w:type="spellEnd"/>
      <w:r w:rsidRPr="00D7732C">
        <w:rPr>
          <w:rFonts w:cs="Calibri"/>
          <w:sz w:val="24"/>
          <w:szCs w:val="24"/>
        </w:rPr>
        <w:t xml:space="preserve"> in medieval Italy,</w:t>
      </w:r>
      <w:r w:rsidRPr="00D7732C">
        <w:rPr>
          <w:rStyle w:val="subfielddata1"/>
          <w:vanish w:val="0"/>
          <w:sz w:val="24"/>
          <w:szCs w:val="24"/>
        </w:rPr>
        <w:t xml:space="preserve"> a </w:t>
      </w:r>
      <w:r w:rsidRPr="00D7732C">
        <w:rPr>
          <w:rStyle w:val="subfielddata1"/>
          <w:rFonts w:eastAsia="Arial Unicode MS" w:cs="Calibri"/>
          <w:vanish w:val="0"/>
          <w:sz w:val="24"/>
          <w:szCs w:val="24"/>
          <w:lang w:val="en"/>
        </w:rPr>
        <w:t xml:space="preserve">useful introduction can be found in </w:t>
      </w:r>
      <w:r w:rsidRPr="00D7732C">
        <w:rPr>
          <w:rFonts w:cs="Calibri"/>
          <w:sz w:val="24"/>
          <w:szCs w:val="24"/>
        </w:rPr>
        <w:t xml:space="preserve">David S. Chambers and </w:t>
      </w:r>
      <w:r w:rsidRPr="00D7732C">
        <w:rPr>
          <w:rFonts w:cs="Calibri"/>
          <w:bCs/>
          <w:sz w:val="24"/>
          <w:szCs w:val="24"/>
        </w:rPr>
        <w:t>Trevor Dean</w:t>
      </w:r>
      <w:r w:rsidRPr="00D7732C">
        <w:rPr>
          <w:rFonts w:cs="Calibri"/>
          <w:sz w:val="24"/>
          <w:szCs w:val="24"/>
        </w:rPr>
        <w:t xml:space="preserve">, </w:t>
      </w:r>
      <w:r w:rsidRPr="00D7732C">
        <w:rPr>
          <w:rFonts w:cs="Calibri"/>
          <w:bCs/>
          <w:i/>
          <w:sz w:val="24"/>
          <w:szCs w:val="24"/>
        </w:rPr>
        <w:t>Clean Hands</w:t>
      </w:r>
      <w:r w:rsidRPr="00D7732C">
        <w:rPr>
          <w:rFonts w:cs="Calibri"/>
          <w:i/>
          <w:sz w:val="24"/>
          <w:szCs w:val="24"/>
        </w:rPr>
        <w:t xml:space="preserve"> and </w:t>
      </w:r>
      <w:r w:rsidRPr="00D7732C">
        <w:rPr>
          <w:rFonts w:cs="Calibri"/>
          <w:bCs/>
          <w:i/>
          <w:sz w:val="24"/>
          <w:szCs w:val="24"/>
        </w:rPr>
        <w:t>Rough Justice</w:t>
      </w:r>
      <w:r w:rsidRPr="00D7732C">
        <w:rPr>
          <w:rFonts w:cs="Calibri"/>
          <w:i/>
          <w:sz w:val="24"/>
          <w:szCs w:val="24"/>
        </w:rPr>
        <w:t>: An Investigating Magistrate in Renaissance Italy</w:t>
      </w:r>
      <w:r w:rsidRPr="00D7732C">
        <w:rPr>
          <w:rFonts w:cs="Calibri"/>
          <w:sz w:val="24"/>
          <w:szCs w:val="24"/>
        </w:rPr>
        <w:t xml:space="preserve"> (Ann </w:t>
      </w:r>
      <w:proofErr w:type="spellStart"/>
      <w:r w:rsidRPr="00D7732C">
        <w:rPr>
          <w:rFonts w:cs="Calibri"/>
          <w:sz w:val="24"/>
          <w:szCs w:val="24"/>
        </w:rPr>
        <w:t>Arbor</w:t>
      </w:r>
      <w:proofErr w:type="spellEnd"/>
      <w:r>
        <w:rPr>
          <w:rFonts w:cs="Calibri"/>
          <w:sz w:val="24"/>
          <w:szCs w:val="24"/>
        </w:rPr>
        <w:t>,</w:t>
      </w:r>
      <w:r w:rsidRPr="00D7732C">
        <w:rPr>
          <w:rFonts w:cs="Calibri"/>
          <w:sz w:val="24"/>
          <w:szCs w:val="24"/>
        </w:rPr>
        <w:t xml:space="preserve"> University of Michigan Press, 1997)</w:t>
      </w:r>
      <w:r w:rsidRPr="00D7732C">
        <w:rPr>
          <w:rStyle w:val="subfielddata1"/>
          <w:rFonts w:eastAsia="Arial Unicode MS" w:cs="Calibri"/>
          <w:vanish w:val="0"/>
          <w:sz w:val="24"/>
          <w:szCs w:val="24"/>
          <w:lang w:val="en"/>
        </w:rPr>
        <w:t>.</w:t>
      </w:r>
    </w:p>
    <w:p w:rsidR="00AC655F" w:rsidRPr="00D7732C" w:rsidRDefault="00AC655F" w:rsidP="00AC655F">
      <w:pPr>
        <w:pStyle w:val="FootnoteText"/>
        <w:spacing w:line="480" w:lineRule="auto"/>
        <w:rPr>
          <w:rFonts w:cs="Calibri"/>
          <w:sz w:val="24"/>
          <w:szCs w:val="24"/>
        </w:rPr>
      </w:pPr>
      <w:r>
        <w:rPr>
          <w:sz w:val="24"/>
          <w:szCs w:val="24"/>
          <w:vertAlign w:val="superscript"/>
        </w:rPr>
        <w:t>12</w:t>
      </w:r>
      <w:r w:rsidRPr="00D7732C">
        <w:rPr>
          <w:sz w:val="24"/>
          <w:szCs w:val="24"/>
        </w:rPr>
        <w:t xml:space="preserve"> Franco </w:t>
      </w:r>
      <w:proofErr w:type="spellStart"/>
      <w:r w:rsidRPr="00D7732C">
        <w:rPr>
          <w:sz w:val="24"/>
          <w:szCs w:val="24"/>
        </w:rPr>
        <w:t>Cardini</w:t>
      </w:r>
      <w:proofErr w:type="spellEnd"/>
      <w:r w:rsidRPr="00D7732C">
        <w:rPr>
          <w:sz w:val="24"/>
          <w:szCs w:val="24"/>
        </w:rPr>
        <w:t>, ‘Intellectuals and Culture in Twelfth- and Thirteenth-Century Italy’, in</w:t>
      </w:r>
      <w:r>
        <w:rPr>
          <w:sz w:val="24"/>
          <w:szCs w:val="24"/>
        </w:rPr>
        <w:t xml:space="preserve"> Trevor Dean and Chris Wickham, </w:t>
      </w:r>
      <w:r w:rsidRPr="00D7732C">
        <w:rPr>
          <w:sz w:val="24"/>
          <w:szCs w:val="24"/>
        </w:rPr>
        <w:t>eds.</w:t>
      </w:r>
      <w:r>
        <w:rPr>
          <w:sz w:val="24"/>
          <w:szCs w:val="24"/>
        </w:rPr>
        <w:t>,</w:t>
      </w:r>
      <w:r w:rsidRPr="00D7732C">
        <w:rPr>
          <w:sz w:val="24"/>
          <w:szCs w:val="24"/>
        </w:rPr>
        <w:t xml:space="preserve"> </w:t>
      </w:r>
      <w:r w:rsidRPr="00D7732C">
        <w:rPr>
          <w:i/>
          <w:sz w:val="24"/>
          <w:szCs w:val="24"/>
        </w:rPr>
        <w:t xml:space="preserve">City and Countryside in Late Medieval and Renaissance Italy </w:t>
      </w:r>
      <w:r>
        <w:rPr>
          <w:sz w:val="24"/>
          <w:szCs w:val="24"/>
        </w:rPr>
        <w:t>(</w:t>
      </w:r>
      <w:r w:rsidRPr="00D7732C">
        <w:rPr>
          <w:sz w:val="24"/>
          <w:szCs w:val="24"/>
        </w:rPr>
        <w:t>London,</w:t>
      </w:r>
      <w:r>
        <w:rPr>
          <w:sz w:val="24"/>
          <w:szCs w:val="24"/>
        </w:rPr>
        <w:t xml:space="preserve"> The Hambleton P</w:t>
      </w:r>
      <w:r w:rsidRPr="00D7732C">
        <w:rPr>
          <w:sz w:val="24"/>
          <w:szCs w:val="24"/>
        </w:rPr>
        <w:t>ress, 1990), pp. 13-30. The quotation is from page 21.</w:t>
      </w:r>
    </w:p>
    <w:p w:rsidR="00AC655F" w:rsidRPr="00D7732C" w:rsidRDefault="00AC655F" w:rsidP="00AC655F">
      <w:pPr>
        <w:pStyle w:val="FootnoteText"/>
        <w:spacing w:line="480" w:lineRule="auto"/>
        <w:rPr>
          <w:rFonts w:cs="Calibri"/>
          <w:sz w:val="24"/>
          <w:szCs w:val="24"/>
        </w:rPr>
      </w:pPr>
      <w:r w:rsidRPr="00D7732C">
        <w:rPr>
          <w:rStyle w:val="FootnoteReference"/>
          <w:rFonts w:cs="Calibri"/>
          <w:sz w:val="24"/>
          <w:szCs w:val="24"/>
        </w:rPr>
        <w:footnoteRef/>
      </w:r>
      <w:r>
        <w:rPr>
          <w:rFonts w:cs="Calibri"/>
          <w:sz w:val="24"/>
          <w:szCs w:val="24"/>
          <w:vertAlign w:val="superscript"/>
        </w:rPr>
        <w:t>3</w:t>
      </w:r>
      <w:r w:rsidRPr="00D7732C">
        <w:rPr>
          <w:rFonts w:cs="Calibri"/>
          <w:sz w:val="24"/>
          <w:szCs w:val="24"/>
        </w:rPr>
        <w:t xml:space="preserve"> This can be seen in Florence, for example, where Charles of Anjou served as </w:t>
      </w:r>
      <w:proofErr w:type="spellStart"/>
      <w:r w:rsidRPr="00D7732C">
        <w:rPr>
          <w:rFonts w:cs="Calibri"/>
          <w:sz w:val="24"/>
          <w:szCs w:val="24"/>
        </w:rPr>
        <w:t>podestà</w:t>
      </w:r>
      <w:proofErr w:type="spellEnd"/>
      <w:r w:rsidRPr="00D7732C">
        <w:rPr>
          <w:rFonts w:cs="Calibri"/>
          <w:sz w:val="24"/>
          <w:szCs w:val="24"/>
        </w:rPr>
        <w:t xml:space="preserve"> (1267-1282): and Robert of Anjou nominated the </w:t>
      </w:r>
      <w:proofErr w:type="spellStart"/>
      <w:r w:rsidRPr="00D7732C">
        <w:rPr>
          <w:rFonts w:cs="Calibri"/>
          <w:sz w:val="24"/>
          <w:szCs w:val="24"/>
        </w:rPr>
        <w:t>podestà</w:t>
      </w:r>
      <w:proofErr w:type="spellEnd"/>
      <w:r w:rsidRPr="00D7732C">
        <w:rPr>
          <w:rFonts w:cs="Calibri"/>
          <w:sz w:val="24"/>
          <w:szCs w:val="24"/>
        </w:rPr>
        <w:t xml:space="preserve"> from 1313-1322; thereafter, until 1325, the </w:t>
      </w:r>
      <w:proofErr w:type="spellStart"/>
      <w:r w:rsidRPr="00D7732C">
        <w:rPr>
          <w:rFonts w:cs="Calibri"/>
          <w:sz w:val="24"/>
          <w:szCs w:val="24"/>
        </w:rPr>
        <w:t>podestà</w:t>
      </w:r>
      <w:proofErr w:type="spellEnd"/>
      <w:r w:rsidRPr="00D7732C">
        <w:rPr>
          <w:rFonts w:cs="Calibri"/>
          <w:sz w:val="24"/>
          <w:szCs w:val="24"/>
        </w:rPr>
        <w:t xml:space="preserve"> was democratically elected. </w:t>
      </w:r>
    </w:p>
    <w:p w:rsidR="00AC655F" w:rsidRPr="00D7732C" w:rsidRDefault="00AC655F" w:rsidP="00AC655F">
      <w:pPr>
        <w:pStyle w:val="FootnoteText"/>
        <w:spacing w:line="480" w:lineRule="auto"/>
        <w:rPr>
          <w:rFonts w:cs="Calibri"/>
          <w:sz w:val="24"/>
          <w:szCs w:val="24"/>
        </w:rPr>
      </w:pPr>
      <w:r w:rsidRPr="00D7732C">
        <w:rPr>
          <w:rStyle w:val="FootnoteReference"/>
          <w:rFonts w:cs="Calibri"/>
          <w:sz w:val="24"/>
          <w:szCs w:val="24"/>
        </w:rPr>
        <w:footnoteRef/>
      </w:r>
      <w:r>
        <w:rPr>
          <w:rFonts w:cs="Calibri"/>
          <w:sz w:val="24"/>
          <w:szCs w:val="24"/>
          <w:vertAlign w:val="superscript"/>
        </w:rPr>
        <w:t>4</w:t>
      </w:r>
      <w:r w:rsidRPr="00D7732C">
        <w:rPr>
          <w:rFonts w:cs="Calibri"/>
          <w:sz w:val="24"/>
          <w:szCs w:val="24"/>
        </w:rPr>
        <w:t xml:space="preserve"> On the te</w:t>
      </w:r>
      <w:r>
        <w:rPr>
          <w:rFonts w:cs="Calibri"/>
          <w:sz w:val="24"/>
          <w:szCs w:val="24"/>
        </w:rPr>
        <w:t>rritoriality of the city-states</w:t>
      </w:r>
      <w:r w:rsidRPr="00D7732C">
        <w:rPr>
          <w:rFonts w:cs="Calibri"/>
          <w:sz w:val="24"/>
          <w:szCs w:val="24"/>
        </w:rPr>
        <w:t xml:space="preserve"> see </w:t>
      </w:r>
      <w:r w:rsidRPr="00D7732C">
        <w:rPr>
          <w:rStyle w:val="personname"/>
          <w:rFonts w:cs="Arial"/>
          <w:color w:val="000000"/>
          <w:sz w:val="24"/>
          <w:szCs w:val="24"/>
        </w:rPr>
        <w:t>Stephan R.</w:t>
      </w:r>
      <w:r w:rsidRPr="00D7732C">
        <w:rPr>
          <w:rFonts w:cs="Arial"/>
          <w:color w:val="000000"/>
          <w:sz w:val="24"/>
          <w:szCs w:val="24"/>
        </w:rPr>
        <w:t xml:space="preserve"> </w:t>
      </w:r>
      <w:r w:rsidRPr="00D7732C">
        <w:rPr>
          <w:rStyle w:val="personname"/>
          <w:rFonts w:cs="Arial"/>
          <w:color w:val="000000"/>
          <w:sz w:val="24"/>
          <w:szCs w:val="24"/>
        </w:rPr>
        <w:t>Epstein,</w:t>
      </w:r>
      <w:r w:rsidRPr="00D7732C">
        <w:rPr>
          <w:rFonts w:cs="Arial"/>
          <w:color w:val="000000"/>
          <w:sz w:val="24"/>
          <w:szCs w:val="24"/>
        </w:rPr>
        <w:t xml:space="preserve"> </w:t>
      </w:r>
      <w:r w:rsidRPr="00D7732C">
        <w:rPr>
          <w:rFonts w:cs="Arial"/>
          <w:i/>
          <w:color w:val="000000"/>
          <w:sz w:val="24"/>
          <w:szCs w:val="24"/>
        </w:rPr>
        <w:t>‘</w:t>
      </w:r>
      <w:r w:rsidRPr="00D7732C">
        <w:rPr>
          <w:rStyle w:val="Emphasis"/>
          <w:rFonts w:cs="Arial"/>
          <w:i w:val="0"/>
          <w:color w:val="000000"/>
          <w:sz w:val="24"/>
          <w:szCs w:val="24"/>
        </w:rPr>
        <w:t>The rise and fall of Italian city-states’</w:t>
      </w:r>
      <w:r>
        <w:rPr>
          <w:rStyle w:val="Emphasis"/>
          <w:rFonts w:cs="Arial"/>
          <w:i w:val="0"/>
          <w:color w:val="000000"/>
          <w:sz w:val="24"/>
          <w:szCs w:val="24"/>
        </w:rPr>
        <w:t>,</w:t>
      </w:r>
      <w:r w:rsidRPr="00D7732C">
        <w:rPr>
          <w:rFonts w:cs="Arial"/>
          <w:color w:val="000000"/>
          <w:sz w:val="24"/>
          <w:szCs w:val="24"/>
        </w:rPr>
        <w:t xml:space="preserve"> in </w:t>
      </w:r>
      <w:proofErr w:type="spellStart"/>
      <w:r w:rsidRPr="00D7732C">
        <w:rPr>
          <w:rStyle w:val="personname"/>
          <w:rFonts w:cs="Arial"/>
          <w:color w:val="000000"/>
          <w:sz w:val="24"/>
          <w:szCs w:val="24"/>
        </w:rPr>
        <w:t>Mogens</w:t>
      </w:r>
      <w:proofErr w:type="spellEnd"/>
      <w:r w:rsidRPr="00D7732C">
        <w:rPr>
          <w:rStyle w:val="personname"/>
          <w:rFonts w:cs="Arial"/>
          <w:color w:val="000000"/>
          <w:sz w:val="24"/>
          <w:szCs w:val="24"/>
        </w:rPr>
        <w:t xml:space="preserve"> Herman Hansen,</w:t>
      </w:r>
      <w:r>
        <w:rPr>
          <w:rFonts w:cs="Arial"/>
          <w:color w:val="000000"/>
          <w:sz w:val="24"/>
          <w:szCs w:val="24"/>
        </w:rPr>
        <w:t xml:space="preserve"> </w:t>
      </w:r>
      <w:r w:rsidRPr="00D7732C">
        <w:rPr>
          <w:rFonts w:cs="Arial"/>
          <w:color w:val="000000"/>
          <w:sz w:val="24"/>
          <w:szCs w:val="24"/>
        </w:rPr>
        <w:t>ed.</w:t>
      </w:r>
      <w:r>
        <w:rPr>
          <w:rFonts w:cs="Arial"/>
          <w:color w:val="000000"/>
          <w:sz w:val="24"/>
          <w:szCs w:val="24"/>
        </w:rPr>
        <w:t>,</w:t>
      </w:r>
      <w:r w:rsidRPr="00D7732C">
        <w:rPr>
          <w:rFonts w:cs="Arial"/>
          <w:color w:val="000000"/>
          <w:sz w:val="24"/>
          <w:szCs w:val="24"/>
        </w:rPr>
        <w:t xml:space="preserve"> </w:t>
      </w:r>
      <w:r w:rsidRPr="00D7732C">
        <w:rPr>
          <w:rFonts w:cs="Arial"/>
          <w:i/>
          <w:color w:val="000000"/>
          <w:sz w:val="24"/>
          <w:szCs w:val="24"/>
        </w:rPr>
        <w:t>A Comparative Study of Thirty City-State Cultures: an Investigation.</w:t>
      </w:r>
      <w:r w:rsidRPr="00D7732C">
        <w:rPr>
          <w:rFonts w:cs="Arial"/>
          <w:color w:val="000000"/>
          <w:sz w:val="24"/>
          <w:szCs w:val="24"/>
        </w:rPr>
        <w:t xml:space="preserve"> (Copenhagen</w:t>
      </w:r>
      <w:r>
        <w:rPr>
          <w:rFonts w:cs="Arial"/>
          <w:color w:val="000000"/>
          <w:sz w:val="24"/>
          <w:szCs w:val="24"/>
        </w:rPr>
        <w:t xml:space="preserve">, </w:t>
      </w:r>
      <w:proofErr w:type="spellStart"/>
      <w:r w:rsidRPr="00D7732C">
        <w:rPr>
          <w:rFonts w:cs="Arial"/>
          <w:color w:val="000000"/>
          <w:sz w:val="24"/>
          <w:szCs w:val="24"/>
        </w:rPr>
        <w:t>Kongelige</w:t>
      </w:r>
      <w:proofErr w:type="spellEnd"/>
      <w:r w:rsidRPr="00D7732C">
        <w:rPr>
          <w:rFonts w:cs="Arial"/>
          <w:color w:val="000000"/>
          <w:sz w:val="24"/>
          <w:szCs w:val="24"/>
        </w:rPr>
        <w:t xml:space="preserve"> Danske </w:t>
      </w:r>
      <w:proofErr w:type="spellStart"/>
      <w:r w:rsidRPr="00D7732C">
        <w:rPr>
          <w:rFonts w:cs="Arial"/>
          <w:color w:val="000000"/>
          <w:sz w:val="24"/>
          <w:szCs w:val="24"/>
        </w:rPr>
        <w:t>Videnskabernes</w:t>
      </w:r>
      <w:proofErr w:type="spellEnd"/>
      <w:r w:rsidRPr="00D7732C">
        <w:rPr>
          <w:rFonts w:cs="Arial"/>
          <w:color w:val="000000"/>
          <w:sz w:val="24"/>
          <w:szCs w:val="24"/>
        </w:rPr>
        <w:t xml:space="preserve"> </w:t>
      </w:r>
      <w:proofErr w:type="spellStart"/>
      <w:r w:rsidRPr="00D7732C">
        <w:rPr>
          <w:rFonts w:cs="Arial"/>
          <w:color w:val="000000"/>
          <w:sz w:val="24"/>
          <w:szCs w:val="24"/>
        </w:rPr>
        <w:t>Selskab</w:t>
      </w:r>
      <w:proofErr w:type="spellEnd"/>
      <w:r w:rsidRPr="00D7732C">
        <w:rPr>
          <w:rFonts w:cs="Arial"/>
          <w:color w:val="000000"/>
          <w:sz w:val="24"/>
          <w:szCs w:val="24"/>
        </w:rPr>
        <w:t>, 2000), pp. 277-294.</w:t>
      </w:r>
      <w:r w:rsidRPr="006A5FFC">
        <w:rPr>
          <w:rFonts w:cs="Arial"/>
          <w:color w:val="000000"/>
          <w:sz w:val="24"/>
          <w:szCs w:val="24"/>
        </w:rPr>
        <w:t xml:space="preserve"> </w:t>
      </w:r>
    </w:p>
    <w:p w:rsidR="00AC655F" w:rsidRPr="00D7732C" w:rsidRDefault="00AC655F" w:rsidP="00AC655F">
      <w:pPr>
        <w:spacing w:after="0" w:line="480" w:lineRule="auto"/>
        <w:rPr>
          <w:rFonts w:eastAsia="Arial Unicode MS" w:cs="Calibri"/>
          <w:sz w:val="24"/>
          <w:szCs w:val="24"/>
          <w:lang w:val="en"/>
        </w:rPr>
      </w:pPr>
      <w:r w:rsidRPr="00D7732C">
        <w:rPr>
          <w:rStyle w:val="FootnoteReference"/>
          <w:rFonts w:cs="Calibri"/>
          <w:sz w:val="24"/>
          <w:szCs w:val="24"/>
        </w:rPr>
        <w:lastRenderedPageBreak/>
        <w:footnoteRef/>
      </w:r>
      <w:r>
        <w:rPr>
          <w:rFonts w:cs="Calibri"/>
          <w:sz w:val="24"/>
          <w:szCs w:val="24"/>
          <w:vertAlign w:val="superscript"/>
        </w:rPr>
        <w:t>5</w:t>
      </w:r>
      <w:r w:rsidRPr="00D7732C">
        <w:rPr>
          <w:rFonts w:cs="Calibri"/>
          <w:sz w:val="24"/>
          <w:szCs w:val="24"/>
        </w:rPr>
        <w:t xml:space="preserve"> This professionalization of the role of </w:t>
      </w:r>
      <w:proofErr w:type="spellStart"/>
      <w:r w:rsidRPr="00D7732C">
        <w:rPr>
          <w:rFonts w:cs="Calibri"/>
          <w:sz w:val="24"/>
          <w:szCs w:val="24"/>
        </w:rPr>
        <w:t>podestà</w:t>
      </w:r>
      <w:proofErr w:type="spellEnd"/>
      <w:r w:rsidRPr="00D7732C">
        <w:rPr>
          <w:rFonts w:cs="Calibri"/>
          <w:sz w:val="24"/>
          <w:szCs w:val="24"/>
        </w:rPr>
        <w:t xml:space="preserve"> is considered in </w:t>
      </w:r>
      <w:r w:rsidRPr="00D7732C">
        <w:rPr>
          <w:rStyle w:val="ft"/>
          <w:rFonts w:cs="Calibri"/>
          <w:bCs/>
          <w:sz w:val="24"/>
          <w:szCs w:val="24"/>
        </w:rPr>
        <w:t xml:space="preserve">Jones, </w:t>
      </w:r>
      <w:r>
        <w:rPr>
          <w:rFonts w:cs="Calibri"/>
          <w:i/>
          <w:sz w:val="24"/>
          <w:szCs w:val="24"/>
        </w:rPr>
        <w:t>The Italian City-State</w:t>
      </w:r>
      <w:r w:rsidRPr="00D7732C">
        <w:rPr>
          <w:rFonts w:cs="Calibri"/>
          <w:sz w:val="24"/>
          <w:szCs w:val="24"/>
        </w:rPr>
        <w:t xml:space="preserve">, </w:t>
      </w:r>
      <w:proofErr w:type="gramStart"/>
      <w:r w:rsidRPr="00D7732C">
        <w:rPr>
          <w:rFonts w:cs="Calibri"/>
          <w:sz w:val="24"/>
          <w:szCs w:val="24"/>
        </w:rPr>
        <w:t>pp</w:t>
      </w:r>
      <w:proofErr w:type="gramEnd"/>
      <w:r w:rsidRPr="00D7732C">
        <w:rPr>
          <w:rFonts w:cs="Calibri"/>
          <w:sz w:val="24"/>
          <w:szCs w:val="24"/>
        </w:rPr>
        <w:t xml:space="preserve">. 412-5. </w:t>
      </w:r>
    </w:p>
    <w:p w:rsidR="00AC655F" w:rsidRPr="00D7732C" w:rsidRDefault="00AC655F" w:rsidP="00AC655F">
      <w:pPr>
        <w:pStyle w:val="FootnoteText"/>
        <w:spacing w:line="480" w:lineRule="auto"/>
        <w:rPr>
          <w:rFonts w:cs="Calibri"/>
          <w:sz w:val="24"/>
          <w:szCs w:val="24"/>
        </w:rPr>
      </w:pPr>
      <w:r w:rsidRPr="00D7732C">
        <w:rPr>
          <w:rStyle w:val="FootnoteReference"/>
          <w:rFonts w:cs="Calibri"/>
          <w:sz w:val="24"/>
          <w:szCs w:val="24"/>
        </w:rPr>
        <w:footnoteRef/>
      </w:r>
      <w:r>
        <w:rPr>
          <w:rFonts w:cs="Calibri"/>
          <w:sz w:val="24"/>
          <w:szCs w:val="24"/>
          <w:vertAlign w:val="superscript"/>
        </w:rPr>
        <w:t xml:space="preserve">6 </w:t>
      </w:r>
      <w:r w:rsidRPr="00D7732C">
        <w:rPr>
          <w:rFonts w:cs="Calibri"/>
          <w:sz w:val="24"/>
          <w:szCs w:val="24"/>
        </w:rPr>
        <w:t xml:space="preserve">In the case of Siena see William M. </w:t>
      </w:r>
      <w:proofErr w:type="spellStart"/>
      <w:r w:rsidRPr="00D7732C">
        <w:rPr>
          <w:rFonts w:cs="Calibri"/>
          <w:sz w:val="24"/>
          <w:szCs w:val="24"/>
        </w:rPr>
        <w:t>Bowsky</w:t>
      </w:r>
      <w:proofErr w:type="spellEnd"/>
      <w:r w:rsidRPr="00D7732C">
        <w:rPr>
          <w:rFonts w:cs="Calibri"/>
          <w:sz w:val="24"/>
          <w:szCs w:val="24"/>
        </w:rPr>
        <w:t xml:space="preserve">. </w:t>
      </w:r>
      <w:r w:rsidRPr="00D7732C">
        <w:rPr>
          <w:rFonts w:cs="Calibri"/>
          <w:i/>
          <w:sz w:val="24"/>
          <w:szCs w:val="24"/>
        </w:rPr>
        <w:t>A Medieval Italian Commune: Siena under the Nine, 1287-1355</w:t>
      </w:r>
      <w:r w:rsidRPr="00D7732C">
        <w:rPr>
          <w:rFonts w:cs="Calibri"/>
          <w:sz w:val="24"/>
          <w:szCs w:val="24"/>
        </w:rPr>
        <w:t xml:space="preserve"> (Berkeley</w:t>
      </w:r>
      <w:r>
        <w:rPr>
          <w:rFonts w:cs="Calibri"/>
          <w:sz w:val="24"/>
          <w:szCs w:val="24"/>
        </w:rPr>
        <w:t>,</w:t>
      </w:r>
      <w:r w:rsidRPr="00D7732C">
        <w:rPr>
          <w:rFonts w:cs="Calibri"/>
          <w:sz w:val="24"/>
          <w:szCs w:val="24"/>
        </w:rPr>
        <w:t xml:space="preserve"> University of California Press, 1981), </w:t>
      </w:r>
      <w:r>
        <w:rPr>
          <w:rFonts w:cs="Calibri"/>
          <w:sz w:val="24"/>
          <w:szCs w:val="24"/>
        </w:rPr>
        <w:t xml:space="preserve">p. </w:t>
      </w:r>
      <w:r w:rsidRPr="00D7732C">
        <w:rPr>
          <w:rFonts w:cs="Calibri"/>
          <w:sz w:val="24"/>
          <w:szCs w:val="24"/>
        </w:rPr>
        <w:t>30.</w:t>
      </w:r>
    </w:p>
    <w:p w:rsidR="00AC655F" w:rsidRPr="00D7732C" w:rsidRDefault="00AC655F" w:rsidP="00AC655F">
      <w:pPr>
        <w:pStyle w:val="FootnoteText"/>
        <w:spacing w:line="480" w:lineRule="auto"/>
        <w:rPr>
          <w:rFonts w:cs="Calibri"/>
          <w:sz w:val="24"/>
          <w:szCs w:val="24"/>
        </w:rPr>
      </w:pPr>
      <w:r w:rsidRPr="00D7732C">
        <w:rPr>
          <w:rStyle w:val="FootnoteReference"/>
          <w:rFonts w:cs="Calibri"/>
          <w:sz w:val="24"/>
          <w:szCs w:val="24"/>
        </w:rPr>
        <w:footnoteRef/>
      </w:r>
      <w:r>
        <w:rPr>
          <w:rFonts w:cs="Calibri"/>
          <w:sz w:val="24"/>
          <w:szCs w:val="24"/>
          <w:vertAlign w:val="superscript"/>
        </w:rPr>
        <w:t>7</w:t>
      </w:r>
      <w:r w:rsidRPr="00D7732C">
        <w:rPr>
          <w:rFonts w:cs="Calibri"/>
          <w:sz w:val="24"/>
          <w:szCs w:val="24"/>
        </w:rPr>
        <w:t xml:space="preserve"> </w:t>
      </w:r>
      <w:r w:rsidRPr="00D7732C">
        <w:rPr>
          <w:rFonts w:cs="Calibri"/>
          <w:sz w:val="24"/>
          <w:szCs w:val="24"/>
          <w:lang w:eastAsia="x-none"/>
        </w:rPr>
        <w:t>Trevor Dean,</w:t>
      </w:r>
      <w:r w:rsidRPr="00D7732C">
        <w:rPr>
          <w:rFonts w:cs="Calibri"/>
          <w:i/>
          <w:sz w:val="24"/>
          <w:szCs w:val="24"/>
        </w:rPr>
        <w:t xml:space="preserve"> Crime and Justice in Late Medieval Italy </w:t>
      </w:r>
      <w:r w:rsidRPr="00D7732C">
        <w:rPr>
          <w:rFonts w:cs="Calibri"/>
          <w:sz w:val="24"/>
          <w:szCs w:val="24"/>
        </w:rPr>
        <w:t>(</w:t>
      </w:r>
      <w:r w:rsidRPr="00D7732C">
        <w:rPr>
          <w:rStyle w:val="st1"/>
          <w:rFonts w:cs="Calibri"/>
          <w:sz w:val="24"/>
          <w:szCs w:val="24"/>
        </w:rPr>
        <w:t>Cambridge</w:t>
      </w:r>
      <w:r>
        <w:rPr>
          <w:rStyle w:val="st1"/>
          <w:rFonts w:cs="Calibri"/>
          <w:sz w:val="24"/>
          <w:szCs w:val="24"/>
        </w:rPr>
        <w:t>,</w:t>
      </w:r>
      <w:r w:rsidRPr="00D7732C">
        <w:rPr>
          <w:rStyle w:val="st1"/>
          <w:rFonts w:cs="Calibri"/>
          <w:sz w:val="24"/>
          <w:szCs w:val="24"/>
        </w:rPr>
        <w:t xml:space="preserve"> </w:t>
      </w:r>
      <w:r w:rsidRPr="00D7732C">
        <w:rPr>
          <w:rFonts w:cs="Calibri"/>
          <w:sz w:val="24"/>
          <w:szCs w:val="24"/>
        </w:rPr>
        <w:t xml:space="preserve">Cambridge University Press, 2007), </w:t>
      </w:r>
      <w:r>
        <w:rPr>
          <w:rFonts w:cs="Calibri"/>
          <w:sz w:val="24"/>
          <w:szCs w:val="24"/>
        </w:rPr>
        <w:t xml:space="preserve">p. </w:t>
      </w:r>
      <w:r w:rsidRPr="00D7732C">
        <w:rPr>
          <w:rFonts w:cs="Calibri"/>
          <w:sz w:val="24"/>
          <w:szCs w:val="24"/>
        </w:rPr>
        <w:t xml:space="preserve">11. </w:t>
      </w:r>
    </w:p>
    <w:p w:rsidR="00AC655F" w:rsidRPr="00D7732C" w:rsidRDefault="00AC655F" w:rsidP="00AC655F">
      <w:pPr>
        <w:pStyle w:val="FootnoteText"/>
        <w:spacing w:line="480" w:lineRule="auto"/>
        <w:rPr>
          <w:sz w:val="24"/>
          <w:szCs w:val="24"/>
        </w:rPr>
      </w:pPr>
      <w:r w:rsidRPr="00D7732C">
        <w:rPr>
          <w:rStyle w:val="FootnoteReference"/>
          <w:sz w:val="24"/>
          <w:szCs w:val="24"/>
        </w:rPr>
        <w:footnoteRef/>
      </w:r>
      <w:r>
        <w:rPr>
          <w:sz w:val="24"/>
          <w:szCs w:val="24"/>
          <w:vertAlign w:val="superscript"/>
        </w:rPr>
        <w:t>8</w:t>
      </w:r>
      <w:r w:rsidRPr="00D7732C">
        <w:rPr>
          <w:sz w:val="24"/>
          <w:szCs w:val="24"/>
        </w:rPr>
        <w:t xml:space="preserve"> </w:t>
      </w:r>
      <w:r w:rsidRPr="00D7732C">
        <w:rPr>
          <w:rFonts w:cs="Calibri"/>
          <w:sz w:val="24"/>
          <w:szCs w:val="24"/>
        </w:rPr>
        <w:t xml:space="preserve">On the schools and universities at this time, see </w:t>
      </w:r>
      <w:r w:rsidRPr="00D7732C">
        <w:rPr>
          <w:sz w:val="24"/>
          <w:szCs w:val="24"/>
        </w:rPr>
        <w:t xml:space="preserve">Antonio </w:t>
      </w:r>
      <w:proofErr w:type="spellStart"/>
      <w:r w:rsidRPr="00D7732C">
        <w:rPr>
          <w:sz w:val="24"/>
          <w:szCs w:val="24"/>
        </w:rPr>
        <w:t>García</w:t>
      </w:r>
      <w:proofErr w:type="spellEnd"/>
      <w:r w:rsidRPr="00D7732C">
        <w:rPr>
          <w:sz w:val="24"/>
          <w:szCs w:val="24"/>
        </w:rPr>
        <w:t xml:space="preserve"> y </w:t>
      </w:r>
      <w:proofErr w:type="spellStart"/>
      <w:r w:rsidRPr="00D7732C">
        <w:rPr>
          <w:sz w:val="24"/>
          <w:szCs w:val="24"/>
        </w:rPr>
        <w:t>García</w:t>
      </w:r>
      <w:proofErr w:type="spellEnd"/>
      <w:r>
        <w:rPr>
          <w:sz w:val="24"/>
          <w:szCs w:val="24"/>
        </w:rPr>
        <w:t>,</w:t>
      </w:r>
      <w:r w:rsidRPr="00D7732C">
        <w:rPr>
          <w:sz w:val="24"/>
          <w:szCs w:val="24"/>
        </w:rPr>
        <w:t xml:space="preserve"> ‘The Faculties of Law’, in Hilde Ridder-</w:t>
      </w:r>
      <w:proofErr w:type="spellStart"/>
      <w:r w:rsidRPr="00D7732C">
        <w:rPr>
          <w:sz w:val="24"/>
          <w:szCs w:val="24"/>
        </w:rPr>
        <w:t>Symoens</w:t>
      </w:r>
      <w:proofErr w:type="spellEnd"/>
      <w:r>
        <w:rPr>
          <w:sz w:val="24"/>
          <w:szCs w:val="24"/>
        </w:rPr>
        <w:t>,</w:t>
      </w:r>
      <w:r w:rsidRPr="00D7732C">
        <w:rPr>
          <w:sz w:val="24"/>
          <w:szCs w:val="24"/>
        </w:rPr>
        <w:t xml:space="preserve"> ed.</w:t>
      </w:r>
      <w:r>
        <w:rPr>
          <w:sz w:val="24"/>
          <w:szCs w:val="24"/>
        </w:rPr>
        <w:t>,</w:t>
      </w:r>
      <w:r w:rsidRPr="00D7732C">
        <w:rPr>
          <w:sz w:val="24"/>
          <w:szCs w:val="24"/>
        </w:rPr>
        <w:t xml:space="preserve"> </w:t>
      </w:r>
      <w:r w:rsidRPr="00D7732C">
        <w:rPr>
          <w:i/>
          <w:sz w:val="24"/>
          <w:szCs w:val="24"/>
        </w:rPr>
        <w:t>A History of the University in Europe</w:t>
      </w:r>
      <w:r w:rsidRPr="00D7732C">
        <w:rPr>
          <w:sz w:val="24"/>
          <w:szCs w:val="24"/>
        </w:rPr>
        <w:t xml:space="preserve"> (Cambridge</w:t>
      </w:r>
      <w:r>
        <w:rPr>
          <w:sz w:val="24"/>
          <w:szCs w:val="24"/>
        </w:rPr>
        <w:t>,</w:t>
      </w:r>
      <w:r w:rsidRPr="00D7732C">
        <w:rPr>
          <w:sz w:val="24"/>
          <w:szCs w:val="24"/>
        </w:rPr>
        <w:t xml:space="preserve"> Cambridge University Press</w:t>
      </w:r>
      <w:r>
        <w:rPr>
          <w:sz w:val="24"/>
          <w:szCs w:val="24"/>
        </w:rPr>
        <w:t xml:space="preserve">, </w:t>
      </w:r>
      <w:r w:rsidRPr="00D7732C">
        <w:rPr>
          <w:sz w:val="24"/>
          <w:szCs w:val="24"/>
        </w:rPr>
        <w:t>1992),</w:t>
      </w:r>
      <w:r w:rsidRPr="00D7732C">
        <w:rPr>
          <w:rFonts w:cs="Calibri"/>
          <w:sz w:val="24"/>
          <w:szCs w:val="24"/>
        </w:rPr>
        <w:t xml:space="preserve"> pp. 388-398. For details of the structure of law schools, see </w:t>
      </w:r>
      <w:proofErr w:type="spellStart"/>
      <w:r w:rsidRPr="00D7732C">
        <w:rPr>
          <w:rFonts w:cs="Calibri"/>
          <w:sz w:val="24"/>
          <w:szCs w:val="24"/>
        </w:rPr>
        <w:t>Manlio</w:t>
      </w:r>
      <w:proofErr w:type="spellEnd"/>
      <w:r w:rsidRPr="00D7732C">
        <w:rPr>
          <w:rFonts w:cs="Calibri"/>
          <w:sz w:val="24"/>
          <w:szCs w:val="24"/>
        </w:rPr>
        <w:t xml:space="preserve"> </w:t>
      </w:r>
      <w:proofErr w:type="spellStart"/>
      <w:r w:rsidRPr="00D7732C">
        <w:rPr>
          <w:rFonts w:cs="Calibri"/>
          <w:sz w:val="24"/>
          <w:szCs w:val="24"/>
        </w:rPr>
        <w:t>Bellomo</w:t>
      </w:r>
      <w:proofErr w:type="spellEnd"/>
      <w:r w:rsidRPr="00D7732C">
        <w:rPr>
          <w:rFonts w:cs="Calibri"/>
          <w:sz w:val="24"/>
          <w:szCs w:val="24"/>
        </w:rPr>
        <w:t xml:space="preserve">, </w:t>
      </w:r>
      <w:r w:rsidRPr="00D7732C">
        <w:rPr>
          <w:rFonts w:cs="Calibri"/>
          <w:i/>
          <w:sz w:val="24"/>
          <w:szCs w:val="24"/>
        </w:rPr>
        <w:t xml:space="preserve">The Common Legal Past of Europe </w:t>
      </w:r>
      <w:r w:rsidRPr="00D7732C">
        <w:rPr>
          <w:rFonts w:cs="Calibri"/>
          <w:sz w:val="24"/>
          <w:szCs w:val="24"/>
        </w:rPr>
        <w:t>(</w:t>
      </w:r>
      <w:r w:rsidRPr="00D7732C">
        <w:rPr>
          <w:rStyle w:val="citation"/>
          <w:rFonts w:cs="Calibri"/>
          <w:sz w:val="24"/>
          <w:szCs w:val="24"/>
          <w:lang w:val="en"/>
        </w:rPr>
        <w:t>Washington DC</w:t>
      </w:r>
      <w:r>
        <w:rPr>
          <w:rStyle w:val="citation"/>
          <w:rFonts w:cs="Calibri"/>
          <w:sz w:val="24"/>
          <w:szCs w:val="24"/>
          <w:lang w:val="en"/>
        </w:rPr>
        <w:t>,</w:t>
      </w:r>
      <w:r w:rsidRPr="00D7732C">
        <w:rPr>
          <w:rStyle w:val="citation"/>
          <w:rFonts w:cs="Calibri"/>
          <w:sz w:val="24"/>
          <w:szCs w:val="24"/>
          <w:lang w:val="en"/>
        </w:rPr>
        <w:t xml:space="preserve"> </w:t>
      </w:r>
      <w:r w:rsidRPr="00D7732C">
        <w:rPr>
          <w:rStyle w:val="ft"/>
          <w:rFonts w:cs="Calibri"/>
          <w:sz w:val="24"/>
          <w:szCs w:val="24"/>
        </w:rPr>
        <w:t>Catholic University of America</w:t>
      </w:r>
      <w:r w:rsidRPr="00D7732C">
        <w:rPr>
          <w:rFonts w:cs="Calibri"/>
          <w:sz w:val="24"/>
          <w:szCs w:val="24"/>
        </w:rPr>
        <w:t xml:space="preserve"> Press</w:t>
      </w:r>
      <w:r>
        <w:rPr>
          <w:rFonts w:cs="Calibri"/>
          <w:sz w:val="24"/>
          <w:szCs w:val="24"/>
        </w:rPr>
        <w:t>,</w:t>
      </w:r>
      <w:r w:rsidRPr="00D7732C">
        <w:rPr>
          <w:rFonts w:cs="Calibri"/>
          <w:sz w:val="24"/>
          <w:szCs w:val="24"/>
        </w:rPr>
        <w:t xml:space="preserve"> 1995), pp. 112-125.</w:t>
      </w:r>
    </w:p>
    <w:p w:rsidR="00AC655F" w:rsidRPr="00D7732C" w:rsidRDefault="00AC655F" w:rsidP="00AC655F">
      <w:pPr>
        <w:pStyle w:val="FootnoteText"/>
        <w:spacing w:line="480" w:lineRule="auto"/>
        <w:rPr>
          <w:rFonts w:cs="Calibri"/>
          <w:sz w:val="24"/>
          <w:szCs w:val="24"/>
        </w:rPr>
      </w:pPr>
      <w:r w:rsidRPr="00D7732C">
        <w:rPr>
          <w:rStyle w:val="FootnoteReference"/>
          <w:rFonts w:cs="Calibri"/>
          <w:sz w:val="24"/>
          <w:szCs w:val="24"/>
        </w:rPr>
        <w:footnoteRef/>
      </w:r>
      <w:r>
        <w:rPr>
          <w:rFonts w:cs="Calibri"/>
          <w:sz w:val="24"/>
          <w:szCs w:val="24"/>
          <w:vertAlign w:val="superscript"/>
        </w:rPr>
        <w:t>9</w:t>
      </w:r>
      <w:r w:rsidRPr="00D7732C">
        <w:rPr>
          <w:rFonts w:cs="Calibri"/>
          <w:sz w:val="24"/>
          <w:szCs w:val="24"/>
        </w:rPr>
        <w:t xml:space="preserve"> For an accessible and detailed investigation of the development of the </w:t>
      </w:r>
      <w:proofErr w:type="spellStart"/>
      <w:r w:rsidRPr="00D7732C">
        <w:rPr>
          <w:rFonts w:cs="Calibri"/>
          <w:i/>
          <w:sz w:val="24"/>
          <w:szCs w:val="24"/>
        </w:rPr>
        <w:t>ius</w:t>
      </w:r>
      <w:proofErr w:type="spellEnd"/>
      <w:r w:rsidRPr="00D7732C">
        <w:rPr>
          <w:rFonts w:cs="Calibri"/>
          <w:i/>
          <w:sz w:val="24"/>
          <w:szCs w:val="24"/>
        </w:rPr>
        <w:t xml:space="preserve"> commune</w:t>
      </w:r>
      <w:r w:rsidRPr="00D7732C">
        <w:rPr>
          <w:rFonts w:cs="Calibri"/>
          <w:sz w:val="24"/>
          <w:szCs w:val="24"/>
        </w:rPr>
        <w:t xml:space="preserve">, with a particular focus on the impact of Roman law, see </w:t>
      </w:r>
      <w:r w:rsidRPr="00D7732C">
        <w:rPr>
          <w:sz w:val="24"/>
          <w:szCs w:val="24"/>
        </w:rPr>
        <w:t xml:space="preserve">Paul </w:t>
      </w:r>
      <w:proofErr w:type="spellStart"/>
      <w:r w:rsidRPr="00D7732C">
        <w:rPr>
          <w:sz w:val="24"/>
          <w:szCs w:val="24"/>
        </w:rPr>
        <w:t>Hyams</w:t>
      </w:r>
      <w:proofErr w:type="spellEnd"/>
      <w:r>
        <w:rPr>
          <w:sz w:val="24"/>
          <w:szCs w:val="24"/>
        </w:rPr>
        <w:t>,</w:t>
      </w:r>
      <w:r w:rsidRPr="00D7732C">
        <w:rPr>
          <w:sz w:val="24"/>
          <w:szCs w:val="24"/>
        </w:rPr>
        <w:t xml:space="preserve"> ‘Due Process versus the maintenance of order in European law: the contribution of the </w:t>
      </w:r>
      <w:proofErr w:type="spellStart"/>
      <w:r w:rsidRPr="00D7732C">
        <w:rPr>
          <w:i/>
          <w:sz w:val="24"/>
          <w:szCs w:val="24"/>
        </w:rPr>
        <w:t>ius</w:t>
      </w:r>
      <w:proofErr w:type="spellEnd"/>
      <w:r w:rsidRPr="00D7732C">
        <w:rPr>
          <w:i/>
          <w:sz w:val="24"/>
          <w:szCs w:val="24"/>
        </w:rPr>
        <w:t xml:space="preserve"> commune’</w:t>
      </w:r>
      <w:r w:rsidRPr="00D7732C">
        <w:rPr>
          <w:sz w:val="24"/>
          <w:szCs w:val="24"/>
        </w:rPr>
        <w:t>, in Peter</w:t>
      </w:r>
      <w:r w:rsidRPr="00D7732C">
        <w:rPr>
          <w:i/>
          <w:sz w:val="24"/>
          <w:szCs w:val="24"/>
        </w:rPr>
        <w:t xml:space="preserve"> </w:t>
      </w:r>
      <w:proofErr w:type="spellStart"/>
      <w:r w:rsidRPr="00D7732C">
        <w:rPr>
          <w:sz w:val="24"/>
          <w:szCs w:val="24"/>
        </w:rPr>
        <w:t>Coss</w:t>
      </w:r>
      <w:proofErr w:type="spellEnd"/>
      <w:r>
        <w:rPr>
          <w:sz w:val="24"/>
          <w:szCs w:val="24"/>
        </w:rPr>
        <w:t>,</w:t>
      </w:r>
      <w:r w:rsidRPr="00D7732C">
        <w:rPr>
          <w:sz w:val="24"/>
          <w:szCs w:val="24"/>
        </w:rPr>
        <w:t xml:space="preserve"> ed.</w:t>
      </w:r>
      <w:r>
        <w:rPr>
          <w:sz w:val="24"/>
          <w:szCs w:val="24"/>
        </w:rPr>
        <w:t>,</w:t>
      </w:r>
      <w:r w:rsidRPr="00D7732C">
        <w:rPr>
          <w:sz w:val="24"/>
          <w:szCs w:val="24"/>
        </w:rPr>
        <w:t xml:space="preserve"> </w:t>
      </w:r>
      <w:r w:rsidRPr="00D7732C">
        <w:rPr>
          <w:i/>
          <w:sz w:val="24"/>
          <w:szCs w:val="24"/>
        </w:rPr>
        <w:t xml:space="preserve">The Moral World of the Law </w:t>
      </w:r>
      <w:r w:rsidRPr="00D7732C">
        <w:rPr>
          <w:sz w:val="24"/>
          <w:szCs w:val="24"/>
        </w:rPr>
        <w:t>(Cambridge</w:t>
      </w:r>
      <w:r>
        <w:rPr>
          <w:sz w:val="24"/>
          <w:szCs w:val="24"/>
        </w:rPr>
        <w:t>,</w:t>
      </w:r>
      <w:r w:rsidRPr="00D7732C">
        <w:rPr>
          <w:sz w:val="24"/>
          <w:szCs w:val="24"/>
        </w:rPr>
        <w:t xml:space="preserve"> Cambridge University Press</w:t>
      </w:r>
      <w:r>
        <w:rPr>
          <w:sz w:val="24"/>
          <w:szCs w:val="24"/>
        </w:rPr>
        <w:t xml:space="preserve">, </w:t>
      </w:r>
      <w:r w:rsidRPr="00D7732C">
        <w:rPr>
          <w:sz w:val="24"/>
          <w:szCs w:val="24"/>
        </w:rPr>
        <w:t>2000),</w:t>
      </w:r>
      <w:r w:rsidRPr="00D7732C">
        <w:rPr>
          <w:rFonts w:cs="Calibri"/>
          <w:sz w:val="24"/>
          <w:szCs w:val="24"/>
        </w:rPr>
        <w:t xml:space="preserve"> </w:t>
      </w:r>
      <w:r>
        <w:rPr>
          <w:rFonts w:cs="Calibri"/>
          <w:sz w:val="24"/>
          <w:szCs w:val="24"/>
        </w:rPr>
        <w:t xml:space="preserve">pp. </w:t>
      </w:r>
      <w:r w:rsidRPr="00D7732C">
        <w:rPr>
          <w:rFonts w:cs="Calibri"/>
          <w:sz w:val="24"/>
          <w:szCs w:val="24"/>
        </w:rPr>
        <w:t>62-90, 80.</w:t>
      </w:r>
    </w:p>
    <w:p w:rsidR="00AC655F" w:rsidRPr="00D7732C" w:rsidRDefault="00AC655F" w:rsidP="00AC655F">
      <w:pPr>
        <w:pStyle w:val="FootnoteText"/>
        <w:spacing w:line="480" w:lineRule="auto"/>
        <w:rPr>
          <w:rFonts w:cs="Calibri"/>
          <w:i/>
          <w:sz w:val="24"/>
          <w:szCs w:val="24"/>
        </w:rPr>
      </w:pPr>
      <w:proofErr w:type="gramStart"/>
      <w:r>
        <w:rPr>
          <w:rFonts w:cs="Calibri"/>
          <w:sz w:val="24"/>
          <w:szCs w:val="24"/>
          <w:vertAlign w:val="superscript"/>
        </w:rPr>
        <w:t>20</w:t>
      </w:r>
      <w:r w:rsidRPr="00D7732C">
        <w:rPr>
          <w:rFonts w:cs="Calibri"/>
          <w:sz w:val="24"/>
          <w:szCs w:val="24"/>
        </w:rPr>
        <w:t xml:space="preserve"> </w:t>
      </w:r>
      <w:proofErr w:type="spellStart"/>
      <w:r w:rsidRPr="00D7732C">
        <w:rPr>
          <w:rFonts w:cs="Calibri"/>
          <w:sz w:val="24"/>
          <w:szCs w:val="24"/>
        </w:rPr>
        <w:t>Hyams</w:t>
      </w:r>
      <w:proofErr w:type="spellEnd"/>
      <w:r>
        <w:rPr>
          <w:rFonts w:cs="Calibri"/>
          <w:sz w:val="24"/>
          <w:szCs w:val="24"/>
        </w:rPr>
        <w:t>,</w:t>
      </w:r>
      <w:r w:rsidRPr="00D7732C">
        <w:rPr>
          <w:rFonts w:cs="Calibri"/>
          <w:sz w:val="24"/>
          <w:szCs w:val="24"/>
        </w:rPr>
        <w:t xml:space="preserve"> </w:t>
      </w:r>
      <w:r>
        <w:rPr>
          <w:rFonts w:cs="Calibri"/>
          <w:sz w:val="24"/>
          <w:szCs w:val="24"/>
        </w:rPr>
        <w:t>‘</w:t>
      </w:r>
      <w:r>
        <w:rPr>
          <w:sz w:val="24"/>
          <w:szCs w:val="24"/>
        </w:rPr>
        <w:t>C</w:t>
      </w:r>
      <w:r w:rsidRPr="00D7732C">
        <w:rPr>
          <w:sz w:val="24"/>
          <w:szCs w:val="24"/>
        </w:rPr>
        <w:t xml:space="preserve">ontribution of the </w:t>
      </w:r>
      <w:proofErr w:type="spellStart"/>
      <w:r>
        <w:rPr>
          <w:i/>
          <w:sz w:val="24"/>
          <w:szCs w:val="24"/>
        </w:rPr>
        <w:t>ius</w:t>
      </w:r>
      <w:proofErr w:type="spellEnd"/>
      <w:r>
        <w:rPr>
          <w:i/>
          <w:sz w:val="24"/>
          <w:szCs w:val="24"/>
        </w:rPr>
        <w:t xml:space="preserve"> commune</w:t>
      </w:r>
      <w:r>
        <w:rPr>
          <w:sz w:val="24"/>
          <w:szCs w:val="24"/>
        </w:rPr>
        <w:t>’</w:t>
      </w:r>
      <w:r>
        <w:rPr>
          <w:rFonts w:cs="Calibri"/>
          <w:sz w:val="24"/>
          <w:szCs w:val="24"/>
        </w:rPr>
        <w:t>,</w:t>
      </w:r>
      <w:r w:rsidRPr="00D7732C">
        <w:rPr>
          <w:rFonts w:cs="Calibri"/>
          <w:sz w:val="24"/>
          <w:szCs w:val="24"/>
        </w:rPr>
        <w:t xml:space="preserve"> </w:t>
      </w:r>
      <w:r>
        <w:rPr>
          <w:rFonts w:cs="Calibri"/>
          <w:sz w:val="24"/>
          <w:szCs w:val="24"/>
        </w:rPr>
        <w:t xml:space="preserve">p. </w:t>
      </w:r>
      <w:r w:rsidRPr="00D7732C">
        <w:rPr>
          <w:rFonts w:cs="Calibri"/>
          <w:sz w:val="24"/>
          <w:szCs w:val="24"/>
        </w:rPr>
        <w:t>84.</w:t>
      </w:r>
      <w:proofErr w:type="gramEnd"/>
      <w:r w:rsidRPr="00D7732C">
        <w:rPr>
          <w:rFonts w:cs="Calibri"/>
          <w:sz w:val="24"/>
          <w:szCs w:val="24"/>
        </w:rPr>
        <w:t xml:space="preserve"> </w:t>
      </w:r>
    </w:p>
    <w:p w:rsidR="00AC655F" w:rsidRPr="00D7732C" w:rsidRDefault="00AC655F" w:rsidP="00AC655F">
      <w:pPr>
        <w:pStyle w:val="FootnoteText"/>
        <w:spacing w:line="480" w:lineRule="auto"/>
        <w:rPr>
          <w:rFonts w:cs="Calibri"/>
          <w:sz w:val="24"/>
          <w:szCs w:val="24"/>
        </w:rPr>
      </w:pPr>
      <w:r>
        <w:rPr>
          <w:rFonts w:cs="Calibri"/>
          <w:sz w:val="24"/>
          <w:szCs w:val="24"/>
          <w:vertAlign w:val="superscript"/>
        </w:rPr>
        <w:t>2</w:t>
      </w:r>
      <w:r w:rsidRPr="00D7732C">
        <w:rPr>
          <w:rStyle w:val="FootnoteReference"/>
          <w:rFonts w:cs="Calibri"/>
          <w:sz w:val="24"/>
          <w:szCs w:val="24"/>
        </w:rPr>
        <w:footnoteRef/>
      </w:r>
      <w:r w:rsidRPr="00D7732C">
        <w:rPr>
          <w:rFonts w:cs="Calibri"/>
          <w:sz w:val="24"/>
          <w:szCs w:val="24"/>
        </w:rPr>
        <w:t xml:space="preserve"> For this view, see James. A. </w:t>
      </w:r>
      <w:proofErr w:type="spellStart"/>
      <w:r w:rsidRPr="00D7732C">
        <w:rPr>
          <w:rFonts w:cs="Calibri"/>
          <w:sz w:val="24"/>
          <w:szCs w:val="24"/>
        </w:rPr>
        <w:t>Brundage</w:t>
      </w:r>
      <w:proofErr w:type="spellEnd"/>
      <w:r>
        <w:rPr>
          <w:rFonts w:cs="Calibri"/>
          <w:sz w:val="24"/>
          <w:szCs w:val="24"/>
        </w:rPr>
        <w:t>,</w:t>
      </w:r>
      <w:r w:rsidRPr="00D7732C">
        <w:rPr>
          <w:rFonts w:cs="Calibri"/>
          <w:sz w:val="24"/>
          <w:szCs w:val="24"/>
        </w:rPr>
        <w:t xml:space="preserve"> ‘The Rise of Professional Canonists and the Development of the </w:t>
      </w:r>
      <w:proofErr w:type="spellStart"/>
      <w:r w:rsidRPr="00D7732C">
        <w:rPr>
          <w:rFonts w:cs="Calibri"/>
          <w:i/>
          <w:sz w:val="24"/>
          <w:szCs w:val="24"/>
        </w:rPr>
        <w:t>Ius</w:t>
      </w:r>
      <w:proofErr w:type="spellEnd"/>
      <w:r w:rsidRPr="00D7732C">
        <w:rPr>
          <w:rFonts w:cs="Calibri"/>
          <w:i/>
          <w:sz w:val="24"/>
          <w:szCs w:val="24"/>
        </w:rPr>
        <w:t xml:space="preserve"> Commune</w:t>
      </w:r>
      <w:r w:rsidRPr="00D7732C">
        <w:rPr>
          <w:rFonts w:cs="Calibri"/>
          <w:sz w:val="24"/>
          <w:szCs w:val="24"/>
        </w:rPr>
        <w:t xml:space="preserve">’, </w:t>
      </w:r>
      <w:proofErr w:type="spellStart"/>
      <w:r w:rsidRPr="00D7732C">
        <w:rPr>
          <w:rFonts w:cs="Calibri"/>
          <w:i/>
          <w:sz w:val="24"/>
          <w:szCs w:val="24"/>
        </w:rPr>
        <w:t>Zeitschrift</w:t>
      </w:r>
      <w:proofErr w:type="spellEnd"/>
      <w:r w:rsidRPr="00D7732C">
        <w:rPr>
          <w:rFonts w:cs="Calibri"/>
          <w:i/>
          <w:sz w:val="24"/>
          <w:szCs w:val="24"/>
        </w:rPr>
        <w:t xml:space="preserve"> der </w:t>
      </w:r>
      <w:proofErr w:type="spellStart"/>
      <w:r w:rsidRPr="00D7732C">
        <w:rPr>
          <w:rFonts w:cs="Calibri"/>
          <w:i/>
          <w:sz w:val="24"/>
          <w:szCs w:val="24"/>
        </w:rPr>
        <w:t>Savigny-Stiftung</w:t>
      </w:r>
      <w:proofErr w:type="spellEnd"/>
      <w:r w:rsidRPr="00D7732C">
        <w:rPr>
          <w:rFonts w:cs="Calibri"/>
          <w:i/>
          <w:sz w:val="24"/>
          <w:szCs w:val="24"/>
        </w:rPr>
        <w:t xml:space="preserve"> </w:t>
      </w:r>
      <w:proofErr w:type="spellStart"/>
      <w:r w:rsidRPr="00D7732C">
        <w:rPr>
          <w:rFonts w:cs="Calibri"/>
          <w:i/>
          <w:sz w:val="24"/>
          <w:szCs w:val="24"/>
        </w:rPr>
        <w:t>für</w:t>
      </w:r>
      <w:proofErr w:type="spellEnd"/>
      <w:r w:rsidRPr="00D7732C">
        <w:rPr>
          <w:rFonts w:cs="Calibri"/>
          <w:i/>
          <w:sz w:val="24"/>
          <w:szCs w:val="24"/>
        </w:rPr>
        <w:t xml:space="preserve"> </w:t>
      </w:r>
      <w:proofErr w:type="spellStart"/>
      <w:r w:rsidRPr="00D7732C">
        <w:rPr>
          <w:rFonts w:cs="Calibri"/>
          <w:i/>
          <w:sz w:val="24"/>
          <w:szCs w:val="24"/>
        </w:rPr>
        <w:t>Rechtsgeschichte</w:t>
      </w:r>
      <w:proofErr w:type="spellEnd"/>
      <w:r w:rsidRPr="00D7732C">
        <w:rPr>
          <w:rFonts w:cs="Calibri"/>
          <w:i/>
          <w:sz w:val="24"/>
          <w:szCs w:val="24"/>
        </w:rPr>
        <w:t xml:space="preserve">: </w:t>
      </w:r>
      <w:proofErr w:type="spellStart"/>
      <w:r w:rsidRPr="00D7732C">
        <w:rPr>
          <w:rFonts w:cs="Calibri"/>
          <w:i/>
          <w:sz w:val="24"/>
          <w:szCs w:val="24"/>
        </w:rPr>
        <w:t>Kanonistische</w:t>
      </w:r>
      <w:proofErr w:type="spellEnd"/>
      <w:r w:rsidRPr="00D7732C">
        <w:rPr>
          <w:rFonts w:cs="Calibri"/>
          <w:i/>
          <w:sz w:val="24"/>
          <w:szCs w:val="24"/>
        </w:rPr>
        <w:t xml:space="preserve"> </w:t>
      </w:r>
      <w:proofErr w:type="spellStart"/>
      <w:r w:rsidRPr="00D7732C">
        <w:rPr>
          <w:rFonts w:cs="Calibri"/>
          <w:i/>
          <w:sz w:val="24"/>
          <w:szCs w:val="24"/>
        </w:rPr>
        <w:t>Abteilung</w:t>
      </w:r>
      <w:proofErr w:type="spellEnd"/>
      <w:r w:rsidRPr="00D7732C">
        <w:rPr>
          <w:rFonts w:cs="Calibri"/>
          <w:sz w:val="24"/>
          <w:szCs w:val="24"/>
        </w:rPr>
        <w:t xml:space="preserve"> 81</w:t>
      </w:r>
      <w:r w:rsidRPr="006A5FFC">
        <w:rPr>
          <w:rFonts w:cs="Calibri"/>
          <w:sz w:val="24"/>
          <w:szCs w:val="24"/>
        </w:rPr>
        <w:t xml:space="preserve"> </w:t>
      </w:r>
      <w:r>
        <w:rPr>
          <w:rFonts w:cs="Calibri"/>
          <w:sz w:val="24"/>
          <w:szCs w:val="24"/>
        </w:rPr>
        <w:t>(</w:t>
      </w:r>
      <w:r w:rsidRPr="00D7732C">
        <w:rPr>
          <w:rFonts w:cs="Calibri"/>
          <w:sz w:val="24"/>
          <w:szCs w:val="24"/>
        </w:rPr>
        <w:t>1995</w:t>
      </w:r>
      <w:r>
        <w:rPr>
          <w:rFonts w:cs="Calibri"/>
          <w:sz w:val="24"/>
          <w:szCs w:val="24"/>
        </w:rPr>
        <w:t>), pp.</w:t>
      </w:r>
      <w:r w:rsidRPr="00D7732C">
        <w:rPr>
          <w:rFonts w:cs="Calibri"/>
          <w:sz w:val="24"/>
          <w:szCs w:val="24"/>
        </w:rPr>
        <w:t xml:space="preserve"> 26-63</w:t>
      </w:r>
      <w:r>
        <w:rPr>
          <w:rFonts w:cs="Calibri"/>
          <w:sz w:val="24"/>
          <w:szCs w:val="24"/>
        </w:rPr>
        <w:t>.</w:t>
      </w:r>
    </w:p>
    <w:p w:rsidR="00AC655F" w:rsidRPr="00D7732C" w:rsidRDefault="00AC655F" w:rsidP="00AC655F">
      <w:pPr>
        <w:pStyle w:val="FootnoteText"/>
        <w:spacing w:line="480" w:lineRule="auto"/>
        <w:rPr>
          <w:sz w:val="24"/>
          <w:szCs w:val="24"/>
        </w:rPr>
      </w:pPr>
      <w:r>
        <w:rPr>
          <w:sz w:val="24"/>
          <w:szCs w:val="24"/>
          <w:vertAlign w:val="superscript"/>
        </w:rPr>
        <w:t>22</w:t>
      </w:r>
      <w:r w:rsidRPr="00D7732C">
        <w:rPr>
          <w:sz w:val="24"/>
          <w:szCs w:val="24"/>
        </w:rPr>
        <w:t xml:space="preserve"> For further detail on the court system in fourteenth century Florence, see </w:t>
      </w:r>
      <w:r w:rsidRPr="00D7732C">
        <w:rPr>
          <w:rFonts w:ascii="Calibri" w:hAnsi="Calibri"/>
          <w:sz w:val="24"/>
          <w:szCs w:val="24"/>
        </w:rPr>
        <w:t xml:space="preserve">Laura </w:t>
      </w:r>
      <w:proofErr w:type="spellStart"/>
      <w:r w:rsidRPr="00D7732C">
        <w:rPr>
          <w:rFonts w:ascii="Calibri" w:hAnsi="Calibri"/>
          <w:sz w:val="24"/>
          <w:szCs w:val="24"/>
        </w:rPr>
        <w:t>Ikins</w:t>
      </w:r>
      <w:proofErr w:type="spellEnd"/>
      <w:r w:rsidRPr="00D7732C">
        <w:rPr>
          <w:rFonts w:ascii="Calibri" w:hAnsi="Calibri"/>
          <w:sz w:val="24"/>
          <w:szCs w:val="24"/>
        </w:rPr>
        <w:t xml:space="preserve"> Stern, </w:t>
      </w:r>
      <w:r w:rsidRPr="00D7732C">
        <w:rPr>
          <w:rFonts w:ascii="Calibri" w:hAnsi="Calibri"/>
          <w:i/>
          <w:sz w:val="24"/>
          <w:szCs w:val="24"/>
        </w:rPr>
        <w:t xml:space="preserve">Criminal Law System of Medieval and Renaissance Florence </w:t>
      </w:r>
      <w:r w:rsidRPr="00D7732C">
        <w:rPr>
          <w:rFonts w:ascii="Calibri" w:hAnsi="Calibri"/>
          <w:sz w:val="24"/>
          <w:szCs w:val="24"/>
        </w:rPr>
        <w:t>(Baltimore, Johns Hopkins University Press, 1994).</w:t>
      </w:r>
    </w:p>
    <w:p w:rsidR="00AC655F" w:rsidRPr="00AC655F" w:rsidRDefault="00AC655F" w:rsidP="00AC655F">
      <w:pPr>
        <w:pStyle w:val="FootnoteText"/>
        <w:spacing w:line="480" w:lineRule="auto"/>
        <w:rPr>
          <w:sz w:val="24"/>
          <w:szCs w:val="24"/>
        </w:rPr>
      </w:pPr>
      <w:r w:rsidRPr="00AC655F">
        <w:rPr>
          <w:sz w:val="24"/>
          <w:szCs w:val="24"/>
          <w:vertAlign w:val="superscript"/>
        </w:rPr>
        <w:t>23</w:t>
      </w:r>
      <w:r w:rsidRPr="00AC655F">
        <w:rPr>
          <w:sz w:val="24"/>
          <w:szCs w:val="24"/>
        </w:rPr>
        <w:t xml:space="preserve"> Boccaccio, </w:t>
      </w:r>
      <w:r w:rsidRPr="00AC655F">
        <w:rPr>
          <w:i/>
          <w:sz w:val="24"/>
          <w:szCs w:val="24"/>
        </w:rPr>
        <w:t>Decameron</w:t>
      </w:r>
      <w:r w:rsidRPr="00AC655F">
        <w:rPr>
          <w:sz w:val="24"/>
          <w:szCs w:val="24"/>
        </w:rPr>
        <w:t>, p. 612.</w:t>
      </w:r>
    </w:p>
    <w:p w:rsidR="00AC655F" w:rsidRPr="00FF4001" w:rsidRDefault="00AC655F" w:rsidP="00AC655F">
      <w:pPr>
        <w:pStyle w:val="FootnoteText"/>
        <w:spacing w:line="480" w:lineRule="auto"/>
        <w:rPr>
          <w:sz w:val="24"/>
          <w:szCs w:val="24"/>
        </w:rPr>
      </w:pPr>
      <w:r w:rsidRPr="00FF4001">
        <w:rPr>
          <w:sz w:val="24"/>
          <w:szCs w:val="24"/>
          <w:vertAlign w:val="superscript"/>
        </w:rPr>
        <w:lastRenderedPageBreak/>
        <w:t>24</w:t>
      </w:r>
      <w:r w:rsidRPr="00FF4001">
        <w:rPr>
          <w:sz w:val="24"/>
          <w:szCs w:val="24"/>
        </w:rPr>
        <w:t xml:space="preserve"> See further, </w:t>
      </w:r>
      <w:r w:rsidRPr="00933624">
        <w:rPr>
          <w:sz w:val="24"/>
          <w:szCs w:val="24"/>
        </w:rPr>
        <w:t xml:space="preserve">Samuel Y. Edgerton, Jr., </w:t>
      </w:r>
      <w:r w:rsidRPr="00933624">
        <w:rPr>
          <w:i/>
          <w:sz w:val="24"/>
          <w:szCs w:val="24"/>
        </w:rPr>
        <w:t xml:space="preserve">Pictures and Punishment: Art and Criminal Prosecution </w:t>
      </w:r>
      <w:proofErr w:type="gramStart"/>
      <w:r w:rsidRPr="00933624">
        <w:rPr>
          <w:i/>
          <w:sz w:val="24"/>
          <w:szCs w:val="24"/>
        </w:rPr>
        <w:t>During</w:t>
      </w:r>
      <w:proofErr w:type="gramEnd"/>
      <w:r w:rsidRPr="00933624">
        <w:rPr>
          <w:i/>
          <w:sz w:val="24"/>
          <w:szCs w:val="24"/>
        </w:rPr>
        <w:t xml:space="preserve"> the Florentine Renaissance</w:t>
      </w:r>
      <w:r w:rsidRPr="00933624">
        <w:rPr>
          <w:sz w:val="24"/>
          <w:szCs w:val="24"/>
        </w:rPr>
        <w:t xml:space="preserve"> (Ithaca, New York and London</w:t>
      </w:r>
      <w:r>
        <w:rPr>
          <w:sz w:val="24"/>
          <w:szCs w:val="24"/>
        </w:rPr>
        <w:t>,</w:t>
      </w:r>
      <w:r w:rsidRPr="00933624">
        <w:rPr>
          <w:sz w:val="24"/>
          <w:szCs w:val="24"/>
        </w:rPr>
        <w:t xml:space="preserve"> Cornell U</w:t>
      </w:r>
      <w:r>
        <w:rPr>
          <w:sz w:val="24"/>
          <w:szCs w:val="24"/>
        </w:rPr>
        <w:t xml:space="preserve">niversity </w:t>
      </w:r>
      <w:r w:rsidRPr="00933624">
        <w:rPr>
          <w:sz w:val="24"/>
          <w:szCs w:val="24"/>
        </w:rPr>
        <w:t>P</w:t>
      </w:r>
      <w:r>
        <w:rPr>
          <w:sz w:val="24"/>
          <w:szCs w:val="24"/>
        </w:rPr>
        <w:t xml:space="preserve">ress, </w:t>
      </w:r>
      <w:r w:rsidRPr="00933624">
        <w:rPr>
          <w:sz w:val="24"/>
          <w:szCs w:val="24"/>
        </w:rPr>
        <w:t>1985)</w:t>
      </w:r>
      <w:r w:rsidRPr="00933624">
        <w:rPr>
          <w:rFonts w:ascii="Calibri" w:hAnsi="Calibri"/>
          <w:sz w:val="24"/>
          <w:szCs w:val="24"/>
        </w:rPr>
        <w:t>, p.52, especially note 39</w:t>
      </w:r>
      <w:r>
        <w:rPr>
          <w:rFonts w:ascii="Calibri" w:hAnsi="Calibri"/>
          <w:sz w:val="24"/>
          <w:szCs w:val="24"/>
        </w:rPr>
        <w:t>.</w:t>
      </w:r>
    </w:p>
    <w:p w:rsidR="00AC655F" w:rsidRPr="00DA7AE7" w:rsidRDefault="00AC655F" w:rsidP="00AC655F">
      <w:pPr>
        <w:pStyle w:val="FootnoteText"/>
        <w:spacing w:line="480" w:lineRule="auto"/>
        <w:rPr>
          <w:sz w:val="24"/>
          <w:szCs w:val="24"/>
          <w:lang w:val="es-ES_tradnl"/>
        </w:rPr>
      </w:pPr>
      <w:r w:rsidRPr="00DA7AE7">
        <w:rPr>
          <w:sz w:val="24"/>
          <w:szCs w:val="24"/>
          <w:vertAlign w:val="superscript"/>
          <w:lang w:val="es-ES_tradnl"/>
        </w:rPr>
        <w:t>25</w:t>
      </w:r>
      <w:r w:rsidRPr="00DA7AE7">
        <w:rPr>
          <w:sz w:val="24"/>
          <w:szCs w:val="24"/>
          <w:lang w:val="es-ES_tradnl"/>
        </w:rPr>
        <w:t xml:space="preserve"> </w:t>
      </w:r>
      <w:proofErr w:type="spellStart"/>
      <w:r w:rsidRPr="00DA7AE7">
        <w:rPr>
          <w:sz w:val="24"/>
          <w:szCs w:val="24"/>
          <w:lang w:val="es-ES_tradnl"/>
        </w:rPr>
        <w:t>Boccaccio</w:t>
      </w:r>
      <w:proofErr w:type="spellEnd"/>
      <w:r w:rsidRPr="00DA7AE7">
        <w:rPr>
          <w:sz w:val="24"/>
          <w:szCs w:val="24"/>
          <w:lang w:val="es-ES_tradnl"/>
        </w:rPr>
        <w:t xml:space="preserve">, </w:t>
      </w:r>
      <w:proofErr w:type="spellStart"/>
      <w:r w:rsidRPr="00DA7AE7">
        <w:rPr>
          <w:i/>
          <w:sz w:val="24"/>
          <w:szCs w:val="24"/>
          <w:lang w:val="es-ES_tradnl"/>
        </w:rPr>
        <w:t>Decameron</w:t>
      </w:r>
      <w:proofErr w:type="spellEnd"/>
      <w:r w:rsidRPr="00DA7AE7">
        <w:rPr>
          <w:sz w:val="24"/>
          <w:szCs w:val="24"/>
          <w:lang w:val="es-ES_tradnl"/>
        </w:rPr>
        <w:t>,</w:t>
      </w:r>
      <w:r>
        <w:rPr>
          <w:sz w:val="24"/>
          <w:szCs w:val="24"/>
          <w:lang w:val="es-ES_tradnl"/>
        </w:rPr>
        <w:t xml:space="preserve"> </w:t>
      </w:r>
      <w:r w:rsidRPr="00DA7AE7">
        <w:rPr>
          <w:sz w:val="24"/>
          <w:szCs w:val="24"/>
          <w:lang w:val="es-ES_tradnl"/>
        </w:rPr>
        <w:t>p. 612.</w:t>
      </w:r>
    </w:p>
    <w:p w:rsidR="00AC655F" w:rsidRPr="00DA7AE7" w:rsidRDefault="00AC655F" w:rsidP="00AC655F">
      <w:pPr>
        <w:pStyle w:val="FootnoteText"/>
        <w:spacing w:line="480" w:lineRule="auto"/>
        <w:rPr>
          <w:sz w:val="24"/>
          <w:szCs w:val="24"/>
          <w:lang w:val="es-ES_tradnl"/>
        </w:rPr>
      </w:pPr>
      <w:r w:rsidRPr="00DA7AE7">
        <w:rPr>
          <w:sz w:val="24"/>
          <w:szCs w:val="24"/>
          <w:vertAlign w:val="superscript"/>
          <w:lang w:val="es-ES_tradnl"/>
        </w:rPr>
        <w:t>26</w:t>
      </w:r>
      <w:r w:rsidRPr="00DA7AE7">
        <w:rPr>
          <w:sz w:val="24"/>
          <w:szCs w:val="24"/>
          <w:lang w:val="es-ES_tradnl"/>
        </w:rPr>
        <w:t xml:space="preserve"> </w:t>
      </w:r>
      <w:proofErr w:type="spellStart"/>
      <w:r w:rsidRPr="00DA7AE7">
        <w:rPr>
          <w:sz w:val="24"/>
          <w:szCs w:val="24"/>
          <w:lang w:val="es-ES_tradnl"/>
        </w:rPr>
        <w:t>Boccaccio</w:t>
      </w:r>
      <w:proofErr w:type="spellEnd"/>
      <w:r w:rsidRPr="00DA7AE7">
        <w:rPr>
          <w:sz w:val="24"/>
          <w:szCs w:val="24"/>
          <w:lang w:val="es-ES_tradnl"/>
        </w:rPr>
        <w:t xml:space="preserve">, </w:t>
      </w:r>
      <w:proofErr w:type="spellStart"/>
      <w:r w:rsidRPr="00AC655F">
        <w:rPr>
          <w:i/>
          <w:sz w:val="24"/>
          <w:szCs w:val="24"/>
          <w:lang w:val="es-ES"/>
        </w:rPr>
        <w:t>Decameron</w:t>
      </w:r>
      <w:proofErr w:type="spellEnd"/>
      <w:r w:rsidRPr="00DA7AE7">
        <w:rPr>
          <w:sz w:val="24"/>
          <w:szCs w:val="24"/>
          <w:lang w:val="es-ES_tradnl"/>
        </w:rPr>
        <w:t>,</w:t>
      </w:r>
      <w:r>
        <w:rPr>
          <w:sz w:val="24"/>
          <w:szCs w:val="24"/>
          <w:lang w:val="es-ES_tradnl"/>
        </w:rPr>
        <w:t xml:space="preserve"> </w:t>
      </w:r>
      <w:r w:rsidRPr="00DA7AE7">
        <w:rPr>
          <w:sz w:val="24"/>
          <w:szCs w:val="24"/>
          <w:lang w:val="es-ES_tradnl"/>
        </w:rPr>
        <w:t>p.</w:t>
      </w:r>
      <w:r>
        <w:rPr>
          <w:sz w:val="24"/>
          <w:szCs w:val="24"/>
          <w:lang w:val="es-ES_tradnl"/>
        </w:rPr>
        <w:t xml:space="preserve"> 612</w:t>
      </w:r>
      <w:r w:rsidRPr="00DA7AE7">
        <w:rPr>
          <w:sz w:val="24"/>
          <w:szCs w:val="24"/>
          <w:lang w:val="es-ES_tradnl"/>
        </w:rPr>
        <w:t>.</w:t>
      </w:r>
    </w:p>
    <w:p w:rsidR="00AC655F" w:rsidRPr="00DA7AE7" w:rsidRDefault="00AC655F" w:rsidP="00AC655F">
      <w:pPr>
        <w:pStyle w:val="FootnoteText"/>
        <w:spacing w:line="480" w:lineRule="auto"/>
        <w:rPr>
          <w:sz w:val="24"/>
          <w:szCs w:val="24"/>
        </w:rPr>
      </w:pPr>
      <w:r w:rsidRPr="00DA7AE7">
        <w:rPr>
          <w:sz w:val="24"/>
          <w:szCs w:val="24"/>
          <w:vertAlign w:val="superscript"/>
        </w:rPr>
        <w:t>27</w:t>
      </w:r>
      <w:r w:rsidRPr="00DA7AE7">
        <w:rPr>
          <w:sz w:val="24"/>
          <w:szCs w:val="24"/>
        </w:rPr>
        <w:t xml:space="preserve"> Boccaccio, </w:t>
      </w:r>
      <w:r w:rsidRPr="00DA7AE7">
        <w:rPr>
          <w:i/>
          <w:sz w:val="24"/>
          <w:szCs w:val="24"/>
        </w:rPr>
        <w:t>Decameron</w:t>
      </w:r>
      <w:r w:rsidRPr="00DA7AE7">
        <w:rPr>
          <w:sz w:val="24"/>
          <w:szCs w:val="24"/>
        </w:rPr>
        <w:t>,</w:t>
      </w:r>
      <w:r>
        <w:rPr>
          <w:sz w:val="24"/>
          <w:szCs w:val="24"/>
        </w:rPr>
        <w:t xml:space="preserve"> </w:t>
      </w:r>
      <w:r w:rsidRPr="00DA7AE7">
        <w:rPr>
          <w:sz w:val="24"/>
          <w:szCs w:val="24"/>
        </w:rPr>
        <w:t>p. 612.</w:t>
      </w:r>
    </w:p>
    <w:p w:rsidR="00AC655F" w:rsidRPr="00D7732C" w:rsidRDefault="00AC655F" w:rsidP="00AC655F">
      <w:pPr>
        <w:pStyle w:val="FootnoteText"/>
        <w:spacing w:line="480" w:lineRule="auto"/>
        <w:rPr>
          <w:sz w:val="24"/>
          <w:szCs w:val="24"/>
        </w:rPr>
      </w:pPr>
      <w:r>
        <w:rPr>
          <w:sz w:val="24"/>
          <w:szCs w:val="24"/>
          <w:vertAlign w:val="superscript"/>
        </w:rPr>
        <w:t>28</w:t>
      </w:r>
      <w:r w:rsidRPr="00D7732C">
        <w:rPr>
          <w:sz w:val="24"/>
          <w:szCs w:val="24"/>
        </w:rPr>
        <w:t xml:space="preserve"> See, for example, S</w:t>
      </w:r>
      <w:r>
        <w:rPr>
          <w:sz w:val="24"/>
          <w:szCs w:val="24"/>
        </w:rPr>
        <w:t xml:space="preserve">usan </w:t>
      </w:r>
      <w:proofErr w:type="spellStart"/>
      <w:r>
        <w:rPr>
          <w:sz w:val="24"/>
          <w:szCs w:val="24"/>
        </w:rPr>
        <w:t>L’Engle</w:t>
      </w:r>
      <w:proofErr w:type="spellEnd"/>
      <w:r>
        <w:rPr>
          <w:sz w:val="24"/>
          <w:szCs w:val="24"/>
        </w:rPr>
        <w:t xml:space="preserve"> and Robert Gibbs, </w:t>
      </w:r>
      <w:r w:rsidRPr="00D7732C">
        <w:rPr>
          <w:i/>
          <w:sz w:val="24"/>
          <w:szCs w:val="24"/>
        </w:rPr>
        <w:t xml:space="preserve">Illuminating the Law </w:t>
      </w:r>
      <w:r w:rsidRPr="00D7732C">
        <w:rPr>
          <w:sz w:val="24"/>
          <w:szCs w:val="24"/>
        </w:rPr>
        <w:t>(</w:t>
      </w:r>
      <w:r>
        <w:rPr>
          <w:sz w:val="24"/>
          <w:szCs w:val="24"/>
        </w:rPr>
        <w:t xml:space="preserve">London, </w:t>
      </w:r>
      <w:r w:rsidRPr="00D7732C">
        <w:rPr>
          <w:sz w:val="24"/>
          <w:szCs w:val="24"/>
        </w:rPr>
        <w:t>Harvey Miller Publishers, 2001).</w:t>
      </w:r>
    </w:p>
    <w:p w:rsidR="00AC655F" w:rsidRPr="00D7732C" w:rsidRDefault="00AC655F" w:rsidP="00AC655F">
      <w:pPr>
        <w:pStyle w:val="FootnoteText"/>
        <w:spacing w:line="480" w:lineRule="auto"/>
        <w:rPr>
          <w:sz w:val="24"/>
          <w:szCs w:val="24"/>
        </w:rPr>
      </w:pPr>
      <w:r>
        <w:rPr>
          <w:sz w:val="24"/>
          <w:szCs w:val="24"/>
          <w:vertAlign w:val="superscript"/>
        </w:rPr>
        <w:t>29</w:t>
      </w:r>
      <w:r w:rsidRPr="00D7732C">
        <w:rPr>
          <w:sz w:val="24"/>
          <w:szCs w:val="24"/>
        </w:rPr>
        <w:t xml:space="preserve"> Peter Goodrich, </w:t>
      </w:r>
      <w:r w:rsidRPr="00D7732C">
        <w:rPr>
          <w:i/>
          <w:sz w:val="24"/>
          <w:szCs w:val="24"/>
        </w:rPr>
        <w:t xml:space="preserve">Legal Emblems and the Art of Law: Obiter </w:t>
      </w:r>
      <w:proofErr w:type="spellStart"/>
      <w:r w:rsidRPr="00D7732C">
        <w:rPr>
          <w:i/>
          <w:sz w:val="24"/>
          <w:szCs w:val="24"/>
        </w:rPr>
        <w:t>Depicta</w:t>
      </w:r>
      <w:proofErr w:type="spellEnd"/>
      <w:r w:rsidRPr="00D7732C">
        <w:rPr>
          <w:i/>
          <w:sz w:val="24"/>
          <w:szCs w:val="24"/>
        </w:rPr>
        <w:t xml:space="preserve"> as the Vision of Governance</w:t>
      </w:r>
      <w:r w:rsidRPr="00D7732C">
        <w:rPr>
          <w:sz w:val="24"/>
          <w:szCs w:val="24"/>
        </w:rPr>
        <w:t xml:space="preserve"> (</w:t>
      </w:r>
      <w:r>
        <w:rPr>
          <w:sz w:val="24"/>
          <w:szCs w:val="24"/>
        </w:rPr>
        <w:t xml:space="preserve">Cambridge, </w:t>
      </w:r>
      <w:r w:rsidRPr="00D7732C">
        <w:rPr>
          <w:sz w:val="24"/>
          <w:szCs w:val="24"/>
          <w:lang w:val="en"/>
        </w:rPr>
        <w:t>Cambridge University Press, 2013</w:t>
      </w:r>
      <w:r w:rsidRPr="00D7732C">
        <w:rPr>
          <w:sz w:val="24"/>
          <w:szCs w:val="24"/>
        </w:rPr>
        <w:t>), p.3.</w:t>
      </w:r>
    </w:p>
    <w:p w:rsidR="00AC655F" w:rsidRPr="00D7732C" w:rsidRDefault="00AC655F" w:rsidP="00AC655F">
      <w:pPr>
        <w:pStyle w:val="FootnoteText"/>
        <w:spacing w:line="480" w:lineRule="auto"/>
        <w:rPr>
          <w:sz w:val="24"/>
          <w:szCs w:val="24"/>
        </w:rPr>
      </w:pPr>
      <w:r>
        <w:rPr>
          <w:sz w:val="24"/>
          <w:szCs w:val="24"/>
          <w:vertAlign w:val="superscript"/>
        </w:rPr>
        <w:t>30</w:t>
      </w:r>
      <w:r w:rsidRPr="00D7732C">
        <w:rPr>
          <w:sz w:val="24"/>
          <w:szCs w:val="24"/>
        </w:rPr>
        <w:t xml:space="preserve"> </w:t>
      </w:r>
      <w:r w:rsidRPr="00D7732C">
        <w:rPr>
          <w:rFonts w:cs="Calibri"/>
          <w:sz w:val="24"/>
          <w:szCs w:val="24"/>
        </w:rPr>
        <w:t xml:space="preserve">For an introduction to the Florentine guild system, see </w:t>
      </w:r>
      <w:r w:rsidRPr="00D7732C">
        <w:rPr>
          <w:rFonts w:cs="Calibri"/>
          <w:sz w:val="24"/>
          <w:szCs w:val="24"/>
          <w:lang w:eastAsia="en-GB"/>
        </w:rPr>
        <w:t>Richard A. Goldthwaite</w:t>
      </w:r>
      <w:r>
        <w:rPr>
          <w:rFonts w:cs="Calibri"/>
          <w:sz w:val="24"/>
          <w:szCs w:val="24"/>
          <w:lang w:eastAsia="en-GB"/>
        </w:rPr>
        <w:t>,</w:t>
      </w:r>
      <w:r w:rsidRPr="00D7732C">
        <w:rPr>
          <w:rFonts w:cs="Calibri"/>
          <w:sz w:val="24"/>
          <w:szCs w:val="24"/>
          <w:lang w:eastAsia="en-GB"/>
        </w:rPr>
        <w:t xml:space="preserve"> </w:t>
      </w:r>
      <w:r w:rsidRPr="00D7732C">
        <w:rPr>
          <w:rFonts w:cs="Calibri"/>
          <w:bCs/>
          <w:i/>
          <w:kern w:val="36"/>
          <w:sz w:val="24"/>
          <w:szCs w:val="24"/>
          <w:lang w:eastAsia="en-GB"/>
        </w:rPr>
        <w:t>The Economy of Renaissance Florence</w:t>
      </w:r>
      <w:r w:rsidRPr="00D7732C">
        <w:rPr>
          <w:rFonts w:cs="Calibri"/>
          <w:b/>
          <w:bCs/>
          <w:kern w:val="36"/>
          <w:sz w:val="24"/>
          <w:szCs w:val="24"/>
          <w:lang w:eastAsia="en-GB"/>
        </w:rPr>
        <w:t xml:space="preserve"> </w:t>
      </w:r>
      <w:r w:rsidRPr="00D7732C">
        <w:rPr>
          <w:rFonts w:cs="Calibri"/>
          <w:sz w:val="24"/>
          <w:szCs w:val="24"/>
          <w:lang w:eastAsia="en-GB"/>
        </w:rPr>
        <w:t>(Baltimore</w:t>
      </w:r>
      <w:r>
        <w:rPr>
          <w:rFonts w:cs="Calibri"/>
          <w:sz w:val="24"/>
          <w:szCs w:val="24"/>
          <w:lang w:eastAsia="en-GB"/>
        </w:rPr>
        <w:t>,</w:t>
      </w:r>
      <w:r w:rsidRPr="00D7732C">
        <w:rPr>
          <w:rFonts w:cs="Calibri"/>
          <w:sz w:val="24"/>
          <w:szCs w:val="24"/>
          <w:lang w:eastAsia="en-GB"/>
        </w:rPr>
        <w:t xml:space="preserve"> The Johns Hopkins University Press</w:t>
      </w:r>
      <w:r>
        <w:rPr>
          <w:rFonts w:cs="Calibri"/>
          <w:sz w:val="24"/>
          <w:szCs w:val="24"/>
          <w:lang w:eastAsia="en-GB"/>
        </w:rPr>
        <w:t>, 2</w:t>
      </w:r>
      <w:r w:rsidRPr="00D7732C">
        <w:rPr>
          <w:rFonts w:cs="Calibri"/>
          <w:sz w:val="24"/>
          <w:szCs w:val="24"/>
          <w:lang w:eastAsia="en-GB"/>
        </w:rPr>
        <w:t xml:space="preserve">009), </w:t>
      </w:r>
      <w:r>
        <w:rPr>
          <w:rFonts w:cs="Calibri"/>
          <w:sz w:val="24"/>
          <w:szCs w:val="24"/>
          <w:lang w:eastAsia="en-GB"/>
        </w:rPr>
        <w:t xml:space="preserve">pp. </w:t>
      </w:r>
      <w:r w:rsidRPr="00D7732C">
        <w:rPr>
          <w:rFonts w:cs="Calibri"/>
          <w:sz w:val="24"/>
          <w:szCs w:val="24"/>
          <w:lang w:eastAsia="en-GB"/>
        </w:rPr>
        <w:t>341-407.</w:t>
      </w:r>
    </w:p>
    <w:p w:rsidR="00AC655F" w:rsidRPr="00D7732C" w:rsidRDefault="00AC655F" w:rsidP="00AC655F">
      <w:pPr>
        <w:pStyle w:val="FootnoteText"/>
        <w:spacing w:line="480" w:lineRule="auto"/>
        <w:rPr>
          <w:sz w:val="24"/>
          <w:szCs w:val="24"/>
        </w:rPr>
      </w:pPr>
      <w:proofErr w:type="gramStart"/>
      <w:r>
        <w:rPr>
          <w:sz w:val="24"/>
          <w:szCs w:val="24"/>
          <w:vertAlign w:val="superscript"/>
        </w:rPr>
        <w:t>3</w:t>
      </w:r>
      <w:r w:rsidRPr="00D7732C">
        <w:rPr>
          <w:rStyle w:val="FootnoteReference"/>
          <w:sz w:val="24"/>
          <w:szCs w:val="24"/>
        </w:rPr>
        <w:footnoteRef/>
      </w:r>
      <w:r w:rsidRPr="00D7732C">
        <w:rPr>
          <w:sz w:val="24"/>
          <w:szCs w:val="24"/>
        </w:rPr>
        <w:t xml:space="preserve"> </w:t>
      </w:r>
      <w:proofErr w:type="spellStart"/>
      <w:r w:rsidRPr="00D7732C">
        <w:rPr>
          <w:rFonts w:cs="Calibri"/>
          <w:sz w:val="24"/>
          <w:szCs w:val="24"/>
        </w:rPr>
        <w:t>Lauro</w:t>
      </w:r>
      <w:proofErr w:type="spellEnd"/>
      <w:r w:rsidRPr="00D7732C">
        <w:rPr>
          <w:rFonts w:cs="Calibri"/>
          <w:sz w:val="24"/>
          <w:szCs w:val="24"/>
        </w:rPr>
        <w:t xml:space="preserve"> </w:t>
      </w:r>
      <w:proofErr w:type="spellStart"/>
      <w:r w:rsidRPr="00D7732C">
        <w:rPr>
          <w:rFonts w:cs="Calibri"/>
          <w:sz w:val="24"/>
          <w:szCs w:val="24"/>
        </w:rPr>
        <w:t>Martines</w:t>
      </w:r>
      <w:proofErr w:type="spellEnd"/>
      <w:r w:rsidRPr="00D7732C">
        <w:rPr>
          <w:rFonts w:cs="Calibri"/>
          <w:sz w:val="24"/>
          <w:szCs w:val="24"/>
        </w:rPr>
        <w:t xml:space="preserve">, </w:t>
      </w:r>
      <w:r w:rsidRPr="00D7732C">
        <w:rPr>
          <w:rFonts w:cs="Calibri"/>
          <w:bCs/>
          <w:i/>
          <w:sz w:val="24"/>
          <w:szCs w:val="24"/>
        </w:rPr>
        <w:t xml:space="preserve">Lawyers and Statecraft in Renaissance Florence </w:t>
      </w:r>
      <w:r w:rsidRPr="00D7732C">
        <w:rPr>
          <w:rFonts w:cs="Calibri"/>
          <w:bCs/>
          <w:sz w:val="24"/>
          <w:szCs w:val="24"/>
        </w:rPr>
        <w:t>(</w:t>
      </w:r>
      <w:r w:rsidRPr="00D7732C">
        <w:rPr>
          <w:rFonts w:cs="Calibri"/>
          <w:sz w:val="24"/>
          <w:szCs w:val="24"/>
        </w:rPr>
        <w:t>Princeton, N</w:t>
      </w:r>
      <w:r>
        <w:rPr>
          <w:rFonts w:cs="Calibri"/>
          <w:sz w:val="24"/>
          <w:szCs w:val="24"/>
        </w:rPr>
        <w:t>.J.,</w:t>
      </w:r>
      <w:r w:rsidRPr="00D7732C">
        <w:rPr>
          <w:rFonts w:cs="Calibri"/>
          <w:sz w:val="24"/>
          <w:szCs w:val="24"/>
        </w:rPr>
        <w:t xml:space="preserve"> Princeton University Press, 1968</w:t>
      </w:r>
      <w:r w:rsidRPr="00D7732C">
        <w:rPr>
          <w:rFonts w:cs="Calibri"/>
          <w:bCs/>
          <w:sz w:val="24"/>
          <w:szCs w:val="24"/>
        </w:rPr>
        <w:t xml:space="preserve">), </w:t>
      </w:r>
      <w:r w:rsidRPr="00D7732C">
        <w:rPr>
          <w:rFonts w:cs="Calibri"/>
          <w:sz w:val="24"/>
          <w:szCs w:val="24"/>
        </w:rPr>
        <w:t>pp.30-31.</w:t>
      </w:r>
      <w:proofErr w:type="gramEnd"/>
    </w:p>
    <w:p w:rsidR="00AC655F" w:rsidRPr="00D7732C" w:rsidRDefault="00AC655F" w:rsidP="00AC655F">
      <w:pPr>
        <w:pStyle w:val="FootnoteText"/>
        <w:spacing w:line="480" w:lineRule="auto"/>
        <w:rPr>
          <w:sz w:val="24"/>
          <w:szCs w:val="24"/>
        </w:rPr>
      </w:pPr>
      <w:r>
        <w:rPr>
          <w:sz w:val="24"/>
          <w:szCs w:val="24"/>
          <w:vertAlign w:val="superscript"/>
        </w:rPr>
        <w:t>32</w:t>
      </w:r>
      <w:r w:rsidRPr="00D7732C">
        <w:rPr>
          <w:sz w:val="24"/>
          <w:szCs w:val="24"/>
        </w:rPr>
        <w:t xml:space="preserve"> Boccaccio, </w:t>
      </w:r>
      <w:r w:rsidRPr="00D7732C">
        <w:rPr>
          <w:i/>
          <w:sz w:val="24"/>
          <w:szCs w:val="24"/>
        </w:rPr>
        <w:t>Decameron</w:t>
      </w:r>
      <w:r w:rsidRPr="00D7732C">
        <w:rPr>
          <w:sz w:val="24"/>
          <w:szCs w:val="24"/>
        </w:rPr>
        <w:t>,</w:t>
      </w:r>
      <w:r>
        <w:rPr>
          <w:sz w:val="24"/>
          <w:szCs w:val="24"/>
        </w:rPr>
        <w:t xml:space="preserve"> p. 611</w:t>
      </w:r>
      <w:r w:rsidRPr="00D7732C">
        <w:rPr>
          <w:sz w:val="24"/>
          <w:szCs w:val="24"/>
        </w:rPr>
        <w:t>.</w:t>
      </w:r>
    </w:p>
    <w:p w:rsidR="00AC655F" w:rsidRPr="00D7732C" w:rsidRDefault="00AC655F" w:rsidP="00AC655F">
      <w:pPr>
        <w:pStyle w:val="FootnoteText"/>
        <w:spacing w:line="480" w:lineRule="auto"/>
        <w:rPr>
          <w:sz w:val="24"/>
          <w:szCs w:val="24"/>
        </w:rPr>
      </w:pPr>
      <w:proofErr w:type="gramStart"/>
      <w:r>
        <w:rPr>
          <w:sz w:val="24"/>
          <w:szCs w:val="24"/>
          <w:vertAlign w:val="superscript"/>
        </w:rPr>
        <w:t>33</w:t>
      </w:r>
      <w:r w:rsidRPr="00D7732C">
        <w:rPr>
          <w:sz w:val="24"/>
          <w:szCs w:val="24"/>
        </w:rPr>
        <w:t xml:space="preserve"> </w:t>
      </w:r>
      <w:r w:rsidRPr="00D7732C">
        <w:rPr>
          <w:rFonts w:cs="Calibri"/>
          <w:sz w:val="24"/>
          <w:szCs w:val="24"/>
        </w:rPr>
        <w:t xml:space="preserve">Margaret Scott, </w:t>
      </w:r>
      <w:r>
        <w:rPr>
          <w:rFonts w:cs="Calibri"/>
          <w:i/>
          <w:sz w:val="24"/>
          <w:szCs w:val="24"/>
        </w:rPr>
        <w:t>Medieval dress and fashion</w:t>
      </w:r>
      <w:r w:rsidRPr="00D7732C">
        <w:rPr>
          <w:rFonts w:cs="Calibri"/>
          <w:i/>
          <w:sz w:val="24"/>
          <w:szCs w:val="24"/>
        </w:rPr>
        <w:t xml:space="preserve"> </w:t>
      </w:r>
      <w:r>
        <w:rPr>
          <w:rFonts w:cs="Calibri"/>
          <w:sz w:val="24"/>
          <w:szCs w:val="24"/>
        </w:rPr>
        <w:t>(</w:t>
      </w:r>
      <w:r w:rsidRPr="00D7732C">
        <w:rPr>
          <w:rFonts w:cs="Calibri"/>
          <w:sz w:val="24"/>
          <w:szCs w:val="24"/>
        </w:rPr>
        <w:t>London</w:t>
      </w:r>
      <w:r>
        <w:rPr>
          <w:rFonts w:cs="Calibri"/>
          <w:sz w:val="24"/>
          <w:szCs w:val="24"/>
        </w:rPr>
        <w:t>,</w:t>
      </w:r>
      <w:r w:rsidRPr="00D7732C">
        <w:rPr>
          <w:rFonts w:cs="Calibri"/>
          <w:sz w:val="24"/>
          <w:szCs w:val="24"/>
        </w:rPr>
        <w:t xml:space="preserve"> The British Library</w:t>
      </w:r>
      <w:r>
        <w:rPr>
          <w:rFonts w:cs="Calibri"/>
          <w:sz w:val="24"/>
          <w:szCs w:val="24"/>
        </w:rPr>
        <w:t xml:space="preserve">, </w:t>
      </w:r>
      <w:r w:rsidRPr="00D7732C">
        <w:rPr>
          <w:rFonts w:cs="Calibri"/>
          <w:sz w:val="24"/>
          <w:szCs w:val="24"/>
        </w:rPr>
        <w:t>2007</w:t>
      </w:r>
      <w:r>
        <w:rPr>
          <w:rFonts w:cs="Calibri"/>
          <w:sz w:val="24"/>
          <w:szCs w:val="24"/>
        </w:rPr>
        <w:t>)</w:t>
      </w:r>
      <w:r w:rsidRPr="00D7732C">
        <w:rPr>
          <w:rFonts w:cs="Calibri"/>
          <w:sz w:val="24"/>
          <w:szCs w:val="24"/>
        </w:rPr>
        <w:t xml:space="preserve">, </w:t>
      </w:r>
      <w:r>
        <w:rPr>
          <w:rFonts w:cs="Calibri"/>
          <w:sz w:val="24"/>
          <w:szCs w:val="24"/>
        </w:rPr>
        <w:t xml:space="preserve">p. </w:t>
      </w:r>
      <w:r w:rsidRPr="00D7732C">
        <w:rPr>
          <w:rFonts w:cs="Calibri"/>
          <w:sz w:val="24"/>
          <w:szCs w:val="24"/>
        </w:rPr>
        <w:t>79.</w:t>
      </w:r>
      <w:proofErr w:type="gramEnd"/>
    </w:p>
    <w:p w:rsidR="00AC655F" w:rsidRPr="00D7732C" w:rsidRDefault="00AC655F" w:rsidP="00AC655F">
      <w:pPr>
        <w:pStyle w:val="FootnoteText"/>
        <w:spacing w:line="480" w:lineRule="auto"/>
        <w:rPr>
          <w:sz w:val="24"/>
          <w:szCs w:val="24"/>
        </w:rPr>
      </w:pPr>
      <w:r>
        <w:rPr>
          <w:sz w:val="24"/>
          <w:szCs w:val="24"/>
          <w:vertAlign w:val="superscript"/>
        </w:rPr>
        <w:t>34</w:t>
      </w:r>
      <w:r w:rsidRPr="00D7732C">
        <w:rPr>
          <w:sz w:val="24"/>
          <w:szCs w:val="24"/>
        </w:rPr>
        <w:t xml:space="preserve"> Interesting introductions to this area include </w:t>
      </w:r>
      <w:r w:rsidRPr="00D7732C">
        <w:rPr>
          <w:rStyle w:val="st1"/>
          <w:rFonts w:cs="Arial"/>
          <w:sz w:val="24"/>
          <w:szCs w:val="24"/>
        </w:rPr>
        <w:t>Mary Rogers</w:t>
      </w:r>
      <w:r>
        <w:rPr>
          <w:rStyle w:val="st1"/>
          <w:rFonts w:cs="Arial"/>
          <w:sz w:val="24"/>
          <w:szCs w:val="24"/>
        </w:rPr>
        <w:t>, ed.,</w:t>
      </w:r>
      <w:r w:rsidRPr="00D7732C">
        <w:rPr>
          <w:rStyle w:val="st1"/>
          <w:rFonts w:cs="Arial"/>
          <w:sz w:val="24"/>
          <w:szCs w:val="24"/>
        </w:rPr>
        <w:t xml:space="preserve"> </w:t>
      </w:r>
      <w:r w:rsidRPr="00D7732C">
        <w:rPr>
          <w:i/>
          <w:sz w:val="24"/>
          <w:szCs w:val="24"/>
        </w:rPr>
        <w:t>Fashioning Identities in Renaissance Art</w:t>
      </w:r>
      <w:r w:rsidRPr="00D7732C">
        <w:rPr>
          <w:rStyle w:val="st1"/>
          <w:rFonts w:ascii="Arial" w:hAnsi="Arial" w:cs="Arial"/>
          <w:color w:val="545454"/>
          <w:sz w:val="24"/>
          <w:szCs w:val="24"/>
        </w:rPr>
        <w:t xml:space="preserve"> </w:t>
      </w:r>
      <w:r w:rsidRPr="00D7732C">
        <w:rPr>
          <w:rStyle w:val="st1"/>
          <w:rFonts w:cs="Arial"/>
          <w:sz w:val="24"/>
          <w:szCs w:val="24"/>
        </w:rPr>
        <w:t>(Aldershot</w:t>
      </w:r>
      <w:r>
        <w:rPr>
          <w:rStyle w:val="st1"/>
          <w:rFonts w:cs="Arial"/>
          <w:sz w:val="24"/>
          <w:szCs w:val="24"/>
        </w:rPr>
        <w:t>,</w:t>
      </w:r>
      <w:r w:rsidRPr="00D7732C">
        <w:rPr>
          <w:rStyle w:val="st1"/>
          <w:rFonts w:cs="Arial"/>
          <w:sz w:val="24"/>
          <w:szCs w:val="24"/>
        </w:rPr>
        <w:t xml:space="preserve"> </w:t>
      </w:r>
      <w:proofErr w:type="spellStart"/>
      <w:r w:rsidRPr="00D7732C">
        <w:rPr>
          <w:rStyle w:val="st1"/>
          <w:rFonts w:cs="Arial"/>
          <w:sz w:val="24"/>
          <w:szCs w:val="24"/>
        </w:rPr>
        <w:t>Ashgate</w:t>
      </w:r>
      <w:proofErr w:type="spellEnd"/>
      <w:r w:rsidRPr="00D7732C">
        <w:rPr>
          <w:rStyle w:val="st1"/>
          <w:rFonts w:cs="Arial"/>
          <w:sz w:val="24"/>
          <w:szCs w:val="24"/>
        </w:rPr>
        <w:t>, 2000)</w:t>
      </w:r>
      <w:r w:rsidRPr="00D7732C">
        <w:rPr>
          <w:sz w:val="24"/>
          <w:szCs w:val="24"/>
        </w:rPr>
        <w:t xml:space="preserve"> and </w:t>
      </w:r>
      <w:proofErr w:type="spellStart"/>
      <w:r w:rsidRPr="00D7732C">
        <w:rPr>
          <w:sz w:val="24"/>
          <w:szCs w:val="24"/>
        </w:rPr>
        <w:t>Désirée</w:t>
      </w:r>
      <w:proofErr w:type="spellEnd"/>
      <w:r w:rsidRPr="00D7732C">
        <w:rPr>
          <w:sz w:val="24"/>
          <w:szCs w:val="24"/>
        </w:rPr>
        <w:t xml:space="preserve"> G. </w:t>
      </w:r>
      <w:proofErr w:type="spellStart"/>
      <w:r w:rsidRPr="00D7732C">
        <w:rPr>
          <w:sz w:val="24"/>
          <w:szCs w:val="24"/>
        </w:rPr>
        <w:t>Koslin</w:t>
      </w:r>
      <w:proofErr w:type="spellEnd"/>
      <w:r w:rsidRPr="00D7732C">
        <w:rPr>
          <w:sz w:val="24"/>
          <w:szCs w:val="24"/>
        </w:rPr>
        <w:t xml:space="preserve"> and Janet E. Snyder</w:t>
      </w:r>
      <w:r>
        <w:rPr>
          <w:sz w:val="24"/>
          <w:szCs w:val="24"/>
        </w:rPr>
        <w:t>,</w:t>
      </w:r>
      <w:r w:rsidRPr="00D7732C">
        <w:rPr>
          <w:sz w:val="24"/>
          <w:szCs w:val="24"/>
        </w:rPr>
        <w:t xml:space="preserve"> eds.</w:t>
      </w:r>
      <w:r>
        <w:rPr>
          <w:sz w:val="24"/>
          <w:szCs w:val="24"/>
        </w:rPr>
        <w:t>,</w:t>
      </w:r>
      <w:r w:rsidRPr="00D7732C">
        <w:rPr>
          <w:i/>
          <w:sz w:val="24"/>
          <w:szCs w:val="24"/>
        </w:rPr>
        <w:t xml:space="preserve"> Encountering Medieval Textiles and Dress</w:t>
      </w:r>
      <w:r w:rsidRPr="00D7732C">
        <w:rPr>
          <w:sz w:val="24"/>
          <w:szCs w:val="24"/>
        </w:rPr>
        <w:t xml:space="preserve"> </w:t>
      </w:r>
      <w:r w:rsidRPr="00D7732C">
        <w:rPr>
          <w:rStyle w:val="source"/>
          <w:i/>
          <w:sz w:val="24"/>
          <w:szCs w:val="24"/>
        </w:rPr>
        <w:t>Objects, Texts, Images</w:t>
      </w:r>
      <w:r w:rsidRPr="00D7732C">
        <w:rPr>
          <w:sz w:val="24"/>
          <w:szCs w:val="24"/>
        </w:rPr>
        <w:t xml:space="preserve"> (New York and Basingstoke, Palgrave Macmillan, 2002).</w:t>
      </w:r>
    </w:p>
    <w:p w:rsidR="00AC655F" w:rsidRPr="00D7732C" w:rsidRDefault="00AC655F" w:rsidP="00AC655F">
      <w:pPr>
        <w:pStyle w:val="FootnoteText"/>
        <w:spacing w:line="480" w:lineRule="auto"/>
        <w:rPr>
          <w:sz w:val="24"/>
          <w:szCs w:val="24"/>
        </w:rPr>
      </w:pPr>
      <w:proofErr w:type="gramStart"/>
      <w:r>
        <w:rPr>
          <w:sz w:val="24"/>
          <w:szCs w:val="24"/>
          <w:vertAlign w:val="superscript"/>
        </w:rPr>
        <w:t>35</w:t>
      </w:r>
      <w:r w:rsidRPr="00D7732C">
        <w:rPr>
          <w:sz w:val="24"/>
          <w:szCs w:val="24"/>
        </w:rPr>
        <w:t xml:space="preserve"> See Linda Anderson, ‘Proud as a Dog in a Doublet’, in</w:t>
      </w:r>
      <w:r w:rsidRPr="005D7D77">
        <w:rPr>
          <w:sz w:val="24"/>
          <w:szCs w:val="24"/>
        </w:rPr>
        <w:t xml:space="preserve"> </w:t>
      </w:r>
      <w:proofErr w:type="spellStart"/>
      <w:r w:rsidRPr="00D7732C">
        <w:rPr>
          <w:sz w:val="24"/>
          <w:szCs w:val="24"/>
        </w:rPr>
        <w:t>Koslin</w:t>
      </w:r>
      <w:proofErr w:type="spellEnd"/>
      <w:r w:rsidRPr="00D7732C">
        <w:rPr>
          <w:sz w:val="24"/>
          <w:szCs w:val="24"/>
        </w:rPr>
        <w:t xml:space="preserve"> </w:t>
      </w:r>
      <w:r>
        <w:rPr>
          <w:sz w:val="24"/>
          <w:szCs w:val="24"/>
        </w:rPr>
        <w:t xml:space="preserve">and </w:t>
      </w:r>
      <w:r w:rsidRPr="00D7732C">
        <w:rPr>
          <w:sz w:val="24"/>
          <w:szCs w:val="24"/>
        </w:rPr>
        <w:t>Snyder</w:t>
      </w:r>
      <w:r>
        <w:rPr>
          <w:sz w:val="24"/>
          <w:szCs w:val="24"/>
        </w:rPr>
        <w:t>,</w:t>
      </w:r>
      <w:r w:rsidRPr="00D7732C">
        <w:rPr>
          <w:sz w:val="24"/>
          <w:szCs w:val="24"/>
        </w:rPr>
        <w:t xml:space="preserve"> </w:t>
      </w:r>
      <w:r w:rsidRPr="00D7732C">
        <w:rPr>
          <w:i/>
          <w:sz w:val="24"/>
          <w:szCs w:val="24"/>
        </w:rPr>
        <w:t>Encountering Medieval Textiles</w:t>
      </w:r>
      <w:r w:rsidRPr="00D7732C">
        <w:rPr>
          <w:sz w:val="24"/>
          <w:szCs w:val="24"/>
        </w:rPr>
        <w:t>, pp. 223-232, at p.226.</w:t>
      </w:r>
      <w:proofErr w:type="gramEnd"/>
    </w:p>
    <w:p w:rsidR="00AC655F" w:rsidRPr="00D7732C" w:rsidRDefault="00AC655F" w:rsidP="00AC655F">
      <w:pPr>
        <w:pStyle w:val="FootnoteText"/>
        <w:spacing w:line="480" w:lineRule="auto"/>
        <w:rPr>
          <w:sz w:val="24"/>
          <w:szCs w:val="24"/>
        </w:rPr>
      </w:pPr>
      <w:r>
        <w:rPr>
          <w:sz w:val="24"/>
          <w:szCs w:val="24"/>
          <w:vertAlign w:val="superscript"/>
        </w:rPr>
        <w:lastRenderedPageBreak/>
        <w:t>36</w:t>
      </w:r>
      <w:r w:rsidRPr="00D7732C">
        <w:rPr>
          <w:sz w:val="24"/>
          <w:szCs w:val="24"/>
        </w:rPr>
        <w:t xml:space="preserve"> The </w:t>
      </w:r>
      <w:proofErr w:type="spellStart"/>
      <w:r w:rsidRPr="00D7732C">
        <w:rPr>
          <w:i/>
          <w:sz w:val="24"/>
          <w:szCs w:val="24"/>
        </w:rPr>
        <w:t>Dizionario</w:t>
      </w:r>
      <w:proofErr w:type="spellEnd"/>
      <w:r w:rsidRPr="00D7732C">
        <w:rPr>
          <w:i/>
          <w:sz w:val="24"/>
          <w:szCs w:val="24"/>
        </w:rPr>
        <w:t xml:space="preserve"> </w:t>
      </w:r>
      <w:proofErr w:type="spellStart"/>
      <w:r w:rsidRPr="00D7732C">
        <w:rPr>
          <w:i/>
          <w:sz w:val="24"/>
          <w:szCs w:val="24"/>
        </w:rPr>
        <w:t>italiano</w:t>
      </w:r>
      <w:proofErr w:type="spellEnd"/>
      <w:r w:rsidRPr="00D7732C">
        <w:rPr>
          <w:sz w:val="24"/>
          <w:szCs w:val="24"/>
        </w:rPr>
        <w:t xml:space="preserve"> defines </w:t>
      </w:r>
      <w:proofErr w:type="spellStart"/>
      <w:r w:rsidRPr="00D7732C">
        <w:rPr>
          <w:i/>
          <w:sz w:val="24"/>
          <w:szCs w:val="24"/>
        </w:rPr>
        <w:t>pennaiol</w:t>
      </w:r>
      <w:r w:rsidRPr="00D7732C">
        <w:rPr>
          <w:sz w:val="24"/>
          <w:szCs w:val="24"/>
        </w:rPr>
        <w:t>o</w:t>
      </w:r>
      <w:proofErr w:type="spellEnd"/>
      <w:r w:rsidRPr="00D7732C">
        <w:rPr>
          <w:sz w:val="24"/>
          <w:szCs w:val="24"/>
        </w:rPr>
        <w:t xml:space="preserve"> variously as a </w:t>
      </w:r>
      <w:r w:rsidRPr="00D7732C">
        <w:rPr>
          <w:color w:val="222222"/>
          <w:sz w:val="24"/>
          <w:szCs w:val="24"/>
        </w:rPr>
        <w:t xml:space="preserve">container desk to hold pens and writing materials; and, secondly, as a small box with pen and ink, which was held at his waist by judges, notaries, etc.: it would be interesting, but beyond the scope of this study, to establish whether this latter definition derived from the reference in </w:t>
      </w:r>
      <w:r w:rsidRPr="00D7732C">
        <w:rPr>
          <w:i/>
          <w:color w:val="222222"/>
          <w:sz w:val="24"/>
          <w:szCs w:val="24"/>
        </w:rPr>
        <w:t xml:space="preserve">The Decameron </w:t>
      </w:r>
      <w:r w:rsidRPr="00D7732C">
        <w:rPr>
          <w:color w:val="222222"/>
          <w:sz w:val="24"/>
          <w:szCs w:val="24"/>
        </w:rPr>
        <w:t>itself.</w:t>
      </w:r>
    </w:p>
    <w:p w:rsidR="00AC655F" w:rsidRPr="00D7732C" w:rsidRDefault="00AC655F" w:rsidP="00AC655F">
      <w:pPr>
        <w:pStyle w:val="FootnoteText"/>
        <w:spacing w:line="480" w:lineRule="auto"/>
        <w:rPr>
          <w:rFonts w:cs="Calibri"/>
          <w:sz w:val="24"/>
          <w:szCs w:val="24"/>
        </w:rPr>
      </w:pPr>
      <w:r>
        <w:rPr>
          <w:sz w:val="24"/>
          <w:szCs w:val="24"/>
          <w:vertAlign w:val="superscript"/>
        </w:rPr>
        <w:t>37</w:t>
      </w:r>
      <w:r w:rsidRPr="00D7732C">
        <w:rPr>
          <w:sz w:val="24"/>
          <w:szCs w:val="24"/>
        </w:rPr>
        <w:t xml:space="preserve"> See </w:t>
      </w:r>
      <w:r w:rsidRPr="00D7732C">
        <w:rPr>
          <w:rFonts w:cs="Calibri"/>
          <w:sz w:val="24"/>
          <w:szCs w:val="24"/>
        </w:rPr>
        <w:t xml:space="preserve">Giovanni Villani’s </w:t>
      </w:r>
      <w:r w:rsidRPr="00D7732C">
        <w:rPr>
          <w:rFonts w:cs="Calibri"/>
          <w:i/>
          <w:sz w:val="24"/>
          <w:szCs w:val="24"/>
        </w:rPr>
        <w:t xml:space="preserve">Nuova </w:t>
      </w:r>
      <w:proofErr w:type="spellStart"/>
      <w:r w:rsidRPr="00D7732C">
        <w:rPr>
          <w:rFonts w:cs="Calibri"/>
          <w:i/>
          <w:sz w:val="24"/>
          <w:szCs w:val="24"/>
        </w:rPr>
        <w:t>Cronica</w:t>
      </w:r>
      <w:proofErr w:type="spellEnd"/>
      <w:r w:rsidRPr="00D7732C">
        <w:rPr>
          <w:rFonts w:cs="Calibri"/>
          <w:sz w:val="24"/>
          <w:szCs w:val="24"/>
        </w:rPr>
        <w:t xml:space="preserve">, a fourteenth century history of Florence. On the </w:t>
      </w:r>
      <w:proofErr w:type="spellStart"/>
      <w:r w:rsidRPr="00D7732C">
        <w:rPr>
          <w:rFonts w:cs="Calibri"/>
          <w:i/>
          <w:sz w:val="24"/>
          <w:szCs w:val="24"/>
        </w:rPr>
        <w:t>catasto</w:t>
      </w:r>
      <w:proofErr w:type="spellEnd"/>
      <w:r w:rsidRPr="00D7732C">
        <w:rPr>
          <w:rFonts w:cs="Calibri"/>
          <w:sz w:val="24"/>
          <w:szCs w:val="24"/>
        </w:rPr>
        <w:t xml:space="preserve">, see </w:t>
      </w:r>
      <w:r w:rsidRPr="00D7732C">
        <w:rPr>
          <w:rFonts w:ascii="Calibri" w:hAnsi="Calibri"/>
          <w:sz w:val="24"/>
          <w:szCs w:val="24"/>
        </w:rPr>
        <w:t xml:space="preserve">David </w:t>
      </w:r>
      <w:proofErr w:type="spellStart"/>
      <w:r w:rsidRPr="00D7732C">
        <w:rPr>
          <w:rFonts w:ascii="Calibri" w:hAnsi="Calibri"/>
          <w:sz w:val="24"/>
          <w:szCs w:val="24"/>
        </w:rPr>
        <w:t>Herlihy</w:t>
      </w:r>
      <w:proofErr w:type="spellEnd"/>
      <w:r w:rsidRPr="00D7732C">
        <w:rPr>
          <w:rFonts w:ascii="Calibri" w:hAnsi="Calibri"/>
          <w:sz w:val="24"/>
          <w:szCs w:val="24"/>
        </w:rPr>
        <w:t xml:space="preserve"> and Christiane </w:t>
      </w:r>
      <w:proofErr w:type="spellStart"/>
      <w:r w:rsidRPr="00D7732C">
        <w:rPr>
          <w:rFonts w:ascii="Calibri" w:hAnsi="Calibri"/>
          <w:sz w:val="24"/>
          <w:szCs w:val="24"/>
        </w:rPr>
        <w:t>Klapisch</w:t>
      </w:r>
      <w:proofErr w:type="spellEnd"/>
      <w:r w:rsidRPr="00D7732C">
        <w:rPr>
          <w:rFonts w:ascii="Calibri" w:hAnsi="Calibri"/>
          <w:sz w:val="24"/>
          <w:szCs w:val="24"/>
        </w:rPr>
        <w:t>-Zuber</w:t>
      </w:r>
      <w:r>
        <w:rPr>
          <w:rFonts w:ascii="Calibri" w:hAnsi="Calibri"/>
          <w:sz w:val="24"/>
          <w:szCs w:val="24"/>
        </w:rPr>
        <w:t>,</w:t>
      </w:r>
      <w:r w:rsidRPr="00D7732C">
        <w:rPr>
          <w:rFonts w:ascii="Calibri" w:hAnsi="Calibri"/>
          <w:sz w:val="24"/>
          <w:szCs w:val="24"/>
        </w:rPr>
        <w:t xml:space="preserve"> </w:t>
      </w:r>
      <w:r w:rsidRPr="00D7732C">
        <w:rPr>
          <w:rFonts w:ascii="Calibri" w:hAnsi="Calibri"/>
          <w:i/>
          <w:iCs/>
          <w:sz w:val="24"/>
          <w:szCs w:val="24"/>
        </w:rPr>
        <w:t xml:space="preserve">Tuscans and Their Families: A Study of the Florentine </w:t>
      </w:r>
      <w:proofErr w:type="spellStart"/>
      <w:r w:rsidRPr="00D7732C">
        <w:rPr>
          <w:rFonts w:ascii="Calibri" w:hAnsi="Calibri"/>
          <w:i/>
          <w:iCs/>
          <w:sz w:val="24"/>
          <w:szCs w:val="24"/>
        </w:rPr>
        <w:t>Catasto</w:t>
      </w:r>
      <w:proofErr w:type="spellEnd"/>
      <w:r w:rsidRPr="00D7732C">
        <w:rPr>
          <w:rFonts w:ascii="Calibri" w:hAnsi="Calibri"/>
          <w:i/>
          <w:iCs/>
          <w:sz w:val="24"/>
          <w:szCs w:val="24"/>
        </w:rPr>
        <w:t xml:space="preserve"> of 1427</w:t>
      </w:r>
      <w:r w:rsidRPr="00D7732C">
        <w:rPr>
          <w:rFonts w:ascii="Calibri" w:hAnsi="Calibri"/>
          <w:sz w:val="24"/>
          <w:szCs w:val="24"/>
        </w:rPr>
        <w:t xml:space="preserve"> (New Haven, Yale University Press, 1985).</w:t>
      </w:r>
    </w:p>
    <w:p w:rsidR="00AC655F" w:rsidRPr="00D7732C" w:rsidRDefault="00AC655F" w:rsidP="00AC655F">
      <w:pPr>
        <w:pStyle w:val="FootnoteText"/>
        <w:spacing w:line="480" w:lineRule="auto"/>
        <w:rPr>
          <w:sz w:val="24"/>
          <w:szCs w:val="24"/>
        </w:rPr>
      </w:pPr>
      <w:r>
        <w:rPr>
          <w:sz w:val="24"/>
          <w:szCs w:val="24"/>
          <w:vertAlign w:val="superscript"/>
        </w:rPr>
        <w:t>38</w:t>
      </w:r>
      <w:r w:rsidRPr="00D7732C">
        <w:rPr>
          <w:sz w:val="24"/>
          <w:szCs w:val="24"/>
        </w:rPr>
        <w:t xml:space="preserve"> </w:t>
      </w:r>
      <w:r>
        <w:rPr>
          <w:sz w:val="24"/>
          <w:szCs w:val="24"/>
        </w:rPr>
        <w:t>S</w:t>
      </w:r>
      <w:r w:rsidRPr="00D7732C">
        <w:rPr>
          <w:sz w:val="24"/>
          <w:szCs w:val="24"/>
        </w:rPr>
        <w:t xml:space="preserve">ee Robert Black, </w:t>
      </w:r>
      <w:r w:rsidRPr="00D7732C">
        <w:rPr>
          <w:i/>
          <w:sz w:val="24"/>
          <w:szCs w:val="24"/>
        </w:rPr>
        <w:t>Education and Society in Florentine Tuscany: Teachers, Pupils and Schools</w:t>
      </w:r>
      <w:r w:rsidRPr="00D7732C">
        <w:rPr>
          <w:sz w:val="24"/>
          <w:szCs w:val="24"/>
        </w:rPr>
        <w:t xml:space="preserve"> Volume 1 (Brill, Leiden, 2007).</w:t>
      </w:r>
    </w:p>
    <w:p w:rsidR="00AC655F" w:rsidRPr="00D7732C" w:rsidRDefault="00AC655F" w:rsidP="00AC655F">
      <w:pPr>
        <w:pStyle w:val="FootnoteText"/>
        <w:spacing w:line="480" w:lineRule="auto"/>
        <w:rPr>
          <w:rFonts w:cs="Calibri"/>
          <w:bCs/>
          <w:sz w:val="24"/>
          <w:szCs w:val="24"/>
        </w:rPr>
      </w:pPr>
      <w:r>
        <w:rPr>
          <w:sz w:val="24"/>
          <w:szCs w:val="24"/>
          <w:vertAlign w:val="superscript"/>
        </w:rPr>
        <w:t>39</w:t>
      </w:r>
      <w:r w:rsidRPr="00D7732C">
        <w:rPr>
          <w:sz w:val="24"/>
          <w:szCs w:val="24"/>
        </w:rPr>
        <w:t xml:space="preserve"> For an introduction to this fascinating area, see </w:t>
      </w:r>
      <w:r w:rsidRPr="00D7732C">
        <w:rPr>
          <w:rFonts w:cs="Calibri"/>
          <w:sz w:val="24"/>
          <w:szCs w:val="24"/>
        </w:rPr>
        <w:t>John</w:t>
      </w:r>
      <w:r w:rsidRPr="00933624">
        <w:rPr>
          <w:rFonts w:cs="Calibri"/>
          <w:sz w:val="24"/>
          <w:szCs w:val="24"/>
        </w:rPr>
        <w:t xml:space="preserve"> </w:t>
      </w:r>
      <w:r w:rsidRPr="00D7732C">
        <w:rPr>
          <w:rFonts w:cs="Calibri"/>
          <w:sz w:val="24"/>
          <w:szCs w:val="24"/>
        </w:rPr>
        <w:t>Pope-Hennessy,</w:t>
      </w:r>
      <w:r w:rsidRPr="00D7732C">
        <w:rPr>
          <w:rFonts w:cs="Calibri"/>
          <w:i/>
          <w:iCs/>
          <w:sz w:val="24"/>
          <w:szCs w:val="24"/>
        </w:rPr>
        <w:t xml:space="preserve"> The Portrait in the Renaissance </w:t>
      </w:r>
      <w:r w:rsidRPr="00D7732C">
        <w:rPr>
          <w:rFonts w:cs="Calibri"/>
          <w:sz w:val="24"/>
          <w:szCs w:val="24"/>
        </w:rPr>
        <w:t>(New York</w:t>
      </w:r>
      <w:r>
        <w:rPr>
          <w:rFonts w:cs="Calibri"/>
          <w:sz w:val="24"/>
          <w:szCs w:val="24"/>
        </w:rPr>
        <w:t>,</w:t>
      </w:r>
      <w:r w:rsidRPr="00D7732C">
        <w:rPr>
          <w:rFonts w:cs="Calibri"/>
          <w:sz w:val="24"/>
          <w:szCs w:val="24"/>
          <w:lang w:eastAsia="en-GB"/>
        </w:rPr>
        <w:t xml:space="preserve"> Pantheon</w:t>
      </w:r>
      <w:r w:rsidRPr="00D7732C">
        <w:rPr>
          <w:rFonts w:cs="Calibri"/>
          <w:sz w:val="24"/>
          <w:szCs w:val="24"/>
        </w:rPr>
        <w:t>, 1966).</w:t>
      </w:r>
    </w:p>
    <w:p w:rsidR="00AC655F" w:rsidRPr="00D7732C" w:rsidRDefault="00AC655F" w:rsidP="00AC655F">
      <w:pPr>
        <w:pStyle w:val="FootnoteText"/>
        <w:spacing w:line="480" w:lineRule="auto"/>
        <w:rPr>
          <w:sz w:val="24"/>
          <w:szCs w:val="24"/>
        </w:rPr>
      </w:pPr>
      <w:proofErr w:type="gramStart"/>
      <w:r>
        <w:rPr>
          <w:sz w:val="24"/>
          <w:szCs w:val="24"/>
          <w:vertAlign w:val="superscript"/>
        </w:rPr>
        <w:t>40</w:t>
      </w:r>
      <w:r w:rsidRPr="00D7732C">
        <w:rPr>
          <w:sz w:val="24"/>
          <w:szCs w:val="24"/>
        </w:rPr>
        <w:t xml:space="preserve"> Carole Collier Frick, </w:t>
      </w:r>
      <w:r w:rsidRPr="00D7732C">
        <w:rPr>
          <w:i/>
          <w:sz w:val="24"/>
          <w:szCs w:val="24"/>
        </w:rPr>
        <w:t>Dressing Renaissance Florence</w:t>
      </w:r>
      <w:r w:rsidRPr="00D7732C">
        <w:rPr>
          <w:sz w:val="24"/>
          <w:szCs w:val="24"/>
        </w:rPr>
        <w:t xml:space="preserve"> (Baltimore and London, The Johns Hopkins University Press, 2002), p.149.</w:t>
      </w:r>
      <w:proofErr w:type="gramEnd"/>
    </w:p>
    <w:p w:rsidR="00AC655F" w:rsidRPr="00D7732C" w:rsidRDefault="00AC655F" w:rsidP="00AC655F">
      <w:pPr>
        <w:pStyle w:val="FootnoteText"/>
        <w:spacing w:line="480" w:lineRule="auto"/>
        <w:rPr>
          <w:sz w:val="24"/>
          <w:szCs w:val="24"/>
        </w:rPr>
      </w:pPr>
      <w:proofErr w:type="gramStart"/>
      <w:r>
        <w:rPr>
          <w:sz w:val="24"/>
          <w:szCs w:val="24"/>
          <w:vertAlign w:val="superscript"/>
        </w:rPr>
        <w:t>4</w:t>
      </w:r>
      <w:r w:rsidRPr="00D7732C">
        <w:rPr>
          <w:rStyle w:val="FootnoteReference"/>
          <w:sz w:val="24"/>
          <w:szCs w:val="24"/>
        </w:rPr>
        <w:footnoteRef/>
      </w:r>
      <w:r w:rsidRPr="00D7732C">
        <w:rPr>
          <w:sz w:val="24"/>
          <w:szCs w:val="24"/>
        </w:rPr>
        <w:t xml:space="preserve"> </w:t>
      </w:r>
      <w:r w:rsidRPr="00D7732C">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 xml:space="preserve">p. </w:t>
      </w:r>
      <w:r w:rsidRPr="00D7732C">
        <w:rPr>
          <w:rFonts w:cs="Calibri"/>
          <w:sz w:val="24"/>
          <w:szCs w:val="24"/>
        </w:rPr>
        <w:t>84.</w:t>
      </w:r>
      <w:proofErr w:type="gramEnd"/>
    </w:p>
    <w:p w:rsidR="00AC655F" w:rsidRDefault="00AC655F" w:rsidP="00AC655F">
      <w:pPr>
        <w:pStyle w:val="FootnoteText"/>
        <w:spacing w:line="480" w:lineRule="auto"/>
        <w:rPr>
          <w:sz w:val="24"/>
          <w:szCs w:val="24"/>
        </w:rPr>
      </w:pPr>
      <w:proofErr w:type="gramStart"/>
      <w:r>
        <w:rPr>
          <w:sz w:val="24"/>
          <w:szCs w:val="24"/>
          <w:vertAlign w:val="superscript"/>
        </w:rPr>
        <w:t>42</w:t>
      </w:r>
      <w:r w:rsidRPr="00D7732C">
        <w:rPr>
          <w:sz w:val="24"/>
          <w:szCs w:val="24"/>
        </w:rPr>
        <w:t xml:space="preserve"> </w:t>
      </w:r>
      <w:r>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p. 85.</w:t>
      </w:r>
      <w:proofErr w:type="gramEnd"/>
      <w:r>
        <w:rPr>
          <w:rFonts w:cs="Calibri"/>
          <w:sz w:val="24"/>
          <w:szCs w:val="24"/>
        </w:rPr>
        <w:t xml:space="preserve"> See also </w:t>
      </w:r>
      <w:r w:rsidRPr="00D7732C">
        <w:rPr>
          <w:sz w:val="24"/>
          <w:szCs w:val="24"/>
        </w:rPr>
        <w:t xml:space="preserve">Susan </w:t>
      </w:r>
      <w:proofErr w:type="spellStart"/>
      <w:r w:rsidRPr="00D7732C">
        <w:rPr>
          <w:sz w:val="24"/>
          <w:szCs w:val="24"/>
        </w:rPr>
        <w:t>L’Engle</w:t>
      </w:r>
      <w:proofErr w:type="spellEnd"/>
      <w:r w:rsidRPr="00D7732C">
        <w:rPr>
          <w:sz w:val="24"/>
          <w:szCs w:val="24"/>
        </w:rPr>
        <w:t>, ‘Ad</w:t>
      </w:r>
      <w:r w:rsidRPr="00D7732C">
        <w:rPr>
          <w:i/>
          <w:sz w:val="24"/>
          <w:szCs w:val="24"/>
        </w:rPr>
        <w:t>dress</w:t>
      </w:r>
      <w:r w:rsidRPr="00D7732C">
        <w:rPr>
          <w:sz w:val="24"/>
          <w:szCs w:val="24"/>
        </w:rPr>
        <w:t>ing the Law: Costume as Signifier in</w:t>
      </w:r>
      <w:r>
        <w:rPr>
          <w:sz w:val="24"/>
          <w:szCs w:val="24"/>
        </w:rPr>
        <w:t xml:space="preserve"> Medieval Legal Miniatures’, in</w:t>
      </w:r>
      <w:r w:rsidRPr="00D7732C">
        <w:rPr>
          <w:sz w:val="24"/>
          <w:szCs w:val="24"/>
        </w:rPr>
        <w:t xml:space="preserve"> </w:t>
      </w:r>
      <w:proofErr w:type="spellStart"/>
      <w:r w:rsidRPr="00D7732C">
        <w:rPr>
          <w:sz w:val="24"/>
          <w:szCs w:val="24"/>
        </w:rPr>
        <w:t>Koslin</w:t>
      </w:r>
      <w:proofErr w:type="spellEnd"/>
      <w:r w:rsidRPr="00D7732C">
        <w:rPr>
          <w:sz w:val="24"/>
          <w:szCs w:val="24"/>
        </w:rPr>
        <w:t xml:space="preserve"> and Snyder, </w:t>
      </w:r>
      <w:r w:rsidRPr="00D7732C">
        <w:rPr>
          <w:rStyle w:val="source"/>
          <w:i/>
          <w:sz w:val="24"/>
          <w:szCs w:val="24"/>
        </w:rPr>
        <w:t>Encountering Medieval Textile</w:t>
      </w:r>
      <w:r>
        <w:rPr>
          <w:rStyle w:val="source"/>
          <w:i/>
          <w:sz w:val="24"/>
          <w:szCs w:val="24"/>
        </w:rPr>
        <w:t>s</w:t>
      </w:r>
      <w:r w:rsidRPr="00D7732C">
        <w:rPr>
          <w:sz w:val="24"/>
          <w:szCs w:val="24"/>
        </w:rPr>
        <w:t>, p. 137-153, at p.</w:t>
      </w:r>
      <w:r>
        <w:rPr>
          <w:sz w:val="24"/>
          <w:szCs w:val="24"/>
        </w:rPr>
        <w:t xml:space="preserve"> </w:t>
      </w:r>
      <w:r>
        <w:rPr>
          <w:rFonts w:cs="Calibri"/>
          <w:sz w:val="24"/>
          <w:szCs w:val="24"/>
        </w:rPr>
        <w:t>142.</w:t>
      </w:r>
    </w:p>
    <w:p w:rsidR="00AC655F" w:rsidRDefault="00AC655F" w:rsidP="00AC655F">
      <w:pPr>
        <w:pStyle w:val="FootnoteText"/>
        <w:spacing w:line="480" w:lineRule="auto"/>
        <w:rPr>
          <w:sz w:val="24"/>
          <w:szCs w:val="24"/>
          <w:vertAlign w:val="superscript"/>
        </w:rPr>
      </w:pPr>
      <w:r>
        <w:rPr>
          <w:sz w:val="24"/>
          <w:szCs w:val="24"/>
          <w:vertAlign w:val="superscript"/>
        </w:rPr>
        <w:t xml:space="preserve">43 </w:t>
      </w:r>
      <w:proofErr w:type="spellStart"/>
      <w:r>
        <w:rPr>
          <w:rFonts w:cs="Calibri"/>
          <w:sz w:val="24"/>
          <w:szCs w:val="24"/>
        </w:rPr>
        <w:t>L’Engle</w:t>
      </w:r>
      <w:proofErr w:type="spellEnd"/>
      <w:r w:rsidRPr="00D7732C">
        <w:rPr>
          <w:sz w:val="24"/>
          <w:szCs w:val="24"/>
        </w:rPr>
        <w:t>, ‘Ad</w:t>
      </w:r>
      <w:r w:rsidRPr="00D7732C">
        <w:rPr>
          <w:i/>
          <w:sz w:val="24"/>
          <w:szCs w:val="24"/>
        </w:rPr>
        <w:t>dress</w:t>
      </w:r>
      <w:r>
        <w:rPr>
          <w:sz w:val="24"/>
          <w:szCs w:val="24"/>
        </w:rPr>
        <w:t>ing the Law</w:t>
      </w:r>
      <w:r w:rsidRPr="00D7732C">
        <w:rPr>
          <w:sz w:val="24"/>
          <w:szCs w:val="24"/>
        </w:rPr>
        <w:t>’, p.</w:t>
      </w:r>
      <w:r>
        <w:rPr>
          <w:sz w:val="24"/>
          <w:szCs w:val="24"/>
        </w:rPr>
        <w:t xml:space="preserve"> </w:t>
      </w:r>
      <w:r>
        <w:rPr>
          <w:rFonts w:cs="Calibri"/>
          <w:sz w:val="24"/>
          <w:szCs w:val="24"/>
        </w:rPr>
        <w:t>142.</w:t>
      </w:r>
    </w:p>
    <w:p w:rsidR="00AC655F" w:rsidRPr="00D7732C" w:rsidRDefault="00AC655F" w:rsidP="00AC655F">
      <w:pPr>
        <w:pStyle w:val="FootnoteText"/>
        <w:spacing w:line="480" w:lineRule="auto"/>
        <w:rPr>
          <w:sz w:val="24"/>
          <w:szCs w:val="24"/>
        </w:rPr>
      </w:pPr>
      <w:proofErr w:type="gramStart"/>
      <w:r>
        <w:rPr>
          <w:sz w:val="24"/>
          <w:szCs w:val="24"/>
          <w:vertAlign w:val="superscript"/>
        </w:rPr>
        <w:t>44</w:t>
      </w:r>
      <w:r w:rsidRPr="00D7732C">
        <w:rPr>
          <w:sz w:val="24"/>
          <w:szCs w:val="24"/>
        </w:rPr>
        <w:t xml:space="preserve"> </w:t>
      </w:r>
      <w:r w:rsidRPr="00D7732C">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 xml:space="preserve">p. </w:t>
      </w:r>
      <w:r w:rsidRPr="00D7732C">
        <w:rPr>
          <w:rFonts w:cs="Calibri"/>
          <w:sz w:val="24"/>
          <w:szCs w:val="24"/>
        </w:rPr>
        <w:t>85.</w:t>
      </w:r>
      <w:proofErr w:type="gramEnd"/>
    </w:p>
    <w:p w:rsidR="00AC655F" w:rsidRPr="00D7732C" w:rsidRDefault="00AC655F" w:rsidP="00AC655F">
      <w:pPr>
        <w:pStyle w:val="FootnoteText"/>
        <w:spacing w:line="480" w:lineRule="auto"/>
        <w:rPr>
          <w:sz w:val="24"/>
          <w:szCs w:val="24"/>
        </w:rPr>
      </w:pPr>
      <w:proofErr w:type="gramStart"/>
      <w:r>
        <w:rPr>
          <w:sz w:val="24"/>
          <w:szCs w:val="24"/>
          <w:vertAlign w:val="superscript"/>
        </w:rPr>
        <w:t>45</w:t>
      </w:r>
      <w:r w:rsidRPr="00D7732C">
        <w:rPr>
          <w:sz w:val="24"/>
          <w:szCs w:val="24"/>
        </w:rPr>
        <w:t xml:space="preserve"> </w:t>
      </w:r>
      <w:r w:rsidRPr="00D7732C">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 xml:space="preserve">p. </w:t>
      </w:r>
      <w:r w:rsidRPr="00D7732C">
        <w:rPr>
          <w:rFonts w:cs="Calibri"/>
          <w:sz w:val="24"/>
          <w:szCs w:val="24"/>
        </w:rPr>
        <w:t>85-8.</w:t>
      </w:r>
      <w:proofErr w:type="gramEnd"/>
    </w:p>
    <w:p w:rsidR="00AC655F" w:rsidRPr="00D7732C" w:rsidRDefault="00AC655F" w:rsidP="00AC655F">
      <w:pPr>
        <w:pStyle w:val="FootnoteText"/>
        <w:spacing w:line="480" w:lineRule="auto"/>
        <w:rPr>
          <w:sz w:val="24"/>
          <w:szCs w:val="24"/>
        </w:rPr>
      </w:pPr>
      <w:proofErr w:type="gramStart"/>
      <w:r>
        <w:rPr>
          <w:sz w:val="24"/>
          <w:szCs w:val="24"/>
          <w:vertAlign w:val="superscript"/>
        </w:rPr>
        <w:t>46</w:t>
      </w:r>
      <w:r w:rsidRPr="00D7732C">
        <w:rPr>
          <w:sz w:val="24"/>
          <w:szCs w:val="24"/>
        </w:rPr>
        <w:t xml:space="preserve"> </w:t>
      </w:r>
      <w:r w:rsidRPr="00D7732C">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p. 85-6</w:t>
      </w:r>
      <w:r w:rsidRPr="00D7732C">
        <w:rPr>
          <w:rFonts w:cs="Calibri"/>
          <w:sz w:val="24"/>
          <w:szCs w:val="24"/>
        </w:rPr>
        <w:t>.</w:t>
      </w:r>
      <w:proofErr w:type="gramEnd"/>
    </w:p>
    <w:p w:rsidR="00AC655F" w:rsidRPr="00D7732C" w:rsidRDefault="00AC655F" w:rsidP="00AC655F">
      <w:pPr>
        <w:pStyle w:val="FootnoteText"/>
        <w:spacing w:line="480" w:lineRule="auto"/>
        <w:rPr>
          <w:sz w:val="24"/>
          <w:szCs w:val="24"/>
        </w:rPr>
      </w:pPr>
      <w:r>
        <w:rPr>
          <w:sz w:val="24"/>
          <w:szCs w:val="24"/>
          <w:vertAlign w:val="superscript"/>
        </w:rPr>
        <w:t>47</w:t>
      </w:r>
      <w:r w:rsidRPr="00D7732C">
        <w:rPr>
          <w:sz w:val="24"/>
          <w:szCs w:val="24"/>
        </w:rPr>
        <w:t xml:space="preserve"> </w:t>
      </w:r>
      <w:proofErr w:type="spellStart"/>
      <w:r w:rsidRPr="00D7732C">
        <w:rPr>
          <w:sz w:val="24"/>
          <w:szCs w:val="24"/>
        </w:rPr>
        <w:t>Désirée</w:t>
      </w:r>
      <w:proofErr w:type="spellEnd"/>
      <w:r w:rsidRPr="00D7732C">
        <w:rPr>
          <w:sz w:val="24"/>
          <w:szCs w:val="24"/>
        </w:rPr>
        <w:t xml:space="preserve"> </w:t>
      </w:r>
      <w:proofErr w:type="spellStart"/>
      <w:r w:rsidRPr="00D7732C">
        <w:rPr>
          <w:sz w:val="24"/>
          <w:szCs w:val="24"/>
        </w:rPr>
        <w:t>Koslin</w:t>
      </w:r>
      <w:proofErr w:type="spellEnd"/>
      <w:r w:rsidRPr="00D7732C">
        <w:rPr>
          <w:sz w:val="24"/>
          <w:szCs w:val="24"/>
        </w:rPr>
        <w:t xml:space="preserve">, ‘Value-Added Stuffs and Shifts in Meaning’, in </w:t>
      </w:r>
      <w:proofErr w:type="spellStart"/>
      <w:r w:rsidRPr="00D7732C">
        <w:rPr>
          <w:sz w:val="24"/>
          <w:szCs w:val="24"/>
        </w:rPr>
        <w:t>Koslin</w:t>
      </w:r>
      <w:proofErr w:type="spellEnd"/>
      <w:r w:rsidRPr="00D7732C">
        <w:rPr>
          <w:sz w:val="24"/>
          <w:szCs w:val="24"/>
        </w:rPr>
        <w:t xml:space="preserve"> and Snyder</w:t>
      </w:r>
      <w:r>
        <w:rPr>
          <w:sz w:val="24"/>
          <w:szCs w:val="24"/>
        </w:rPr>
        <w:t>,</w:t>
      </w:r>
      <w:r w:rsidRPr="00D7732C">
        <w:rPr>
          <w:sz w:val="24"/>
          <w:szCs w:val="24"/>
        </w:rPr>
        <w:t xml:space="preserve"> </w:t>
      </w:r>
      <w:r w:rsidRPr="00D7732C">
        <w:rPr>
          <w:i/>
          <w:sz w:val="24"/>
          <w:szCs w:val="24"/>
        </w:rPr>
        <w:t>Encountering Medieval Textiles</w:t>
      </w:r>
      <w:r>
        <w:rPr>
          <w:sz w:val="24"/>
          <w:szCs w:val="24"/>
        </w:rPr>
        <w:t>, pp</w:t>
      </w:r>
      <w:r w:rsidRPr="00D7732C">
        <w:rPr>
          <w:sz w:val="24"/>
          <w:szCs w:val="24"/>
        </w:rPr>
        <w:t>. 233-249, at p.</w:t>
      </w:r>
      <w:r>
        <w:rPr>
          <w:sz w:val="24"/>
          <w:szCs w:val="24"/>
        </w:rPr>
        <w:t xml:space="preserve"> </w:t>
      </w:r>
      <w:r w:rsidRPr="00D7732C">
        <w:rPr>
          <w:sz w:val="24"/>
          <w:szCs w:val="24"/>
        </w:rPr>
        <w:t>236 and p.</w:t>
      </w:r>
      <w:r>
        <w:rPr>
          <w:sz w:val="24"/>
          <w:szCs w:val="24"/>
        </w:rPr>
        <w:t xml:space="preserve"> </w:t>
      </w:r>
      <w:r w:rsidRPr="00D7732C">
        <w:rPr>
          <w:sz w:val="24"/>
          <w:szCs w:val="24"/>
        </w:rPr>
        <w:t>242.</w:t>
      </w:r>
    </w:p>
    <w:p w:rsidR="00AC655F" w:rsidRDefault="00AC655F" w:rsidP="00AC655F">
      <w:pPr>
        <w:pStyle w:val="FootnoteText"/>
        <w:spacing w:line="480" w:lineRule="auto"/>
        <w:rPr>
          <w:sz w:val="24"/>
          <w:szCs w:val="24"/>
        </w:rPr>
      </w:pPr>
    </w:p>
    <w:p w:rsidR="00AC655F" w:rsidRDefault="00AC655F" w:rsidP="00AC655F">
      <w:pPr>
        <w:pStyle w:val="FootnoteText"/>
        <w:spacing w:line="480" w:lineRule="auto"/>
        <w:rPr>
          <w:sz w:val="24"/>
          <w:szCs w:val="24"/>
        </w:rPr>
      </w:pPr>
      <w:proofErr w:type="gramStart"/>
      <w:r>
        <w:rPr>
          <w:sz w:val="24"/>
          <w:szCs w:val="24"/>
          <w:vertAlign w:val="superscript"/>
        </w:rPr>
        <w:lastRenderedPageBreak/>
        <w:t xml:space="preserve">48 </w:t>
      </w:r>
      <w:r w:rsidRPr="00D7732C">
        <w:rPr>
          <w:rFonts w:cs="Calibri"/>
          <w:sz w:val="24"/>
          <w:szCs w:val="24"/>
        </w:rPr>
        <w:t xml:space="preserve">Scott, </w:t>
      </w:r>
      <w:r w:rsidRPr="00D7732C">
        <w:rPr>
          <w:rFonts w:cs="Calibri"/>
          <w:i/>
          <w:sz w:val="24"/>
          <w:szCs w:val="24"/>
        </w:rPr>
        <w:t>Medieval dress</w:t>
      </w:r>
      <w:r w:rsidRPr="00D7732C">
        <w:rPr>
          <w:rFonts w:cs="Calibri"/>
          <w:sz w:val="24"/>
          <w:szCs w:val="24"/>
        </w:rPr>
        <w:t xml:space="preserve">, </w:t>
      </w:r>
      <w:r>
        <w:rPr>
          <w:rFonts w:cs="Calibri"/>
          <w:sz w:val="24"/>
          <w:szCs w:val="24"/>
        </w:rPr>
        <w:t xml:space="preserve">p. </w:t>
      </w:r>
      <w:r w:rsidRPr="00D7732C">
        <w:rPr>
          <w:rFonts w:cs="Calibri"/>
          <w:sz w:val="24"/>
          <w:szCs w:val="24"/>
        </w:rPr>
        <w:t>97.</w:t>
      </w:r>
      <w:proofErr w:type="gramEnd"/>
    </w:p>
    <w:p w:rsidR="00AC655F" w:rsidRPr="00D7732C" w:rsidRDefault="00AC655F" w:rsidP="00AC655F">
      <w:pPr>
        <w:pStyle w:val="FootnoteText"/>
        <w:spacing w:line="480" w:lineRule="auto"/>
        <w:rPr>
          <w:sz w:val="24"/>
          <w:szCs w:val="24"/>
        </w:rPr>
      </w:pPr>
      <w:r>
        <w:rPr>
          <w:sz w:val="24"/>
          <w:szCs w:val="24"/>
          <w:vertAlign w:val="superscript"/>
        </w:rPr>
        <w:t>49</w:t>
      </w:r>
      <w:r w:rsidRPr="00D7732C">
        <w:rPr>
          <w:sz w:val="24"/>
          <w:szCs w:val="24"/>
        </w:rPr>
        <w:t>Joanna Woods-Marsden, ‘Introduction: Collective Identity/Individual identity’, in Mary Rogers</w:t>
      </w:r>
      <w:r>
        <w:rPr>
          <w:sz w:val="24"/>
          <w:szCs w:val="24"/>
        </w:rPr>
        <w:t>,</w:t>
      </w:r>
      <w:r w:rsidRPr="00D7732C">
        <w:rPr>
          <w:sz w:val="24"/>
          <w:szCs w:val="24"/>
        </w:rPr>
        <w:t xml:space="preserve"> </w:t>
      </w:r>
      <w:r>
        <w:rPr>
          <w:sz w:val="24"/>
          <w:szCs w:val="24"/>
        </w:rPr>
        <w:t>e</w:t>
      </w:r>
      <w:r w:rsidRPr="00D7732C">
        <w:rPr>
          <w:sz w:val="24"/>
          <w:szCs w:val="24"/>
        </w:rPr>
        <w:t>d.</w:t>
      </w:r>
      <w:r>
        <w:rPr>
          <w:sz w:val="24"/>
          <w:szCs w:val="24"/>
        </w:rPr>
        <w:t xml:space="preserve">, </w:t>
      </w:r>
      <w:r w:rsidRPr="00D7732C">
        <w:rPr>
          <w:i/>
          <w:sz w:val="24"/>
          <w:szCs w:val="24"/>
        </w:rPr>
        <w:t>Fashioning Identities in Renaissance Art</w:t>
      </w:r>
      <w:r w:rsidRPr="00D7732C">
        <w:rPr>
          <w:sz w:val="24"/>
          <w:szCs w:val="24"/>
        </w:rPr>
        <w:t xml:space="preserve"> </w:t>
      </w:r>
      <w:r w:rsidRPr="00D7732C">
        <w:rPr>
          <w:rStyle w:val="st1"/>
          <w:rFonts w:cs="Arial"/>
          <w:sz w:val="24"/>
          <w:szCs w:val="24"/>
        </w:rPr>
        <w:t>(Aldershot</w:t>
      </w:r>
      <w:r>
        <w:rPr>
          <w:rStyle w:val="st1"/>
          <w:rFonts w:cs="Arial"/>
          <w:sz w:val="24"/>
          <w:szCs w:val="24"/>
        </w:rPr>
        <w:t>,</w:t>
      </w:r>
      <w:r w:rsidRPr="00D7732C">
        <w:rPr>
          <w:rStyle w:val="st1"/>
          <w:rFonts w:cs="Arial"/>
          <w:sz w:val="24"/>
          <w:szCs w:val="24"/>
        </w:rPr>
        <w:t xml:space="preserve"> </w:t>
      </w:r>
      <w:proofErr w:type="spellStart"/>
      <w:r w:rsidRPr="00D7732C">
        <w:rPr>
          <w:rStyle w:val="st1"/>
          <w:rFonts w:cs="Arial"/>
          <w:sz w:val="24"/>
          <w:szCs w:val="24"/>
        </w:rPr>
        <w:t>Ashgate</w:t>
      </w:r>
      <w:proofErr w:type="spellEnd"/>
      <w:r w:rsidRPr="00D7732C">
        <w:rPr>
          <w:rStyle w:val="st1"/>
          <w:rFonts w:cs="Arial"/>
          <w:sz w:val="24"/>
          <w:szCs w:val="24"/>
        </w:rPr>
        <w:t>, 2000), pp. 1-16, at pp.</w:t>
      </w:r>
      <w:r>
        <w:rPr>
          <w:rStyle w:val="st1"/>
          <w:rFonts w:cs="Arial"/>
          <w:sz w:val="24"/>
          <w:szCs w:val="24"/>
        </w:rPr>
        <w:t xml:space="preserve"> </w:t>
      </w:r>
      <w:r w:rsidRPr="00D7732C">
        <w:rPr>
          <w:rStyle w:val="st1"/>
          <w:rFonts w:cs="Arial"/>
          <w:sz w:val="24"/>
          <w:szCs w:val="24"/>
        </w:rPr>
        <w:t>2-3.</w:t>
      </w:r>
    </w:p>
    <w:p w:rsidR="00AC655F" w:rsidRPr="00D7732C" w:rsidRDefault="00AC655F" w:rsidP="00AC655F">
      <w:pPr>
        <w:pStyle w:val="FootnoteText"/>
        <w:spacing w:line="480" w:lineRule="auto"/>
        <w:rPr>
          <w:sz w:val="24"/>
          <w:szCs w:val="24"/>
        </w:rPr>
      </w:pPr>
      <w:proofErr w:type="gramStart"/>
      <w:r>
        <w:rPr>
          <w:sz w:val="24"/>
          <w:szCs w:val="24"/>
          <w:vertAlign w:val="superscript"/>
        </w:rPr>
        <w:t xml:space="preserve">50 </w:t>
      </w:r>
      <w:r w:rsidRPr="00D7732C">
        <w:rPr>
          <w:sz w:val="24"/>
          <w:szCs w:val="24"/>
        </w:rPr>
        <w:t xml:space="preserve"> </w:t>
      </w:r>
      <w:proofErr w:type="spellStart"/>
      <w:r w:rsidRPr="00D7732C">
        <w:rPr>
          <w:sz w:val="24"/>
          <w:szCs w:val="24"/>
        </w:rPr>
        <w:t>L’Engle</w:t>
      </w:r>
      <w:proofErr w:type="spellEnd"/>
      <w:proofErr w:type="gramEnd"/>
      <w:r w:rsidRPr="00D7732C">
        <w:rPr>
          <w:sz w:val="24"/>
          <w:szCs w:val="24"/>
        </w:rPr>
        <w:t>, ‘Ad</w:t>
      </w:r>
      <w:r w:rsidRPr="00D7732C">
        <w:rPr>
          <w:i/>
          <w:sz w:val="24"/>
          <w:szCs w:val="24"/>
        </w:rPr>
        <w:t>dress</w:t>
      </w:r>
      <w:r>
        <w:rPr>
          <w:sz w:val="24"/>
          <w:szCs w:val="24"/>
        </w:rPr>
        <w:t>ing the Law</w:t>
      </w:r>
      <w:r w:rsidRPr="00D7732C">
        <w:rPr>
          <w:sz w:val="24"/>
          <w:szCs w:val="24"/>
        </w:rPr>
        <w:t>’, p.</w:t>
      </w:r>
      <w:r>
        <w:rPr>
          <w:sz w:val="24"/>
          <w:szCs w:val="24"/>
        </w:rPr>
        <w:t xml:space="preserve"> </w:t>
      </w:r>
      <w:r w:rsidRPr="00D7732C">
        <w:rPr>
          <w:sz w:val="24"/>
          <w:szCs w:val="24"/>
        </w:rPr>
        <w:t>146.</w:t>
      </w:r>
    </w:p>
    <w:p w:rsidR="00AC655F" w:rsidRPr="00D7732C" w:rsidRDefault="00AC655F" w:rsidP="00AC655F">
      <w:pPr>
        <w:pStyle w:val="FootnoteText"/>
        <w:spacing w:line="480" w:lineRule="auto"/>
        <w:rPr>
          <w:sz w:val="24"/>
          <w:szCs w:val="24"/>
        </w:rPr>
      </w:pPr>
      <w:r>
        <w:rPr>
          <w:rFonts w:cs="Calibri"/>
          <w:color w:val="231F20"/>
          <w:sz w:val="24"/>
          <w:szCs w:val="24"/>
          <w:vertAlign w:val="superscript"/>
        </w:rPr>
        <w:t>5</w:t>
      </w:r>
      <w:r w:rsidRPr="00D7732C">
        <w:rPr>
          <w:rStyle w:val="FootnoteReference"/>
          <w:rFonts w:cs="Calibri"/>
          <w:sz w:val="24"/>
          <w:szCs w:val="24"/>
        </w:rPr>
        <w:footnoteRef/>
      </w:r>
      <w:r w:rsidRPr="00D7732C">
        <w:rPr>
          <w:sz w:val="24"/>
          <w:szCs w:val="24"/>
        </w:rPr>
        <w:t xml:space="preserve">The </w:t>
      </w:r>
      <w:r w:rsidRPr="00D7732C">
        <w:rPr>
          <w:sz w:val="24"/>
          <w:szCs w:val="24"/>
          <w:lang w:val="en"/>
        </w:rPr>
        <w:t xml:space="preserve">Duke of Athens who appeared in </w:t>
      </w:r>
      <w:r w:rsidRPr="00D7732C">
        <w:rPr>
          <w:sz w:val="24"/>
          <w:szCs w:val="24"/>
        </w:rPr>
        <w:t xml:space="preserve">the </w:t>
      </w:r>
      <w:r w:rsidRPr="00D7732C">
        <w:rPr>
          <w:i/>
          <w:sz w:val="24"/>
          <w:szCs w:val="24"/>
        </w:rPr>
        <w:t xml:space="preserve">Decameron </w:t>
      </w:r>
      <w:r w:rsidRPr="00D7732C">
        <w:rPr>
          <w:sz w:val="24"/>
          <w:szCs w:val="24"/>
          <w:lang w:val="en"/>
        </w:rPr>
        <w:t xml:space="preserve">as one of the lovers of the Sultan of Babylon's daughter in the seventh tale of Day Two </w:t>
      </w:r>
      <w:r w:rsidRPr="00D7732C">
        <w:rPr>
          <w:sz w:val="24"/>
          <w:szCs w:val="24"/>
        </w:rPr>
        <w:t xml:space="preserve">may have been intended as an allusion to </w:t>
      </w:r>
      <w:r>
        <w:rPr>
          <w:sz w:val="24"/>
          <w:szCs w:val="24"/>
        </w:rPr>
        <w:t xml:space="preserve">this </w:t>
      </w:r>
      <w:r w:rsidRPr="00D7732C">
        <w:rPr>
          <w:sz w:val="24"/>
          <w:szCs w:val="24"/>
        </w:rPr>
        <w:t>Walter IV</w:t>
      </w:r>
      <w:r w:rsidRPr="00D7732C">
        <w:rPr>
          <w:sz w:val="24"/>
          <w:szCs w:val="24"/>
          <w:lang w:val="en"/>
        </w:rPr>
        <w:t xml:space="preserve">. </w:t>
      </w:r>
    </w:p>
    <w:p w:rsidR="00AC655F" w:rsidRPr="00D7732C" w:rsidRDefault="00AC655F" w:rsidP="00AC655F">
      <w:pPr>
        <w:pStyle w:val="FootnoteText"/>
        <w:spacing w:line="480" w:lineRule="auto"/>
        <w:rPr>
          <w:sz w:val="24"/>
          <w:szCs w:val="24"/>
        </w:rPr>
      </w:pPr>
      <w:r>
        <w:rPr>
          <w:sz w:val="24"/>
          <w:szCs w:val="24"/>
          <w:vertAlign w:val="superscript"/>
        </w:rPr>
        <w:t xml:space="preserve">52 </w:t>
      </w:r>
      <w:r w:rsidRPr="00D7732C">
        <w:rPr>
          <w:sz w:val="24"/>
          <w:szCs w:val="24"/>
        </w:rPr>
        <w:t xml:space="preserve">Odile Blanc, ‘From Battlefield to Court: the Invention of Fashion in the fourteenth century’, in </w:t>
      </w:r>
      <w:proofErr w:type="spellStart"/>
      <w:r w:rsidRPr="00D7732C">
        <w:rPr>
          <w:sz w:val="24"/>
          <w:szCs w:val="24"/>
        </w:rPr>
        <w:t>Koslin</w:t>
      </w:r>
      <w:proofErr w:type="spellEnd"/>
      <w:r w:rsidRPr="00D7732C">
        <w:rPr>
          <w:sz w:val="24"/>
          <w:szCs w:val="24"/>
        </w:rPr>
        <w:t xml:space="preserve"> and Snyder, </w:t>
      </w:r>
      <w:r w:rsidRPr="00D7732C">
        <w:rPr>
          <w:i/>
          <w:sz w:val="24"/>
          <w:szCs w:val="24"/>
        </w:rPr>
        <w:t>Encountering Medieval Textiles</w:t>
      </w:r>
      <w:r w:rsidRPr="00D7732C">
        <w:rPr>
          <w:sz w:val="24"/>
          <w:szCs w:val="24"/>
        </w:rPr>
        <w:t>, pp. 157-172, at p.159.</w:t>
      </w:r>
    </w:p>
    <w:p w:rsidR="00AC655F" w:rsidRPr="00D7732C" w:rsidRDefault="00AC655F" w:rsidP="00AC655F">
      <w:pPr>
        <w:autoSpaceDE w:val="0"/>
        <w:autoSpaceDN w:val="0"/>
        <w:adjustRightInd w:val="0"/>
        <w:spacing w:after="0" w:line="480" w:lineRule="auto"/>
        <w:rPr>
          <w:sz w:val="24"/>
          <w:szCs w:val="24"/>
        </w:rPr>
      </w:pPr>
      <w:r>
        <w:rPr>
          <w:rFonts w:cs="Calibri"/>
          <w:sz w:val="24"/>
          <w:szCs w:val="24"/>
          <w:vertAlign w:val="superscript"/>
          <w:lang w:eastAsia="x-none"/>
        </w:rPr>
        <w:t xml:space="preserve">53 </w:t>
      </w:r>
      <w:r w:rsidRPr="00D7732C">
        <w:rPr>
          <w:rFonts w:cs="Calibri"/>
          <w:sz w:val="24"/>
          <w:szCs w:val="24"/>
        </w:rPr>
        <w:t xml:space="preserve">Giovanni Villani, </w:t>
      </w:r>
      <w:r w:rsidRPr="00D7732C">
        <w:rPr>
          <w:rFonts w:cs="Calibri"/>
          <w:i/>
          <w:sz w:val="24"/>
          <w:szCs w:val="24"/>
        </w:rPr>
        <w:t xml:space="preserve">Nuova </w:t>
      </w:r>
      <w:proofErr w:type="spellStart"/>
      <w:r w:rsidRPr="00D7732C">
        <w:rPr>
          <w:rFonts w:cs="Calibri"/>
          <w:i/>
          <w:sz w:val="24"/>
          <w:szCs w:val="24"/>
        </w:rPr>
        <w:t>Cronica</w:t>
      </w:r>
      <w:proofErr w:type="spellEnd"/>
      <w:r w:rsidRPr="00D7732C">
        <w:rPr>
          <w:rFonts w:cs="Calibri"/>
          <w:sz w:val="24"/>
          <w:szCs w:val="24"/>
        </w:rPr>
        <w:t>, book xii 94.</w:t>
      </w:r>
      <w:r w:rsidRPr="00D7732C">
        <w:rPr>
          <w:rStyle w:val="googqs-tidbitgoogqs-tidbit-0googqs-tidbit-hilite"/>
          <w:rFonts w:cs="Calibri"/>
          <w:sz w:val="24"/>
          <w:szCs w:val="24"/>
        </w:rPr>
        <w:t xml:space="preserve"> </w:t>
      </w:r>
    </w:p>
    <w:p w:rsidR="00AC655F" w:rsidRPr="00D7732C" w:rsidRDefault="00AC655F" w:rsidP="00AC655F">
      <w:pPr>
        <w:pStyle w:val="FootnoteText"/>
        <w:spacing w:line="480" w:lineRule="auto"/>
        <w:rPr>
          <w:sz w:val="24"/>
          <w:szCs w:val="24"/>
        </w:rPr>
      </w:pPr>
      <w:r>
        <w:rPr>
          <w:rFonts w:cs="Calibri"/>
          <w:sz w:val="24"/>
          <w:szCs w:val="24"/>
          <w:vertAlign w:val="superscript"/>
        </w:rPr>
        <w:t xml:space="preserve">54 </w:t>
      </w:r>
      <w:r w:rsidRPr="00D7732C">
        <w:rPr>
          <w:rFonts w:cs="Calibri"/>
          <w:sz w:val="24"/>
          <w:szCs w:val="24"/>
          <w:lang w:eastAsia="x-none"/>
        </w:rPr>
        <w:t xml:space="preserve">John </w:t>
      </w:r>
      <w:proofErr w:type="spellStart"/>
      <w:r w:rsidRPr="00D7732C">
        <w:rPr>
          <w:rFonts w:cs="Calibri"/>
          <w:sz w:val="24"/>
          <w:szCs w:val="24"/>
          <w:lang w:eastAsia="x-none"/>
        </w:rPr>
        <w:t>Najemy</w:t>
      </w:r>
      <w:proofErr w:type="spellEnd"/>
      <w:r>
        <w:rPr>
          <w:rFonts w:cs="Calibri"/>
          <w:sz w:val="24"/>
          <w:szCs w:val="24"/>
          <w:lang w:eastAsia="x-none"/>
        </w:rPr>
        <w:t>,</w:t>
      </w:r>
      <w:r w:rsidRPr="00D7732C">
        <w:rPr>
          <w:rFonts w:cs="Calibri"/>
          <w:sz w:val="24"/>
          <w:szCs w:val="24"/>
          <w:lang w:eastAsia="x-none"/>
        </w:rPr>
        <w:t xml:space="preserve"> </w:t>
      </w:r>
      <w:r w:rsidRPr="00D7732C">
        <w:rPr>
          <w:rStyle w:val="googqs-tidbit-0"/>
          <w:rFonts w:cs="Calibri"/>
          <w:i/>
          <w:iCs/>
          <w:sz w:val="24"/>
          <w:szCs w:val="24"/>
        </w:rPr>
        <w:t>A History of Florence, 1200-1575</w:t>
      </w:r>
      <w:r>
        <w:rPr>
          <w:rStyle w:val="googqs-tidbit-0"/>
          <w:rFonts w:cs="Calibri"/>
          <w:sz w:val="24"/>
          <w:szCs w:val="24"/>
        </w:rPr>
        <w:t xml:space="preserve"> (Oxford,</w:t>
      </w:r>
      <w:r w:rsidRPr="00D7732C">
        <w:rPr>
          <w:rStyle w:val="googqs-tidbit-0"/>
          <w:rFonts w:cs="Calibri"/>
          <w:sz w:val="24"/>
          <w:szCs w:val="24"/>
        </w:rPr>
        <w:t xml:space="preserve"> Blackwell</w:t>
      </w:r>
      <w:r>
        <w:rPr>
          <w:rStyle w:val="googqs-tidbit-0"/>
          <w:rFonts w:cs="Calibri"/>
          <w:sz w:val="24"/>
          <w:szCs w:val="24"/>
        </w:rPr>
        <w:t xml:space="preserve">, </w:t>
      </w:r>
      <w:r w:rsidRPr="00D7732C">
        <w:rPr>
          <w:rStyle w:val="googqs-tidbit-0"/>
          <w:rFonts w:cs="Calibri"/>
          <w:sz w:val="24"/>
          <w:szCs w:val="24"/>
        </w:rPr>
        <w:t>2006</w:t>
      </w:r>
      <w:r w:rsidRPr="00D7732C">
        <w:rPr>
          <w:rStyle w:val="googqs-tidbit-0"/>
          <w:rFonts w:cs="Calibri"/>
          <w:sz w:val="24"/>
          <w:szCs w:val="24"/>
          <w:lang w:eastAsia="x-none"/>
        </w:rPr>
        <w:t>),</w:t>
      </w:r>
      <w:r>
        <w:rPr>
          <w:rStyle w:val="googqs-tidbit-0"/>
          <w:rFonts w:cs="Calibri"/>
          <w:sz w:val="24"/>
          <w:szCs w:val="24"/>
          <w:lang w:eastAsia="x-none"/>
        </w:rPr>
        <w:t xml:space="preserve"> p.</w:t>
      </w:r>
      <w:r w:rsidRPr="00D7732C">
        <w:rPr>
          <w:rFonts w:cs="Calibri"/>
          <w:sz w:val="24"/>
          <w:szCs w:val="24"/>
        </w:rPr>
        <w:t xml:space="preserve"> 100</w:t>
      </w:r>
      <w:r w:rsidRPr="00D7732C">
        <w:rPr>
          <w:rFonts w:cs="Calibri"/>
          <w:sz w:val="24"/>
          <w:szCs w:val="24"/>
          <w:lang w:eastAsia="x-none"/>
        </w:rPr>
        <w:t>.</w:t>
      </w:r>
    </w:p>
    <w:p w:rsidR="00AC655F" w:rsidRPr="00D7732C" w:rsidRDefault="00AC655F" w:rsidP="00AC655F">
      <w:pPr>
        <w:pStyle w:val="FootnoteText"/>
        <w:spacing w:line="480" w:lineRule="auto"/>
        <w:rPr>
          <w:sz w:val="24"/>
          <w:szCs w:val="24"/>
        </w:rPr>
      </w:pPr>
      <w:r>
        <w:rPr>
          <w:sz w:val="24"/>
          <w:szCs w:val="24"/>
          <w:vertAlign w:val="superscript"/>
        </w:rPr>
        <w:t xml:space="preserve">55 </w:t>
      </w:r>
      <w:proofErr w:type="spellStart"/>
      <w:r w:rsidRPr="00D7732C">
        <w:rPr>
          <w:rFonts w:cs="Calibri"/>
          <w:sz w:val="24"/>
          <w:szCs w:val="24"/>
        </w:rPr>
        <w:t>Najemy</w:t>
      </w:r>
      <w:proofErr w:type="spellEnd"/>
      <w:r>
        <w:rPr>
          <w:rFonts w:cs="Calibri"/>
          <w:sz w:val="24"/>
          <w:szCs w:val="24"/>
        </w:rPr>
        <w:t>,</w:t>
      </w:r>
      <w:r w:rsidRPr="00D7732C">
        <w:rPr>
          <w:rFonts w:cs="Calibri"/>
          <w:sz w:val="24"/>
          <w:szCs w:val="24"/>
        </w:rPr>
        <w:t xml:space="preserve"> </w:t>
      </w:r>
      <w:r w:rsidRPr="00D7732C">
        <w:rPr>
          <w:rStyle w:val="googqs-tidbit-0"/>
          <w:rFonts w:cs="Calibri"/>
          <w:i/>
          <w:iCs/>
          <w:sz w:val="24"/>
          <w:szCs w:val="24"/>
        </w:rPr>
        <w:t>History of Florence</w:t>
      </w:r>
      <w:r>
        <w:rPr>
          <w:rStyle w:val="googqs-tidbit-0"/>
          <w:rFonts w:cs="Calibri"/>
          <w:iCs/>
          <w:sz w:val="24"/>
          <w:szCs w:val="24"/>
        </w:rPr>
        <w:t>, p.</w:t>
      </w:r>
      <w:r w:rsidRPr="00D7732C">
        <w:rPr>
          <w:rFonts w:cs="Calibri"/>
          <w:sz w:val="24"/>
          <w:szCs w:val="24"/>
          <w:lang w:eastAsia="x-none"/>
        </w:rPr>
        <w:t xml:space="preserve"> </w:t>
      </w:r>
      <w:r w:rsidRPr="00D7732C">
        <w:rPr>
          <w:rFonts w:cs="Calibri"/>
          <w:sz w:val="24"/>
          <w:szCs w:val="24"/>
        </w:rPr>
        <w:t>102</w:t>
      </w:r>
      <w:r w:rsidRPr="00D7732C">
        <w:rPr>
          <w:rFonts w:cs="Calibri"/>
          <w:sz w:val="24"/>
          <w:szCs w:val="24"/>
          <w:lang w:eastAsia="x-none"/>
        </w:rPr>
        <w:t>.</w:t>
      </w:r>
    </w:p>
    <w:p w:rsidR="00AC655F" w:rsidRPr="00D7732C" w:rsidRDefault="00AC655F" w:rsidP="00AC655F">
      <w:pPr>
        <w:pStyle w:val="FootnoteText"/>
        <w:spacing w:line="480" w:lineRule="auto"/>
        <w:rPr>
          <w:sz w:val="24"/>
          <w:szCs w:val="24"/>
        </w:rPr>
      </w:pPr>
      <w:r>
        <w:rPr>
          <w:sz w:val="24"/>
          <w:szCs w:val="24"/>
          <w:vertAlign w:val="superscript"/>
        </w:rPr>
        <w:t xml:space="preserve">56 </w:t>
      </w:r>
      <w:r w:rsidRPr="00D7732C">
        <w:rPr>
          <w:rFonts w:cs="Calibri"/>
          <w:sz w:val="24"/>
          <w:szCs w:val="24"/>
        </w:rPr>
        <w:t>Villan</w:t>
      </w:r>
      <w:r w:rsidRPr="00D7732C">
        <w:rPr>
          <w:rFonts w:cs="Calibri"/>
          <w:sz w:val="24"/>
          <w:szCs w:val="24"/>
          <w:lang w:eastAsia="x-none"/>
        </w:rPr>
        <w:t>i</w:t>
      </w:r>
      <w:r w:rsidRPr="00D7732C">
        <w:rPr>
          <w:rFonts w:cs="Calibri"/>
          <w:sz w:val="24"/>
          <w:szCs w:val="24"/>
        </w:rPr>
        <w:t xml:space="preserve"> </w:t>
      </w:r>
      <w:proofErr w:type="spellStart"/>
      <w:r w:rsidRPr="00D7732C">
        <w:rPr>
          <w:rFonts w:cs="Calibri"/>
          <w:i/>
          <w:sz w:val="24"/>
          <w:szCs w:val="24"/>
        </w:rPr>
        <w:t>Cronica</w:t>
      </w:r>
      <w:proofErr w:type="spellEnd"/>
      <w:r w:rsidRPr="00D7732C">
        <w:rPr>
          <w:rFonts w:cs="Calibri"/>
          <w:sz w:val="24"/>
          <w:szCs w:val="24"/>
        </w:rPr>
        <w:t xml:space="preserve">, XI, 94. </w:t>
      </w:r>
    </w:p>
    <w:p w:rsidR="00AC655F" w:rsidRPr="00D7732C" w:rsidRDefault="00AC655F" w:rsidP="00AC655F">
      <w:pPr>
        <w:pStyle w:val="FootnoteText"/>
        <w:spacing w:line="480" w:lineRule="auto"/>
        <w:rPr>
          <w:sz w:val="24"/>
          <w:szCs w:val="24"/>
        </w:rPr>
      </w:pPr>
      <w:r>
        <w:rPr>
          <w:rFonts w:cs="Calibri"/>
          <w:sz w:val="24"/>
          <w:szCs w:val="24"/>
          <w:vertAlign w:val="superscript"/>
        </w:rPr>
        <w:t xml:space="preserve">57 </w:t>
      </w:r>
      <w:r w:rsidRPr="00D7732C">
        <w:rPr>
          <w:rFonts w:ascii="Calibri" w:hAnsi="Calibri" w:cs="Calibri"/>
          <w:sz w:val="24"/>
          <w:szCs w:val="24"/>
        </w:rPr>
        <w:t xml:space="preserve">Carole Collier Frick, </w:t>
      </w:r>
      <w:r w:rsidRPr="00D7732C">
        <w:rPr>
          <w:rFonts w:ascii="Calibri" w:hAnsi="Calibri" w:cs="Calibri"/>
          <w:i/>
          <w:sz w:val="24"/>
          <w:szCs w:val="24"/>
        </w:rPr>
        <w:t>Dressing Renaissance Florence</w:t>
      </w:r>
      <w:r w:rsidRPr="00D7732C">
        <w:rPr>
          <w:rFonts w:ascii="Calibri" w:hAnsi="Calibri" w:cs="Calibri"/>
          <w:sz w:val="24"/>
          <w:szCs w:val="24"/>
        </w:rPr>
        <w:t xml:space="preserve"> (</w:t>
      </w:r>
      <w:r>
        <w:rPr>
          <w:rFonts w:ascii="Calibri" w:hAnsi="Calibri" w:cs="Calibri"/>
          <w:sz w:val="24"/>
          <w:szCs w:val="24"/>
        </w:rPr>
        <w:t xml:space="preserve">Baltimore and London, </w:t>
      </w:r>
      <w:proofErr w:type="gramStart"/>
      <w:r w:rsidRPr="00D7732C">
        <w:rPr>
          <w:rFonts w:ascii="Calibri" w:hAnsi="Calibri" w:cs="Calibri"/>
          <w:sz w:val="24"/>
          <w:szCs w:val="24"/>
        </w:rPr>
        <w:t>The</w:t>
      </w:r>
      <w:proofErr w:type="gramEnd"/>
      <w:r w:rsidRPr="00D7732C">
        <w:rPr>
          <w:rFonts w:ascii="Calibri" w:hAnsi="Calibri" w:cs="Calibri"/>
          <w:sz w:val="24"/>
          <w:szCs w:val="24"/>
        </w:rPr>
        <w:t xml:space="preserve"> Johns Hopkins University Press, 2002), p. 83.</w:t>
      </w:r>
    </w:p>
    <w:p w:rsidR="00AC655F" w:rsidRPr="00D7732C" w:rsidRDefault="00AC655F" w:rsidP="00AC655F">
      <w:pPr>
        <w:pStyle w:val="FootnoteText"/>
        <w:spacing w:line="480" w:lineRule="auto"/>
        <w:rPr>
          <w:sz w:val="24"/>
          <w:szCs w:val="24"/>
        </w:rPr>
      </w:pPr>
      <w:proofErr w:type="gramStart"/>
      <w:r>
        <w:rPr>
          <w:sz w:val="24"/>
          <w:szCs w:val="24"/>
          <w:vertAlign w:val="superscript"/>
        </w:rPr>
        <w:t xml:space="preserve">58 </w:t>
      </w:r>
      <w:r w:rsidRPr="00D7732C">
        <w:rPr>
          <w:rFonts w:ascii="Calibri" w:hAnsi="Calibri" w:cs="Calibri"/>
          <w:sz w:val="24"/>
          <w:szCs w:val="24"/>
        </w:rPr>
        <w:t xml:space="preserve">Collier Frick, </w:t>
      </w:r>
      <w:r w:rsidRPr="00D7732C">
        <w:rPr>
          <w:rFonts w:ascii="Calibri" w:hAnsi="Calibri" w:cs="Calibri"/>
          <w:i/>
          <w:sz w:val="24"/>
          <w:szCs w:val="24"/>
        </w:rPr>
        <w:t>Dressing Renaissance Florence</w:t>
      </w:r>
      <w:r>
        <w:rPr>
          <w:rFonts w:ascii="Calibri" w:hAnsi="Calibri" w:cs="Calibri"/>
          <w:sz w:val="24"/>
          <w:szCs w:val="24"/>
        </w:rPr>
        <w:t>,</w:t>
      </w:r>
      <w:r w:rsidRPr="00D7732C">
        <w:rPr>
          <w:rFonts w:ascii="Calibri" w:hAnsi="Calibri" w:cs="Calibri"/>
          <w:sz w:val="24"/>
          <w:szCs w:val="24"/>
        </w:rPr>
        <w:t xml:space="preserve"> p.101.</w:t>
      </w:r>
      <w:proofErr w:type="gramEnd"/>
    </w:p>
    <w:p w:rsidR="00AC655F" w:rsidRPr="00D7732C" w:rsidRDefault="00AC655F" w:rsidP="00AC655F">
      <w:pPr>
        <w:pStyle w:val="FootnoteText"/>
        <w:spacing w:line="480" w:lineRule="auto"/>
        <w:rPr>
          <w:rFonts w:cs="Calibri"/>
          <w:b/>
          <w:sz w:val="24"/>
          <w:szCs w:val="24"/>
        </w:rPr>
      </w:pPr>
      <w:proofErr w:type="gramStart"/>
      <w:r>
        <w:rPr>
          <w:rFonts w:cs="Calibri"/>
          <w:sz w:val="24"/>
          <w:szCs w:val="24"/>
          <w:vertAlign w:val="superscript"/>
        </w:rPr>
        <w:t xml:space="preserve">59 </w:t>
      </w:r>
      <w:r w:rsidRPr="00D7732C">
        <w:rPr>
          <w:rFonts w:cs="Calibri"/>
          <w:sz w:val="24"/>
          <w:szCs w:val="24"/>
        </w:rPr>
        <w:t>Scott</w:t>
      </w:r>
      <w:r>
        <w:rPr>
          <w:rFonts w:cs="Calibri"/>
          <w:sz w:val="24"/>
          <w:szCs w:val="24"/>
        </w:rPr>
        <w:t xml:space="preserve">, </w:t>
      </w:r>
      <w:r w:rsidRPr="00D7732C">
        <w:rPr>
          <w:rFonts w:cs="Calibri"/>
          <w:i/>
          <w:sz w:val="24"/>
          <w:szCs w:val="24"/>
        </w:rPr>
        <w:t>Medieval dress</w:t>
      </w:r>
      <w:r w:rsidRPr="00D7732C">
        <w:rPr>
          <w:rFonts w:cs="Calibri"/>
          <w:sz w:val="24"/>
          <w:szCs w:val="24"/>
        </w:rPr>
        <w:t>,</w:t>
      </w:r>
      <w:r>
        <w:rPr>
          <w:rFonts w:cs="Calibri"/>
          <w:sz w:val="24"/>
          <w:szCs w:val="24"/>
        </w:rPr>
        <w:t xml:space="preserve"> p.</w:t>
      </w:r>
      <w:r w:rsidRPr="00D7732C">
        <w:rPr>
          <w:rFonts w:cs="Calibri"/>
          <w:sz w:val="24"/>
          <w:szCs w:val="24"/>
        </w:rPr>
        <w:t xml:space="preserve"> 85.</w:t>
      </w:r>
      <w:proofErr w:type="gramEnd"/>
      <w:r w:rsidRPr="00D7732C">
        <w:rPr>
          <w:rFonts w:cs="Calibri"/>
          <w:sz w:val="24"/>
          <w:szCs w:val="24"/>
        </w:rPr>
        <w:t xml:space="preserve"> For further detail, see John H. Munro</w:t>
      </w:r>
      <w:r>
        <w:rPr>
          <w:rFonts w:cs="Calibri"/>
          <w:sz w:val="24"/>
          <w:szCs w:val="24"/>
        </w:rPr>
        <w:t>,</w:t>
      </w:r>
      <w:r w:rsidRPr="00D7732C">
        <w:rPr>
          <w:rFonts w:cs="Calibri"/>
          <w:sz w:val="24"/>
          <w:szCs w:val="24"/>
        </w:rPr>
        <w:t xml:space="preserve"> ‘The Medieval Scarlet and the Economics of Sartorial Splendour’, in N.B Harte and Kenneth G. Ponting</w:t>
      </w:r>
      <w:r>
        <w:rPr>
          <w:rFonts w:cs="Calibri"/>
          <w:sz w:val="24"/>
          <w:szCs w:val="24"/>
        </w:rPr>
        <w:t>,</w:t>
      </w:r>
      <w:r w:rsidRPr="00D7732C">
        <w:rPr>
          <w:rFonts w:cs="Calibri"/>
          <w:sz w:val="24"/>
          <w:szCs w:val="24"/>
        </w:rPr>
        <w:t xml:space="preserve"> ed</w:t>
      </w:r>
      <w:r>
        <w:rPr>
          <w:rFonts w:cs="Calibri"/>
          <w:sz w:val="24"/>
          <w:szCs w:val="24"/>
        </w:rPr>
        <w:t>s</w:t>
      </w:r>
      <w:r w:rsidRPr="00D7732C">
        <w:rPr>
          <w:rFonts w:cs="Calibri"/>
          <w:sz w:val="24"/>
          <w:szCs w:val="24"/>
        </w:rPr>
        <w:t>.</w:t>
      </w:r>
      <w:r>
        <w:rPr>
          <w:rFonts w:cs="Calibri"/>
          <w:sz w:val="24"/>
          <w:szCs w:val="24"/>
        </w:rPr>
        <w:t>,</w:t>
      </w:r>
      <w:r w:rsidRPr="00D7732C">
        <w:rPr>
          <w:rFonts w:cs="Calibri"/>
          <w:sz w:val="24"/>
          <w:szCs w:val="24"/>
        </w:rPr>
        <w:t xml:space="preserve"> </w:t>
      </w:r>
      <w:r>
        <w:rPr>
          <w:rFonts w:cs="Calibri"/>
          <w:i/>
          <w:sz w:val="24"/>
          <w:szCs w:val="24"/>
        </w:rPr>
        <w:t>Cloth and Clothing in Medieval Europe: Essays in M</w:t>
      </w:r>
      <w:r w:rsidRPr="00D7732C">
        <w:rPr>
          <w:rFonts w:cs="Calibri"/>
          <w:i/>
          <w:sz w:val="24"/>
          <w:szCs w:val="24"/>
        </w:rPr>
        <w:t xml:space="preserve">emory of Professor E. M. </w:t>
      </w:r>
      <w:proofErr w:type="spellStart"/>
      <w:r w:rsidRPr="00D7732C">
        <w:rPr>
          <w:rFonts w:cs="Calibri"/>
          <w:i/>
          <w:sz w:val="24"/>
          <w:szCs w:val="24"/>
        </w:rPr>
        <w:t>Carus</w:t>
      </w:r>
      <w:proofErr w:type="spellEnd"/>
      <w:r w:rsidRPr="00D7732C">
        <w:rPr>
          <w:rFonts w:cs="Calibri"/>
          <w:i/>
          <w:sz w:val="24"/>
          <w:szCs w:val="24"/>
        </w:rPr>
        <w:t xml:space="preserve">-Wilson </w:t>
      </w:r>
      <w:r w:rsidRPr="00D7732C">
        <w:rPr>
          <w:rFonts w:cs="Calibri"/>
          <w:sz w:val="24"/>
          <w:szCs w:val="24"/>
        </w:rPr>
        <w:t>(London</w:t>
      </w:r>
      <w:r>
        <w:rPr>
          <w:rFonts w:cs="Calibri"/>
          <w:sz w:val="24"/>
          <w:szCs w:val="24"/>
        </w:rPr>
        <w:t>,</w:t>
      </w:r>
      <w:r w:rsidRPr="00D7732C">
        <w:rPr>
          <w:rFonts w:cs="Calibri"/>
          <w:sz w:val="24"/>
          <w:szCs w:val="24"/>
        </w:rPr>
        <w:t xml:space="preserve"> Heinemann</w:t>
      </w:r>
      <w:r>
        <w:rPr>
          <w:rFonts w:cs="Calibri"/>
          <w:sz w:val="24"/>
          <w:szCs w:val="24"/>
        </w:rPr>
        <w:t xml:space="preserve">, </w:t>
      </w:r>
      <w:r w:rsidRPr="00D7732C">
        <w:rPr>
          <w:rFonts w:cs="Calibri"/>
          <w:sz w:val="24"/>
          <w:szCs w:val="24"/>
        </w:rPr>
        <w:t xml:space="preserve">1983), </w:t>
      </w:r>
      <w:r>
        <w:rPr>
          <w:rFonts w:cs="Calibri"/>
          <w:sz w:val="24"/>
          <w:szCs w:val="24"/>
        </w:rPr>
        <w:t xml:space="preserve">pp. </w:t>
      </w:r>
      <w:r w:rsidRPr="00D7732C">
        <w:rPr>
          <w:rFonts w:cs="Calibri"/>
          <w:sz w:val="24"/>
          <w:szCs w:val="24"/>
        </w:rPr>
        <w:t>13-70.</w:t>
      </w:r>
    </w:p>
    <w:p w:rsidR="00AC655F" w:rsidRPr="00D7732C" w:rsidRDefault="00AC655F" w:rsidP="00AC655F">
      <w:pPr>
        <w:pStyle w:val="FootnoteText"/>
        <w:spacing w:line="480" w:lineRule="auto"/>
        <w:rPr>
          <w:sz w:val="24"/>
          <w:szCs w:val="24"/>
        </w:rPr>
      </w:pPr>
      <w:proofErr w:type="gramStart"/>
      <w:r>
        <w:rPr>
          <w:sz w:val="24"/>
          <w:szCs w:val="24"/>
          <w:vertAlign w:val="superscript"/>
        </w:rPr>
        <w:t xml:space="preserve">60 </w:t>
      </w:r>
      <w:proofErr w:type="spellStart"/>
      <w:r w:rsidRPr="00D7732C">
        <w:rPr>
          <w:sz w:val="24"/>
          <w:szCs w:val="24"/>
        </w:rPr>
        <w:t>Koslin</w:t>
      </w:r>
      <w:proofErr w:type="spellEnd"/>
      <w:r w:rsidRPr="00D7732C">
        <w:rPr>
          <w:sz w:val="24"/>
          <w:szCs w:val="24"/>
        </w:rPr>
        <w:t>, ‘Value-Added Stuffs’, p.237.</w:t>
      </w:r>
      <w:proofErr w:type="gramEnd"/>
    </w:p>
    <w:p w:rsidR="00AC655F" w:rsidRPr="00D7732C" w:rsidRDefault="00AC655F" w:rsidP="00AC655F">
      <w:pPr>
        <w:pStyle w:val="FootnoteText"/>
        <w:spacing w:line="480" w:lineRule="auto"/>
        <w:rPr>
          <w:rFonts w:cs="Calibri"/>
          <w:sz w:val="24"/>
          <w:szCs w:val="24"/>
        </w:rPr>
      </w:pPr>
      <w:proofErr w:type="gramStart"/>
      <w:r>
        <w:rPr>
          <w:sz w:val="24"/>
          <w:szCs w:val="24"/>
          <w:vertAlign w:val="superscript"/>
        </w:rPr>
        <w:t xml:space="preserve">61 </w:t>
      </w:r>
      <w:proofErr w:type="spellStart"/>
      <w:r w:rsidRPr="00D7732C">
        <w:rPr>
          <w:sz w:val="24"/>
          <w:szCs w:val="24"/>
        </w:rPr>
        <w:t>Lauro</w:t>
      </w:r>
      <w:proofErr w:type="spellEnd"/>
      <w:r w:rsidRPr="00D7732C">
        <w:rPr>
          <w:sz w:val="24"/>
          <w:szCs w:val="24"/>
        </w:rPr>
        <w:t xml:space="preserve"> </w:t>
      </w:r>
      <w:proofErr w:type="spellStart"/>
      <w:r w:rsidRPr="00D7732C">
        <w:rPr>
          <w:sz w:val="24"/>
          <w:szCs w:val="24"/>
        </w:rPr>
        <w:t>Martines</w:t>
      </w:r>
      <w:proofErr w:type="spellEnd"/>
      <w:r>
        <w:rPr>
          <w:sz w:val="24"/>
          <w:szCs w:val="24"/>
        </w:rPr>
        <w:t>,</w:t>
      </w:r>
      <w:r w:rsidRPr="00D7732C">
        <w:rPr>
          <w:sz w:val="24"/>
          <w:szCs w:val="24"/>
        </w:rPr>
        <w:t xml:space="preserve"> </w:t>
      </w:r>
      <w:r>
        <w:rPr>
          <w:i/>
          <w:sz w:val="24"/>
          <w:szCs w:val="24"/>
        </w:rPr>
        <w:t>Lawyers and</w:t>
      </w:r>
      <w:r w:rsidRPr="00D7732C">
        <w:rPr>
          <w:i/>
          <w:sz w:val="24"/>
          <w:szCs w:val="24"/>
        </w:rPr>
        <w:t xml:space="preserve"> Statecraft</w:t>
      </w:r>
      <w:r w:rsidRPr="00D7732C">
        <w:rPr>
          <w:sz w:val="24"/>
          <w:szCs w:val="24"/>
        </w:rPr>
        <w:t xml:space="preserve"> (</w:t>
      </w:r>
      <w:r>
        <w:rPr>
          <w:sz w:val="24"/>
          <w:szCs w:val="24"/>
        </w:rPr>
        <w:t>(Princeton N.J.,</w:t>
      </w:r>
      <w:r w:rsidRPr="00D7732C">
        <w:rPr>
          <w:sz w:val="24"/>
          <w:szCs w:val="24"/>
        </w:rPr>
        <w:t xml:space="preserve"> Princeton University Press,</w:t>
      </w:r>
      <w:r>
        <w:rPr>
          <w:sz w:val="24"/>
          <w:szCs w:val="24"/>
        </w:rPr>
        <w:t xml:space="preserve"> </w:t>
      </w:r>
      <w:r w:rsidRPr="00D7732C">
        <w:rPr>
          <w:sz w:val="24"/>
          <w:szCs w:val="24"/>
        </w:rPr>
        <w:t>1968), pp.66-8 and Appendix.</w:t>
      </w:r>
      <w:proofErr w:type="gramEnd"/>
    </w:p>
    <w:p w:rsidR="00AC655F" w:rsidRPr="00D7732C" w:rsidRDefault="00AC655F" w:rsidP="00AC655F">
      <w:pPr>
        <w:pStyle w:val="FootnoteText"/>
        <w:spacing w:line="480" w:lineRule="auto"/>
        <w:rPr>
          <w:sz w:val="24"/>
          <w:szCs w:val="24"/>
        </w:rPr>
      </w:pPr>
      <w:r>
        <w:rPr>
          <w:sz w:val="24"/>
          <w:szCs w:val="24"/>
          <w:vertAlign w:val="superscript"/>
        </w:rPr>
        <w:lastRenderedPageBreak/>
        <w:t>62</w:t>
      </w:r>
      <w:r w:rsidRPr="00D7732C">
        <w:rPr>
          <w:sz w:val="24"/>
          <w:szCs w:val="24"/>
        </w:rPr>
        <w:t xml:space="preserve"> W.N Hargreaves-</w:t>
      </w:r>
      <w:proofErr w:type="spellStart"/>
      <w:r w:rsidRPr="00D7732C">
        <w:rPr>
          <w:sz w:val="24"/>
          <w:szCs w:val="24"/>
        </w:rPr>
        <w:t>Mawdsley</w:t>
      </w:r>
      <w:proofErr w:type="spellEnd"/>
      <w:r>
        <w:rPr>
          <w:sz w:val="24"/>
          <w:szCs w:val="24"/>
        </w:rPr>
        <w:t>,</w:t>
      </w:r>
      <w:r w:rsidRPr="00D7732C">
        <w:rPr>
          <w:sz w:val="24"/>
          <w:szCs w:val="24"/>
        </w:rPr>
        <w:t xml:space="preserve"> </w:t>
      </w:r>
      <w:r w:rsidRPr="00D7732C">
        <w:rPr>
          <w:i/>
          <w:sz w:val="24"/>
          <w:szCs w:val="24"/>
        </w:rPr>
        <w:t>A History of Legal Dress in Europe until the end of the Eighteenth Century</w:t>
      </w:r>
      <w:r w:rsidRPr="00D7732C">
        <w:rPr>
          <w:sz w:val="24"/>
          <w:szCs w:val="24"/>
        </w:rPr>
        <w:t xml:space="preserve"> (Oxford</w:t>
      </w:r>
      <w:r>
        <w:rPr>
          <w:sz w:val="24"/>
          <w:szCs w:val="24"/>
        </w:rPr>
        <w:t>,</w:t>
      </w:r>
      <w:r w:rsidRPr="00D7732C">
        <w:rPr>
          <w:sz w:val="24"/>
          <w:szCs w:val="24"/>
        </w:rPr>
        <w:t xml:space="preserve"> Clarendon Press</w:t>
      </w:r>
      <w:r>
        <w:rPr>
          <w:sz w:val="24"/>
          <w:szCs w:val="24"/>
        </w:rPr>
        <w:t xml:space="preserve">, </w:t>
      </w:r>
      <w:r w:rsidRPr="00D7732C">
        <w:rPr>
          <w:sz w:val="24"/>
          <w:szCs w:val="24"/>
        </w:rPr>
        <w:t>1963)</w:t>
      </w:r>
      <w:r w:rsidRPr="00D7732C">
        <w:rPr>
          <w:rFonts w:cs="Calibri"/>
          <w:sz w:val="24"/>
          <w:szCs w:val="24"/>
        </w:rPr>
        <w:t>, pp. 4-6.</w:t>
      </w:r>
    </w:p>
    <w:p w:rsidR="00AC655F" w:rsidRPr="00460A19" w:rsidRDefault="00AC655F" w:rsidP="00AC655F">
      <w:pPr>
        <w:pStyle w:val="FootnoteText"/>
        <w:spacing w:line="480" w:lineRule="auto"/>
        <w:rPr>
          <w:rFonts w:cs="Calibri"/>
          <w:sz w:val="24"/>
          <w:szCs w:val="24"/>
          <w:lang w:val="es-ES_tradnl"/>
        </w:rPr>
      </w:pPr>
      <w:r w:rsidRPr="00460A19">
        <w:rPr>
          <w:rFonts w:cs="Calibri"/>
          <w:sz w:val="24"/>
          <w:szCs w:val="24"/>
          <w:vertAlign w:val="superscript"/>
          <w:lang w:val="es-ES_tradnl"/>
        </w:rPr>
        <w:t>6</w:t>
      </w:r>
      <w:r w:rsidRPr="008E1A67">
        <w:rPr>
          <w:rStyle w:val="FootnoteReference"/>
          <w:rFonts w:cs="Calibri"/>
          <w:sz w:val="24"/>
          <w:szCs w:val="24"/>
          <w:lang w:val="es-ES_tradnl"/>
        </w:rPr>
        <w:t>3</w:t>
      </w:r>
      <w:r w:rsidRPr="00460A19">
        <w:rPr>
          <w:rFonts w:cs="Calibri"/>
          <w:sz w:val="24"/>
          <w:szCs w:val="24"/>
          <w:lang w:val="es-ES_tradnl"/>
        </w:rPr>
        <w:t xml:space="preserve"> </w:t>
      </w:r>
      <w:r w:rsidRPr="00D7732C">
        <w:rPr>
          <w:rFonts w:cs="Calibri"/>
          <w:sz w:val="24"/>
          <w:szCs w:val="24"/>
          <w:lang w:val="es-ES"/>
        </w:rPr>
        <w:t>“</w:t>
      </w:r>
      <w:proofErr w:type="gramStart"/>
      <w:r w:rsidRPr="00D7732C">
        <w:rPr>
          <w:rFonts w:cs="Calibri"/>
          <w:sz w:val="24"/>
          <w:szCs w:val="24"/>
          <w:lang w:val="es-ES"/>
        </w:rPr>
        <w:t>..</w:t>
      </w:r>
      <w:proofErr w:type="gramEnd"/>
      <w:r w:rsidRPr="00D7732C">
        <w:rPr>
          <w:rFonts w:cs="Calibri"/>
          <w:sz w:val="24"/>
          <w:szCs w:val="24"/>
          <w:lang w:val="es-ES"/>
        </w:rPr>
        <w:t xml:space="preserve"> </w:t>
      </w:r>
      <w:proofErr w:type="gramStart"/>
      <w:r w:rsidRPr="00D7732C">
        <w:rPr>
          <w:rFonts w:cs="Calibri"/>
          <w:sz w:val="24"/>
          <w:szCs w:val="24"/>
          <w:lang w:val="es-ES"/>
        </w:rPr>
        <w:t>e</w:t>
      </w:r>
      <w:proofErr w:type="gramEnd"/>
      <w:r w:rsidRPr="00D7732C">
        <w:rPr>
          <w:rFonts w:cs="Calibri"/>
          <w:sz w:val="24"/>
          <w:szCs w:val="24"/>
          <w:lang w:val="es-ES"/>
        </w:rPr>
        <w:t xml:space="preserve"> con </w:t>
      </w:r>
      <w:proofErr w:type="spellStart"/>
      <w:r w:rsidRPr="00D7732C">
        <w:rPr>
          <w:rFonts w:cs="Calibri"/>
          <w:sz w:val="24"/>
          <w:szCs w:val="24"/>
          <w:lang w:val="es-ES"/>
        </w:rPr>
        <w:t>gli</w:t>
      </w:r>
      <w:proofErr w:type="spellEnd"/>
      <w:r w:rsidRPr="00D7732C">
        <w:rPr>
          <w:rFonts w:cs="Calibri"/>
          <w:sz w:val="24"/>
          <w:szCs w:val="24"/>
          <w:lang w:val="es-ES"/>
        </w:rPr>
        <w:t xml:space="preserve"> </w:t>
      </w:r>
      <w:proofErr w:type="spellStart"/>
      <w:r w:rsidRPr="00D7732C">
        <w:rPr>
          <w:rFonts w:cs="Calibri"/>
          <w:sz w:val="24"/>
          <w:szCs w:val="24"/>
          <w:lang w:val="es-ES"/>
        </w:rPr>
        <w:t>scarlatti</w:t>
      </w:r>
      <w:proofErr w:type="spellEnd"/>
      <w:r w:rsidRPr="00D7732C">
        <w:rPr>
          <w:rFonts w:cs="Calibri"/>
          <w:sz w:val="24"/>
          <w:szCs w:val="24"/>
          <w:lang w:val="es-ES"/>
        </w:rPr>
        <w:t xml:space="preserve"> e </w:t>
      </w:r>
      <w:proofErr w:type="spellStart"/>
      <w:r w:rsidRPr="00D7732C">
        <w:rPr>
          <w:rFonts w:cs="Calibri"/>
          <w:sz w:val="24"/>
          <w:szCs w:val="24"/>
          <w:lang w:val="es-ES"/>
        </w:rPr>
        <w:t>co</w:t>
      </w:r>
      <w:proofErr w:type="spellEnd"/>
      <w:r w:rsidRPr="00D7732C">
        <w:rPr>
          <w:rFonts w:cs="Calibri"/>
          <w:sz w:val="24"/>
          <w:szCs w:val="24"/>
          <w:lang w:val="es-ES"/>
        </w:rPr>
        <w:t xml:space="preserve">' </w:t>
      </w:r>
      <w:proofErr w:type="spellStart"/>
      <w:r w:rsidRPr="00D7732C">
        <w:rPr>
          <w:rFonts w:cs="Calibri"/>
          <w:sz w:val="24"/>
          <w:szCs w:val="24"/>
          <w:lang w:val="es-ES"/>
        </w:rPr>
        <w:t>vai</w:t>
      </w:r>
      <w:proofErr w:type="spellEnd"/>
      <w:r w:rsidRPr="00D7732C">
        <w:rPr>
          <w:rFonts w:cs="Calibri"/>
          <w:sz w:val="24"/>
          <w:szCs w:val="24"/>
          <w:lang w:val="es-ES"/>
        </w:rPr>
        <w:t xml:space="preserve"> e con </w:t>
      </w:r>
      <w:proofErr w:type="spellStart"/>
      <w:r w:rsidRPr="00D7732C">
        <w:rPr>
          <w:rFonts w:cs="Calibri"/>
          <w:sz w:val="24"/>
          <w:szCs w:val="24"/>
          <w:lang w:val="es-ES"/>
        </w:rPr>
        <w:t>altre</w:t>
      </w:r>
      <w:proofErr w:type="spellEnd"/>
      <w:r w:rsidRPr="00D7732C">
        <w:rPr>
          <w:rFonts w:cs="Calibri"/>
          <w:sz w:val="24"/>
          <w:szCs w:val="24"/>
          <w:lang w:val="es-ES"/>
        </w:rPr>
        <w:t xml:space="preserve"> </w:t>
      </w:r>
      <w:proofErr w:type="spellStart"/>
      <w:r w:rsidRPr="00D7732C">
        <w:rPr>
          <w:rFonts w:cs="Calibri"/>
          <w:sz w:val="24"/>
          <w:szCs w:val="24"/>
          <w:lang w:val="es-ES"/>
        </w:rPr>
        <w:t>assai</w:t>
      </w:r>
      <w:proofErr w:type="spellEnd"/>
      <w:r w:rsidRPr="00D7732C">
        <w:rPr>
          <w:rFonts w:cs="Calibri"/>
          <w:sz w:val="24"/>
          <w:szCs w:val="24"/>
          <w:lang w:val="es-ES"/>
        </w:rPr>
        <w:t xml:space="preserve"> </w:t>
      </w:r>
      <w:proofErr w:type="spellStart"/>
      <w:r w:rsidRPr="00D7732C">
        <w:rPr>
          <w:rFonts w:cs="Calibri"/>
          <w:sz w:val="24"/>
          <w:szCs w:val="24"/>
          <w:lang w:val="es-ES"/>
        </w:rPr>
        <w:t>apparenze</w:t>
      </w:r>
      <w:proofErr w:type="spellEnd"/>
      <w:r w:rsidRPr="00D7732C">
        <w:rPr>
          <w:rFonts w:cs="Calibri"/>
          <w:sz w:val="24"/>
          <w:szCs w:val="24"/>
          <w:lang w:val="es-ES"/>
        </w:rPr>
        <w:t xml:space="preserve"> </w:t>
      </w:r>
      <w:proofErr w:type="spellStart"/>
      <w:r w:rsidRPr="00D7732C">
        <w:rPr>
          <w:rFonts w:cs="Calibri"/>
          <w:sz w:val="24"/>
          <w:szCs w:val="24"/>
          <w:lang w:val="es-ES"/>
        </w:rPr>
        <w:t>grandissime</w:t>
      </w:r>
      <w:proofErr w:type="spellEnd"/>
      <w:r w:rsidRPr="00D7732C">
        <w:rPr>
          <w:rFonts w:cs="Calibri"/>
          <w:sz w:val="24"/>
          <w:szCs w:val="24"/>
          <w:lang w:val="es-ES"/>
        </w:rPr>
        <w:t xml:space="preserve">”: </w:t>
      </w:r>
      <w:proofErr w:type="spellStart"/>
      <w:r w:rsidRPr="00D7732C">
        <w:rPr>
          <w:rFonts w:cs="Calibri"/>
          <w:sz w:val="24"/>
          <w:szCs w:val="24"/>
          <w:lang w:val="es-ES"/>
        </w:rPr>
        <w:t>Boccaccio</w:t>
      </w:r>
      <w:proofErr w:type="spellEnd"/>
      <w:r w:rsidRPr="00D7732C">
        <w:rPr>
          <w:rFonts w:cs="Calibri"/>
          <w:sz w:val="24"/>
          <w:szCs w:val="24"/>
          <w:lang w:val="es-ES"/>
        </w:rPr>
        <w:t xml:space="preserve">, </w:t>
      </w:r>
      <w:proofErr w:type="spellStart"/>
      <w:r w:rsidRPr="00D7732C">
        <w:rPr>
          <w:rFonts w:cs="Calibri"/>
          <w:i/>
          <w:sz w:val="24"/>
          <w:szCs w:val="24"/>
          <w:lang w:val="es-ES"/>
        </w:rPr>
        <w:t>Decameron</w:t>
      </w:r>
      <w:proofErr w:type="spellEnd"/>
      <w:r w:rsidRPr="00D7732C">
        <w:rPr>
          <w:rFonts w:cs="Calibri"/>
          <w:sz w:val="24"/>
          <w:szCs w:val="24"/>
          <w:lang w:val="es-ES"/>
        </w:rPr>
        <w:t xml:space="preserve"> Day 8, </w:t>
      </w:r>
      <w:proofErr w:type="spellStart"/>
      <w:r w:rsidRPr="00D7732C">
        <w:rPr>
          <w:rFonts w:cs="Calibri"/>
          <w:sz w:val="24"/>
          <w:szCs w:val="24"/>
          <w:lang w:val="es-ES"/>
        </w:rPr>
        <w:t>story</w:t>
      </w:r>
      <w:proofErr w:type="spellEnd"/>
      <w:r w:rsidRPr="00D7732C">
        <w:rPr>
          <w:rFonts w:cs="Calibri"/>
          <w:sz w:val="24"/>
          <w:szCs w:val="24"/>
          <w:lang w:val="es-ES"/>
        </w:rPr>
        <w:t xml:space="preserve"> 9.</w:t>
      </w:r>
    </w:p>
    <w:p w:rsidR="00AC655F" w:rsidRPr="00460A19" w:rsidRDefault="00AC655F" w:rsidP="00AC655F">
      <w:pPr>
        <w:pStyle w:val="FootnoteText"/>
        <w:spacing w:line="480" w:lineRule="auto"/>
        <w:rPr>
          <w:rFonts w:cs="Calibri"/>
          <w:sz w:val="24"/>
          <w:szCs w:val="24"/>
        </w:rPr>
      </w:pPr>
      <w:r>
        <w:rPr>
          <w:rFonts w:cs="Calibri"/>
          <w:sz w:val="24"/>
          <w:szCs w:val="24"/>
          <w:vertAlign w:val="superscript"/>
        </w:rPr>
        <w:t>64</w:t>
      </w:r>
      <w:r w:rsidRPr="00460A19">
        <w:rPr>
          <w:rFonts w:cs="Calibri"/>
          <w:sz w:val="24"/>
          <w:szCs w:val="24"/>
        </w:rPr>
        <w:t xml:space="preserve"> </w:t>
      </w:r>
      <w:proofErr w:type="spellStart"/>
      <w:r w:rsidRPr="00D7732C">
        <w:rPr>
          <w:sz w:val="24"/>
          <w:szCs w:val="24"/>
        </w:rPr>
        <w:t>L’Engle</w:t>
      </w:r>
      <w:proofErr w:type="spellEnd"/>
      <w:r w:rsidRPr="00D7732C">
        <w:rPr>
          <w:sz w:val="24"/>
          <w:szCs w:val="24"/>
        </w:rPr>
        <w:t>, ‘Ad</w:t>
      </w:r>
      <w:r w:rsidRPr="00D7732C">
        <w:rPr>
          <w:i/>
          <w:sz w:val="24"/>
          <w:szCs w:val="24"/>
        </w:rPr>
        <w:t>dress</w:t>
      </w:r>
      <w:r w:rsidRPr="00D7732C">
        <w:rPr>
          <w:sz w:val="24"/>
          <w:szCs w:val="24"/>
        </w:rPr>
        <w:t>ing the Law’, p.144</w:t>
      </w:r>
      <w:r>
        <w:rPr>
          <w:sz w:val="24"/>
          <w:szCs w:val="24"/>
        </w:rPr>
        <w:t>.</w:t>
      </w:r>
    </w:p>
    <w:p w:rsidR="00AC655F" w:rsidRPr="00D7732C" w:rsidRDefault="00AC655F" w:rsidP="00AC655F">
      <w:pPr>
        <w:pStyle w:val="FootnoteText"/>
        <w:spacing w:line="480" w:lineRule="auto"/>
        <w:rPr>
          <w:sz w:val="24"/>
          <w:szCs w:val="24"/>
        </w:rPr>
      </w:pPr>
      <w:r w:rsidRPr="00D7732C">
        <w:rPr>
          <w:sz w:val="24"/>
          <w:szCs w:val="24"/>
          <w:vertAlign w:val="superscript"/>
        </w:rPr>
        <w:t>6</w:t>
      </w:r>
      <w:r>
        <w:rPr>
          <w:sz w:val="24"/>
          <w:szCs w:val="24"/>
          <w:vertAlign w:val="superscript"/>
        </w:rPr>
        <w:t>5</w:t>
      </w:r>
      <w:r w:rsidRPr="00460A19">
        <w:rPr>
          <w:sz w:val="24"/>
          <w:szCs w:val="24"/>
        </w:rPr>
        <w:t xml:space="preserve"> </w:t>
      </w:r>
      <w:r w:rsidRPr="00D7732C">
        <w:rPr>
          <w:sz w:val="24"/>
          <w:szCs w:val="24"/>
        </w:rPr>
        <w:t xml:space="preserve">Boccaccio, </w:t>
      </w:r>
      <w:r w:rsidRPr="00D7732C">
        <w:rPr>
          <w:i/>
          <w:sz w:val="24"/>
          <w:szCs w:val="24"/>
        </w:rPr>
        <w:t>Decameron</w:t>
      </w:r>
      <w:r w:rsidRPr="00D7732C">
        <w:rPr>
          <w:sz w:val="24"/>
          <w:szCs w:val="24"/>
        </w:rPr>
        <w:t xml:space="preserve">, </w:t>
      </w:r>
      <w:r>
        <w:rPr>
          <w:sz w:val="24"/>
          <w:szCs w:val="24"/>
        </w:rPr>
        <w:t xml:space="preserve">p. </w:t>
      </w:r>
      <w:r w:rsidRPr="00D7732C">
        <w:rPr>
          <w:sz w:val="24"/>
          <w:szCs w:val="24"/>
        </w:rPr>
        <w:t xml:space="preserve">613. The Italian </w:t>
      </w:r>
      <w:r w:rsidRPr="00D7732C">
        <w:rPr>
          <w:sz w:val="24"/>
          <w:szCs w:val="24"/>
          <w:lang w:val="en"/>
        </w:rPr>
        <w:t xml:space="preserve">text of the </w:t>
      </w:r>
      <w:r w:rsidRPr="00D7732C">
        <w:rPr>
          <w:rStyle w:val="Emphasis"/>
          <w:sz w:val="24"/>
          <w:szCs w:val="24"/>
          <w:lang w:val="en"/>
        </w:rPr>
        <w:t>Decameron</w:t>
      </w:r>
      <w:r w:rsidRPr="00D7732C">
        <w:rPr>
          <w:sz w:val="24"/>
          <w:szCs w:val="24"/>
          <w:lang w:val="en"/>
        </w:rPr>
        <w:t xml:space="preserve"> in V. </w:t>
      </w:r>
      <w:proofErr w:type="spellStart"/>
      <w:r w:rsidRPr="00D7732C">
        <w:rPr>
          <w:sz w:val="24"/>
          <w:szCs w:val="24"/>
          <w:lang w:val="en"/>
        </w:rPr>
        <w:t>Branca's</w:t>
      </w:r>
      <w:proofErr w:type="spellEnd"/>
      <w:r w:rsidRPr="00D7732C">
        <w:rPr>
          <w:sz w:val="24"/>
          <w:szCs w:val="24"/>
          <w:lang w:val="en"/>
        </w:rPr>
        <w:t xml:space="preserve"> </w:t>
      </w:r>
      <w:proofErr w:type="spellStart"/>
      <w:r w:rsidRPr="00D7732C">
        <w:rPr>
          <w:sz w:val="24"/>
          <w:szCs w:val="24"/>
          <w:lang w:val="en"/>
        </w:rPr>
        <w:t>Einaudi</w:t>
      </w:r>
      <w:proofErr w:type="spellEnd"/>
      <w:r w:rsidRPr="00D7732C">
        <w:rPr>
          <w:sz w:val="24"/>
          <w:szCs w:val="24"/>
          <w:lang w:val="en"/>
        </w:rPr>
        <w:t xml:space="preserve"> edition (1992)</w:t>
      </w:r>
      <w:r w:rsidRPr="00D7732C">
        <w:rPr>
          <w:sz w:val="24"/>
          <w:szCs w:val="24"/>
        </w:rPr>
        <w:t>, interestingly refers to “</w:t>
      </w:r>
      <w:r w:rsidRPr="00D7732C">
        <w:rPr>
          <w:sz w:val="24"/>
          <w:szCs w:val="24"/>
          <w:lang w:val="en"/>
        </w:rPr>
        <w:t xml:space="preserve">al banco </w:t>
      </w:r>
      <w:proofErr w:type="spellStart"/>
      <w:proofErr w:type="gramStart"/>
      <w:r w:rsidRPr="00D7732C">
        <w:rPr>
          <w:sz w:val="24"/>
          <w:szCs w:val="24"/>
          <w:lang w:val="en"/>
        </w:rPr>
        <w:t>della</w:t>
      </w:r>
      <w:proofErr w:type="spellEnd"/>
      <w:proofErr w:type="gramEnd"/>
      <w:r w:rsidRPr="00D7732C">
        <w:rPr>
          <w:sz w:val="24"/>
          <w:szCs w:val="24"/>
          <w:lang w:val="en"/>
        </w:rPr>
        <w:t xml:space="preserve"> </w:t>
      </w:r>
      <w:proofErr w:type="spellStart"/>
      <w:r w:rsidRPr="00D7732C">
        <w:rPr>
          <w:sz w:val="24"/>
          <w:szCs w:val="24"/>
          <w:lang w:val="en"/>
        </w:rPr>
        <w:t>ragione</w:t>
      </w:r>
      <w:proofErr w:type="spellEnd"/>
      <w:r w:rsidRPr="00D7732C">
        <w:rPr>
          <w:sz w:val="24"/>
          <w:szCs w:val="24"/>
          <w:lang w:val="en"/>
        </w:rPr>
        <w:t xml:space="preserve">”; justice was administered in a building termed the palazzo </w:t>
      </w:r>
      <w:proofErr w:type="spellStart"/>
      <w:r w:rsidRPr="00D7732C">
        <w:rPr>
          <w:sz w:val="24"/>
          <w:szCs w:val="24"/>
          <w:lang w:val="en"/>
        </w:rPr>
        <w:t>della</w:t>
      </w:r>
      <w:proofErr w:type="spellEnd"/>
      <w:r w:rsidRPr="00D7732C">
        <w:rPr>
          <w:sz w:val="24"/>
          <w:szCs w:val="24"/>
          <w:lang w:val="en"/>
        </w:rPr>
        <w:t xml:space="preserve"> </w:t>
      </w:r>
      <w:proofErr w:type="spellStart"/>
      <w:r w:rsidRPr="00D7732C">
        <w:rPr>
          <w:sz w:val="24"/>
          <w:szCs w:val="24"/>
          <w:lang w:val="en"/>
        </w:rPr>
        <w:t>ragione</w:t>
      </w:r>
      <w:proofErr w:type="spellEnd"/>
      <w:r w:rsidRPr="00D7732C">
        <w:rPr>
          <w:sz w:val="24"/>
          <w:szCs w:val="24"/>
          <w:lang w:val="en"/>
        </w:rPr>
        <w:t xml:space="preserve"> in several towns and cities in northern and north-central Italy at this time, the Palazzo </w:t>
      </w:r>
      <w:proofErr w:type="spellStart"/>
      <w:r w:rsidRPr="00D7732C">
        <w:rPr>
          <w:sz w:val="24"/>
          <w:szCs w:val="24"/>
          <w:lang w:val="en"/>
        </w:rPr>
        <w:t>della</w:t>
      </w:r>
      <w:proofErr w:type="spellEnd"/>
      <w:r w:rsidRPr="00D7732C">
        <w:rPr>
          <w:sz w:val="24"/>
          <w:szCs w:val="24"/>
          <w:lang w:val="en"/>
        </w:rPr>
        <w:t xml:space="preserve"> </w:t>
      </w:r>
      <w:proofErr w:type="spellStart"/>
      <w:r w:rsidRPr="00D7732C">
        <w:rPr>
          <w:sz w:val="24"/>
          <w:szCs w:val="24"/>
          <w:lang w:val="en"/>
        </w:rPr>
        <w:t>Ragione</w:t>
      </w:r>
      <w:proofErr w:type="spellEnd"/>
      <w:r w:rsidRPr="00D7732C">
        <w:rPr>
          <w:sz w:val="24"/>
          <w:szCs w:val="24"/>
          <w:lang w:val="en"/>
        </w:rPr>
        <w:t xml:space="preserve"> in Padua being a well-known example.</w:t>
      </w:r>
    </w:p>
    <w:p w:rsidR="00AC655F" w:rsidRPr="00D7732C" w:rsidRDefault="00AC655F" w:rsidP="00AC655F">
      <w:pPr>
        <w:pStyle w:val="FootnoteText"/>
        <w:spacing w:line="480" w:lineRule="auto"/>
        <w:rPr>
          <w:sz w:val="24"/>
          <w:szCs w:val="24"/>
        </w:rPr>
      </w:pPr>
      <w:r>
        <w:rPr>
          <w:sz w:val="24"/>
          <w:szCs w:val="24"/>
          <w:vertAlign w:val="superscript"/>
        </w:rPr>
        <w:t>66</w:t>
      </w:r>
      <w:r w:rsidRPr="00D7732C">
        <w:rPr>
          <w:sz w:val="24"/>
          <w:szCs w:val="24"/>
        </w:rPr>
        <w:t xml:space="preserve"> Boccaccio, </w:t>
      </w:r>
      <w:r w:rsidRPr="00D7732C">
        <w:rPr>
          <w:i/>
          <w:sz w:val="24"/>
          <w:szCs w:val="24"/>
        </w:rPr>
        <w:t>Decameron</w:t>
      </w:r>
      <w:r w:rsidRPr="00D7732C">
        <w:rPr>
          <w:sz w:val="24"/>
          <w:szCs w:val="24"/>
        </w:rPr>
        <w:t xml:space="preserve">, </w:t>
      </w:r>
      <w:r>
        <w:rPr>
          <w:sz w:val="24"/>
          <w:szCs w:val="24"/>
        </w:rPr>
        <w:t xml:space="preserve">p. </w:t>
      </w:r>
      <w:r w:rsidRPr="00D7732C">
        <w:rPr>
          <w:sz w:val="24"/>
          <w:szCs w:val="24"/>
        </w:rPr>
        <w:t>612.</w:t>
      </w:r>
    </w:p>
    <w:p w:rsidR="00AC655F" w:rsidRPr="00D7732C" w:rsidRDefault="00AC655F" w:rsidP="00AC655F">
      <w:pPr>
        <w:pStyle w:val="FootnoteText"/>
        <w:spacing w:line="480" w:lineRule="auto"/>
        <w:rPr>
          <w:sz w:val="24"/>
          <w:szCs w:val="24"/>
        </w:rPr>
      </w:pPr>
      <w:r>
        <w:rPr>
          <w:sz w:val="24"/>
          <w:szCs w:val="24"/>
          <w:vertAlign w:val="superscript"/>
        </w:rPr>
        <w:t>67</w:t>
      </w:r>
      <w:r w:rsidRPr="00D7732C">
        <w:rPr>
          <w:sz w:val="24"/>
          <w:szCs w:val="24"/>
        </w:rPr>
        <w:t xml:space="preserve"> For a discussion of the </w:t>
      </w:r>
      <w:proofErr w:type="spellStart"/>
      <w:r w:rsidRPr="00D7732C">
        <w:rPr>
          <w:i/>
          <w:sz w:val="24"/>
          <w:szCs w:val="24"/>
        </w:rPr>
        <w:t>beffa</w:t>
      </w:r>
      <w:proofErr w:type="spellEnd"/>
      <w:r w:rsidRPr="00D7732C">
        <w:rPr>
          <w:i/>
          <w:sz w:val="24"/>
          <w:szCs w:val="24"/>
        </w:rPr>
        <w:t xml:space="preserve"> </w:t>
      </w:r>
      <w:r w:rsidRPr="00D7732C">
        <w:rPr>
          <w:sz w:val="24"/>
          <w:szCs w:val="24"/>
        </w:rPr>
        <w:t xml:space="preserve">and humour in the </w:t>
      </w:r>
      <w:r w:rsidRPr="00D7732C">
        <w:rPr>
          <w:i/>
          <w:sz w:val="24"/>
          <w:szCs w:val="24"/>
        </w:rPr>
        <w:t>Decameron</w:t>
      </w:r>
      <w:r w:rsidRPr="00D7732C">
        <w:rPr>
          <w:sz w:val="24"/>
          <w:szCs w:val="24"/>
        </w:rPr>
        <w:t xml:space="preserve">, see </w:t>
      </w:r>
      <w:proofErr w:type="spellStart"/>
      <w:r w:rsidRPr="00D7732C">
        <w:rPr>
          <w:sz w:val="24"/>
          <w:szCs w:val="24"/>
        </w:rPr>
        <w:t>Mazzotta</w:t>
      </w:r>
      <w:proofErr w:type="spellEnd"/>
      <w:r w:rsidRPr="00D7732C">
        <w:rPr>
          <w:sz w:val="24"/>
          <w:szCs w:val="24"/>
        </w:rPr>
        <w:t xml:space="preserve">, </w:t>
      </w:r>
      <w:r w:rsidRPr="008D4969">
        <w:rPr>
          <w:sz w:val="24"/>
          <w:szCs w:val="24"/>
        </w:rPr>
        <w:t>World at Play</w:t>
      </w:r>
      <w:r w:rsidRPr="00D7732C">
        <w:rPr>
          <w:sz w:val="24"/>
          <w:szCs w:val="24"/>
        </w:rPr>
        <w:t>, pp. 186-212.</w:t>
      </w:r>
    </w:p>
    <w:p w:rsidR="00AC655F" w:rsidRPr="00D7732C" w:rsidRDefault="00AC655F" w:rsidP="00AC655F">
      <w:pPr>
        <w:pStyle w:val="FootnoteText"/>
        <w:spacing w:line="480" w:lineRule="auto"/>
        <w:rPr>
          <w:sz w:val="24"/>
          <w:szCs w:val="24"/>
        </w:rPr>
      </w:pPr>
      <w:proofErr w:type="gramStart"/>
      <w:r>
        <w:rPr>
          <w:sz w:val="24"/>
          <w:szCs w:val="24"/>
          <w:vertAlign w:val="superscript"/>
        </w:rPr>
        <w:t>68</w:t>
      </w:r>
      <w:r w:rsidRPr="00D7732C">
        <w:rPr>
          <w:sz w:val="24"/>
          <w:szCs w:val="24"/>
        </w:rPr>
        <w:t xml:space="preserve"> Salvatore Di Mari</w:t>
      </w:r>
      <w:r>
        <w:rPr>
          <w:sz w:val="24"/>
          <w:szCs w:val="24"/>
        </w:rPr>
        <w:t>a, ‘</w:t>
      </w:r>
      <w:r w:rsidRPr="00D7732C">
        <w:rPr>
          <w:sz w:val="24"/>
          <w:szCs w:val="24"/>
        </w:rPr>
        <w:t>Fortune and the ‘</w:t>
      </w:r>
      <w:proofErr w:type="spellStart"/>
      <w:r w:rsidRPr="00D7732C">
        <w:rPr>
          <w:sz w:val="24"/>
          <w:szCs w:val="24"/>
        </w:rPr>
        <w:t>Beffa</w:t>
      </w:r>
      <w:proofErr w:type="spellEnd"/>
      <w:r w:rsidRPr="00D7732C">
        <w:rPr>
          <w:sz w:val="24"/>
          <w:szCs w:val="24"/>
        </w:rPr>
        <w:t xml:space="preserve">’ in Bandello’s </w:t>
      </w:r>
      <w:proofErr w:type="spellStart"/>
      <w:r w:rsidRPr="00D7732C">
        <w:rPr>
          <w:sz w:val="24"/>
          <w:szCs w:val="24"/>
        </w:rPr>
        <w:t>Novelle</w:t>
      </w:r>
      <w:proofErr w:type="spellEnd"/>
      <w:r>
        <w:rPr>
          <w:sz w:val="24"/>
          <w:szCs w:val="24"/>
        </w:rPr>
        <w:t>’</w:t>
      </w:r>
      <w:r w:rsidRPr="00D7732C">
        <w:rPr>
          <w:sz w:val="24"/>
          <w:szCs w:val="24"/>
        </w:rPr>
        <w:t xml:space="preserve">, </w:t>
      </w:r>
      <w:proofErr w:type="spellStart"/>
      <w:r w:rsidRPr="00D7732C">
        <w:rPr>
          <w:i/>
          <w:sz w:val="24"/>
          <w:szCs w:val="24"/>
        </w:rPr>
        <w:t>Italica</w:t>
      </w:r>
      <w:proofErr w:type="spellEnd"/>
      <w:r w:rsidRPr="00D7732C">
        <w:rPr>
          <w:i/>
          <w:sz w:val="24"/>
          <w:szCs w:val="24"/>
        </w:rPr>
        <w:t xml:space="preserve"> </w:t>
      </w:r>
      <w:r w:rsidRPr="00D7732C">
        <w:rPr>
          <w:sz w:val="24"/>
          <w:szCs w:val="24"/>
        </w:rPr>
        <w:t xml:space="preserve">Vol 59, No. 4 (1982), </w:t>
      </w:r>
      <w:r>
        <w:rPr>
          <w:sz w:val="24"/>
          <w:szCs w:val="24"/>
        </w:rPr>
        <w:t xml:space="preserve">pp. </w:t>
      </w:r>
      <w:r w:rsidRPr="00D7732C">
        <w:rPr>
          <w:sz w:val="24"/>
          <w:szCs w:val="24"/>
        </w:rPr>
        <w:t>306-315.</w:t>
      </w:r>
      <w:proofErr w:type="gramEnd"/>
    </w:p>
    <w:p w:rsidR="00AC655F" w:rsidRPr="00D7732C" w:rsidRDefault="00AC655F" w:rsidP="00AC655F">
      <w:pPr>
        <w:pStyle w:val="FootnoteText"/>
        <w:spacing w:line="480" w:lineRule="auto"/>
        <w:rPr>
          <w:sz w:val="24"/>
          <w:szCs w:val="24"/>
        </w:rPr>
      </w:pPr>
      <w:r>
        <w:rPr>
          <w:sz w:val="24"/>
          <w:szCs w:val="24"/>
          <w:vertAlign w:val="superscript"/>
        </w:rPr>
        <w:t>69</w:t>
      </w:r>
      <w:r w:rsidRPr="00D7732C">
        <w:rPr>
          <w:sz w:val="24"/>
          <w:szCs w:val="24"/>
        </w:rPr>
        <w:t xml:space="preserve"> </w:t>
      </w:r>
      <w:proofErr w:type="spellStart"/>
      <w:r w:rsidRPr="00D7732C">
        <w:rPr>
          <w:sz w:val="24"/>
          <w:szCs w:val="24"/>
        </w:rPr>
        <w:t>Mazzotta</w:t>
      </w:r>
      <w:proofErr w:type="spellEnd"/>
      <w:r w:rsidRPr="00D7732C">
        <w:rPr>
          <w:sz w:val="24"/>
          <w:szCs w:val="24"/>
        </w:rPr>
        <w:t xml:space="preserve">, </w:t>
      </w:r>
      <w:r w:rsidRPr="00CC5269">
        <w:rPr>
          <w:sz w:val="24"/>
          <w:szCs w:val="24"/>
        </w:rPr>
        <w:t>World at Play</w:t>
      </w:r>
      <w:r w:rsidRPr="00D7732C">
        <w:rPr>
          <w:sz w:val="24"/>
          <w:szCs w:val="24"/>
        </w:rPr>
        <w:t>, p. 186.</w:t>
      </w:r>
    </w:p>
    <w:p w:rsidR="00AC655F" w:rsidRPr="00D7732C" w:rsidRDefault="00AC655F" w:rsidP="00AC655F">
      <w:pPr>
        <w:pStyle w:val="FootnoteText"/>
        <w:spacing w:line="480" w:lineRule="auto"/>
        <w:rPr>
          <w:sz w:val="24"/>
          <w:szCs w:val="24"/>
        </w:rPr>
      </w:pPr>
      <w:r>
        <w:rPr>
          <w:sz w:val="24"/>
          <w:szCs w:val="24"/>
          <w:vertAlign w:val="superscript"/>
        </w:rPr>
        <w:t>70</w:t>
      </w:r>
      <w:r w:rsidRPr="00D7732C">
        <w:rPr>
          <w:sz w:val="24"/>
          <w:szCs w:val="24"/>
        </w:rPr>
        <w:t xml:space="preserve"> Harold Bloom and Blake Hobby, </w:t>
      </w:r>
      <w:proofErr w:type="gramStart"/>
      <w:r w:rsidRPr="00D7732C">
        <w:rPr>
          <w:i/>
          <w:sz w:val="24"/>
          <w:szCs w:val="24"/>
        </w:rPr>
        <w:t>The</w:t>
      </w:r>
      <w:proofErr w:type="gramEnd"/>
      <w:r w:rsidRPr="00D7732C">
        <w:rPr>
          <w:i/>
          <w:sz w:val="24"/>
          <w:szCs w:val="24"/>
        </w:rPr>
        <w:t xml:space="preserve"> Trickster</w:t>
      </w:r>
      <w:r w:rsidRPr="00D7732C">
        <w:rPr>
          <w:sz w:val="24"/>
          <w:szCs w:val="24"/>
        </w:rPr>
        <w:t xml:space="preserve"> (New York, </w:t>
      </w:r>
      <w:proofErr w:type="spellStart"/>
      <w:r w:rsidRPr="00D7732C">
        <w:rPr>
          <w:sz w:val="24"/>
          <w:szCs w:val="24"/>
        </w:rPr>
        <w:t>Infobase</w:t>
      </w:r>
      <w:proofErr w:type="spellEnd"/>
      <w:r w:rsidRPr="00D7732C">
        <w:rPr>
          <w:sz w:val="24"/>
          <w:szCs w:val="24"/>
        </w:rPr>
        <w:t xml:space="preserve"> Publishing, 2010), p. 38.</w:t>
      </w:r>
    </w:p>
    <w:p w:rsidR="00AC655F" w:rsidRPr="006C28B4" w:rsidRDefault="00AC655F" w:rsidP="00AC655F">
      <w:pPr>
        <w:pStyle w:val="FootnoteText"/>
        <w:spacing w:line="360" w:lineRule="auto"/>
        <w:rPr>
          <w:sz w:val="24"/>
          <w:szCs w:val="24"/>
        </w:rPr>
      </w:pPr>
      <w:r>
        <w:rPr>
          <w:sz w:val="24"/>
          <w:szCs w:val="24"/>
          <w:vertAlign w:val="superscript"/>
        </w:rPr>
        <w:t>71</w:t>
      </w:r>
      <w:r w:rsidRPr="00D7732C">
        <w:rPr>
          <w:sz w:val="24"/>
          <w:szCs w:val="24"/>
        </w:rPr>
        <w:t xml:space="preserve"> </w:t>
      </w:r>
      <w:proofErr w:type="spellStart"/>
      <w:r w:rsidRPr="00D7732C">
        <w:rPr>
          <w:sz w:val="24"/>
          <w:szCs w:val="24"/>
        </w:rPr>
        <w:t>Mazzotta</w:t>
      </w:r>
      <w:proofErr w:type="spellEnd"/>
      <w:r w:rsidRPr="00D7732C">
        <w:rPr>
          <w:sz w:val="24"/>
          <w:szCs w:val="24"/>
        </w:rPr>
        <w:t xml:space="preserve">, </w:t>
      </w:r>
      <w:r w:rsidRPr="006C28B4">
        <w:rPr>
          <w:sz w:val="24"/>
          <w:szCs w:val="24"/>
        </w:rPr>
        <w:t>World at Play, p. 186.</w:t>
      </w:r>
    </w:p>
    <w:p w:rsidR="00AC655F" w:rsidRPr="006C28B4" w:rsidRDefault="00AC655F" w:rsidP="00AC655F">
      <w:pPr>
        <w:spacing w:after="0" w:line="360" w:lineRule="auto"/>
        <w:rPr>
          <w:sz w:val="24"/>
          <w:szCs w:val="24"/>
        </w:rPr>
      </w:pPr>
      <w:r w:rsidRPr="006C28B4">
        <w:rPr>
          <w:sz w:val="24"/>
          <w:szCs w:val="24"/>
          <w:vertAlign w:val="superscript"/>
        </w:rPr>
        <w:t>72</w:t>
      </w:r>
      <w:r>
        <w:rPr>
          <w:sz w:val="24"/>
          <w:szCs w:val="24"/>
        </w:rPr>
        <w:t xml:space="preserve"> </w:t>
      </w:r>
      <w:r w:rsidRPr="006C28B4">
        <w:rPr>
          <w:sz w:val="24"/>
          <w:szCs w:val="24"/>
        </w:rPr>
        <w:t xml:space="preserve">Katharine Adams Brown, </w:t>
      </w:r>
      <w:r w:rsidRPr="006C28B4">
        <w:rPr>
          <w:i/>
          <w:sz w:val="24"/>
          <w:szCs w:val="24"/>
        </w:rPr>
        <w:t>Boccaccio's Fabliaux: Medieval Short Stories and the Function of Reversal</w:t>
      </w:r>
      <w:r w:rsidRPr="006C28B4">
        <w:rPr>
          <w:sz w:val="24"/>
          <w:szCs w:val="24"/>
        </w:rPr>
        <w:t xml:space="preserve"> (Gainesville, University Press of Florida, 2014). </w:t>
      </w:r>
    </w:p>
    <w:p w:rsidR="00AC655F" w:rsidRPr="00D7732C" w:rsidRDefault="00AC655F" w:rsidP="00AC655F">
      <w:pPr>
        <w:pStyle w:val="FootnoteText"/>
        <w:spacing w:line="360" w:lineRule="auto"/>
        <w:rPr>
          <w:sz w:val="24"/>
          <w:szCs w:val="24"/>
        </w:rPr>
      </w:pPr>
      <w:r w:rsidRPr="006C28B4">
        <w:rPr>
          <w:sz w:val="24"/>
          <w:szCs w:val="24"/>
          <w:vertAlign w:val="superscript"/>
        </w:rPr>
        <w:t>7</w:t>
      </w:r>
      <w:r w:rsidRPr="006C28B4">
        <w:rPr>
          <w:rStyle w:val="FootnoteReference"/>
          <w:sz w:val="24"/>
          <w:szCs w:val="24"/>
        </w:rPr>
        <w:t>3</w:t>
      </w:r>
      <w:r w:rsidRPr="006C28B4">
        <w:rPr>
          <w:sz w:val="24"/>
          <w:szCs w:val="24"/>
        </w:rPr>
        <w:t xml:space="preserve"> Joy </w:t>
      </w:r>
      <w:proofErr w:type="spellStart"/>
      <w:r w:rsidRPr="006C28B4">
        <w:rPr>
          <w:sz w:val="24"/>
          <w:szCs w:val="24"/>
        </w:rPr>
        <w:t>Hambeuchen</w:t>
      </w:r>
      <w:proofErr w:type="spellEnd"/>
      <w:r w:rsidRPr="006C28B4">
        <w:rPr>
          <w:sz w:val="24"/>
          <w:szCs w:val="24"/>
        </w:rPr>
        <w:t xml:space="preserve"> Potter, </w:t>
      </w:r>
      <w:r w:rsidRPr="006C28B4">
        <w:rPr>
          <w:i/>
          <w:sz w:val="24"/>
          <w:szCs w:val="24"/>
        </w:rPr>
        <w:t>Five Frames for the Decameron: Communication and</w:t>
      </w:r>
      <w:r w:rsidRPr="00D7732C">
        <w:rPr>
          <w:i/>
          <w:sz w:val="24"/>
          <w:szCs w:val="24"/>
        </w:rPr>
        <w:t xml:space="preserve"> Social Systems in the Cornice</w:t>
      </w:r>
      <w:r w:rsidRPr="00D7732C">
        <w:rPr>
          <w:sz w:val="24"/>
          <w:szCs w:val="24"/>
        </w:rPr>
        <w:t xml:space="preserve"> (Princeton, Princeton University Press, 1982), p.</w:t>
      </w:r>
      <w:r>
        <w:rPr>
          <w:sz w:val="24"/>
          <w:szCs w:val="24"/>
        </w:rPr>
        <w:t xml:space="preserve"> </w:t>
      </w:r>
      <w:r w:rsidRPr="00D7732C">
        <w:rPr>
          <w:sz w:val="24"/>
          <w:szCs w:val="24"/>
        </w:rPr>
        <w:t>4.</w:t>
      </w:r>
    </w:p>
    <w:p w:rsidR="00AC655F" w:rsidRPr="00D7732C" w:rsidRDefault="00AC655F" w:rsidP="00AC655F">
      <w:pPr>
        <w:pStyle w:val="FootnoteText"/>
        <w:spacing w:line="480" w:lineRule="auto"/>
        <w:rPr>
          <w:sz w:val="24"/>
          <w:szCs w:val="24"/>
        </w:rPr>
      </w:pPr>
      <w:r>
        <w:rPr>
          <w:sz w:val="24"/>
          <w:szCs w:val="24"/>
          <w:vertAlign w:val="superscript"/>
        </w:rPr>
        <w:t>7</w:t>
      </w:r>
      <w:r>
        <w:rPr>
          <w:rStyle w:val="FootnoteReference"/>
          <w:sz w:val="24"/>
          <w:szCs w:val="24"/>
        </w:rPr>
        <w:t>4</w:t>
      </w:r>
      <w:r w:rsidRPr="00D7732C">
        <w:rPr>
          <w:sz w:val="24"/>
          <w:szCs w:val="24"/>
        </w:rPr>
        <w:t xml:space="preserve"> Thomas M. Greene, </w:t>
      </w:r>
      <w:r>
        <w:rPr>
          <w:sz w:val="24"/>
          <w:szCs w:val="24"/>
        </w:rPr>
        <w:t>‘</w:t>
      </w:r>
      <w:r w:rsidRPr="00D7732C">
        <w:rPr>
          <w:sz w:val="24"/>
          <w:szCs w:val="24"/>
        </w:rPr>
        <w:t>Forms of accommodation in the Decameron</w:t>
      </w:r>
      <w:r>
        <w:rPr>
          <w:sz w:val="24"/>
          <w:szCs w:val="24"/>
        </w:rPr>
        <w:t>’</w:t>
      </w:r>
      <w:r w:rsidRPr="00D7732C">
        <w:rPr>
          <w:sz w:val="24"/>
          <w:szCs w:val="24"/>
        </w:rPr>
        <w:t xml:space="preserve">, </w:t>
      </w:r>
      <w:proofErr w:type="spellStart"/>
      <w:r w:rsidRPr="00D7732C">
        <w:rPr>
          <w:i/>
          <w:sz w:val="24"/>
          <w:szCs w:val="24"/>
        </w:rPr>
        <w:t>Italica</w:t>
      </w:r>
      <w:proofErr w:type="spellEnd"/>
      <w:r w:rsidRPr="00D7732C">
        <w:rPr>
          <w:sz w:val="24"/>
          <w:szCs w:val="24"/>
        </w:rPr>
        <w:t xml:space="preserve"> Vol 45 No. 3 (Sept. 1968), </w:t>
      </w:r>
      <w:r>
        <w:rPr>
          <w:sz w:val="24"/>
          <w:szCs w:val="24"/>
        </w:rPr>
        <w:t xml:space="preserve">pp. </w:t>
      </w:r>
      <w:r w:rsidRPr="00D7732C">
        <w:rPr>
          <w:sz w:val="24"/>
          <w:szCs w:val="24"/>
        </w:rPr>
        <w:t>297-313, at p.299.</w:t>
      </w:r>
    </w:p>
    <w:p w:rsidR="00AC655F" w:rsidRPr="00D7732C" w:rsidRDefault="00AC655F" w:rsidP="00AC655F">
      <w:pPr>
        <w:pStyle w:val="FootnoteText"/>
        <w:spacing w:line="480" w:lineRule="auto"/>
        <w:rPr>
          <w:sz w:val="24"/>
          <w:szCs w:val="24"/>
        </w:rPr>
      </w:pPr>
      <w:r>
        <w:rPr>
          <w:sz w:val="24"/>
          <w:szCs w:val="24"/>
          <w:vertAlign w:val="superscript"/>
        </w:rPr>
        <w:t>75</w:t>
      </w:r>
      <w:r w:rsidRPr="00D7732C">
        <w:rPr>
          <w:sz w:val="24"/>
          <w:szCs w:val="24"/>
        </w:rPr>
        <w:t xml:space="preserve"> </w:t>
      </w:r>
      <w:r w:rsidRPr="00D7732C">
        <w:rPr>
          <w:rFonts w:ascii="Calibri" w:hAnsi="Calibri"/>
          <w:sz w:val="24"/>
          <w:szCs w:val="24"/>
        </w:rPr>
        <w:t xml:space="preserve">Trevor Dean, </w:t>
      </w:r>
      <w:r w:rsidRPr="00D7732C">
        <w:rPr>
          <w:rFonts w:ascii="Calibri" w:hAnsi="Calibri"/>
          <w:i/>
          <w:sz w:val="24"/>
          <w:szCs w:val="24"/>
        </w:rPr>
        <w:t xml:space="preserve">Crime in Medieval Europe </w:t>
      </w:r>
      <w:r w:rsidRPr="00D7732C">
        <w:rPr>
          <w:rStyle w:val="st1"/>
          <w:rFonts w:ascii="Calibri" w:hAnsi="Calibri" w:cs="Arial"/>
          <w:sz w:val="24"/>
          <w:szCs w:val="24"/>
        </w:rPr>
        <w:t xml:space="preserve">(London, Longman, </w:t>
      </w:r>
      <w:r w:rsidRPr="00D7732C">
        <w:rPr>
          <w:rFonts w:ascii="Calibri" w:hAnsi="Calibri"/>
          <w:sz w:val="24"/>
          <w:szCs w:val="24"/>
        </w:rPr>
        <w:t>2001</w:t>
      </w:r>
      <w:r w:rsidRPr="00D7732C">
        <w:rPr>
          <w:rStyle w:val="st1"/>
          <w:rFonts w:ascii="Calibri" w:hAnsi="Calibri" w:cs="Arial"/>
          <w:sz w:val="24"/>
          <w:szCs w:val="24"/>
        </w:rPr>
        <w:t xml:space="preserve">), </w:t>
      </w:r>
      <w:r>
        <w:rPr>
          <w:rStyle w:val="st1"/>
          <w:rFonts w:ascii="Calibri" w:hAnsi="Calibri" w:cs="Arial"/>
          <w:sz w:val="24"/>
          <w:szCs w:val="24"/>
        </w:rPr>
        <w:t xml:space="preserve">pp. </w:t>
      </w:r>
      <w:r w:rsidRPr="00D7732C">
        <w:rPr>
          <w:rStyle w:val="st1"/>
          <w:rFonts w:ascii="Calibri" w:hAnsi="Calibri" w:cs="Arial"/>
          <w:sz w:val="24"/>
          <w:szCs w:val="24"/>
        </w:rPr>
        <w:t>47-49.</w:t>
      </w:r>
    </w:p>
    <w:p w:rsidR="00AC655F" w:rsidRPr="00D7732C" w:rsidRDefault="00AC655F" w:rsidP="00AC655F">
      <w:pPr>
        <w:pStyle w:val="FootnoteText"/>
        <w:spacing w:line="480" w:lineRule="auto"/>
        <w:rPr>
          <w:sz w:val="24"/>
          <w:szCs w:val="24"/>
        </w:rPr>
      </w:pPr>
      <w:r>
        <w:rPr>
          <w:sz w:val="24"/>
          <w:szCs w:val="24"/>
          <w:vertAlign w:val="superscript"/>
        </w:rPr>
        <w:lastRenderedPageBreak/>
        <w:t>76</w:t>
      </w:r>
      <w:r w:rsidRPr="00D7732C">
        <w:rPr>
          <w:sz w:val="24"/>
          <w:szCs w:val="24"/>
        </w:rPr>
        <w:t xml:space="preserve"> </w:t>
      </w:r>
      <w:r>
        <w:rPr>
          <w:rFonts w:ascii="Calibri" w:hAnsi="Calibri" w:cs="Arial"/>
          <w:bCs/>
          <w:kern w:val="36"/>
          <w:sz w:val="24"/>
          <w:szCs w:val="24"/>
          <w:lang w:eastAsia="en-GB"/>
        </w:rPr>
        <w:t>Harry Lawton, ‘Giovanni Boccaccio’</w:t>
      </w:r>
      <w:r w:rsidRPr="00D7732C">
        <w:rPr>
          <w:rFonts w:ascii="Calibri" w:hAnsi="Calibri" w:cs="Arial"/>
          <w:bCs/>
          <w:kern w:val="36"/>
          <w:sz w:val="24"/>
          <w:szCs w:val="24"/>
          <w:lang w:eastAsia="en-GB"/>
        </w:rPr>
        <w:t xml:space="preserve">, in </w:t>
      </w:r>
      <w:r w:rsidRPr="00D7732C">
        <w:rPr>
          <w:rFonts w:ascii="Calibri" w:hAnsi="Calibri" w:cs="Arial"/>
          <w:sz w:val="24"/>
          <w:szCs w:val="24"/>
          <w:lang w:eastAsia="en-GB"/>
        </w:rPr>
        <w:t>Frank N. Magill</w:t>
      </w:r>
      <w:r>
        <w:rPr>
          <w:rFonts w:ascii="Calibri" w:hAnsi="Calibri" w:cs="Arial"/>
          <w:sz w:val="24"/>
          <w:szCs w:val="24"/>
          <w:lang w:eastAsia="en-GB"/>
        </w:rPr>
        <w:t>,</w:t>
      </w:r>
      <w:r w:rsidRPr="00320C6D">
        <w:t xml:space="preserve"> </w:t>
      </w:r>
      <w:r w:rsidRPr="00320C6D">
        <w:rPr>
          <w:sz w:val="24"/>
          <w:szCs w:val="24"/>
        </w:rPr>
        <w:t>Christina J Moose</w:t>
      </w:r>
      <w:r>
        <w:rPr>
          <w:sz w:val="24"/>
          <w:szCs w:val="24"/>
        </w:rPr>
        <w:t>,</w:t>
      </w:r>
      <w:r w:rsidRPr="00320C6D">
        <w:rPr>
          <w:sz w:val="24"/>
          <w:szCs w:val="24"/>
        </w:rPr>
        <w:t xml:space="preserve"> Alison Aves</w:t>
      </w:r>
      <w:r>
        <w:rPr>
          <w:sz w:val="24"/>
          <w:szCs w:val="24"/>
        </w:rPr>
        <w:t>,</w:t>
      </w:r>
      <w:r w:rsidRPr="00320C6D">
        <w:rPr>
          <w:rFonts w:cs="Arial"/>
          <w:sz w:val="24"/>
          <w:szCs w:val="24"/>
          <w:lang w:eastAsia="en-GB"/>
        </w:rPr>
        <w:t xml:space="preserve"> ed</w:t>
      </w:r>
      <w:r>
        <w:rPr>
          <w:rFonts w:cs="Arial"/>
          <w:sz w:val="24"/>
          <w:szCs w:val="24"/>
          <w:lang w:eastAsia="en-GB"/>
        </w:rPr>
        <w:t>s</w:t>
      </w:r>
      <w:r w:rsidRPr="00320C6D">
        <w:rPr>
          <w:rFonts w:cs="Arial"/>
          <w:sz w:val="24"/>
          <w:szCs w:val="24"/>
          <w:lang w:eastAsia="en-GB"/>
        </w:rPr>
        <w:t xml:space="preserve">., </w:t>
      </w:r>
      <w:r w:rsidRPr="00D7732C">
        <w:rPr>
          <w:rFonts w:ascii="Calibri" w:hAnsi="Calibri" w:cs="Arial"/>
          <w:bCs/>
          <w:i/>
          <w:kern w:val="36"/>
          <w:sz w:val="24"/>
          <w:szCs w:val="24"/>
          <w:lang w:eastAsia="en-GB"/>
        </w:rPr>
        <w:t>The Middle Ages: Dictionary of World Biography</w:t>
      </w:r>
      <w:r w:rsidRPr="00D7732C">
        <w:rPr>
          <w:rFonts w:ascii="Calibri" w:hAnsi="Calibri" w:cs="Arial"/>
          <w:bCs/>
          <w:kern w:val="36"/>
          <w:sz w:val="24"/>
          <w:szCs w:val="24"/>
          <w:lang w:eastAsia="en-GB"/>
        </w:rPr>
        <w:t>, Volume 2 (</w:t>
      </w:r>
      <w:r w:rsidRPr="00320C6D">
        <w:rPr>
          <w:sz w:val="24"/>
          <w:szCs w:val="24"/>
        </w:rPr>
        <w:t>Abingdon, Oxon</w:t>
      </w:r>
      <w:r>
        <w:rPr>
          <w:sz w:val="24"/>
          <w:szCs w:val="24"/>
        </w:rPr>
        <w:t>. and</w:t>
      </w:r>
      <w:r w:rsidRPr="00320C6D">
        <w:rPr>
          <w:sz w:val="24"/>
          <w:szCs w:val="24"/>
        </w:rPr>
        <w:t xml:space="preserve"> New York</w:t>
      </w:r>
      <w:r>
        <w:rPr>
          <w:sz w:val="24"/>
          <w:szCs w:val="24"/>
        </w:rPr>
        <w:t>,</w:t>
      </w:r>
      <w:r w:rsidRPr="00320C6D">
        <w:rPr>
          <w:sz w:val="24"/>
          <w:szCs w:val="24"/>
        </w:rPr>
        <w:t xml:space="preserve"> Routledge</w:t>
      </w:r>
      <w:r w:rsidRPr="00D7732C">
        <w:rPr>
          <w:rFonts w:ascii="Calibri" w:hAnsi="Calibri" w:cs="Arial"/>
          <w:bCs/>
          <w:kern w:val="36"/>
          <w:sz w:val="24"/>
          <w:szCs w:val="24"/>
          <w:lang w:eastAsia="en-GB"/>
        </w:rPr>
        <w:t xml:space="preserve">, 1998), pp. 150-154, at </w:t>
      </w:r>
      <w:r w:rsidRPr="00D7732C">
        <w:rPr>
          <w:rFonts w:ascii="Calibri" w:hAnsi="Calibri" w:cs="Arial"/>
          <w:sz w:val="24"/>
          <w:szCs w:val="24"/>
          <w:lang w:eastAsia="en-GB"/>
        </w:rPr>
        <w:t xml:space="preserve">p.152. Boccaccio’s desire through art to recreate social order out of the plague is addressed in </w:t>
      </w:r>
      <w:proofErr w:type="spellStart"/>
      <w:r w:rsidRPr="00D7732C">
        <w:rPr>
          <w:rFonts w:ascii="Calibri" w:hAnsi="Calibri" w:cs="Arial"/>
          <w:sz w:val="24"/>
          <w:szCs w:val="24"/>
          <w:lang w:eastAsia="en-GB"/>
        </w:rPr>
        <w:t>Marga</w:t>
      </w:r>
      <w:proofErr w:type="spellEnd"/>
      <w:r w:rsidRPr="00D7732C">
        <w:rPr>
          <w:rFonts w:ascii="Calibri" w:hAnsi="Calibri" w:cs="Arial"/>
          <w:sz w:val="24"/>
          <w:szCs w:val="24"/>
          <w:lang w:eastAsia="en-GB"/>
        </w:rPr>
        <w:t xml:space="preserve"> </w:t>
      </w:r>
      <w:proofErr w:type="spellStart"/>
      <w:r w:rsidRPr="00D7732C">
        <w:rPr>
          <w:rFonts w:ascii="Calibri" w:hAnsi="Calibri" w:cs="Arial"/>
          <w:sz w:val="24"/>
          <w:szCs w:val="24"/>
          <w:lang w:eastAsia="en-GB"/>
        </w:rPr>
        <w:t>Cottino</w:t>
      </w:r>
      <w:proofErr w:type="spellEnd"/>
      <w:r w:rsidRPr="00D7732C">
        <w:rPr>
          <w:rFonts w:ascii="Calibri" w:hAnsi="Calibri" w:cs="Arial"/>
          <w:sz w:val="24"/>
          <w:szCs w:val="24"/>
          <w:lang w:eastAsia="en-GB"/>
        </w:rPr>
        <w:t xml:space="preserve">-James, </w:t>
      </w:r>
      <w:r w:rsidRPr="00D7732C">
        <w:rPr>
          <w:rFonts w:ascii="Calibri" w:hAnsi="Calibri" w:cs="Arial"/>
          <w:i/>
          <w:sz w:val="24"/>
          <w:szCs w:val="24"/>
          <w:lang w:eastAsia="en-GB"/>
        </w:rPr>
        <w:t>Order from Chaos</w:t>
      </w:r>
      <w:r w:rsidRPr="00D7732C">
        <w:rPr>
          <w:rFonts w:ascii="Calibri" w:hAnsi="Calibri" w:cs="Arial"/>
          <w:sz w:val="24"/>
          <w:szCs w:val="24"/>
          <w:lang w:eastAsia="en-GB"/>
        </w:rPr>
        <w:t xml:space="preserve"> (Washington DC, University Press of America, 1982).</w:t>
      </w:r>
    </w:p>
    <w:p w:rsidR="00AC655F" w:rsidRPr="00460A19" w:rsidRDefault="00AC655F" w:rsidP="00AC655F">
      <w:pPr>
        <w:pStyle w:val="FootnoteText"/>
        <w:spacing w:line="480" w:lineRule="auto"/>
        <w:rPr>
          <w:sz w:val="24"/>
          <w:szCs w:val="24"/>
          <w:lang w:val="es-ES_tradnl"/>
        </w:rPr>
      </w:pPr>
      <w:r w:rsidRPr="00460A19">
        <w:rPr>
          <w:sz w:val="24"/>
          <w:szCs w:val="24"/>
          <w:vertAlign w:val="superscript"/>
          <w:lang w:val="es-ES_tradnl"/>
        </w:rPr>
        <w:t>7</w:t>
      </w:r>
      <w:r>
        <w:rPr>
          <w:sz w:val="24"/>
          <w:szCs w:val="24"/>
          <w:vertAlign w:val="superscript"/>
          <w:lang w:val="es-ES_tradnl"/>
        </w:rPr>
        <w:t>7</w:t>
      </w:r>
      <w:r w:rsidRPr="00460A19">
        <w:rPr>
          <w:sz w:val="24"/>
          <w:szCs w:val="24"/>
          <w:lang w:val="es-ES_tradnl"/>
        </w:rPr>
        <w:t xml:space="preserve"> </w:t>
      </w:r>
      <w:proofErr w:type="spellStart"/>
      <w:r w:rsidRPr="00446CB0">
        <w:rPr>
          <w:sz w:val="24"/>
          <w:szCs w:val="24"/>
          <w:lang w:val="es-ES_tradnl"/>
        </w:rPr>
        <w:t>Boccaccio</w:t>
      </w:r>
      <w:proofErr w:type="spellEnd"/>
      <w:r w:rsidRPr="00446CB0">
        <w:rPr>
          <w:sz w:val="24"/>
          <w:szCs w:val="24"/>
          <w:lang w:val="es-ES_tradnl"/>
        </w:rPr>
        <w:t xml:space="preserve">, </w:t>
      </w:r>
      <w:proofErr w:type="spellStart"/>
      <w:r w:rsidRPr="00446CB0">
        <w:rPr>
          <w:i/>
          <w:sz w:val="24"/>
          <w:szCs w:val="24"/>
          <w:lang w:val="es-ES_tradnl"/>
        </w:rPr>
        <w:t>Decameron</w:t>
      </w:r>
      <w:proofErr w:type="spellEnd"/>
      <w:r w:rsidRPr="00446CB0">
        <w:rPr>
          <w:sz w:val="24"/>
          <w:szCs w:val="24"/>
          <w:lang w:val="es-ES_tradnl"/>
        </w:rPr>
        <w:t>, pp. 52-53.</w:t>
      </w:r>
    </w:p>
    <w:p w:rsidR="00AC655F" w:rsidRPr="00460A19" w:rsidRDefault="00AC655F" w:rsidP="00AC655F">
      <w:pPr>
        <w:pStyle w:val="FootnoteText"/>
        <w:spacing w:line="480" w:lineRule="auto"/>
        <w:rPr>
          <w:sz w:val="24"/>
          <w:szCs w:val="24"/>
          <w:lang w:val="es-ES_tradnl"/>
        </w:rPr>
      </w:pPr>
      <w:r w:rsidRPr="00460A19">
        <w:rPr>
          <w:sz w:val="24"/>
          <w:szCs w:val="24"/>
          <w:vertAlign w:val="superscript"/>
          <w:lang w:val="es-ES_tradnl"/>
        </w:rPr>
        <w:t>7</w:t>
      </w:r>
      <w:r>
        <w:rPr>
          <w:sz w:val="24"/>
          <w:szCs w:val="24"/>
          <w:vertAlign w:val="superscript"/>
          <w:lang w:val="es-ES_tradnl"/>
        </w:rPr>
        <w:t>8</w:t>
      </w:r>
      <w:r w:rsidRPr="00460A19">
        <w:rPr>
          <w:sz w:val="24"/>
          <w:szCs w:val="24"/>
          <w:lang w:val="es-ES_tradnl"/>
        </w:rPr>
        <w:t xml:space="preserve"> </w:t>
      </w:r>
      <w:proofErr w:type="spellStart"/>
      <w:r w:rsidRPr="00446CB0">
        <w:rPr>
          <w:rFonts w:ascii="Calibri" w:hAnsi="Calibri"/>
          <w:sz w:val="24"/>
          <w:szCs w:val="24"/>
          <w:lang w:val="es-ES_tradnl"/>
        </w:rPr>
        <w:t>Dean</w:t>
      </w:r>
      <w:proofErr w:type="spellEnd"/>
      <w:r w:rsidRPr="00446CB0">
        <w:rPr>
          <w:rFonts w:ascii="Calibri" w:hAnsi="Calibri"/>
          <w:sz w:val="24"/>
          <w:szCs w:val="24"/>
          <w:lang w:val="es-ES_tradnl"/>
        </w:rPr>
        <w:t xml:space="preserve">, </w:t>
      </w:r>
      <w:proofErr w:type="spellStart"/>
      <w:r w:rsidRPr="00446CB0">
        <w:rPr>
          <w:rFonts w:ascii="Calibri" w:hAnsi="Calibri"/>
          <w:i/>
          <w:sz w:val="24"/>
          <w:szCs w:val="24"/>
          <w:lang w:val="es-ES_tradnl"/>
        </w:rPr>
        <w:t>Crime</w:t>
      </w:r>
      <w:proofErr w:type="spellEnd"/>
      <w:r w:rsidRPr="00446CB0">
        <w:rPr>
          <w:rFonts w:ascii="Calibri" w:hAnsi="Calibri"/>
          <w:i/>
          <w:sz w:val="24"/>
          <w:szCs w:val="24"/>
          <w:lang w:val="es-ES_tradnl"/>
        </w:rPr>
        <w:t xml:space="preserve"> in Medieval </w:t>
      </w:r>
      <w:proofErr w:type="spellStart"/>
      <w:r w:rsidRPr="00446CB0">
        <w:rPr>
          <w:rFonts w:ascii="Calibri" w:hAnsi="Calibri"/>
          <w:i/>
          <w:sz w:val="24"/>
          <w:szCs w:val="24"/>
          <w:lang w:val="es-ES_tradnl"/>
        </w:rPr>
        <w:t>Europe</w:t>
      </w:r>
      <w:proofErr w:type="spellEnd"/>
      <w:r w:rsidRPr="00446CB0">
        <w:rPr>
          <w:rStyle w:val="st1"/>
          <w:rFonts w:ascii="Calibri" w:hAnsi="Calibri" w:cs="Arial"/>
          <w:sz w:val="24"/>
          <w:szCs w:val="24"/>
          <w:lang w:val="es-ES_tradnl"/>
        </w:rPr>
        <w:t>, p. 49.</w:t>
      </w:r>
    </w:p>
    <w:p w:rsidR="00AC655F" w:rsidRDefault="00AC655F" w:rsidP="00AC655F">
      <w:pPr>
        <w:pStyle w:val="FootnoteText"/>
        <w:spacing w:line="480" w:lineRule="auto"/>
        <w:rPr>
          <w:sz w:val="24"/>
          <w:szCs w:val="24"/>
        </w:rPr>
      </w:pPr>
      <w:proofErr w:type="gramStart"/>
      <w:r>
        <w:rPr>
          <w:sz w:val="24"/>
          <w:szCs w:val="24"/>
          <w:vertAlign w:val="superscript"/>
        </w:rPr>
        <w:t>79</w:t>
      </w:r>
      <w:r w:rsidRPr="00D7732C">
        <w:rPr>
          <w:sz w:val="24"/>
          <w:szCs w:val="24"/>
        </w:rPr>
        <w:t xml:space="preserve"> </w:t>
      </w:r>
      <w:r>
        <w:rPr>
          <w:sz w:val="24"/>
          <w:szCs w:val="24"/>
        </w:rPr>
        <w:t>Greene, ‘</w:t>
      </w:r>
      <w:r w:rsidRPr="00D7732C">
        <w:rPr>
          <w:sz w:val="24"/>
          <w:szCs w:val="24"/>
        </w:rPr>
        <w:t>Forms of accommodation</w:t>
      </w:r>
      <w:r>
        <w:rPr>
          <w:sz w:val="24"/>
          <w:szCs w:val="24"/>
        </w:rPr>
        <w:t>’</w:t>
      </w:r>
      <w:r w:rsidRPr="00D7732C">
        <w:rPr>
          <w:sz w:val="24"/>
          <w:szCs w:val="24"/>
        </w:rPr>
        <w:t>, p.</w:t>
      </w:r>
      <w:r>
        <w:rPr>
          <w:sz w:val="24"/>
          <w:szCs w:val="24"/>
        </w:rPr>
        <w:t xml:space="preserve"> </w:t>
      </w:r>
      <w:r w:rsidRPr="00D7732C">
        <w:rPr>
          <w:sz w:val="24"/>
          <w:szCs w:val="24"/>
        </w:rPr>
        <w:t>299.</w:t>
      </w:r>
      <w:proofErr w:type="gramEnd"/>
    </w:p>
    <w:p w:rsidR="00AC655F" w:rsidRDefault="00AC655F" w:rsidP="00AC655F">
      <w:pPr>
        <w:autoSpaceDE w:val="0"/>
        <w:autoSpaceDN w:val="0"/>
        <w:adjustRightInd w:val="0"/>
        <w:spacing w:after="0" w:line="480" w:lineRule="auto"/>
        <w:rPr>
          <w:rFonts w:ascii="Calibri" w:hAnsi="Calibri" w:cs="Arial"/>
          <w:sz w:val="24"/>
          <w:szCs w:val="24"/>
          <w:lang w:eastAsia="en-GB"/>
        </w:rPr>
      </w:pPr>
      <w:r>
        <w:rPr>
          <w:sz w:val="24"/>
          <w:szCs w:val="24"/>
          <w:vertAlign w:val="superscript"/>
        </w:rPr>
        <w:t>80</w:t>
      </w:r>
      <w:r w:rsidRPr="00D7732C">
        <w:rPr>
          <w:sz w:val="24"/>
          <w:szCs w:val="24"/>
        </w:rPr>
        <w:t xml:space="preserve"> Boccaccio, </w:t>
      </w:r>
      <w:r w:rsidRPr="00D7732C">
        <w:rPr>
          <w:i/>
          <w:sz w:val="24"/>
          <w:szCs w:val="24"/>
        </w:rPr>
        <w:t>Decameron</w:t>
      </w:r>
      <w:r w:rsidRPr="00D7732C">
        <w:rPr>
          <w:sz w:val="24"/>
          <w:szCs w:val="24"/>
        </w:rPr>
        <w:t xml:space="preserve">, </w:t>
      </w:r>
      <w:r>
        <w:rPr>
          <w:sz w:val="24"/>
          <w:szCs w:val="24"/>
        </w:rPr>
        <w:t>p.</w:t>
      </w:r>
      <w:r w:rsidRPr="00D7732C">
        <w:rPr>
          <w:sz w:val="24"/>
          <w:szCs w:val="24"/>
        </w:rPr>
        <w:t xml:space="preserve"> 613</w:t>
      </w:r>
      <w:r>
        <w:rPr>
          <w:sz w:val="24"/>
          <w:szCs w:val="24"/>
        </w:rPr>
        <w:t>.</w:t>
      </w:r>
    </w:p>
    <w:p w:rsidR="00AC655F" w:rsidRPr="00460A19" w:rsidRDefault="00AC655F" w:rsidP="00AC655F">
      <w:pPr>
        <w:pStyle w:val="FootnoteText"/>
        <w:spacing w:line="480" w:lineRule="auto"/>
        <w:rPr>
          <w:sz w:val="24"/>
          <w:szCs w:val="24"/>
        </w:rPr>
      </w:pPr>
      <w:r w:rsidRPr="00460A19">
        <w:rPr>
          <w:sz w:val="24"/>
          <w:szCs w:val="24"/>
          <w:vertAlign w:val="superscript"/>
        </w:rPr>
        <w:t>8</w:t>
      </w:r>
      <w:r>
        <w:rPr>
          <w:sz w:val="24"/>
          <w:szCs w:val="24"/>
          <w:vertAlign w:val="superscript"/>
        </w:rPr>
        <w:t>1</w:t>
      </w:r>
      <w:r w:rsidRPr="00460A19">
        <w:rPr>
          <w:sz w:val="24"/>
          <w:szCs w:val="24"/>
        </w:rPr>
        <w:t xml:space="preserve"> </w:t>
      </w:r>
      <w:r w:rsidRPr="00D7732C">
        <w:rPr>
          <w:sz w:val="24"/>
          <w:szCs w:val="24"/>
        </w:rPr>
        <w:t xml:space="preserve">Peter Goodrich, ‘Devising Law: On the Philosophy of Legal Emblems’, </w:t>
      </w:r>
      <w:r w:rsidRPr="00D7732C">
        <w:rPr>
          <w:i/>
          <w:sz w:val="24"/>
          <w:szCs w:val="24"/>
        </w:rPr>
        <w:t>NYL Sch. L. Rev</w:t>
      </w:r>
      <w:r w:rsidRPr="00D7732C">
        <w:rPr>
          <w:sz w:val="24"/>
          <w:szCs w:val="24"/>
        </w:rPr>
        <w:t>. 57</w:t>
      </w:r>
      <w:r>
        <w:rPr>
          <w:sz w:val="24"/>
          <w:szCs w:val="24"/>
        </w:rPr>
        <w:t xml:space="preserve"> </w:t>
      </w:r>
      <w:r w:rsidRPr="00D7732C">
        <w:rPr>
          <w:sz w:val="24"/>
          <w:szCs w:val="24"/>
        </w:rPr>
        <w:t>133 (2012-13), p. 137.</w:t>
      </w:r>
    </w:p>
    <w:p w:rsidR="00AC655F" w:rsidRPr="00C66B5D" w:rsidRDefault="00AC655F" w:rsidP="00AC655F">
      <w:pPr>
        <w:pStyle w:val="FootnoteText"/>
        <w:spacing w:line="480" w:lineRule="auto"/>
        <w:rPr>
          <w:sz w:val="24"/>
          <w:szCs w:val="24"/>
        </w:rPr>
      </w:pPr>
      <w:proofErr w:type="gramStart"/>
      <w:r>
        <w:rPr>
          <w:sz w:val="24"/>
          <w:szCs w:val="24"/>
          <w:vertAlign w:val="superscript"/>
        </w:rPr>
        <w:t>82</w:t>
      </w:r>
      <w:r w:rsidRPr="00460A19">
        <w:rPr>
          <w:sz w:val="24"/>
          <w:szCs w:val="24"/>
        </w:rPr>
        <w:t xml:space="preserve"> </w:t>
      </w:r>
      <w:r>
        <w:rPr>
          <w:sz w:val="24"/>
          <w:szCs w:val="24"/>
        </w:rPr>
        <w:t xml:space="preserve">Chambers and Dean, </w:t>
      </w:r>
      <w:r w:rsidRPr="00C66B5D">
        <w:rPr>
          <w:i/>
          <w:sz w:val="24"/>
          <w:szCs w:val="24"/>
        </w:rPr>
        <w:t>Clean Hands</w:t>
      </w:r>
      <w:r>
        <w:rPr>
          <w:sz w:val="24"/>
          <w:szCs w:val="24"/>
        </w:rPr>
        <w:t>, p.33.</w:t>
      </w:r>
      <w:proofErr w:type="gramEnd"/>
      <w:r>
        <w:rPr>
          <w:sz w:val="24"/>
          <w:szCs w:val="24"/>
        </w:rPr>
        <w:t xml:space="preserve"> </w:t>
      </w:r>
    </w:p>
    <w:p w:rsidR="00AC655F" w:rsidRPr="00D7732C" w:rsidRDefault="00AC655F" w:rsidP="00AC655F">
      <w:pPr>
        <w:pStyle w:val="FootnoteText"/>
        <w:spacing w:line="480" w:lineRule="auto"/>
        <w:rPr>
          <w:sz w:val="24"/>
          <w:szCs w:val="24"/>
        </w:rPr>
      </w:pPr>
      <w:r>
        <w:rPr>
          <w:sz w:val="24"/>
          <w:szCs w:val="24"/>
          <w:vertAlign w:val="superscript"/>
        </w:rPr>
        <w:t>83</w:t>
      </w:r>
      <w:r w:rsidRPr="00D7732C">
        <w:rPr>
          <w:sz w:val="24"/>
          <w:szCs w:val="24"/>
        </w:rPr>
        <w:t xml:space="preserve"> Sara </w:t>
      </w:r>
      <w:proofErr w:type="spellStart"/>
      <w:r w:rsidRPr="00D7732C">
        <w:rPr>
          <w:sz w:val="24"/>
          <w:szCs w:val="24"/>
        </w:rPr>
        <w:t>Menzinger</w:t>
      </w:r>
      <w:proofErr w:type="spellEnd"/>
      <w:r w:rsidRPr="00D7732C">
        <w:rPr>
          <w:sz w:val="24"/>
          <w:szCs w:val="24"/>
        </w:rPr>
        <w:t>, ‘</w:t>
      </w:r>
      <w:proofErr w:type="spellStart"/>
      <w:r w:rsidRPr="00D7732C">
        <w:rPr>
          <w:i/>
          <w:sz w:val="24"/>
          <w:szCs w:val="24"/>
        </w:rPr>
        <w:t>Consilium</w:t>
      </w:r>
      <w:proofErr w:type="spellEnd"/>
      <w:r w:rsidRPr="00D7732C">
        <w:rPr>
          <w:i/>
          <w:sz w:val="24"/>
          <w:szCs w:val="24"/>
        </w:rPr>
        <w:t xml:space="preserve"> </w:t>
      </w:r>
      <w:proofErr w:type="spellStart"/>
      <w:r w:rsidRPr="00D7732C">
        <w:rPr>
          <w:i/>
          <w:sz w:val="24"/>
          <w:szCs w:val="24"/>
        </w:rPr>
        <w:t>sapientum</w:t>
      </w:r>
      <w:proofErr w:type="spellEnd"/>
      <w:r w:rsidRPr="00D7732C">
        <w:rPr>
          <w:sz w:val="24"/>
          <w:szCs w:val="24"/>
        </w:rPr>
        <w:t xml:space="preserve">: Lawmen and the Italian Popular Communes’, in </w:t>
      </w:r>
      <w:proofErr w:type="spellStart"/>
      <w:r>
        <w:rPr>
          <w:rFonts w:cs="Calibri"/>
          <w:bCs/>
          <w:sz w:val="24"/>
          <w:szCs w:val="24"/>
        </w:rPr>
        <w:t>Lawrin</w:t>
      </w:r>
      <w:proofErr w:type="spellEnd"/>
      <w:r>
        <w:rPr>
          <w:rFonts w:cs="Calibri"/>
          <w:bCs/>
          <w:sz w:val="24"/>
          <w:szCs w:val="24"/>
        </w:rPr>
        <w:t xml:space="preserve"> </w:t>
      </w:r>
      <w:r w:rsidRPr="00D7732C">
        <w:rPr>
          <w:rFonts w:cs="Calibri"/>
          <w:bCs/>
          <w:sz w:val="24"/>
          <w:szCs w:val="24"/>
        </w:rPr>
        <w:t xml:space="preserve">Armstrong, and Julius </w:t>
      </w:r>
      <w:proofErr w:type="spellStart"/>
      <w:r w:rsidRPr="00D7732C">
        <w:rPr>
          <w:rFonts w:cs="Calibri"/>
          <w:bCs/>
          <w:sz w:val="24"/>
          <w:szCs w:val="24"/>
        </w:rPr>
        <w:t>Kirshner</w:t>
      </w:r>
      <w:proofErr w:type="spellEnd"/>
      <w:r w:rsidRPr="00D7732C">
        <w:rPr>
          <w:rFonts w:cs="Calibri"/>
          <w:bCs/>
          <w:sz w:val="24"/>
          <w:szCs w:val="24"/>
        </w:rPr>
        <w:t xml:space="preserve">, eds., </w:t>
      </w:r>
      <w:r w:rsidRPr="00D7732C">
        <w:rPr>
          <w:rFonts w:cs="Calibri"/>
          <w:bCs/>
          <w:i/>
          <w:sz w:val="24"/>
          <w:szCs w:val="24"/>
        </w:rPr>
        <w:t xml:space="preserve">The Politics of Law in Late Medieval and Renaissance Italy. </w:t>
      </w:r>
      <w:proofErr w:type="gramStart"/>
      <w:r w:rsidRPr="00D7732C">
        <w:rPr>
          <w:rFonts w:cs="Calibri"/>
          <w:bCs/>
          <w:i/>
          <w:sz w:val="24"/>
          <w:szCs w:val="24"/>
        </w:rPr>
        <w:t xml:space="preserve">Essays in Honour of </w:t>
      </w:r>
      <w:proofErr w:type="spellStart"/>
      <w:r w:rsidRPr="00D7732C">
        <w:rPr>
          <w:rFonts w:cs="Calibri"/>
          <w:bCs/>
          <w:i/>
          <w:sz w:val="24"/>
          <w:szCs w:val="24"/>
        </w:rPr>
        <w:t>Lauro</w:t>
      </w:r>
      <w:proofErr w:type="spellEnd"/>
      <w:r w:rsidRPr="00D7732C">
        <w:rPr>
          <w:rFonts w:cs="Calibri"/>
          <w:bCs/>
          <w:i/>
          <w:sz w:val="24"/>
          <w:szCs w:val="24"/>
        </w:rPr>
        <w:t xml:space="preserve"> </w:t>
      </w:r>
      <w:proofErr w:type="spellStart"/>
      <w:r w:rsidRPr="00D7732C">
        <w:rPr>
          <w:rFonts w:cs="Calibri"/>
          <w:bCs/>
          <w:i/>
          <w:sz w:val="24"/>
          <w:szCs w:val="24"/>
        </w:rPr>
        <w:t>Martines</w:t>
      </w:r>
      <w:proofErr w:type="spellEnd"/>
      <w:r w:rsidRPr="00D7732C">
        <w:rPr>
          <w:rFonts w:cs="Calibri"/>
          <w:bCs/>
          <w:i/>
          <w:sz w:val="24"/>
          <w:szCs w:val="24"/>
        </w:rPr>
        <w:t xml:space="preserve"> </w:t>
      </w:r>
      <w:r w:rsidRPr="00D7732C">
        <w:rPr>
          <w:rFonts w:cs="Calibri"/>
          <w:bCs/>
          <w:sz w:val="24"/>
          <w:szCs w:val="24"/>
        </w:rPr>
        <w:t>(Toronto, Buffalo, London</w:t>
      </w:r>
      <w:r>
        <w:rPr>
          <w:rFonts w:cs="Calibri"/>
          <w:bCs/>
          <w:sz w:val="24"/>
          <w:szCs w:val="24"/>
        </w:rPr>
        <w:t>,</w:t>
      </w:r>
      <w:r w:rsidRPr="00D7732C">
        <w:rPr>
          <w:rFonts w:cs="Calibri"/>
          <w:bCs/>
          <w:sz w:val="24"/>
          <w:szCs w:val="24"/>
        </w:rPr>
        <w:t xml:space="preserve"> University of Toronto Press, 2011), pp. 40-54, at p.44.</w:t>
      </w:r>
      <w:proofErr w:type="gramEnd"/>
    </w:p>
    <w:p w:rsidR="00AC655F" w:rsidRPr="00D7732C" w:rsidRDefault="00AC655F" w:rsidP="00AC655F">
      <w:pPr>
        <w:pStyle w:val="FootnoteText"/>
        <w:spacing w:line="480" w:lineRule="auto"/>
        <w:rPr>
          <w:sz w:val="24"/>
          <w:szCs w:val="24"/>
        </w:rPr>
      </w:pPr>
      <w:r>
        <w:rPr>
          <w:sz w:val="24"/>
          <w:szCs w:val="24"/>
          <w:vertAlign w:val="superscript"/>
        </w:rPr>
        <w:t>84</w:t>
      </w:r>
      <w:r w:rsidRPr="00460A19">
        <w:rPr>
          <w:sz w:val="24"/>
          <w:szCs w:val="24"/>
        </w:rPr>
        <w:t xml:space="preserve"> </w:t>
      </w:r>
      <w:r w:rsidRPr="00D7732C">
        <w:rPr>
          <w:rFonts w:ascii="Calibri" w:hAnsi="Calibri"/>
          <w:sz w:val="24"/>
          <w:szCs w:val="24"/>
        </w:rPr>
        <w:t xml:space="preserve">Stern, </w:t>
      </w:r>
      <w:r w:rsidRPr="00D7732C">
        <w:rPr>
          <w:rFonts w:ascii="Calibri" w:hAnsi="Calibri"/>
          <w:i/>
          <w:sz w:val="24"/>
          <w:szCs w:val="24"/>
        </w:rPr>
        <w:t>Criminal Law System</w:t>
      </w:r>
      <w:r w:rsidRPr="00D7732C">
        <w:rPr>
          <w:rFonts w:ascii="Calibri" w:hAnsi="Calibri"/>
          <w:sz w:val="24"/>
          <w:szCs w:val="24"/>
        </w:rPr>
        <w:t>, p. 142.</w:t>
      </w:r>
    </w:p>
    <w:p w:rsidR="00AC655F" w:rsidRPr="00D7732C" w:rsidRDefault="00AC655F" w:rsidP="00AC655F">
      <w:pPr>
        <w:pStyle w:val="FootnoteText"/>
        <w:spacing w:line="480" w:lineRule="auto"/>
        <w:rPr>
          <w:sz w:val="24"/>
          <w:szCs w:val="24"/>
        </w:rPr>
      </w:pPr>
      <w:r>
        <w:rPr>
          <w:sz w:val="24"/>
          <w:szCs w:val="24"/>
          <w:vertAlign w:val="superscript"/>
        </w:rPr>
        <w:t>85</w:t>
      </w:r>
      <w:r w:rsidRPr="00D7732C">
        <w:rPr>
          <w:sz w:val="24"/>
          <w:szCs w:val="24"/>
        </w:rPr>
        <w:t xml:space="preserve"> Moritz </w:t>
      </w:r>
      <w:proofErr w:type="spellStart"/>
      <w:r w:rsidRPr="00D7732C">
        <w:rPr>
          <w:sz w:val="24"/>
          <w:szCs w:val="24"/>
        </w:rPr>
        <w:t>Isenmann</w:t>
      </w:r>
      <w:proofErr w:type="spellEnd"/>
      <w:r w:rsidRPr="00D7732C">
        <w:rPr>
          <w:sz w:val="24"/>
          <w:szCs w:val="24"/>
        </w:rPr>
        <w:t xml:space="preserve">, ‘From Rule of Law to Emergency Rule in Renaissance Florence’, in </w:t>
      </w:r>
      <w:r w:rsidRPr="00D7732C">
        <w:rPr>
          <w:rFonts w:cs="Calibri"/>
          <w:bCs/>
          <w:sz w:val="24"/>
          <w:szCs w:val="24"/>
        </w:rPr>
        <w:t xml:space="preserve">Armstrong, and </w:t>
      </w:r>
      <w:proofErr w:type="spellStart"/>
      <w:r w:rsidRPr="00D7732C">
        <w:rPr>
          <w:rFonts w:cs="Calibri"/>
          <w:bCs/>
          <w:sz w:val="24"/>
          <w:szCs w:val="24"/>
        </w:rPr>
        <w:t>Kirshner</w:t>
      </w:r>
      <w:proofErr w:type="spellEnd"/>
      <w:r w:rsidRPr="00D7732C">
        <w:rPr>
          <w:rFonts w:cs="Calibri"/>
          <w:bCs/>
          <w:sz w:val="24"/>
          <w:szCs w:val="24"/>
        </w:rPr>
        <w:t xml:space="preserve">, </w:t>
      </w:r>
      <w:r w:rsidRPr="00D7732C">
        <w:rPr>
          <w:rFonts w:cs="Calibri"/>
          <w:bCs/>
          <w:i/>
          <w:sz w:val="24"/>
          <w:szCs w:val="24"/>
        </w:rPr>
        <w:t>Politics of Law</w:t>
      </w:r>
      <w:r w:rsidRPr="00D7732C">
        <w:rPr>
          <w:rFonts w:cs="Calibri"/>
          <w:bCs/>
          <w:sz w:val="24"/>
          <w:szCs w:val="24"/>
        </w:rPr>
        <w:t>, pp. 55-76, at p. 58.</w:t>
      </w:r>
    </w:p>
    <w:p w:rsidR="00AC655F" w:rsidRPr="00D7732C" w:rsidRDefault="00AC655F" w:rsidP="00AC655F">
      <w:pPr>
        <w:spacing w:after="0" w:line="480" w:lineRule="auto"/>
        <w:rPr>
          <w:rFonts w:cs="Calibri"/>
          <w:bCs/>
          <w:sz w:val="24"/>
          <w:szCs w:val="24"/>
        </w:rPr>
      </w:pPr>
      <w:r>
        <w:rPr>
          <w:sz w:val="24"/>
          <w:szCs w:val="24"/>
          <w:vertAlign w:val="superscript"/>
        </w:rPr>
        <w:t>86</w:t>
      </w:r>
      <w:r w:rsidRPr="00D7732C">
        <w:rPr>
          <w:sz w:val="24"/>
          <w:szCs w:val="24"/>
        </w:rPr>
        <w:t xml:space="preserve"> </w:t>
      </w:r>
      <w:r w:rsidRPr="00D7732C">
        <w:rPr>
          <w:rFonts w:ascii="Calibri" w:hAnsi="Calibri"/>
          <w:sz w:val="24"/>
          <w:szCs w:val="24"/>
        </w:rPr>
        <w:t xml:space="preserve">Stern, </w:t>
      </w:r>
      <w:r w:rsidRPr="00D7732C">
        <w:rPr>
          <w:rFonts w:ascii="Calibri" w:hAnsi="Calibri"/>
          <w:i/>
          <w:sz w:val="24"/>
          <w:szCs w:val="24"/>
        </w:rPr>
        <w:t>Criminal Law System</w:t>
      </w:r>
      <w:r>
        <w:rPr>
          <w:rFonts w:ascii="Calibri" w:hAnsi="Calibri"/>
          <w:sz w:val="24"/>
          <w:szCs w:val="24"/>
        </w:rPr>
        <w:t>,</w:t>
      </w:r>
      <w:r w:rsidRPr="00D7732C">
        <w:rPr>
          <w:rFonts w:ascii="Calibri" w:hAnsi="Calibri"/>
          <w:i/>
          <w:sz w:val="24"/>
          <w:szCs w:val="24"/>
        </w:rPr>
        <w:t xml:space="preserve"> </w:t>
      </w:r>
      <w:r w:rsidRPr="00D7732C">
        <w:rPr>
          <w:rFonts w:ascii="Calibri" w:hAnsi="Calibri"/>
          <w:sz w:val="24"/>
          <w:szCs w:val="24"/>
        </w:rPr>
        <w:t xml:space="preserve">p. 138 notes the research of Gino </w:t>
      </w:r>
      <w:proofErr w:type="spellStart"/>
      <w:r w:rsidRPr="00D7732C">
        <w:rPr>
          <w:rFonts w:ascii="Calibri" w:hAnsi="Calibri"/>
          <w:sz w:val="24"/>
          <w:szCs w:val="24"/>
        </w:rPr>
        <w:t>Masi</w:t>
      </w:r>
      <w:proofErr w:type="spellEnd"/>
      <w:r w:rsidRPr="00D7732C">
        <w:rPr>
          <w:rFonts w:ascii="Calibri" w:hAnsi="Calibri"/>
          <w:sz w:val="24"/>
          <w:szCs w:val="24"/>
        </w:rPr>
        <w:t xml:space="preserve"> to this effect (see Gino </w:t>
      </w:r>
      <w:proofErr w:type="spellStart"/>
      <w:r w:rsidRPr="00D7732C">
        <w:rPr>
          <w:rFonts w:ascii="Calibri" w:hAnsi="Calibri"/>
          <w:sz w:val="24"/>
          <w:szCs w:val="24"/>
        </w:rPr>
        <w:t>Masi</w:t>
      </w:r>
      <w:proofErr w:type="spellEnd"/>
      <w:r w:rsidRPr="00D7732C">
        <w:rPr>
          <w:rFonts w:ascii="Calibri" w:hAnsi="Calibri"/>
          <w:sz w:val="24"/>
          <w:szCs w:val="24"/>
        </w:rPr>
        <w:t xml:space="preserve">, ‘Il </w:t>
      </w:r>
      <w:proofErr w:type="spellStart"/>
      <w:r w:rsidRPr="00D7732C">
        <w:rPr>
          <w:rFonts w:ascii="Calibri" w:hAnsi="Calibri"/>
          <w:sz w:val="24"/>
          <w:szCs w:val="24"/>
        </w:rPr>
        <w:t>sindicato</w:t>
      </w:r>
      <w:proofErr w:type="spellEnd"/>
      <w:r w:rsidRPr="00D7732C">
        <w:rPr>
          <w:rFonts w:ascii="Calibri" w:hAnsi="Calibri"/>
          <w:sz w:val="24"/>
          <w:szCs w:val="24"/>
        </w:rPr>
        <w:t xml:space="preserve"> </w:t>
      </w:r>
      <w:proofErr w:type="spellStart"/>
      <w:r w:rsidRPr="00D7732C">
        <w:rPr>
          <w:rFonts w:ascii="Calibri" w:hAnsi="Calibri"/>
          <w:sz w:val="24"/>
          <w:szCs w:val="24"/>
        </w:rPr>
        <w:t>delle</w:t>
      </w:r>
      <w:proofErr w:type="spellEnd"/>
      <w:r w:rsidRPr="00D7732C">
        <w:rPr>
          <w:rFonts w:ascii="Calibri" w:hAnsi="Calibri"/>
          <w:sz w:val="24"/>
          <w:szCs w:val="24"/>
        </w:rPr>
        <w:t xml:space="preserve"> </w:t>
      </w:r>
      <w:proofErr w:type="spellStart"/>
      <w:r w:rsidRPr="00D7732C">
        <w:rPr>
          <w:rFonts w:ascii="Calibri" w:hAnsi="Calibri"/>
          <w:sz w:val="24"/>
          <w:szCs w:val="24"/>
        </w:rPr>
        <w:t>magistrrature</w:t>
      </w:r>
      <w:proofErr w:type="spellEnd"/>
      <w:r w:rsidRPr="00D7732C">
        <w:rPr>
          <w:rFonts w:ascii="Calibri" w:hAnsi="Calibri"/>
          <w:sz w:val="24"/>
          <w:szCs w:val="24"/>
        </w:rPr>
        <w:t xml:space="preserve"> </w:t>
      </w:r>
      <w:proofErr w:type="spellStart"/>
      <w:r w:rsidRPr="00D7732C">
        <w:rPr>
          <w:rFonts w:ascii="Calibri" w:hAnsi="Calibri"/>
          <w:sz w:val="24"/>
          <w:szCs w:val="24"/>
        </w:rPr>
        <w:t>comunali</w:t>
      </w:r>
      <w:proofErr w:type="spellEnd"/>
      <w:r w:rsidRPr="00D7732C">
        <w:rPr>
          <w:rFonts w:ascii="Calibri" w:hAnsi="Calibri"/>
          <w:sz w:val="24"/>
          <w:szCs w:val="24"/>
        </w:rPr>
        <w:t xml:space="preserve"> </w:t>
      </w:r>
      <w:proofErr w:type="spellStart"/>
      <w:r w:rsidRPr="00D7732C">
        <w:rPr>
          <w:rFonts w:ascii="Calibri" w:hAnsi="Calibri"/>
          <w:sz w:val="24"/>
          <w:szCs w:val="24"/>
        </w:rPr>
        <w:t>nel</w:t>
      </w:r>
      <w:proofErr w:type="spellEnd"/>
      <w:r w:rsidRPr="00D7732C">
        <w:rPr>
          <w:rFonts w:ascii="Calibri" w:hAnsi="Calibri"/>
          <w:sz w:val="24"/>
          <w:szCs w:val="24"/>
        </w:rPr>
        <w:t xml:space="preserve"> </w:t>
      </w:r>
      <w:proofErr w:type="spellStart"/>
      <w:r w:rsidRPr="00D7732C">
        <w:rPr>
          <w:rFonts w:ascii="Calibri" w:hAnsi="Calibri"/>
          <w:sz w:val="24"/>
          <w:szCs w:val="24"/>
        </w:rPr>
        <w:t>secolo</w:t>
      </w:r>
      <w:proofErr w:type="spellEnd"/>
      <w:r w:rsidRPr="00D7732C">
        <w:rPr>
          <w:rFonts w:ascii="Calibri" w:hAnsi="Calibri"/>
          <w:sz w:val="24"/>
          <w:szCs w:val="24"/>
        </w:rPr>
        <w:t xml:space="preserve"> XIV’, </w:t>
      </w:r>
      <w:proofErr w:type="spellStart"/>
      <w:r w:rsidRPr="00D7732C">
        <w:rPr>
          <w:rFonts w:ascii="Calibri" w:hAnsi="Calibri"/>
          <w:i/>
          <w:sz w:val="24"/>
          <w:szCs w:val="24"/>
        </w:rPr>
        <w:t>Rivista</w:t>
      </w:r>
      <w:proofErr w:type="spellEnd"/>
      <w:r w:rsidRPr="00D7732C">
        <w:rPr>
          <w:rFonts w:ascii="Calibri" w:hAnsi="Calibri"/>
          <w:i/>
          <w:sz w:val="24"/>
          <w:szCs w:val="24"/>
        </w:rPr>
        <w:t xml:space="preserve"> </w:t>
      </w:r>
      <w:proofErr w:type="spellStart"/>
      <w:r w:rsidRPr="00D7732C">
        <w:rPr>
          <w:rFonts w:ascii="Calibri" w:hAnsi="Calibri"/>
          <w:i/>
          <w:sz w:val="24"/>
          <w:szCs w:val="24"/>
        </w:rPr>
        <w:t>Italiana</w:t>
      </w:r>
      <w:proofErr w:type="spellEnd"/>
      <w:r w:rsidRPr="00D7732C">
        <w:rPr>
          <w:rFonts w:ascii="Calibri" w:hAnsi="Calibri"/>
          <w:i/>
          <w:sz w:val="24"/>
          <w:szCs w:val="24"/>
        </w:rPr>
        <w:t xml:space="preserve"> per la </w:t>
      </w:r>
      <w:proofErr w:type="spellStart"/>
      <w:r w:rsidRPr="00D7732C">
        <w:rPr>
          <w:rFonts w:ascii="Calibri" w:hAnsi="Calibri"/>
          <w:i/>
          <w:sz w:val="24"/>
          <w:szCs w:val="24"/>
        </w:rPr>
        <w:t>scienze</w:t>
      </w:r>
      <w:proofErr w:type="spellEnd"/>
      <w:r w:rsidRPr="00D7732C">
        <w:rPr>
          <w:rFonts w:ascii="Calibri" w:hAnsi="Calibri"/>
          <w:i/>
          <w:sz w:val="24"/>
          <w:szCs w:val="24"/>
        </w:rPr>
        <w:t xml:space="preserve"> </w:t>
      </w:r>
      <w:proofErr w:type="spellStart"/>
      <w:r w:rsidRPr="00D7732C">
        <w:rPr>
          <w:rFonts w:ascii="Calibri" w:hAnsi="Calibri"/>
          <w:i/>
          <w:sz w:val="24"/>
          <w:szCs w:val="24"/>
        </w:rPr>
        <w:t>giuridiche</w:t>
      </w:r>
      <w:proofErr w:type="spellEnd"/>
      <w:r w:rsidRPr="00D7732C">
        <w:rPr>
          <w:rFonts w:ascii="Calibri" w:hAnsi="Calibri"/>
          <w:sz w:val="24"/>
          <w:szCs w:val="24"/>
        </w:rPr>
        <w:t>, 1-2 (1930): 43-115, 331-411).</w:t>
      </w:r>
    </w:p>
    <w:p w:rsidR="00FA23EA" w:rsidRPr="00AC655F" w:rsidRDefault="00AC655F" w:rsidP="00AC655F">
      <w:pPr>
        <w:pStyle w:val="FootnoteText"/>
        <w:spacing w:line="480" w:lineRule="auto"/>
        <w:rPr>
          <w:sz w:val="24"/>
          <w:szCs w:val="24"/>
        </w:rPr>
      </w:pPr>
      <w:r>
        <w:rPr>
          <w:sz w:val="24"/>
          <w:szCs w:val="24"/>
          <w:vertAlign w:val="superscript"/>
        </w:rPr>
        <w:t>87</w:t>
      </w:r>
      <w:r w:rsidRPr="00D7732C">
        <w:rPr>
          <w:sz w:val="24"/>
          <w:szCs w:val="24"/>
        </w:rPr>
        <w:t xml:space="preserve"> Marco Wan</w:t>
      </w:r>
      <w:r>
        <w:rPr>
          <w:sz w:val="24"/>
          <w:szCs w:val="24"/>
        </w:rPr>
        <w:t>,</w:t>
      </w:r>
      <w:r w:rsidRPr="00D7732C">
        <w:rPr>
          <w:sz w:val="24"/>
          <w:szCs w:val="24"/>
        </w:rPr>
        <w:t xml:space="preserve"> ed.</w:t>
      </w:r>
      <w:r>
        <w:rPr>
          <w:sz w:val="24"/>
          <w:szCs w:val="24"/>
        </w:rPr>
        <w:t>,</w:t>
      </w:r>
      <w:r w:rsidRPr="00D7732C">
        <w:rPr>
          <w:sz w:val="24"/>
          <w:szCs w:val="24"/>
        </w:rPr>
        <w:t xml:space="preserve"> </w:t>
      </w:r>
      <w:proofErr w:type="gramStart"/>
      <w:r w:rsidRPr="00D7732C">
        <w:rPr>
          <w:rStyle w:val="Emphasis"/>
          <w:sz w:val="24"/>
          <w:szCs w:val="24"/>
        </w:rPr>
        <w:t>The</w:t>
      </w:r>
      <w:proofErr w:type="gramEnd"/>
      <w:r w:rsidRPr="00D7732C">
        <w:rPr>
          <w:rStyle w:val="Emphasis"/>
          <w:sz w:val="24"/>
          <w:szCs w:val="24"/>
        </w:rPr>
        <w:t xml:space="preserve"> Legal Case: Cross Currents between Law and the Humanities</w:t>
      </w:r>
      <w:r w:rsidRPr="00D7732C">
        <w:rPr>
          <w:sz w:val="24"/>
          <w:szCs w:val="24"/>
        </w:rPr>
        <w:t>, (Abingdon</w:t>
      </w:r>
      <w:r>
        <w:rPr>
          <w:sz w:val="24"/>
          <w:szCs w:val="24"/>
        </w:rPr>
        <w:t>,</w:t>
      </w:r>
      <w:r w:rsidRPr="00D7732C">
        <w:rPr>
          <w:sz w:val="24"/>
          <w:szCs w:val="24"/>
        </w:rPr>
        <w:t xml:space="preserve"> Routledge, 2012), </w:t>
      </w:r>
      <w:r>
        <w:rPr>
          <w:sz w:val="24"/>
          <w:szCs w:val="24"/>
        </w:rPr>
        <w:t xml:space="preserve">p. </w:t>
      </w:r>
      <w:r w:rsidRPr="00D7732C">
        <w:rPr>
          <w:sz w:val="24"/>
          <w:szCs w:val="24"/>
        </w:rPr>
        <w:t>6.</w:t>
      </w:r>
    </w:p>
    <w:sectPr w:rsidR="00FA23EA" w:rsidRPr="00AC65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5F" w:rsidRDefault="00AC655F" w:rsidP="00AC655F">
      <w:pPr>
        <w:spacing w:after="0" w:line="240" w:lineRule="auto"/>
      </w:pPr>
      <w:r>
        <w:separator/>
      </w:r>
    </w:p>
  </w:endnote>
  <w:endnote w:type="continuationSeparator" w:id="0">
    <w:p w:rsidR="00AC655F" w:rsidRDefault="00AC655F" w:rsidP="00AC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AA" w:rsidRDefault="00AC655F">
    <w:pPr>
      <w:pStyle w:val="Footer"/>
      <w:jc w:val="right"/>
    </w:pPr>
    <w:r>
      <w:fldChar w:fldCharType="begin"/>
    </w:r>
    <w:r>
      <w:instrText xml:space="preserve"> PAGE   \* MERGEFORMAT </w:instrText>
    </w:r>
    <w:r>
      <w:fldChar w:fldCharType="separate"/>
    </w:r>
    <w:r>
      <w:rPr>
        <w:noProof/>
      </w:rPr>
      <w:t>2</w:t>
    </w:r>
    <w:r>
      <w:fldChar w:fldCharType="end"/>
    </w:r>
  </w:p>
  <w:p w:rsidR="007169AA" w:rsidRDefault="00AC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5F" w:rsidRDefault="00AC655F" w:rsidP="00AC655F">
      <w:pPr>
        <w:spacing w:after="0" w:line="240" w:lineRule="auto"/>
      </w:pPr>
      <w:r>
        <w:separator/>
      </w:r>
    </w:p>
  </w:footnote>
  <w:footnote w:type="continuationSeparator" w:id="0">
    <w:p w:rsidR="00AC655F" w:rsidRDefault="00AC655F" w:rsidP="00AC655F">
      <w:pPr>
        <w:spacing w:after="0" w:line="240" w:lineRule="auto"/>
      </w:pPr>
      <w:r>
        <w:continuationSeparator/>
      </w:r>
    </w:p>
  </w:footnote>
  <w:footnote w:id="1">
    <w:p w:rsidR="00AC655F" w:rsidRDefault="00AC655F" w:rsidP="00AC655F">
      <w:pPr>
        <w:pStyle w:val="FootnoteText"/>
      </w:pPr>
    </w:p>
  </w:footnote>
  <w:footnote w:id="2">
    <w:p w:rsidR="00AC655F" w:rsidRDefault="00AC655F" w:rsidP="00AC655F">
      <w:pPr>
        <w:pStyle w:val="FootnoteText"/>
      </w:pPr>
    </w:p>
  </w:footnote>
  <w:footnote w:id="3">
    <w:p w:rsidR="00AC655F" w:rsidRDefault="00AC655F" w:rsidP="00AC655F">
      <w:pPr>
        <w:pStyle w:val="FootnoteText"/>
      </w:pPr>
    </w:p>
  </w:footnote>
  <w:footnote w:id="4">
    <w:p w:rsidR="00AC655F" w:rsidRDefault="00AC655F" w:rsidP="00AC655F">
      <w:pPr>
        <w:pStyle w:val="FootnoteText"/>
      </w:pPr>
    </w:p>
  </w:footnote>
  <w:footnote w:id="5">
    <w:p w:rsidR="00AC655F" w:rsidRDefault="00AC655F" w:rsidP="00AC655F">
      <w:pPr>
        <w:pStyle w:val="FootnoteText"/>
      </w:pPr>
    </w:p>
  </w:footnote>
  <w:footnote w:id="6">
    <w:p w:rsidR="00AC655F" w:rsidRDefault="00AC655F" w:rsidP="00AC655F">
      <w:pPr>
        <w:pStyle w:val="FootnoteText"/>
      </w:pPr>
    </w:p>
  </w:footnote>
  <w:footnote w:id="7">
    <w:p w:rsidR="00AC655F" w:rsidRDefault="00AC655F" w:rsidP="00AC655F">
      <w:pPr>
        <w:pStyle w:val="FootnoteText"/>
      </w:pPr>
    </w:p>
  </w:footnote>
  <w:footnote w:id="8">
    <w:p w:rsidR="00AC655F" w:rsidRDefault="00AC655F" w:rsidP="00AC655F">
      <w:pPr>
        <w:pStyle w:val="FootnoteText"/>
      </w:pPr>
    </w:p>
  </w:footnote>
  <w:footnote w:id="9">
    <w:p w:rsidR="00AC655F" w:rsidRDefault="00AC655F" w:rsidP="00AC655F">
      <w:pPr>
        <w:pStyle w:val="FootnoteText"/>
      </w:pPr>
    </w:p>
  </w:footnote>
  <w:footnote w:id="10">
    <w:p w:rsidR="00AC655F" w:rsidRDefault="00AC655F" w:rsidP="00AC655F">
      <w:pPr>
        <w:pStyle w:val="FootnoteText"/>
      </w:pPr>
    </w:p>
  </w:footnote>
  <w:footnote w:id="11">
    <w:p w:rsidR="00AC655F" w:rsidRDefault="00AC655F" w:rsidP="00AC655F">
      <w:pPr>
        <w:pStyle w:val="FootnoteText"/>
        <w:jc w:val="both"/>
      </w:pPr>
    </w:p>
  </w:footnote>
  <w:footnote w:id="12">
    <w:p w:rsidR="00AC655F" w:rsidRDefault="00AC655F" w:rsidP="00AC655F">
      <w:pPr>
        <w:pStyle w:val="FootnoteText"/>
      </w:pPr>
    </w:p>
  </w:footnote>
  <w:footnote w:id="13">
    <w:p w:rsidR="00AC655F" w:rsidRDefault="00AC655F" w:rsidP="00AC655F">
      <w:pPr>
        <w:pStyle w:val="FootnoteText"/>
        <w:jc w:val="both"/>
      </w:pPr>
      <w:r w:rsidRPr="004B37B6">
        <w:rPr>
          <w:rFonts w:cs="Calibri"/>
        </w:rPr>
        <w:t xml:space="preserve"> </w:t>
      </w:r>
    </w:p>
  </w:footnote>
  <w:footnote w:id="14">
    <w:p w:rsidR="00AC655F" w:rsidRDefault="00AC655F" w:rsidP="00AC655F">
      <w:pPr>
        <w:pStyle w:val="FootnoteText"/>
        <w:jc w:val="both"/>
      </w:pPr>
    </w:p>
  </w:footnote>
  <w:footnote w:id="15">
    <w:p w:rsidR="00AC655F" w:rsidRDefault="00AC655F" w:rsidP="00AC655F">
      <w:pPr>
        <w:spacing w:after="0" w:line="240" w:lineRule="auto"/>
        <w:jc w:val="both"/>
      </w:pPr>
      <w:r w:rsidRPr="004B37B6">
        <w:rPr>
          <w:rFonts w:cs="Calibri"/>
          <w:sz w:val="20"/>
          <w:szCs w:val="20"/>
        </w:rPr>
        <w:t xml:space="preserve"> </w:t>
      </w:r>
    </w:p>
  </w:footnote>
  <w:footnote w:id="16">
    <w:p w:rsidR="00AC655F" w:rsidRDefault="00AC655F" w:rsidP="00AC655F">
      <w:pPr>
        <w:pStyle w:val="FootnoteText"/>
        <w:jc w:val="both"/>
      </w:pPr>
    </w:p>
  </w:footnote>
  <w:footnote w:id="17">
    <w:p w:rsidR="00AC655F" w:rsidRDefault="00AC655F" w:rsidP="00AC655F">
      <w:pPr>
        <w:pStyle w:val="FootnoteText"/>
        <w:jc w:val="both"/>
      </w:pPr>
      <w:r w:rsidRPr="004B37B6">
        <w:rPr>
          <w:rFonts w:cs="Calibri"/>
        </w:rPr>
        <w:t xml:space="preserve"> </w:t>
      </w:r>
    </w:p>
  </w:footnote>
  <w:footnote w:id="18">
    <w:p w:rsidR="00AC655F" w:rsidRDefault="00AC655F" w:rsidP="00AC655F">
      <w:pPr>
        <w:pStyle w:val="FootnoteText"/>
        <w:jc w:val="both"/>
      </w:pPr>
    </w:p>
  </w:footnote>
  <w:footnote w:id="19">
    <w:p w:rsidR="00AC655F" w:rsidRDefault="00AC655F" w:rsidP="00AC655F">
      <w:pPr>
        <w:pStyle w:val="FootnoteText"/>
        <w:jc w:val="both"/>
      </w:pPr>
    </w:p>
  </w:footnote>
  <w:footnote w:id="20">
    <w:p w:rsidR="00AC655F" w:rsidRDefault="00AC655F" w:rsidP="00AC655F">
      <w:pPr>
        <w:pStyle w:val="FootnoteText"/>
        <w:jc w:val="both"/>
      </w:pPr>
      <w:r w:rsidRPr="00B16BCF">
        <w:rPr>
          <w:rFonts w:cs="Calibri"/>
        </w:rPr>
        <w:t xml:space="preserve"> </w:t>
      </w:r>
    </w:p>
  </w:footnote>
  <w:footnote w:id="21">
    <w:p w:rsidR="00AC655F" w:rsidRDefault="00AC655F" w:rsidP="00AC655F">
      <w:pPr>
        <w:pStyle w:val="FootnoteText"/>
        <w:jc w:val="both"/>
      </w:pPr>
    </w:p>
  </w:footnote>
  <w:footnote w:id="22">
    <w:p w:rsidR="00AC655F" w:rsidRDefault="00AC655F" w:rsidP="00AC655F">
      <w:pPr>
        <w:pStyle w:val="FootnoteText"/>
      </w:pPr>
    </w:p>
  </w:footnote>
  <w:footnote w:id="23">
    <w:p w:rsidR="00AC655F" w:rsidRDefault="00AC655F" w:rsidP="00AC655F">
      <w:pPr>
        <w:pStyle w:val="FootnoteText"/>
      </w:pPr>
    </w:p>
  </w:footnote>
  <w:footnote w:id="24">
    <w:p w:rsidR="00AC655F" w:rsidRDefault="00AC655F" w:rsidP="00AC655F">
      <w:pPr>
        <w:pStyle w:val="FootnoteText"/>
      </w:pPr>
    </w:p>
  </w:footnote>
  <w:footnote w:id="25">
    <w:p w:rsidR="00AC655F" w:rsidRDefault="00AC655F" w:rsidP="00AC655F">
      <w:pPr>
        <w:pStyle w:val="FootnoteText"/>
      </w:pPr>
    </w:p>
  </w:footnote>
  <w:footnote w:id="26">
    <w:p w:rsidR="00AC655F" w:rsidRDefault="00AC655F" w:rsidP="00AC655F">
      <w:pPr>
        <w:pStyle w:val="FootnoteText"/>
      </w:pPr>
    </w:p>
  </w:footnote>
  <w:footnote w:id="27">
    <w:p w:rsidR="00AC655F" w:rsidRDefault="00AC655F" w:rsidP="00AC655F">
      <w:pPr>
        <w:pStyle w:val="FootnoteText"/>
      </w:pPr>
    </w:p>
  </w:footnote>
  <w:footnote w:id="28">
    <w:p w:rsidR="00AC655F" w:rsidRDefault="00AC655F" w:rsidP="00AC655F">
      <w:pPr>
        <w:pStyle w:val="FootnoteText"/>
      </w:pPr>
    </w:p>
  </w:footnote>
  <w:footnote w:id="29">
    <w:p w:rsidR="00AC655F" w:rsidRDefault="00AC655F" w:rsidP="00AC655F">
      <w:pPr>
        <w:pStyle w:val="FootnoteText"/>
      </w:pPr>
    </w:p>
  </w:footnote>
  <w:footnote w:id="30">
    <w:p w:rsidR="00AC655F" w:rsidRDefault="00AC655F" w:rsidP="00AC655F">
      <w:pPr>
        <w:pStyle w:val="FootnoteText"/>
      </w:pPr>
    </w:p>
  </w:footnote>
  <w:footnote w:id="31">
    <w:p w:rsidR="00AC655F" w:rsidRDefault="00AC655F" w:rsidP="00AC655F">
      <w:pPr>
        <w:pStyle w:val="FootnoteText"/>
      </w:pPr>
      <w:r>
        <w:rPr>
          <w:rFonts w:cs="Calibri"/>
        </w:rPr>
        <w:t>.</w:t>
      </w:r>
    </w:p>
  </w:footnote>
  <w:footnote w:id="32">
    <w:p w:rsidR="00AC655F" w:rsidRDefault="00AC655F" w:rsidP="00AC655F">
      <w:pPr>
        <w:pStyle w:val="FootnoteText"/>
      </w:pPr>
    </w:p>
  </w:footnote>
  <w:footnote w:id="33">
    <w:p w:rsidR="00AC655F" w:rsidRDefault="00AC655F" w:rsidP="00AC655F">
      <w:pPr>
        <w:pStyle w:val="FootnoteText"/>
      </w:pPr>
    </w:p>
  </w:footnote>
  <w:footnote w:id="34">
    <w:p w:rsidR="00AC655F" w:rsidRDefault="00AC655F" w:rsidP="00AC655F">
      <w:pPr>
        <w:pStyle w:val="FootnoteText"/>
      </w:pPr>
    </w:p>
  </w:footnote>
  <w:footnote w:id="35">
    <w:p w:rsidR="00AC655F" w:rsidRDefault="00AC655F" w:rsidP="00AC655F">
      <w:pPr>
        <w:pStyle w:val="FootnoteText"/>
      </w:pPr>
    </w:p>
  </w:footnote>
  <w:footnote w:id="36">
    <w:p w:rsidR="00AC655F" w:rsidRDefault="00AC655F" w:rsidP="00AC655F">
      <w:pPr>
        <w:pStyle w:val="FootnoteText"/>
      </w:pPr>
    </w:p>
  </w:footnote>
  <w:footnote w:id="37">
    <w:p w:rsidR="00AC655F" w:rsidRDefault="00AC655F" w:rsidP="00AC655F">
      <w:pPr>
        <w:pStyle w:val="FootnoteText"/>
      </w:pPr>
    </w:p>
  </w:footnote>
  <w:footnote w:id="38">
    <w:p w:rsidR="00AC655F" w:rsidRDefault="00AC655F" w:rsidP="00AC655F">
      <w:pPr>
        <w:pStyle w:val="FootnoteText"/>
      </w:pPr>
    </w:p>
  </w:footnote>
  <w:footnote w:id="39">
    <w:p w:rsidR="00AC655F" w:rsidRDefault="00AC655F" w:rsidP="00AC655F">
      <w:pPr>
        <w:pStyle w:val="FootnoteText"/>
        <w:spacing w:line="276" w:lineRule="auto"/>
        <w:jc w:val="both"/>
      </w:pPr>
    </w:p>
  </w:footnote>
  <w:footnote w:id="40">
    <w:p w:rsidR="00AC655F" w:rsidRDefault="00AC655F" w:rsidP="00AC655F">
      <w:pPr>
        <w:pStyle w:val="FootnoteText"/>
      </w:pPr>
    </w:p>
  </w:footnote>
  <w:footnote w:id="41">
    <w:p w:rsidR="00AC655F" w:rsidRDefault="00AC655F" w:rsidP="00AC655F">
      <w:pPr>
        <w:pStyle w:val="FootnoteText"/>
      </w:pPr>
    </w:p>
  </w:footnote>
  <w:footnote w:id="42">
    <w:p w:rsidR="00AC655F" w:rsidRDefault="00AC655F" w:rsidP="00AC655F">
      <w:pPr>
        <w:pStyle w:val="FootnoteText"/>
      </w:pPr>
    </w:p>
  </w:footnote>
  <w:footnote w:id="43">
    <w:p w:rsidR="00AC655F" w:rsidRDefault="00AC655F" w:rsidP="00AC655F">
      <w:pPr>
        <w:pStyle w:val="FootnoteText"/>
      </w:pPr>
    </w:p>
  </w:footnote>
  <w:footnote w:id="44">
    <w:p w:rsidR="00AC655F" w:rsidRDefault="00AC655F" w:rsidP="00AC655F">
      <w:pPr>
        <w:pStyle w:val="FootnoteText"/>
      </w:pPr>
    </w:p>
  </w:footnote>
  <w:footnote w:id="45">
    <w:p w:rsidR="00AC655F" w:rsidRDefault="00AC655F" w:rsidP="00AC655F">
      <w:pPr>
        <w:pStyle w:val="FootnoteText"/>
      </w:pPr>
    </w:p>
  </w:footnote>
  <w:footnote w:id="46">
    <w:p w:rsidR="00AC655F" w:rsidRDefault="00AC655F" w:rsidP="00AC655F">
      <w:pPr>
        <w:pStyle w:val="FootnoteText"/>
      </w:pPr>
    </w:p>
  </w:footnote>
  <w:footnote w:id="47">
    <w:p w:rsidR="00AC655F" w:rsidRDefault="00AC655F" w:rsidP="00AC655F">
      <w:pPr>
        <w:pStyle w:val="FootnoteText"/>
      </w:pPr>
    </w:p>
  </w:footnote>
  <w:footnote w:id="48">
    <w:p w:rsidR="00AC655F" w:rsidRDefault="00AC655F" w:rsidP="00AC655F">
      <w:pPr>
        <w:pStyle w:val="FootnoteText"/>
      </w:pPr>
    </w:p>
  </w:footnote>
  <w:footnote w:id="49">
    <w:p w:rsidR="00AC655F" w:rsidRDefault="00AC655F" w:rsidP="00AC655F">
      <w:pPr>
        <w:pStyle w:val="FootnoteText"/>
      </w:pPr>
    </w:p>
  </w:footnote>
  <w:footnote w:id="50">
    <w:p w:rsidR="00AC655F" w:rsidRDefault="00AC655F" w:rsidP="00AC655F">
      <w:pPr>
        <w:pStyle w:val="FootnoteText"/>
      </w:pPr>
    </w:p>
  </w:footnote>
  <w:footnote w:id="51">
    <w:p w:rsidR="00AC655F" w:rsidRDefault="00AC655F" w:rsidP="00AC655F">
      <w:pPr>
        <w:pStyle w:val="FootnoteText"/>
      </w:pPr>
    </w:p>
  </w:footnote>
  <w:footnote w:id="52">
    <w:p w:rsidR="00AC655F" w:rsidRDefault="00AC655F" w:rsidP="00AC655F">
      <w:pPr>
        <w:pStyle w:val="FootnoteText"/>
      </w:pPr>
    </w:p>
  </w:footnote>
  <w:footnote w:id="53">
    <w:p w:rsidR="00AC655F" w:rsidRDefault="00AC655F" w:rsidP="00AC655F">
      <w:pPr>
        <w:autoSpaceDE w:val="0"/>
        <w:autoSpaceDN w:val="0"/>
        <w:adjustRightInd w:val="0"/>
        <w:spacing w:after="0" w:line="240" w:lineRule="auto"/>
        <w:jc w:val="both"/>
      </w:pPr>
      <w:r w:rsidRPr="00F6040C">
        <w:rPr>
          <w:rStyle w:val="googqs-tidbitgoogqs-tidbit-0googqs-tidbit-hilite"/>
          <w:rFonts w:cs="Calibri"/>
          <w:sz w:val="20"/>
          <w:szCs w:val="20"/>
        </w:rPr>
        <w:t xml:space="preserve"> </w:t>
      </w:r>
    </w:p>
  </w:footnote>
  <w:footnote w:id="54">
    <w:p w:rsidR="00AC655F" w:rsidRDefault="00AC655F" w:rsidP="00AC655F">
      <w:pPr>
        <w:pStyle w:val="FootnoteText"/>
      </w:pPr>
    </w:p>
  </w:footnote>
  <w:footnote w:id="55">
    <w:p w:rsidR="00AC655F" w:rsidRDefault="00AC655F" w:rsidP="00AC655F">
      <w:pPr>
        <w:pStyle w:val="FootnoteText"/>
        <w:jc w:val="both"/>
      </w:pPr>
    </w:p>
  </w:footnote>
  <w:footnote w:id="56">
    <w:p w:rsidR="00AC655F" w:rsidRDefault="00AC655F" w:rsidP="00AC655F">
      <w:pPr>
        <w:pStyle w:val="FootnoteText"/>
        <w:jc w:val="both"/>
      </w:pPr>
      <w:r w:rsidRPr="00F6040C">
        <w:rPr>
          <w:rFonts w:cs="Calibri"/>
        </w:rPr>
        <w:t xml:space="preserve"> </w:t>
      </w:r>
    </w:p>
  </w:footnote>
  <w:footnote w:id="57">
    <w:p w:rsidR="00AC655F" w:rsidRDefault="00AC655F" w:rsidP="00AC655F">
      <w:pPr>
        <w:pStyle w:val="FootnoteText"/>
      </w:pPr>
    </w:p>
  </w:footnote>
  <w:footnote w:id="58">
    <w:p w:rsidR="00AC655F" w:rsidRDefault="00AC655F" w:rsidP="00AC655F">
      <w:pPr>
        <w:pStyle w:val="FootnoteText"/>
      </w:pPr>
    </w:p>
  </w:footnote>
  <w:footnote w:id="59">
    <w:p w:rsidR="00AC655F" w:rsidRDefault="00AC655F" w:rsidP="00AC655F">
      <w:pPr>
        <w:pStyle w:val="FootnoteText"/>
        <w:jc w:val="both"/>
      </w:pPr>
    </w:p>
  </w:footnote>
  <w:footnote w:id="60">
    <w:p w:rsidR="00AC655F" w:rsidRDefault="00AC655F" w:rsidP="00AC655F">
      <w:pPr>
        <w:pStyle w:val="FootnoteText"/>
      </w:pPr>
    </w:p>
  </w:footnote>
  <w:footnote w:id="61">
    <w:p w:rsidR="00AC655F" w:rsidRDefault="00AC655F" w:rsidP="00AC655F">
      <w:pPr>
        <w:pStyle w:val="FootnoteText"/>
      </w:pPr>
    </w:p>
  </w:footnote>
  <w:footnote w:id="62">
    <w:p w:rsidR="00AC655F" w:rsidRDefault="00AC655F" w:rsidP="00AC655F">
      <w:pPr>
        <w:pStyle w:val="FootnoteText"/>
        <w:jc w:val="both"/>
      </w:pPr>
    </w:p>
  </w:footnote>
  <w:footnote w:id="63">
    <w:p w:rsidR="00AC655F" w:rsidRDefault="00AC655F" w:rsidP="00AC655F">
      <w:pPr>
        <w:pStyle w:val="FootnoteText"/>
        <w:jc w:val="both"/>
      </w:pPr>
    </w:p>
  </w:footnote>
  <w:footnote w:id="64">
    <w:p w:rsidR="00AC655F" w:rsidRDefault="00AC655F" w:rsidP="00AC655F">
      <w:pPr>
        <w:pStyle w:val="FootnoteText"/>
      </w:pPr>
    </w:p>
  </w:footnote>
  <w:footnote w:id="65">
    <w:p w:rsidR="00AC655F" w:rsidRDefault="00AC655F" w:rsidP="00AC655F">
      <w:pPr>
        <w:pStyle w:val="FootnoteText"/>
      </w:pPr>
      <w:r>
        <w:rPr>
          <w:lang w:val="en"/>
        </w:rPr>
        <w:t xml:space="preserve"> </w:t>
      </w:r>
    </w:p>
  </w:footnote>
  <w:footnote w:id="66">
    <w:p w:rsidR="00AC655F" w:rsidRDefault="00AC655F" w:rsidP="00AC655F">
      <w:pPr>
        <w:pStyle w:val="FootnoteText"/>
      </w:pPr>
    </w:p>
  </w:footnote>
  <w:footnote w:id="67">
    <w:p w:rsidR="00AC655F" w:rsidRDefault="00AC655F" w:rsidP="00AC655F">
      <w:pPr>
        <w:pStyle w:val="FootnoteText"/>
      </w:pPr>
    </w:p>
  </w:footnote>
  <w:footnote w:id="68">
    <w:p w:rsidR="00AC655F" w:rsidRDefault="00AC655F" w:rsidP="00AC655F">
      <w:pPr>
        <w:pStyle w:val="FootnoteText"/>
      </w:pPr>
    </w:p>
  </w:footnote>
  <w:footnote w:id="69">
    <w:p w:rsidR="00AC655F" w:rsidRDefault="00AC655F" w:rsidP="00AC655F">
      <w:pPr>
        <w:pStyle w:val="FootnoteText"/>
      </w:pPr>
    </w:p>
  </w:footnote>
  <w:footnote w:id="70">
    <w:p w:rsidR="00AC655F" w:rsidRDefault="00AC655F" w:rsidP="00AC655F">
      <w:pPr>
        <w:pStyle w:val="FootnoteText"/>
      </w:pPr>
    </w:p>
  </w:footnote>
  <w:footnote w:id="71">
    <w:p w:rsidR="00AC655F" w:rsidRDefault="00AC655F" w:rsidP="00AC655F">
      <w:pPr>
        <w:pStyle w:val="FootnoteText"/>
      </w:pPr>
    </w:p>
  </w:footnote>
  <w:footnote w:id="72">
    <w:p w:rsidR="00AC655F" w:rsidRDefault="00AC655F" w:rsidP="00AC655F">
      <w:pPr>
        <w:pStyle w:val="FootnoteText"/>
      </w:pPr>
    </w:p>
  </w:footnote>
  <w:footnote w:id="73">
    <w:p w:rsidR="00AC655F" w:rsidRDefault="00AC655F" w:rsidP="00AC655F">
      <w:pPr>
        <w:pStyle w:val="FootnoteText"/>
      </w:pPr>
    </w:p>
  </w:footnote>
  <w:footnote w:id="74">
    <w:p w:rsidR="00AC655F" w:rsidRDefault="00AC655F" w:rsidP="00AC655F">
      <w:pPr>
        <w:pStyle w:val="FootnoteText"/>
      </w:pPr>
    </w:p>
  </w:footnote>
  <w:footnote w:id="75">
    <w:p w:rsidR="00AC655F" w:rsidRDefault="00AC655F" w:rsidP="00AC655F">
      <w:pPr>
        <w:pStyle w:val="FootnoteText"/>
        <w:spacing w:line="276" w:lineRule="auto"/>
        <w:jc w:val="both"/>
      </w:pPr>
    </w:p>
  </w:footnote>
  <w:footnote w:id="76">
    <w:p w:rsidR="00AC655F" w:rsidRDefault="00AC655F" w:rsidP="00AC655F">
      <w:pPr>
        <w:pStyle w:val="FootnoteText"/>
      </w:pPr>
    </w:p>
  </w:footnote>
  <w:footnote w:id="77">
    <w:p w:rsidR="00AC655F" w:rsidRDefault="00AC655F" w:rsidP="00AC655F">
      <w:pPr>
        <w:pStyle w:val="FootnoteText"/>
      </w:pPr>
    </w:p>
  </w:footnote>
  <w:footnote w:id="78">
    <w:p w:rsidR="00AC655F" w:rsidRDefault="00AC655F" w:rsidP="00AC655F">
      <w:pPr>
        <w:pStyle w:val="FootnoteText"/>
      </w:pPr>
    </w:p>
  </w:footnote>
  <w:footnote w:id="79">
    <w:p w:rsidR="00AC655F" w:rsidRDefault="00AC655F" w:rsidP="00AC655F">
      <w:pPr>
        <w:pStyle w:val="FootnoteText"/>
      </w:pPr>
    </w:p>
  </w:footnote>
  <w:footnote w:id="80">
    <w:p w:rsidR="00AC655F" w:rsidRDefault="00AC655F" w:rsidP="00AC655F">
      <w:pPr>
        <w:pStyle w:val="FootnoteText"/>
      </w:pPr>
    </w:p>
  </w:footnote>
  <w:footnote w:id="81">
    <w:p w:rsidR="00AC655F" w:rsidRDefault="00AC655F" w:rsidP="00AC655F">
      <w:pPr>
        <w:pStyle w:val="FootnoteText"/>
      </w:pPr>
    </w:p>
  </w:footnote>
  <w:footnote w:id="82">
    <w:p w:rsidR="00AC655F" w:rsidRDefault="00AC655F" w:rsidP="00AC655F">
      <w:pPr>
        <w:spacing w:after="0" w:line="240" w:lineRule="auto"/>
        <w:jc w:val="both"/>
      </w:pPr>
    </w:p>
  </w:footnote>
  <w:footnote w:id="83">
    <w:p w:rsidR="00AC655F" w:rsidRDefault="00AC655F" w:rsidP="00AC655F">
      <w:pPr>
        <w:pStyle w:val="FootnoteText"/>
      </w:pPr>
    </w:p>
  </w:footnote>
  <w:footnote w:id="84">
    <w:p w:rsidR="00AC655F" w:rsidRDefault="00AC655F" w:rsidP="00AC655F">
      <w:pPr>
        <w:pStyle w:val="FootnoteText"/>
      </w:pPr>
    </w:p>
  </w:footnote>
  <w:footnote w:id="85">
    <w:p w:rsidR="00AC655F" w:rsidRDefault="00AC655F" w:rsidP="00AC655F">
      <w:pPr>
        <w:pStyle w:val="FootnoteText"/>
      </w:pPr>
    </w:p>
  </w:footnote>
  <w:footnote w:id="86">
    <w:p w:rsidR="00AC655F" w:rsidRDefault="00AC655F" w:rsidP="00AC655F">
      <w:pPr>
        <w:pStyle w:val="FootnoteText"/>
      </w:pPr>
    </w:p>
  </w:footnote>
  <w:footnote w:id="87">
    <w:p w:rsidR="00AC655F" w:rsidRDefault="00AC655F" w:rsidP="00AC65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5F"/>
    <w:rsid w:val="00AC655F"/>
    <w:rsid w:val="00FA23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F"/>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55F"/>
    <w:pPr>
      <w:spacing w:after="0" w:line="240" w:lineRule="auto"/>
    </w:pPr>
    <w:rPr>
      <w:sz w:val="20"/>
      <w:szCs w:val="20"/>
    </w:rPr>
  </w:style>
  <w:style w:type="character" w:customStyle="1" w:styleId="FootnoteTextChar">
    <w:name w:val="Footnote Text Char"/>
    <w:basedOn w:val="DefaultParagraphFont"/>
    <w:link w:val="FootnoteText"/>
    <w:uiPriority w:val="99"/>
    <w:rsid w:val="00AC655F"/>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AC655F"/>
    <w:rPr>
      <w:rFonts w:cs="Times New Roman"/>
      <w:vertAlign w:val="superscript"/>
    </w:rPr>
  </w:style>
  <w:style w:type="character" w:customStyle="1" w:styleId="googqs-tidbitgoogqs-tidbit-0googqs-tidbit-hilite">
    <w:name w:val="goog_qs-tidbit goog_qs-tidbit-0 goog_qs-tidbit-hilite"/>
    <w:rsid w:val="00AC655F"/>
  </w:style>
  <w:style w:type="character" w:customStyle="1" w:styleId="ft">
    <w:name w:val="ft"/>
    <w:rsid w:val="00AC655F"/>
  </w:style>
  <w:style w:type="paragraph" w:styleId="Footer">
    <w:name w:val="footer"/>
    <w:basedOn w:val="Normal"/>
    <w:link w:val="FooterChar"/>
    <w:uiPriority w:val="99"/>
    <w:unhideWhenUsed/>
    <w:rsid w:val="00AC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55F"/>
    <w:rPr>
      <w:rFonts w:eastAsia="Times New Roman" w:cs="Times New Roman"/>
      <w:lang w:eastAsia="en-US"/>
    </w:rPr>
  </w:style>
  <w:style w:type="character" w:customStyle="1" w:styleId="tgc">
    <w:name w:val="_tgc"/>
    <w:basedOn w:val="DefaultParagraphFont"/>
    <w:rsid w:val="00AC655F"/>
    <w:rPr>
      <w:rFonts w:cs="Times New Roman"/>
    </w:rPr>
  </w:style>
  <w:style w:type="character" w:styleId="Emphasis">
    <w:name w:val="Emphasis"/>
    <w:basedOn w:val="DefaultParagraphFont"/>
    <w:uiPriority w:val="20"/>
    <w:qFormat/>
    <w:rsid w:val="00AC655F"/>
    <w:rPr>
      <w:rFonts w:cs="Times New Roman"/>
      <w:i/>
      <w:iCs/>
    </w:rPr>
  </w:style>
  <w:style w:type="character" w:customStyle="1" w:styleId="st1">
    <w:name w:val="st1"/>
    <w:rsid w:val="00AC655F"/>
  </w:style>
  <w:style w:type="character" w:customStyle="1" w:styleId="subfielddata1">
    <w:name w:val="subfielddata1"/>
    <w:rsid w:val="00AC655F"/>
    <w:rPr>
      <w:vanish/>
    </w:rPr>
  </w:style>
  <w:style w:type="character" w:customStyle="1" w:styleId="citation">
    <w:name w:val="citation"/>
    <w:rsid w:val="00AC655F"/>
  </w:style>
  <w:style w:type="character" w:customStyle="1" w:styleId="personname">
    <w:name w:val="person_name"/>
    <w:basedOn w:val="DefaultParagraphFont"/>
    <w:rsid w:val="00AC655F"/>
    <w:rPr>
      <w:rFonts w:cs="Times New Roman"/>
    </w:rPr>
  </w:style>
  <w:style w:type="character" w:customStyle="1" w:styleId="source">
    <w:name w:val="source"/>
    <w:rsid w:val="00AC655F"/>
  </w:style>
  <w:style w:type="character" w:customStyle="1" w:styleId="googqs-tidbit-0">
    <w:name w:val="goog_qs-tidbit-0"/>
    <w:rsid w:val="00AC655F"/>
  </w:style>
  <w:style w:type="character" w:styleId="Hyperlink">
    <w:name w:val="Hyperlink"/>
    <w:basedOn w:val="DefaultParagraphFont"/>
    <w:uiPriority w:val="99"/>
    <w:unhideWhenUsed/>
    <w:rsid w:val="00AC655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F"/>
    <w:rPr>
      <w:rFonts w:eastAsia="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55F"/>
    <w:pPr>
      <w:spacing w:after="0" w:line="240" w:lineRule="auto"/>
    </w:pPr>
    <w:rPr>
      <w:sz w:val="20"/>
      <w:szCs w:val="20"/>
    </w:rPr>
  </w:style>
  <w:style w:type="character" w:customStyle="1" w:styleId="FootnoteTextChar">
    <w:name w:val="Footnote Text Char"/>
    <w:basedOn w:val="DefaultParagraphFont"/>
    <w:link w:val="FootnoteText"/>
    <w:uiPriority w:val="99"/>
    <w:rsid w:val="00AC655F"/>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AC655F"/>
    <w:rPr>
      <w:rFonts w:cs="Times New Roman"/>
      <w:vertAlign w:val="superscript"/>
    </w:rPr>
  </w:style>
  <w:style w:type="character" w:customStyle="1" w:styleId="googqs-tidbitgoogqs-tidbit-0googqs-tidbit-hilite">
    <w:name w:val="goog_qs-tidbit goog_qs-tidbit-0 goog_qs-tidbit-hilite"/>
    <w:rsid w:val="00AC655F"/>
  </w:style>
  <w:style w:type="character" w:customStyle="1" w:styleId="ft">
    <w:name w:val="ft"/>
    <w:rsid w:val="00AC655F"/>
  </w:style>
  <w:style w:type="paragraph" w:styleId="Footer">
    <w:name w:val="footer"/>
    <w:basedOn w:val="Normal"/>
    <w:link w:val="FooterChar"/>
    <w:uiPriority w:val="99"/>
    <w:unhideWhenUsed/>
    <w:rsid w:val="00AC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55F"/>
    <w:rPr>
      <w:rFonts w:eastAsia="Times New Roman" w:cs="Times New Roman"/>
      <w:lang w:eastAsia="en-US"/>
    </w:rPr>
  </w:style>
  <w:style w:type="character" w:customStyle="1" w:styleId="tgc">
    <w:name w:val="_tgc"/>
    <w:basedOn w:val="DefaultParagraphFont"/>
    <w:rsid w:val="00AC655F"/>
    <w:rPr>
      <w:rFonts w:cs="Times New Roman"/>
    </w:rPr>
  </w:style>
  <w:style w:type="character" w:styleId="Emphasis">
    <w:name w:val="Emphasis"/>
    <w:basedOn w:val="DefaultParagraphFont"/>
    <w:uiPriority w:val="20"/>
    <w:qFormat/>
    <w:rsid w:val="00AC655F"/>
    <w:rPr>
      <w:rFonts w:cs="Times New Roman"/>
      <w:i/>
      <w:iCs/>
    </w:rPr>
  </w:style>
  <w:style w:type="character" w:customStyle="1" w:styleId="st1">
    <w:name w:val="st1"/>
    <w:rsid w:val="00AC655F"/>
  </w:style>
  <w:style w:type="character" w:customStyle="1" w:styleId="subfielddata1">
    <w:name w:val="subfielddata1"/>
    <w:rsid w:val="00AC655F"/>
    <w:rPr>
      <w:vanish/>
    </w:rPr>
  </w:style>
  <w:style w:type="character" w:customStyle="1" w:styleId="citation">
    <w:name w:val="citation"/>
    <w:rsid w:val="00AC655F"/>
  </w:style>
  <w:style w:type="character" w:customStyle="1" w:styleId="personname">
    <w:name w:val="person_name"/>
    <w:basedOn w:val="DefaultParagraphFont"/>
    <w:rsid w:val="00AC655F"/>
    <w:rPr>
      <w:rFonts w:cs="Times New Roman"/>
    </w:rPr>
  </w:style>
  <w:style w:type="character" w:customStyle="1" w:styleId="source">
    <w:name w:val="source"/>
    <w:rsid w:val="00AC655F"/>
  </w:style>
  <w:style w:type="character" w:customStyle="1" w:styleId="googqs-tidbit-0">
    <w:name w:val="goog_qs-tidbit-0"/>
    <w:rsid w:val="00AC655F"/>
  </w:style>
  <w:style w:type="character" w:styleId="Hyperlink">
    <w:name w:val="Hyperlink"/>
    <w:basedOn w:val="DefaultParagraphFont"/>
    <w:uiPriority w:val="99"/>
    <w:unhideWhenUsed/>
    <w:rsid w:val="00AC655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edu/Departments/Italian_Studies/dweb/texts/DecShowText.php?lang=eng&amp;myID=nov0805&amp;expand=day08" TargetMode="External"/><Relationship Id="rId3" Type="http://schemas.openxmlformats.org/officeDocument/2006/relationships/settings" Target="settings.xml"/><Relationship Id="rId7" Type="http://schemas.openxmlformats.org/officeDocument/2006/relationships/hyperlink" Target="mailto:clare.sandford-couch@northumbria.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8661</Words>
  <Characters>49369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Sandford-Couch</dc:creator>
  <cp:lastModifiedBy>Clare Sandford-Couch</cp:lastModifiedBy>
  <cp:revision>1</cp:revision>
  <dcterms:created xsi:type="dcterms:W3CDTF">2016-05-04T07:57:00Z</dcterms:created>
  <dcterms:modified xsi:type="dcterms:W3CDTF">2016-05-04T07:59:00Z</dcterms:modified>
</cp:coreProperties>
</file>