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705F3" w14:textId="77777777" w:rsidR="00CF47F2" w:rsidRPr="008139E6" w:rsidRDefault="00CF47F2" w:rsidP="0090138D">
      <w:pPr>
        <w:jc w:val="center"/>
        <w:rPr>
          <w:b/>
        </w:rPr>
      </w:pPr>
      <w:bookmarkStart w:id="0" w:name="_GoBack"/>
    </w:p>
    <w:p w14:paraId="4E6AEEFB" w14:textId="4016A69E" w:rsidR="00F83987" w:rsidRPr="008139E6" w:rsidRDefault="00FB70CF" w:rsidP="0090138D">
      <w:pPr>
        <w:jc w:val="center"/>
        <w:rPr>
          <w:b/>
        </w:rPr>
      </w:pPr>
      <w:r w:rsidRPr="008139E6">
        <w:rPr>
          <w:b/>
        </w:rPr>
        <w:t xml:space="preserve">Improving </w:t>
      </w:r>
      <w:r w:rsidR="003D7D7D" w:rsidRPr="008139E6">
        <w:rPr>
          <w:b/>
        </w:rPr>
        <w:t xml:space="preserve">the </w:t>
      </w:r>
      <w:r w:rsidRPr="008139E6">
        <w:rPr>
          <w:b/>
        </w:rPr>
        <w:t>n</w:t>
      </w:r>
      <w:r w:rsidR="00F83987" w:rsidRPr="008139E6">
        <w:rPr>
          <w:b/>
        </w:rPr>
        <w:t>on-technical ward round skills</w:t>
      </w:r>
      <w:r w:rsidR="003D7D7D" w:rsidRPr="008139E6">
        <w:rPr>
          <w:b/>
        </w:rPr>
        <w:t xml:space="preserve"> of medical students</w:t>
      </w:r>
      <w:r w:rsidR="00F83987" w:rsidRPr="008139E6">
        <w:rPr>
          <w:b/>
        </w:rPr>
        <w:t xml:space="preserve"> </w:t>
      </w:r>
    </w:p>
    <w:p w14:paraId="164CD93F" w14:textId="0C2FD01F" w:rsidR="008139E6" w:rsidRPr="008139E6" w:rsidRDefault="008139E6" w:rsidP="0090138D">
      <w:pPr>
        <w:jc w:val="center"/>
      </w:pPr>
      <w:r w:rsidRPr="008139E6">
        <w:t xml:space="preserve">Harvey, Rachel, Murray, Kara, </w:t>
      </w:r>
      <w:proofErr w:type="spellStart"/>
      <w:r w:rsidRPr="008139E6">
        <w:t>Mckenzie</w:t>
      </w:r>
      <w:proofErr w:type="spellEnd"/>
      <w:r w:rsidRPr="008139E6">
        <w:t xml:space="preserve">, Karen, </w:t>
      </w:r>
      <w:proofErr w:type="spellStart"/>
      <w:r w:rsidRPr="008139E6">
        <w:t>Mellanby</w:t>
      </w:r>
      <w:proofErr w:type="spellEnd"/>
      <w:r w:rsidRPr="008139E6">
        <w:t xml:space="preserve">, Ed, </w:t>
      </w:r>
      <w:proofErr w:type="spellStart"/>
      <w:r w:rsidRPr="008139E6">
        <w:t>Crighton</w:t>
      </w:r>
      <w:proofErr w:type="spellEnd"/>
      <w:r w:rsidRPr="008139E6">
        <w:t>, Fiona and Henderson, Duncan</w:t>
      </w:r>
    </w:p>
    <w:p w14:paraId="521B171E" w14:textId="77777777" w:rsidR="008139E6" w:rsidRPr="008139E6" w:rsidRDefault="008139E6" w:rsidP="0090138D">
      <w:pPr>
        <w:jc w:val="center"/>
        <w:rPr>
          <w:b/>
        </w:rPr>
      </w:pPr>
    </w:p>
    <w:p w14:paraId="775F0140" w14:textId="77777777" w:rsidR="00F83987" w:rsidRPr="008139E6" w:rsidRDefault="00F83987" w:rsidP="0090138D">
      <w:pPr>
        <w:jc w:val="center"/>
        <w:rPr>
          <w:b/>
        </w:rPr>
      </w:pPr>
    </w:p>
    <w:p w14:paraId="47C2E63D" w14:textId="77777777" w:rsidR="00F83987" w:rsidRPr="008139E6" w:rsidRDefault="00F83987" w:rsidP="0090138D">
      <w:pPr>
        <w:rPr>
          <w:b/>
          <w:kern w:val="1"/>
          <w:lang w:val="en-US" w:eastAsia="en-US"/>
        </w:rPr>
      </w:pPr>
    </w:p>
    <w:p w14:paraId="0B6D4F5B" w14:textId="77777777" w:rsidR="00F83987" w:rsidRPr="008139E6" w:rsidRDefault="00F83987" w:rsidP="0090138D">
      <w:pPr>
        <w:jc w:val="center"/>
        <w:rPr>
          <w:b/>
        </w:rPr>
      </w:pPr>
    </w:p>
    <w:p w14:paraId="7BD2E4F6" w14:textId="1F9ADFFA" w:rsidR="00F83987" w:rsidRPr="008139E6" w:rsidRDefault="00F83987" w:rsidP="0090138D">
      <w:pPr>
        <w:rPr>
          <w:b/>
        </w:rPr>
      </w:pPr>
      <w:r w:rsidRPr="008139E6">
        <w:rPr>
          <w:b/>
        </w:rPr>
        <w:br w:type="page"/>
      </w:r>
    </w:p>
    <w:p w14:paraId="64A6AAF9" w14:textId="77777777" w:rsidR="00F83987" w:rsidRPr="008139E6" w:rsidRDefault="00F83987" w:rsidP="0090138D">
      <w:pPr>
        <w:jc w:val="both"/>
        <w:rPr>
          <w:b/>
        </w:rPr>
      </w:pPr>
      <w:r w:rsidRPr="008139E6">
        <w:rPr>
          <w:b/>
        </w:rPr>
        <w:lastRenderedPageBreak/>
        <w:t>Abstract</w:t>
      </w:r>
    </w:p>
    <w:p w14:paraId="600B58A7" w14:textId="34E1F1C9" w:rsidR="0005162E" w:rsidRPr="008139E6" w:rsidRDefault="005762FF" w:rsidP="00AE49CA">
      <w:pPr>
        <w:autoSpaceDE w:val="0"/>
        <w:autoSpaceDN w:val="0"/>
        <w:adjustRightInd w:val="0"/>
        <w:jc w:val="both"/>
      </w:pPr>
      <w:r w:rsidRPr="008139E6">
        <w:rPr>
          <w:i/>
        </w:rPr>
        <w:t>Background</w:t>
      </w:r>
      <w:r w:rsidR="00787BED" w:rsidRPr="008139E6">
        <w:t xml:space="preserve">: </w:t>
      </w:r>
      <w:r w:rsidR="00F83987" w:rsidRPr="008139E6">
        <w:t xml:space="preserve">Research </w:t>
      </w:r>
      <w:r w:rsidR="00AE49CA" w:rsidRPr="008139E6">
        <w:t xml:space="preserve">indicates </w:t>
      </w:r>
      <w:r w:rsidR="00F83987" w:rsidRPr="008139E6">
        <w:t>that non-technical skills (NTS) contribute to patient outcome, but no NTS framework currently exists to evaluate the ward round behaviours of</w:t>
      </w:r>
      <w:r w:rsidR="00AB1B20" w:rsidRPr="008139E6">
        <w:t xml:space="preserve"> medical students</w:t>
      </w:r>
      <w:r w:rsidR="00F83987" w:rsidRPr="008139E6">
        <w:t>.</w:t>
      </w:r>
      <w:r w:rsidR="00F83987" w:rsidRPr="008139E6">
        <w:rPr>
          <w:b/>
        </w:rPr>
        <w:t xml:space="preserve"> </w:t>
      </w:r>
      <w:r w:rsidR="00AE49CA" w:rsidRPr="008139E6">
        <w:t xml:space="preserve">We </w:t>
      </w:r>
      <w:r w:rsidR="00F83987" w:rsidRPr="008139E6">
        <w:t>aimed</w:t>
      </w:r>
      <w:r w:rsidR="00F83987" w:rsidRPr="008139E6">
        <w:rPr>
          <w:b/>
        </w:rPr>
        <w:t xml:space="preserve"> </w:t>
      </w:r>
      <w:r w:rsidR="00F83987" w:rsidRPr="008139E6">
        <w:t xml:space="preserve">to explore whether a valid and reliable </w:t>
      </w:r>
      <w:r w:rsidR="00AE49CA" w:rsidRPr="008139E6">
        <w:t>NTS f</w:t>
      </w:r>
      <w:r w:rsidR="00F83987" w:rsidRPr="008139E6">
        <w:t xml:space="preserve">ramework could be developed and used to evaluate an educational intervention </w:t>
      </w:r>
      <w:r w:rsidRPr="008139E6">
        <w:t xml:space="preserve">(ward round simulation and structured debrief) </w:t>
      </w:r>
      <w:r w:rsidR="00F83987" w:rsidRPr="008139E6">
        <w:t xml:space="preserve">to improve the ward round NTS of this group. </w:t>
      </w:r>
    </w:p>
    <w:p w14:paraId="0941D68C" w14:textId="52C82D37" w:rsidR="0005162E" w:rsidRPr="008139E6" w:rsidRDefault="005762FF" w:rsidP="00787BED">
      <w:pPr>
        <w:autoSpaceDE w:val="0"/>
        <w:autoSpaceDN w:val="0"/>
        <w:adjustRightInd w:val="0"/>
        <w:jc w:val="both"/>
      </w:pPr>
      <w:r w:rsidRPr="008139E6">
        <w:rPr>
          <w:i/>
        </w:rPr>
        <w:t>Methods</w:t>
      </w:r>
      <w:r w:rsidR="00787BED" w:rsidRPr="008139E6">
        <w:t xml:space="preserve">: </w:t>
      </w:r>
      <w:r w:rsidR="00F83987" w:rsidRPr="008139E6">
        <w:t xml:space="preserve">A NTS framework was developed based on 70 patient interactions from </w:t>
      </w:r>
      <w:r w:rsidRPr="008139E6">
        <w:t>19</w:t>
      </w:r>
      <w:r w:rsidR="00F83987" w:rsidRPr="008139E6">
        <w:t xml:space="preserve"> simulated ward rounds. Medical students role–played both the patients and junior doctors and Faculty acted as consultant and nursing staff. Four patient scenarios, derived from clinical adverse event discussions, were used to highlight patient safety issues within the simulations. After a structured debrief the student roles were reversed and the ward round was repeated with the same scenarios. The simulations were used to develop the initial framework and the simulated patient interactions were </w:t>
      </w:r>
      <w:r w:rsidR="00AE49CA" w:rsidRPr="008139E6">
        <w:t xml:space="preserve">then </w:t>
      </w:r>
      <w:r w:rsidR="00F83987" w:rsidRPr="008139E6">
        <w:t>scored using the framework by two non-medical researchers. The final NTS framework comprised seven categories, five which corresponded with existing categories (Communication, Decision Making, Situational Awareness, Teamwork and Task Management) along with two new categories (Student Initiative an</w:t>
      </w:r>
      <w:r w:rsidR="008348C5" w:rsidRPr="008139E6">
        <w:t xml:space="preserve">d Responsiveness to Patient). </w:t>
      </w:r>
    </w:p>
    <w:p w14:paraId="0037CCA7" w14:textId="77777777" w:rsidR="0005162E" w:rsidRPr="008139E6" w:rsidRDefault="008348C5" w:rsidP="00787BED">
      <w:pPr>
        <w:autoSpaceDE w:val="0"/>
        <w:autoSpaceDN w:val="0"/>
        <w:adjustRightInd w:val="0"/>
        <w:jc w:val="both"/>
      </w:pPr>
      <w:r w:rsidRPr="008139E6">
        <w:t xml:space="preserve"> </w:t>
      </w:r>
      <w:r w:rsidR="00787BED" w:rsidRPr="008139E6">
        <w:rPr>
          <w:i/>
        </w:rPr>
        <w:t>Results</w:t>
      </w:r>
      <w:r w:rsidR="00787BED" w:rsidRPr="008139E6">
        <w:t xml:space="preserve">: </w:t>
      </w:r>
      <w:r w:rsidR="00F83987" w:rsidRPr="008139E6">
        <w:t xml:space="preserve">All but Teamwork had at least fair inter-rater reliability.  Significant improvement was found in all of the original NTS categories, with the exception of Situational Awareness, following the structured debrief. </w:t>
      </w:r>
    </w:p>
    <w:p w14:paraId="68FA0B2A" w14:textId="647B72FE" w:rsidR="00F83987" w:rsidRPr="008139E6" w:rsidRDefault="005762FF" w:rsidP="00787BED">
      <w:pPr>
        <w:autoSpaceDE w:val="0"/>
        <w:autoSpaceDN w:val="0"/>
        <w:adjustRightInd w:val="0"/>
        <w:jc w:val="both"/>
      </w:pPr>
      <w:r w:rsidRPr="008139E6">
        <w:rPr>
          <w:i/>
        </w:rPr>
        <w:t>Discussion</w:t>
      </w:r>
      <w:r w:rsidR="00787BED" w:rsidRPr="008139E6">
        <w:t xml:space="preserve">: </w:t>
      </w:r>
      <w:r w:rsidR="00F83987" w:rsidRPr="008139E6">
        <w:t xml:space="preserve">Future research is needed to refine the framework, and to assess its utility as applied to other health professionals and in a non-simulated ward round setting. </w:t>
      </w:r>
    </w:p>
    <w:p w14:paraId="4116018E" w14:textId="77777777" w:rsidR="008348C5" w:rsidRPr="008139E6" w:rsidRDefault="008348C5" w:rsidP="00787BED">
      <w:pPr>
        <w:autoSpaceDE w:val="0"/>
        <w:autoSpaceDN w:val="0"/>
        <w:adjustRightInd w:val="0"/>
        <w:jc w:val="both"/>
      </w:pPr>
    </w:p>
    <w:p w14:paraId="1E92771A" w14:textId="20F93129" w:rsidR="008348C5" w:rsidRPr="008139E6" w:rsidRDefault="005703E9" w:rsidP="008348C5">
      <w:r w:rsidRPr="008139E6">
        <w:rPr>
          <w:b/>
          <w:kern w:val="1"/>
          <w:lang w:val="en-US" w:eastAsia="en-US"/>
        </w:rPr>
        <w:t>Keyw</w:t>
      </w:r>
      <w:r w:rsidR="008348C5" w:rsidRPr="008139E6">
        <w:rPr>
          <w:b/>
          <w:kern w:val="1"/>
          <w:lang w:val="en-US" w:eastAsia="en-US"/>
        </w:rPr>
        <w:t>ords</w:t>
      </w:r>
      <w:r w:rsidR="008348C5" w:rsidRPr="008139E6">
        <w:rPr>
          <w:kern w:val="1"/>
          <w:lang w:val="en-US" w:eastAsia="en-US"/>
        </w:rPr>
        <w:t>: Patient Simulation; Ward round;</w:t>
      </w:r>
      <w:r w:rsidR="00921479" w:rsidRPr="008139E6">
        <w:rPr>
          <w:kern w:val="1"/>
          <w:lang w:val="en-US" w:eastAsia="en-US"/>
        </w:rPr>
        <w:t xml:space="preserve"> </w:t>
      </w:r>
      <w:proofErr w:type="spellStart"/>
      <w:r w:rsidR="00921479" w:rsidRPr="008139E6">
        <w:rPr>
          <w:kern w:val="1"/>
          <w:lang w:val="en-US" w:eastAsia="en-US"/>
        </w:rPr>
        <w:t xml:space="preserve">Non </w:t>
      </w:r>
      <w:r w:rsidR="008348C5" w:rsidRPr="008139E6">
        <w:rPr>
          <w:kern w:val="1"/>
          <w:lang w:val="en-US" w:eastAsia="en-US"/>
        </w:rPr>
        <w:t>Technical</w:t>
      </w:r>
      <w:proofErr w:type="spellEnd"/>
      <w:r w:rsidR="008348C5" w:rsidRPr="008139E6">
        <w:rPr>
          <w:kern w:val="1"/>
          <w:lang w:val="en-US" w:eastAsia="en-US"/>
        </w:rPr>
        <w:t xml:space="preserve"> Skills; </w:t>
      </w:r>
      <w:r w:rsidR="003D7D7D" w:rsidRPr="008139E6">
        <w:rPr>
          <w:kern w:val="1"/>
          <w:lang w:val="en-US" w:eastAsia="en-US"/>
        </w:rPr>
        <w:t>Medical students</w:t>
      </w:r>
    </w:p>
    <w:p w14:paraId="78D0751B" w14:textId="77777777" w:rsidR="00B12DE5" w:rsidRPr="008139E6" w:rsidRDefault="00B12DE5" w:rsidP="0090138D">
      <w:pPr>
        <w:autoSpaceDE w:val="0"/>
        <w:autoSpaceDN w:val="0"/>
        <w:adjustRightInd w:val="0"/>
        <w:jc w:val="both"/>
        <w:rPr>
          <w:b/>
        </w:rPr>
      </w:pPr>
    </w:p>
    <w:p w14:paraId="451F4CA0" w14:textId="77777777" w:rsidR="00F83987" w:rsidRPr="008139E6" w:rsidRDefault="00F83987" w:rsidP="0090138D">
      <w:pPr>
        <w:autoSpaceDE w:val="0"/>
        <w:autoSpaceDN w:val="0"/>
        <w:adjustRightInd w:val="0"/>
        <w:jc w:val="both"/>
        <w:rPr>
          <w:b/>
        </w:rPr>
      </w:pPr>
      <w:r w:rsidRPr="008139E6">
        <w:rPr>
          <w:b/>
        </w:rPr>
        <w:lastRenderedPageBreak/>
        <w:t>Introduction</w:t>
      </w:r>
    </w:p>
    <w:p w14:paraId="027F34D2" w14:textId="5FDE56F2" w:rsidR="00F83987" w:rsidRPr="008139E6" w:rsidRDefault="00F83987" w:rsidP="00390280">
      <w:pPr>
        <w:autoSpaceDE w:val="0"/>
        <w:autoSpaceDN w:val="0"/>
        <w:adjustRightInd w:val="0"/>
        <w:ind w:firstLine="720"/>
        <w:jc w:val="both"/>
      </w:pPr>
      <w:r w:rsidRPr="008139E6">
        <w:t>Newly qualified doctors (</w:t>
      </w:r>
      <w:r w:rsidR="00FB158F" w:rsidRPr="008139E6">
        <w:t xml:space="preserve">or </w:t>
      </w:r>
      <w:r w:rsidRPr="008139E6">
        <w:t xml:space="preserve"> ‘</w:t>
      </w:r>
      <w:r w:rsidR="00390280" w:rsidRPr="008139E6">
        <w:t>j</w:t>
      </w:r>
      <w:r w:rsidR="00D0674D" w:rsidRPr="008139E6">
        <w:t>unior doctors</w:t>
      </w:r>
      <w:r w:rsidR="00BB6589" w:rsidRPr="008139E6">
        <w:t>’</w:t>
      </w:r>
      <w:r w:rsidR="00D0674D" w:rsidRPr="008139E6">
        <w:t>) take part in ward rounds</w:t>
      </w:r>
      <w:r w:rsidRPr="008139E6">
        <w:t xml:space="preserve"> on an almost daily basis</w:t>
      </w:r>
      <w:r w:rsidR="00390280" w:rsidRPr="008139E6">
        <w:t xml:space="preserve"> and </w:t>
      </w:r>
      <w:r w:rsidRPr="008139E6">
        <w:t>have to complete this challenging, complex and frequently time pressured role from their first day as a newly qualified doctor. It is a task that graduating medical students appear to be unprepared for</w:t>
      </w:r>
      <w:r w:rsidR="0094631F" w:rsidRPr="008139E6">
        <w:t xml:space="preserve"> (</w:t>
      </w:r>
      <w:proofErr w:type="spellStart"/>
      <w:r w:rsidR="0094631F" w:rsidRPr="008139E6">
        <w:t>Nikendei</w:t>
      </w:r>
      <w:proofErr w:type="spellEnd"/>
      <w:r w:rsidR="0094631F" w:rsidRPr="008139E6">
        <w:t xml:space="preserve"> et al, 2008)</w:t>
      </w:r>
      <w:r w:rsidR="009D4D68" w:rsidRPr="008139E6">
        <w:t xml:space="preserve"> </w:t>
      </w:r>
      <w:r w:rsidR="00D0674D" w:rsidRPr="008139E6">
        <w:t xml:space="preserve">and where errors can lead </w:t>
      </w:r>
      <w:r w:rsidRPr="008139E6">
        <w:t>to significant patient harm</w:t>
      </w:r>
      <w:r w:rsidR="00390280" w:rsidRPr="008139E6">
        <w:t xml:space="preserve">, </w:t>
      </w:r>
      <w:r w:rsidRPr="008139E6">
        <w:t>with lower quality ward rounds being associated with avoidable complications, delayed diagnoses and more negative patient outcomes</w:t>
      </w:r>
      <w:r w:rsidR="0094631F" w:rsidRPr="008139E6">
        <w:t xml:space="preserve"> (</w:t>
      </w:r>
      <w:proofErr w:type="spellStart"/>
      <w:r w:rsidR="0094631F" w:rsidRPr="008139E6">
        <w:t>Pucher</w:t>
      </w:r>
      <w:proofErr w:type="spellEnd"/>
      <w:r w:rsidR="0094631F" w:rsidRPr="008139E6">
        <w:t xml:space="preserve"> et al, 2013)</w:t>
      </w:r>
      <w:r w:rsidRPr="008139E6">
        <w:t>. The need to improve ward rounds has been highlighted recently by the Royal College of Physicians in the United Kingdom</w:t>
      </w:r>
      <w:r w:rsidR="0094631F" w:rsidRPr="008139E6">
        <w:t xml:space="preserve"> (2012)</w:t>
      </w:r>
      <w:r w:rsidR="009D4D68" w:rsidRPr="008139E6">
        <w:t xml:space="preserve"> </w:t>
      </w:r>
      <w:r w:rsidRPr="008139E6">
        <w:t>and attempts have been made to address this issue, for example through the introduction of checklists during ward rounds</w:t>
      </w:r>
      <w:r w:rsidR="009D4D68" w:rsidRPr="008139E6">
        <w:t>.</w:t>
      </w:r>
      <w:r w:rsidRPr="008139E6">
        <w:t xml:space="preserve"> There has been an increasing recognition that non-technical aspects of performance make an important contribution to avoidable patient harm and medi</w:t>
      </w:r>
      <w:r w:rsidR="0035752A" w:rsidRPr="008139E6">
        <w:t>cal error</w:t>
      </w:r>
      <w:r w:rsidRPr="008139E6">
        <w:t>.</w:t>
      </w:r>
      <w:r w:rsidR="00390280" w:rsidRPr="008139E6">
        <w:t xml:space="preserve"> </w:t>
      </w:r>
      <w:r w:rsidRPr="008139E6">
        <w:t>Such non-technical skills (NTS) have been defined as:</w:t>
      </w:r>
    </w:p>
    <w:p w14:paraId="651A1B4D" w14:textId="4671E7D4" w:rsidR="00F83987" w:rsidRPr="008139E6" w:rsidRDefault="00F83987" w:rsidP="0090138D">
      <w:pPr>
        <w:autoSpaceDE w:val="0"/>
        <w:autoSpaceDN w:val="0"/>
        <w:adjustRightInd w:val="0"/>
        <w:ind w:firstLine="720"/>
        <w:jc w:val="both"/>
      </w:pPr>
      <w:r w:rsidRPr="008139E6">
        <w:t>“</w:t>
      </w:r>
      <w:proofErr w:type="gramStart"/>
      <w:r w:rsidR="003B544B" w:rsidRPr="008139E6">
        <w:rPr>
          <w:i/>
        </w:rPr>
        <w:t>the</w:t>
      </w:r>
      <w:proofErr w:type="gramEnd"/>
      <w:r w:rsidR="003B544B" w:rsidRPr="008139E6">
        <w:rPr>
          <w:i/>
        </w:rPr>
        <w:t xml:space="preserve"> cognitive </w:t>
      </w:r>
      <w:r w:rsidR="003B544B" w:rsidRPr="008139E6">
        <w:t>[</w:t>
      </w:r>
      <w:r w:rsidRPr="008139E6">
        <w:t>such as decision</w:t>
      </w:r>
      <w:r w:rsidR="003B544B" w:rsidRPr="008139E6">
        <w:t xml:space="preserve"> making and situation awareness]</w:t>
      </w:r>
      <w:r w:rsidR="003B544B" w:rsidRPr="008139E6">
        <w:rPr>
          <w:i/>
        </w:rPr>
        <w:t xml:space="preserve">, social </w:t>
      </w:r>
      <w:r w:rsidR="003B544B" w:rsidRPr="008139E6">
        <w:t>[</w:t>
      </w:r>
      <w:r w:rsidRPr="008139E6">
        <w:t>such as communication, team working and leadership</w:t>
      </w:r>
      <w:r w:rsidR="003B544B" w:rsidRPr="008139E6">
        <w:t>]</w:t>
      </w:r>
      <w:r w:rsidRPr="008139E6">
        <w:t xml:space="preserve"> </w:t>
      </w:r>
      <w:r w:rsidR="003B544B" w:rsidRPr="008139E6">
        <w:rPr>
          <w:i/>
        </w:rPr>
        <w:t xml:space="preserve">and personal resource skills </w:t>
      </w:r>
      <w:r w:rsidR="003B544B" w:rsidRPr="008139E6">
        <w:t>[</w:t>
      </w:r>
      <w:r w:rsidRPr="008139E6">
        <w:t>such as coping with stress and fatigue</w:t>
      </w:r>
      <w:r w:rsidR="003B544B" w:rsidRPr="008139E6">
        <w:t>]</w:t>
      </w:r>
      <w:r w:rsidRPr="008139E6">
        <w:rPr>
          <w:i/>
        </w:rPr>
        <w:t xml:space="preserve"> that complement technical skills, and contribute to safe and efficient performance</w:t>
      </w:r>
      <w:r w:rsidRPr="008139E6">
        <w:t>.”</w:t>
      </w:r>
      <w:r w:rsidR="0094631F" w:rsidRPr="008139E6">
        <w:t xml:space="preserve"> (</w:t>
      </w:r>
      <w:proofErr w:type="spellStart"/>
      <w:r w:rsidR="0094631F" w:rsidRPr="008139E6">
        <w:t>Flin</w:t>
      </w:r>
      <w:proofErr w:type="spellEnd"/>
      <w:r w:rsidR="0094631F" w:rsidRPr="008139E6">
        <w:t xml:space="preserve"> et al, 2008: 1)</w:t>
      </w:r>
      <w:r w:rsidR="00087301" w:rsidRPr="008139E6">
        <w:rPr>
          <w:vertAlign w:val="superscript"/>
        </w:rPr>
        <w:t xml:space="preserve">   </w:t>
      </w:r>
    </w:p>
    <w:p w14:paraId="59E761F3" w14:textId="070588BD" w:rsidR="00F83987" w:rsidRPr="008139E6" w:rsidRDefault="00F83987" w:rsidP="00D0410D">
      <w:pPr>
        <w:ind w:firstLine="720"/>
      </w:pPr>
      <w:r w:rsidRPr="008139E6">
        <w:t>Despite the recognition of the importance of NTS in patient care, and a growing literature illustrating both that NTS can be taught</w:t>
      </w:r>
      <w:r w:rsidR="0094631F" w:rsidRPr="008139E6">
        <w:t xml:space="preserve"> (</w:t>
      </w:r>
      <w:proofErr w:type="spellStart"/>
      <w:r w:rsidR="0094631F" w:rsidRPr="008139E6">
        <w:t>eg</w:t>
      </w:r>
      <w:proofErr w:type="spellEnd"/>
      <w:r w:rsidR="0094631F" w:rsidRPr="008139E6">
        <w:t xml:space="preserve"> </w:t>
      </w:r>
      <w:proofErr w:type="spellStart"/>
      <w:r w:rsidR="00D0410D" w:rsidRPr="008139E6">
        <w:t>Savoldelli</w:t>
      </w:r>
      <w:proofErr w:type="spellEnd"/>
      <w:r w:rsidR="00D0410D" w:rsidRPr="008139E6">
        <w:t xml:space="preserve"> et al, 2006)</w:t>
      </w:r>
      <w:r w:rsidR="001258F0" w:rsidRPr="008139E6">
        <w:rPr>
          <w:vertAlign w:val="superscript"/>
        </w:rPr>
        <w:t xml:space="preserve"> </w:t>
      </w:r>
      <w:r w:rsidRPr="008139E6">
        <w:t>and that training is associated with improved patient outcomes</w:t>
      </w:r>
      <w:r w:rsidR="00D0410D" w:rsidRPr="008139E6">
        <w:t xml:space="preserve"> (</w:t>
      </w:r>
      <w:proofErr w:type="spellStart"/>
      <w:r w:rsidR="00D0410D" w:rsidRPr="008139E6">
        <w:t>eg</w:t>
      </w:r>
      <w:proofErr w:type="spellEnd"/>
      <w:r w:rsidR="00D0410D" w:rsidRPr="008139E6">
        <w:t xml:space="preserve"> Armour </w:t>
      </w:r>
      <w:proofErr w:type="spellStart"/>
      <w:r w:rsidR="00D0410D" w:rsidRPr="008139E6">
        <w:t>Forse</w:t>
      </w:r>
      <w:proofErr w:type="spellEnd"/>
      <w:r w:rsidR="00D0410D" w:rsidRPr="008139E6">
        <w:t xml:space="preserve"> et al, 2011),</w:t>
      </w:r>
      <w:r w:rsidR="006C7699" w:rsidRPr="008139E6">
        <w:t xml:space="preserve"> </w:t>
      </w:r>
      <w:r w:rsidRPr="008139E6">
        <w:t xml:space="preserve">as yet there has been no systematic attempt to teach the NTS utilised in ward rounds within the standard educational curriculum for </w:t>
      </w:r>
      <w:r w:rsidR="00D0674D" w:rsidRPr="008139E6">
        <w:t xml:space="preserve">medical students </w:t>
      </w:r>
      <w:r w:rsidRPr="008139E6">
        <w:t xml:space="preserve">in the UK. </w:t>
      </w:r>
    </w:p>
    <w:p w14:paraId="1CA594FA" w14:textId="77777777" w:rsidR="00F83987" w:rsidRPr="008139E6" w:rsidRDefault="00F83987" w:rsidP="0090138D">
      <w:pPr>
        <w:autoSpaceDE w:val="0"/>
        <w:autoSpaceDN w:val="0"/>
        <w:adjustRightInd w:val="0"/>
        <w:ind w:firstLine="720"/>
        <w:jc w:val="both"/>
      </w:pPr>
      <w:r w:rsidRPr="008139E6">
        <w:t>This pilot study therefore aimed to do the following:</w:t>
      </w:r>
    </w:p>
    <w:p w14:paraId="1750EB4D" w14:textId="7D26C384" w:rsidR="00F83987" w:rsidRPr="008139E6" w:rsidRDefault="00F83987" w:rsidP="0090138D">
      <w:pPr>
        <w:pStyle w:val="ListParagraph"/>
        <w:numPr>
          <w:ilvl w:val="0"/>
          <w:numId w:val="22"/>
        </w:numPr>
        <w:autoSpaceDE w:val="0"/>
        <w:autoSpaceDN w:val="0"/>
        <w:adjustRightInd w:val="0"/>
        <w:jc w:val="both"/>
      </w:pPr>
      <w:r w:rsidRPr="008139E6">
        <w:t xml:space="preserve">Develop a framework to help identify and measure the NTS required by </w:t>
      </w:r>
      <w:r w:rsidR="00AB1B20" w:rsidRPr="008139E6">
        <w:t xml:space="preserve">medical students </w:t>
      </w:r>
      <w:r w:rsidRPr="008139E6">
        <w:t>during ward rounds</w:t>
      </w:r>
      <w:r w:rsidR="00FD3134" w:rsidRPr="008139E6">
        <w:t>;</w:t>
      </w:r>
    </w:p>
    <w:p w14:paraId="165FB075" w14:textId="2E9F1AE8" w:rsidR="00F83987" w:rsidRPr="008139E6" w:rsidRDefault="00F83987" w:rsidP="0090138D">
      <w:pPr>
        <w:pStyle w:val="ListParagraph"/>
        <w:numPr>
          <w:ilvl w:val="0"/>
          <w:numId w:val="22"/>
        </w:numPr>
        <w:autoSpaceDE w:val="0"/>
        <w:autoSpaceDN w:val="0"/>
        <w:adjustRightInd w:val="0"/>
        <w:jc w:val="both"/>
      </w:pPr>
      <w:r w:rsidRPr="008139E6">
        <w:lastRenderedPageBreak/>
        <w:t>Evaluate whether an educational intervention could significantly improve these NTS in</w:t>
      </w:r>
      <w:r w:rsidR="00AB1B20" w:rsidRPr="008139E6">
        <w:t xml:space="preserve"> medical students</w:t>
      </w:r>
      <w:r w:rsidR="00FD3134" w:rsidRPr="008139E6">
        <w:t>.</w:t>
      </w:r>
    </w:p>
    <w:p w14:paraId="700136EB" w14:textId="77777777" w:rsidR="00F83987" w:rsidRPr="008139E6" w:rsidRDefault="00F83987" w:rsidP="0090138D">
      <w:pPr>
        <w:autoSpaceDE w:val="0"/>
        <w:autoSpaceDN w:val="0"/>
        <w:adjustRightInd w:val="0"/>
        <w:jc w:val="both"/>
        <w:rPr>
          <w:b/>
        </w:rPr>
      </w:pPr>
    </w:p>
    <w:p w14:paraId="79A4BAF8" w14:textId="77777777" w:rsidR="00F83987" w:rsidRPr="008139E6" w:rsidRDefault="00F83987" w:rsidP="0090138D">
      <w:pPr>
        <w:autoSpaceDE w:val="0"/>
        <w:autoSpaceDN w:val="0"/>
        <w:adjustRightInd w:val="0"/>
        <w:jc w:val="both"/>
        <w:rPr>
          <w:b/>
        </w:rPr>
      </w:pPr>
      <w:r w:rsidRPr="008139E6">
        <w:rPr>
          <w:b/>
        </w:rPr>
        <w:t>Method</w:t>
      </w:r>
    </w:p>
    <w:p w14:paraId="76953A48" w14:textId="35D22653" w:rsidR="00C80A62" w:rsidRPr="008139E6" w:rsidRDefault="00291E0A" w:rsidP="00A20F02">
      <w:pPr>
        <w:autoSpaceDE w:val="0"/>
        <w:autoSpaceDN w:val="0"/>
        <w:adjustRightInd w:val="0"/>
        <w:jc w:val="both"/>
      </w:pPr>
      <w:r w:rsidRPr="008139E6">
        <w:t>Ethical approval was sought from the university where all of the participants were studying. A full ethics submission was not required, as the ward simulation formed an existing part of the curriculum. All participants were, however, fully briefed about the research and all provided written consent</w:t>
      </w:r>
      <w:r w:rsidR="00A73DE5" w:rsidRPr="008139E6">
        <w:t xml:space="preserve">. </w:t>
      </w:r>
      <w:r w:rsidR="00A20F02" w:rsidRPr="008139E6">
        <w:t xml:space="preserve">Participants (n = 217) were in their </w:t>
      </w:r>
      <w:r w:rsidR="00A73DE5" w:rsidRPr="008139E6">
        <w:t xml:space="preserve">final </w:t>
      </w:r>
      <w:r w:rsidR="00A20F02" w:rsidRPr="008139E6">
        <w:t>year of undergraduate medical training at a Scottish University</w:t>
      </w:r>
      <w:r w:rsidR="00F83987" w:rsidRPr="008139E6">
        <w:t xml:space="preserve">. </w:t>
      </w:r>
      <w:r w:rsidR="00A73DE5" w:rsidRPr="008139E6">
        <w:t xml:space="preserve">All final year students undertake the ward simulation as part of their training and all those who were present for the sessions (n = 217) were invited to participate in the research component and all consented to take part. </w:t>
      </w:r>
      <w:r w:rsidR="00A20F02" w:rsidRPr="008139E6">
        <w:t>To guide the development of the NTS framework t</w:t>
      </w:r>
      <w:r w:rsidR="00850EE1" w:rsidRPr="008139E6">
        <w:t xml:space="preserve">he generic NTS taxonomy as described by </w:t>
      </w:r>
      <w:proofErr w:type="spellStart"/>
      <w:r w:rsidR="00850EE1" w:rsidRPr="008139E6">
        <w:t>Flin</w:t>
      </w:r>
      <w:proofErr w:type="spellEnd"/>
      <w:r w:rsidR="00850EE1" w:rsidRPr="008139E6">
        <w:t xml:space="preserve"> et al</w:t>
      </w:r>
      <w:r w:rsidR="00AB1B20" w:rsidRPr="008139E6">
        <w:t>.</w:t>
      </w:r>
      <w:r w:rsidR="00C82988" w:rsidRPr="008139E6">
        <w:t xml:space="preserve"> (2008)</w:t>
      </w:r>
      <w:r w:rsidR="00F83987" w:rsidRPr="008139E6">
        <w:t xml:space="preserve"> </w:t>
      </w:r>
      <w:r w:rsidR="00850EE1" w:rsidRPr="008139E6">
        <w:t>was used</w:t>
      </w:r>
      <w:r w:rsidR="00B12DE5" w:rsidRPr="008139E6">
        <w:t xml:space="preserve">, along with </w:t>
      </w:r>
      <w:r w:rsidR="00086304" w:rsidRPr="008139E6">
        <w:t xml:space="preserve">recent relevant </w:t>
      </w:r>
      <w:r w:rsidR="00D0674D" w:rsidRPr="008139E6">
        <w:t xml:space="preserve">UK </w:t>
      </w:r>
      <w:r w:rsidR="00086304" w:rsidRPr="008139E6">
        <w:t>policy documents and guidelines</w:t>
      </w:r>
      <w:r w:rsidR="00C82988" w:rsidRPr="008139E6">
        <w:t xml:space="preserve"> (</w:t>
      </w:r>
      <w:proofErr w:type="spellStart"/>
      <w:r w:rsidR="00C82988" w:rsidRPr="008139E6">
        <w:t>eg</w:t>
      </w:r>
      <w:proofErr w:type="spellEnd"/>
      <w:r w:rsidR="00C82988" w:rsidRPr="008139E6">
        <w:t xml:space="preserve"> Francis, 2013) </w:t>
      </w:r>
      <w:r w:rsidR="00086304" w:rsidRPr="008139E6">
        <w:t>to identify any additional key NTS skills that may be important</w:t>
      </w:r>
      <w:r w:rsidR="00247C31" w:rsidRPr="008139E6">
        <w:t xml:space="preserve"> for health professionals</w:t>
      </w:r>
      <w:r w:rsidR="00C82988" w:rsidRPr="008139E6">
        <w:t>.</w:t>
      </w:r>
    </w:p>
    <w:p w14:paraId="63F12F11" w14:textId="0A980933" w:rsidR="00C32D99" w:rsidRPr="008139E6" w:rsidRDefault="00C80A62" w:rsidP="0005162E">
      <w:pPr>
        <w:autoSpaceDE w:val="0"/>
        <w:autoSpaceDN w:val="0"/>
        <w:adjustRightInd w:val="0"/>
        <w:ind w:firstLine="720"/>
        <w:jc w:val="both"/>
      </w:pPr>
      <w:r w:rsidRPr="008139E6">
        <w:t>A</w:t>
      </w:r>
      <w:r w:rsidR="00850EE1" w:rsidRPr="008139E6">
        <w:t xml:space="preserve">nalysis of ward round </w:t>
      </w:r>
      <w:r w:rsidR="00086304" w:rsidRPr="008139E6">
        <w:t xml:space="preserve">simulation footage </w:t>
      </w:r>
      <w:r w:rsidRPr="008139E6">
        <w:t xml:space="preserve">was used </w:t>
      </w:r>
      <w:r w:rsidR="00850EE1" w:rsidRPr="008139E6">
        <w:t xml:space="preserve">in order to identify ward round specific NTS. </w:t>
      </w:r>
      <w:r w:rsidRPr="008139E6">
        <w:t xml:space="preserve"> This footage was obtained from a ward simulation exercise which was </w:t>
      </w:r>
      <w:r w:rsidR="00B12DE5" w:rsidRPr="008139E6">
        <w:t>led by Faculty staff and</w:t>
      </w:r>
      <w:r w:rsidR="00390280" w:rsidRPr="008139E6">
        <w:t xml:space="preserve"> was </w:t>
      </w:r>
      <w:r w:rsidRPr="008139E6">
        <w:t xml:space="preserve">undertaken by </w:t>
      </w:r>
      <w:r w:rsidR="00A20F02" w:rsidRPr="008139E6">
        <w:t>the participants as part of their training (</w:t>
      </w:r>
      <w:r w:rsidR="00150E21" w:rsidRPr="008139E6">
        <w:t xml:space="preserve">for details </w:t>
      </w:r>
      <w:r w:rsidR="00A20F02" w:rsidRPr="008139E6">
        <w:t>see Harvey et al</w:t>
      </w:r>
      <w:r w:rsidR="00254D1C" w:rsidRPr="008139E6">
        <w:t>, 2005</w:t>
      </w:r>
      <w:r w:rsidR="00A20F02" w:rsidRPr="008139E6">
        <w:t xml:space="preserve">). </w:t>
      </w:r>
      <w:r w:rsidR="00390280" w:rsidRPr="008139E6">
        <w:t>This involved the students role-playing</w:t>
      </w:r>
      <w:r w:rsidRPr="008139E6">
        <w:t xml:space="preserve"> Foundation Year (FY) Doctors (either FY1s or FY2s)</w:t>
      </w:r>
      <w:r w:rsidR="00390280" w:rsidRPr="008139E6">
        <w:t xml:space="preserve">, </w:t>
      </w:r>
      <w:r w:rsidRPr="008139E6">
        <w:t>one of four patients</w:t>
      </w:r>
      <w:r w:rsidR="00390280" w:rsidRPr="008139E6">
        <w:t xml:space="preserve"> or observing</w:t>
      </w:r>
      <w:r w:rsidRPr="008139E6">
        <w:t xml:space="preserve">.  </w:t>
      </w:r>
      <w:r w:rsidR="00390280" w:rsidRPr="008139E6">
        <w:t xml:space="preserve">Each patient presented with a particular learning challenge which </w:t>
      </w:r>
      <w:r w:rsidRPr="008139E6">
        <w:t>were derived from clinical adverse event discussions and were chosen to reflect a range of issues that would require both technical and non-technical skills</w:t>
      </w:r>
      <w:r w:rsidR="005F0FB6" w:rsidRPr="008139E6">
        <w:t xml:space="preserve"> (see Table 1)</w:t>
      </w:r>
    </w:p>
    <w:p w14:paraId="6D76CEF2" w14:textId="77777777" w:rsidR="00F83987" w:rsidRPr="008139E6" w:rsidRDefault="00F83987" w:rsidP="0090138D"/>
    <w:p w14:paraId="31F4749A" w14:textId="0A29FB3C" w:rsidR="000F2AD0" w:rsidRPr="008139E6" w:rsidRDefault="000F2AD0" w:rsidP="000F2AD0">
      <w:pPr>
        <w:autoSpaceDE w:val="0"/>
        <w:autoSpaceDN w:val="0"/>
        <w:adjustRightInd w:val="0"/>
        <w:jc w:val="both"/>
        <w:rPr>
          <w:b/>
        </w:rPr>
      </w:pPr>
      <w:r w:rsidRPr="008139E6">
        <w:rPr>
          <w:b/>
        </w:rPr>
        <w:lastRenderedPageBreak/>
        <w:t>Table 1: Brief overview of the four simulated patient scenarios and some of the learning challenges being highlighted by each</w:t>
      </w:r>
    </w:p>
    <w:p w14:paraId="2413E092" w14:textId="77777777" w:rsidR="00136F0D" w:rsidRPr="008139E6" w:rsidRDefault="00136F0D" w:rsidP="0090138D">
      <w:pPr>
        <w:autoSpaceDE w:val="0"/>
        <w:autoSpaceDN w:val="0"/>
        <w:adjustRightInd w:val="0"/>
        <w:jc w:val="both"/>
      </w:pPr>
    </w:p>
    <w:p w14:paraId="4999C900" w14:textId="46810656" w:rsidR="00136F0D" w:rsidRPr="008139E6" w:rsidRDefault="00136F0D" w:rsidP="00150E21">
      <w:pPr>
        <w:autoSpaceDE w:val="0"/>
        <w:autoSpaceDN w:val="0"/>
        <w:adjustRightInd w:val="0"/>
        <w:ind w:firstLine="720"/>
        <w:jc w:val="both"/>
      </w:pPr>
      <w:r w:rsidRPr="008139E6">
        <w:t xml:space="preserve">Each simulated ward round was followed by a structured reflective debrief, with the aim of </w:t>
      </w:r>
      <w:r w:rsidR="0052739D" w:rsidRPr="008139E6">
        <w:t>prompting</w:t>
      </w:r>
      <w:r w:rsidRPr="008139E6">
        <w:t xml:space="preserve"> </w:t>
      </w:r>
      <w:r w:rsidR="0052739D" w:rsidRPr="008139E6">
        <w:t>d</w:t>
      </w:r>
      <w:r w:rsidRPr="008139E6">
        <w:t xml:space="preserve">iscussion and highlighting learning points. The simulated ward round was then undertaken for a second time with the student participants being assigned to different roles. </w:t>
      </w:r>
    </w:p>
    <w:p w14:paraId="717C30DE" w14:textId="50CCD932" w:rsidR="001665BE" w:rsidRPr="008139E6" w:rsidRDefault="00136F0D" w:rsidP="002770D1">
      <w:pPr>
        <w:autoSpaceDE w:val="0"/>
        <w:autoSpaceDN w:val="0"/>
        <w:adjustRightInd w:val="0"/>
        <w:ind w:firstLine="720"/>
        <w:jc w:val="both"/>
      </w:pPr>
      <w:r w:rsidRPr="008139E6">
        <w:t>Each session lasted 90 minutes and 19 digitally recorded sessions (70 simulated patient interactions) were reviewed and coded by two non-medical researchers</w:t>
      </w:r>
      <w:r w:rsidR="002770D1" w:rsidRPr="008139E6">
        <w:t xml:space="preserve">, using the coding framework developed by </w:t>
      </w:r>
      <w:proofErr w:type="spellStart"/>
      <w:r w:rsidR="002770D1" w:rsidRPr="008139E6">
        <w:t>Mellanby</w:t>
      </w:r>
      <w:proofErr w:type="spellEnd"/>
      <w:r w:rsidR="002770D1" w:rsidRPr="008139E6">
        <w:t xml:space="preserve"> et al. (2013),</w:t>
      </w:r>
      <w:r w:rsidRPr="008139E6">
        <w:t xml:space="preserve"> in order to develop and evaluate the NTS framework. </w:t>
      </w:r>
      <w:r w:rsidR="00A26B8B" w:rsidRPr="008139E6">
        <w:t xml:space="preserve">Exemplars of each generic NTS category were noted and where the data did not fit into the existing framework, new categories were proposed and discussed until consensus was reached.  </w:t>
      </w:r>
    </w:p>
    <w:p w14:paraId="3EB6DEB1" w14:textId="3BE8E6DF" w:rsidR="00A26B8B" w:rsidRPr="008139E6" w:rsidRDefault="00136F0D" w:rsidP="0005162E">
      <w:pPr>
        <w:autoSpaceDE w:val="0"/>
        <w:autoSpaceDN w:val="0"/>
        <w:adjustRightInd w:val="0"/>
        <w:jc w:val="both"/>
      </w:pPr>
      <w:r w:rsidRPr="008139E6">
        <w:rPr>
          <w:i/>
        </w:rPr>
        <w:tab/>
      </w:r>
      <w:r w:rsidR="00A26B8B" w:rsidRPr="008139E6">
        <w:t>In order to determine</w:t>
      </w:r>
      <w:r w:rsidR="00FB158F" w:rsidRPr="008139E6">
        <w:t xml:space="preserve"> inter-rater reliability</w:t>
      </w:r>
      <w:r w:rsidR="001E62E4" w:rsidRPr="008139E6">
        <w:t xml:space="preserve"> of the coding,</w:t>
      </w:r>
      <w:r w:rsidR="00FB158F" w:rsidRPr="008139E6">
        <w:t xml:space="preserve"> </w:t>
      </w:r>
      <w:r w:rsidR="00A26B8B" w:rsidRPr="008139E6">
        <w:t>34 out of the total of 70 patient observations (49%) were scored by two researchers as poor to marginal = 1 or acceptable to good = 2.</w:t>
      </w:r>
      <w:r w:rsidR="00B46AF5" w:rsidRPr="008139E6">
        <w:t xml:space="preserve"> </w:t>
      </w:r>
      <w:r w:rsidR="00A26B8B" w:rsidRPr="008139E6">
        <w:t>These ratings were based on exemplars in respect of each NTS skill, which in turn w</w:t>
      </w:r>
      <w:r w:rsidR="00B46AF5" w:rsidRPr="008139E6">
        <w:t>ere</w:t>
      </w:r>
      <w:r w:rsidR="00A26B8B" w:rsidRPr="008139E6">
        <w:t xml:space="preserve"> drawn from the existing literature</w:t>
      </w:r>
      <w:r w:rsidR="00150E21" w:rsidRPr="008139E6">
        <w:t xml:space="preserve"> (</w:t>
      </w:r>
      <w:proofErr w:type="spellStart"/>
      <w:r w:rsidR="00150E21" w:rsidRPr="008139E6">
        <w:t>eg</w:t>
      </w:r>
      <w:proofErr w:type="spellEnd"/>
      <w:r w:rsidR="00150E21" w:rsidRPr="008139E6">
        <w:t xml:space="preserve"> </w:t>
      </w:r>
      <w:proofErr w:type="spellStart"/>
      <w:r w:rsidR="00AB1B20" w:rsidRPr="008139E6">
        <w:t>Flin</w:t>
      </w:r>
      <w:proofErr w:type="spellEnd"/>
      <w:r w:rsidR="00AB1B20" w:rsidRPr="008139E6">
        <w:t xml:space="preserve"> et al, 2008, </w:t>
      </w:r>
      <w:r w:rsidR="00150E21" w:rsidRPr="008139E6">
        <w:t>Francis, 2013</w:t>
      </w:r>
      <w:r w:rsidR="00AB1B20" w:rsidRPr="008139E6">
        <w:t xml:space="preserve">, </w:t>
      </w:r>
      <w:proofErr w:type="spellStart"/>
      <w:r w:rsidR="00AB1B20" w:rsidRPr="008139E6">
        <w:t>Mellanby</w:t>
      </w:r>
      <w:proofErr w:type="spellEnd"/>
      <w:r w:rsidR="00AB1B20" w:rsidRPr="008139E6">
        <w:t xml:space="preserve"> et al, 2013</w:t>
      </w:r>
      <w:r w:rsidR="00150E21" w:rsidRPr="008139E6">
        <w:t>)</w:t>
      </w:r>
      <w:r w:rsidR="00A26B8B" w:rsidRPr="008139E6">
        <w:t xml:space="preserve"> and discussion with the medical practitioners and educationalists in the wider research team (see Table 2 for some examples). If the skill was not present, this was coded as 1. </w:t>
      </w:r>
    </w:p>
    <w:p w14:paraId="61ABE0EE" w14:textId="77777777" w:rsidR="00A26B8B" w:rsidRPr="008139E6" w:rsidRDefault="00A26B8B" w:rsidP="0090138D">
      <w:pPr>
        <w:autoSpaceDE w:val="0"/>
        <w:autoSpaceDN w:val="0"/>
        <w:adjustRightInd w:val="0"/>
        <w:jc w:val="both"/>
      </w:pPr>
    </w:p>
    <w:p w14:paraId="014088E1" w14:textId="77777777" w:rsidR="00F61375" w:rsidRPr="008139E6" w:rsidRDefault="00F61375" w:rsidP="00F61375">
      <w:pPr>
        <w:autoSpaceDE w:val="0"/>
        <w:autoSpaceDN w:val="0"/>
        <w:adjustRightInd w:val="0"/>
        <w:jc w:val="both"/>
        <w:rPr>
          <w:b/>
        </w:rPr>
      </w:pPr>
      <w:r w:rsidRPr="008139E6">
        <w:rPr>
          <w:b/>
        </w:rPr>
        <w:t>Table 2: Examples of skills in each NTS category</w:t>
      </w:r>
    </w:p>
    <w:p w14:paraId="4061683D" w14:textId="70AA055A" w:rsidR="00F83D9C" w:rsidRPr="008139E6" w:rsidRDefault="00F83D9C" w:rsidP="0090138D">
      <w:pPr>
        <w:autoSpaceDE w:val="0"/>
        <w:autoSpaceDN w:val="0"/>
        <w:adjustRightInd w:val="0"/>
        <w:jc w:val="both"/>
      </w:pPr>
    </w:p>
    <w:p w14:paraId="1B58D467" w14:textId="614F2FB1" w:rsidR="005713CC" w:rsidRPr="008139E6" w:rsidRDefault="001E62E4" w:rsidP="0090138D">
      <w:pPr>
        <w:autoSpaceDE w:val="0"/>
        <w:autoSpaceDN w:val="0"/>
        <w:adjustRightInd w:val="0"/>
        <w:ind w:firstLine="720"/>
        <w:jc w:val="both"/>
      </w:pPr>
      <w:r w:rsidRPr="008139E6">
        <w:t>I</w:t>
      </w:r>
      <w:r w:rsidR="005713CC" w:rsidRPr="008139E6">
        <w:t xml:space="preserve">n order to establish whether the </w:t>
      </w:r>
      <w:r w:rsidRPr="008139E6">
        <w:t xml:space="preserve">ward simulation </w:t>
      </w:r>
      <w:r w:rsidR="005713CC" w:rsidRPr="008139E6">
        <w:t>educational int</w:t>
      </w:r>
      <w:r w:rsidR="005F0FB6" w:rsidRPr="008139E6">
        <w:t>e</w:t>
      </w:r>
      <w:r w:rsidR="005713CC" w:rsidRPr="008139E6">
        <w:t>rvention impacted on NTS</w:t>
      </w:r>
      <w:r w:rsidRPr="008139E6">
        <w:t>,</w:t>
      </w:r>
      <w:r w:rsidR="005713CC" w:rsidRPr="008139E6">
        <w:t xml:space="preserve"> </w:t>
      </w:r>
      <w:r w:rsidRPr="008139E6">
        <w:t>e</w:t>
      </w:r>
      <w:r w:rsidR="007D13FC" w:rsidRPr="008139E6">
        <w:t xml:space="preserve">ach NTS category within the final framework was coded 1 – 4 where 1= poor, 2 </w:t>
      </w:r>
      <w:r w:rsidR="007D13FC" w:rsidRPr="008139E6">
        <w:lastRenderedPageBreak/>
        <w:t>= marginal, 3 = acceptable and 4 = good</w:t>
      </w:r>
      <w:r w:rsidR="005C6F6F" w:rsidRPr="008139E6">
        <w:t>.</w:t>
      </w:r>
      <w:r w:rsidRPr="008139E6">
        <w:t xml:space="preserve"> </w:t>
      </w:r>
      <w:r w:rsidR="005F0FB6" w:rsidRPr="008139E6">
        <w:t xml:space="preserve">The </w:t>
      </w:r>
      <w:r w:rsidRPr="008139E6">
        <w:t>performance of the total student group was rated before and after the de-brief session in relation to the f</w:t>
      </w:r>
      <w:r w:rsidR="005F0FB6" w:rsidRPr="008139E6">
        <w:t xml:space="preserve">our learning scenarios depicted. </w:t>
      </w:r>
    </w:p>
    <w:p w14:paraId="1294370A" w14:textId="185619D3" w:rsidR="007D13FC" w:rsidRPr="008139E6" w:rsidRDefault="007D13FC" w:rsidP="0090138D">
      <w:pPr>
        <w:autoSpaceDE w:val="0"/>
        <w:autoSpaceDN w:val="0"/>
        <w:adjustRightInd w:val="0"/>
        <w:jc w:val="both"/>
      </w:pPr>
      <w:r w:rsidRPr="008139E6">
        <w:tab/>
      </w:r>
      <w:r w:rsidR="00CC4568" w:rsidRPr="008139E6">
        <w:t xml:space="preserve"> </w:t>
      </w:r>
    </w:p>
    <w:p w14:paraId="2FA1F02D" w14:textId="174C57F4" w:rsidR="00074597" w:rsidRPr="008139E6" w:rsidRDefault="00917A69" w:rsidP="0090138D">
      <w:pPr>
        <w:autoSpaceDE w:val="0"/>
        <w:autoSpaceDN w:val="0"/>
        <w:adjustRightInd w:val="0"/>
        <w:jc w:val="both"/>
        <w:rPr>
          <w:b/>
        </w:rPr>
      </w:pPr>
      <w:r w:rsidRPr="008139E6">
        <w:rPr>
          <w:b/>
        </w:rPr>
        <w:t>R</w:t>
      </w:r>
      <w:r w:rsidR="00A26B8B" w:rsidRPr="008139E6">
        <w:rPr>
          <w:b/>
        </w:rPr>
        <w:t>esults</w:t>
      </w:r>
    </w:p>
    <w:p w14:paraId="7287BA66" w14:textId="5B0C83AB" w:rsidR="00005CE0" w:rsidRPr="008139E6" w:rsidRDefault="00353BDA" w:rsidP="0090138D">
      <w:pPr>
        <w:autoSpaceDE w:val="0"/>
        <w:autoSpaceDN w:val="0"/>
        <w:adjustRightInd w:val="0"/>
        <w:jc w:val="both"/>
        <w:rPr>
          <w:i/>
        </w:rPr>
      </w:pPr>
      <w:r w:rsidRPr="008139E6">
        <w:rPr>
          <w:i/>
        </w:rPr>
        <w:t xml:space="preserve">Developing a ward round NTS framework </w:t>
      </w:r>
    </w:p>
    <w:p w14:paraId="5C06C2E7" w14:textId="67F5C40C" w:rsidR="00005CE0" w:rsidRPr="008139E6" w:rsidRDefault="005F0FB6" w:rsidP="00150E21">
      <w:pPr>
        <w:autoSpaceDE w:val="0"/>
        <w:autoSpaceDN w:val="0"/>
        <w:adjustRightInd w:val="0"/>
        <w:jc w:val="both"/>
      </w:pPr>
      <w:r w:rsidRPr="008139E6">
        <w:t xml:space="preserve">The </w:t>
      </w:r>
      <w:r w:rsidR="000F2E40" w:rsidRPr="008139E6">
        <w:t xml:space="preserve">following </w:t>
      </w:r>
      <w:r w:rsidR="00005CE0" w:rsidRPr="008139E6">
        <w:t xml:space="preserve">categories from the original </w:t>
      </w:r>
      <w:r w:rsidR="008F44CA" w:rsidRPr="008139E6">
        <w:t>NTS</w:t>
      </w:r>
      <w:r w:rsidR="00005CE0" w:rsidRPr="008139E6">
        <w:t xml:space="preserve"> framework were</w:t>
      </w:r>
      <w:r w:rsidR="000F2E40" w:rsidRPr="008139E6">
        <w:t xml:space="preserve"> retained as they reflected NTS that were observable in the ward round</w:t>
      </w:r>
      <w:r w:rsidR="00005CE0" w:rsidRPr="008139E6">
        <w:t xml:space="preserve">: Communication, Decision Making, Situational Awareness, Teamwork and Task Management.  </w:t>
      </w:r>
      <w:r w:rsidR="00B46AF5" w:rsidRPr="008139E6">
        <w:t>T</w:t>
      </w:r>
      <w:r w:rsidR="00005CE0" w:rsidRPr="008139E6">
        <w:t xml:space="preserve">wo new categories were </w:t>
      </w:r>
      <w:r w:rsidR="00B46AF5" w:rsidRPr="008139E6">
        <w:t xml:space="preserve">also </w:t>
      </w:r>
      <w:r w:rsidR="00005CE0" w:rsidRPr="008139E6">
        <w:t>developed: Student Initiative and Responsiveness to Patient.</w:t>
      </w:r>
      <w:r w:rsidR="004878FD" w:rsidRPr="008139E6">
        <w:t xml:space="preserve"> </w:t>
      </w:r>
    </w:p>
    <w:p w14:paraId="07F5BEF9" w14:textId="47CD43D0" w:rsidR="00005CE0" w:rsidRPr="008139E6" w:rsidRDefault="00005CE0" w:rsidP="00005CE6">
      <w:pPr>
        <w:autoSpaceDE w:val="0"/>
        <w:autoSpaceDN w:val="0"/>
        <w:adjustRightInd w:val="0"/>
        <w:ind w:firstLine="720"/>
        <w:jc w:val="both"/>
      </w:pPr>
      <w:r w:rsidRPr="008139E6">
        <w:t xml:space="preserve">Student Initiative </w:t>
      </w:r>
      <w:r w:rsidR="00DA7675" w:rsidRPr="008139E6">
        <w:t xml:space="preserve">allowed </w:t>
      </w:r>
      <w:r w:rsidRPr="008139E6">
        <w:t xml:space="preserve">some of the behavioural characteristics which are normally coded under the ‘Leadership’ category to be scored in relation to </w:t>
      </w:r>
      <w:r w:rsidR="00DA7675" w:rsidRPr="008139E6">
        <w:t xml:space="preserve">the </w:t>
      </w:r>
      <w:r w:rsidRPr="008139E6">
        <w:t xml:space="preserve">students, </w:t>
      </w:r>
      <w:r w:rsidR="00DA7675" w:rsidRPr="008139E6">
        <w:t xml:space="preserve">while </w:t>
      </w:r>
      <w:r w:rsidRPr="008139E6">
        <w:t xml:space="preserve">taking account </w:t>
      </w:r>
      <w:r w:rsidR="008B4493" w:rsidRPr="008139E6">
        <w:t xml:space="preserve">of </w:t>
      </w:r>
      <w:r w:rsidRPr="008139E6">
        <w:t xml:space="preserve">their </w:t>
      </w:r>
      <w:r w:rsidR="001665BE" w:rsidRPr="008139E6">
        <w:t xml:space="preserve">more limited </w:t>
      </w:r>
      <w:r w:rsidRPr="008139E6">
        <w:t>role and remit</w:t>
      </w:r>
      <w:r w:rsidR="00114D57" w:rsidRPr="008139E6">
        <w:t xml:space="preserve"> in a ward round</w:t>
      </w:r>
      <w:r w:rsidR="00DA7675" w:rsidRPr="008139E6">
        <w:t>. Examples included</w:t>
      </w:r>
      <w:r w:rsidRPr="008139E6">
        <w:t xml:space="preserve"> volunteering for tasks or trying to organise the group</w:t>
      </w:r>
      <w:r w:rsidR="00DA7675" w:rsidRPr="008139E6">
        <w:t xml:space="preserve"> to achieve a goal</w:t>
      </w:r>
      <w:r w:rsidRPr="008139E6">
        <w:t xml:space="preserve">. </w:t>
      </w:r>
      <w:r w:rsidR="00CF2047" w:rsidRPr="008139E6">
        <w:t xml:space="preserve">This category was scored if the student acted without being prompted based on their perception of what was required within the particular situation at that particular time.  </w:t>
      </w:r>
      <w:r w:rsidRPr="008139E6">
        <w:t xml:space="preserve"> ‘Responsiveness to Patients’ was introduced in light of recommendations made from recent United Kingdom policy documents</w:t>
      </w:r>
      <w:r w:rsidR="00150E21" w:rsidRPr="008139E6">
        <w:t xml:space="preserve"> (</w:t>
      </w:r>
      <w:proofErr w:type="spellStart"/>
      <w:r w:rsidR="00150E21" w:rsidRPr="008139E6">
        <w:t>eg</w:t>
      </w:r>
      <w:proofErr w:type="spellEnd"/>
      <w:r w:rsidR="00150E21" w:rsidRPr="008139E6">
        <w:t xml:space="preserve"> Francis, 2013)</w:t>
      </w:r>
      <w:r w:rsidR="00F808C2" w:rsidRPr="008139E6">
        <w:t>,</w:t>
      </w:r>
      <w:r w:rsidR="00A26B8B" w:rsidRPr="008139E6">
        <w:t xml:space="preserve"> </w:t>
      </w:r>
      <w:r w:rsidRPr="008139E6">
        <w:t>which highlighted the importance of the patient voice</w:t>
      </w:r>
      <w:r w:rsidR="005F0FB6" w:rsidRPr="008139E6">
        <w:t xml:space="preserve"> and </w:t>
      </w:r>
      <w:r w:rsidRPr="008139E6">
        <w:t>reflected student attempts to include the patient in discussions, respond to the patients</w:t>
      </w:r>
      <w:r w:rsidR="00C04DED" w:rsidRPr="008139E6">
        <w:t xml:space="preserve">’ </w:t>
      </w:r>
      <w:r w:rsidRPr="008139E6">
        <w:t xml:space="preserve">communication and elicit patient opinion. </w:t>
      </w:r>
    </w:p>
    <w:p w14:paraId="79AC15C5" w14:textId="77777777" w:rsidR="00657E94" w:rsidRPr="008139E6" w:rsidRDefault="00657E94" w:rsidP="0090138D">
      <w:pPr>
        <w:autoSpaceDE w:val="0"/>
        <w:autoSpaceDN w:val="0"/>
        <w:adjustRightInd w:val="0"/>
        <w:jc w:val="both"/>
      </w:pPr>
    </w:p>
    <w:p w14:paraId="59CC1310" w14:textId="7D9DE47C" w:rsidR="00F442D2" w:rsidRPr="008139E6" w:rsidRDefault="00F442D2" w:rsidP="0090138D">
      <w:pPr>
        <w:autoSpaceDE w:val="0"/>
        <w:autoSpaceDN w:val="0"/>
        <w:adjustRightInd w:val="0"/>
        <w:jc w:val="both"/>
        <w:rPr>
          <w:i/>
        </w:rPr>
      </w:pPr>
      <w:r w:rsidRPr="008139E6">
        <w:rPr>
          <w:i/>
        </w:rPr>
        <w:t>Inter-rater reliability</w:t>
      </w:r>
    </w:p>
    <w:p w14:paraId="05042741" w14:textId="54B4E2BE" w:rsidR="00764337" w:rsidRPr="008139E6" w:rsidRDefault="00C04DED" w:rsidP="00F742F9">
      <w:pPr>
        <w:ind w:firstLine="720"/>
        <w:jc w:val="both"/>
      </w:pPr>
      <w:r w:rsidRPr="008139E6">
        <w:t>Table 3</w:t>
      </w:r>
      <w:r w:rsidR="00764337" w:rsidRPr="008139E6">
        <w:t xml:space="preserve"> illustrates the kappa values and level of agreement for each behavioural category.</w:t>
      </w:r>
    </w:p>
    <w:p w14:paraId="7C3F8827" w14:textId="77777777" w:rsidR="00F83D9C" w:rsidRPr="008139E6" w:rsidRDefault="00F83D9C" w:rsidP="0090138D">
      <w:pPr>
        <w:jc w:val="both"/>
      </w:pPr>
    </w:p>
    <w:p w14:paraId="77459262" w14:textId="1F5090EE" w:rsidR="00F61375" w:rsidRPr="008139E6" w:rsidRDefault="00F61375" w:rsidP="00F61375">
      <w:pPr>
        <w:rPr>
          <w:b/>
        </w:rPr>
      </w:pPr>
      <w:r w:rsidRPr="008139E6">
        <w:rPr>
          <w:b/>
        </w:rPr>
        <w:t>Table 3: The kappa values and level of agreement for each behavioural category</w:t>
      </w:r>
    </w:p>
    <w:p w14:paraId="777BF67B" w14:textId="77777777" w:rsidR="005B04AC" w:rsidRPr="008139E6" w:rsidRDefault="005B04AC" w:rsidP="0090138D">
      <w:pPr>
        <w:jc w:val="both"/>
      </w:pPr>
    </w:p>
    <w:p w14:paraId="69ABC8FD" w14:textId="7336BF41" w:rsidR="00764337" w:rsidRPr="008139E6" w:rsidRDefault="00764337" w:rsidP="0090138D">
      <w:pPr>
        <w:autoSpaceDE w:val="0"/>
        <w:autoSpaceDN w:val="0"/>
        <w:adjustRightInd w:val="0"/>
        <w:ind w:firstLine="720"/>
        <w:jc w:val="both"/>
      </w:pPr>
      <w:r w:rsidRPr="008139E6">
        <w:t xml:space="preserve">Agreement was found to be “fair” or better for all categories with the exception of Situational Awareness where it was less than chance. </w:t>
      </w:r>
    </w:p>
    <w:p w14:paraId="7E4A78EF" w14:textId="77777777" w:rsidR="00F442D2" w:rsidRPr="008139E6" w:rsidRDefault="00F442D2" w:rsidP="0090138D">
      <w:pPr>
        <w:autoSpaceDE w:val="0"/>
        <w:autoSpaceDN w:val="0"/>
        <w:adjustRightInd w:val="0"/>
        <w:jc w:val="both"/>
      </w:pPr>
    </w:p>
    <w:p w14:paraId="0A0E5FAA" w14:textId="5F652F44" w:rsidR="00764337" w:rsidRPr="008139E6" w:rsidRDefault="00764337" w:rsidP="0090138D">
      <w:pPr>
        <w:autoSpaceDE w:val="0"/>
        <w:autoSpaceDN w:val="0"/>
        <w:adjustRightInd w:val="0"/>
        <w:jc w:val="both"/>
        <w:rPr>
          <w:i/>
        </w:rPr>
      </w:pPr>
      <w:r w:rsidRPr="008139E6">
        <w:rPr>
          <w:i/>
        </w:rPr>
        <w:t>The impact of the ward simulation learning intervention on student skills</w:t>
      </w:r>
    </w:p>
    <w:p w14:paraId="38C955B2" w14:textId="1ED77BA7" w:rsidR="005E14C8" w:rsidRPr="008139E6" w:rsidRDefault="00CF47F2" w:rsidP="00F742F9">
      <w:pPr>
        <w:autoSpaceDE w:val="0"/>
        <w:autoSpaceDN w:val="0"/>
        <w:adjustRightInd w:val="0"/>
        <w:ind w:firstLine="720"/>
        <w:jc w:val="both"/>
      </w:pPr>
      <w:r w:rsidRPr="008139E6">
        <w:t xml:space="preserve">Table </w:t>
      </w:r>
      <w:r w:rsidR="00C04DED" w:rsidRPr="008139E6">
        <w:t>4</w:t>
      </w:r>
      <w:r w:rsidR="00764337" w:rsidRPr="008139E6">
        <w:t xml:space="preserve"> illustrates the mean scores pre and post intervention </w:t>
      </w:r>
      <w:r w:rsidR="00316E94" w:rsidRPr="008139E6">
        <w:t>for each NTS category and for all categories combined</w:t>
      </w:r>
      <w:r w:rsidR="00353BDA" w:rsidRPr="008139E6">
        <w:t xml:space="preserve"> (significant results are marked with an asterisk). </w:t>
      </w:r>
    </w:p>
    <w:p w14:paraId="0A6E000A" w14:textId="77777777" w:rsidR="00227D41" w:rsidRPr="008139E6" w:rsidRDefault="00227D41" w:rsidP="0090138D">
      <w:pPr>
        <w:autoSpaceDE w:val="0"/>
        <w:autoSpaceDN w:val="0"/>
        <w:adjustRightInd w:val="0"/>
      </w:pPr>
    </w:p>
    <w:p w14:paraId="4BB64BED" w14:textId="2F1268F5" w:rsidR="00F83D9C" w:rsidRPr="008139E6" w:rsidRDefault="00F61375" w:rsidP="0090138D">
      <w:pPr>
        <w:autoSpaceDE w:val="0"/>
        <w:autoSpaceDN w:val="0"/>
        <w:adjustRightInd w:val="0"/>
      </w:pPr>
      <w:r w:rsidRPr="008139E6">
        <w:rPr>
          <w:b/>
        </w:rPr>
        <w:t>Table 4: Mean scores pre and post intervention for the behavioural categories coded</w:t>
      </w:r>
    </w:p>
    <w:p w14:paraId="0EC7B7EE" w14:textId="77777777" w:rsidR="00353BDA" w:rsidRPr="008139E6" w:rsidRDefault="00353BDA" w:rsidP="0090138D">
      <w:pPr>
        <w:autoSpaceDE w:val="0"/>
        <w:autoSpaceDN w:val="0"/>
        <w:adjustRightInd w:val="0"/>
        <w:jc w:val="both"/>
        <w:rPr>
          <w:vertAlign w:val="superscript"/>
        </w:rPr>
      </w:pPr>
    </w:p>
    <w:p w14:paraId="11ED64CE" w14:textId="77777777" w:rsidR="002541B8" w:rsidRPr="008139E6" w:rsidRDefault="002541B8" w:rsidP="0090138D">
      <w:pPr>
        <w:autoSpaceDE w:val="0"/>
        <w:autoSpaceDN w:val="0"/>
        <w:adjustRightInd w:val="0"/>
        <w:jc w:val="both"/>
        <w:rPr>
          <w:b/>
        </w:rPr>
      </w:pPr>
    </w:p>
    <w:p w14:paraId="118A04E7" w14:textId="04F54BDE" w:rsidR="004119DE" w:rsidRPr="008139E6" w:rsidRDefault="001B7C20" w:rsidP="0090138D">
      <w:pPr>
        <w:autoSpaceDE w:val="0"/>
        <w:autoSpaceDN w:val="0"/>
        <w:adjustRightInd w:val="0"/>
        <w:jc w:val="both"/>
        <w:rPr>
          <w:b/>
        </w:rPr>
      </w:pPr>
      <w:r w:rsidRPr="008139E6">
        <w:rPr>
          <w:b/>
        </w:rPr>
        <w:t>D</w:t>
      </w:r>
      <w:r w:rsidR="00227D41" w:rsidRPr="008139E6">
        <w:rPr>
          <w:b/>
        </w:rPr>
        <w:t>iscussion</w:t>
      </w:r>
    </w:p>
    <w:p w14:paraId="76EADF04" w14:textId="34E609B2" w:rsidR="00123814" w:rsidRPr="008139E6" w:rsidRDefault="005F0FB6" w:rsidP="00F742F9">
      <w:pPr>
        <w:autoSpaceDE w:val="0"/>
        <w:autoSpaceDN w:val="0"/>
        <w:adjustRightInd w:val="0"/>
        <w:ind w:firstLine="720"/>
        <w:jc w:val="both"/>
      </w:pPr>
      <w:r w:rsidRPr="008139E6">
        <w:t xml:space="preserve">The </w:t>
      </w:r>
      <w:r w:rsidR="00CF09F4" w:rsidRPr="008139E6">
        <w:t xml:space="preserve">identified NTS categories </w:t>
      </w:r>
      <w:r w:rsidR="008F781E" w:rsidRPr="008139E6">
        <w:t>reflected the spe</w:t>
      </w:r>
      <w:r w:rsidR="00CF09F4" w:rsidRPr="008139E6">
        <w:t>cific context of the ward round</w:t>
      </w:r>
      <w:r w:rsidR="008F781E" w:rsidRPr="008139E6">
        <w:t xml:space="preserve"> as well as the wider NHS context. For example t</w:t>
      </w:r>
      <w:r w:rsidR="00A509A1" w:rsidRPr="008139E6">
        <w:t xml:space="preserve">he </w:t>
      </w:r>
      <w:r w:rsidR="00096DBA" w:rsidRPr="008139E6">
        <w:t>adaptation of the category ‘Leadership’</w:t>
      </w:r>
      <w:r w:rsidR="008F781E" w:rsidRPr="008139E6">
        <w:t xml:space="preserve"> </w:t>
      </w:r>
      <w:r w:rsidR="00096DBA" w:rsidRPr="008139E6">
        <w:t xml:space="preserve">to ‘Student Initiative’ reflected the </w:t>
      </w:r>
      <w:r w:rsidR="008F781E" w:rsidRPr="008139E6">
        <w:t xml:space="preserve">fact that, in practice, the leadership role in a ward round </w:t>
      </w:r>
      <w:r w:rsidR="00096DBA" w:rsidRPr="008139E6">
        <w:t xml:space="preserve">would be </w:t>
      </w:r>
      <w:r w:rsidR="008F781E" w:rsidRPr="008139E6">
        <w:t xml:space="preserve">held </w:t>
      </w:r>
      <w:r w:rsidR="00096DBA" w:rsidRPr="008139E6">
        <w:t xml:space="preserve">by the consultant rather than by a more junior member of the team.  </w:t>
      </w:r>
      <w:r w:rsidR="008F781E" w:rsidRPr="008139E6">
        <w:t>Likewise</w:t>
      </w:r>
      <w:r w:rsidR="00096DBA" w:rsidRPr="008139E6">
        <w:t xml:space="preserve">, the introduction of the category ‘Responsiveness to Patients’ </w:t>
      </w:r>
      <w:r w:rsidR="008F781E" w:rsidRPr="008139E6">
        <w:t>reflected the NHS priorities</w:t>
      </w:r>
      <w:r w:rsidR="00096DBA" w:rsidRPr="008139E6">
        <w:t xml:space="preserve"> of patient centred care</w:t>
      </w:r>
      <w:r w:rsidR="008F781E" w:rsidRPr="008139E6">
        <w:t xml:space="preserve"> and patient involvement</w:t>
      </w:r>
      <w:r w:rsidR="00150E21" w:rsidRPr="008139E6">
        <w:t xml:space="preserve"> (</w:t>
      </w:r>
      <w:proofErr w:type="spellStart"/>
      <w:r w:rsidR="00150E21" w:rsidRPr="008139E6">
        <w:t>eg</w:t>
      </w:r>
      <w:proofErr w:type="spellEnd"/>
      <w:r w:rsidR="00150E21" w:rsidRPr="008139E6">
        <w:t xml:space="preserve"> Francis, 2013)</w:t>
      </w:r>
      <w:r w:rsidR="00CB5089" w:rsidRPr="008139E6">
        <w:t>.</w:t>
      </w:r>
      <w:r w:rsidR="004C772B" w:rsidRPr="008139E6">
        <w:t xml:space="preserve"> </w:t>
      </w:r>
      <w:r w:rsidR="00123814" w:rsidRPr="008139E6">
        <w:t xml:space="preserve"> As ward rounds have been shown to induce anxiety and feelings of intimidation in approximately one-third of patients</w:t>
      </w:r>
      <w:r w:rsidR="00150E21" w:rsidRPr="008139E6">
        <w:t xml:space="preserve"> (Montague and Hussain, 2006),</w:t>
      </w:r>
      <w:r w:rsidR="004C772B" w:rsidRPr="008139E6">
        <w:t xml:space="preserve"> </w:t>
      </w:r>
      <w:r w:rsidR="00123814" w:rsidRPr="008139E6">
        <w:t xml:space="preserve">this suggests that ‘Responsiveness to Patients’ represents an important area requiring further investigation. </w:t>
      </w:r>
      <w:r w:rsidR="008F781E" w:rsidRPr="008139E6">
        <w:t xml:space="preserve"> </w:t>
      </w:r>
    </w:p>
    <w:p w14:paraId="2B7A9923" w14:textId="235D887E" w:rsidR="001061B0" w:rsidRPr="008139E6" w:rsidRDefault="001061B0" w:rsidP="0090138D">
      <w:pPr>
        <w:autoSpaceDE w:val="0"/>
        <w:autoSpaceDN w:val="0"/>
        <w:adjustRightInd w:val="0"/>
        <w:ind w:firstLine="720"/>
        <w:jc w:val="both"/>
      </w:pPr>
      <w:r w:rsidRPr="008139E6">
        <w:t xml:space="preserve">In general the inter-rater reliability </w:t>
      </w:r>
      <w:r w:rsidR="008F781E" w:rsidRPr="008139E6">
        <w:t xml:space="preserve">for the ward round NTS categories </w:t>
      </w:r>
      <w:r w:rsidRPr="008139E6">
        <w:t xml:space="preserve">was ‘fair’ or better, although </w:t>
      </w:r>
      <w:r w:rsidR="005F0FB6" w:rsidRPr="008139E6">
        <w:t xml:space="preserve">the poor agreement </w:t>
      </w:r>
      <w:r w:rsidRPr="008139E6">
        <w:t xml:space="preserve">within the category of Situational Awareness may reflect the fact that the </w:t>
      </w:r>
      <w:proofErr w:type="spellStart"/>
      <w:r w:rsidRPr="008139E6">
        <w:t>raters</w:t>
      </w:r>
      <w:proofErr w:type="spellEnd"/>
      <w:r w:rsidRPr="008139E6">
        <w:t xml:space="preserve"> were non-clinicians who may not have the same awareness of what constitutes important situational factor</w:t>
      </w:r>
      <w:r w:rsidR="00096DBA" w:rsidRPr="008139E6">
        <w:t>s that needed to be acted upon</w:t>
      </w:r>
      <w:r w:rsidR="008F781E" w:rsidRPr="008139E6">
        <w:t xml:space="preserve"> in a ward round </w:t>
      </w:r>
      <w:r w:rsidR="008F781E" w:rsidRPr="008139E6">
        <w:lastRenderedPageBreak/>
        <w:t>context</w:t>
      </w:r>
      <w:r w:rsidR="00096DBA" w:rsidRPr="008139E6">
        <w:t xml:space="preserve">. </w:t>
      </w:r>
      <w:r w:rsidRPr="008139E6">
        <w:t>This suggests the need for further clarification of t</w:t>
      </w:r>
      <w:r w:rsidR="008F781E" w:rsidRPr="008139E6">
        <w:t>his category if non-</w:t>
      </w:r>
      <w:r w:rsidR="001665BE" w:rsidRPr="008139E6">
        <w:t>medical staff</w:t>
      </w:r>
      <w:r w:rsidR="008F781E" w:rsidRPr="008139E6">
        <w:t xml:space="preserve"> are to </w:t>
      </w:r>
      <w:r w:rsidRPr="008139E6">
        <w:t>use the framework in the future</w:t>
      </w:r>
      <w:r w:rsidR="00096DBA" w:rsidRPr="008139E6">
        <w:t>.</w:t>
      </w:r>
    </w:p>
    <w:p w14:paraId="195190C9" w14:textId="158FDDC9" w:rsidR="00096DBA" w:rsidRPr="008139E6" w:rsidRDefault="00E9134F" w:rsidP="0090138D">
      <w:pPr>
        <w:autoSpaceDE w:val="0"/>
        <w:autoSpaceDN w:val="0"/>
        <w:adjustRightInd w:val="0"/>
        <w:jc w:val="both"/>
      </w:pPr>
      <w:r w:rsidRPr="008139E6">
        <w:tab/>
        <w:t>Importantly, the framework was found to have educational utility, with the educational intervention resulting in a significant improvement in scores in all of the categories</w:t>
      </w:r>
      <w:r w:rsidR="003C42EC" w:rsidRPr="008139E6">
        <w:t xml:space="preserve"> which were based on the original framework outlined by </w:t>
      </w:r>
      <w:proofErr w:type="spellStart"/>
      <w:r w:rsidR="003C42EC" w:rsidRPr="008139E6">
        <w:t>Flin</w:t>
      </w:r>
      <w:proofErr w:type="spellEnd"/>
      <w:r w:rsidR="003C42EC" w:rsidRPr="008139E6">
        <w:t xml:space="preserve"> and colleagues</w:t>
      </w:r>
      <w:r w:rsidR="00E83BAD" w:rsidRPr="008139E6">
        <w:t xml:space="preserve"> (2008)</w:t>
      </w:r>
      <w:r w:rsidR="007C3E4A" w:rsidRPr="008139E6">
        <w:t>,</w:t>
      </w:r>
      <w:r w:rsidR="004C772B" w:rsidRPr="008139E6">
        <w:t xml:space="preserve"> </w:t>
      </w:r>
      <w:r w:rsidR="00C04DED" w:rsidRPr="008139E6">
        <w:t>with the exception of T</w:t>
      </w:r>
      <w:r w:rsidRPr="008139E6">
        <w:t>eamwork</w:t>
      </w:r>
      <w:r w:rsidR="004C772B" w:rsidRPr="008139E6">
        <w:t>,</w:t>
      </w:r>
      <w:r w:rsidRPr="008139E6">
        <w:t xml:space="preserve"> and in total scores for all categories. While no significant changes were found </w:t>
      </w:r>
      <w:r w:rsidR="006F4454" w:rsidRPr="008139E6">
        <w:t>in relation to ‘Student Initiative’ or ‘Responsiveness to Patients,’ these were new categories that were introduced after the educational intervention had been completed. As such, they were not explicitly targeted by the intervention and, therefore, significant changes in</w:t>
      </w:r>
      <w:r w:rsidR="00A509A1" w:rsidRPr="008139E6">
        <w:t xml:space="preserve"> these two areas would not have</w:t>
      </w:r>
      <w:r w:rsidR="006F4454" w:rsidRPr="008139E6">
        <w:t xml:space="preserve"> been expected.</w:t>
      </w:r>
    </w:p>
    <w:p w14:paraId="692C23EB" w14:textId="77777777" w:rsidR="00B87A48" w:rsidRPr="008139E6" w:rsidRDefault="006F4454" w:rsidP="0090138D">
      <w:pPr>
        <w:autoSpaceDE w:val="0"/>
        <w:autoSpaceDN w:val="0"/>
        <w:adjustRightInd w:val="0"/>
        <w:jc w:val="both"/>
      </w:pPr>
      <w:r w:rsidRPr="008139E6">
        <w:tab/>
        <w:t>It was unclear why the educational inte</w:t>
      </w:r>
      <w:r w:rsidR="006961A7" w:rsidRPr="008139E6">
        <w:t>rvention did not impact on Team</w:t>
      </w:r>
      <w:r w:rsidRPr="008139E6">
        <w:t xml:space="preserve">work. One explanation may be that the students </w:t>
      </w:r>
      <w:r w:rsidR="00A509A1" w:rsidRPr="008139E6">
        <w:t xml:space="preserve">all changed roles following the </w:t>
      </w:r>
      <w:r w:rsidRPr="008139E6">
        <w:t xml:space="preserve">debrief </w:t>
      </w:r>
      <w:r w:rsidR="00746B18" w:rsidRPr="008139E6">
        <w:t xml:space="preserve">session </w:t>
      </w:r>
      <w:r w:rsidRPr="008139E6">
        <w:t xml:space="preserve">and therefore the original ward round team was disrupted. This reflects the reality of clinical practice where medical students and junior doctors may regularly join unfamiliar teams. This highlights the challenge to teach teamwork skills that can easily be implemented as the doctor moves from team to team. </w:t>
      </w:r>
    </w:p>
    <w:p w14:paraId="65EE4182" w14:textId="5CFFF549" w:rsidR="00722D93" w:rsidRPr="008139E6" w:rsidRDefault="00722D93" w:rsidP="0090138D">
      <w:pPr>
        <w:autoSpaceDE w:val="0"/>
        <w:autoSpaceDN w:val="0"/>
        <w:adjustRightInd w:val="0"/>
        <w:ind w:firstLine="720"/>
        <w:jc w:val="both"/>
      </w:pPr>
      <w:r w:rsidRPr="008139E6">
        <w:t xml:space="preserve">Finally, while the ward round simulation was developed by experienced medical researchers and clinicians in order to reflect the situations faced by junior doctors on ward rounds, and allowed teaching to take place under controlled conditions, the simulation was just that- it could only approximate the real experiences of a ward round.  As the pilot study has demonstrated that the development and application of an NTS framework to a simulated ward round is possible, future research can now evaluate its use in a real </w:t>
      </w:r>
      <w:r w:rsidR="008E1389" w:rsidRPr="008139E6">
        <w:t xml:space="preserve">ward round </w:t>
      </w:r>
      <w:r w:rsidRPr="008139E6">
        <w:t xml:space="preserve">setting. </w:t>
      </w:r>
    </w:p>
    <w:p w14:paraId="74965C38" w14:textId="77777777" w:rsidR="00114D57" w:rsidRPr="008139E6" w:rsidRDefault="00114D57" w:rsidP="0090138D"/>
    <w:p w14:paraId="6AE400FF" w14:textId="70EDD64B" w:rsidR="00AB1B20" w:rsidRPr="008139E6" w:rsidRDefault="00AB1B20">
      <w:pPr>
        <w:spacing w:line="240" w:lineRule="auto"/>
        <w:rPr>
          <w:iCs/>
        </w:rPr>
      </w:pPr>
      <w:r w:rsidRPr="008139E6">
        <w:rPr>
          <w:iCs/>
        </w:rPr>
        <w:br w:type="page"/>
      </w:r>
    </w:p>
    <w:p w14:paraId="6F4300EA" w14:textId="77777777" w:rsidR="00F702BB" w:rsidRPr="008139E6" w:rsidRDefault="00F702BB" w:rsidP="0090138D">
      <w:pPr>
        <w:autoSpaceDE w:val="0"/>
        <w:autoSpaceDN w:val="0"/>
        <w:adjustRightInd w:val="0"/>
        <w:jc w:val="both"/>
        <w:rPr>
          <w:iCs/>
        </w:rPr>
      </w:pPr>
    </w:p>
    <w:p w14:paraId="451813FC" w14:textId="77777777" w:rsidR="00E06DE5" w:rsidRPr="008139E6" w:rsidRDefault="00E06DE5" w:rsidP="00E06DE5">
      <w:pPr>
        <w:autoSpaceDE w:val="0"/>
        <w:autoSpaceDN w:val="0"/>
        <w:adjustRightInd w:val="0"/>
        <w:jc w:val="both"/>
        <w:rPr>
          <w:b/>
          <w:iCs/>
        </w:rPr>
      </w:pPr>
      <w:r w:rsidRPr="008139E6">
        <w:rPr>
          <w:b/>
          <w:iCs/>
        </w:rPr>
        <w:t>References</w:t>
      </w:r>
    </w:p>
    <w:p w14:paraId="71AD5642" w14:textId="77777777" w:rsidR="008D1B65" w:rsidRPr="008139E6" w:rsidRDefault="008D1B65" w:rsidP="00E06DE5">
      <w:pPr>
        <w:jc w:val="both"/>
      </w:pPr>
      <w:r w:rsidRPr="008139E6">
        <w:t xml:space="preserve">Armour </w:t>
      </w:r>
      <w:proofErr w:type="spellStart"/>
      <w:r w:rsidRPr="008139E6">
        <w:t>Forse</w:t>
      </w:r>
      <w:proofErr w:type="spellEnd"/>
      <w:r w:rsidRPr="008139E6">
        <w:t xml:space="preserve"> R, Bramble JD, </w:t>
      </w:r>
      <w:proofErr w:type="spellStart"/>
      <w:r w:rsidRPr="008139E6">
        <w:t>McQuillan</w:t>
      </w:r>
      <w:proofErr w:type="spellEnd"/>
      <w:r w:rsidRPr="008139E6">
        <w:t xml:space="preserve"> R (2011) Team training can improve operating room performance. </w:t>
      </w:r>
      <w:r w:rsidRPr="008139E6">
        <w:rPr>
          <w:i/>
        </w:rPr>
        <w:t>Surgery</w:t>
      </w:r>
      <w:r w:rsidRPr="008139E6">
        <w:t xml:space="preserve"> </w:t>
      </w:r>
      <w:r w:rsidRPr="008139E6">
        <w:rPr>
          <w:b/>
        </w:rPr>
        <w:t>150</w:t>
      </w:r>
      <w:r w:rsidRPr="008139E6">
        <w:t>(4): 771–778</w:t>
      </w:r>
    </w:p>
    <w:p w14:paraId="0636FF40" w14:textId="5D96EA2A" w:rsidR="008D1B65" w:rsidRPr="008139E6" w:rsidRDefault="008D1B65" w:rsidP="008D1B65">
      <w:pPr>
        <w:autoSpaceDE w:val="0"/>
        <w:autoSpaceDN w:val="0"/>
        <w:adjustRightInd w:val="0"/>
        <w:jc w:val="both"/>
      </w:pPr>
      <w:proofErr w:type="spellStart"/>
      <w:r w:rsidRPr="008139E6">
        <w:t>Flin</w:t>
      </w:r>
      <w:proofErr w:type="spellEnd"/>
      <w:r w:rsidRPr="008139E6">
        <w:t xml:space="preserve"> R, O’Connor P, Crichton M (2008) </w:t>
      </w:r>
      <w:r w:rsidRPr="008139E6">
        <w:rPr>
          <w:i/>
        </w:rPr>
        <w:t>Safety at the sharp end: A guide to non-technical skills</w:t>
      </w:r>
      <w:r w:rsidRPr="008139E6">
        <w:t xml:space="preserve">. </w:t>
      </w:r>
      <w:proofErr w:type="spellStart"/>
      <w:r w:rsidRPr="008139E6">
        <w:t>Ashgate</w:t>
      </w:r>
      <w:proofErr w:type="spellEnd"/>
      <w:r w:rsidRPr="008139E6">
        <w:t xml:space="preserve"> Publishing Company, Surrey</w:t>
      </w:r>
    </w:p>
    <w:p w14:paraId="06EAFE70" w14:textId="34DC7801" w:rsidR="008D1B65" w:rsidRPr="008139E6" w:rsidRDefault="008D1B65" w:rsidP="008D1B65">
      <w:pPr>
        <w:autoSpaceDE w:val="0"/>
        <w:autoSpaceDN w:val="0"/>
        <w:adjustRightInd w:val="0"/>
        <w:jc w:val="both"/>
      </w:pPr>
      <w:r w:rsidRPr="008139E6">
        <w:t>Francis R (2013) Report of the Mid Staffordshire NHS Foundation Trust Public Inquiry. The Stationery Office, London</w:t>
      </w:r>
    </w:p>
    <w:p w14:paraId="002FCD68" w14:textId="27F93360" w:rsidR="008D1B65" w:rsidRPr="008139E6" w:rsidRDefault="008D1B65" w:rsidP="008D1B65">
      <w:pPr>
        <w:autoSpaceDE w:val="0"/>
        <w:autoSpaceDN w:val="0"/>
        <w:adjustRightInd w:val="0"/>
        <w:jc w:val="both"/>
      </w:pPr>
      <w:r w:rsidRPr="008139E6">
        <w:t xml:space="preserve">Harvey R, </w:t>
      </w:r>
      <w:proofErr w:type="spellStart"/>
      <w:r w:rsidRPr="008139E6">
        <w:t>Mellanby</w:t>
      </w:r>
      <w:proofErr w:type="spellEnd"/>
      <w:r w:rsidRPr="008139E6">
        <w:t xml:space="preserve">  E, </w:t>
      </w:r>
      <w:proofErr w:type="spellStart"/>
      <w:r w:rsidRPr="008139E6">
        <w:t>Dearden</w:t>
      </w:r>
      <w:proofErr w:type="spellEnd"/>
      <w:r w:rsidRPr="008139E6">
        <w:t xml:space="preserve"> E, </w:t>
      </w:r>
      <w:proofErr w:type="spellStart"/>
      <w:r w:rsidRPr="008139E6">
        <w:t>Medjoub</w:t>
      </w:r>
      <w:proofErr w:type="spellEnd"/>
      <w:r w:rsidRPr="008139E6">
        <w:t xml:space="preserve"> K, Edgar S (2015) Developing non–technical ward-round skills. </w:t>
      </w:r>
      <w:proofErr w:type="spellStart"/>
      <w:r w:rsidRPr="008139E6">
        <w:rPr>
          <w:i/>
        </w:rPr>
        <w:t>Clin</w:t>
      </w:r>
      <w:proofErr w:type="spellEnd"/>
      <w:r w:rsidRPr="008139E6">
        <w:rPr>
          <w:i/>
        </w:rPr>
        <w:t xml:space="preserve"> Teach</w:t>
      </w:r>
      <w:r w:rsidRPr="008139E6">
        <w:t xml:space="preserve"> </w:t>
      </w:r>
      <w:r w:rsidRPr="008139E6">
        <w:rPr>
          <w:b/>
        </w:rPr>
        <w:t>12</w:t>
      </w:r>
      <w:r w:rsidRPr="008139E6">
        <w:t>: 336-340</w:t>
      </w:r>
    </w:p>
    <w:p w14:paraId="065894C3" w14:textId="213E780E" w:rsidR="002770D1" w:rsidRPr="008139E6" w:rsidRDefault="002770D1" w:rsidP="002770D1">
      <w:pPr>
        <w:jc w:val="both"/>
      </w:pPr>
      <w:proofErr w:type="spellStart"/>
      <w:r w:rsidRPr="008139E6">
        <w:t>Mellanby</w:t>
      </w:r>
      <w:proofErr w:type="spellEnd"/>
      <w:r w:rsidRPr="008139E6">
        <w:t xml:space="preserve"> E, Hume M, </w:t>
      </w:r>
      <w:proofErr w:type="spellStart"/>
      <w:r w:rsidRPr="008139E6">
        <w:t>Glavin</w:t>
      </w:r>
      <w:proofErr w:type="spellEnd"/>
      <w:r w:rsidRPr="008139E6">
        <w:t xml:space="preserve"> R, Skinner J, Maran N (2013) </w:t>
      </w:r>
      <w:r w:rsidRPr="008139E6">
        <w:rPr>
          <w:i/>
        </w:rPr>
        <w:t>The development of a behavioural marker system for newly qualified doctors in managing acutely unwell patients.</w:t>
      </w:r>
      <w:r w:rsidRPr="008139E6">
        <w:t xml:space="preserve"> Clinical Skills Managed Educational Network, Edinburgh. Available at: http://www.csmen.scot.nhs.uk/media/25660/project_report_19.08.14.pdf</w:t>
      </w:r>
    </w:p>
    <w:p w14:paraId="246D0A75" w14:textId="0F4FB0EB" w:rsidR="008D1B65" w:rsidRPr="008139E6" w:rsidRDefault="008D1B65" w:rsidP="00E06DE5">
      <w:pPr>
        <w:jc w:val="both"/>
      </w:pPr>
      <w:r w:rsidRPr="008139E6">
        <w:t xml:space="preserve">Montague ML, Hussain SS (2006) Patient perceptions of the otolaryngology ward round in a teaching hospital. </w:t>
      </w:r>
      <w:r w:rsidRPr="008139E6">
        <w:rPr>
          <w:i/>
        </w:rPr>
        <w:t xml:space="preserve">J </w:t>
      </w:r>
      <w:proofErr w:type="spellStart"/>
      <w:r w:rsidRPr="008139E6">
        <w:rPr>
          <w:i/>
        </w:rPr>
        <w:t>Laryngol</w:t>
      </w:r>
      <w:proofErr w:type="spellEnd"/>
      <w:r w:rsidRPr="008139E6">
        <w:rPr>
          <w:i/>
        </w:rPr>
        <w:t xml:space="preserve"> </w:t>
      </w:r>
      <w:proofErr w:type="spellStart"/>
      <w:r w:rsidRPr="008139E6">
        <w:rPr>
          <w:i/>
        </w:rPr>
        <w:t>Otol</w:t>
      </w:r>
      <w:proofErr w:type="spellEnd"/>
      <w:r w:rsidRPr="008139E6">
        <w:t xml:space="preserve"> </w:t>
      </w:r>
      <w:r w:rsidRPr="008139E6">
        <w:rPr>
          <w:b/>
        </w:rPr>
        <w:t>120</w:t>
      </w:r>
      <w:r w:rsidRPr="008139E6">
        <w:t>(4): 314-318</w:t>
      </w:r>
    </w:p>
    <w:p w14:paraId="47C381B0" w14:textId="5C102120" w:rsidR="00E06DE5" w:rsidRPr="008139E6" w:rsidRDefault="00E06DE5" w:rsidP="00E06DE5">
      <w:pPr>
        <w:jc w:val="both"/>
      </w:pPr>
      <w:proofErr w:type="spellStart"/>
      <w:r w:rsidRPr="008139E6">
        <w:t>Nikendei</w:t>
      </w:r>
      <w:proofErr w:type="spellEnd"/>
      <w:r w:rsidRPr="008139E6">
        <w:t xml:space="preserve"> C, Kraus B, </w:t>
      </w:r>
      <w:proofErr w:type="spellStart"/>
      <w:r w:rsidRPr="008139E6">
        <w:t>Schrauth</w:t>
      </w:r>
      <w:proofErr w:type="spellEnd"/>
      <w:r w:rsidRPr="008139E6">
        <w:t xml:space="preserve"> M, </w:t>
      </w:r>
      <w:proofErr w:type="spellStart"/>
      <w:r w:rsidRPr="008139E6">
        <w:t>Breim</w:t>
      </w:r>
      <w:proofErr w:type="spellEnd"/>
      <w:r w:rsidRPr="008139E6">
        <w:t xml:space="preserve"> S, </w:t>
      </w:r>
      <w:proofErr w:type="spellStart"/>
      <w:r w:rsidR="00BD7C0B" w:rsidRPr="008139E6">
        <w:t>Jünger</w:t>
      </w:r>
      <w:proofErr w:type="spellEnd"/>
      <w:r w:rsidR="00BD7C0B" w:rsidRPr="008139E6">
        <w:t xml:space="preserve"> J</w:t>
      </w:r>
      <w:r w:rsidR="00F94FF2" w:rsidRPr="008139E6">
        <w:t xml:space="preserve"> (2008) </w:t>
      </w:r>
      <w:r w:rsidRPr="008139E6">
        <w:t xml:space="preserve">Ward rounds: How prepared are future doctors? </w:t>
      </w:r>
      <w:r w:rsidR="001E24F6" w:rsidRPr="008139E6">
        <w:rPr>
          <w:i/>
        </w:rPr>
        <w:t>Med Teach</w:t>
      </w:r>
      <w:r w:rsidR="001E24F6" w:rsidRPr="008139E6">
        <w:t xml:space="preserve"> </w:t>
      </w:r>
      <w:r w:rsidRPr="008139E6">
        <w:rPr>
          <w:b/>
        </w:rPr>
        <w:t>30</w:t>
      </w:r>
      <w:r w:rsidRPr="008139E6">
        <w:t>(1):</w:t>
      </w:r>
      <w:r w:rsidR="001E24F6" w:rsidRPr="008139E6">
        <w:t xml:space="preserve"> </w:t>
      </w:r>
      <w:r w:rsidR="00F94FF2" w:rsidRPr="008139E6">
        <w:t>88-91</w:t>
      </w:r>
    </w:p>
    <w:p w14:paraId="3253204B" w14:textId="573040BB" w:rsidR="00E06DE5" w:rsidRPr="008139E6" w:rsidRDefault="00E06DE5" w:rsidP="00E06DE5">
      <w:pPr>
        <w:autoSpaceDE w:val="0"/>
        <w:autoSpaceDN w:val="0"/>
        <w:adjustRightInd w:val="0"/>
        <w:jc w:val="both"/>
      </w:pPr>
      <w:proofErr w:type="spellStart"/>
      <w:r w:rsidRPr="008139E6">
        <w:t>Pucher</w:t>
      </w:r>
      <w:proofErr w:type="spellEnd"/>
      <w:r w:rsidRPr="008139E6">
        <w:t xml:space="preserve"> P, Aggarwal R, </w:t>
      </w:r>
      <w:proofErr w:type="spellStart"/>
      <w:r w:rsidRPr="008139E6">
        <w:t>Darzi</w:t>
      </w:r>
      <w:proofErr w:type="spellEnd"/>
      <w:r w:rsidRPr="008139E6">
        <w:t xml:space="preserve"> AW</w:t>
      </w:r>
      <w:r w:rsidR="0097072B" w:rsidRPr="008139E6">
        <w:t xml:space="preserve"> (2013)</w:t>
      </w:r>
      <w:r w:rsidRPr="008139E6">
        <w:t xml:space="preserve"> </w:t>
      </w:r>
      <w:proofErr w:type="gramStart"/>
      <w:r w:rsidRPr="008139E6">
        <w:t>Surgical</w:t>
      </w:r>
      <w:proofErr w:type="gramEnd"/>
      <w:r w:rsidRPr="008139E6">
        <w:t xml:space="preserve"> ward round quality and impact on variable patient outcomes. </w:t>
      </w:r>
      <w:r w:rsidRPr="008139E6">
        <w:rPr>
          <w:i/>
        </w:rPr>
        <w:t>Am</w:t>
      </w:r>
      <w:r w:rsidR="00BD7C0B" w:rsidRPr="008139E6">
        <w:rPr>
          <w:i/>
        </w:rPr>
        <w:t xml:space="preserve"> </w:t>
      </w:r>
      <w:proofErr w:type="spellStart"/>
      <w:r w:rsidR="00BD7C0B" w:rsidRPr="008139E6">
        <w:rPr>
          <w:i/>
        </w:rPr>
        <w:t>Surg</w:t>
      </w:r>
      <w:proofErr w:type="spellEnd"/>
      <w:r w:rsidRPr="008139E6">
        <w:t xml:space="preserve"> </w:t>
      </w:r>
      <w:r w:rsidRPr="008139E6">
        <w:rPr>
          <w:b/>
        </w:rPr>
        <w:t>217</w:t>
      </w:r>
      <w:r w:rsidRPr="008139E6">
        <w:t>(3S):</w:t>
      </w:r>
      <w:r w:rsidR="00BD7C0B" w:rsidRPr="008139E6">
        <w:t xml:space="preserve"> </w:t>
      </w:r>
      <w:r w:rsidRPr="008139E6">
        <w:t>S103</w:t>
      </w:r>
    </w:p>
    <w:p w14:paraId="3A0AB18B" w14:textId="4E4E3A90" w:rsidR="00E06DE5" w:rsidRPr="008139E6" w:rsidRDefault="00E06DE5" w:rsidP="00E06DE5">
      <w:pPr>
        <w:autoSpaceDE w:val="0"/>
        <w:autoSpaceDN w:val="0"/>
        <w:adjustRightInd w:val="0"/>
        <w:jc w:val="both"/>
      </w:pPr>
      <w:r w:rsidRPr="008139E6">
        <w:t>Royal College of Physicians, Royal College of Nursing</w:t>
      </w:r>
      <w:r w:rsidR="0097072B" w:rsidRPr="008139E6">
        <w:t xml:space="preserve"> (2012)</w:t>
      </w:r>
      <w:r w:rsidRPr="008139E6">
        <w:t xml:space="preserve"> </w:t>
      </w:r>
      <w:r w:rsidRPr="008139E6">
        <w:rPr>
          <w:i/>
        </w:rPr>
        <w:t>Ward rounds in medicine: Principles for best practice.</w:t>
      </w:r>
      <w:r w:rsidRPr="008139E6">
        <w:t xml:space="preserve"> Royal College of Physicians, </w:t>
      </w:r>
      <w:r w:rsidR="0097072B" w:rsidRPr="008139E6">
        <w:t>London</w:t>
      </w:r>
    </w:p>
    <w:p w14:paraId="4A4C6E3C" w14:textId="712DCBE9" w:rsidR="008D1B65" w:rsidRPr="008139E6" w:rsidRDefault="008D1B65" w:rsidP="00E06DE5">
      <w:pPr>
        <w:autoSpaceDE w:val="0"/>
        <w:autoSpaceDN w:val="0"/>
        <w:adjustRightInd w:val="0"/>
        <w:jc w:val="both"/>
      </w:pPr>
      <w:proofErr w:type="spellStart"/>
      <w:r w:rsidRPr="008139E6">
        <w:t>Savoldelli</w:t>
      </w:r>
      <w:proofErr w:type="spellEnd"/>
      <w:r w:rsidRPr="008139E6">
        <w:t xml:space="preserve"> GL, </w:t>
      </w:r>
      <w:proofErr w:type="spellStart"/>
      <w:r w:rsidRPr="008139E6">
        <w:t>Naik</w:t>
      </w:r>
      <w:proofErr w:type="spellEnd"/>
      <w:r w:rsidRPr="008139E6">
        <w:t xml:space="preserve"> VN, Park J, </w:t>
      </w:r>
      <w:proofErr w:type="spellStart"/>
      <w:r w:rsidRPr="008139E6">
        <w:t>Joo</w:t>
      </w:r>
      <w:proofErr w:type="spellEnd"/>
      <w:r w:rsidRPr="008139E6">
        <w:t xml:space="preserve"> HS, Chow R, </w:t>
      </w:r>
      <w:proofErr w:type="spellStart"/>
      <w:r w:rsidRPr="008139E6">
        <w:t>Hamstra</w:t>
      </w:r>
      <w:proofErr w:type="spellEnd"/>
      <w:r w:rsidRPr="008139E6">
        <w:t xml:space="preserve"> SJ (2006) Value of debriefing during simulated crisis management. </w:t>
      </w:r>
      <w:proofErr w:type="spellStart"/>
      <w:r w:rsidRPr="008139E6">
        <w:rPr>
          <w:i/>
        </w:rPr>
        <w:t>Anesthesiology</w:t>
      </w:r>
      <w:proofErr w:type="spellEnd"/>
      <w:r w:rsidRPr="008139E6">
        <w:rPr>
          <w:i/>
        </w:rPr>
        <w:t xml:space="preserve"> </w:t>
      </w:r>
      <w:r w:rsidRPr="008139E6">
        <w:rPr>
          <w:b/>
        </w:rPr>
        <w:t>105</w:t>
      </w:r>
      <w:r w:rsidRPr="008139E6">
        <w:t>(2): 279–285</w:t>
      </w:r>
    </w:p>
    <w:p w14:paraId="4C078C53" w14:textId="6D5039F3" w:rsidR="00F83987" w:rsidRPr="008139E6" w:rsidRDefault="00F83987" w:rsidP="007D0668">
      <w:pPr>
        <w:autoSpaceDE w:val="0"/>
        <w:autoSpaceDN w:val="0"/>
        <w:adjustRightInd w:val="0"/>
        <w:ind w:left="720" w:hanging="720"/>
        <w:jc w:val="both"/>
      </w:pPr>
      <w:r w:rsidRPr="008139E6">
        <w:br w:type="page"/>
      </w:r>
    </w:p>
    <w:p w14:paraId="72DFA94C" w14:textId="77777777" w:rsidR="00F83987" w:rsidRPr="008139E6" w:rsidRDefault="00F83987" w:rsidP="0090138D">
      <w:pPr>
        <w:autoSpaceDE w:val="0"/>
        <w:autoSpaceDN w:val="0"/>
        <w:adjustRightInd w:val="0"/>
        <w:sectPr w:rsidR="00F83987" w:rsidRPr="008139E6" w:rsidSect="0090138D">
          <w:headerReference w:type="default" r:id="rId7"/>
          <w:footerReference w:type="even" r:id="rId8"/>
          <w:footerReference w:type="default" r:id="rId9"/>
          <w:type w:val="nextColumn"/>
          <w:pgSz w:w="11906" w:h="16838" w:code="9"/>
          <w:pgMar w:top="1531" w:right="1531" w:bottom="1531" w:left="1531" w:header="709" w:footer="709" w:gutter="0"/>
          <w:cols w:space="708"/>
          <w:docGrid w:linePitch="360"/>
        </w:sectPr>
      </w:pPr>
    </w:p>
    <w:p w14:paraId="096EC405" w14:textId="77777777" w:rsidR="00F83987" w:rsidRPr="008139E6" w:rsidRDefault="00F83987" w:rsidP="0090138D">
      <w:pPr>
        <w:autoSpaceDE w:val="0"/>
        <w:autoSpaceDN w:val="0"/>
        <w:adjustRightInd w:val="0"/>
        <w:jc w:val="both"/>
        <w:rPr>
          <w:b/>
        </w:rPr>
      </w:pPr>
      <w:r w:rsidRPr="008139E6">
        <w:rPr>
          <w:b/>
        </w:rPr>
        <w:lastRenderedPageBreak/>
        <w:t>Table1: Brief overview of the four simulated patient scenarios and some of the learning challenges being highlighted by each</w:t>
      </w:r>
    </w:p>
    <w:tbl>
      <w:tblPr>
        <w:tblStyle w:val="TableGrid"/>
        <w:tblW w:w="14596" w:type="dxa"/>
        <w:tblLook w:val="04A0" w:firstRow="1" w:lastRow="0" w:firstColumn="1" w:lastColumn="0" w:noHBand="0" w:noVBand="1"/>
      </w:tblPr>
      <w:tblGrid>
        <w:gridCol w:w="5665"/>
        <w:gridCol w:w="3828"/>
        <w:gridCol w:w="5103"/>
      </w:tblGrid>
      <w:tr w:rsidR="008139E6" w:rsidRPr="008139E6" w14:paraId="0B618EDC" w14:textId="77777777" w:rsidTr="00525488">
        <w:tc>
          <w:tcPr>
            <w:tcW w:w="5665" w:type="dxa"/>
          </w:tcPr>
          <w:p w14:paraId="59AA2F0E" w14:textId="12D11BC1" w:rsidR="00F83987" w:rsidRPr="008139E6" w:rsidRDefault="00F83987" w:rsidP="0090138D">
            <w:pPr>
              <w:autoSpaceDE w:val="0"/>
              <w:autoSpaceDN w:val="0"/>
              <w:adjustRightInd w:val="0"/>
              <w:jc w:val="both"/>
              <w:rPr>
                <w:rFonts w:ascii="Times New Roman" w:eastAsia="Times New Roman" w:hAnsi="Times New Roman"/>
                <w:b/>
              </w:rPr>
            </w:pPr>
            <w:r w:rsidRPr="008139E6">
              <w:t xml:space="preserve"> </w:t>
            </w:r>
            <w:r w:rsidRPr="008139E6">
              <w:rPr>
                <w:rFonts w:ascii="Times New Roman" w:eastAsia="Times New Roman" w:hAnsi="Times New Roman"/>
                <w:b/>
              </w:rPr>
              <w:t>Simulated patient Scenario</w:t>
            </w:r>
          </w:p>
        </w:tc>
        <w:tc>
          <w:tcPr>
            <w:tcW w:w="3828" w:type="dxa"/>
          </w:tcPr>
          <w:p w14:paraId="70DC04B9" w14:textId="77777777" w:rsidR="00F83987" w:rsidRPr="008139E6" w:rsidRDefault="00F83987" w:rsidP="0090138D">
            <w:pPr>
              <w:autoSpaceDE w:val="0"/>
              <w:autoSpaceDN w:val="0"/>
              <w:adjustRightInd w:val="0"/>
              <w:rPr>
                <w:rFonts w:ascii="Times New Roman" w:hAnsi="Times New Roman"/>
                <w:b/>
              </w:rPr>
            </w:pPr>
            <w:r w:rsidRPr="008139E6">
              <w:rPr>
                <w:rFonts w:ascii="Times New Roman" w:hAnsi="Times New Roman"/>
                <w:b/>
              </w:rPr>
              <w:t>Overall Learning Objectives</w:t>
            </w:r>
          </w:p>
        </w:tc>
        <w:tc>
          <w:tcPr>
            <w:tcW w:w="5103" w:type="dxa"/>
          </w:tcPr>
          <w:p w14:paraId="43AE28D7" w14:textId="77777777" w:rsidR="00F83987" w:rsidRPr="008139E6" w:rsidRDefault="00F83987" w:rsidP="0090138D">
            <w:pPr>
              <w:autoSpaceDE w:val="0"/>
              <w:autoSpaceDN w:val="0"/>
              <w:adjustRightInd w:val="0"/>
              <w:jc w:val="both"/>
              <w:rPr>
                <w:rFonts w:ascii="Times New Roman" w:eastAsia="Times New Roman" w:hAnsi="Times New Roman"/>
                <w:b/>
              </w:rPr>
            </w:pPr>
            <w:r w:rsidRPr="008139E6">
              <w:rPr>
                <w:rFonts w:ascii="Times New Roman" w:eastAsia="Times New Roman" w:hAnsi="Times New Roman"/>
                <w:b/>
              </w:rPr>
              <w:t>Example Learning Challenges</w:t>
            </w:r>
          </w:p>
        </w:tc>
      </w:tr>
      <w:tr w:rsidR="008139E6" w:rsidRPr="008139E6" w14:paraId="3E0F4CB7" w14:textId="77777777" w:rsidTr="00525488">
        <w:tc>
          <w:tcPr>
            <w:tcW w:w="5665" w:type="dxa"/>
          </w:tcPr>
          <w:p w14:paraId="38B23DBA" w14:textId="571750EF" w:rsidR="00F83987" w:rsidRPr="008139E6" w:rsidRDefault="00F83987" w:rsidP="0090138D">
            <w:pPr>
              <w:autoSpaceDE w:val="0"/>
              <w:autoSpaceDN w:val="0"/>
              <w:adjustRightInd w:val="0"/>
              <w:jc w:val="both"/>
              <w:rPr>
                <w:rFonts w:ascii="Times New Roman" w:eastAsia="Times New Roman" w:hAnsi="Times New Roman"/>
              </w:rPr>
            </w:pPr>
            <w:r w:rsidRPr="008139E6">
              <w:rPr>
                <w:rFonts w:ascii="Times New Roman" w:eastAsia="Times New Roman" w:hAnsi="Times New Roman"/>
              </w:rPr>
              <w:t>Patient 1 is suffering from a community acquired pneumonia on a background of alcohol misuse. He/she is exhibiting symptoms of delirium tremens</w:t>
            </w:r>
          </w:p>
        </w:tc>
        <w:tc>
          <w:tcPr>
            <w:tcW w:w="3828" w:type="dxa"/>
            <w:vMerge w:val="restart"/>
          </w:tcPr>
          <w:p w14:paraId="28F6DE11" w14:textId="77777777" w:rsidR="00F83987" w:rsidRPr="008139E6" w:rsidRDefault="00F83987" w:rsidP="0090138D">
            <w:pPr>
              <w:autoSpaceDE w:val="0"/>
              <w:autoSpaceDN w:val="0"/>
              <w:adjustRightInd w:val="0"/>
              <w:contextualSpacing/>
              <w:jc w:val="both"/>
              <w:rPr>
                <w:rFonts w:ascii="Times New Roman" w:hAnsi="Times New Roman"/>
              </w:rPr>
            </w:pPr>
            <w:r w:rsidRPr="008139E6">
              <w:rPr>
                <w:rFonts w:ascii="Times New Roman" w:hAnsi="Times New Roman"/>
              </w:rPr>
              <w:t>Students will obtain a practical understanding and some experience of the skills to be employed in relation to:</w:t>
            </w:r>
          </w:p>
          <w:p w14:paraId="21B1EF52" w14:textId="77777777" w:rsidR="00F83987" w:rsidRPr="008139E6" w:rsidRDefault="00F83987" w:rsidP="0090138D">
            <w:pPr>
              <w:autoSpaceDE w:val="0"/>
              <w:autoSpaceDN w:val="0"/>
              <w:adjustRightInd w:val="0"/>
              <w:contextualSpacing/>
              <w:jc w:val="both"/>
              <w:rPr>
                <w:rFonts w:ascii="Times New Roman" w:hAnsi="Times New Roman"/>
              </w:rPr>
            </w:pPr>
          </w:p>
          <w:p w14:paraId="4236D8A8" w14:textId="77777777" w:rsidR="00F83987" w:rsidRPr="008139E6" w:rsidRDefault="00F83987" w:rsidP="0090138D">
            <w:pPr>
              <w:autoSpaceDE w:val="0"/>
              <w:autoSpaceDN w:val="0"/>
              <w:adjustRightInd w:val="0"/>
              <w:jc w:val="both"/>
              <w:rPr>
                <w:rFonts w:ascii="MS Mincho" w:eastAsia="MS Mincho" w:hAnsi="MS Mincho" w:cs="MS Mincho"/>
              </w:rPr>
            </w:pPr>
            <w:r w:rsidRPr="008139E6">
              <w:rPr>
                <w:rFonts w:ascii="Times New Roman" w:hAnsi="Times New Roman"/>
              </w:rPr>
              <w:t>Accurate note taking and job list development during the ward round.</w:t>
            </w:r>
            <w:r w:rsidRPr="008139E6">
              <w:rPr>
                <w:rFonts w:ascii="MS Mincho" w:eastAsia="MS Mincho" w:hAnsi="MS Mincho" w:cs="MS Mincho"/>
              </w:rPr>
              <w:t> </w:t>
            </w:r>
          </w:p>
          <w:p w14:paraId="4D2283E4" w14:textId="77777777" w:rsidR="00F83987" w:rsidRPr="008139E6" w:rsidRDefault="00F83987" w:rsidP="0090138D">
            <w:pPr>
              <w:autoSpaceDE w:val="0"/>
              <w:autoSpaceDN w:val="0"/>
              <w:adjustRightInd w:val="0"/>
              <w:jc w:val="both"/>
              <w:rPr>
                <w:rFonts w:ascii="MS Mincho" w:eastAsia="MS Mincho" w:hAnsi="MS Mincho" w:cs="MS Mincho"/>
              </w:rPr>
            </w:pPr>
          </w:p>
          <w:p w14:paraId="402A9A05" w14:textId="77777777" w:rsidR="00F83987" w:rsidRPr="008139E6" w:rsidRDefault="00F83987" w:rsidP="0090138D">
            <w:pPr>
              <w:autoSpaceDE w:val="0"/>
              <w:autoSpaceDN w:val="0"/>
              <w:adjustRightInd w:val="0"/>
              <w:jc w:val="both"/>
              <w:rPr>
                <w:rFonts w:ascii="Times New Roman" w:hAnsi="Times New Roman"/>
              </w:rPr>
            </w:pPr>
            <w:r w:rsidRPr="008139E6">
              <w:rPr>
                <w:rFonts w:ascii="Times New Roman" w:hAnsi="Times New Roman"/>
              </w:rPr>
              <w:t xml:space="preserve">Understanding of the hierarchies that might exist on a ward round and how these could impact on the process of </w:t>
            </w:r>
            <w:r w:rsidRPr="008139E6">
              <w:rPr>
                <w:rFonts w:ascii="Times New Roman" w:hAnsi="Times New Roman"/>
              </w:rPr>
              <w:lastRenderedPageBreak/>
              <w:t>clinical care.</w:t>
            </w:r>
            <w:r w:rsidRPr="008139E6">
              <w:rPr>
                <w:rFonts w:ascii="MS Mincho" w:hAnsi="MS Mincho" w:cs="MS Mincho"/>
              </w:rPr>
              <w:t> </w:t>
            </w:r>
          </w:p>
          <w:p w14:paraId="3D6383A3" w14:textId="77777777" w:rsidR="00F83987" w:rsidRPr="008139E6" w:rsidRDefault="00F83987" w:rsidP="0090138D">
            <w:pPr>
              <w:autoSpaceDE w:val="0"/>
              <w:autoSpaceDN w:val="0"/>
              <w:adjustRightInd w:val="0"/>
              <w:ind w:left="714"/>
              <w:contextualSpacing/>
              <w:jc w:val="both"/>
              <w:rPr>
                <w:rFonts w:ascii="Times New Roman" w:hAnsi="Times New Roman"/>
              </w:rPr>
            </w:pPr>
          </w:p>
          <w:p w14:paraId="2DBDEB8B" w14:textId="77777777" w:rsidR="00F83987" w:rsidRPr="008139E6" w:rsidRDefault="00F83987" w:rsidP="0090138D">
            <w:pPr>
              <w:autoSpaceDE w:val="0"/>
              <w:autoSpaceDN w:val="0"/>
              <w:adjustRightInd w:val="0"/>
              <w:jc w:val="both"/>
              <w:rPr>
                <w:rFonts w:ascii="Times New Roman" w:hAnsi="Times New Roman"/>
              </w:rPr>
            </w:pPr>
            <w:r w:rsidRPr="008139E6">
              <w:rPr>
                <w:rFonts w:ascii="Times New Roman" w:hAnsi="Times New Roman"/>
              </w:rPr>
              <w:t>Experience in managing interruptions during a ward round.</w:t>
            </w:r>
            <w:r w:rsidRPr="008139E6">
              <w:rPr>
                <w:rFonts w:ascii="MS Mincho" w:eastAsia="MS Mincho" w:hAnsi="MS Mincho" w:cs="MS Mincho" w:hint="eastAsia"/>
              </w:rPr>
              <w:t> </w:t>
            </w:r>
          </w:p>
          <w:p w14:paraId="6A01F97A" w14:textId="77777777" w:rsidR="00F83987" w:rsidRPr="008139E6" w:rsidRDefault="00F83987" w:rsidP="0090138D">
            <w:pPr>
              <w:autoSpaceDE w:val="0"/>
              <w:autoSpaceDN w:val="0"/>
              <w:adjustRightInd w:val="0"/>
              <w:ind w:left="714"/>
              <w:contextualSpacing/>
              <w:jc w:val="both"/>
              <w:rPr>
                <w:rFonts w:ascii="Times New Roman" w:hAnsi="Times New Roman"/>
              </w:rPr>
            </w:pPr>
          </w:p>
          <w:p w14:paraId="68CCB02F" w14:textId="77777777" w:rsidR="00F83987" w:rsidRPr="008139E6" w:rsidRDefault="00F83987" w:rsidP="0090138D">
            <w:pPr>
              <w:autoSpaceDE w:val="0"/>
              <w:autoSpaceDN w:val="0"/>
              <w:adjustRightInd w:val="0"/>
              <w:contextualSpacing/>
              <w:jc w:val="both"/>
              <w:rPr>
                <w:rFonts w:ascii="Times New Roman" w:hAnsi="Times New Roman"/>
              </w:rPr>
            </w:pPr>
            <w:r w:rsidRPr="008139E6">
              <w:rPr>
                <w:rFonts w:ascii="Times New Roman" w:hAnsi="Times New Roman"/>
              </w:rPr>
              <w:t>Understanding of some key issues to be addressed during a ward round for every patient, including CPR status documentation, escalation plans, and DVT prophylaxis.</w:t>
            </w:r>
          </w:p>
        </w:tc>
        <w:tc>
          <w:tcPr>
            <w:tcW w:w="5103" w:type="dxa"/>
          </w:tcPr>
          <w:p w14:paraId="0F8FE660" w14:textId="77777777" w:rsidR="00F83987" w:rsidRPr="008139E6" w:rsidRDefault="00F83987" w:rsidP="0090138D">
            <w:pPr>
              <w:numPr>
                <w:ilvl w:val="0"/>
                <w:numId w:val="15"/>
              </w:numPr>
              <w:autoSpaceDE w:val="0"/>
              <w:autoSpaceDN w:val="0"/>
              <w:adjustRightInd w:val="0"/>
              <w:ind w:left="714" w:hanging="357"/>
              <w:contextualSpacing/>
              <w:jc w:val="both"/>
              <w:rPr>
                <w:rFonts w:ascii="Times New Roman" w:eastAsia="Times New Roman" w:hAnsi="Times New Roman"/>
              </w:rPr>
            </w:pPr>
            <w:r w:rsidRPr="008139E6">
              <w:rPr>
                <w:rFonts w:ascii="Times New Roman" w:hAnsi="Times New Roman"/>
              </w:rPr>
              <w:lastRenderedPageBreak/>
              <w:t>Dealing with aggression</w:t>
            </w:r>
          </w:p>
          <w:p w14:paraId="1E85A88D" w14:textId="77777777" w:rsidR="00F83987" w:rsidRPr="008139E6" w:rsidRDefault="00F83987" w:rsidP="0090138D">
            <w:pPr>
              <w:numPr>
                <w:ilvl w:val="0"/>
                <w:numId w:val="15"/>
              </w:numPr>
              <w:autoSpaceDE w:val="0"/>
              <w:autoSpaceDN w:val="0"/>
              <w:adjustRightInd w:val="0"/>
              <w:ind w:left="714" w:hanging="357"/>
              <w:contextualSpacing/>
              <w:jc w:val="both"/>
              <w:rPr>
                <w:rFonts w:ascii="Times New Roman" w:eastAsia="Times New Roman" w:hAnsi="Times New Roman"/>
              </w:rPr>
            </w:pPr>
            <w:r w:rsidRPr="008139E6">
              <w:rPr>
                <w:rFonts w:ascii="Times New Roman" w:eastAsia="Times New Roman" w:hAnsi="Times New Roman"/>
              </w:rPr>
              <w:t>Dealing with individuals with poor communication</w:t>
            </w:r>
          </w:p>
          <w:p w14:paraId="089FDB21" w14:textId="77777777" w:rsidR="00F83987" w:rsidRPr="008139E6" w:rsidRDefault="00F83987" w:rsidP="0090138D">
            <w:pPr>
              <w:numPr>
                <w:ilvl w:val="0"/>
                <w:numId w:val="15"/>
              </w:numPr>
              <w:autoSpaceDE w:val="0"/>
              <w:autoSpaceDN w:val="0"/>
              <w:adjustRightInd w:val="0"/>
              <w:ind w:left="714" w:hanging="357"/>
              <w:contextualSpacing/>
              <w:jc w:val="both"/>
              <w:rPr>
                <w:rFonts w:ascii="Times New Roman" w:eastAsia="Times New Roman" w:hAnsi="Times New Roman"/>
              </w:rPr>
            </w:pPr>
            <w:r w:rsidRPr="008139E6">
              <w:rPr>
                <w:rFonts w:ascii="Times New Roman" w:eastAsia="Times New Roman" w:hAnsi="Times New Roman"/>
              </w:rPr>
              <w:t>Recognising alcohol withdrawal and dehydration</w:t>
            </w:r>
          </w:p>
          <w:p w14:paraId="77A63369" w14:textId="77777777" w:rsidR="00F83987" w:rsidRPr="008139E6" w:rsidRDefault="00F83987" w:rsidP="0090138D">
            <w:pPr>
              <w:numPr>
                <w:ilvl w:val="0"/>
                <w:numId w:val="15"/>
              </w:numPr>
              <w:autoSpaceDE w:val="0"/>
              <w:autoSpaceDN w:val="0"/>
              <w:adjustRightInd w:val="0"/>
              <w:ind w:left="714" w:hanging="357"/>
              <w:contextualSpacing/>
              <w:jc w:val="both"/>
              <w:rPr>
                <w:rFonts w:ascii="Times New Roman" w:hAnsi="Times New Roman"/>
              </w:rPr>
            </w:pPr>
            <w:r w:rsidRPr="008139E6">
              <w:rPr>
                <w:rFonts w:ascii="Times New Roman" w:eastAsia="Times New Roman" w:hAnsi="Times New Roman"/>
              </w:rPr>
              <w:t>Gathering information from alternative sources</w:t>
            </w:r>
          </w:p>
        </w:tc>
      </w:tr>
      <w:tr w:rsidR="008139E6" w:rsidRPr="008139E6" w14:paraId="2B005FA7" w14:textId="77777777" w:rsidTr="00525488">
        <w:tc>
          <w:tcPr>
            <w:tcW w:w="5665" w:type="dxa"/>
          </w:tcPr>
          <w:p w14:paraId="6BFECED6" w14:textId="77777777" w:rsidR="00F83987" w:rsidRPr="008139E6" w:rsidRDefault="00F83987" w:rsidP="0090138D">
            <w:pPr>
              <w:autoSpaceDE w:val="0"/>
              <w:autoSpaceDN w:val="0"/>
              <w:adjustRightInd w:val="0"/>
              <w:jc w:val="both"/>
              <w:rPr>
                <w:rFonts w:ascii="Times New Roman" w:eastAsia="Times New Roman" w:hAnsi="Times New Roman"/>
              </w:rPr>
            </w:pPr>
            <w:r w:rsidRPr="008139E6">
              <w:rPr>
                <w:rFonts w:ascii="Times New Roman" w:eastAsia="Times New Roman" w:hAnsi="Times New Roman"/>
              </w:rPr>
              <w:t>Patient 2 is a medical student who has been admitted with glandular fever but is fit for discharge. He/she is a medical student and is demanding attention. Nursing staff are keen for the patient to be discharged as beds are needed</w:t>
            </w:r>
          </w:p>
        </w:tc>
        <w:tc>
          <w:tcPr>
            <w:tcW w:w="3828" w:type="dxa"/>
            <w:vMerge/>
          </w:tcPr>
          <w:p w14:paraId="2951D716" w14:textId="77777777" w:rsidR="00F83987" w:rsidRPr="008139E6" w:rsidRDefault="00F83987" w:rsidP="0090138D">
            <w:pPr>
              <w:pStyle w:val="ListParagraph"/>
              <w:numPr>
                <w:ilvl w:val="0"/>
                <w:numId w:val="16"/>
              </w:numPr>
              <w:autoSpaceDE w:val="0"/>
              <w:autoSpaceDN w:val="0"/>
              <w:adjustRightInd w:val="0"/>
              <w:jc w:val="both"/>
            </w:pPr>
          </w:p>
        </w:tc>
        <w:tc>
          <w:tcPr>
            <w:tcW w:w="5103" w:type="dxa"/>
          </w:tcPr>
          <w:p w14:paraId="43B53DD6" w14:textId="77777777" w:rsidR="00F83987" w:rsidRPr="008139E6" w:rsidRDefault="00F83987" w:rsidP="0090138D">
            <w:pPr>
              <w:pStyle w:val="ListParagraph"/>
              <w:numPr>
                <w:ilvl w:val="0"/>
                <w:numId w:val="16"/>
              </w:numPr>
              <w:autoSpaceDE w:val="0"/>
              <w:autoSpaceDN w:val="0"/>
              <w:adjustRightInd w:val="0"/>
              <w:jc w:val="both"/>
              <w:rPr>
                <w:rFonts w:ascii="Times New Roman" w:hAnsi="Times New Roman"/>
              </w:rPr>
            </w:pPr>
            <w:r w:rsidRPr="008139E6">
              <w:rPr>
                <w:rFonts w:ascii="Times New Roman" w:hAnsi="Times New Roman"/>
              </w:rPr>
              <w:t>The need to prioritise ward tasks</w:t>
            </w:r>
          </w:p>
          <w:p w14:paraId="1B12023A" w14:textId="77777777" w:rsidR="00F83987" w:rsidRPr="008139E6" w:rsidRDefault="00F83987" w:rsidP="0090138D">
            <w:pPr>
              <w:pStyle w:val="ListParagraph"/>
              <w:numPr>
                <w:ilvl w:val="0"/>
                <w:numId w:val="16"/>
              </w:numPr>
              <w:autoSpaceDE w:val="0"/>
              <w:autoSpaceDN w:val="0"/>
              <w:adjustRightInd w:val="0"/>
              <w:jc w:val="both"/>
              <w:rPr>
                <w:rFonts w:ascii="Times New Roman" w:hAnsi="Times New Roman"/>
              </w:rPr>
            </w:pPr>
            <w:r w:rsidRPr="008139E6">
              <w:rPr>
                <w:rFonts w:ascii="Times New Roman" w:hAnsi="Times New Roman"/>
              </w:rPr>
              <w:t>Dealing with potentially conflicting demands of patients and nursing staff</w:t>
            </w:r>
          </w:p>
          <w:p w14:paraId="1CEC297D" w14:textId="77777777" w:rsidR="00F83987" w:rsidRPr="008139E6" w:rsidRDefault="00F83987" w:rsidP="0090138D">
            <w:pPr>
              <w:autoSpaceDE w:val="0"/>
              <w:autoSpaceDN w:val="0"/>
              <w:adjustRightInd w:val="0"/>
              <w:ind w:left="720"/>
              <w:contextualSpacing/>
              <w:jc w:val="both"/>
              <w:rPr>
                <w:rFonts w:ascii="Times New Roman" w:hAnsi="Times New Roman"/>
              </w:rPr>
            </w:pPr>
          </w:p>
        </w:tc>
      </w:tr>
      <w:tr w:rsidR="008139E6" w:rsidRPr="008139E6" w14:paraId="05F2EB8F" w14:textId="77777777" w:rsidTr="00525488">
        <w:tc>
          <w:tcPr>
            <w:tcW w:w="5665" w:type="dxa"/>
          </w:tcPr>
          <w:p w14:paraId="486248D5" w14:textId="77777777" w:rsidR="00F83987" w:rsidRPr="008139E6" w:rsidRDefault="00F83987" w:rsidP="0090138D">
            <w:pPr>
              <w:autoSpaceDE w:val="0"/>
              <w:autoSpaceDN w:val="0"/>
              <w:adjustRightInd w:val="0"/>
              <w:jc w:val="both"/>
              <w:rPr>
                <w:rFonts w:ascii="Times New Roman" w:eastAsia="Times New Roman" w:hAnsi="Times New Roman"/>
              </w:rPr>
            </w:pPr>
            <w:r w:rsidRPr="008139E6">
              <w:rPr>
                <w:rFonts w:ascii="Times New Roman" w:eastAsia="Times New Roman" w:hAnsi="Times New Roman"/>
              </w:rPr>
              <w:t xml:space="preserve">Patient 3 has been admitted following a fall at home. </w:t>
            </w:r>
            <w:r w:rsidRPr="008139E6">
              <w:rPr>
                <w:rFonts w:ascii="Times New Roman" w:eastAsia="Times New Roman" w:hAnsi="Times New Roman"/>
              </w:rPr>
              <w:lastRenderedPageBreak/>
              <w:t>He/she is frail and on warfarin (aortic valve replacement 4 years previously). Her/his  INR is raised and this has been reversed but overnight the patient has developed a new right sided hemianopia which only becomes apparent on the ward round</w:t>
            </w:r>
          </w:p>
        </w:tc>
        <w:tc>
          <w:tcPr>
            <w:tcW w:w="3828" w:type="dxa"/>
            <w:vMerge/>
          </w:tcPr>
          <w:p w14:paraId="7D90F1EF" w14:textId="77777777" w:rsidR="00F83987" w:rsidRPr="008139E6" w:rsidRDefault="00F83987" w:rsidP="0090138D">
            <w:pPr>
              <w:pStyle w:val="ListParagraph"/>
              <w:numPr>
                <w:ilvl w:val="0"/>
                <w:numId w:val="19"/>
              </w:numPr>
              <w:autoSpaceDE w:val="0"/>
              <w:autoSpaceDN w:val="0"/>
              <w:adjustRightInd w:val="0"/>
              <w:jc w:val="both"/>
            </w:pPr>
          </w:p>
        </w:tc>
        <w:tc>
          <w:tcPr>
            <w:tcW w:w="5103" w:type="dxa"/>
          </w:tcPr>
          <w:p w14:paraId="3C9E66DE" w14:textId="77777777" w:rsidR="00F83987" w:rsidRPr="008139E6" w:rsidRDefault="00F83987" w:rsidP="0090138D">
            <w:pPr>
              <w:pStyle w:val="ListParagraph"/>
              <w:numPr>
                <w:ilvl w:val="0"/>
                <w:numId w:val="19"/>
              </w:numPr>
              <w:autoSpaceDE w:val="0"/>
              <w:autoSpaceDN w:val="0"/>
              <w:adjustRightInd w:val="0"/>
              <w:jc w:val="both"/>
              <w:rPr>
                <w:rFonts w:ascii="Times New Roman" w:hAnsi="Times New Roman"/>
              </w:rPr>
            </w:pPr>
            <w:r w:rsidRPr="008139E6">
              <w:rPr>
                <w:rFonts w:ascii="Times New Roman" w:hAnsi="Times New Roman"/>
              </w:rPr>
              <w:t>The need to prioritise</w:t>
            </w:r>
          </w:p>
          <w:p w14:paraId="23DD3508" w14:textId="77777777" w:rsidR="00F83987" w:rsidRPr="008139E6" w:rsidRDefault="00F83987" w:rsidP="0090138D">
            <w:pPr>
              <w:pStyle w:val="ListParagraph"/>
              <w:numPr>
                <w:ilvl w:val="0"/>
                <w:numId w:val="19"/>
              </w:numPr>
              <w:autoSpaceDE w:val="0"/>
              <w:autoSpaceDN w:val="0"/>
              <w:adjustRightInd w:val="0"/>
              <w:jc w:val="both"/>
              <w:rPr>
                <w:rFonts w:ascii="Times New Roman" w:hAnsi="Times New Roman"/>
              </w:rPr>
            </w:pPr>
            <w:r w:rsidRPr="008139E6">
              <w:rPr>
                <w:rFonts w:ascii="Times New Roman" w:hAnsi="Times New Roman"/>
              </w:rPr>
              <w:lastRenderedPageBreak/>
              <w:t xml:space="preserve">Integrating new information in order to come up with an appropriate course of action </w:t>
            </w:r>
          </w:p>
          <w:p w14:paraId="78483A56" w14:textId="77777777" w:rsidR="00F83987" w:rsidRPr="008139E6" w:rsidRDefault="00F83987" w:rsidP="0090138D">
            <w:pPr>
              <w:pStyle w:val="ListParagraph"/>
              <w:numPr>
                <w:ilvl w:val="0"/>
                <w:numId w:val="19"/>
              </w:numPr>
              <w:autoSpaceDE w:val="0"/>
              <w:autoSpaceDN w:val="0"/>
              <w:adjustRightInd w:val="0"/>
              <w:jc w:val="both"/>
              <w:rPr>
                <w:rFonts w:ascii="Times New Roman" w:hAnsi="Times New Roman"/>
              </w:rPr>
            </w:pPr>
            <w:r w:rsidRPr="008139E6">
              <w:rPr>
                <w:rFonts w:ascii="Times New Roman" w:hAnsi="Times New Roman"/>
              </w:rPr>
              <w:t>Referral for urgent CT</w:t>
            </w:r>
          </w:p>
        </w:tc>
      </w:tr>
      <w:tr w:rsidR="00F83987" w:rsidRPr="008139E6" w14:paraId="129EF3F0" w14:textId="77777777" w:rsidTr="00525488">
        <w:tc>
          <w:tcPr>
            <w:tcW w:w="5665" w:type="dxa"/>
          </w:tcPr>
          <w:p w14:paraId="5343793B" w14:textId="6E076C32" w:rsidR="00F83987" w:rsidRPr="008139E6" w:rsidRDefault="00F83987" w:rsidP="0090138D">
            <w:pPr>
              <w:autoSpaceDE w:val="0"/>
              <w:autoSpaceDN w:val="0"/>
              <w:adjustRightInd w:val="0"/>
              <w:jc w:val="both"/>
              <w:rPr>
                <w:rFonts w:ascii="Times New Roman" w:eastAsia="Times New Roman" w:hAnsi="Times New Roman"/>
              </w:rPr>
            </w:pPr>
            <w:r w:rsidRPr="008139E6">
              <w:rPr>
                <w:rFonts w:ascii="Times New Roman" w:eastAsia="Times New Roman" w:hAnsi="Times New Roman"/>
              </w:rPr>
              <w:lastRenderedPageBreak/>
              <w:t>Patient 4 has a urinary tract infection, (background history of ischaemic heart disease, hypertension, congestive cardiac failure and acute on chronic renal failure) with resultant confusion. He/she has an allergy to penicillin</w:t>
            </w:r>
            <w:r w:rsidR="004B1658" w:rsidRPr="008139E6">
              <w:rPr>
                <w:rFonts w:ascii="Times New Roman" w:eastAsia="Times New Roman" w:hAnsi="Times New Roman"/>
              </w:rPr>
              <w:t>.</w:t>
            </w:r>
            <w:r w:rsidRPr="008139E6">
              <w:rPr>
                <w:rFonts w:ascii="Times New Roman" w:eastAsia="Times New Roman" w:hAnsi="Times New Roman"/>
              </w:rPr>
              <w:t xml:space="preserve"> He/she is also distressed because they have lost an important item. They have difficult relatives who phone demanding information and wanting to make a complaint.</w:t>
            </w:r>
          </w:p>
        </w:tc>
        <w:tc>
          <w:tcPr>
            <w:tcW w:w="3828" w:type="dxa"/>
            <w:vMerge/>
          </w:tcPr>
          <w:p w14:paraId="5E8EB3AF" w14:textId="77777777" w:rsidR="00F83987" w:rsidRPr="008139E6" w:rsidRDefault="00F83987" w:rsidP="0090138D">
            <w:pPr>
              <w:numPr>
                <w:ilvl w:val="0"/>
                <w:numId w:val="20"/>
              </w:numPr>
              <w:autoSpaceDE w:val="0"/>
              <w:autoSpaceDN w:val="0"/>
              <w:adjustRightInd w:val="0"/>
              <w:contextualSpacing/>
              <w:jc w:val="both"/>
            </w:pPr>
          </w:p>
        </w:tc>
        <w:tc>
          <w:tcPr>
            <w:tcW w:w="5103" w:type="dxa"/>
          </w:tcPr>
          <w:p w14:paraId="239025F4" w14:textId="77777777" w:rsidR="00F83987" w:rsidRPr="008139E6" w:rsidRDefault="00F83987" w:rsidP="0090138D">
            <w:pPr>
              <w:numPr>
                <w:ilvl w:val="0"/>
                <w:numId w:val="20"/>
              </w:numPr>
              <w:autoSpaceDE w:val="0"/>
              <w:autoSpaceDN w:val="0"/>
              <w:adjustRightInd w:val="0"/>
              <w:contextualSpacing/>
              <w:jc w:val="both"/>
              <w:rPr>
                <w:rFonts w:ascii="Times New Roman" w:eastAsia="Times New Roman" w:hAnsi="Times New Roman"/>
              </w:rPr>
            </w:pPr>
            <w:r w:rsidRPr="008139E6">
              <w:rPr>
                <w:rFonts w:ascii="Times New Roman" w:eastAsia="Times New Roman" w:hAnsi="Times New Roman"/>
              </w:rPr>
              <w:t>The need to review existing information and share this with the wider team (allergy is noted in the case notes)</w:t>
            </w:r>
          </w:p>
          <w:p w14:paraId="6C0CD243" w14:textId="77777777" w:rsidR="00F83987" w:rsidRPr="008139E6" w:rsidRDefault="00F83987" w:rsidP="0090138D">
            <w:pPr>
              <w:numPr>
                <w:ilvl w:val="0"/>
                <w:numId w:val="20"/>
              </w:numPr>
              <w:autoSpaceDE w:val="0"/>
              <w:autoSpaceDN w:val="0"/>
              <w:adjustRightInd w:val="0"/>
              <w:contextualSpacing/>
              <w:jc w:val="both"/>
              <w:rPr>
                <w:rFonts w:ascii="Times New Roman" w:eastAsia="Times New Roman" w:hAnsi="Times New Roman"/>
              </w:rPr>
            </w:pPr>
            <w:r w:rsidRPr="008139E6">
              <w:rPr>
                <w:rFonts w:ascii="Times New Roman" w:eastAsia="Times New Roman" w:hAnsi="Times New Roman"/>
              </w:rPr>
              <w:t>The need to address practical issues that cause distress and/or provide appropriate reassurance</w:t>
            </w:r>
          </w:p>
          <w:p w14:paraId="42EB3F43" w14:textId="77777777" w:rsidR="00F83987" w:rsidRPr="008139E6" w:rsidRDefault="00F83987" w:rsidP="0090138D">
            <w:pPr>
              <w:numPr>
                <w:ilvl w:val="0"/>
                <w:numId w:val="20"/>
              </w:numPr>
              <w:autoSpaceDE w:val="0"/>
              <w:autoSpaceDN w:val="0"/>
              <w:adjustRightInd w:val="0"/>
              <w:contextualSpacing/>
              <w:jc w:val="both"/>
              <w:rPr>
                <w:rFonts w:ascii="Times New Roman" w:hAnsi="Times New Roman"/>
              </w:rPr>
            </w:pPr>
            <w:r w:rsidRPr="008139E6">
              <w:rPr>
                <w:rFonts w:ascii="Times New Roman" w:eastAsia="Times New Roman" w:hAnsi="Times New Roman"/>
              </w:rPr>
              <w:t>The need to prioritise</w:t>
            </w:r>
          </w:p>
          <w:p w14:paraId="55E6CEF8" w14:textId="77777777" w:rsidR="00F83987" w:rsidRPr="008139E6" w:rsidRDefault="00F83987" w:rsidP="0090138D">
            <w:pPr>
              <w:pStyle w:val="ListParagraph"/>
              <w:numPr>
                <w:ilvl w:val="0"/>
                <w:numId w:val="20"/>
              </w:numPr>
              <w:autoSpaceDE w:val="0"/>
              <w:autoSpaceDN w:val="0"/>
              <w:adjustRightInd w:val="0"/>
              <w:jc w:val="both"/>
              <w:rPr>
                <w:rFonts w:ascii="Times New Roman" w:hAnsi="Times New Roman"/>
              </w:rPr>
            </w:pPr>
            <w:r w:rsidRPr="008139E6">
              <w:rPr>
                <w:rFonts w:ascii="Times New Roman" w:hAnsi="Times New Roman"/>
              </w:rPr>
              <w:t>Dealing with phone calls and data protection issues</w:t>
            </w:r>
          </w:p>
        </w:tc>
      </w:tr>
    </w:tbl>
    <w:p w14:paraId="7700EA9E" w14:textId="77777777" w:rsidR="00F83987" w:rsidRPr="008139E6" w:rsidRDefault="00F83987" w:rsidP="0090138D">
      <w:pPr>
        <w:autoSpaceDE w:val="0"/>
        <w:autoSpaceDN w:val="0"/>
        <w:adjustRightInd w:val="0"/>
        <w:jc w:val="both"/>
      </w:pPr>
    </w:p>
    <w:p w14:paraId="44A9D200" w14:textId="149186F1" w:rsidR="00A26B8B" w:rsidRPr="008139E6" w:rsidRDefault="00A26B8B" w:rsidP="0090138D">
      <w:r w:rsidRPr="008139E6">
        <w:br w:type="page"/>
      </w:r>
    </w:p>
    <w:p w14:paraId="6B78960D" w14:textId="77777777" w:rsidR="00A26B8B" w:rsidRPr="008139E6" w:rsidRDefault="00A26B8B" w:rsidP="0090138D">
      <w:pPr>
        <w:autoSpaceDE w:val="0"/>
        <w:autoSpaceDN w:val="0"/>
        <w:adjustRightInd w:val="0"/>
        <w:sectPr w:rsidR="00A26B8B" w:rsidRPr="008139E6" w:rsidSect="0090138D">
          <w:type w:val="nextColumn"/>
          <w:pgSz w:w="16838" w:h="11906" w:orient="landscape" w:code="9"/>
          <w:pgMar w:top="1531" w:right="1531" w:bottom="1531" w:left="1531" w:header="709" w:footer="709" w:gutter="0"/>
          <w:cols w:space="708"/>
          <w:docGrid w:linePitch="360"/>
        </w:sectPr>
      </w:pPr>
    </w:p>
    <w:p w14:paraId="0AB5C503" w14:textId="6E1B2DC7" w:rsidR="00A26B8B" w:rsidRPr="008139E6" w:rsidRDefault="00A26B8B" w:rsidP="0090138D">
      <w:pPr>
        <w:autoSpaceDE w:val="0"/>
        <w:autoSpaceDN w:val="0"/>
        <w:adjustRightInd w:val="0"/>
        <w:jc w:val="both"/>
        <w:rPr>
          <w:b/>
        </w:rPr>
      </w:pPr>
      <w:r w:rsidRPr="008139E6">
        <w:rPr>
          <w:b/>
        </w:rPr>
        <w:lastRenderedPageBreak/>
        <w:t>Table 2: Examples of skills in each NTS category</w:t>
      </w:r>
      <w:r w:rsidR="00182CE2" w:rsidRPr="008139E6">
        <w:rPr>
          <w:b/>
        </w:rPr>
        <w:t xml:space="preserve"> (adapted from </w:t>
      </w:r>
      <w:proofErr w:type="spellStart"/>
      <w:r w:rsidR="001E6A78" w:rsidRPr="008139E6">
        <w:rPr>
          <w:b/>
        </w:rPr>
        <w:t>Mellanby</w:t>
      </w:r>
      <w:proofErr w:type="spellEnd"/>
      <w:r w:rsidR="001E6A78" w:rsidRPr="008139E6">
        <w:rPr>
          <w:b/>
        </w:rPr>
        <w:t xml:space="preserve"> et al,</w:t>
      </w:r>
      <w:r w:rsidR="00182CE2" w:rsidRPr="008139E6">
        <w:rPr>
          <w:b/>
        </w:rPr>
        <w:t xml:space="preserve"> 2013)</w:t>
      </w:r>
    </w:p>
    <w:tbl>
      <w:tblPr>
        <w:tblStyle w:val="TableGrid"/>
        <w:tblW w:w="7621" w:type="dxa"/>
        <w:tblLook w:val="04A0" w:firstRow="1" w:lastRow="0" w:firstColumn="1" w:lastColumn="0" w:noHBand="0" w:noVBand="1"/>
      </w:tblPr>
      <w:tblGrid>
        <w:gridCol w:w="2972"/>
        <w:gridCol w:w="4649"/>
      </w:tblGrid>
      <w:tr w:rsidR="008139E6" w:rsidRPr="008139E6" w14:paraId="021E8532" w14:textId="77777777" w:rsidTr="00B42209">
        <w:tc>
          <w:tcPr>
            <w:tcW w:w="2972" w:type="dxa"/>
            <w:tcBorders>
              <w:bottom w:val="nil"/>
              <w:right w:val="nil"/>
            </w:tcBorders>
          </w:tcPr>
          <w:p w14:paraId="7A53B89D" w14:textId="77777777" w:rsidR="00A26B8B" w:rsidRPr="008139E6" w:rsidRDefault="00A26B8B" w:rsidP="0090138D">
            <w:pPr>
              <w:rPr>
                <w:rFonts w:ascii="Times New Roman" w:hAnsi="Times New Roman"/>
                <w:b/>
              </w:rPr>
            </w:pPr>
            <w:r w:rsidRPr="008139E6">
              <w:rPr>
                <w:rFonts w:ascii="Times New Roman" w:hAnsi="Times New Roman"/>
                <w:b/>
              </w:rPr>
              <w:t>NTS Category</w:t>
            </w:r>
          </w:p>
        </w:tc>
        <w:tc>
          <w:tcPr>
            <w:tcW w:w="4649" w:type="dxa"/>
            <w:tcBorders>
              <w:left w:val="nil"/>
              <w:bottom w:val="nil"/>
            </w:tcBorders>
          </w:tcPr>
          <w:p w14:paraId="78DE4589" w14:textId="77777777" w:rsidR="00A26B8B" w:rsidRPr="008139E6" w:rsidRDefault="00A26B8B" w:rsidP="0090138D">
            <w:pPr>
              <w:pStyle w:val="ListParagraph"/>
              <w:spacing w:after="160"/>
              <w:rPr>
                <w:rFonts w:ascii="Times New Roman" w:hAnsi="Times New Roman"/>
                <w:b/>
              </w:rPr>
            </w:pPr>
            <w:r w:rsidRPr="008139E6">
              <w:rPr>
                <w:rFonts w:ascii="Times New Roman" w:hAnsi="Times New Roman"/>
                <w:b/>
              </w:rPr>
              <w:t xml:space="preserve">Examples </w:t>
            </w:r>
          </w:p>
        </w:tc>
      </w:tr>
      <w:tr w:rsidR="008139E6" w:rsidRPr="008139E6" w14:paraId="71FB90F0" w14:textId="77777777" w:rsidTr="00B42209">
        <w:tc>
          <w:tcPr>
            <w:tcW w:w="2972" w:type="dxa"/>
            <w:tcBorders>
              <w:top w:val="nil"/>
              <w:right w:val="nil"/>
            </w:tcBorders>
          </w:tcPr>
          <w:p w14:paraId="67E87C58" w14:textId="77777777" w:rsidR="00A26B8B" w:rsidRPr="008139E6" w:rsidRDefault="00A26B8B" w:rsidP="0090138D">
            <w:pPr>
              <w:rPr>
                <w:rFonts w:ascii="Times New Roman" w:hAnsi="Times New Roman"/>
                <w:b/>
              </w:rPr>
            </w:pPr>
            <w:r w:rsidRPr="008139E6">
              <w:rPr>
                <w:rFonts w:ascii="Times New Roman" w:hAnsi="Times New Roman"/>
                <w:b/>
              </w:rPr>
              <w:t>Communication</w:t>
            </w:r>
          </w:p>
        </w:tc>
        <w:tc>
          <w:tcPr>
            <w:tcW w:w="4649" w:type="dxa"/>
            <w:tcBorders>
              <w:top w:val="nil"/>
              <w:left w:val="nil"/>
            </w:tcBorders>
          </w:tcPr>
          <w:p w14:paraId="5CF72A1D" w14:textId="77777777" w:rsidR="00A26B8B" w:rsidRPr="008139E6" w:rsidRDefault="00A26B8B" w:rsidP="0090138D">
            <w:pPr>
              <w:spacing w:after="160"/>
              <w:rPr>
                <w:rFonts w:ascii="Times New Roman" w:hAnsi="Times New Roman"/>
              </w:rPr>
            </w:pPr>
            <w:r w:rsidRPr="008139E6">
              <w:rPr>
                <w:rFonts w:ascii="Times New Roman" w:hAnsi="Times New Roman"/>
              </w:rPr>
              <w:t xml:space="preserve">Operates to exchange of information, feedback, ideas or feelings in a structured, coherent way e.g. </w:t>
            </w:r>
          </w:p>
          <w:p w14:paraId="11178BD4"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Sending and receiving information</w:t>
            </w:r>
          </w:p>
          <w:p w14:paraId="4F5C1011"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Identifying/addressing barriers to effective communication</w:t>
            </w:r>
          </w:p>
          <w:p w14:paraId="19E14407"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Using frameworks to structure communication effectively e.g. assessment framework/protocol/checklist</w:t>
            </w:r>
          </w:p>
        </w:tc>
      </w:tr>
      <w:tr w:rsidR="008139E6" w:rsidRPr="008139E6" w14:paraId="7388285A" w14:textId="77777777" w:rsidTr="00B42209">
        <w:tc>
          <w:tcPr>
            <w:tcW w:w="2972" w:type="dxa"/>
            <w:tcBorders>
              <w:right w:val="nil"/>
            </w:tcBorders>
          </w:tcPr>
          <w:p w14:paraId="5AF44391" w14:textId="77777777" w:rsidR="00A26B8B" w:rsidRPr="008139E6" w:rsidRDefault="00A26B8B" w:rsidP="0090138D">
            <w:pPr>
              <w:rPr>
                <w:rFonts w:ascii="Times New Roman" w:hAnsi="Times New Roman"/>
                <w:b/>
              </w:rPr>
            </w:pPr>
            <w:r w:rsidRPr="008139E6">
              <w:rPr>
                <w:rFonts w:ascii="Times New Roman" w:hAnsi="Times New Roman"/>
                <w:b/>
              </w:rPr>
              <w:t>Decision-making</w:t>
            </w:r>
          </w:p>
        </w:tc>
        <w:tc>
          <w:tcPr>
            <w:tcW w:w="4649" w:type="dxa"/>
            <w:tcBorders>
              <w:left w:val="nil"/>
            </w:tcBorders>
          </w:tcPr>
          <w:p w14:paraId="67D0FF98" w14:textId="77777777" w:rsidR="00A26B8B" w:rsidRPr="008139E6" w:rsidRDefault="00A26B8B" w:rsidP="0090138D">
            <w:pPr>
              <w:spacing w:after="160"/>
              <w:rPr>
                <w:rFonts w:ascii="Times New Roman" w:hAnsi="Times New Roman"/>
              </w:rPr>
            </w:pPr>
            <w:r w:rsidRPr="008139E6">
              <w:rPr>
                <w:rFonts w:ascii="Times New Roman" w:hAnsi="Times New Roman"/>
              </w:rPr>
              <w:t>Demonstrates the process of reaching a judgement/choosing a course of action to meet the needs of a given situation e.g.</w:t>
            </w:r>
          </w:p>
          <w:p w14:paraId="57EA55F7"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generation of different options</w:t>
            </w:r>
          </w:p>
          <w:p w14:paraId="53F0C636"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selection of an options</w:t>
            </w:r>
          </w:p>
          <w:p w14:paraId="56F0EB85"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reviewing decisions that have been made</w:t>
            </w:r>
          </w:p>
        </w:tc>
      </w:tr>
      <w:tr w:rsidR="008139E6" w:rsidRPr="008139E6" w14:paraId="39D7A831" w14:textId="77777777" w:rsidTr="00B42209">
        <w:tc>
          <w:tcPr>
            <w:tcW w:w="2972" w:type="dxa"/>
            <w:tcBorders>
              <w:right w:val="nil"/>
            </w:tcBorders>
          </w:tcPr>
          <w:p w14:paraId="4980F922" w14:textId="77777777" w:rsidR="00A26B8B" w:rsidRPr="008139E6" w:rsidRDefault="00A26B8B" w:rsidP="0090138D">
            <w:pPr>
              <w:rPr>
                <w:rFonts w:ascii="Times New Roman" w:hAnsi="Times New Roman"/>
                <w:b/>
              </w:rPr>
            </w:pPr>
            <w:r w:rsidRPr="008139E6">
              <w:rPr>
                <w:rFonts w:ascii="Times New Roman" w:hAnsi="Times New Roman"/>
                <w:b/>
              </w:rPr>
              <w:t>Situational Awareness</w:t>
            </w:r>
          </w:p>
        </w:tc>
        <w:tc>
          <w:tcPr>
            <w:tcW w:w="4649" w:type="dxa"/>
            <w:tcBorders>
              <w:left w:val="nil"/>
            </w:tcBorders>
          </w:tcPr>
          <w:p w14:paraId="73E271AD" w14:textId="0836943A" w:rsidR="00A26B8B" w:rsidRPr="008139E6" w:rsidRDefault="00182CE2" w:rsidP="0090138D">
            <w:pPr>
              <w:spacing w:after="160"/>
              <w:rPr>
                <w:rFonts w:ascii="Times New Roman" w:hAnsi="Times New Roman"/>
              </w:rPr>
            </w:pPr>
            <w:r w:rsidRPr="008139E6">
              <w:rPr>
                <w:rFonts w:ascii="Times New Roman" w:hAnsi="Times New Roman"/>
              </w:rPr>
              <w:t>Operates to gather relevant</w:t>
            </w:r>
            <w:r w:rsidR="00A26B8B" w:rsidRPr="008139E6">
              <w:rPr>
                <w:rFonts w:ascii="Times New Roman" w:hAnsi="Times New Roman"/>
              </w:rPr>
              <w:t xml:space="preserve"> information in the current situation, illustrates the comprehension of the meaning of this information in that context for the patient and </w:t>
            </w:r>
            <w:r w:rsidR="00A26B8B" w:rsidRPr="008139E6">
              <w:rPr>
                <w:rFonts w:ascii="Times New Roman" w:hAnsi="Times New Roman"/>
              </w:rPr>
              <w:lastRenderedPageBreak/>
              <w:t>the ability to consider how this will impact on the patient’s status in the near future</w:t>
            </w:r>
            <w:r w:rsidR="004B1658" w:rsidRPr="008139E6">
              <w:rPr>
                <w:rFonts w:ascii="Times New Roman" w:hAnsi="Times New Roman"/>
              </w:rPr>
              <w:t>.</w:t>
            </w:r>
          </w:p>
          <w:p w14:paraId="5130025E" w14:textId="77777777" w:rsidR="00A26B8B" w:rsidRPr="008139E6" w:rsidRDefault="00A26B8B" w:rsidP="0090138D">
            <w:pPr>
              <w:spacing w:after="160"/>
              <w:rPr>
                <w:rFonts w:ascii="Times New Roman" w:hAnsi="Times New Roman"/>
              </w:rPr>
            </w:pPr>
            <w:r w:rsidRPr="008139E6">
              <w:rPr>
                <w:rFonts w:ascii="Times New Roman" w:hAnsi="Times New Roman"/>
              </w:rPr>
              <w:t xml:space="preserve">In this context the ‘information’ may be gathered from the patient, charts, communication and behaviour of staff </w:t>
            </w:r>
            <w:proofErr w:type="spellStart"/>
            <w:r w:rsidRPr="008139E6">
              <w:rPr>
                <w:rFonts w:ascii="Times New Roman" w:hAnsi="Times New Roman"/>
              </w:rPr>
              <w:t>etc</w:t>
            </w:r>
            <w:proofErr w:type="spellEnd"/>
          </w:p>
        </w:tc>
      </w:tr>
      <w:tr w:rsidR="008139E6" w:rsidRPr="008139E6" w14:paraId="6E7F2E65" w14:textId="77777777" w:rsidTr="00B42209">
        <w:tc>
          <w:tcPr>
            <w:tcW w:w="2972" w:type="dxa"/>
            <w:tcBorders>
              <w:right w:val="nil"/>
            </w:tcBorders>
          </w:tcPr>
          <w:p w14:paraId="215C23B0" w14:textId="77777777" w:rsidR="00A26B8B" w:rsidRPr="008139E6" w:rsidRDefault="00A26B8B" w:rsidP="0090138D">
            <w:pPr>
              <w:rPr>
                <w:rFonts w:ascii="Times New Roman" w:hAnsi="Times New Roman"/>
                <w:b/>
              </w:rPr>
            </w:pPr>
            <w:r w:rsidRPr="008139E6">
              <w:rPr>
                <w:rFonts w:ascii="Times New Roman" w:hAnsi="Times New Roman"/>
                <w:b/>
              </w:rPr>
              <w:lastRenderedPageBreak/>
              <w:t>Teamwork</w:t>
            </w:r>
          </w:p>
        </w:tc>
        <w:tc>
          <w:tcPr>
            <w:tcW w:w="4649" w:type="dxa"/>
            <w:tcBorders>
              <w:left w:val="nil"/>
            </w:tcBorders>
          </w:tcPr>
          <w:p w14:paraId="66D1E024" w14:textId="77777777" w:rsidR="00A26B8B" w:rsidRPr="008139E6" w:rsidRDefault="00A26B8B" w:rsidP="0090138D">
            <w:pPr>
              <w:spacing w:after="160"/>
              <w:rPr>
                <w:rFonts w:ascii="Times New Roman" w:hAnsi="Times New Roman"/>
              </w:rPr>
            </w:pPr>
            <w:r w:rsidRPr="008139E6">
              <w:rPr>
                <w:rFonts w:ascii="Times New Roman" w:hAnsi="Times New Roman"/>
              </w:rPr>
              <w:t>Demonstrates the skill of working with others in a team context, for example by:</w:t>
            </w:r>
          </w:p>
          <w:p w14:paraId="1C90B0AD"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Supporting others</w:t>
            </w:r>
          </w:p>
          <w:p w14:paraId="75D6B064"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Resolving conflicts</w:t>
            </w:r>
          </w:p>
          <w:p w14:paraId="4839DA79"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Helping others to co-ordinate/complete activities</w:t>
            </w:r>
          </w:p>
        </w:tc>
      </w:tr>
      <w:tr w:rsidR="008139E6" w:rsidRPr="008139E6" w14:paraId="24CAD057" w14:textId="77777777" w:rsidTr="00B42209">
        <w:tc>
          <w:tcPr>
            <w:tcW w:w="2972" w:type="dxa"/>
            <w:tcBorders>
              <w:right w:val="nil"/>
            </w:tcBorders>
          </w:tcPr>
          <w:p w14:paraId="2023BBC0" w14:textId="77777777" w:rsidR="00A26B8B" w:rsidRPr="008139E6" w:rsidRDefault="00A26B8B" w:rsidP="0090138D">
            <w:pPr>
              <w:rPr>
                <w:rFonts w:ascii="Times New Roman" w:hAnsi="Times New Roman"/>
                <w:b/>
              </w:rPr>
            </w:pPr>
            <w:r w:rsidRPr="008139E6">
              <w:rPr>
                <w:rFonts w:ascii="Times New Roman" w:hAnsi="Times New Roman"/>
                <w:b/>
              </w:rPr>
              <w:t>Task Management</w:t>
            </w:r>
          </w:p>
        </w:tc>
        <w:tc>
          <w:tcPr>
            <w:tcW w:w="4649" w:type="dxa"/>
            <w:tcBorders>
              <w:left w:val="nil"/>
            </w:tcBorders>
          </w:tcPr>
          <w:p w14:paraId="15E66D53" w14:textId="77777777" w:rsidR="00A26B8B" w:rsidRPr="008139E6" w:rsidRDefault="00A26B8B" w:rsidP="0090138D">
            <w:pPr>
              <w:spacing w:after="160"/>
              <w:rPr>
                <w:rFonts w:ascii="Times New Roman" w:hAnsi="Times New Roman"/>
              </w:rPr>
            </w:pPr>
            <w:r w:rsidRPr="008139E6">
              <w:rPr>
                <w:rFonts w:ascii="Times New Roman" w:hAnsi="Times New Roman"/>
              </w:rPr>
              <w:t>Demonstrates the skill of managing resources and organisation of tasks to achieve goals, for example by:</w:t>
            </w:r>
          </w:p>
          <w:p w14:paraId="43FCC1F3"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using skills relating to planning and preparation</w:t>
            </w:r>
          </w:p>
          <w:p w14:paraId="52A954FA"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 xml:space="preserve">prioritising </w:t>
            </w:r>
          </w:p>
          <w:p w14:paraId="452DE285"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providing and maintaining standards</w:t>
            </w:r>
          </w:p>
          <w:p w14:paraId="0C57F125"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identifying and using resources</w:t>
            </w:r>
          </w:p>
        </w:tc>
      </w:tr>
      <w:tr w:rsidR="008139E6" w:rsidRPr="008139E6" w14:paraId="1C2F2B4F" w14:textId="77777777" w:rsidTr="00B42209">
        <w:tc>
          <w:tcPr>
            <w:tcW w:w="2972" w:type="dxa"/>
            <w:tcBorders>
              <w:right w:val="nil"/>
            </w:tcBorders>
          </w:tcPr>
          <w:p w14:paraId="13A7606A" w14:textId="77777777" w:rsidR="00A26B8B" w:rsidRPr="008139E6" w:rsidRDefault="00A26B8B" w:rsidP="0090138D">
            <w:pPr>
              <w:rPr>
                <w:rFonts w:ascii="Times New Roman" w:hAnsi="Times New Roman"/>
                <w:b/>
              </w:rPr>
            </w:pPr>
            <w:r w:rsidRPr="008139E6">
              <w:rPr>
                <w:rFonts w:ascii="Times New Roman" w:hAnsi="Times New Roman"/>
                <w:b/>
              </w:rPr>
              <w:t xml:space="preserve">Student Initiative </w:t>
            </w:r>
          </w:p>
        </w:tc>
        <w:tc>
          <w:tcPr>
            <w:tcW w:w="4649" w:type="dxa"/>
            <w:tcBorders>
              <w:left w:val="nil"/>
            </w:tcBorders>
          </w:tcPr>
          <w:p w14:paraId="172A8EF0" w14:textId="77777777" w:rsidR="00A26B8B" w:rsidRPr="008139E6" w:rsidRDefault="00A26B8B" w:rsidP="0090138D">
            <w:pPr>
              <w:spacing w:after="160"/>
              <w:rPr>
                <w:rFonts w:ascii="Times New Roman" w:hAnsi="Times New Roman"/>
              </w:rPr>
            </w:pPr>
            <w:r w:rsidRPr="008139E6">
              <w:rPr>
                <w:rFonts w:ascii="Times New Roman" w:hAnsi="Times New Roman"/>
              </w:rPr>
              <w:t>Demonstrates  initiative appropriate to the situation, for example by:</w:t>
            </w:r>
          </w:p>
          <w:p w14:paraId="56BA4B27"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 xml:space="preserve">Showing readiness to accept and </w:t>
            </w:r>
            <w:r w:rsidRPr="008139E6">
              <w:rPr>
                <w:rFonts w:ascii="Times New Roman" w:hAnsi="Times New Roman"/>
              </w:rPr>
              <w:lastRenderedPageBreak/>
              <w:t>follow through with tasks that have not been previously allocated</w:t>
            </w:r>
          </w:p>
          <w:p w14:paraId="43E1F953"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Responding to the needs of the situation within the limits of the role</w:t>
            </w:r>
          </w:p>
          <w:p w14:paraId="4F26BD0B" w14:textId="77777777" w:rsidR="00A26B8B" w:rsidRPr="008139E6" w:rsidRDefault="00A26B8B" w:rsidP="0090138D">
            <w:pPr>
              <w:pStyle w:val="ListParagraph"/>
              <w:numPr>
                <w:ilvl w:val="0"/>
                <w:numId w:val="17"/>
              </w:numPr>
              <w:spacing w:after="160"/>
              <w:rPr>
                <w:rFonts w:ascii="Times New Roman" w:hAnsi="Times New Roman"/>
              </w:rPr>
            </w:pPr>
            <w:r w:rsidRPr="008139E6">
              <w:rPr>
                <w:rFonts w:ascii="Times New Roman" w:hAnsi="Times New Roman"/>
              </w:rPr>
              <w:t>Seeking clarification and asserting opinions that are relevant to the situation</w:t>
            </w:r>
          </w:p>
        </w:tc>
      </w:tr>
      <w:tr w:rsidR="00F83D9C" w:rsidRPr="008139E6" w14:paraId="3287A257" w14:textId="77777777" w:rsidTr="00B42209">
        <w:tc>
          <w:tcPr>
            <w:tcW w:w="2972" w:type="dxa"/>
            <w:tcBorders>
              <w:right w:val="nil"/>
            </w:tcBorders>
          </w:tcPr>
          <w:p w14:paraId="589D4725" w14:textId="77777777" w:rsidR="00A26B8B" w:rsidRPr="008139E6" w:rsidRDefault="00A26B8B" w:rsidP="0090138D">
            <w:pPr>
              <w:rPr>
                <w:rFonts w:ascii="Times New Roman" w:hAnsi="Times New Roman"/>
                <w:b/>
              </w:rPr>
            </w:pPr>
            <w:r w:rsidRPr="008139E6">
              <w:rPr>
                <w:rFonts w:ascii="Times New Roman" w:hAnsi="Times New Roman"/>
                <w:b/>
              </w:rPr>
              <w:lastRenderedPageBreak/>
              <w:t xml:space="preserve">Responsiveness to Patient </w:t>
            </w:r>
          </w:p>
        </w:tc>
        <w:tc>
          <w:tcPr>
            <w:tcW w:w="4649" w:type="dxa"/>
            <w:tcBorders>
              <w:left w:val="nil"/>
            </w:tcBorders>
          </w:tcPr>
          <w:p w14:paraId="24BF414B" w14:textId="77777777" w:rsidR="00A26B8B" w:rsidRPr="008139E6" w:rsidRDefault="00A26B8B" w:rsidP="0090138D">
            <w:pPr>
              <w:spacing w:after="160"/>
              <w:rPr>
                <w:rFonts w:ascii="Times New Roman" w:hAnsi="Times New Roman"/>
              </w:rPr>
            </w:pPr>
            <w:r w:rsidRPr="008139E6">
              <w:rPr>
                <w:rFonts w:ascii="Times New Roman" w:hAnsi="Times New Roman"/>
              </w:rPr>
              <w:t>Demonstrating awareness of and respect to the patient by, for example:</w:t>
            </w:r>
          </w:p>
          <w:p w14:paraId="58388E78" w14:textId="77777777" w:rsidR="00A26B8B" w:rsidRPr="008139E6" w:rsidRDefault="00A26B8B" w:rsidP="0090138D">
            <w:pPr>
              <w:pStyle w:val="ListParagraph"/>
              <w:numPr>
                <w:ilvl w:val="0"/>
                <w:numId w:val="18"/>
              </w:numPr>
              <w:spacing w:after="160"/>
              <w:rPr>
                <w:rFonts w:ascii="Times New Roman" w:hAnsi="Times New Roman"/>
              </w:rPr>
            </w:pPr>
            <w:r w:rsidRPr="008139E6">
              <w:rPr>
                <w:rFonts w:ascii="Times New Roman" w:hAnsi="Times New Roman"/>
              </w:rPr>
              <w:t>Acknowledging the patient</w:t>
            </w:r>
          </w:p>
          <w:p w14:paraId="0CBE8297" w14:textId="77777777" w:rsidR="00A26B8B" w:rsidRPr="008139E6" w:rsidRDefault="00A26B8B" w:rsidP="0090138D">
            <w:pPr>
              <w:pStyle w:val="ListParagraph"/>
              <w:numPr>
                <w:ilvl w:val="0"/>
                <w:numId w:val="18"/>
              </w:numPr>
              <w:spacing w:after="160"/>
              <w:rPr>
                <w:rFonts w:ascii="Times New Roman" w:hAnsi="Times New Roman"/>
              </w:rPr>
            </w:pPr>
            <w:r w:rsidRPr="008139E6">
              <w:rPr>
                <w:rFonts w:ascii="Times New Roman" w:hAnsi="Times New Roman"/>
              </w:rPr>
              <w:t>Responding to the patient’s communication</w:t>
            </w:r>
          </w:p>
          <w:p w14:paraId="03A48B0A" w14:textId="77777777" w:rsidR="00A26B8B" w:rsidRPr="008139E6" w:rsidRDefault="00A26B8B" w:rsidP="0090138D">
            <w:pPr>
              <w:pStyle w:val="ListParagraph"/>
              <w:numPr>
                <w:ilvl w:val="0"/>
                <w:numId w:val="18"/>
              </w:numPr>
              <w:spacing w:after="160"/>
              <w:rPr>
                <w:rFonts w:ascii="Times New Roman" w:hAnsi="Times New Roman"/>
              </w:rPr>
            </w:pPr>
            <w:r w:rsidRPr="008139E6">
              <w:rPr>
                <w:rFonts w:ascii="Times New Roman" w:hAnsi="Times New Roman"/>
              </w:rPr>
              <w:t>Eliciting patient’s opinion</w:t>
            </w:r>
          </w:p>
          <w:p w14:paraId="5A76AA3D" w14:textId="77777777" w:rsidR="00A26B8B" w:rsidRPr="008139E6" w:rsidRDefault="00A26B8B" w:rsidP="0090138D">
            <w:pPr>
              <w:pStyle w:val="ListParagraph"/>
              <w:numPr>
                <w:ilvl w:val="0"/>
                <w:numId w:val="18"/>
              </w:numPr>
              <w:spacing w:after="160"/>
              <w:rPr>
                <w:rFonts w:ascii="Times New Roman" w:hAnsi="Times New Roman"/>
              </w:rPr>
            </w:pPr>
            <w:r w:rsidRPr="008139E6">
              <w:rPr>
                <w:rFonts w:ascii="Times New Roman" w:hAnsi="Times New Roman"/>
              </w:rPr>
              <w:t>Checking patient understanding of patient plan</w:t>
            </w:r>
          </w:p>
          <w:p w14:paraId="156DDB6D" w14:textId="77777777" w:rsidR="00A26B8B" w:rsidRPr="008139E6" w:rsidRDefault="00A26B8B" w:rsidP="0090138D">
            <w:pPr>
              <w:pStyle w:val="ListParagraph"/>
              <w:numPr>
                <w:ilvl w:val="0"/>
                <w:numId w:val="18"/>
              </w:numPr>
              <w:spacing w:after="160"/>
              <w:rPr>
                <w:rFonts w:ascii="Times New Roman" w:hAnsi="Times New Roman"/>
              </w:rPr>
            </w:pPr>
            <w:r w:rsidRPr="008139E6">
              <w:rPr>
                <w:rFonts w:ascii="Times New Roman" w:hAnsi="Times New Roman"/>
              </w:rPr>
              <w:t xml:space="preserve">Awareness of  patient privacy and preferences </w:t>
            </w:r>
          </w:p>
        </w:tc>
      </w:tr>
    </w:tbl>
    <w:p w14:paraId="186BB0DC" w14:textId="77777777" w:rsidR="00A26B8B" w:rsidRPr="008139E6" w:rsidRDefault="00A26B8B" w:rsidP="0090138D">
      <w:pPr>
        <w:autoSpaceDE w:val="0"/>
        <w:autoSpaceDN w:val="0"/>
        <w:adjustRightInd w:val="0"/>
        <w:jc w:val="both"/>
      </w:pPr>
    </w:p>
    <w:p w14:paraId="2DF2926F" w14:textId="753579ED" w:rsidR="00F83D9C" w:rsidRPr="008139E6" w:rsidRDefault="00F83D9C" w:rsidP="0090138D">
      <w:r w:rsidRPr="008139E6">
        <w:br w:type="page"/>
      </w:r>
    </w:p>
    <w:p w14:paraId="7357421E" w14:textId="07179C22" w:rsidR="00F83D9C" w:rsidRPr="008139E6" w:rsidRDefault="00F83D9C" w:rsidP="0090138D">
      <w:pPr>
        <w:rPr>
          <w:b/>
        </w:rPr>
      </w:pPr>
      <w:r w:rsidRPr="008139E6">
        <w:rPr>
          <w:b/>
        </w:rPr>
        <w:lastRenderedPageBreak/>
        <w:t>Table 3</w:t>
      </w:r>
      <w:r w:rsidR="00CE354C" w:rsidRPr="008139E6">
        <w:rPr>
          <w:b/>
        </w:rPr>
        <w:t>: T</w:t>
      </w:r>
      <w:r w:rsidRPr="008139E6">
        <w:rPr>
          <w:b/>
        </w:rPr>
        <w:t>he kappa values and level of agreement for each behavioural category</w:t>
      </w:r>
    </w:p>
    <w:tbl>
      <w:tblPr>
        <w:tblW w:w="6521" w:type="dxa"/>
        <w:tblLayout w:type="fixed"/>
        <w:tblCellMar>
          <w:left w:w="0" w:type="dxa"/>
          <w:right w:w="0" w:type="dxa"/>
        </w:tblCellMar>
        <w:tblLook w:val="0000" w:firstRow="0" w:lastRow="0" w:firstColumn="0" w:lastColumn="0" w:noHBand="0" w:noVBand="0"/>
      </w:tblPr>
      <w:tblGrid>
        <w:gridCol w:w="2022"/>
        <w:gridCol w:w="293"/>
        <w:gridCol w:w="646"/>
        <w:gridCol w:w="963"/>
        <w:gridCol w:w="2597"/>
      </w:tblGrid>
      <w:tr w:rsidR="008139E6" w:rsidRPr="008139E6" w14:paraId="64F342E1" w14:textId="77777777" w:rsidTr="00525488">
        <w:trPr>
          <w:cantSplit/>
        </w:trPr>
        <w:tc>
          <w:tcPr>
            <w:tcW w:w="2022" w:type="dxa"/>
            <w:shd w:val="clear" w:color="auto" w:fill="FFFFFF"/>
          </w:tcPr>
          <w:p w14:paraId="759080F7" w14:textId="77777777" w:rsidR="00F83D9C" w:rsidRPr="008139E6" w:rsidRDefault="00F83D9C" w:rsidP="0090138D">
            <w:pPr>
              <w:autoSpaceDE w:val="0"/>
              <w:autoSpaceDN w:val="0"/>
              <w:adjustRightInd w:val="0"/>
            </w:pPr>
          </w:p>
        </w:tc>
        <w:tc>
          <w:tcPr>
            <w:tcW w:w="4499" w:type="dxa"/>
            <w:gridSpan w:val="4"/>
            <w:shd w:val="clear" w:color="auto" w:fill="FFFFFF"/>
          </w:tcPr>
          <w:p w14:paraId="43B07E8A" w14:textId="77777777" w:rsidR="00F83D9C" w:rsidRPr="008139E6" w:rsidRDefault="00F83D9C" w:rsidP="0090138D">
            <w:pPr>
              <w:autoSpaceDE w:val="0"/>
              <w:autoSpaceDN w:val="0"/>
              <w:adjustRightInd w:val="0"/>
              <w:ind w:left="60" w:right="60"/>
              <w:jc w:val="center"/>
            </w:pPr>
            <w:r w:rsidRPr="008139E6">
              <w:t>Pre-intervention</w:t>
            </w:r>
          </w:p>
        </w:tc>
      </w:tr>
      <w:tr w:rsidR="008139E6" w:rsidRPr="008139E6" w14:paraId="5CFD695F" w14:textId="77777777" w:rsidTr="00525488">
        <w:trPr>
          <w:cantSplit/>
          <w:trHeight w:val="405"/>
        </w:trPr>
        <w:tc>
          <w:tcPr>
            <w:tcW w:w="2022" w:type="dxa"/>
            <w:tcBorders>
              <w:bottom w:val="single" w:sz="4" w:space="0" w:color="auto"/>
            </w:tcBorders>
            <w:shd w:val="clear" w:color="auto" w:fill="FFFFFF"/>
          </w:tcPr>
          <w:p w14:paraId="6359AE44" w14:textId="77777777" w:rsidR="00F83D9C" w:rsidRPr="008139E6" w:rsidRDefault="00F83D9C" w:rsidP="0090138D">
            <w:pPr>
              <w:autoSpaceDE w:val="0"/>
              <w:autoSpaceDN w:val="0"/>
              <w:adjustRightInd w:val="0"/>
            </w:pPr>
          </w:p>
        </w:tc>
        <w:tc>
          <w:tcPr>
            <w:tcW w:w="939" w:type="dxa"/>
            <w:gridSpan w:val="2"/>
            <w:tcBorders>
              <w:bottom w:val="single" w:sz="4" w:space="0" w:color="auto"/>
            </w:tcBorders>
            <w:shd w:val="clear" w:color="auto" w:fill="FFFFFF"/>
          </w:tcPr>
          <w:p w14:paraId="027F6290" w14:textId="77777777" w:rsidR="00F83D9C" w:rsidRPr="008139E6" w:rsidRDefault="00F83D9C" w:rsidP="0090138D">
            <w:pPr>
              <w:autoSpaceDE w:val="0"/>
              <w:autoSpaceDN w:val="0"/>
              <w:adjustRightInd w:val="0"/>
              <w:ind w:left="60" w:right="60"/>
              <w:jc w:val="center"/>
            </w:pPr>
          </w:p>
        </w:tc>
        <w:tc>
          <w:tcPr>
            <w:tcW w:w="963" w:type="dxa"/>
            <w:tcBorders>
              <w:bottom w:val="single" w:sz="4" w:space="0" w:color="auto"/>
            </w:tcBorders>
            <w:shd w:val="clear" w:color="auto" w:fill="FFFFFF"/>
          </w:tcPr>
          <w:p w14:paraId="6BF4EB74" w14:textId="77777777" w:rsidR="00F83D9C" w:rsidRPr="008139E6" w:rsidRDefault="00F83D9C" w:rsidP="0090138D">
            <w:pPr>
              <w:autoSpaceDE w:val="0"/>
              <w:autoSpaceDN w:val="0"/>
              <w:adjustRightInd w:val="0"/>
              <w:ind w:left="60" w:right="60"/>
              <w:jc w:val="center"/>
            </w:pPr>
            <w:r w:rsidRPr="008139E6">
              <w:t xml:space="preserve">Kappa </w:t>
            </w:r>
          </w:p>
        </w:tc>
        <w:tc>
          <w:tcPr>
            <w:tcW w:w="2597" w:type="dxa"/>
            <w:tcBorders>
              <w:bottom w:val="single" w:sz="4" w:space="0" w:color="auto"/>
            </w:tcBorders>
            <w:shd w:val="clear" w:color="auto" w:fill="FFFFFF"/>
          </w:tcPr>
          <w:p w14:paraId="2DF9A360" w14:textId="70ABA8EA" w:rsidR="00F83D9C" w:rsidRPr="008139E6" w:rsidRDefault="00F83D9C" w:rsidP="00C615EF">
            <w:pPr>
              <w:autoSpaceDE w:val="0"/>
              <w:autoSpaceDN w:val="0"/>
              <w:adjustRightInd w:val="0"/>
              <w:ind w:left="60" w:right="60"/>
              <w:jc w:val="center"/>
            </w:pPr>
            <w:r w:rsidRPr="008139E6">
              <w:t>Level of agreement</w:t>
            </w:r>
          </w:p>
        </w:tc>
      </w:tr>
      <w:tr w:rsidR="008139E6" w:rsidRPr="008139E6" w14:paraId="2CF7146B" w14:textId="77777777" w:rsidTr="00525488">
        <w:trPr>
          <w:cantSplit/>
        </w:trPr>
        <w:tc>
          <w:tcPr>
            <w:tcW w:w="2315" w:type="dxa"/>
            <w:gridSpan w:val="2"/>
            <w:tcBorders>
              <w:top w:val="single" w:sz="4" w:space="0" w:color="auto"/>
            </w:tcBorders>
            <w:shd w:val="clear" w:color="auto" w:fill="FFFFFF"/>
            <w:vAlign w:val="center"/>
          </w:tcPr>
          <w:p w14:paraId="00C05701" w14:textId="77777777" w:rsidR="00F83D9C" w:rsidRPr="008139E6" w:rsidRDefault="00F83D9C" w:rsidP="0090138D">
            <w:pPr>
              <w:autoSpaceDE w:val="0"/>
              <w:autoSpaceDN w:val="0"/>
              <w:adjustRightInd w:val="0"/>
              <w:ind w:left="60" w:right="60"/>
            </w:pPr>
            <w:r w:rsidRPr="008139E6">
              <w:t>Communication</w:t>
            </w:r>
          </w:p>
        </w:tc>
        <w:tc>
          <w:tcPr>
            <w:tcW w:w="646" w:type="dxa"/>
            <w:tcBorders>
              <w:top w:val="single" w:sz="4" w:space="0" w:color="auto"/>
            </w:tcBorders>
            <w:shd w:val="clear" w:color="auto" w:fill="FFFFFF"/>
          </w:tcPr>
          <w:p w14:paraId="6DD66DA5" w14:textId="77777777" w:rsidR="00F83D9C" w:rsidRPr="008139E6" w:rsidRDefault="00F83D9C" w:rsidP="0090138D">
            <w:pPr>
              <w:autoSpaceDE w:val="0"/>
              <w:autoSpaceDN w:val="0"/>
              <w:adjustRightInd w:val="0"/>
              <w:ind w:left="60" w:right="60"/>
              <w:jc w:val="center"/>
            </w:pPr>
          </w:p>
        </w:tc>
        <w:tc>
          <w:tcPr>
            <w:tcW w:w="963" w:type="dxa"/>
            <w:tcBorders>
              <w:top w:val="single" w:sz="4" w:space="0" w:color="auto"/>
            </w:tcBorders>
            <w:shd w:val="clear" w:color="auto" w:fill="FFFFFF"/>
          </w:tcPr>
          <w:p w14:paraId="56393A31" w14:textId="77777777" w:rsidR="00F83D9C" w:rsidRPr="008139E6" w:rsidRDefault="00F83D9C" w:rsidP="0090138D">
            <w:pPr>
              <w:autoSpaceDE w:val="0"/>
              <w:autoSpaceDN w:val="0"/>
              <w:adjustRightInd w:val="0"/>
              <w:ind w:left="60" w:right="60"/>
              <w:jc w:val="center"/>
            </w:pPr>
            <w:r w:rsidRPr="008139E6">
              <w:t>.355</w:t>
            </w:r>
          </w:p>
        </w:tc>
        <w:tc>
          <w:tcPr>
            <w:tcW w:w="2597" w:type="dxa"/>
            <w:tcBorders>
              <w:top w:val="single" w:sz="4" w:space="0" w:color="auto"/>
            </w:tcBorders>
            <w:shd w:val="clear" w:color="auto" w:fill="FFFFFF"/>
          </w:tcPr>
          <w:p w14:paraId="6C7A5AB7" w14:textId="77777777" w:rsidR="00F83D9C" w:rsidRPr="008139E6" w:rsidRDefault="00F83D9C" w:rsidP="0090138D">
            <w:pPr>
              <w:autoSpaceDE w:val="0"/>
              <w:autoSpaceDN w:val="0"/>
              <w:adjustRightInd w:val="0"/>
              <w:ind w:left="60" w:right="60"/>
              <w:jc w:val="center"/>
            </w:pPr>
            <w:r w:rsidRPr="008139E6">
              <w:t>Fair</w:t>
            </w:r>
          </w:p>
        </w:tc>
      </w:tr>
      <w:tr w:rsidR="008139E6" w:rsidRPr="008139E6" w14:paraId="1125C193" w14:textId="77777777" w:rsidTr="00525488">
        <w:trPr>
          <w:cantSplit/>
        </w:trPr>
        <w:tc>
          <w:tcPr>
            <w:tcW w:w="2315" w:type="dxa"/>
            <w:gridSpan w:val="2"/>
            <w:shd w:val="clear" w:color="auto" w:fill="FFFFFF"/>
            <w:vAlign w:val="center"/>
          </w:tcPr>
          <w:p w14:paraId="1DD7231E" w14:textId="77777777" w:rsidR="00F83D9C" w:rsidRPr="008139E6" w:rsidRDefault="00F83D9C" w:rsidP="0090138D">
            <w:pPr>
              <w:autoSpaceDE w:val="0"/>
              <w:autoSpaceDN w:val="0"/>
              <w:adjustRightInd w:val="0"/>
              <w:ind w:left="60" w:right="60"/>
            </w:pPr>
            <w:r w:rsidRPr="008139E6">
              <w:t>Decision-making</w:t>
            </w:r>
          </w:p>
        </w:tc>
        <w:tc>
          <w:tcPr>
            <w:tcW w:w="646" w:type="dxa"/>
            <w:shd w:val="clear" w:color="auto" w:fill="FFFFFF"/>
          </w:tcPr>
          <w:p w14:paraId="616AEBFF" w14:textId="77777777" w:rsidR="00F83D9C" w:rsidRPr="008139E6" w:rsidRDefault="00F83D9C" w:rsidP="0090138D">
            <w:pPr>
              <w:autoSpaceDE w:val="0"/>
              <w:autoSpaceDN w:val="0"/>
              <w:adjustRightInd w:val="0"/>
              <w:ind w:left="60" w:right="60"/>
              <w:jc w:val="center"/>
            </w:pPr>
          </w:p>
        </w:tc>
        <w:tc>
          <w:tcPr>
            <w:tcW w:w="963" w:type="dxa"/>
            <w:shd w:val="clear" w:color="auto" w:fill="FFFFFF"/>
          </w:tcPr>
          <w:p w14:paraId="5DEC7505" w14:textId="77777777" w:rsidR="00F83D9C" w:rsidRPr="008139E6" w:rsidRDefault="00F83D9C" w:rsidP="0090138D">
            <w:pPr>
              <w:autoSpaceDE w:val="0"/>
              <w:autoSpaceDN w:val="0"/>
              <w:adjustRightInd w:val="0"/>
              <w:ind w:left="60" w:right="60"/>
              <w:jc w:val="center"/>
            </w:pPr>
            <w:r w:rsidRPr="008139E6">
              <w:t>.895</w:t>
            </w:r>
          </w:p>
        </w:tc>
        <w:tc>
          <w:tcPr>
            <w:tcW w:w="2597" w:type="dxa"/>
            <w:shd w:val="clear" w:color="auto" w:fill="FFFFFF"/>
          </w:tcPr>
          <w:p w14:paraId="5352236C" w14:textId="77777777" w:rsidR="00F83D9C" w:rsidRPr="008139E6" w:rsidRDefault="00F83D9C" w:rsidP="0090138D">
            <w:pPr>
              <w:autoSpaceDE w:val="0"/>
              <w:autoSpaceDN w:val="0"/>
              <w:adjustRightInd w:val="0"/>
              <w:ind w:left="60" w:right="60"/>
              <w:jc w:val="center"/>
            </w:pPr>
            <w:r w:rsidRPr="008139E6">
              <w:t xml:space="preserve">Almost perfect </w:t>
            </w:r>
          </w:p>
        </w:tc>
      </w:tr>
      <w:tr w:rsidR="008139E6" w:rsidRPr="008139E6" w14:paraId="6C8D3E7B" w14:textId="77777777" w:rsidTr="00525488">
        <w:trPr>
          <w:cantSplit/>
        </w:trPr>
        <w:tc>
          <w:tcPr>
            <w:tcW w:w="2315" w:type="dxa"/>
            <w:gridSpan w:val="2"/>
            <w:shd w:val="clear" w:color="auto" w:fill="FFFFFF"/>
            <w:vAlign w:val="center"/>
          </w:tcPr>
          <w:p w14:paraId="707FE7FC" w14:textId="77777777" w:rsidR="00F83D9C" w:rsidRPr="008139E6" w:rsidRDefault="00F83D9C" w:rsidP="0090138D">
            <w:pPr>
              <w:autoSpaceDE w:val="0"/>
              <w:autoSpaceDN w:val="0"/>
              <w:adjustRightInd w:val="0"/>
              <w:ind w:right="60"/>
            </w:pPr>
            <w:r w:rsidRPr="008139E6">
              <w:t xml:space="preserve"> Student Initiative</w:t>
            </w:r>
          </w:p>
        </w:tc>
        <w:tc>
          <w:tcPr>
            <w:tcW w:w="646" w:type="dxa"/>
            <w:shd w:val="clear" w:color="auto" w:fill="FFFFFF"/>
          </w:tcPr>
          <w:p w14:paraId="75F3A89A" w14:textId="77777777" w:rsidR="00F83D9C" w:rsidRPr="008139E6" w:rsidRDefault="00F83D9C" w:rsidP="0090138D">
            <w:pPr>
              <w:autoSpaceDE w:val="0"/>
              <w:autoSpaceDN w:val="0"/>
              <w:adjustRightInd w:val="0"/>
              <w:ind w:left="60" w:right="60"/>
              <w:jc w:val="center"/>
            </w:pPr>
          </w:p>
        </w:tc>
        <w:tc>
          <w:tcPr>
            <w:tcW w:w="963" w:type="dxa"/>
            <w:shd w:val="clear" w:color="auto" w:fill="FFFFFF"/>
          </w:tcPr>
          <w:p w14:paraId="1F98181B" w14:textId="77777777" w:rsidR="00F83D9C" w:rsidRPr="008139E6" w:rsidRDefault="00F83D9C" w:rsidP="0090138D">
            <w:pPr>
              <w:autoSpaceDE w:val="0"/>
              <w:autoSpaceDN w:val="0"/>
              <w:adjustRightInd w:val="0"/>
              <w:ind w:left="60" w:right="60"/>
              <w:jc w:val="center"/>
            </w:pPr>
            <w:r w:rsidRPr="008139E6">
              <w:t>.479</w:t>
            </w:r>
          </w:p>
        </w:tc>
        <w:tc>
          <w:tcPr>
            <w:tcW w:w="2597" w:type="dxa"/>
            <w:shd w:val="clear" w:color="auto" w:fill="FFFFFF"/>
          </w:tcPr>
          <w:p w14:paraId="28E17689" w14:textId="77777777" w:rsidR="00F83D9C" w:rsidRPr="008139E6" w:rsidRDefault="00F83D9C" w:rsidP="0090138D">
            <w:pPr>
              <w:autoSpaceDE w:val="0"/>
              <w:autoSpaceDN w:val="0"/>
              <w:adjustRightInd w:val="0"/>
              <w:ind w:left="60" w:right="60"/>
              <w:jc w:val="center"/>
            </w:pPr>
            <w:r w:rsidRPr="008139E6">
              <w:t xml:space="preserve">Moderate </w:t>
            </w:r>
          </w:p>
        </w:tc>
      </w:tr>
      <w:tr w:rsidR="008139E6" w:rsidRPr="008139E6" w14:paraId="35E4993F" w14:textId="77777777" w:rsidTr="00525488">
        <w:trPr>
          <w:cantSplit/>
        </w:trPr>
        <w:tc>
          <w:tcPr>
            <w:tcW w:w="2315" w:type="dxa"/>
            <w:gridSpan w:val="2"/>
            <w:shd w:val="clear" w:color="auto" w:fill="FFFFFF"/>
            <w:vAlign w:val="center"/>
          </w:tcPr>
          <w:p w14:paraId="01A2F74A" w14:textId="77777777" w:rsidR="00F83D9C" w:rsidRPr="008139E6" w:rsidRDefault="00F83D9C" w:rsidP="0090138D">
            <w:pPr>
              <w:autoSpaceDE w:val="0"/>
              <w:autoSpaceDN w:val="0"/>
              <w:adjustRightInd w:val="0"/>
              <w:ind w:left="60" w:right="60"/>
            </w:pPr>
            <w:r w:rsidRPr="008139E6">
              <w:t>Situational Awareness</w:t>
            </w:r>
          </w:p>
        </w:tc>
        <w:tc>
          <w:tcPr>
            <w:tcW w:w="646" w:type="dxa"/>
            <w:shd w:val="clear" w:color="auto" w:fill="FFFFFF"/>
          </w:tcPr>
          <w:p w14:paraId="63F57612" w14:textId="77777777" w:rsidR="00F83D9C" w:rsidRPr="008139E6" w:rsidRDefault="00F83D9C" w:rsidP="0090138D">
            <w:pPr>
              <w:autoSpaceDE w:val="0"/>
              <w:autoSpaceDN w:val="0"/>
              <w:adjustRightInd w:val="0"/>
              <w:ind w:left="60" w:right="60"/>
              <w:jc w:val="center"/>
            </w:pPr>
          </w:p>
        </w:tc>
        <w:tc>
          <w:tcPr>
            <w:tcW w:w="963" w:type="dxa"/>
            <w:shd w:val="clear" w:color="auto" w:fill="FFFFFF"/>
          </w:tcPr>
          <w:p w14:paraId="5ABF867A" w14:textId="77777777" w:rsidR="00F83D9C" w:rsidRPr="008139E6" w:rsidRDefault="00F83D9C" w:rsidP="0090138D">
            <w:pPr>
              <w:autoSpaceDE w:val="0"/>
              <w:autoSpaceDN w:val="0"/>
              <w:adjustRightInd w:val="0"/>
              <w:ind w:left="60" w:right="60"/>
              <w:jc w:val="center"/>
            </w:pPr>
            <w:r w:rsidRPr="008139E6">
              <w:t>-.095</w:t>
            </w:r>
          </w:p>
        </w:tc>
        <w:tc>
          <w:tcPr>
            <w:tcW w:w="2597" w:type="dxa"/>
            <w:shd w:val="clear" w:color="auto" w:fill="FFFFFF"/>
          </w:tcPr>
          <w:p w14:paraId="0096D7E2" w14:textId="77777777" w:rsidR="00F83D9C" w:rsidRPr="008139E6" w:rsidRDefault="00F83D9C" w:rsidP="0090138D">
            <w:pPr>
              <w:autoSpaceDE w:val="0"/>
              <w:autoSpaceDN w:val="0"/>
              <w:adjustRightInd w:val="0"/>
              <w:ind w:left="60" w:right="60"/>
              <w:jc w:val="center"/>
            </w:pPr>
            <w:r w:rsidRPr="008139E6">
              <w:t>Less than chance</w:t>
            </w:r>
          </w:p>
        </w:tc>
      </w:tr>
      <w:tr w:rsidR="008139E6" w:rsidRPr="008139E6" w14:paraId="12F3CB0E" w14:textId="77777777" w:rsidTr="00525488">
        <w:trPr>
          <w:cantSplit/>
        </w:trPr>
        <w:tc>
          <w:tcPr>
            <w:tcW w:w="2315" w:type="dxa"/>
            <w:gridSpan w:val="2"/>
            <w:shd w:val="clear" w:color="auto" w:fill="FFFFFF"/>
            <w:vAlign w:val="center"/>
          </w:tcPr>
          <w:p w14:paraId="1DD7DCCF" w14:textId="77777777" w:rsidR="00F83D9C" w:rsidRPr="008139E6" w:rsidRDefault="00F83D9C" w:rsidP="0090138D">
            <w:pPr>
              <w:autoSpaceDE w:val="0"/>
              <w:autoSpaceDN w:val="0"/>
              <w:adjustRightInd w:val="0"/>
              <w:ind w:left="60" w:right="60"/>
            </w:pPr>
            <w:r w:rsidRPr="008139E6">
              <w:t>Teamwork</w:t>
            </w:r>
          </w:p>
        </w:tc>
        <w:tc>
          <w:tcPr>
            <w:tcW w:w="646" w:type="dxa"/>
            <w:shd w:val="clear" w:color="auto" w:fill="FFFFFF"/>
          </w:tcPr>
          <w:p w14:paraId="7D3EA4BF" w14:textId="77777777" w:rsidR="00F83D9C" w:rsidRPr="008139E6" w:rsidRDefault="00F83D9C" w:rsidP="0090138D">
            <w:pPr>
              <w:autoSpaceDE w:val="0"/>
              <w:autoSpaceDN w:val="0"/>
              <w:adjustRightInd w:val="0"/>
              <w:ind w:left="60" w:right="60"/>
              <w:jc w:val="center"/>
            </w:pPr>
          </w:p>
        </w:tc>
        <w:tc>
          <w:tcPr>
            <w:tcW w:w="963" w:type="dxa"/>
            <w:shd w:val="clear" w:color="auto" w:fill="FFFFFF"/>
          </w:tcPr>
          <w:p w14:paraId="67433263" w14:textId="77777777" w:rsidR="00F83D9C" w:rsidRPr="008139E6" w:rsidRDefault="00F83D9C" w:rsidP="0090138D">
            <w:pPr>
              <w:autoSpaceDE w:val="0"/>
              <w:autoSpaceDN w:val="0"/>
              <w:adjustRightInd w:val="0"/>
              <w:ind w:left="60" w:right="60"/>
              <w:jc w:val="center"/>
            </w:pPr>
            <w:r w:rsidRPr="008139E6">
              <w:t>.374</w:t>
            </w:r>
          </w:p>
        </w:tc>
        <w:tc>
          <w:tcPr>
            <w:tcW w:w="2597" w:type="dxa"/>
            <w:shd w:val="clear" w:color="auto" w:fill="FFFFFF"/>
          </w:tcPr>
          <w:p w14:paraId="17F0FBAD" w14:textId="77777777" w:rsidR="00F83D9C" w:rsidRPr="008139E6" w:rsidRDefault="00F83D9C" w:rsidP="0090138D">
            <w:pPr>
              <w:autoSpaceDE w:val="0"/>
              <w:autoSpaceDN w:val="0"/>
              <w:adjustRightInd w:val="0"/>
              <w:ind w:left="60" w:right="60"/>
              <w:jc w:val="center"/>
            </w:pPr>
            <w:r w:rsidRPr="008139E6">
              <w:t>Fair</w:t>
            </w:r>
          </w:p>
        </w:tc>
      </w:tr>
      <w:tr w:rsidR="008139E6" w:rsidRPr="008139E6" w14:paraId="53FBD30C" w14:textId="77777777" w:rsidTr="00525488">
        <w:trPr>
          <w:cantSplit/>
        </w:trPr>
        <w:tc>
          <w:tcPr>
            <w:tcW w:w="2315" w:type="dxa"/>
            <w:gridSpan w:val="2"/>
            <w:shd w:val="clear" w:color="auto" w:fill="FFFFFF"/>
            <w:vAlign w:val="center"/>
          </w:tcPr>
          <w:p w14:paraId="2DC19C32" w14:textId="77777777" w:rsidR="00F83D9C" w:rsidRPr="008139E6" w:rsidRDefault="00F83D9C" w:rsidP="0090138D">
            <w:pPr>
              <w:autoSpaceDE w:val="0"/>
              <w:autoSpaceDN w:val="0"/>
              <w:adjustRightInd w:val="0"/>
              <w:ind w:left="60" w:right="60"/>
            </w:pPr>
            <w:r w:rsidRPr="008139E6">
              <w:t>Task Management</w:t>
            </w:r>
          </w:p>
        </w:tc>
        <w:tc>
          <w:tcPr>
            <w:tcW w:w="646" w:type="dxa"/>
            <w:shd w:val="clear" w:color="auto" w:fill="FFFFFF"/>
          </w:tcPr>
          <w:p w14:paraId="77920845" w14:textId="77777777" w:rsidR="00F83D9C" w:rsidRPr="008139E6" w:rsidRDefault="00F83D9C" w:rsidP="0090138D">
            <w:pPr>
              <w:autoSpaceDE w:val="0"/>
              <w:autoSpaceDN w:val="0"/>
              <w:adjustRightInd w:val="0"/>
              <w:ind w:left="60" w:right="60"/>
              <w:jc w:val="center"/>
            </w:pPr>
          </w:p>
        </w:tc>
        <w:tc>
          <w:tcPr>
            <w:tcW w:w="963" w:type="dxa"/>
            <w:shd w:val="clear" w:color="auto" w:fill="FFFFFF"/>
          </w:tcPr>
          <w:p w14:paraId="385444AA" w14:textId="77777777" w:rsidR="00F83D9C" w:rsidRPr="008139E6" w:rsidRDefault="00F83D9C" w:rsidP="0090138D">
            <w:pPr>
              <w:autoSpaceDE w:val="0"/>
              <w:autoSpaceDN w:val="0"/>
              <w:adjustRightInd w:val="0"/>
              <w:ind w:left="60" w:right="60"/>
              <w:jc w:val="center"/>
            </w:pPr>
            <w:r w:rsidRPr="008139E6">
              <w:t>.642</w:t>
            </w:r>
          </w:p>
        </w:tc>
        <w:tc>
          <w:tcPr>
            <w:tcW w:w="2597" w:type="dxa"/>
            <w:shd w:val="clear" w:color="auto" w:fill="FFFFFF"/>
          </w:tcPr>
          <w:p w14:paraId="13DB0281" w14:textId="77777777" w:rsidR="00F83D9C" w:rsidRPr="008139E6" w:rsidRDefault="00F83D9C" w:rsidP="0090138D">
            <w:pPr>
              <w:autoSpaceDE w:val="0"/>
              <w:autoSpaceDN w:val="0"/>
              <w:adjustRightInd w:val="0"/>
              <w:ind w:left="60" w:right="60"/>
              <w:jc w:val="center"/>
            </w:pPr>
            <w:r w:rsidRPr="008139E6">
              <w:t>Substantial</w:t>
            </w:r>
          </w:p>
        </w:tc>
      </w:tr>
      <w:tr w:rsidR="008139E6" w:rsidRPr="008139E6" w14:paraId="3F5D0BAF" w14:textId="77777777" w:rsidTr="00525488">
        <w:trPr>
          <w:cantSplit/>
        </w:trPr>
        <w:tc>
          <w:tcPr>
            <w:tcW w:w="2315" w:type="dxa"/>
            <w:gridSpan w:val="2"/>
            <w:shd w:val="clear" w:color="auto" w:fill="FFFFFF"/>
            <w:vAlign w:val="center"/>
          </w:tcPr>
          <w:p w14:paraId="7EDC586F" w14:textId="77777777" w:rsidR="00F83D9C" w:rsidRPr="008139E6" w:rsidRDefault="00F83D9C" w:rsidP="0090138D">
            <w:pPr>
              <w:autoSpaceDE w:val="0"/>
              <w:autoSpaceDN w:val="0"/>
              <w:adjustRightInd w:val="0"/>
              <w:ind w:left="60" w:right="60"/>
            </w:pPr>
            <w:r w:rsidRPr="008139E6">
              <w:t>Responsiveness to patient</w:t>
            </w:r>
          </w:p>
        </w:tc>
        <w:tc>
          <w:tcPr>
            <w:tcW w:w="646" w:type="dxa"/>
            <w:shd w:val="clear" w:color="auto" w:fill="FFFFFF"/>
          </w:tcPr>
          <w:p w14:paraId="66399BCC" w14:textId="77777777" w:rsidR="00F83D9C" w:rsidRPr="008139E6" w:rsidRDefault="00F83D9C" w:rsidP="0090138D">
            <w:pPr>
              <w:autoSpaceDE w:val="0"/>
              <w:autoSpaceDN w:val="0"/>
              <w:adjustRightInd w:val="0"/>
              <w:ind w:left="60" w:right="60"/>
              <w:jc w:val="center"/>
            </w:pPr>
          </w:p>
        </w:tc>
        <w:tc>
          <w:tcPr>
            <w:tcW w:w="963" w:type="dxa"/>
            <w:shd w:val="clear" w:color="auto" w:fill="FFFFFF"/>
          </w:tcPr>
          <w:p w14:paraId="4B1ADC84" w14:textId="77777777" w:rsidR="00F83D9C" w:rsidRPr="008139E6" w:rsidRDefault="00F83D9C" w:rsidP="0090138D">
            <w:pPr>
              <w:autoSpaceDE w:val="0"/>
              <w:autoSpaceDN w:val="0"/>
              <w:adjustRightInd w:val="0"/>
              <w:ind w:left="60" w:right="60"/>
              <w:jc w:val="center"/>
            </w:pPr>
            <w:r w:rsidRPr="008139E6">
              <w:t>1.00</w:t>
            </w:r>
          </w:p>
        </w:tc>
        <w:tc>
          <w:tcPr>
            <w:tcW w:w="2597" w:type="dxa"/>
            <w:shd w:val="clear" w:color="auto" w:fill="FFFFFF"/>
          </w:tcPr>
          <w:p w14:paraId="608A9402" w14:textId="77777777" w:rsidR="00F83D9C" w:rsidRPr="008139E6" w:rsidRDefault="00F83D9C" w:rsidP="0090138D">
            <w:pPr>
              <w:autoSpaceDE w:val="0"/>
              <w:autoSpaceDN w:val="0"/>
              <w:adjustRightInd w:val="0"/>
              <w:ind w:left="60" w:right="60"/>
              <w:jc w:val="center"/>
            </w:pPr>
            <w:r w:rsidRPr="008139E6">
              <w:t>Perfect</w:t>
            </w:r>
          </w:p>
        </w:tc>
      </w:tr>
    </w:tbl>
    <w:p w14:paraId="6F96152F" w14:textId="77777777" w:rsidR="00F83D9C" w:rsidRPr="008139E6" w:rsidRDefault="00F83D9C" w:rsidP="0090138D">
      <w:pPr>
        <w:rPr>
          <w:b/>
        </w:rPr>
      </w:pPr>
    </w:p>
    <w:p w14:paraId="6BB79964" w14:textId="37338405" w:rsidR="00F83D9C" w:rsidRPr="008139E6" w:rsidRDefault="00F83D9C" w:rsidP="0090138D"/>
    <w:p w14:paraId="1F935CAE" w14:textId="46D056FB" w:rsidR="00F83D9C" w:rsidRPr="008139E6" w:rsidRDefault="00F83D9C" w:rsidP="0090138D">
      <w:r w:rsidRPr="008139E6">
        <w:br w:type="page"/>
      </w:r>
    </w:p>
    <w:p w14:paraId="0C104503" w14:textId="56843900" w:rsidR="00F83D9C" w:rsidRPr="008139E6" w:rsidRDefault="00F83D9C" w:rsidP="0090138D">
      <w:pPr>
        <w:autoSpaceDE w:val="0"/>
        <w:autoSpaceDN w:val="0"/>
        <w:adjustRightInd w:val="0"/>
        <w:rPr>
          <w:b/>
        </w:rPr>
      </w:pPr>
      <w:r w:rsidRPr="008139E6">
        <w:rPr>
          <w:b/>
        </w:rPr>
        <w:lastRenderedPageBreak/>
        <w:t>Table 4: Mean scores pre and post intervention for t</w:t>
      </w:r>
      <w:r w:rsidR="00657991" w:rsidRPr="008139E6">
        <w:rPr>
          <w:b/>
        </w:rPr>
        <w:t>he behavioural categories coded</w:t>
      </w:r>
    </w:p>
    <w:tbl>
      <w:tblPr>
        <w:tblW w:w="9072" w:type="dxa"/>
        <w:tblLayout w:type="fixed"/>
        <w:tblCellMar>
          <w:left w:w="0" w:type="dxa"/>
          <w:right w:w="0" w:type="dxa"/>
        </w:tblCellMar>
        <w:tblLook w:val="0000" w:firstRow="0" w:lastRow="0" w:firstColumn="0" w:lastColumn="0" w:noHBand="0" w:noVBand="0"/>
      </w:tblPr>
      <w:tblGrid>
        <w:gridCol w:w="2097"/>
        <w:gridCol w:w="313"/>
        <w:gridCol w:w="682"/>
        <w:gridCol w:w="997"/>
        <w:gridCol w:w="731"/>
        <w:gridCol w:w="992"/>
        <w:gridCol w:w="709"/>
        <w:gridCol w:w="709"/>
        <w:gridCol w:w="283"/>
        <w:gridCol w:w="426"/>
        <w:gridCol w:w="1133"/>
      </w:tblGrid>
      <w:tr w:rsidR="008139E6" w:rsidRPr="008139E6" w14:paraId="659A4802" w14:textId="77777777" w:rsidTr="00F83D9C">
        <w:trPr>
          <w:cantSplit/>
        </w:trPr>
        <w:tc>
          <w:tcPr>
            <w:tcW w:w="2097" w:type="dxa"/>
            <w:shd w:val="clear" w:color="auto" w:fill="FFFFFF"/>
          </w:tcPr>
          <w:p w14:paraId="569033EA" w14:textId="77777777" w:rsidR="00F83D9C" w:rsidRPr="008139E6" w:rsidRDefault="00F83D9C" w:rsidP="0090138D">
            <w:pPr>
              <w:autoSpaceDE w:val="0"/>
              <w:autoSpaceDN w:val="0"/>
              <w:adjustRightInd w:val="0"/>
            </w:pPr>
          </w:p>
        </w:tc>
        <w:tc>
          <w:tcPr>
            <w:tcW w:w="2723" w:type="dxa"/>
            <w:gridSpan w:val="4"/>
            <w:shd w:val="clear" w:color="auto" w:fill="FFFFFF"/>
          </w:tcPr>
          <w:p w14:paraId="75248DB8" w14:textId="77777777" w:rsidR="00F83D9C" w:rsidRPr="008139E6" w:rsidRDefault="00F83D9C" w:rsidP="0090138D">
            <w:pPr>
              <w:autoSpaceDE w:val="0"/>
              <w:autoSpaceDN w:val="0"/>
              <w:adjustRightInd w:val="0"/>
              <w:ind w:left="60" w:right="60"/>
              <w:jc w:val="center"/>
            </w:pPr>
            <w:r w:rsidRPr="008139E6">
              <w:t>Pre-intervention</w:t>
            </w:r>
          </w:p>
        </w:tc>
        <w:tc>
          <w:tcPr>
            <w:tcW w:w="1701" w:type="dxa"/>
            <w:gridSpan w:val="2"/>
            <w:shd w:val="clear" w:color="auto" w:fill="FFFFFF"/>
            <w:vAlign w:val="center"/>
          </w:tcPr>
          <w:p w14:paraId="165DB366" w14:textId="77777777" w:rsidR="00F83D9C" w:rsidRPr="008139E6" w:rsidRDefault="00F83D9C" w:rsidP="0090138D">
            <w:pPr>
              <w:autoSpaceDE w:val="0"/>
              <w:autoSpaceDN w:val="0"/>
              <w:adjustRightInd w:val="0"/>
              <w:ind w:left="60" w:right="60"/>
            </w:pPr>
            <w:r w:rsidRPr="008139E6">
              <w:t>Post-intervention</w:t>
            </w:r>
          </w:p>
        </w:tc>
        <w:tc>
          <w:tcPr>
            <w:tcW w:w="2551" w:type="dxa"/>
            <w:gridSpan w:val="4"/>
            <w:shd w:val="clear" w:color="auto" w:fill="FFFFFF"/>
          </w:tcPr>
          <w:p w14:paraId="23B804BB" w14:textId="77777777" w:rsidR="00F83D9C" w:rsidRPr="008139E6" w:rsidRDefault="00F83D9C" w:rsidP="0090138D">
            <w:pPr>
              <w:autoSpaceDE w:val="0"/>
              <w:autoSpaceDN w:val="0"/>
              <w:adjustRightInd w:val="0"/>
              <w:ind w:left="60" w:right="60"/>
              <w:jc w:val="center"/>
            </w:pPr>
            <w:r w:rsidRPr="008139E6">
              <w:t>Comparison</w:t>
            </w:r>
          </w:p>
        </w:tc>
      </w:tr>
      <w:tr w:rsidR="008139E6" w:rsidRPr="008139E6" w14:paraId="43870315" w14:textId="77777777" w:rsidTr="00F83D9C">
        <w:trPr>
          <w:cantSplit/>
          <w:trHeight w:val="405"/>
        </w:trPr>
        <w:tc>
          <w:tcPr>
            <w:tcW w:w="2097" w:type="dxa"/>
            <w:tcBorders>
              <w:bottom w:val="single" w:sz="4" w:space="0" w:color="auto"/>
            </w:tcBorders>
            <w:shd w:val="clear" w:color="auto" w:fill="FFFFFF"/>
          </w:tcPr>
          <w:p w14:paraId="6AC958E7" w14:textId="77777777" w:rsidR="00F83D9C" w:rsidRPr="008139E6" w:rsidRDefault="00F83D9C" w:rsidP="0090138D">
            <w:pPr>
              <w:autoSpaceDE w:val="0"/>
              <w:autoSpaceDN w:val="0"/>
              <w:adjustRightInd w:val="0"/>
            </w:pPr>
          </w:p>
        </w:tc>
        <w:tc>
          <w:tcPr>
            <w:tcW w:w="995" w:type="dxa"/>
            <w:gridSpan w:val="2"/>
            <w:tcBorders>
              <w:bottom w:val="single" w:sz="4" w:space="0" w:color="auto"/>
            </w:tcBorders>
            <w:shd w:val="clear" w:color="auto" w:fill="FFFFFF"/>
          </w:tcPr>
          <w:p w14:paraId="49649080" w14:textId="77777777" w:rsidR="00F83D9C" w:rsidRPr="008139E6" w:rsidRDefault="00F83D9C" w:rsidP="0090138D">
            <w:pPr>
              <w:autoSpaceDE w:val="0"/>
              <w:autoSpaceDN w:val="0"/>
              <w:adjustRightInd w:val="0"/>
              <w:ind w:left="60" w:right="60"/>
              <w:jc w:val="center"/>
            </w:pPr>
            <w:r w:rsidRPr="008139E6">
              <w:t>N</w:t>
            </w:r>
          </w:p>
        </w:tc>
        <w:tc>
          <w:tcPr>
            <w:tcW w:w="997" w:type="dxa"/>
            <w:tcBorders>
              <w:bottom w:val="single" w:sz="4" w:space="0" w:color="auto"/>
            </w:tcBorders>
            <w:shd w:val="clear" w:color="auto" w:fill="FFFFFF"/>
          </w:tcPr>
          <w:p w14:paraId="32085EA2" w14:textId="77777777" w:rsidR="00F83D9C" w:rsidRPr="008139E6" w:rsidRDefault="00F83D9C" w:rsidP="0090138D">
            <w:pPr>
              <w:autoSpaceDE w:val="0"/>
              <w:autoSpaceDN w:val="0"/>
              <w:adjustRightInd w:val="0"/>
              <w:ind w:left="60" w:right="60"/>
              <w:jc w:val="center"/>
            </w:pPr>
            <w:r w:rsidRPr="008139E6">
              <w:t>Mean</w:t>
            </w:r>
          </w:p>
        </w:tc>
        <w:tc>
          <w:tcPr>
            <w:tcW w:w="731" w:type="dxa"/>
            <w:tcBorders>
              <w:bottom w:val="single" w:sz="4" w:space="0" w:color="auto"/>
            </w:tcBorders>
            <w:shd w:val="clear" w:color="auto" w:fill="FFFFFF"/>
          </w:tcPr>
          <w:p w14:paraId="0623486B" w14:textId="77777777" w:rsidR="00F83D9C" w:rsidRPr="008139E6" w:rsidRDefault="00F83D9C" w:rsidP="0090138D">
            <w:pPr>
              <w:autoSpaceDE w:val="0"/>
              <w:autoSpaceDN w:val="0"/>
              <w:adjustRightInd w:val="0"/>
              <w:ind w:left="60" w:right="60"/>
              <w:jc w:val="center"/>
            </w:pPr>
            <w:r w:rsidRPr="008139E6">
              <w:t>SD</w:t>
            </w:r>
          </w:p>
        </w:tc>
        <w:tc>
          <w:tcPr>
            <w:tcW w:w="992" w:type="dxa"/>
            <w:tcBorders>
              <w:bottom w:val="single" w:sz="4" w:space="0" w:color="auto"/>
            </w:tcBorders>
            <w:shd w:val="clear" w:color="auto" w:fill="FFFFFF"/>
          </w:tcPr>
          <w:p w14:paraId="129DE300" w14:textId="77777777" w:rsidR="00F83D9C" w:rsidRPr="008139E6" w:rsidRDefault="00F83D9C" w:rsidP="0090138D">
            <w:pPr>
              <w:autoSpaceDE w:val="0"/>
              <w:autoSpaceDN w:val="0"/>
              <w:adjustRightInd w:val="0"/>
              <w:ind w:left="60" w:right="60"/>
              <w:jc w:val="center"/>
            </w:pPr>
            <w:r w:rsidRPr="008139E6">
              <w:t>Mean</w:t>
            </w:r>
          </w:p>
        </w:tc>
        <w:tc>
          <w:tcPr>
            <w:tcW w:w="709" w:type="dxa"/>
            <w:tcBorders>
              <w:bottom w:val="single" w:sz="4" w:space="0" w:color="auto"/>
            </w:tcBorders>
            <w:shd w:val="clear" w:color="auto" w:fill="FFFFFF"/>
          </w:tcPr>
          <w:p w14:paraId="4E1A3E55" w14:textId="77777777" w:rsidR="00F83D9C" w:rsidRPr="008139E6" w:rsidRDefault="00F83D9C" w:rsidP="0090138D">
            <w:pPr>
              <w:autoSpaceDE w:val="0"/>
              <w:autoSpaceDN w:val="0"/>
              <w:adjustRightInd w:val="0"/>
              <w:ind w:left="60" w:right="60"/>
              <w:jc w:val="center"/>
            </w:pPr>
            <w:r w:rsidRPr="008139E6">
              <w:t>SD</w:t>
            </w:r>
          </w:p>
        </w:tc>
        <w:tc>
          <w:tcPr>
            <w:tcW w:w="709" w:type="dxa"/>
            <w:tcBorders>
              <w:bottom w:val="single" w:sz="4" w:space="0" w:color="auto"/>
            </w:tcBorders>
            <w:shd w:val="clear" w:color="auto" w:fill="FFFFFF"/>
          </w:tcPr>
          <w:p w14:paraId="5FD619B8" w14:textId="77777777" w:rsidR="00F83D9C" w:rsidRPr="008139E6" w:rsidRDefault="00F83D9C" w:rsidP="0090138D">
            <w:pPr>
              <w:autoSpaceDE w:val="0"/>
              <w:autoSpaceDN w:val="0"/>
              <w:adjustRightInd w:val="0"/>
              <w:ind w:left="60" w:right="60"/>
              <w:jc w:val="center"/>
            </w:pPr>
            <w:r w:rsidRPr="008139E6">
              <w:t>t value</w:t>
            </w:r>
          </w:p>
        </w:tc>
        <w:tc>
          <w:tcPr>
            <w:tcW w:w="709" w:type="dxa"/>
            <w:gridSpan w:val="2"/>
            <w:tcBorders>
              <w:bottom w:val="single" w:sz="4" w:space="0" w:color="auto"/>
            </w:tcBorders>
            <w:shd w:val="clear" w:color="auto" w:fill="FFFFFF"/>
          </w:tcPr>
          <w:p w14:paraId="33A595B1" w14:textId="77777777" w:rsidR="00F83D9C" w:rsidRPr="008139E6" w:rsidRDefault="00F83D9C" w:rsidP="0090138D">
            <w:pPr>
              <w:autoSpaceDE w:val="0"/>
              <w:autoSpaceDN w:val="0"/>
              <w:adjustRightInd w:val="0"/>
              <w:ind w:left="60" w:right="60"/>
              <w:jc w:val="center"/>
            </w:pPr>
            <w:proofErr w:type="spellStart"/>
            <w:r w:rsidRPr="008139E6">
              <w:t>df</w:t>
            </w:r>
            <w:proofErr w:type="spellEnd"/>
          </w:p>
        </w:tc>
        <w:tc>
          <w:tcPr>
            <w:tcW w:w="1133" w:type="dxa"/>
            <w:tcBorders>
              <w:bottom w:val="single" w:sz="4" w:space="0" w:color="auto"/>
            </w:tcBorders>
            <w:shd w:val="clear" w:color="auto" w:fill="FFFFFF"/>
          </w:tcPr>
          <w:p w14:paraId="726C65B7" w14:textId="77777777" w:rsidR="00F83D9C" w:rsidRPr="008139E6" w:rsidRDefault="00F83D9C" w:rsidP="0090138D">
            <w:pPr>
              <w:autoSpaceDE w:val="0"/>
              <w:autoSpaceDN w:val="0"/>
              <w:adjustRightInd w:val="0"/>
              <w:ind w:left="60" w:right="60"/>
              <w:jc w:val="center"/>
            </w:pPr>
            <w:r w:rsidRPr="008139E6">
              <w:t xml:space="preserve">Sig </w:t>
            </w:r>
          </w:p>
        </w:tc>
      </w:tr>
      <w:tr w:rsidR="008139E6" w:rsidRPr="008139E6" w14:paraId="2CEF276F" w14:textId="77777777" w:rsidTr="00F83D9C">
        <w:trPr>
          <w:cantSplit/>
        </w:trPr>
        <w:tc>
          <w:tcPr>
            <w:tcW w:w="2410" w:type="dxa"/>
            <w:gridSpan w:val="2"/>
            <w:tcBorders>
              <w:top w:val="single" w:sz="4" w:space="0" w:color="auto"/>
            </w:tcBorders>
            <w:shd w:val="clear" w:color="auto" w:fill="FFFFFF"/>
            <w:vAlign w:val="center"/>
          </w:tcPr>
          <w:p w14:paraId="2D8E2228" w14:textId="77777777" w:rsidR="00F83D9C" w:rsidRPr="008139E6" w:rsidRDefault="00F83D9C" w:rsidP="0090138D">
            <w:pPr>
              <w:autoSpaceDE w:val="0"/>
              <w:autoSpaceDN w:val="0"/>
              <w:adjustRightInd w:val="0"/>
              <w:ind w:left="60" w:right="60"/>
            </w:pPr>
            <w:r w:rsidRPr="008139E6">
              <w:t>Communication</w:t>
            </w:r>
          </w:p>
        </w:tc>
        <w:tc>
          <w:tcPr>
            <w:tcW w:w="682" w:type="dxa"/>
            <w:tcBorders>
              <w:top w:val="single" w:sz="4" w:space="0" w:color="auto"/>
            </w:tcBorders>
            <w:shd w:val="clear" w:color="auto" w:fill="FFFFFF"/>
          </w:tcPr>
          <w:p w14:paraId="40C13717" w14:textId="77777777" w:rsidR="00F83D9C" w:rsidRPr="008139E6" w:rsidRDefault="00F83D9C" w:rsidP="0090138D">
            <w:pPr>
              <w:autoSpaceDE w:val="0"/>
              <w:autoSpaceDN w:val="0"/>
              <w:adjustRightInd w:val="0"/>
              <w:ind w:left="60" w:right="60"/>
              <w:jc w:val="center"/>
            </w:pPr>
            <w:r w:rsidRPr="008139E6">
              <w:t>69</w:t>
            </w:r>
          </w:p>
        </w:tc>
        <w:tc>
          <w:tcPr>
            <w:tcW w:w="997" w:type="dxa"/>
            <w:tcBorders>
              <w:top w:val="single" w:sz="4" w:space="0" w:color="auto"/>
            </w:tcBorders>
            <w:shd w:val="clear" w:color="auto" w:fill="FFFFFF"/>
          </w:tcPr>
          <w:p w14:paraId="4F6B5009" w14:textId="77777777" w:rsidR="00F83D9C" w:rsidRPr="008139E6" w:rsidRDefault="00F83D9C" w:rsidP="0090138D">
            <w:pPr>
              <w:autoSpaceDE w:val="0"/>
              <w:autoSpaceDN w:val="0"/>
              <w:adjustRightInd w:val="0"/>
              <w:ind w:left="60" w:right="60"/>
              <w:jc w:val="center"/>
            </w:pPr>
            <w:r w:rsidRPr="008139E6">
              <w:t>2.89</w:t>
            </w:r>
          </w:p>
        </w:tc>
        <w:tc>
          <w:tcPr>
            <w:tcW w:w="731" w:type="dxa"/>
            <w:tcBorders>
              <w:top w:val="single" w:sz="4" w:space="0" w:color="auto"/>
            </w:tcBorders>
            <w:shd w:val="clear" w:color="auto" w:fill="FFFFFF"/>
          </w:tcPr>
          <w:p w14:paraId="62EA4B93" w14:textId="77777777" w:rsidR="00F83D9C" w:rsidRPr="008139E6" w:rsidRDefault="00F83D9C" w:rsidP="0090138D">
            <w:pPr>
              <w:autoSpaceDE w:val="0"/>
              <w:autoSpaceDN w:val="0"/>
              <w:adjustRightInd w:val="0"/>
              <w:ind w:left="60" w:right="60"/>
              <w:jc w:val="center"/>
            </w:pPr>
            <w:r w:rsidRPr="008139E6">
              <w:t>.36</w:t>
            </w:r>
          </w:p>
        </w:tc>
        <w:tc>
          <w:tcPr>
            <w:tcW w:w="992" w:type="dxa"/>
            <w:tcBorders>
              <w:top w:val="single" w:sz="4" w:space="0" w:color="auto"/>
            </w:tcBorders>
            <w:shd w:val="clear" w:color="auto" w:fill="FFFFFF"/>
          </w:tcPr>
          <w:p w14:paraId="51622C3B" w14:textId="77777777" w:rsidR="00F83D9C" w:rsidRPr="008139E6" w:rsidRDefault="00F83D9C" w:rsidP="0090138D">
            <w:pPr>
              <w:autoSpaceDE w:val="0"/>
              <w:autoSpaceDN w:val="0"/>
              <w:adjustRightInd w:val="0"/>
              <w:ind w:left="60" w:right="60"/>
              <w:jc w:val="center"/>
            </w:pPr>
            <w:r w:rsidRPr="008139E6">
              <w:t>2.98</w:t>
            </w:r>
          </w:p>
        </w:tc>
        <w:tc>
          <w:tcPr>
            <w:tcW w:w="709" w:type="dxa"/>
            <w:tcBorders>
              <w:top w:val="single" w:sz="4" w:space="0" w:color="auto"/>
            </w:tcBorders>
            <w:shd w:val="clear" w:color="auto" w:fill="FFFFFF"/>
          </w:tcPr>
          <w:p w14:paraId="3E47A781" w14:textId="77777777" w:rsidR="00F83D9C" w:rsidRPr="008139E6" w:rsidRDefault="00F83D9C" w:rsidP="0090138D">
            <w:pPr>
              <w:autoSpaceDE w:val="0"/>
              <w:autoSpaceDN w:val="0"/>
              <w:adjustRightInd w:val="0"/>
              <w:ind w:left="60" w:right="60"/>
              <w:jc w:val="center"/>
            </w:pPr>
            <w:r w:rsidRPr="008139E6">
              <w:t>.27</w:t>
            </w:r>
          </w:p>
        </w:tc>
        <w:tc>
          <w:tcPr>
            <w:tcW w:w="992" w:type="dxa"/>
            <w:gridSpan w:val="2"/>
            <w:tcBorders>
              <w:top w:val="single" w:sz="4" w:space="0" w:color="auto"/>
            </w:tcBorders>
            <w:shd w:val="clear" w:color="auto" w:fill="FFFFFF"/>
          </w:tcPr>
          <w:p w14:paraId="5DF1D20F" w14:textId="77777777" w:rsidR="00F83D9C" w:rsidRPr="008139E6" w:rsidRDefault="00F83D9C" w:rsidP="0090138D">
            <w:pPr>
              <w:autoSpaceDE w:val="0"/>
              <w:autoSpaceDN w:val="0"/>
              <w:adjustRightInd w:val="0"/>
              <w:ind w:left="60" w:right="60"/>
              <w:jc w:val="center"/>
            </w:pPr>
            <w:r w:rsidRPr="008139E6">
              <w:t>-1.838</w:t>
            </w:r>
          </w:p>
        </w:tc>
        <w:tc>
          <w:tcPr>
            <w:tcW w:w="426" w:type="dxa"/>
            <w:tcBorders>
              <w:top w:val="single" w:sz="4" w:space="0" w:color="auto"/>
            </w:tcBorders>
            <w:shd w:val="clear" w:color="auto" w:fill="FFFFFF"/>
          </w:tcPr>
          <w:p w14:paraId="21146D42" w14:textId="77777777" w:rsidR="00F83D9C" w:rsidRPr="008139E6" w:rsidRDefault="00F83D9C" w:rsidP="0090138D">
            <w:pPr>
              <w:autoSpaceDE w:val="0"/>
              <w:autoSpaceDN w:val="0"/>
              <w:adjustRightInd w:val="0"/>
              <w:ind w:left="60" w:right="60"/>
              <w:jc w:val="center"/>
            </w:pPr>
            <w:r w:rsidRPr="008139E6">
              <w:t>68</w:t>
            </w:r>
          </w:p>
        </w:tc>
        <w:tc>
          <w:tcPr>
            <w:tcW w:w="1133" w:type="dxa"/>
            <w:tcBorders>
              <w:top w:val="single" w:sz="4" w:space="0" w:color="auto"/>
            </w:tcBorders>
            <w:shd w:val="clear" w:color="auto" w:fill="FFFFFF"/>
          </w:tcPr>
          <w:p w14:paraId="27B02E5B" w14:textId="77777777" w:rsidR="00F83D9C" w:rsidRPr="008139E6" w:rsidRDefault="00F83D9C" w:rsidP="0090138D">
            <w:pPr>
              <w:autoSpaceDE w:val="0"/>
              <w:autoSpaceDN w:val="0"/>
              <w:adjustRightInd w:val="0"/>
              <w:ind w:left="60" w:right="60"/>
              <w:jc w:val="center"/>
            </w:pPr>
            <w:r w:rsidRPr="008139E6">
              <w:t>.035*</w:t>
            </w:r>
          </w:p>
        </w:tc>
      </w:tr>
      <w:tr w:rsidR="008139E6" w:rsidRPr="008139E6" w14:paraId="139022C1" w14:textId="77777777" w:rsidTr="00F83D9C">
        <w:trPr>
          <w:cantSplit/>
        </w:trPr>
        <w:tc>
          <w:tcPr>
            <w:tcW w:w="2410" w:type="dxa"/>
            <w:gridSpan w:val="2"/>
            <w:shd w:val="clear" w:color="auto" w:fill="FFFFFF"/>
            <w:vAlign w:val="center"/>
          </w:tcPr>
          <w:p w14:paraId="6DC8A703" w14:textId="77777777" w:rsidR="00F83D9C" w:rsidRPr="008139E6" w:rsidRDefault="00F83D9C" w:rsidP="0090138D">
            <w:pPr>
              <w:autoSpaceDE w:val="0"/>
              <w:autoSpaceDN w:val="0"/>
              <w:adjustRightInd w:val="0"/>
              <w:ind w:left="60" w:right="60"/>
            </w:pPr>
            <w:r w:rsidRPr="008139E6">
              <w:t>Decision-making</w:t>
            </w:r>
          </w:p>
        </w:tc>
        <w:tc>
          <w:tcPr>
            <w:tcW w:w="682" w:type="dxa"/>
            <w:shd w:val="clear" w:color="auto" w:fill="FFFFFF"/>
          </w:tcPr>
          <w:p w14:paraId="45BC0830" w14:textId="77777777" w:rsidR="00F83D9C" w:rsidRPr="008139E6" w:rsidRDefault="00F83D9C" w:rsidP="0090138D">
            <w:pPr>
              <w:autoSpaceDE w:val="0"/>
              <w:autoSpaceDN w:val="0"/>
              <w:adjustRightInd w:val="0"/>
              <w:ind w:left="60" w:right="60"/>
              <w:jc w:val="center"/>
            </w:pPr>
            <w:r w:rsidRPr="008139E6">
              <w:t>70</w:t>
            </w:r>
          </w:p>
        </w:tc>
        <w:tc>
          <w:tcPr>
            <w:tcW w:w="997" w:type="dxa"/>
            <w:shd w:val="clear" w:color="auto" w:fill="FFFFFF"/>
          </w:tcPr>
          <w:p w14:paraId="5992FB11" w14:textId="77777777" w:rsidR="00F83D9C" w:rsidRPr="008139E6" w:rsidRDefault="00F83D9C" w:rsidP="0090138D">
            <w:pPr>
              <w:autoSpaceDE w:val="0"/>
              <w:autoSpaceDN w:val="0"/>
              <w:adjustRightInd w:val="0"/>
              <w:ind w:left="60" w:right="60"/>
              <w:jc w:val="center"/>
            </w:pPr>
            <w:r w:rsidRPr="008139E6">
              <w:t>2.8</w:t>
            </w:r>
          </w:p>
        </w:tc>
        <w:tc>
          <w:tcPr>
            <w:tcW w:w="731" w:type="dxa"/>
            <w:shd w:val="clear" w:color="auto" w:fill="FFFFFF"/>
          </w:tcPr>
          <w:p w14:paraId="76B6AF03" w14:textId="77777777" w:rsidR="00F83D9C" w:rsidRPr="008139E6" w:rsidRDefault="00F83D9C" w:rsidP="0090138D">
            <w:pPr>
              <w:autoSpaceDE w:val="0"/>
              <w:autoSpaceDN w:val="0"/>
              <w:adjustRightInd w:val="0"/>
              <w:ind w:left="60" w:right="60"/>
              <w:jc w:val="center"/>
            </w:pPr>
            <w:r w:rsidRPr="008139E6">
              <w:t>.47</w:t>
            </w:r>
          </w:p>
        </w:tc>
        <w:tc>
          <w:tcPr>
            <w:tcW w:w="992" w:type="dxa"/>
            <w:shd w:val="clear" w:color="auto" w:fill="FFFFFF"/>
          </w:tcPr>
          <w:p w14:paraId="5964FF3F" w14:textId="77777777" w:rsidR="00F83D9C" w:rsidRPr="008139E6" w:rsidRDefault="00F83D9C" w:rsidP="0090138D">
            <w:pPr>
              <w:autoSpaceDE w:val="0"/>
              <w:autoSpaceDN w:val="0"/>
              <w:adjustRightInd w:val="0"/>
              <w:ind w:left="60" w:right="60"/>
              <w:jc w:val="center"/>
            </w:pPr>
            <w:r w:rsidRPr="008139E6">
              <w:t>3.06</w:t>
            </w:r>
          </w:p>
        </w:tc>
        <w:tc>
          <w:tcPr>
            <w:tcW w:w="709" w:type="dxa"/>
            <w:shd w:val="clear" w:color="auto" w:fill="FFFFFF"/>
          </w:tcPr>
          <w:p w14:paraId="12A10927" w14:textId="77777777" w:rsidR="00F83D9C" w:rsidRPr="008139E6" w:rsidRDefault="00F83D9C" w:rsidP="0090138D">
            <w:pPr>
              <w:autoSpaceDE w:val="0"/>
              <w:autoSpaceDN w:val="0"/>
              <w:adjustRightInd w:val="0"/>
              <w:ind w:left="60" w:right="60"/>
              <w:jc w:val="center"/>
            </w:pPr>
            <w:r w:rsidRPr="008139E6">
              <w:t>.34</w:t>
            </w:r>
          </w:p>
        </w:tc>
        <w:tc>
          <w:tcPr>
            <w:tcW w:w="992" w:type="dxa"/>
            <w:gridSpan w:val="2"/>
            <w:shd w:val="clear" w:color="auto" w:fill="FFFFFF"/>
          </w:tcPr>
          <w:p w14:paraId="46E8DAE9" w14:textId="77777777" w:rsidR="00F83D9C" w:rsidRPr="008139E6" w:rsidRDefault="00F83D9C" w:rsidP="0090138D">
            <w:pPr>
              <w:autoSpaceDE w:val="0"/>
              <w:autoSpaceDN w:val="0"/>
              <w:adjustRightInd w:val="0"/>
              <w:ind w:left="60" w:right="60"/>
              <w:jc w:val="center"/>
            </w:pPr>
            <w:r w:rsidRPr="008139E6">
              <w:t>-4.060</w:t>
            </w:r>
          </w:p>
        </w:tc>
        <w:tc>
          <w:tcPr>
            <w:tcW w:w="426" w:type="dxa"/>
            <w:shd w:val="clear" w:color="auto" w:fill="FFFFFF"/>
          </w:tcPr>
          <w:p w14:paraId="6E22E9E5" w14:textId="77777777" w:rsidR="00F83D9C" w:rsidRPr="008139E6" w:rsidRDefault="00F83D9C" w:rsidP="0090138D">
            <w:pPr>
              <w:autoSpaceDE w:val="0"/>
              <w:autoSpaceDN w:val="0"/>
              <w:adjustRightInd w:val="0"/>
              <w:ind w:left="60" w:right="60"/>
              <w:jc w:val="center"/>
            </w:pPr>
            <w:r w:rsidRPr="008139E6">
              <w:t>69</w:t>
            </w:r>
          </w:p>
        </w:tc>
        <w:tc>
          <w:tcPr>
            <w:tcW w:w="1133" w:type="dxa"/>
            <w:shd w:val="clear" w:color="auto" w:fill="FFFFFF"/>
          </w:tcPr>
          <w:p w14:paraId="4C73DA72" w14:textId="77777777" w:rsidR="00F83D9C" w:rsidRPr="008139E6" w:rsidRDefault="00F83D9C" w:rsidP="0090138D">
            <w:pPr>
              <w:autoSpaceDE w:val="0"/>
              <w:autoSpaceDN w:val="0"/>
              <w:adjustRightInd w:val="0"/>
              <w:ind w:left="60" w:right="60"/>
              <w:jc w:val="center"/>
            </w:pPr>
            <w:r w:rsidRPr="008139E6">
              <w:t>.000*</w:t>
            </w:r>
          </w:p>
        </w:tc>
      </w:tr>
      <w:tr w:rsidR="008139E6" w:rsidRPr="008139E6" w14:paraId="052E445D" w14:textId="77777777" w:rsidTr="00F83D9C">
        <w:trPr>
          <w:cantSplit/>
        </w:trPr>
        <w:tc>
          <w:tcPr>
            <w:tcW w:w="2410" w:type="dxa"/>
            <w:gridSpan w:val="2"/>
            <w:shd w:val="clear" w:color="auto" w:fill="FFFFFF"/>
            <w:vAlign w:val="center"/>
          </w:tcPr>
          <w:p w14:paraId="1B9209B3" w14:textId="77777777" w:rsidR="00F83D9C" w:rsidRPr="008139E6" w:rsidRDefault="00F83D9C" w:rsidP="0090138D">
            <w:pPr>
              <w:autoSpaceDE w:val="0"/>
              <w:autoSpaceDN w:val="0"/>
              <w:adjustRightInd w:val="0"/>
              <w:ind w:right="60"/>
              <w:rPr>
                <w:i/>
              </w:rPr>
            </w:pPr>
            <w:r w:rsidRPr="008139E6">
              <w:t xml:space="preserve"> </w:t>
            </w:r>
            <w:r w:rsidRPr="008139E6">
              <w:rPr>
                <w:i/>
              </w:rPr>
              <w:t>Student Initiative</w:t>
            </w:r>
            <w:r w:rsidRPr="008139E6">
              <w:rPr>
                <w:i/>
                <w:vertAlign w:val="superscript"/>
              </w:rPr>
              <w:t>1</w:t>
            </w:r>
          </w:p>
        </w:tc>
        <w:tc>
          <w:tcPr>
            <w:tcW w:w="682" w:type="dxa"/>
            <w:shd w:val="clear" w:color="auto" w:fill="FFFFFF"/>
          </w:tcPr>
          <w:p w14:paraId="4C8AEBB9" w14:textId="77777777" w:rsidR="00F83D9C" w:rsidRPr="008139E6" w:rsidRDefault="00F83D9C" w:rsidP="0090138D">
            <w:pPr>
              <w:autoSpaceDE w:val="0"/>
              <w:autoSpaceDN w:val="0"/>
              <w:adjustRightInd w:val="0"/>
              <w:ind w:left="60" w:right="60"/>
              <w:jc w:val="center"/>
            </w:pPr>
            <w:r w:rsidRPr="008139E6">
              <w:t>52</w:t>
            </w:r>
          </w:p>
        </w:tc>
        <w:tc>
          <w:tcPr>
            <w:tcW w:w="997" w:type="dxa"/>
            <w:shd w:val="clear" w:color="auto" w:fill="FFFFFF"/>
          </w:tcPr>
          <w:p w14:paraId="0881EDEE" w14:textId="77777777" w:rsidR="00F83D9C" w:rsidRPr="008139E6" w:rsidRDefault="00F83D9C" w:rsidP="0090138D">
            <w:pPr>
              <w:autoSpaceDE w:val="0"/>
              <w:autoSpaceDN w:val="0"/>
              <w:adjustRightInd w:val="0"/>
              <w:ind w:left="60" w:right="60"/>
              <w:jc w:val="center"/>
            </w:pPr>
            <w:r w:rsidRPr="008139E6">
              <w:t>2.44</w:t>
            </w:r>
          </w:p>
        </w:tc>
        <w:tc>
          <w:tcPr>
            <w:tcW w:w="731" w:type="dxa"/>
            <w:shd w:val="clear" w:color="auto" w:fill="FFFFFF"/>
          </w:tcPr>
          <w:p w14:paraId="7B916F24" w14:textId="77777777" w:rsidR="00F83D9C" w:rsidRPr="008139E6" w:rsidRDefault="00F83D9C" w:rsidP="0090138D">
            <w:pPr>
              <w:autoSpaceDE w:val="0"/>
              <w:autoSpaceDN w:val="0"/>
              <w:adjustRightInd w:val="0"/>
              <w:ind w:left="60" w:right="60"/>
              <w:jc w:val="center"/>
            </w:pPr>
            <w:r w:rsidRPr="008139E6">
              <w:t>.67</w:t>
            </w:r>
          </w:p>
        </w:tc>
        <w:tc>
          <w:tcPr>
            <w:tcW w:w="992" w:type="dxa"/>
            <w:shd w:val="clear" w:color="auto" w:fill="FFFFFF"/>
          </w:tcPr>
          <w:p w14:paraId="1561B450" w14:textId="77777777" w:rsidR="00F83D9C" w:rsidRPr="008139E6" w:rsidRDefault="00F83D9C" w:rsidP="0090138D">
            <w:pPr>
              <w:autoSpaceDE w:val="0"/>
              <w:autoSpaceDN w:val="0"/>
              <w:adjustRightInd w:val="0"/>
              <w:ind w:left="60" w:right="60"/>
              <w:jc w:val="center"/>
            </w:pPr>
            <w:r w:rsidRPr="008139E6">
              <w:t>2.38</w:t>
            </w:r>
          </w:p>
        </w:tc>
        <w:tc>
          <w:tcPr>
            <w:tcW w:w="709" w:type="dxa"/>
            <w:shd w:val="clear" w:color="auto" w:fill="FFFFFF"/>
          </w:tcPr>
          <w:p w14:paraId="604F1AD5" w14:textId="77777777" w:rsidR="00F83D9C" w:rsidRPr="008139E6" w:rsidRDefault="00F83D9C" w:rsidP="0090138D">
            <w:pPr>
              <w:autoSpaceDE w:val="0"/>
              <w:autoSpaceDN w:val="0"/>
              <w:adjustRightInd w:val="0"/>
              <w:ind w:left="60" w:right="60"/>
              <w:jc w:val="center"/>
            </w:pPr>
            <w:r w:rsidRPr="008139E6">
              <w:t>.69</w:t>
            </w:r>
          </w:p>
        </w:tc>
        <w:tc>
          <w:tcPr>
            <w:tcW w:w="992" w:type="dxa"/>
            <w:gridSpan w:val="2"/>
            <w:shd w:val="clear" w:color="auto" w:fill="FFFFFF"/>
          </w:tcPr>
          <w:p w14:paraId="55C538F1" w14:textId="77777777" w:rsidR="00F83D9C" w:rsidRPr="008139E6" w:rsidRDefault="00F83D9C" w:rsidP="0090138D">
            <w:pPr>
              <w:autoSpaceDE w:val="0"/>
              <w:autoSpaceDN w:val="0"/>
              <w:adjustRightInd w:val="0"/>
              <w:ind w:left="60" w:right="60"/>
              <w:jc w:val="center"/>
            </w:pPr>
            <w:r w:rsidRPr="008139E6">
              <w:t>.477</w:t>
            </w:r>
          </w:p>
        </w:tc>
        <w:tc>
          <w:tcPr>
            <w:tcW w:w="426" w:type="dxa"/>
            <w:shd w:val="clear" w:color="auto" w:fill="FFFFFF"/>
          </w:tcPr>
          <w:p w14:paraId="0A264E0B" w14:textId="77777777" w:rsidR="00F83D9C" w:rsidRPr="008139E6" w:rsidRDefault="00F83D9C" w:rsidP="0090138D">
            <w:pPr>
              <w:autoSpaceDE w:val="0"/>
              <w:autoSpaceDN w:val="0"/>
              <w:adjustRightInd w:val="0"/>
              <w:ind w:left="60" w:right="60"/>
              <w:jc w:val="center"/>
            </w:pPr>
            <w:r w:rsidRPr="008139E6">
              <w:t>51</w:t>
            </w:r>
          </w:p>
        </w:tc>
        <w:tc>
          <w:tcPr>
            <w:tcW w:w="1133" w:type="dxa"/>
            <w:shd w:val="clear" w:color="auto" w:fill="FFFFFF"/>
          </w:tcPr>
          <w:p w14:paraId="7A8CC353" w14:textId="77777777" w:rsidR="00F83D9C" w:rsidRPr="008139E6" w:rsidRDefault="00F83D9C" w:rsidP="0090138D">
            <w:pPr>
              <w:autoSpaceDE w:val="0"/>
              <w:autoSpaceDN w:val="0"/>
              <w:adjustRightInd w:val="0"/>
              <w:ind w:left="60" w:right="60"/>
              <w:jc w:val="center"/>
            </w:pPr>
            <w:r w:rsidRPr="008139E6">
              <w:t>.318</w:t>
            </w:r>
          </w:p>
        </w:tc>
      </w:tr>
      <w:tr w:rsidR="008139E6" w:rsidRPr="008139E6" w14:paraId="5FD074CB" w14:textId="77777777" w:rsidTr="00F83D9C">
        <w:trPr>
          <w:cantSplit/>
        </w:trPr>
        <w:tc>
          <w:tcPr>
            <w:tcW w:w="2410" w:type="dxa"/>
            <w:gridSpan w:val="2"/>
            <w:shd w:val="clear" w:color="auto" w:fill="FFFFFF"/>
            <w:vAlign w:val="center"/>
          </w:tcPr>
          <w:p w14:paraId="5B0144FA" w14:textId="77777777" w:rsidR="00F83D9C" w:rsidRPr="008139E6" w:rsidRDefault="00F83D9C" w:rsidP="0090138D">
            <w:pPr>
              <w:autoSpaceDE w:val="0"/>
              <w:autoSpaceDN w:val="0"/>
              <w:adjustRightInd w:val="0"/>
              <w:ind w:left="60" w:right="60"/>
            </w:pPr>
            <w:r w:rsidRPr="008139E6">
              <w:t>Situational Awareness</w:t>
            </w:r>
          </w:p>
        </w:tc>
        <w:tc>
          <w:tcPr>
            <w:tcW w:w="682" w:type="dxa"/>
            <w:shd w:val="clear" w:color="auto" w:fill="FFFFFF"/>
          </w:tcPr>
          <w:p w14:paraId="5AC01691" w14:textId="77777777" w:rsidR="00F83D9C" w:rsidRPr="008139E6" w:rsidRDefault="00F83D9C" w:rsidP="0090138D">
            <w:pPr>
              <w:autoSpaceDE w:val="0"/>
              <w:autoSpaceDN w:val="0"/>
              <w:adjustRightInd w:val="0"/>
              <w:ind w:left="60" w:right="60"/>
              <w:jc w:val="center"/>
            </w:pPr>
            <w:r w:rsidRPr="008139E6">
              <w:t>70</w:t>
            </w:r>
          </w:p>
        </w:tc>
        <w:tc>
          <w:tcPr>
            <w:tcW w:w="997" w:type="dxa"/>
            <w:shd w:val="clear" w:color="auto" w:fill="FFFFFF"/>
          </w:tcPr>
          <w:p w14:paraId="162E9A29" w14:textId="77777777" w:rsidR="00F83D9C" w:rsidRPr="008139E6" w:rsidRDefault="00F83D9C" w:rsidP="0090138D">
            <w:pPr>
              <w:autoSpaceDE w:val="0"/>
              <w:autoSpaceDN w:val="0"/>
              <w:adjustRightInd w:val="0"/>
              <w:ind w:left="60" w:right="60"/>
              <w:jc w:val="center"/>
            </w:pPr>
            <w:r w:rsidRPr="008139E6">
              <w:t>2.87</w:t>
            </w:r>
          </w:p>
        </w:tc>
        <w:tc>
          <w:tcPr>
            <w:tcW w:w="731" w:type="dxa"/>
            <w:shd w:val="clear" w:color="auto" w:fill="FFFFFF"/>
          </w:tcPr>
          <w:p w14:paraId="14DCD670" w14:textId="77777777" w:rsidR="00F83D9C" w:rsidRPr="008139E6" w:rsidRDefault="00F83D9C" w:rsidP="0090138D">
            <w:pPr>
              <w:autoSpaceDE w:val="0"/>
              <w:autoSpaceDN w:val="0"/>
              <w:adjustRightInd w:val="0"/>
              <w:ind w:left="60" w:right="60"/>
              <w:jc w:val="center"/>
            </w:pPr>
            <w:r w:rsidRPr="008139E6">
              <w:t>.48</w:t>
            </w:r>
          </w:p>
        </w:tc>
        <w:tc>
          <w:tcPr>
            <w:tcW w:w="992" w:type="dxa"/>
            <w:shd w:val="clear" w:color="auto" w:fill="FFFFFF"/>
          </w:tcPr>
          <w:p w14:paraId="771B3B5C" w14:textId="77777777" w:rsidR="00F83D9C" w:rsidRPr="008139E6" w:rsidRDefault="00F83D9C" w:rsidP="0090138D">
            <w:pPr>
              <w:autoSpaceDE w:val="0"/>
              <w:autoSpaceDN w:val="0"/>
              <w:adjustRightInd w:val="0"/>
              <w:ind w:left="60" w:right="60"/>
              <w:jc w:val="center"/>
            </w:pPr>
            <w:r w:rsidRPr="008139E6">
              <w:t>3.03</w:t>
            </w:r>
          </w:p>
        </w:tc>
        <w:tc>
          <w:tcPr>
            <w:tcW w:w="709" w:type="dxa"/>
            <w:shd w:val="clear" w:color="auto" w:fill="FFFFFF"/>
          </w:tcPr>
          <w:p w14:paraId="6AC12CDC" w14:textId="77777777" w:rsidR="00F83D9C" w:rsidRPr="008139E6" w:rsidRDefault="00F83D9C" w:rsidP="0090138D">
            <w:pPr>
              <w:autoSpaceDE w:val="0"/>
              <w:autoSpaceDN w:val="0"/>
              <w:adjustRightInd w:val="0"/>
              <w:ind w:left="60" w:right="60"/>
              <w:jc w:val="center"/>
            </w:pPr>
            <w:r w:rsidRPr="008139E6">
              <w:t>.34</w:t>
            </w:r>
          </w:p>
        </w:tc>
        <w:tc>
          <w:tcPr>
            <w:tcW w:w="992" w:type="dxa"/>
            <w:gridSpan w:val="2"/>
            <w:shd w:val="clear" w:color="auto" w:fill="FFFFFF"/>
          </w:tcPr>
          <w:p w14:paraId="0FE2D841" w14:textId="77777777" w:rsidR="00F83D9C" w:rsidRPr="008139E6" w:rsidRDefault="00F83D9C" w:rsidP="0090138D">
            <w:pPr>
              <w:autoSpaceDE w:val="0"/>
              <w:autoSpaceDN w:val="0"/>
              <w:adjustRightInd w:val="0"/>
              <w:ind w:left="60" w:right="60"/>
              <w:jc w:val="center"/>
            </w:pPr>
            <w:r w:rsidRPr="008139E6">
              <w:t>-2.488</w:t>
            </w:r>
          </w:p>
        </w:tc>
        <w:tc>
          <w:tcPr>
            <w:tcW w:w="426" w:type="dxa"/>
            <w:shd w:val="clear" w:color="auto" w:fill="FFFFFF"/>
          </w:tcPr>
          <w:p w14:paraId="0C8EF169" w14:textId="77777777" w:rsidR="00F83D9C" w:rsidRPr="008139E6" w:rsidRDefault="00F83D9C" w:rsidP="0090138D">
            <w:pPr>
              <w:autoSpaceDE w:val="0"/>
              <w:autoSpaceDN w:val="0"/>
              <w:adjustRightInd w:val="0"/>
              <w:ind w:left="60" w:right="60"/>
              <w:jc w:val="center"/>
            </w:pPr>
            <w:r w:rsidRPr="008139E6">
              <w:t>69</w:t>
            </w:r>
          </w:p>
        </w:tc>
        <w:tc>
          <w:tcPr>
            <w:tcW w:w="1133" w:type="dxa"/>
            <w:shd w:val="clear" w:color="auto" w:fill="FFFFFF"/>
          </w:tcPr>
          <w:p w14:paraId="62CFFAAC" w14:textId="77777777" w:rsidR="00F83D9C" w:rsidRPr="008139E6" w:rsidRDefault="00F83D9C" w:rsidP="0090138D">
            <w:pPr>
              <w:autoSpaceDE w:val="0"/>
              <w:autoSpaceDN w:val="0"/>
              <w:adjustRightInd w:val="0"/>
              <w:ind w:left="60" w:right="60"/>
              <w:jc w:val="center"/>
            </w:pPr>
            <w:r w:rsidRPr="008139E6">
              <w:t>.007*</w:t>
            </w:r>
          </w:p>
        </w:tc>
      </w:tr>
      <w:tr w:rsidR="008139E6" w:rsidRPr="008139E6" w14:paraId="498D7115" w14:textId="77777777" w:rsidTr="00F83D9C">
        <w:trPr>
          <w:cantSplit/>
        </w:trPr>
        <w:tc>
          <w:tcPr>
            <w:tcW w:w="2410" w:type="dxa"/>
            <w:gridSpan w:val="2"/>
            <w:shd w:val="clear" w:color="auto" w:fill="FFFFFF"/>
            <w:vAlign w:val="center"/>
          </w:tcPr>
          <w:p w14:paraId="5B1D878E" w14:textId="77777777" w:rsidR="00F83D9C" w:rsidRPr="008139E6" w:rsidRDefault="00F83D9C" w:rsidP="0090138D">
            <w:pPr>
              <w:autoSpaceDE w:val="0"/>
              <w:autoSpaceDN w:val="0"/>
              <w:adjustRightInd w:val="0"/>
              <w:ind w:left="60" w:right="60"/>
            </w:pPr>
            <w:r w:rsidRPr="008139E6">
              <w:t>Teamwork</w:t>
            </w:r>
          </w:p>
        </w:tc>
        <w:tc>
          <w:tcPr>
            <w:tcW w:w="682" w:type="dxa"/>
            <w:shd w:val="clear" w:color="auto" w:fill="FFFFFF"/>
          </w:tcPr>
          <w:p w14:paraId="16E63D70" w14:textId="77777777" w:rsidR="00F83D9C" w:rsidRPr="008139E6" w:rsidRDefault="00F83D9C" w:rsidP="0090138D">
            <w:pPr>
              <w:autoSpaceDE w:val="0"/>
              <w:autoSpaceDN w:val="0"/>
              <w:adjustRightInd w:val="0"/>
              <w:ind w:left="60" w:right="60"/>
              <w:jc w:val="center"/>
            </w:pPr>
            <w:r w:rsidRPr="008139E6">
              <w:t>68</w:t>
            </w:r>
          </w:p>
        </w:tc>
        <w:tc>
          <w:tcPr>
            <w:tcW w:w="997" w:type="dxa"/>
            <w:shd w:val="clear" w:color="auto" w:fill="FFFFFF"/>
          </w:tcPr>
          <w:p w14:paraId="19CFA5EA" w14:textId="77777777" w:rsidR="00F83D9C" w:rsidRPr="008139E6" w:rsidRDefault="00F83D9C" w:rsidP="0090138D">
            <w:pPr>
              <w:autoSpaceDE w:val="0"/>
              <w:autoSpaceDN w:val="0"/>
              <w:adjustRightInd w:val="0"/>
              <w:ind w:left="60" w:right="60"/>
              <w:jc w:val="center"/>
            </w:pPr>
            <w:r w:rsidRPr="008139E6">
              <w:t>2.91</w:t>
            </w:r>
          </w:p>
        </w:tc>
        <w:tc>
          <w:tcPr>
            <w:tcW w:w="731" w:type="dxa"/>
            <w:shd w:val="clear" w:color="auto" w:fill="FFFFFF"/>
          </w:tcPr>
          <w:p w14:paraId="4E1CCCA3" w14:textId="77777777" w:rsidR="00F83D9C" w:rsidRPr="008139E6" w:rsidRDefault="00F83D9C" w:rsidP="0090138D">
            <w:pPr>
              <w:autoSpaceDE w:val="0"/>
              <w:autoSpaceDN w:val="0"/>
              <w:adjustRightInd w:val="0"/>
              <w:ind w:left="60" w:right="60"/>
              <w:jc w:val="center"/>
            </w:pPr>
            <w:r w:rsidRPr="008139E6">
              <w:t>.33</w:t>
            </w:r>
          </w:p>
        </w:tc>
        <w:tc>
          <w:tcPr>
            <w:tcW w:w="992" w:type="dxa"/>
            <w:shd w:val="clear" w:color="auto" w:fill="FFFFFF"/>
          </w:tcPr>
          <w:p w14:paraId="41E35FC2" w14:textId="77777777" w:rsidR="00F83D9C" w:rsidRPr="008139E6" w:rsidRDefault="00F83D9C" w:rsidP="0090138D">
            <w:pPr>
              <w:autoSpaceDE w:val="0"/>
              <w:autoSpaceDN w:val="0"/>
              <w:adjustRightInd w:val="0"/>
              <w:ind w:left="60" w:right="60"/>
              <w:jc w:val="center"/>
            </w:pPr>
            <w:r w:rsidRPr="008139E6">
              <w:t>2.97</w:t>
            </w:r>
          </w:p>
        </w:tc>
        <w:tc>
          <w:tcPr>
            <w:tcW w:w="709" w:type="dxa"/>
            <w:shd w:val="clear" w:color="auto" w:fill="FFFFFF"/>
          </w:tcPr>
          <w:p w14:paraId="4ADD6773" w14:textId="77777777" w:rsidR="00F83D9C" w:rsidRPr="008139E6" w:rsidRDefault="00F83D9C" w:rsidP="0090138D">
            <w:pPr>
              <w:autoSpaceDE w:val="0"/>
              <w:autoSpaceDN w:val="0"/>
              <w:adjustRightInd w:val="0"/>
              <w:ind w:left="60" w:right="60"/>
              <w:jc w:val="center"/>
            </w:pPr>
            <w:r w:rsidRPr="008139E6">
              <w:t>.17</w:t>
            </w:r>
          </w:p>
        </w:tc>
        <w:tc>
          <w:tcPr>
            <w:tcW w:w="992" w:type="dxa"/>
            <w:gridSpan w:val="2"/>
            <w:shd w:val="clear" w:color="auto" w:fill="FFFFFF"/>
          </w:tcPr>
          <w:p w14:paraId="2AD675AE" w14:textId="77777777" w:rsidR="00F83D9C" w:rsidRPr="008139E6" w:rsidRDefault="00F83D9C" w:rsidP="0090138D">
            <w:pPr>
              <w:autoSpaceDE w:val="0"/>
              <w:autoSpaceDN w:val="0"/>
              <w:adjustRightInd w:val="0"/>
              <w:ind w:left="60" w:right="60"/>
              <w:jc w:val="center"/>
            </w:pPr>
            <w:r w:rsidRPr="008139E6">
              <w:t>-1.425</w:t>
            </w:r>
          </w:p>
        </w:tc>
        <w:tc>
          <w:tcPr>
            <w:tcW w:w="426" w:type="dxa"/>
            <w:shd w:val="clear" w:color="auto" w:fill="FFFFFF"/>
          </w:tcPr>
          <w:p w14:paraId="006D51F5" w14:textId="77777777" w:rsidR="00F83D9C" w:rsidRPr="008139E6" w:rsidRDefault="00F83D9C" w:rsidP="0090138D">
            <w:pPr>
              <w:autoSpaceDE w:val="0"/>
              <w:autoSpaceDN w:val="0"/>
              <w:adjustRightInd w:val="0"/>
              <w:ind w:left="60" w:right="60"/>
              <w:jc w:val="center"/>
            </w:pPr>
            <w:r w:rsidRPr="008139E6">
              <w:t>67</w:t>
            </w:r>
          </w:p>
        </w:tc>
        <w:tc>
          <w:tcPr>
            <w:tcW w:w="1133" w:type="dxa"/>
            <w:shd w:val="clear" w:color="auto" w:fill="FFFFFF"/>
          </w:tcPr>
          <w:p w14:paraId="7CEDCAE3" w14:textId="77777777" w:rsidR="00F83D9C" w:rsidRPr="008139E6" w:rsidRDefault="00F83D9C" w:rsidP="0090138D">
            <w:pPr>
              <w:autoSpaceDE w:val="0"/>
              <w:autoSpaceDN w:val="0"/>
              <w:adjustRightInd w:val="0"/>
              <w:ind w:left="60" w:right="60"/>
              <w:jc w:val="center"/>
            </w:pPr>
            <w:r w:rsidRPr="008139E6">
              <w:t>.079</w:t>
            </w:r>
          </w:p>
        </w:tc>
      </w:tr>
      <w:tr w:rsidR="008139E6" w:rsidRPr="008139E6" w14:paraId="409B5352" w14:textId="77777777" w:rsidTr="00F83D9C">
        <w:trPr>
          <w:cantSplit/>
        </w:trPr>
        <w:tc>
          <w:tcPr>
            <w:tcW w:w="2410" w:type="dxa"/>
            <w:gridSpan w:val="2"/>
            <w:shd w:val="clear" w:color="auto" w:fill="FFFFFF"/>
            <w:vAlign w:val="center"/>
          </w:tcPr>
          <w:p w14:paraId="5238195B" w14:textId="77777777" w:rsidR="00F83D9C" w:rsidRPr="008139E6" w:rsidRDefault="00F83D9C" w:rsidP="0090138D">
            <w:pPr>
              <w:autoSpaceDE w:val="0"/>
              <w:autoSpaceDN w:val="0"/>
              <w:adjustRightInd w:val="0"/>
              <w:ind w:left="60" w:right="60"/>
            </w:pPr>
            <w:r w:rsidRPr="008139E6">
              <w:t>Task Management</w:t>
            </w:r>
          </w:p>
        </w:tc>
        <w:tc>
          <w:tcPr>
            <w:tcW w:w="682" w:type="dxa"/>
            <w:shd w:val="clear" w:color="auto" w:fill="FFFFFF"/>
          </w:tcPr>
          <w:p w14:paraId="4D319305" w14:textId="77777777" w:rsidR="00F83D9C" w:rsidRPr="008139E6" w:rsidRDefault="00F83D9C" w:rsidP="0090138D">
            <w:pPr>
              <w:autoSpaceDE w:val="0"/>
              <w:autoSpaceDN w:val="0"/>
              <w:adjustRightInd w:val="0"/>
              <w:ind w:left="60" w:right="60"/>
              <w:jc w:val="center"/>
            </w:pPr>
            <w:r w:rsidRPr="008139E6">
              <w:t>68</w:t>
            </w:r>
          </w:p>
        </w:tc>
        <w:tc>
          <w:tcPr>
            <w:tcW w:w="997" w:type="dxa"/>
            <w:shd w:val="clear" w:color="auto" w:fill="FFFFFF"/>
          </w:tcPr>
          <w:p w14:paraId="01E2144A" w14:textId="77777777" w:rsidR="00F83D9C" w:rsidRPr="008139E6" w:rsidRDefault="00F83D9C" w:rsidP="0090138D">
            <w:pPr>
              <w:autoSpaceDE w:val="0"/>
              <w:autoSpaceDN w:val="0"/>
              <w:adjustRightInd w:val="0"/>
              <w:ind w:left="60" w:right="60"/>
              <w:jc w:val="center"/>
            </w:pPr>
            <w:r w:rsidRPr="008139E6">
              <w:t>2.91</w:t>
            </w:r>
          </w:p>
        </w:tc>
        <w:tc>
          <w:tcPr>
            <w:tcW w:w="731" w:type="dxa"/>
            <w:shd w:val="clear" w:color="auto" w:fill="FFFFFF"/>
          </w:tcPr>
          <w:p w14:paraId="59311CD2" w14:textId="77777777" w:rsidR="00F83D9C" w:rsidRPr="008139E6" w:rsidRDefault="00F83D9C" w:rsidP="0090138D">
            <w:pPr>
              <w:autoSpaceDE w:val="0"/>
              <w:autoSpaceDN w:val="0"/>
              <w:adjustRightInd w:val="0"/>
              <w:ind w:left="60" w:right="60"/>
              <w:jc w:val="center"/>
            </w:pPr>
            <w:r w:rsidRPr="008139E6">
              <w:t>.45</w:t>
            </w:r>
          </w:p>
        </w:tc>
        <w:tc>
          <w:tcPr>
            <w:tcW w:w="992" w:type="dxa"/>
            <w:shd w:val="clear" w:color="auto" w:fill="FFFFFF"/>
          </w:tcPr>
          <w:p w14:paraId="4C2B7823" w14:textId="77777777" w:rsidR="00F83D9C" w:rsidRPr="008139E6" w:rsidRDefault="00F83D9C" w:rsidP="0090138D">
            <w:pPr>
              <w:autoSpaceDE w:val="0"/>
              <w:autoSpaceDN w:val="0"/>
              <w:adjustRightInd w:val="0"/>
              <w:ind w:left="60" w:right="60"/>
              <w:jc w:val="center"/>
            </w:pPr>
            <w:r w:rsidRPr="008139E6">
              <w:t>3.01</w:t>
            </w:r>
          </w:p>
        </w:tc>
        <w:tc>
          <w:tcPr>
            <w:tcW w:w="709" w:type="dxa"/>
            <w:shd w:val="clear" w:color="auto" w:fill="FFFFFF"/>
          </w:tcPr>
          <w:p w14:paraId="3AACAB03" w14:textId="77777777" w:rsidR="00F83D9C" w:rsidRPr="008139E6" w:rsidRDefault="00F83D9C" w:rsidP="0090138D">
            <w:pPr>
              <w:autoSpaceDE w:val="0"/>
              <w:autoSpaceDN w:val="0"/>
              <w:adjustRightInd w:val="0"/>
              <w:ind w:left="60" w:right="60"/>
              <w:jc w:val="center"/>
            </w:pPr>
            <w:r w:rsidRPr="008139E6">
              <w:t>.21</w:t>
            </w:r>
          </w:p>
        </w:tc>
        <w:tc>
          <w:tcPr>
            <w:tcW w:w="992" w:type="dxa"/>
            <w:gridSpan w:val="2"/>
            <w:shd w:val="clear" w:color="auto" w:fill="FFFFFF"/>
          </w:tcPr>
          <w:p w14:paraId="0D2952D5" w14:textId="77777777" w:rsidR="00F83D9C" w:rsidRPr="008139E6" w:rsidRDefault="00F83D9C" w:rsidP="0090138D">
            <w:pPr>
              <w:autoSpaceDE w:val="0"/>
              <w:autoSpaceDN w:val="0"/>
              <w:adjustRightInd w:val="0"/>
              <w:ind w:left="60" w:right="60"/>
              <w:jc w:val="center"/>
            </w:pPr>
            <w:r w:rsidRPr="008139E6">
              <w:t>-1.722</w:t>
            </w:r>
          </w:p>
        </w:tc>
        <w:tc>
          <w:tcPr>
            <w:tcW w:w="426" w:type="dxa"/>
            <w:shd w:val="clear" w:color="auto" w:fill="FFFFFF"/>
          </w:tcPr>
          <w:p w14:paraId="055B6676" w14:textId="77777777" w:rsidR="00F83D9C" w:rsidRPr="008139E6" w:rsidRDefault="00F83D9C" w:rsidP="0090138D">
            <w:pPr>
              <w:autoSpaceDE w:val="0"/>
              <w:autoSpaceDN w:val="0"/>
              <w:adjustRightInd w:val="0"/>
              <w:ind w:left="60" w:right="60"/>
              <w:jc w:val="center"/>
            </w:pPr>
            <w:r w:rsidRPr="008139E6">
              <w:t>67</w:t>
            </w:r>
          </w:p>
        </w:tc>
        <w:tc>
          <w:tcPr>
            <w:tcW w:w="1133" w:type="dxa"/>
            <w:shd w:val="clear" w:color="auto" w:fill="FFFFFF"/>
          </w:tcPr>
          <w:p w14:paraId="1E766F5F" w14:textId="77777777" w:rsidR="00F83D9C" w:rsidRPr="008139E6" w:rsidRDefault="00F83D9C" w:rsidP="0090138D">
            <w:pPr>
              <w:autoSpaceDE w:val="0"/>
              <w:autoSpaceDN w:val="0"/>
              <w:adjustRightInd w:val="0"/>
              <w:ind w:left="60" w:right="60"/>
              <w:jc w:val="center"/>
            </w:pPr>
            <w:r w:rsidRPr="008139E6">
              <w:t>.045*</w:t>
            </w:r>
          </w:p>
        </w:tc>
      </w:tr>
      <w:tr w:rsidR="008139E6" w:rsidRPr="008139E6" w14:paraId="3FDC96D1" w14:textId="77777777" w:rsidTr="00F83D9C">
        <w:trPr>
          <w:cantSplit/>
        </w:trPr>
        <w:tc>
          <w:tcPr>
            <w:tcW w:w="2410" w:type="dxa"/>
            <w:gridSpan w:val="2"/>
            <w:shd w:val="clear" w:color="auto" w:fill="FFFFFF"/>
            <w:vAlign w:val="center"/>
          </w:tcPr>
          <w:p w14:paraId="21D85964" w14:textId="77777777" w:rsidR="00F83D9C" w:rsidRPr="008139E6" w:rsidRDefault="00F83D9C" w:rsidP="0090138D">
            <w:pPr>
              <w:autoSpaceDE w:val="0"/>
              <w:autoSpaceDN w:val="0"/>
              <w:adjustRightInd w:val="0"/>
              <w:ind w:left="60" w:right="60"/>
              <w:rPr>
                <w:i/>
              </w:rPr>
            </w:pPr>
            <w:r w:rsidRPr="008139E6">
              <w:rPr>
                <w:i/>
              </w:rPr>
              <w:t>Responsiveness to patient</w:t>
            </w:r>
            <w:r w:rsidRPr="008139E6">
              <w:rPr>
                <w:i/>
                <w:vertAlign w:val="superscript"/>
              </w:rPr>
              <w:t>2</w:t>
            </w:r>
          </w:p>
        </w:tc>
        <w:tc>
          <w:tcPr>
            <w:tcW w:w="682" w:type="dxa"/>
            <w:shd w:val="clear" w:color="auto" w:fill="FFFFFF"/>
          </w:tcPr>
          <w:p w14:paraId="03EA1AB0" w14:textId="77777777" w:rsidR="00F83D9C" w:rsidRPr="008139E6" w:rsidRDefault="00F83D9C" w:rsidP="0090138D">
            <w:pPr>
              <w:autoSpaceDE w:val="0"/>
              <w:autoSpaceDN w:val="0"/>
              <w:adjustRightInd w:val="0"/>
              <w:ind w:left="60" w:right="60"/>
              <w:jc w:val="center"/>
            </w:pPr>
            <w:r w:rsidRPr="008139E6">
              <w:t>51</w:t>
            </w:r>
          </w:p>
        </w:tc>
        <w:tc>
          <w:tcPr>
            <w:tcW w:w="997" w:type="dxa"/>
            <w:shd w:val="clear" w:color="auto" w:fill="FFFFFF"/>
          </w:tcPr>
          <w:p w14:paraId="470E7EBF" w14:textId="77777777" w:rsidR="00F83D9C" w:rsidRPr="008139E6" w:rsidRDefault="00F83D9C" w:rsidP="0090138D">
            <w:pPr>
              <w:autoSpaceDE w:val="0"/>
              <w:autoSpaceDN w:val="0"/>
              <w:adjustRightInd w:val="0"/>
              <w:ind w:left="60" w:right="60"/>
              <w:jc w:val="center"/>
            </w:pPr>
            <w:r w:rsidRPr="008139E6">
              <w:t>1.63</w:t>
            </w:r>
          </w:p>
        </w:tc>
        <w:tc>
          <w:tcPr>
            <w:tcW w:w="731" w:type="dxa"/>
            <w:shd w:val="clear" w:color="auto" w:fill="FFFFFF"/>
          </w:tcPr>
          <w:p w14:paraId="122130B1" w14:textId="77777777" w:rsidR="00F83D9C" w:rsidRPr="008139E6" w:rsidRDefault="00F83D9C" w:rsidP="0090138D">
            <w:pPr>
              <w:autoSpaceDE w:val="0"/>
              <w:autoSpaceDN w:val="0"/>
              <w:adjustRightInd w:val="0"/>
              <w:ind w:left="60" w:right="60"/>
              <w:jc w:val="center"/>
            </w:pPr>
            <w:r w:rsidRPr="008139E6">
              <w:t>.72</w:t>
            </w:r>
          </w:p>
        </w:tc>
        <w:tc>
          <w:tcPr>
            <w:tcW w:w="992" w:type="dxa"/>
            <w:shd w:val="clear" w:color="auto" w:fill="FFFFFF"/>
          </w:tcPr>
          <w:p w14:paraId="1E55BED5" w14:textId="77777777" w:rsidR="00F83D9C" w:rsidRPr="008139E6" w:rsidRDefault="00F83D9C" w:rsidP="0090138D">
            <w:pPr>
              <w:autoSpaceDE w:val="0"/>
              <w:autoSpaceDN w:val="0"/>
              <w:adjustRightInd w:val="0"/>
              <w:ind w:left="60" w:right="60"/>
              <w:jc w:val="center"/>
            </w:pPr>
            <w:r w:rsidRPr="008139E6">
              <w:t>1.57</w:t>
            </w:r>
          </w:p>
        </w:tc>
        <w:tc>
          <w:tcPr>
            <w:tcW w:w="709" w:type="dxa"/>
            <w:shd w:val="clear" w:color="auto" w:fill="FFFFFF"/>
          </w:tcPr>
          <w:p w14:paraId="5A86C49F" w14:textId="77777777" w:rsidR="00F83D9C" w:rsidRPr="008139E6" w:rsidRDefault="00F83D9C" w:rsidP="0090138D">
            <w:pPr>
              <w:autoSpaceDE w:val="0"/>
              <w:autoSpaceDN w:val="0"/>
              <w:adjustRightInd w:val="0"/>
              <w:ind w:left="60" w:right="60"/>
              <w:jc w:val="center"/>
            </w:pPr>
            <w:r w:rsidRPr="008139E6">
              <w:t>.81</w:t>
            </w:r>
          </w:p>
        </w:tc>
        <w:tc>
          <w:tcPr>
            <w:tcW w:w="992" w:type="dxa"/>
            <w:gridSpan w:val="2"/>
            <w:shd w:val="clear" w:color="auto" w:fill="FFFFFF"/>
          </w:tcPr>
          <w:p w14:paraId="7F320065" w14:textId="77777777" w:rsidR="00F83D9C" w:rsidRPr="008139E6" w:rsidRDefault="00F83D9C" w:rsidP="0090138D">
            <w:pPr>
              <w:autoSpaceDE w:val="0"/>
              <w:autoSpaceDN w:val="0"/>
              <w:adjustRightInd w:val="0"/>
              <w:ind w:left="60" w:right="60"/>
              <w:jc w:val="center"/>
            </w:pPr>
            <w:r w:rsidRPr="008139E6">
              <w:t>.490</w:t>
            </w:r>
          </w:p>
        </w:tc>
        <w:tc>
          <w:tcPr>
            <w:tcW w:w="426" w:type="dxa"/>
            <w:shd w:val="clear" w:color="auto" w:fill="FFFFFF"/>
          </w:tcPr>
          <w:p w14:paraId="3C460D77" w14:textId="77777777" w:rsidR="00F83D9C" w:rsidRPr="008139E6" w:rsidRDefault="00F83D9C" w:rsidP="0090138D">
            <w:pPr>
              <w:autoSpaceDE w:val="0"/>
              <w:autoSpaceDN w:val="0"/>
              <w:adjustRightInd w:val="0"/>
              <w:ind w:left="60" w:right="60"/>
              <w:jc w:val="center"/>
            </w:pPr>
            <w:r w:rsidRPr="008139E6">
              <w:t>50</w:t>
            </w:r>
          </w:p>
        </w:tc>
        <w:tc>
          <w:tcPr>
            <w:tcW w:w="1133" w:type="dxa"/>
            <w:shd w:val="clear" w:color="auto" w:fill="FFFFFF"/>
          </w:tcPr>
          <w:p w14:paraId="667F61EC" w14:textId="77777777" w:rsidR="00F83D9C" w:rsidRPr="008139E6" w:rsidRDefault="00F83D9C" w:rsidP="0090138D">
            <w:pPr>
              <w:autoSpaceDE w:val="0"/>
              <w:autoSpaceDN w:val="0"/>
              <w:adjustRightInd w:val="0"/>
              <w:ind w:left="60" w:right="60"/>
              <w:jc w:val="center"/>
            </w:pPr>
            <w:r w:rsidRPr="008139E6">
              <w:t>.313</w:t>
            </w:r>
          </w:p>
        </w:tc>
      </w:tr>
      <w:tr w:rsidR="008139E6" w:rsidRPr="008139E6" w14:paraId="12C0280A" w14:textId="77777777" w:rsidTr="00F83D9C">
        <w:trPr>
          <w:cantSplit/>
        </w:trPr>
        <w:tc>
          <w:tcPr>
            <w:tcW w:w="2410" w:type="dxa"/>
            <w:gridSpan w:val="2"/>
            <w:tcBorders>
              <w:bottom w:val="single" w:sz="4" w:space="0" w:color="auto"/>
            </w:tcBorders>
            <w:shd w:val="clear" w:color="auto" w:fill="FFFFFF"/>
            <w:vAlign w:val="center"/>
          </w:tcPr>
          <w:p w14:paraId="0C92A1FA" w14:textId="77777777" w:rsidR="00F83D9C" w:rsidRPr="008139E6" w:rsidRDefault="00F83D9C" w:rsidP="0090138D">
            <w:pPr>
              <w:autoSpaceDE w:val="0"/>
              <w:autoSpaceDN w:val="0"/>
              <w:adjustRightInd w:val="0"/>
              <w:ind w:left="60" w:right="60"/>
            </w:pPr>
            <w:r w:rsidRPr="008139E6">
              <w:t xml:space="preserve">Total Mean score </w:t>
            </w:r>
          </w:p>
        </w:tc>
        <w:tc>
          <w:tcPr>
            <w:tcW w:w="682" w:type="dxa"/>
            <w:tcBorders>
              <w:bottom w:val="single" w:sz="4" w:space="0" w:color="auto"/>
            </w:tcBorders>
            <w:shd w:val="clear" w:color="auto" w:fill="FFFFFF"/>
          </w:tcPr>
          <w:p w14:paraId="705CA352" w14:textId="77777777" w:rsidR="00F83D9C" w:rsidRPr="008139E6" w:rsidRDefault="00F83D9C" w:rsidP="0090138D">
            <w:pPr>
              <w:autoSpaceDE w:val="0"/>
              <w:autoSpaceDN w:val="0"/>
              <w:adjustRightInd w:val="0"/>
              <w:ind w:left="60" w:right="60"/>
              <w:jc w:val="center"/>
            </w:pPr>
            <w:r w:rsidRPr="008139E6">
              <w:t>49</w:t>
            </w:r>
          </w:p>
        </w:tc>
        <w:tc>
          <w:tcPr>
            <w:tcW w:w="997" w:type="dxa"/>
            <w:tcBorders>
              <w:bottom w:val="single" w:sz="4" w:space="0" w:color="auto"/>
            </w:tcBorders>
            <w:shd w:val="clear" w:color="auto" w:fill="FFFFFF"/>
          </w:tcPr>
          <w:p w14:paraId="2CF28723" w14:textId="77777777" w:rsidR="00F83D9C" w:rsidRPr="008139E6" w:rsidRDefault="00F83D9C" w:rsidP="0090138D">
            <w:pPr>
              <w:autoSpaceDE w:val="0"/>
              <w:autoSpaceDN w:val="0"/>
              <w:adjustRightInd w:val="0"/>
              <w:ind w:left="60" w:right="60"/>
              <w:jc w:val="center"/>
            </w:pPr>
            <w:r w:rsidRPr="008139E6">
              <w:t>18.49</w:t>
            </w:r>
          </w:p>
        </w:tc>
        <w:tc>
          <w:tcPr>
            <w:tcW w:w="731" w:type="dxa"/>
            <w:tcBorders>
              <w:bottom w:val="single" w:sz="4" w:space="0" w:color="auto"/>
            </w:tcBorders>
            <w:shd w:val="clear" w:color="auto" w:fill="FFFFFF"/>
          </w:tcPr>
          <w:p w14:paraId="6F37176A" w14:textId="77777777" w:rsidR="00F83D9C" w:rsidRPr="008139E6" w:rsidRDefault="00F83D9C" w:rsidP="0090138D">
            <w:pPr>
              <w:autoSpaceDE w:val="0"/>
              <w:autoSpaceDN w:val="0"/>
              <w:adjustRightInd w:val="0"/>
              <w:ind w:left="60" w:right="60"/>
              <w:jc w:val="center"/>
            </w:pPr>
            <w:r w:rsidRPr="008139E6">
              <w:t>2.06</w:t>
            </w:r>
          </w:p>
        </w:tc>
        <w:tc>
          <w:tcPr>
            <w:tcW w:w="992" w:type="dxa"/>
            <w:tcBorders>
              <w:bottom w:val="single" w:sz="4" w:space="0" w:color="auto"/>
            </w:tcBorders>
            <w:shd w:val="clear" w:color="auto" w:fill="FFFFFF"/>
          </w:tcPr>
          <w:p w14:paraId="2F8A2536" w14:textId="77777777" w:rsidR="00F83D9C" w:rsidRPr="008139E6" w:rsidRDefault="00F83D9C" w:rsidP="0090138D">
            <w:pPr>
              <w:autoSpaceDE w:val="0"/>
              <w:autoSpaceDN w:val="0"/>
              <w:adjustRightInd w:val="0"/>
              <w:ind w:left="60" w:right="60"/>
              <w:jc w:val="center"/>
            </w:pPr>
            <w:r w:rsidRPr="008139E6">
              <w:t>19.12</w:t>
            </w:r>
          </w:p>
        </w:tc>
        <w:tc>
          <w:tcPr>
            <w:tcW w:w="709" w:type="dxa"/>
            <w:tcBorders>
              <w:bottom w:val="single" w:sz="4" w:space="0" w:color="auto"/>
            </w:tcBorders>
            <w:shd w:val="clear" w:color="auto" w:fill="FFFFFF"/>
          </w:tcPr>
          <w:p w14:paraId="61C24B14" w14:textId="77777777" w:rsidR="00F83D9C" w:rsidRPr="008139E6" w:rsidRDefault="00F83D9C" w:rsidP="0090138D">
            <w:pPr>
              <w:autoSpaceDE w:val="0"/>
              <w:autoSpaceDN w:val="0"/>
              <w:adjustRightInd w:val="0"/>
              <w:ind w:left="60" w:right="60"/>
              <w:jc w:val="center"/>
            </w:pPr>
            <w:r w:rsidRPr="008139E6">
              <w:t>1.79</w:t>
            </w:r>
          </w:p>
        </w:tc>
        <w:tc>
          <w:tcPr>
            <w:tcW w:w="992" w:type="dxa"/>
            <w:gridSpan w:val="2"/>
            <w:tcBorders>
              <w:bottom w:val="single" w:sz="4" w:space="0" w:color="auto"/>
            </w:tcBorders>
            <w:shd w:val="clear" w:color="auto" w:fill="FFFFFF"/>
          </w:tcPr>
          <w:p w14:paraId="75C71C86" w14:textId="77777777" w:rsidR="00F83D9C" w:rsidRPr="008139E6" w:rsidRDefault="00F83D9C" w:rsidP="0090138D">
            <w:pPr>
              <w:autoSpaceDE w:val="0"/>
              <w:autoSpaceDN w:val="0"/>
              <w:adjustRightInd w:val="0"/>
              <w:ind w:left="60" w:right="60"/>
              <w:jc w:val="center"/>
            </w:pPr>
            <w:r w:rsidRPr="008139E6">
              <w:t>-1.951</w:t>
            </w:r>
          </w:p>
        </w:tc>
        <w:tc>
          <w:tcPr>
            <w:tcW w:w="426" w:type="dxa"/>
            <w:tcBorders>
              <w:bottom w:val="single" w:sz="4" w:space="0" w:color="auto"/>
            </w:tcBorders>
            <w:shd w:val="clear" w:color="auto" w:fill="FFFFFF"/>
          </w:tcPr>
          <w:p w14:paraId="729E2DD9" w14:textId="77777777" w:rsidR="00F83D9C" w:rsidRPr="008139E6" w:rsidRDefault="00F83D9C" w:rsidP="0090138D">
            <w:pPr>
              <w:autoSpaceDE w:val="0"/>
              <w:autoSpaceDN w:val="0"/>
              <w:adjustRightInd w:val="0"/>
              <w:ind w:left="60" w:right="60"/>
              <w:jc w:val="center"/>
            </w:pPr>
            <w:r w:rsidRPr="008139E6">
              <w:t>48</w:t>
            </w:r>
          </w:p>
        </w:tc>
        <w:tc>
          <w:tcPr>
            <w:tcW w:w="1133" w:type="dxa"/>
            <w:tcBorders>
              <w:bottom w:val="single" w:sz="4" w:space="0" w:color="auto"/>
            </w:tcBorders>
            <w:shd w:val="clear" w:color="auto" w:fill="FFFFFF"/>
          </w:tcPr>
          <w:p w14:paraId="3951D0B3" w14:textId="77777777" w:rsidR="00F83D9C" w:rsidRPr="008139E6" w:rsidRDefault="00F83D9C" w:rsidP="0090138D">
            <w:pPr>
              <w:autoSpaceDE w:val="0"/>
              <w:autoSpaceDN w:val="0"/>
              <w:adjustRightInd w:val="0"/>
              <w:ind w:left="60" w:right="60"/>
              <w:jc w:val="center"/>
            </w:pPr>
            <w:r w:rsidRPr="008139E6">
              <w:t>.0285*</w:t>
            </w:r>
          </w:p>
        </w:tc>
      </w:tr>
    </w:tbl>
    <w:p w14:paraId="11B15F6E" w14:textId="77777777" w:rsidR="0037713C" w:rsidRPr="008139E6" w:rsidRDefault="0037713C" w:rsidP="0090138D">
      <w:pPr>
        <w:autoSpaceDE w:val="0"/>
        <w:autoSpaceDN w:val="0"/>
        <w:adjustRightInd w:val="0"/>
        <w:jc w:val="both"/>
        <w:rPr>
          <w:sz w:val="18"/>
          <w:szCs w:val="18"/>
        </w:rPr>
      </w:pPr>
    </w:p>
    <w:p w14:paraId="70CCC645" w14:textId="62A66E19" w:rsidR="00F83D9C" w:rsidRPr="008139E6" w:rsidRDefault="00F83D9C" w:rsidP="0090138D">
      <w:pPr>
        <w:autoSpaceDE w:val="0"/>
        <w:autoSpaceDN w:val="0"/>
        <w:adjustRightInd w:val="0"/>
        <w:jc w:val="both"/>
        <w:rPr>
          <w:sz w:val="18"/>
          <w:szCs w:val="18"/>
        </w:rPr>
      </w:pPr>
      <w:r w:rsidRPr="008139E6">
        <w:rPr>
          <w:sz w:val="18"/>
          <w:szCs w:val="18"/>
        </w:rPr>
        <w:t>1</w:t>
      </w:r>
      <w:r w:rsidR="0037713C" w:rsidRPr="008139E6">
        <w:rPr>
          <w:sz w:val="18"/>
          <w:szCs w:val="18"/>
        </w:rPr>
        <w:t xml:space="preserve">. </w:t>
      </w:r>
      <w:r w:rsidRPr="008139E6">
        <w:rPr>
          <w:sz w:val="18"/>
          <w:szCs w:val="18"/>
        </w:rPr>
        <w:t xml:space="preserve"> This category was developed from the ‘Leadership’ category described by </w:t>
      </w:r>
      <w:proofErr w:type="spellStart"/>
      <w:r w:rsidRPr="008139E6">
        <w:rPr>
          <w:sz w:val="18"/>
          <w:szCs w:val="18"/>
        </w:rPr>
        <w:t>Flin</w:t>
      </w:r>
      <w:proofErr w:type="spellEnd"/>
      <w:r w:rsidRPr="008139E6">
        <w:rPr>
          <w:sz w:val="18"/>
          <w:szCs w:val="18"/>
        </w:rPr>
        <w:t xml:space="preserve"> et al</w:t>
      </w:r>
      <w:r w:rsidR="0032180C" w:rsidRPr="008139E6">
        <w:rPr>
          <w:sz w:val="18"/>
          <w:szCs w:val="18"/>
        </w:rPr>
        <w:t xml:space="preserve"> (2008)</w:t>
      </w:r>
      <w:r w:rsidRPr="008139E6">
        <w:rPr>
          <w:sz w:val="18"/>
          <w:szCs w:val="18"/>
        </w:rPr>
        <w:t xml:space="preserve"> and was used to reflect the reality that students would not be in a leadership position at their stage of training.</w:t>
      </w:r>
    </w:p>
    <w:p w14:paraId="7ADF3F92" w14:textId="76E68B68" w:rsidR="00F83D9C" w:rsidRPr="008139E6" w:rsidRDefault="00F83D9C" w:rsidP="0090138D">
      <w:pPr>
        <w:autoSpaceDE w:val="0"/>
        <w:autoSpaceDN w:val="0"/>
        <w:adjustRightInd w:val="0"/>
        <w:jc w:val="both"/>
        <w:rPr>
          <w:sz w:val="18"/>
          <w:szCs w:val="18"/>
        </w:rPr>
      </w:pPr>
      <w:r w:rsidRPr="008139E6">
        <w:rPr>
          <w:sz w:val="18"/>
          <w:szCs w:val="18"/>
        </w:rPr>
        <w:t>2</w:t>
      </w:r>
      <w:r w:rsidR="0037713C" w:rsidRPr="008139E6">
        <w:rPr>
          <w:sz w:val="18"/>
          <w:szCs w:val="18"/>
        </w:rPr>
        <w:t xml:space="preserve">. </w:t>
      </w:r>
      <w:r w:rsidRPr="008139E6">
        <w:rPr>
          <w:sz w:val="18"/>
          <w:szCs w:val="18"/>
        </w:rPr>
        <w:t xml:space="preserve"> This category was a new category added by the researchers</w:t>
      </w:r>
      <w:r w:rsidR="0037713C" w:rsidRPr="008139E6">
        <w:rPr>
          <w:sz w:val="18"/>
          <w:szCs w:val="18"/>
        </w:rPr>
        <w:t>.</w:t>
      </w:r>
    </w:p>
    <w:bookmarkEnd w:id="0"/>
    <w:p w14:paraId="41A5ADFB" w14:textId="77777777" w:rsidR="005B04AC" w:rsidRPr="008139E6" w:rsidRDefault="005B04AC" w:rsidP="0090138D">
      <w:pPr>
        <w:autoSpaceDE w:val="0"/>
        <w:autoSpaceDN w:val="0"/>
        <w:adjustRightInd w:val="0"/>
      </w:pPr>
    </w:p>
    <w:sectPr w:rsidR="005B04AC" w:rsidRPr="008139E6" w:rsidSect="0090138D">
      <w:type w:val="nextColumn"/>
      <w:pgSz w:w="11906" w:h="16838" w:code="9"/>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675CB" w14:textId="77777777" w:rsidR="0030243E" w:rsidRDefault="0030243E">
      <w:r>
        <w:separator/>
      </w:r>
    </w:p>
  </w:endnote>
  <w:endnote w:type="continuationSeparator" w:id="0">
    <w:p w14:paraId="66E07437" w14:textId="77777777" w:rsidR="0030243E" w:rsidRDefault="0030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4D14" w14:textId="77777777" w:rsidR="00B12DE5" w:rsidRDefault="00B12DE5" w:rsidP="00BD0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8D2EE" w14:textId="77777777" w:rsidR="00B12DE5" w:rsidRDefault="00B12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FFDF" w14:textId="77777777" w:rsidR="00B12DE5" w:rsidRDefault="00B12DE5" w:rsidP="00BD0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9E6">
      <w:rPr>
        <w:rStyle w:val="PageNumber"/>
        <w:noProof/>
      </w:rPr>
      <w:t>16</w:t>
    </w:r>
    <w:r>
      <w:rPr>
        <w:rStyle w:val="PageNumber"/>
      </w:rPr>
      <w:fldChar w:fldCharType="end"/>
    </w:r>
  </w:p>
  <w:p w14:paraId="5586E05C" w14:textId="77777777" w:rsidR="00B12DE5" w:rsidRDefault="00B12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512BA" w14:textId="77777777" w:rsidR="0030243E" w:rsidRDefault="0030243E">
      <w:r>
        <w:separator/>
      </w:r>
    </w:p>
  </w:footnote>
  <w:footnote w:type="continuationSeparator" w:id="0">
    <w:p w14:paraId="6227CCE8" w14:textId="77777777" w:rsidR="0030243E" w:rsidRDefault="00302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833F" w14:textId="1BC62E84" w:rsidR="00B12DE5" w:rsidRDefault="00B12DE5">
    <w:pPr>
      <w:pStyle w:val="Header"/>
    </w:pPr>
    <w:r w:rsidRPr="0021215D">
      <w:t>W</w:t>
    </w:r>
    <w:r w:rsidR="003D7D7D">
      <w:t>ard Round Skills of medical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AE2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50416"/>
    <w:multiLevelType w:val="hybridMultilevel"/>
    <w:tmpl w:val="BF24448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01CA40EC"/>
    <w:multiLevelType w:val="hybridMultilevel"/>
    <w:tmpl w:val="E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749AE"/>
    <w:multiLevelType w:val="hybridMultilevel"/>
    <w:tmpl w:val="DC06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E4938"/>
    <w:multiLevelType w:val="hybridMultilevel"/>
    <w:tmpl w:val="93362A4A"/>
    <w:lvl w:ilvl="0" w:tplc="2340A328">
      <w:start w:val="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314D3F"/>
    <w:multiLevelType w:val="hybridMultilevel"/>
    <w:tmpl w:val="5158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165DB"/>
    <w:multiLevelType w:val="hybridMultilevel"/>
    <w:tmpl w:val="AAC84DC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F1B50"/>
    <w:multiLevelType w:val="hybridMultilevel"/>
    <w:tmpl w:val="2E606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E0C1B"/>
    <w:multiLevelType w:val="hybridMultilevel"/>
    <w:tmpl w:val="2D3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56204"/>
    <w:multiLevelType w:val="hybridMultilevel"/>
    <w:tmpl w:val="A810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E2BFE"/>
    <w:multiLevelType w:val="hybridMultilevel"/>
    <w:tmpl w:val="C090D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C15FB"/>
    <w:multiLevelType w:val="hybridMultilevel"/>
    <w:tmpl w:val="D20CAF3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366262"/>
    <w:multiLevelType w:val="hybridMultilevel"/>
    <w:tmpl w:val="47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F4705"/>
    <w:multiLevelType w:val="hybridMultilevel"/>
    <w:tmpl w:val="62A81E9C"/>
    <w:lvl w:ilvl="0" w:tplc="08CE05CA">
      <w:start w:val="1"/>
      <w:numFmt w:val="decimal"/>
      <w:lvlText w:val="%1."/>
      <w:lvlJc w:val="left"/>
      <w:pPr>
        <w:ind w:left="1080" w:hanging="360"/>
      </w:pPr>
      <w:rPr>
        <w:rFonts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EE5D82"/>
    <w:multiLevelType w:val="hybridMultilevel"/>
    <w:tmpl w:val="41B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B7475"/>
    <w:multiLevelType w:val="hybridMultilevel"/>
    <w:tmpl w:val="E142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05452"/>
    <w:multiLevelType w:val="hybridMultilevel"/>
    <w:tmpl w:val="182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94F54"/>
    <w:multiLevelType w:val="hybridMultilevel"/>
    <w:tmpl w:val="32A43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B6373"/>
    <w:multiLevelType w:val="hybridMultilevel"/>
    <w:tmpl w:val="1DFA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41023"/>
    <w:multiLevelType w:val="hybridMultilevel"/>
    <w:tmpl w:val="6BC26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B5B8E"/>
    <w:multiLevelType w:val="hybridMultilevel"/>
    <w:tmpl w:val="5C7C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0"/>
  </w:num>
  <w:num w:numId="4">
    <w:abstractNumId w:val="14"/>
  </w:num>
  <w:num w:numId="5">
    <w:abstractNumId w:val="11"/>
  </w:num>
  <w:num w:numId="6">
    <w:abstractNumId w:val="8"/>
  </w:num>
  <w:num w:numId="7">
    <w:abstractNumId w:val="12"/>
  </w:num>
  <w:num w:numId="8">
    <w:abstractNumId w:val="15"/>
  </w:num>
  <w:num w:numId="9">
    <w:abstractNumId w:val="7"/>
  </w:num>
  <w:num w:numId="10">
    <w:abstractNumId w:val="4"/>
  </w:num>
  <w:num w:numId="11">
    <w:abstractNumId w:val="17"/>
  </w:num>
  <w:num w:numId="12">
    <w:abstractNumId w:val="19"/>
  </w:num>
  <w:num w:numId="13">
    <w:abstractNumId w:val="18"/>
  </w:num>
  <w:num w:numId="14">
    <w:abstractNumId w:val="1"/>
  </w:num>
  <w:num w:numId="15">
    <w:abstractNumId w:val="16"/>
  </w:num>
  <w:num w:numId="16">
    <w:abstractNumId w:val="6"/>
  </w:num>
  <w:num w:numId="17">
    <w:abstractNumId w:val="3"/>
  </w:num>
  <w:num w:numId="18">
    <w:abstractNumId w:val="9"/>
  </w:num>
  <w:num w:numId="19">
    <w:abstractNumId w:val="13"/>
  </w:num>
  <w:num w:numId="20">
    <w:abstractNumId w:val="10"/>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F6"/>
    <w:rsid w:val="00005CE0"/>
    <w:rsid w:val="00005CE6"/>
    <w:rsid w:val="00037A5B"/>
    <w:rsid w:val="00041772"/>
    <w:rsid w:val="00047777"/>
    <w:rsid w:val="0005162E"/>
    <w:rsid w:val="00055FBA"/>
    <w:rsid w:val="00056CFE"/>
    <w:rsid w:val="00073A1F"/>
    <w:rsid w:val="00073AFD"/>
    <w:rsid w:val="00074597"/>
    <w:rsid w:val="00075299"/>
    <w:rsid w:val="000822D6"/>
    <w:rsid w:val="00086304"/>
    <w:rsid w:val="00087301"/>
    <w:rsid w:val="0009271C"/>
    <w:rsid w:val="00096DBA"/>
    <w:rsid w:val="000A1FDE"/>
    <w:rsid w:val="000A387E"/>
    <w:rsid w:val="000A3F20"/>
    <w:rsid w:val="000E099D"/>
    <w:rsid w:val="000E1F49"/>
    <w:rsid w:val="000E2536"/>
    <w:rsid w:val="000E2916"/>
    <w:rsid w:val="000E4F38"/>
    <w:rsid w:val="000F2AD0"/>
    <w:rsid w:val="000F2E40"/>
    <w:rsid w:val="001061B0"/>
    <w:rsid w:val="00106B26"/>
    <w:rsid w:val="0010793C"/>
    <w:rsid w:val="00110175"/>
    <w:rsid w:val="00110841"/>
    <w:rsid w:val="00110A36"/>
    <w:rsid w:val="00114D57"/>
    <w:rsid w:val="00116A70"/>
    <w:rsid w:val="00117AE1"/>
    <w:rsid w:val="001227D4"/>
    <w:rsid w:val="00123814"/>
    <w:rsid w:val="001253E4"/>
    <w:rsid w:val="001258F0"/>
    <w:rsid w:val="00136F0D"/>
    <w:rsid w:val="00150E21"/>
    <w:rsid w:val="001611D4"/>
    <w:rsid w:val="001665BE"/>
    <w:rsid w:val="00171597"/>
    <w:rsid w:val="00174307"/>
    <w:rsid w:val="001814B5"/>
    <w:rsid w:val="00182CE2"/>
    <w:rsid w:val="0018556B"/>
    <w:rsid w:val="00190F50"/>
    <w:rsid w:val="00191417"/>
    <w:rsid w:val="00191596"/>
    <w:rsid w:val="001929E6"/>
    <w:rsid w:val="00194142"/>
    <w:rsid w:val="00196550"/>
    <w:rsid w:val="001A5A36"/>
    <w:rsid w:val="001A5B2D"/>
    <w:rsid w:val="001B7C20"/>
    <w:rsid w:val="001D22DF"/>
    <w:rsid w:val="001D3AB1"/>
    <w:rsid w:val="001D70DE"/>
    <w:rsid w:val="001E24F6"/>
    <w:rsid w:val="001E62E4"/>
    <w:rsid w:val="001E6A78"/>
    <w:rsid w:val="001E6B2E"/>
    <w:rsid w:val="001F7E04"/>
    <w:rsid w:val="00206D15"/>
    <w:rsid w:val="0021213F"/>
    <w:rsid w:val="0021215D"/>
    <w:rsid w:val="00212714"/>
    <w:rsid w:val="00212DA5"/>
    <w:rsid w:val="002156B3"/>
    <w:rsid w:val="0021721B"/>
    <w:rsid w:val="0022049C"/>
    <w:rsid w:val="002212F9"/>
    <w:rsid w:val="00227D41"/>
    <w:rsid w:val="0023313D"/>
    <w:rsid w:val="00233A7A"/>
    <w:rsid w:val="00242C37"/>
    <w:rsid w:val="00247C31"/>
    <w:rsid w:val="00250ED7"/>
    <w:rsid w:val="0025140C"/>
    <w:rsid w:val="002541B8"/>
    <w:rsid w:val="00254D1C"/>
    <w:rsid w:val="00264DD3"/>
    <w:rsid w:val="002770D1"/>
    <w:rsid w:val="00277B12"/>
    <w:rsid w:val="00280B03"/>
    <w:rsid w:val="00291355"/>
    <w:rsid w:val="00291E0A"/>
    <w:rsid w:val="00292FF4"/>
    <w:rsid w:val="00293AB4"/>
    <w:rsid w:val="002A1C64"/>
    <w:rsid w:val="002A27AB"/>
    <w:rsid w:val="002A2DAB"/>
    <w:rsid w:val="002A7165"/>
    <w:rsid w:val="002D51B8"/>
    <w:rsid w:val="002E3C1B"/>
    <w:rsid w:val="002E62E6"/>
    <w:rsid w:val="002E6529"/>
    <w:rsid w:val="002E751F"/>
    <w:rsid w:val="002F50C0"/>
    <w:rsid w:val="003012F8"/>
    <w:rsid w:val="00301FD8"/>
    <w:rsid w:val="0030243E"/>
    <w:rsid w:val="00302638"/>
    <w:rsid w:val="00302C95"/>
    <w:rsid w:val="00313DF7"/>
    <w:rsid w:val="00316E94"/>
    <w:rsid w:val="0032180C"/>
    <w:rsid w:val="003242A0"/>
    <w:rsid w:val="00325457"/>
    <w:rsid w:val="00331207"/>
    <w:rsid w:val="00335EA4"/>
    <w:rsid w:val="00344812"/>
    <w:rsid w:val="00347F64"/>
    <w:rsid w:val="00350E38"/>
    <w:rsid w:val="00353BDA"/>
    <w:rsid w:val="0035752A"/>
    <w:rsid w:val="00357DC5"/>
    <w:rsid w:val="0037713C"/>
    <w:rsid w:val="00380E28"/>
    <w:rsid w:val="0038152C"/>
    <w:rsid w:val="00381A19"/>
    <w:rsid w:val="00384C4D"/>
    <w:rsid w:val="00385A57"/>
    <w:rsid w:val="00387EC7"/>
    <w:rsid w:val="00390280"/>
    <w:rsid w:val="003919AA"/>
    <w:rsid w:val="00394C7A"/>
    <w:rsid w:val="003A36F7"/>
    <w:rsid w:val="003A6DF5"/>
    <w:rsid w:val="003B1935"/>
    <w:rsid w:val="003B544B"/>
    <w:rsid w:val="003B702F"/>
    <w:rsid w:val="003C42EC"/>
    <w:rsid w:val="003C5A6A"/>
    <w:rsid w:val="003C7980"/>
    <w:rsid w:val="003D6FB8"/>
    <w:rsid w:val="003D79D0"/>
    <w:rsid w:val="003D7D7D"/>
    <w:rsid w:val="003E5B45"/>
    <w:rsid w:val="003E611D"/>
    <w:rsid w:val="003E7C45"/>
    <w:rsid w:val="0040020A"/>
    <w:rsid w:val="00403222"/>
    <w:rsid w:val="004119DE"/>
    <w:rsid w:val="00414D0C"/>
    <w:rsid w:val="00415790"/>
    <w:rsid w:val="00442178"/>
    <w:rsid w:val="00442CC4"/>
    <w:rsid w:val="00447670"/>
    <w:rsid w:val="00451CFC"/>
    <w:rsid w:val="00455354"/>
    <w:rsid w:val="004626A7"/>
    <w:rsid w:val="00467302"/>
    <w:rsid w:val="00471DA9"/>
    <w:rsid w:val="00474DD8"/>
    <w:rsid w:val="004759BA"/>
    <w:rsid w:val="00477409"/>
    <w:rsid w:val="00482273"/>
    <w:rsid w:val="004823A0"/>
    <w:rsid w:val="00482A17"/>
    <w:rsid w:val="004878FD"/>
    <w:rsid w:val="004901D8"/>
    <w:rsid w:val="00496147"/>
    <w:rsid w:val="00496DA7"/>
    <w:rsid w:val="004A27EA"/>
    <w:rsid w:val="004B1658"/>
    <w:rsid w:val="004B3EB9"/>
    <w:rsid w:val="004C6365"/>
    <w:rsid w:val="004C772B"/>
    <w:rsid w:val="004D367F"/>
    <w:rsid w:val="004D5B72"/>
    <w:rsid w:val="004F1797"/>
    <w:rsid w:val="004F264C"/>
    <w:rsid w:val="00510DD0"/>
    <w:rsid w:val="00517B44"/>
    <w:rsid w:val="00520636"/>
    <w:rsid w:val="00525488"/>
    <w:rsid w:val="0052739D"/>
    <w:rsid w:val="0053153A"/>
    <w:rsid w:val="00533795"/>
    <w:rsid w:val="00543239"/>
    <w:rsid w:val="0054335C"/>
    <w:rsid w:val="00545A7D"/>
    <w:rsid w:val="0055409D"/>
    <w:rsid w:val="00565435"/>
    <w:rsid w:val="005703E9"/>
    <w:rsid w:val="005713CC"/>
    <w:rsid w:val="005762FF"/>
    <w:rsid w:val="00576DAD"/>
    <w:rsid w:val="0057754F"/>
    <w:rsid w:val="00585621"/>
    <w:rsid w:val="00590505"/>
    <w:rsid w:val="0059107C"/>
    <w:rsid w:val="005A0B48"/>
    <w:rsid w:val="005A7487"/>
    <w:rsid w:val="005B04AC"/>
    <w:rsid w:val="005C6F6F"/>
    <w:rsid w:val="005D1848"/>
    <w:rsid w:val="005D4FC9"/>
    <w:rsid w:val="005E0B77"/>
    <w:rsid w:val="005E14C8"/>
    <w:rsid w:val="005E20D5"/>
    <w:rsid w:val="005E4DF0"/>
    <w:rsid w:val="005E7273"/>
    <w:rsid w:val="005E7671"/>
    <w:rsid w:val="005F0FB6"/>
    <w:rsid w:val="005F3F73"/>
    <w:rsid w:val="005F6722"/>
    <w:rsid w:val="005F7EFE"/>
    <w:rsid w:val="00601EA2"/>
    <w:rsid w:val="006024F1"/>
    <w:rsid w:val="006112AE"/>
    <w:rsid w:val="0061363C"/>
    <w:rsid w:val="00614B34"/>
    <w:rsid w:val="006172D4"/>
    <w:rsid w:val="006234ED"/>
    <w:rsid w:val="0062510C"/>
    <w:rsid w:val="00625D62"/>
    <w:rsid w:val="006373B4"/>
    <w:rsid w:val="0064139C"/>
    <w:rsid w:val="00644B6A"/>
    <w:rsid w:val="0065050B"/>
    <w:rsid w:val="00656E06"/>
    <w:rsid w:val="00657991"/>
    <w:rsid w:val="00657E94"/>
    <w:rsid w:val="00662343"/>
    <w:rsid w:val="006735C3"/>
    <w:rsid w:val="0067772F"/>
    <w:rsid w:val="00682F36"/>
    <w:rsid w:val="006961A7"/>
    <w:rsid w:val="006A6377"/>
    <w:rsid w:val="006B0E44"/>
    <w:rsid w:val="006B152F"/>
    <w:rsid w:val="006B3B10"/>
    <w:rsid w:val="006C7214"/>
    <w:rsid w:val="006C7699"/>
    <w:rsid w:val="006C7750"/>
    <w:rsid w:val="006C7A30"/>
    <w:rsid w:val="006D1592"/>
    <w:rsid w:val="006D2518"/>
    <w:rsid w:val="006D78F7"/>
    <w:rsid w:val="006F4454"/>
    <w:rsid w:val="006F58FE"/>
    <w:rsid w:val="00712495"/>
    <w:rsid w:val="0072042E"/>
    <w:rsid w:val="0072089A"/>
    <w:rsid w:val="00722D93"/>
    <w:rsid w:val="00722FBD"/>
    <w:rsid w:val="00735A56"/>
    <w:rsid w:val="00740B66"/>
    <w:rsid w:val="00740CD9"/>
    <w:rsid w:val="00745698"/>
    <w:rsid w:val="00746B18"/>
    <w:rsid w:val="0075443B"/>
    <w:rsid w:val="007641B4"/>
    <w:rsid w:val="00764337"/>
    <w:rsid w:val="00766574"/>
    <w:rsid w:val="00766619"/>
    <w:rsid w:val="00771735"/>
    <w:rsid w:val="007717D5"/>
    <w:rsid w:val="00771E50"/>
    <w:rsid w:val="0077348F"/>
    <w:rsid w:val="00782B0D"/>
    <w:rsid w:val="0078450B"/>
    <w:rsid w:val="00787AF3"/>
    <w:rsid w:val="00787BED"/>
    <w:rsid w:val="00790F25"/>
    <w:rsid w:val="00792B13"/>
    <w:rsid w:val="00795D2F"/>
    <w:rsid w:val="007A6145"/>
    <w:rsid w:val="007A6B43"/>
    <w:rsid w:val="007A7E14"/>
    <w:rsid w:val="007C3E4A"/>
    <w:rsid w:val="007D0668"/>
    <w:rsid w:val="007D13FC"/>
    <w:rsid w:val="007D258F"/>
    <w:rsid w:val="007D5E40"/>
    <w:rsid w:val="007D690D"/>
    <w:rsid w:val="007E081A"/>
    <w:rsid w:val="007E5BF6"/>
    <w:rsid w:val="007F39A2"/>
    <w:rsid w:val="00800666"/>
    <w:rsid w:val="008010B1"/>
    <w:rsid w:val="00803A79"/>
    <w:rsid w:val="008139E6"/>
    <w:rsid w:val="00814D6F"/>
    <w:rsid w:val="008222FE"/>
    <w:rsid w:val="008348C5"/>
    <w:rsid w:val="008350AB"/>
    <w:rsid w:val="0083513A"/>
    <w:rsid w:val="00835CF5"/>
    <w:rsid w:val="008505FB"/>
    <w:rsid w:val="00850EE1"/>
    <w:rsid w:val="00857D68"/>
    <w:rsid w:val="0086023D"/>
    <w:rsid w:val="008623FE"/>
    <w:rsid w:val="0087332B"/>
    <w:rsid w:val="00874E5F"/>
    <w:rsid w:val="00883856"/>
    <w:rsid w:val="00883B3F"/>
    <w:rsid w:val="008A4793"/>
    <w:rsid w:val="008A4C6B"/>
    <w:rsid w:val="008A5A2E"/>
    <w:rsid w:val="008B28B5"/>
    <w:rsid w:val="008B4493"/>
    <w:rsid w:val="008B5948"/>
    <w:rsid w:val="008C115D"/>
    <w:rsid w:val="008C37A7"/>
    <w:rsid w:val="008C443E"/>
    <w:rsid w:val="008C6473"/>
    <w:rsid w:val="008C7CB3"/>
    <w:rsid w:val="008D1B65"/>
    <w:rsid w:val="008D2A33"/>
    <w:rsid w:val="008E12F6"/>
    <w:rsid w:val="008E1389"/>
    <w:rsid w:val="008E1A38"/>
    <w:rsid w:val="008E50C2"/>
    <w:rsid w:val="008F44CA"/>
    <w:rsid w:val="008F7522"/>
    <w:rsid w:val="008F781E"/>
    <w:rsid w:val="00900CF8"/>
    <w:rsid w:val="00900DED"/>
    <w:rsid w:val="0090138D"/>
    <w:rsid w:val="00902376"/>
    <w:rsid w:val="00913CB9"/>
    <w:rsid w:val="00917A69"/>
    <w:rsid w:val="00917D20"/>
    <w:rsid w:val="00921479"/>
    <w:rsid w:val="00933F13"/>
    <w:rsid w:val="00936A38"/>
    <w:rsid w:val="009411B4"/>
    <w:rsid w:val="00941247"/>
    <w:rsid w:val="00941D35"/>
    <w:rsid w:val="00941E39"/>
    <w:rsid w:val="009455FC"/>
    <w:rsid w:val="0094631F"/>
    <w:rsid w:val="00946944"/>
    <w:rsid w:val="0095553C"/>
    <w:rsid w:val="00956E21"/>
    <w:rsid w:val="00957F70"/>
    <w:rsid w:val="00962649"/>
    <w:rsid w:val="00965794"/>
    <w:rsid w:val="00967776"/>
    <w:rsid w:val="0097072B"/>
    <w:rsid w:val="00982021"/>
    <w:rsid w:val="0098325F"/>
    <w:rsid w:val="009909D4"/>
    <w:rsid w:val="00991C8B"/>
    <w:rsid w:val="009922DC"/>
    <w:rsid w:val="009A551B"/>
    <w:rsid w:val="009B02FE"/>
    <w:rsid w:val="009B4CC9"/>
    <w:rsid w:val="009D1C70"/>
    <w:rsid w:val="009D4CF3"/>
    <w:rsid w:val="009D4D68"/>
    <w:rsid w:val="009E5416"/>
    <w:rsid w:val="009F47D8"/>
    <w:rsid w:val="009F72AC"/>
    <w:rsid w:val="00A0046B"/>
    <w:rsid w:val="00A02203"/>
    <w:rsid w:val="00A05802"/>
    <w:rsid w:val="00A16BAA"/>
    <w:rsid w:val="00A20F02"/>
    <w:rsid w:val="00A2567B"/>
    <w:rsid w:val="00A26B8B"/>
    <w:rsid w:val="00A32EE2"/>
    <w:rsid w:val="00A32EE5"/>
    <w:rsid w:val="00A47954"/>
    <w:rsid w:val="00A509A1"/>
    <w:rsid w:val="00A54AB7"/>
    <w:rsid w:val="00A550F3"/>
    <w:rsid w:val="00A575E6"/>
    <w:rsid w:val="00A620D8"/>
    <w:rsid w:val="00A65060"/>
    <w:rsid w:val="00A73DE5"/>
    <w:rsid w:val="00A7571D"/>
    <w:rsid w:val="00A80A38"/>
    <w:rsid w:val="00A840BD"/>
    <w:rsid w:val="00A94725"/>
    <w:rsid w:val="00AA3DDC"/>
    <w:rsid w:val="00AA7D92"/>
    <w:rsid w:val="00AB1B20"/>
    <w:rsid w:val="00AB20FB"/>
    <w:rsid w:val="00AC7C1F"/>
    <w:rsid w:val="00AE071A"/>
    <w:rsid w:val="00AE101A"/>
    <w:rsid w:val="00AE49CA"/>
    <w:rsid w:val="00AF2394"/>
    <w:rsid w:val="00B007D2"/>
    <w:rsid w:val="00B01CA8"/>
    <w:rsid w:val="00B062E2"/>
    <w:rsid w:val="00B12DE5"/>
    <w:rsid w:val="00B145D8"/>
    <w:rsid w:val="00B20E14"/>
    <w:rsid w:val="00B22DD2"/>
    <w:rsid w:val="00B23036"/>
    <w:rsid w:val="00B42209"/>
    <w:rsid w:val="00B46850"/>
    <w:rsid w:val="00B46AF5"/>
    <w:rsid w:val="00B54B5C"/>
    <w:rsid w:val="00B560D3"/>
    <w:rsid w:val="00B60AF4"/>
    <w:rsid w:val="00B66AA5"/>
    <w:rsid w:val="00B701E5"/>
    <w:rsid w:val="00B70E60"/>
    <w:rsid w:val="00B87A48"/>
    <w:rsid w:val="00BA04A9"/>
    <w:rsid w:val="00BA238E"/>
    <w:rsid w:val="00BB3407"/>
    <w:rsid w:val="00BB3CBB"/>
    <w:rsid w:val="00BB6589"/>
    <w:rsid w:val="00BB6CD2"/>
    <w:rsid w:val="00BD04B6"/>
    <w:rsid w:val="00BD0B62"/>
    <w:rsid w:val="00BD7566"/>
    <w:rsid w:val="00BD7C0B"/>
    <w:rsid w:val="00BE2D77"/>
    <w:rsid w:val="00BE651A"/>
    <w:rsid w:val="00BF4503"/>
    <w:rsid w:val="00BF7B57"/>
    <w:rsid w:val="00BF7D8B"/>
    <w:rsid w:val="00C01FDA"/>
    <w:rsid w:val="00C04DED"/>
    <w:rsid w:val="00C139A0"/>
    <w:rsid w:val="00C1432E"/>
    <w:rsid w:val="00C17503"/>
    <w:rsid w:val="00C26B6B"/>
    <w:rsid w:val="00C32D99"/>
    <w:rsid w:val="00C34AC4"/>
    <w:rsid w:val="00C353CA"/>
    <w:rsid w:val="00C4356E"/>
    <w:rsid w:val="00C44EF3"/>
    <w:rsid w:val="00C467D3"/>
    <w:rsid w:val="00C47C7E"/>
    <w:rsid w:val="00C57BF2"/>
    <w:rsid w:val="00C615EF"/>
    <w:rsid w:val="00C63F87"/>
    <w:rsid w:val="00C64A7A"/>
    <w:rsid w:val="00C65F5A"/>
    <w:rsid w:val="00C80A62"/>
    <w:rsid w:val="00C82988"/>
    <w:rsid w:val="00C82FB4"/>
    <w:rsid w:val="00C90511"/>
    <w:rsid w:val="00C92A6A"/>
    <w:rsid w:val="00C93B42"/>
    <w:rsid w:val="00CA401E"/>
    <w:rsid w:val="00CB0ABC"/>
    <w:rsid w:val="00CB5089"/>
    <w:rsid w:val="00CB58B9"/>
    <w:rsid w:val="00CC346C"/>
    <w:rsid w:val="00CC4568"/>
    <w:rsid w:val="00CC5443"/>
    <w:rsid w:val="00CC5AC7"/>
    <w:rsid w:val="00CC6ECF"/>
    <w:rsid w:val="00CD3EEA"/>
    <w:rsid w:val="00CD46E2"/>
    <w:rsid w:val="00CE354C"/>
    <w:rsid w:val="00CF09F4"/>
    <w:rsid w:val="00CF1B8B"/>
    <w:rsid w:val="00CF2047"/>
    <w:rsid w:val="00CF47F2"/>
    <w:rsid w:val="00D02427"/>
    <w:rsid w:val="00D0410D"/>
    <w:rsid w:val="00D058E8"/>
    <w:rsid w:val="00D062B2"/>
    <w:rsid w:val="00D0674D"/>
    <w:rsid w:val="00D1179C"/>
    <w:rsid w:val="00D20F05"/>
    <w:rsid w:val="00D277BD"/>
    <w:rsid w:val="00D32F4D"/>
    <w:rsid w:val="00D41CB4"/>
    <w:rsid w:val="00D43F5F"/>
    <w:rsid w:val="00D448ED"/>
    <w:rsid w:val="00D629E9"/>
    <w:rsid w:val="00D75381"/>
    <w:rsid w:val="00D816E0"/>
    <w:rsid w:val="00D81BF6"/>
    <w:rsid w:val="00D81F75"/>
    <w:rsid w:val="00D93A4C"/>
    <w:rsid w:val="00D948EC"/>
    <w:rsid w:val="00D964E6"/>
    <w:rsid w:val="00DA12F7"/>
    <w:rsid w:val="00DA18B3"/>
    <w:rsid w:val="00DA277C"/>
    <w:rsid w:val="00DA5B84"/>
    <w:rsid w:val="00DA7675"/>
    <w:rsid w:val="00DA7EA6"/>
    <w:rsid w:val="00DB2E83"/>
    <w:rsid w:val="00DB3C4F"/>
    <w:rsid w:val="00DB51A1"/>
    <w:rsid w:val="00DC1FD8"/>
    <w:rsid w:val="00DE5F3C"/>
    <w:rsid w:val="00DE6F02"/>
    <w:rsid w:val="00DF09F2"/>
    <w:rsid w:val="00E05052"/>
    <w:rsid w:val="00E06DE5"/>
    <w:rsid w:val="00E168D1"/>
    <w:rsid w:val="00E2066F"/>
    <w:rsid w:val="00E22D2D"/>
    <w:rsid w:val="00E2643A"/>
    <w:rsid w:val="00E341B4"/>
    <w:rsid w:val="00E423DC"/>
    <w:rsid w:val="00E52B40"/>
    <w:rsid w:val="00E7079D"/>
    <w:rsid w:val="00E74EEC"/>
    <w:rsid w:val="00E76BD5"/>
    <w:rsid w:val="00E83BAD"/>
    <w:rsid w:val="00E9134F"/>
    <w:rsid w:val="00EA0BA4"/>
    <w:rsid w:val="00EA50F6"/>
    <w:rsid w:val="00EB31D8"/>
    <w:rsid w:val="00EC0090"/>
    <w:rsid w:val="00EC49C0"/>
    <w:rsid w:val="00EE2866"/>
    <w:rsid w:val="00EE2967"/>
    <w:rsid w:val="00EF4D8A"/>
    <w:rsid w:val="00F07DF3"/>
    <w:rsid w:val="00F10BD3"/>
    <w:rsid w:val="00F15E0E"/>
    <w:rsid w:val="00F16196"/>
    <w:rsid w:val="00F25A8C"/>
    <w:rsid w:val="00F2672F"/>
    <w:rsid w:val="00F442D2"/>
    <w:rsid w:val="00F53AA0"/>
    <w:rsid w:val="00F61375"/>
    <w:rsid w:val="00F63CD5"/>
    <w:rsid w:val="00F66E2A"/>
    <w:rsid w:val="00F702BB"/>
    <w:rsid w:val="00F71E5F"/>
    <w:rsid w:val="00F742F9"/>
    <w:rsid w:val="00F74628"/>
    <w:rsid w:val="00F808C2"/>
    <w:rsid w:val="00F837E2"/>
    <w:rsid w:val="00F83987"/>
    <w:rsid w:val="00F83D9C"/>
    <w:rsid w:val="00F851D2"/>
    <w:rsid w:val="00F8772D"/>
    <w:rsid w:val="00F91076"/>
    <w:rsid w:val="00F94FF2"/>
    <w:rsid w:val="00FA041A"/>
    <w:rsid w:val="00FB158F"/>
    <w:rsid w:val="00FB3015"/>
    <w:rsid w:val="00FB70CF"/>
    <w:rsid w:val="00FB720A"/>
    <w:rsid w:val="00FC0E53"/>
    <w:rsid w:val="00FC269A"/>
    <w:rsid w:val="00FC54D6"/>
    <w:rsid w:val="00FD2C82"/>
    <w:rsid w:val="00FD3134"/>
    <w:rsid w:val="00FD5064"/>
    <w:rsid w:val="00FE16FC"/>
    <w:rsid w:val="00FE3DD7"/>
    <w:rsid w:val="00FE52BA"/>
    <w:rsid w:val="00FE6755"/>
    <w:rsid w:val="00FF0098"/>
    <w:rsid w:val="00FF37BA"/>
    <w:rsid w:val="00FF39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D31AD"/>
  <w15:docId w15:val="{069C8E49-0CE0-4BD5-91FB-4F14763B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34"/>
    <w:pPr>
      <w:spacing w:line="48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12F6"/>
    <w:pPr>
      <w:tabs>
        <w:tab w:val="center" w:pos="4153"/>
        <w:tab w:val="right" w:pos="8306"/>
      </w:tabs>
    </w:pPr>
  </w:style>
  <w:style w:type="character" w:styleId="PageNumber">
    <w:name w:val="page number"/>
    <w:basedOn w:val="DefaultParagraphFont"/>
    <w:rsid w:val="008E12F6"/>
  </w:style>
  <w:style w:type="character" w:styleId="CommentReference">
    <w:name w:val="annotation reference"/>
    <w:rsid w:val="00967776"/>
    <w:rPr>
      <w:sz w:val="18"/>
      <w:szCs w:val="18"/>
    </w:rPr>
  </w:style>
  <w:style w:type="paragraph" w:styleId="CommentText">
    <w:name w:val="annotation text"/>
    <w:basedOn w:val="Normal"/>
    <w:link w:val="CommentTextChar"/>
    <w:rsid w:val="00967776"/>
  </w:style>
  <w:style w:type="character" w:customStyle="1" w:styleId="CommentTextChar">
    <w:name w:val="Comment Text Char"/>
    <w:link w:val="CommentText"/>
    <w:rsid w:val="00967776"/>
    <w:rPr>
      <w:sz w:val="24"/>
      <w:szCs w:val="24"/>
      <w:lang w:eastAsia="en-GB"/>
    </w:rPr>
  </w:style>
  <w:style w:type="paragraph" w:styleId="CommentSubject">
    <w:name w:val="annotation subject"/>
    <w:basedOn w:val="CommentText"/>
    <w:next w:val="CommentText"/>
    <w:link w:val="CommentSubjectChar"/>
    <w:rsid w:val="00967776"/>
    <w:rPr>
      <w:b/>
      <w:bCs/>
      <w:sz w:val="20"/>
      <w:szCs w:val="20"/>
    </w:rPr>
  </w:style>
  <w:style w:type="character" w:customStyle="1" w:styleId="CommentSubjectChar">
    <w:name w:val="Comment Subject Char"/>
    <w:link w:val="CommentSubject"/>
    <w:rsid w:val="00967776"/>
    <w:rPr>
      <w:b/>
      <w:bCs/>
      <w:sz w:val="24"/>
      <w:szCs w:val="24"/>
      <w:lang w:eastAsia="en-GB"/>
    </w:rPr>
  </w:style>
  <w:style w:type="paragraph" w:styleId="BalloonText">
    <w:name w:val="Balloon Text"/>
    <w:basedOn w:val="Normal"/>
    <w:link w:val="BalloonTextChar"/>
    <w:rsid w:val="00967776"/>
    <w:pPr>
      <w:spacing w:line="240" w:lineRule="auto"/>
    </w:pPr>
    <w:rPr>
      <w:rFonts w:ascii="Lucida Grande" w:hAnsi="Lucida Grande" w:cs="Lucida Grande"/>
      <w:sz w:val="18"/>
      <w:szCs w:val="18"/>
    </w:rPr>
  </w:style>
  <w:style w:type="character" w:customStyle="1" w:styleId="BalloonTextChar">
    <w:name w:val="Balloon Text Char"/>
    <w:link w:val="BalloonText"/>
    <w:rsid w:val="00967776"/>
    <w:rPr>
      <w:rFonts w:ascii="Lucida Grande" w:hAnsi="Lucida Grande" w:cs="Lucida Grande"/>
      <w:sz w:val="18"/>
      <w:szCs w:val="18"/>
      <w:lang w:eastAsia="en-GB"/>
    </w:rPr>
  </w:style>
  <w:style w:type="paragraph" w:customStyle="1" w:styleId="ColorfulShading-Accent11">
    <w:name w:val="Colorful Shading - Accent 11"/>
    <w:hidden/>
    <w:uiPriority w:val="99"/>
    <w:semiHidden/>
    <w:rsid w:val="0072089A"/>
    <w:rPr>
      <w:sz w:val="24"/>
      <w:szCs w:val="24"/>
      <w:lang w:val="en-GB" w:eastAsia="en-GB"/>
    </w:rPr>
  </w:style>
  <w:style w:type="paragraph" w:customStyle="1" w:styleId="ColorfulList-Accent11">
    <w:name w:val="Colorful List - Accent 11"/>
    <w:basedOn w:val="Normal"/>
    <w:uiPriority w:val="34"/>
    <w:qFormat/>
    <w:rsid w:val="00DA7675"/>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DA76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15D"/>
    <w:pPr>
      <w:tabs>
        <w:tab w:val="center" w:pos="4513"/>
        <w:tab w:val="right" w:pos="9026"/>
      </w:tabs>
    </w:pPr>
  </w:style>
  <w:style w:type="character" w:customStyle="1" w:styleId="HeaderChar">
    <w:name w:val="Header Char"/>
    <w:link w:val="Header"/>
    <w:rsid w:val="0021215D"/>
    <w:rPr>
      <w:sz w:val="24"/>
      <w:szCs w:val="24"/>
    </w:rPr>
  </w:style>
  <w:style w:type="paragraph" w:styleId="Revision">
    <w:name w:val="Revision"/>
    <w:hidden/>
    <w:uiPriority w:val="99"/>
    <w:semiHidden/>
    <w:rsid w:val="00344812"/>
    <w:rPr>
      <w:sz w:val="24"/>
      <w:szCs w:val="24"/>
      <w:lang w:val="en-GB" w:eastAsia="en-GB"/>
    </w:rPr>
  </w:style>
  <w:style w:type="paragraph" w:styleId="ListParagraph">
    <w:name w:val="List Paragraph"/>
    <w:basedOn w:val="Normal"/>
    <w:uiPriority w:val="34"/>
    <w:qFormat/>
    <w:rsid w:val="009909D4"/>
    <w:pPr>
      <w:ind w:left="720"/>
      <w:contextualSpacing/>
    </w:pPr>
  </w:style>
  <w:style w:type="character" w:styleId="Hyperlink">
    <w:name w:val="Hyperlink"/>
    <w:basedOn w:val="DefaultParagraphFont"/>
    <w:rsid w:val="00E20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50329">
      <w:bodyDiv w:val="1"/>
      <w:marLeft w:val="0"/>
      <w:marRight w:val="0"/>
      <w:marTop w:val="0"/>
      <w:marBottom w:val="0"/>
      <w:divBdr>
        <w:top w:val="none" w:sz="0" w:space="0" w:color="auto"/>
        <w:left w:val="none" w:sz="0" w:space="0" w:color="auto"/>
        <w:bottom w:val="none" w:sz="0" w:space="0" w:color="auto"/>
        <w:right w:val="none" w:sz="0" w:space="0" w:color="auto"/>
      </w:divBdr>
      <w:divsChild>
        <w:div w:id="1892614326">
          <w:marLeft w:val="0"/>
          <w:marRight w:val="0"/>
          <w:marTop w:val="0"/>
          <w:marBottom w:val="0"/>
          <w:divBdr>
            <w:top w:val="none" w:sz="0" w:space="0" w:color="auto"/>
            <w:left w:val="none" w:sz="0" w:space="0" w:color="auto"/>
            <w:bottom w:val="none" w:sz="0" w:space="0" w:color="auto"/>
            <w:right w:val="none" w:sz="0" w:space="0" w:color="auto"/>
          </w:divBdr>
          <w:divsChild>
            <w:div w:id="152530618">
              <w:marLeft w:val="0"/>
              <w:marRight w:val="0"/>
              <w:marTop w:val="0"/>
              <w:marBottom w:val="0"/>
              <w:divBdr>
                <w:top w:val="none" w:sz="0" w:space="0" w:color="auto"/>
                <w:left w:val="none" w:sz="0" w:space="0" w:color="auto"/>
                <w:bottom w:val="none" w:sz="0" w:space="0" w:color="auto"/>
                <w:right w:val="none" w:sz="0" w:space="0" w:color="auto"/>
              </w:divBdr>
              <w:divsChild>
                <w:div w:id="2051416870">
                  <w:marLeft w:val="0"/>
                  <w:marRight w:val="0"/>
                  <w:marTop w:val="100"/>
                  <w:marBottom w:val="100"/>
                  <w:divBdr>
                    <w:top w:val="none" w:sz="0" w:space="0" w:color="auto"/>
                    <w:left w:val="none" w:sz="0" w:space="0" w:color="auto"/>
                    <w:bottom w:val="none" w:sz="0" w:space="0" w:color="auto"/>
                    <w:right w:val="none" w:sz="0" w:space="0" w:color="auto"/>
                  </w:divBdr>
                  <w:divsChild>
                    <w:div w:id="338118998">
                      <w:marLeft w:val="0"/>
                      <w:marRight w:val="0"/>
                      <w:marTop w:val="0"/>
                      <w:marBottom w:val="0"/>
                      <w:divBdr>
                        <w:top w:val="none" w:sz="0" w:space="0" w:color="auto"/>
                        <w:left w:val="none" w:sz="0" w:space="0" w:color="auto"/>
                        <w:bottom w:val="none" w:sz="0" w:space="0" w:color="auto"/>
                        <w:right w:val="none" w:sz="0" w:space="0" w:color="auto"/>
                      </w:divBdr>
                      <w:divsChild>
                        <w:div w:id="315962048">
                          <w:marLeft w:val="0"/>
                          <w:marRight w:val="0"/>
                          <w:marTop w:val="0"/>
                          <w:marBottom w:val="0"/>
                          <w:divBdr>
                            <w:top w:val="none" w:sz="0" w:space="0" w:color="auto"/>
                            <w:left w:val="none" w:sz="0" w:space="0" w:color="auto"/>
                            <w:bottom w:val="none" w:sz="0" w:space="0" w:color="auto"/>
                            <w:right w:val="none" w:sz="0" w:space="0" w:color="auto"/>
                          </w:divBdr>
                          <w:divsChild>
                            <w:div w:id="1052582007">
                              <w:marLeft w:val="0"/>
                              <w:marRight w:val="0"/>
                              <w:marTop w:val="0"/>
                              <w:marBottom w:val="0"/>
                              <w:divBdr>
                                <w:top w:val="none" w:sz="0" w:space="0" w:color="auto"/>
                                <w:left w:val="none" w:sz="0" w:space="0" w:color="auto"/>
                                <w:bottom w:val="none" w:sz="0" w:space="0" w:color="auto"/>
                                <w:right w:val="none" w:sz="0" w:space="0" w:color="auto"/>
                              </w:divBdr>
                              <w:divsChild>
                                <w:div w:id="1986734581">
                                  <w:marLeft w:val="0"/>
                                  <w:marRight w:val="0"/>
                                  <w:marTop w:val="0"/>
                                  <w:marBottom w:val="0"/>
                                  <w:divBdr>
                                    <w:top w:val="none" w:sz="0" w:space="0" w:color="auto"/>
                                    <w:left w:val="none" w:sz="0" w:space="0" w:color="auto"/>
                                    <w:bottom w:val="none" w:sz="0" w:space="0" w:color="auto"/>
                                    <w:right w:val="none" w:sz="0" w:space="0" w:color="auto"/>
                                  </w:divBdr>
                                  <w:divsChild>
                                    <w:div w:id="79838656">
                                      <w:marLeft w:val="0"/>
                                      <w:marRight w:val="0"/>
                                      <w:marTop w:val="0"/>
                                      <w:marBottom w:val="0"/>
                                      <w:divBdr>
                                        <w:top w:val="none" w:sz="0" w:space="0" w:color="auto"/>
                                        <w:left w:val="none" w:sz="0" w:space="0" w:color="auto"/>
                                        <w:bottom w:val="none" w:sz="0" w:space="0" w:color="auto"/>
                                        <w:right w:val="none" w:sz="0" w:space="0" w:color="auto"/>
                                      </w:divBdr>
                                      <w:divsChild>
                                        <w:div w:id="2032874363">
                                          <w:marLeft w:val="0"/>
                                          <w:marRight w:val="0"/>
                                          <w:marTop w:val="0"/>
                                          <w:marBottom w:val="0"/>
                                          <w:divBdr>
                                            <w:top w:val="none" w:sz="0" w:space="0" w:color="auto"/>
                                            <w:left w:val="none" w:sz="0" w:space="0" w:color="auto"/>
                                            <w:bottom w:val="none" w:sz="0" w:space="0" w:color="auto"/>
                                            <w:right w:val="none" w:sz="0" w:space="0" w:color="auto"/>
                                          </w:divBdr>
                                          <w:divsChild>
                                            <w:div w:id="763647345">
                                              <w:marLeft w:val="0"/>
                                              <w:marRight w:val="0"/>
                                              <w:marTop w:val="0"/>
                                              <w:marBottom w:val="0"/>
                                              <w:divBdr>
                                                <w:top w:val="none" w:sz="0" w:space="0" w:color="auto"/>
                                                <w:left w:val="none" w:sz="0" w:space="0" w:color="auto"/>
                                                <w:bottom w:val="none" w:sz="0" w:space="0" w:color="auto"/>
                                                <w:right w:val="none" w:sz="0" w:space="0" w:color="auto"/>
                                              </w:divBdr>
                                              <w:divsChild>
                                                <w:div w:id="1944023786">
                                                  <w:marLeft w:val="0"/>
                                                  <w:marRight w:val="300"/>
                                                  <w:marTop w:val="0"/>
                                                  <w:marBottom w:val="0"/>
                                                  <w:divBdr>
                                                    <w:top w:val="none" w:sz="0" w:space="0" w:color="auto"/>
                                                    <w:left w:val="none" w:sz="0" w:space="0" w:color="auto"/>
                                                    <w:bottom w:val="none" w:sz="0" w:space="0" w:color="auto"/>
                                                    <w:right w:val="none" w:sz="0" w:space="0" w:color="auto"/>
                                                  </w:divBdr>
                                                  <w:divsChild>
                                                    <w:div w:id="637682262">
                                                      <w:marLeft w:val="0"/>
                                                      <w:marRight w:val="0"/>
                                                      <w:marTop w:val="0"/>
                                                      <w:marBottom w:val="0"/>
                                                      <w:divBdr>
                                                        <w:top w:val="none" w:sz="0" w:space="0" w:color="auto"/>
                                                        <w:left w:val="none" w:sz="0" w:space="0" w:color="auto"/>
                                                        <w:bottom w:val="none" w:sz="0" w:space="0" w:color="auto"/>
                                                        <w:right w:val="none" w:sz="0" w:space="0" w:color="auto"/>
                                                      </w:divBdr>
                                                      <w:divsChild>
                                                        <w:div w:id="843013988">
                                                          <w:marLeft w:val="0"/>
                                                          <w:marRight w:val="0"/>
                                                          <w:marTop w:val="0"/>
                                                          <w:marBottom w:val="300"/>
                                                          <w:divBdr>
                                                            <w:top w:val="single" w:sz="6" w:space="0" w:color="CCCCCC"/>
                                                            <w:left w:val="none" w:sz="0" w:space="0" w:color="auto"/>
                                                            <w:bottom w:val="none" w:sz="0" w:space="0" w:color="auto"/>
                                                            <w:right w:val="none" w:sz="0" w:space="0" w:color="auto"/>
                                                          </w:divBdr>
                                                          <w:divsChild>
                                                            <w:div w:id="1003123311">
                                                              <w:marLeft w:val="0"/>
                                                              <w:marRight w:val="0"/>
                                                              <w:marTop w:val="0"/>
                                                              <w:marBottom w:val="0"/>
                                                              <w:divBdr>
                                                                <w:top w:val="none" w:sz="0" w:space="0" w:color="auto"/>
                                                                <w:left w:val="none" w:sz="0" w:space="0" w:color="auto"/>
                                                                <w:bottom w:val="none" w:sz="0" w:space="0" w:color="auto"/>
                                                                <w:right w:val="none" w:sz="0" w:space="0" w:color="auto"/>
                                                              </w:divBdr>
                                                              <w:divsChild>
                                                                <w:div w:id="978263741">
                                                                  <w:marLeft w:val="0"/>
                                                                  <w:marRight w:val="0"/>
                                                                  <w:marTop w:val="0"/>
                                                                  <w:marBottom w:val="0"/>
                                                                  <w:divBdr>
                                                                    <w:top w:val="none" w:sz="0" w:space="0" w:color="auto"/>
                                                                    <w:left w:val="none" w:sz="0" w:space="0" w:color="auto"/>
                                                                    <w:bottom w:val="none" w:sz="0" w:space="0" w:color="auto"/>
                                                                    <w:right w:val="none" w:sz="0" w:space="0" w:color="auto"/>
                                                                  </w:divBdr>
                                                                  <w:divsChild>
                                                                    <w:div w:id="1843815172">
                                                                      <w:marLeft w:val="0"/>
                                                                      <w:marRight w:val="0"/>
                                                                      <w:marTop w:val="0"/>
                                                                      <w:marBottom w:val="0"/>
                                                                      <w:divBdr>
                                                                        <w:top w:val="none" w:sz="0" w:space="0" w:color="auto"/>
                                                                        <w:left w:val="none" w:sz="0" w:space="0" w:color="auto"/>
                                                                        <w:bottom w:val="none" w:sz="0" w:space="0" w:color="auto"/>
                                                                        <w:right w:val="none" w:sz="0" w:space="0" w:color="auto"/>
                                                                      </w:divBdr>
                                                                      <w:divsChild>
                                                                        <w:div w:id="139424579">
                                                                          <w:marLeft w:val="0"/>
                                                                          <w:marRight w:val="0"/>
                                                                          <w:marTop w:val="0"/>
                                                                          <w:marBottom w:val="0"/>
                                                                          <w:divBdr>
                                                                            <w:top w:val="none" w:sz="0" w:space="0" w:color="auto"/>
                                                                            <w:left w:val="none" w:sz="0" w:space="0" w:color="auto"/>
                                                                            <w:bottom w:val="none" w:sz="0" w:space="0" w:color="auto"/>
                                                                            <w:right w:val="none" w:sz="0" w:space="0" w:color="auto"/>
                                                                          </w:divBdr>
                                                                        </w:div>
                                                                        <w:div w:id="588583196">
                                                                          <w:marLeft w:val="0"/>
                                                                          <w:marRight w:val="0"/>
                                                                          <w:marTop w:val="0"/>
                                                                          <w:marBottom w:val="0"/>
                                                                          <w:divBdr>
                                                                            <w:top w:val="none" w:sz="0" w:space="0" w:color="auto"/>
                                                                            <w:left w:val="none" w:sz="0" w:space="0" w:color="auto"/>
                                                                            <w:bottom w:val="none" w:sz="0" w:space="0" w:color="auto"/>
                                                                            <w:right w:val="none" w:sz="0" w:space="0" w:color="auto"/>
                                                                          </w:divBdr>
                                                                        </w:div>
                                                                        <w:div w:id="767043447">
                                                                          <w:marLeft w:val="0"/>
                                                                          <w:marRight w:val="0"/>
                                                                          <w:marTop w:val="0"/>
                                                                          <w:marBottom w:val="0"/>
                                                                          <w:divBdr>
                                                                            <w:top w:val="none" w:sz="0" w:space="0" w:color="auto"/>
                                                                            <w:left w:val="none" w:sz="0" w:space="0" w:color="auto"/>
                                                                            <w:bottom w:val="none" w:sz="0" w:space="0" w:color="auto"/>
                                                                            <w:right w:val="none" w:sz="0" w:space="0" w:color="auto"/>
                                                                          </w:divBdr>
                                                                        </w:div>
                                                                        <w:div w:id="1013384924">
                                                                          <w:marLeft w:val="0"/>
                                                                          <w:marRight w:val="0"/>
                                                                          <w:marTop w:val="0"/>
                                                                          <w:marBottom w:val="0"/>
                                                                          <w:divBdr>
                                                                            <w:top w:val="none" w:sz="0" w:space="0" w:color="auto"/>
                                                                            <w:left w:val="none" w:sz="0" w:space="0" w:color="auto"/>
                                                                            <w:bottom w:val="none" w:sz="0" w:space="0" w:color="auto"/>
                                                                            <w:right w:val="none" w:sz="0" w:space="0" w:color="auto"/>
                                                                          </w:divBdr>
                                                                        </w:div>
                                                                        <w:div w:id="20704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316765">
      <w:bodyDiv w:val="1"/>
      <w:marLeft w:val="0"/>
      <w:marRight w:val="0"/>
      <w:marTop w:val="0"/>
      <w:marBottom w:val="0"/>
      <w:divBdr>
        <w:top w:val="none" w:sz="0" w:space="0" w:color="auto"/>
        <w:left w:val="none" w:sz="0" w:space="0" w:color="auto"/>
        <w:bottom w:val="none" w:sz="0" w:space="0" w:color="auto"/>
        <w:right w:val="none" w:sz="0" w:space="0" w:color="auto"/>
      </w:divBdr>
      <w:divsChild>
        <w:div w:id="144781478">
          <w:marLeft w:val="0"/>
          <w:marRight w:val="0"/>
          <w:marTop w:val="0"/>
          <w:marBottom w:val="0"/>
          <w:divBdr>
            <w:top w:val="none" w:sz="0" w:space="0" w:color="auto"/>
            <w:left w:val="none" w:sz="0" w:space="0" w:color="auto"/>
            <w:bottom w:val="none" w:sz="0" w:space="0" w:color="auto"/>
            <w:right w:val="none" w:sz="0" w:space="0" w:color="auto"/>
          </w:divBdr>
          <w:divsChild>
            <w:div w:id="31079899">
              <w:marLeft w:val="0"/>
              <w:marRight w:val="0"/>
              <w:marTop w:val="0"/>
              <w:marBottom w:val="0"/>
              <w:divBdr>
                <w:top w:val="none" w:sz="0" w:space="0" w:color="auto"/>
                <w:left w:val="none" w:sz="0" w:space="0" w:color="auto"/>
                <w:bottom w:val="none" w:sz="0" w:space="0" w:color="auto"/>
                <w:right w:val="none" w:sz="0" w:space="0" w:color="auto"/>
              </w:divBdr>
              <w:divsChild>
                <w:div w:id="1818301915">
                  <w:marLeft w:val="0"/>
                  <w:marRight w:val="0"/>
                  <w:marTop w:val="0"/>
                  <w:marBottom w:val="0"/>
                  <w:divBdr>
                    <w:top w:val="none" w:sz="0" w:space="0" w:color="auto"/>
                    <w:left w:val="none" w:sz="0" w:space="0" w:color="auto"/>
                    <w:bottom w:val="none" w:sz="0" w:space="0" w:color="auto"/>
                    <w:right w:val="none" w:sz="0" w:space="0" w:color="auto"/>
                  </w:divBdr>
                  <w:divsChild>
                    <w:div w:id="799037522">
                      <w:marLeft w:val="375"/>
                      <w:marRight w:val="375"/>
                      <w:marTop w:val="0"/>
                      <w:marBottom w:val="0"/>
                      <w:divBdr>
                        <w:top w:val="none" w:sz="0" w:space="0" w:color="auto"/>
                        <w:left w:val="none" w:sz="0" w:space="0" w:color="auto"/>
                        <w:bottom w:val="none" w:sz="0" w:space="0" w:color="auto"/>
                        <w:right w:val="none" w:sz="0" w:space="0" w:color="auto"/>
                      </w:divBdr>
                      <w:divsChild>
                        <w:div w:id="14755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Ward Round Skills for Junior Doctors</vt:lpstr>
    </vt:vector>
  </TitlesOfParts>
  <Company>NHS Lothian</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Round Skills for Junior Doctors</dc:title>
  <dc:creator>NHSLAdmin</dc:creator>
  <cp:lastModifiedBy>Karen McKenzie</cp:lastModifiedBy>
  <cp:revision>2</cp:revision>
  <dcterms:created xsi:type="dcterms:W3CDTF">2016-08-09T14:52:00Z</dcterms:created>
  <dcterms:modified xsi:type="dcterms:W3CDTF">2016-08-09T14:52:00Z</dcterms:modified>
</cp:coreProperties>
</file>