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11D59" w14:textId="4F5B80ED" w:rsidR="00B32BE9" w:rsidRPr="00B32BE9" w:rsidRDefault="00B32BE9" w:rsidP="005837A4">
      <w:pPr>
        <w:spacing w:line="480" w:lineRule="auto"/>
        <w:jc w:val="center"/>
        <w:rPr>
          <w:rFonts w:ascii="Calibri" w:hAnsi="Calibri" w:cs="Arial"/>
          <w:b/>
          <w:sz w:val="28"/>
          <w:szCs w:val="28"/>
        </w:rPr>
      </w:pPr>
      <w:r w:rsidRPr="00B32BE9">
        <w:rPr>
          <w:rFonts w:ascii="Calibri" w:hAnsi="Calibri" w:cs="Arial"/>
          <w:b/>
          <w:sz w:val="28"/>
          <w:szCs w:val="28"/>
        </w:rPr>
        <w:t>C</w:t>
      </w:r>
      <w:r w:rsidR="00AE56C9" w:rsidRPr="00B32BE9">
        <w:rPr>
          <w:rFonts w:ascii="Calibri" w:hAnsi="Calibri" w:cs="Arial"/>
          <w:b/>
          <w:sz w:val="28"/>
          <w:szCs w:val="28"/>
        </w:rPr>
        <w:t xml:space="preserve">linical potential of oligonucleotide-based therapeutics </w:t>
      </w:r>
      <w:r w:rsidRPr="00B32BE9">
        <w:rPr>
          <w:rFonts w:ascii="Calibri" w:hAnsi="Calibri" w:cs="Arial"/>
          <w:b/>
          <w:sz w:val="28"/>
          <w:szCs w:val="28"/>
        </w:rPr>
        <w:t>in</w:t>
      </w:r>
      <w:r w:rsidR="00803D8B">
        <w:rPr>
          <w:rFonts w:ascii="Calibri" w:hAnsi="Calibri" w:cs="Arial"/>
          <w:b/>
          <w:sz w:val="28"/>
          <w:szCs w:val="28"/>
        </w:rPr>
        <w:t xml:space="preserve"> the respiratory system</w:t>
      </w:r>
    </w:p>
    <w:p w14:paraId="505B8BEA" w14:textId="15450809" w:rsidR="00AE56C9" w:rsidRPr="00C4343E" w:rsidRDefault="00AE56C9" w:rsidP="005837A4">
      <w:pPr>
        <w:spacing w:line="480" w:lineRule="auto"/>
        <w:jc w:val="both"/>
        <w:rPr>
          <w:rFonts w:ascii="Calibri" w:hAnsi="Calibri" w:cs="Arial"/>
          <w:b/>
        </w:rPr>
      </w:pPr>
    </w:p>
    <w:p w14:paraId="6313826C" w14:textId="145206A8" w:rsidR="00AE56C9" w:rsidRDefault="000C6CDD" w:rsidP="005837A4">
      <w:pPr>
        <w:spacing w:line="480" w:lineRule="auto"/>
        <w:jc w:val="center"/>
        <w:rPr>
          <w:rFonts w:ascii="Calibri" w:hAnsi="Calibri" w:cs="Arial"/>
        </w:rPr>
      </w:pPr>
      <w:r w:rsidRPr="00C4343E">
        <w:rPr>
          <w:rFonts w:ascii="Calibri" w:hAnsi="Calibri" w:cs="Arial"/>
        </w:rPr>
        <w:t>Sterghios A. Moschos</w:t>
      </w:r>
      <w:r w:rsidRPr="00C4343E">
        <w:rPr>
          <w:rFonts w:ascii="Calibri" w:hAnsi="Calibri" w:cs="Arial"/>
          <w:vertAlign w:val="superscript"/>
        </w:rPr>
        <w:t>1</w:t>
      </w:r>
      <w:r w:rsidR="00B32BE9">
        <w:rPr>
          <w:rFonts w:ascii="Calibri" w:hAnsi="Calibri" w:cs="Arial"/>
          <w:vertAlign w:val="superscript"/>
        </w:rPr>
        <w:t>*</w:t>
      </w:r>
      <w:r>
        <w:rPr>
          <w:rFonts w:ascii="Calibri" w:hAnsi="Calibri" w:cs="Arial"/>
        </w:rPr>
        <w:t>,</w:t>
      </w:r>
      <w:r>
        <w:rPr>
          <w:rFonts w:ascii="Calibri" w:hAnsi="Calibri" w:cs="Arial"/>
          <w:vertAlign w:val="superscript"/>
        </w:rPr>
        <w:t xml:space="preserve"> </w:t>
      </w:r>
      <w:r w:rsidR="00AE56C9" w:rsidRPr="00C4343E">
        <w:rPr>
          <w:rFonts w:ascii="Calibri" w:hAnsi="Calibri" w:cs="Arial"/>
        </w:rPr>
        <w:t>Louise Usher</w:t>
      </w:r>
      <w:r w:rsidR="00AE56C9" w:rsidRPr="00C4343E">
        <w:rPr>
          <w:rFonts w:ascii="Calibri" w:hAnsi="Calibri" w:cs="Arial"/>
          <w:vertAlign w:val="superscript"/>
        </w:rPr>
        <w:t>1</w:t>
      </w:r>
      <w:r w:rsidR="00AE56C9" w:rsidRPr="00C4343E">
        <w:rPr>
          <w:rFonts w:ascii="Calibri" w:hAnsi="Calibri" w:cs="Arial"/>
        </w:rPr>
        <w:t xml:space="preserve">, </w:t>
      </w:r>
      <w:r>
        <w:rPr>
          <w:rFonts w:ascii="Calibri" w:hAnsi="Calibri" w:cs="Arial"/>
        </w:rPr>
        <w:t xml:space="preserve">and </w:t>
      </w:r>
      <w:r w:rsidR="00AE56C9" w:rsidRPr="00C4343E">
        <w:rPr>
          <w:rFonts w:ascii="Calibri" w:hAnsi="Calibri" w:cs="Arial"/>
        </w:rPr>
        <w:t>Mark A. Lindsay</w:t>
      </w:r>
      <w:r w:rsidR="00AE56C9" w:rsidRPr="00C4343E">
        <w:rPr>
          <w:rFonts w:ascii="Calibri" w:hAnsi="Calibri" w:cs="Arial"/>
          <w:vertAlign w:val="superscript"/>
        </w:rPr>
        <w:t>2</w:t>
      </w:r>
    </w:p>
    <w:p w14:paraId="2C9BF134" w14:textId="77777777" w:rsidR="00B32BE9" w:rsidRPr="00C4343E" w:rsidRDefault="00B32BE9" w:rsidP="005837A4">
      <w:pPr>
        <w:spacing w:line="480" w:lineRule="auto"/>
        <w:jc w:val="both"/>
        <w:rPr>
          <w:rFonts w:ascii="Calibri" w:hAnsi="Calibri" w:cs="Arial"/>
        </w:rPr>
      </w:pPr>
    </w:p>
    <w:p w14:paraId="75568963" w14:textId="4A625FFC" w:rsidR="00AE56C9" w:rsidRDefault="00B32BE9" w:rsidP="005837A4">
      <w:pPr>
        <w:pStyle w:val="ListParagraph"/>
        <w:spacing w:line="480" w:lineRule="auto"/>
        <w:ind w:left="0"/>
        <w:jc w:val="both"/>
        <w:rPr>
          <w:rFonts w:ascii="Calibri" w:hAnsi="Calibri" w:cs="Arial"/>
        </w:rPr>
      </w:pPr>
      <w:r w:rsidRPr="00B32BE9">
        <w:rPr>
          <w:rFonts w:ascii="Calibri" w:hAnsi="Calibri" w:cs="Arial"/>
          <w:vertAlign w:val="superscript"/>
        </w:rPr>
        <w:t>1</w:t>
      </w:r>
      <w:r w:rsidR="00AE56C9" w:rsidRPr="00C4343E">
        <w:rPr>
          <w:rFonts w:ascii="Calibri" w:hAnsi="Calibri" w:cs="Arial"/>
        </w:rPr>
        <w:t>Department of Biomedical Sciences, Faculty of Science and Technology, University of Westminster</w:t>
      </w:r>
      <w:r>
        <w:rPr>
          <w:rFonts w:ascii="Calibri" w:hAnsi="Calibri" w:cs="Arial"/>
        </w:rPr>
        <w:t xml:space="preserve">, </w:t>
      </w:r>
      <w:r w:rsidRPr="00C4343E">
        <w:rPr>
          <w:rFonts w:ascii="Calibri" w:hAnsi="Calibri" w:cs="Arial"/>
        </w:rPr>
        <w:t>115 New Ca</w:t>
      </w:r>
      <w:r>
        <w:rPr>
          <w:rFonts w:ascii="Calibri" w:hAnsi="Calibri" w:cs="Arial"/>
        </w:rPr>
        <w:t xml:space="preserve">vendish Str., London W1W 6UW, United Kingdom and </w:t>
      </w:r>
      <w:r w:rsidRPr="00B32BE9">
        <w:rPr>
          <w:rFonts w:ascii="Calibri" w:hAnsi="Calibri" w:cs="Arial"/>
          <w:vertAlign w:val="superscript"/>
        </w:rPr>
        <w:t>2</w:t>
      </w:r>
      <w:r w:rsidR="00AE56C9" w:rsidRPr="00C4343E">
        <w:rPr>
          <w:rFonts w:ascii="Calibri" w:hAnsi="Calibri" w:cs="Arial"/>
        </w:rPr>
        <w:t xml:space="preserve">Department of </w:t>
      </w:r>
      <w:r>
        <w:rPr>
          <w:rFonts w:ascii="Calibri" w:hAnsi="Calibri" w:cs="Arial"/>
        </w:rPr>
        <w:t xml:space="preserve">Pharmacy and </w:t>
      </w:r>
      <w:r w:rsidR="00AE56C9" w:rsidRPr="00C4343E">
        <w:rPr>
          <w:rFonts w:ascii="Calibri" w:hAnsi="Calibri" w:cs="Arial"/>
        </w:rPr>
        <w:t xml:space="preserve">Pharmacology, </w:t>
      </w:r>
      <w:r>
        <w:rPr>
          <w:rFonts w:ascii="Calibri" w:hAnsi="Calibri" w:cs="Arial"/>
        </w:rPr>
        <w:t xml:space="preserve">Claverton Down, </w:t>
      </w:r>
      <w:r w:rsidR="00AE56C9" w:rsidRPr="00C4343E">
        <w:rPr>
          <w:rFonts w:ascii="Calibri" w:hAnsi="Calibri" w:cs="Arial"/>
        </w:rPr>
        <w:t xml:space="preserve">University of Bath, Bath, </w:t>
      </w:r>
      <w:r>
        <w:rPr>
          <w:rFonts w:ascii="Calibri" w:hAnsi="Calibri" w:cs="Arial"/>
        </w:rPr>
        <w:t>BA2 7AY, United Kingdom</w:t>
      </w:r>
    </w:p>
    <w:p w14:paraId="1BA88A09" w14:textId="77777777" w:rsidR="00B32BE9" w:rsidRDefault="00B32BE9" w:rsidP="005837A4">
      <w:pPr>
        <w:pStyle w:val="ListParagraph"/>
        <w:spacing w:line="480" w:lineRule="auto"/>
        <w:jc w:val="both"/>
        <w:rPr>
          <w:rFonts w:ascii="Calibri" w:hAnsi="Calibri" w:cs="Arial"/>
        </w:rPr>
      </w:pPr>
    </w:p>
    <w:p w14:paraId="2BC434AB" w14:textId="77777777" w:rsidR="00B32BE9" w:rsidRDefault="00B32BE9" w:rsidP="005837A4">
      <w:pPr>
        <w:pStyle w:val="ListParagraph"/>
        <w:spacing w:line="480" w:lineRule="auto"/>
        <w:jc w:val="both"/>
        <w:rPr>
          <w:rFonts w:ascii="Calibri" w:hAnsi="Calibri" w:cs="Arial"/>
        </w:rPr>
      </w:pPr>
    </w:p>
    <w:p w14:paraId="21253CD8" w14:textId="77777777" w:rsidR="00B32BE9" w:rsidRPr="00C4343E" w:rsidRDefault="00B32BE9" w:rsidP="005837A4">
      <w:pPr>
        <w:pStyle w:val="ListParagraph"/>
        <w:spacing w:line="480" w:lineRule="auto"/>
        <w:jc w:val="both"/>
        <w:rPr>
          <w:rFonts w:ascii="Calibri" w:hAnsi="Calibri" w:cs="Arial"/>
        </w:rPr>
      </w:pPr>
    </w:p>
    <w:p w14:paraId="13E1976C" w14:textId="1DC92F06" w:rsidR="00AE56C9" w:rsidRPr="00C4343E" w:rsidRDefault="00B32BE9" w:rsidP="005837A4">
      <w:pPr>
        <w:spacing w:line="480" w:lineRule="auto"/>
        <w:jc w:val="both"/>
        <w:rPr>
          <w:rFonts w:ascii="Calibri" w:hAnsi="Calibri" w:cs="Arial"/>
        </w:rPr>
      </w:pPr>
      <w:r>
        <w:rPr>
          <w:rFonts w:ascii="Calibri" w:hAnsi="Calibri" w:cs="Arial"/>
        </w:rPr>
        <w:t xml:space="preserve">* Corresponding Author. </w:t>
      </w:r>
      <w:r w:rsidR="00A36F46">
        <w:rPr>
          <w:rFonts w:ascii="Calibri" w:hAnsi="Calibri" w:cs="Arial"/>
        </w:rPr>
        <w:t xml:space="preserve">Dr Sterghios A. Moschos. </w:t>
      </w:r>
      <w:r w:rsidR="00AE56C9" w:rsidRPr="00C4343E">
        <w:rPr>
          <w:rFonts w:ascii="Calibri" w:hAnsi="Calibri" w:cs="Arial"/>
        </w:rPr>
        <w:t xml:space="preserve">Department of Biomedical Sciences, Faculty of Science and Technology, University of Westminster, 115 New Cavendish Str., London W1W 6UW, UK. +44 (0) 207 911 5000, extension 64153. </w:t>
      </w:r>
      <w:hyperlink r:id="rId6" w:history="1">
        <w:r w:rsidR="00AE56C9" w:rsidRPr="00C4343E">
          <w:rPr>
            <w:rStyle w:val="Hyperlink"/>
            <w:rFonts w:ascii="Calibri" w:hAnsi="Calibri" w:cs="Arial"/>
          </w:rPr>
          <w:t>s.moschos@westminster.ac.uk</w:t>
        </w:r>
      </w:hyperlink>
      <w:r w:rsidR="00AE56C9" w:rsidRPr="00C4343E">
        <w:rPr>
          <w:rFonts w:ascii="Calibri" w:hAnsi="Calibri" w:cs="Arial"/>
        </w:rPr>
        <w:t xml:space="preserve"> </w:t>
      </w:r>
    </w:p>
    <w:p w14:paraId="507AD8D5" w14:textId="77777777" w:rsidR="00AE56C9" w:rsidRDefault="00AE56C9" w:rsidP="005837A4">
      <w:pPr>
        <w:spacing w:line="480" w:lineRule="auto"/>
        <w:jc w:val="both"/>
        <w:rPr>
          <w:rFonts w:ascii="Calibri" w:hAnsi="Calibri" w:cs="Arial"/>
        </w:rPr>
      </w:pPr>
    </w:p>
    <w:p w14:paraId="3B091945" w14:textId="77777777" w:rsidR="00B32BE9" w:rsidRDefault="00B32BE9" w:rsidP="005837A4">
      <w:pPr>
        <w:spacing w:line="480" w:lineRule="auto"/>
        <w:jc w:val="both"/>
        <w:rPr>
          <w:rFonts w:ascii="Calibri" w:hAnsi="Calibri" w:cs="Arial"/>
        </w:rPr>
      </w:pPr>
    </w:p>
    <w:p w14:paraId="671B33EC" w14:textId="77777777" w:rsidR="00B32BE9" w:rsidRDefault="00B32BE9" w:rsidP="005837A4">
      <w:pPr>
        <w:spacing w:line="480" w:lineRule="auto"/>
        <w:jc w:val="both"/>
        <w:rPr>
          <w:rFonts w:ascii="Calibri" w:hAnsi="Calibri" w:cs="Arial"/>
        </w:rPr>
      </w:pPr>
    </w:p>
    <w:p w14:paraId="19A3C5FE" w14:textId="77777777" w:rsidR="00B32BE9" w:rsidRDefault="00B32BE9" w:rsidP="005837A4">
      <w:pPr>
        <w:spacing w:line="480" w:lineRule="auto"/>
        <w:jc w:val="both"/>
        <w:rPr>
          <w:rFonts w:ascii="Calibri" w:hAnsi="Calibri" w:cs="Arial"/>
        </w:rPr>
      </w:pPr>
    </w:p>
    <w:p w14:paraId="3AEF7246" w14:textId="77777777" w:rsidR="00B32BE9" w:rsidRDefault="00B32BE9" w:rsidP="005837A4">
      <w:pPr>
        <w:spacing w:line="480" w:lineRule="auto"/>
        <w:jc w:val="both"/>
        <w:rPr>
          <w:rFonts w:ascii="Calibri" w:hAnsi="Calibri" w:cs="Arial"/>
        </w:rPr>
      </w:pPr>
    </w:p>
    <w:p w14:paraId="0EFFA879" w14:textId="77777777" w:rsidR="00B32BE9" w:rsidRDefault="00B32BE9" w:rsidP="005837A4">
      <w:pPr>
        <w:spacing w:line="480" w:lineRule="auto"/>
        <w:jc w:val="both"/>
        <w:rPr>
          <w:rFonts w:ascii="Calibri" w:hAnsi="Calibri" w:cs="Arial"/>
        </w:rPr>
      </w:pPr>
    </w:p>
    <w:p w14:paraId="2ED0F254" w14:textId="77777777" w:rsidR="00F4510E" w:rsidRPr="00C4343E" w:rsidRDefault="00F4510E" w:rsidP="005837A4">
      <w:pPr>
        <w:spacing w:line="480" w:lineRule="auto"/>
        <w:jc w:val="both"/>
        <w:rPr>
          <w:rFonts w:ascii="Calibri" w:hAnsi="Calibri" w:cs="Arial"/>
        </w:rPr>
      </w:pPr>
    </w:p>
    <w:p w14:paraId="2271CBA2" w14:textId="7837A3D0" w:rsidR="00752180" w:rsidRPr="00C4343E" w:rsidRDefault="00752180" w:rsidP="005837A4">
      <w:pPr>
        <w:spacing w:line="480" w:lineRule="auto"/>
        <w:jc w:val="both"/>
        <w:rPr>
          <w:rFonts w:ascii="Calibri" w:hAnsi="Calibri" w:cs="Arial"/>
        </w:rPr>
      </w:pPr>
      <w:r>
        <w:rPr>
          <w:rFonts w:ascii="Calibri" w:hAnsi="Calibri" w:cs="Arial"/>
        </w:rPr>
        <w:lastRenderedPageBreak/>
        <w:t xml:space="preserve">The discovery of an ever-expanding plethora of coding and non-coding RNAs with </w:t>
      </w:r>
      <w:r w:rsidRPr="00C4343E">
        <w:rPr>
          <w:rFonts w:ascii="Calibri" w:hAnsi="Calibri" w:cs="Arial"/>
        </w:rPr>
        <w:t xml:space="preserve">nodal and causal roles in the regulation </w:t>
      </w:r>
      <w:r>
        <w:rPr>
          <w:rFonts w:ascii="Calibri" w:hAnsi="Calibri" w:cs="Arial"/>
        </w:rPr>
        <w:t xml:space="preserve">of lung </w:t>
      </w:r>
      <w:r w:rsidRPr="00C4343E">
        <w:rPr>
          <w:rFonts w:ascii="Calibri" w:hAnsi="Calibri" w:cs="Arial"/>
        </w:rPr>
        <w:t>physiology and disease</w:t>
      </w:r>
      <w:r>
        <w:rPr>
          <w:rFonts w:ascii="Calibri" w:hAnsi="Calibri" w:cs="Arial"/>
        </w:rPr>
        <w:t xml:space="preserve"> is reinvigorating interest in the clinical utility of the oligonucleotide therapeutic class. This is strongly supported through recent advances</w:t>
      </w:r>
      <w:r w:rsidRPr="00C4343E">
        <w:rPr>
          <w:rFonts w:ascii="Calibri" w:hAnsi="Calibri" w:cs="Arial"/>
        </w:rPr>
        <w:t xml:space="preserve"> in nucleic acids chemistry, synthetic oligonucleotide delivery and viral gene therapy </w:t>
      </w:r>
      <w:r>
        <w:rPr>
          <w:rFonts w:ascii="Calibri" w:hAnsi="Calibri" w:cs="Arial"/>
        </w:rPr>
        <w:t xml:space="preserve">that </w:t>
      </w:r>
      <w:r w:rsidRPr="00C4343E">
        <w:rPr>
          <w:rFonts w:ascii="Calibri" w:hAnsi="Calibri" w:cs="Arial"/>
        </w:rPr>
        <w:t>have</w:t>
      </w:r>
      <w:r>
        <w:rPr>
          <w:rFonts w:ascii="Calibri" w:hAnsi="Calibri" w:cs="Arial"/>
        </w:rPr>
        <w:t xml:space="preserve"> succeeded in</w:t>
      </w:r>
      <w:r w:rsidRPr="00C4343E">
        <w:rPr>
          <w:rFonts w:ascii="Calibri" w:hAnsi="Calibri" w:cs="Arial"/>
        </w:rPr>
        <w:t xml:space="preserve"> br</w:t>
      </w:r>
      <w:r>
        <w:rPr>
          <w:rFonts w:ascii="Calibri" w:hAnsi="Calibri" w:cs="Arial"/>
        </w:rPr>
        <w:t>inging</w:t>
      </w:r>
      <w:r w:rsidRPr="00C4343E">
        <w:rPr>
          <w:rFonts w:ascii="Calibri" w:hAnsi="Calibri" w:cs="Arial"/>
        </w:rPr>
        <w:t xml:space="preserve"> to market at least </w:t>
      </w:r>
      <w:r w:rsidR="00CB0B75">
        <w:rPr>
          <w:rFonts w:ascii="Calibri" w:hAnsi="Calibri" w:cs="Arial"/>
        </w:rPr>
        <w:t>three</w:t>
      </w:r>
      <w:r w:rsidRPr="00C4343E">
        <w:rPr>
          <w:rFonts w:ascii="Calibri" w:hAnsi="Calibri" w:cs="Arial"/>
        </w:rPr>
        <w:t xml:space="preserve"> </w:t>
      </w:r>
      <w:r>
        <w:rPr>
          <w:rFonts w:ascii="Calibri" w:hAnsi="Calibri" w:cs="Arial"/>
        </w:rPr>
        <w:t>nucleic acid-based</w:t>
      </w:r>
      <w:r w:rsidRPr="00C4343E">
        <w:rPr>
          <w:rFonts w:ascii="Calibri" w:hAnsi="Calibri" w:cs="Arial"/>
        </w:rPr>
        <w:t xml:space="preserve"> drug</w:t>
      </w:r>
      <w:r>
        <w:rPr>
          <w:rFonts w:ascii="Calibri" w:hAnsi="Calibri" w:cs="Arial"/>
        </w:rPr>
        <w:t>s</w:t>
      </w:r>
      <w:r w:rsidRPr="00C4343E">
        <w:rPr>
          <w:rFonts w:ascii="Calibri" w:hAnsi="Calibri" w:cs="Arial"/>
        </w:rPr>
        <w:t xml:space="preserve">. </w:t>
      </w:r>
      <w:r>
        <w:rPr>
          <w:rFonts w:ascii="Calibri" w:hAnsi="Calibri" w:cs="Arial"/>
        </w:rPr>
        <w:t>As a consequence,</w:t>
      </w:r>
      <w:r w:rsidRPr="00C4343E">
        <w:rPr>
          <w:rFonts w:ascii="Calibri" w:hAnsi="Calibri" w:cs="Arial"/>
        </w:rPr>
        <w:t xml:space="preserve"> multiple new </w:t>
      </w:r>
      <w:r>
        <w:rPr>
          <w:rFonts w:ascii="Calibri" w:hAnsi="Calibri" w:cs="Arial"/>
        </w:rPr>
        <w:t>candidates such as RNA interference modulators, antisense, and splice switching compounds</w:t>
      </w:r>
      <w:r w:rsidRPr="00C4343E">
        <w:rPr>
          <w:rFonts w:ascii="Calibri" w:hAnsi="Calibri" w:cs="Arial"/>
        </w:rPr>
        <w:t xml:space="preserve"> </w:t>
      </w:r>
      <w:r>
        <w:rPr>
          <w:rFonts w:ascii="Calibri" w:hAnsi="Calibri" w:cs="Arial"/>
        </w:rPr>
        <w:t xml:space="preserve">are </w:t>
      </w:r>
      <w:r w:rsidRPr="00C4343E">
        <w:rPr>
          <w:rFonts w:ascii="Calibri" w:hAnsi="Calibri" w:cs="Arial"/>
        </w:rPr>
        <w:t xml:space="preserve">now progressing through clinical evaluation. Here, </w:t>
      </w:r>
      <w:r>
        <w:rPr>
          <w:rFonts w:ascii="Calibri" w:hAnsi="Calibri" w:cs="Arial"/>
        </w:rPr>
        <w:t xml:space="preserve">manipulation of </w:t>
      </w:r>
      <w:r w:rsidRPr="00C4343E">
        <w:rPr>
          <w:rFonts w:ascii="Calibri" w:hAnsi="Calibri" w:cs="Arial"/>
        </w:rPr>
        <w:t>RNA</w:t>
      </w:r>
      <w:r>
        <w:rPr>
          <w:rFonts w:ascii="Calibri" w:hAnsi="Calibri" w:cs="Arial"/>
        </w:rPr>
        <w:t xml:space="preserve"> </w:t>
      </w:r>
      <w:r w:rsidRPr="00C4343E">
        <w:rPr>
          <w:rFonts w:ascii="Calibri" w:hAnsi="Calibri" w:cs="Arial"/>
        </w:rPr>
        <w:t>for</w:t>
      </w:r>
      <w:r>
        <w:rPr>
          <w:rFonts w:ascii="Calibri" w:hAnsi="Calibri" w:cs="Arial"/>
        </w:rPr>
        <w:t xml:space="preserve"> the</w:t>
      </w:r>
      <w:r w:rsidRPr="00C4343E">
        <w:rPr>
          <w:rFonts w:ascii="Calibri" w:hAnsi="Calibri" w:cs="Arial"/>
        </w:rPr>
        <w:t xml:space="preserve"> treat</w:t>
      </w:r>
      <w:r>
        <w:rPr>
          <w:rFonts w:ascii="Calibri" w:hAnsi="Calibri" w:cs="Arial"/>
        </w:rPr>
        <w:t xml:space="preserve">ment of </w:t>
      </w:r>
      <w:r w:rsidRPr="00C4343E">
        <w:rPr>
          <w:rFonts w:ascii="Calibri" w:hAnsi="Calibri" w:cs="Arial"/>
        </w:rPr>
        <w:t xml:space="preserve">lung disease </w:t>
      </w:r>
      <w:r>
        <w:rPr>
          <w:rFonts w:ascii="Calibri" w:hAnsi="Calibri" w:cs="Arial"/>
        </w:rPr>
        <w:t>is</w:t>
      </w:r>
      <w:r w:rsidRPr="00C4343E">
        <w:rPr>
          <w:rFonts w:ascii="Calibri" w:hAnsi="Calibri" w:cs="Arial"/>
        </w:rPr>
        <w:t xml:space="preserve"> explored, with emphasis on robust pharmacological evidence aligned to the five pillars of drug </w:t>
      </w:r>
      <w:r>
        <w:rPr>
          <w:rFonts w:ascii="Calibri" w:hAnsi="Calibri" w:cs="Arial"/>
        </w:rPr>
        <w:t>development</w:t>
      </w:r>
      <w:r w:rsidRPr="00C4343E">
        <w:rPr>
          <w:rFonts w:ascii="Calibri" w:hAnsi="Calibri" w:cs="Arial"/>
        </w:rPr>
        <w:t xml:space="preserve">: exposure to the appropriate tissue, binding to the desired molecular target, evidence of the expected mode of action, activity in the relevant patient population and commercially viable value proposition. </w:t>
      </w:r>
    </w:p>
    <w:p w14:paraId="2C9E9B32" w14:textId="77777777" w:rsidR="00AE56C9" w:rsidRDefault="00AE56C9" w:rsidP="005837A4">
      <w:pPr>
        <w:spacing w:line="480" w:lineRule="auto"/>
        <w:jc w:val="both"/>
        <w:rPr>
          <w:rFonts w:ascii="Calibri" w:hAnsi="Calibri" w:cs="Arial"/>
        </w:rPr>
      </w:pPr>
    </w:p>
    <w:p w14:paraId="6B2C7CFA" w14:textId="77777777" w:rsidR="005837A4" w:rsidRDefault="005837A4" w:rsidP="005837A4">
      <w:pPr>
        <w:spacing w:line="480" w:lineRule="auto"/>
        <w:jc w:val="both"/>
        <w:rPr>
          <w:rFonts w:ascii="Calibri" w:hAnsi="Calibri" w:cs="Arial"/>
          <w:b/>
        </w:rPr>
      </w:pPr>
      <w:r w:rsidRPr="009322C7">
        <w:rPr>
          <w:rFonts w:ascii="Calibri" w:hAnsi="Calibri" w:cs="Arial"/>
          <w:b/>
        </w:rPr>
        <w:t>Keywords</w:t>
      </w:r>
    </w:p>
    <w:p w14:paraId="24C364AE" w14:textId="77777777" w:rsidR="005837A4" w:rsidRPr="009322C7" w:rsidRDefault="005837A4" w:rsidP="005837A4">
      <w:pPr>
        <w:spacing w:line="480" w:lineRule="auto"/>
        <w:jc w:val="both"/>
        <w:rPr>
          <w:rFonts w:ascii="Calibri" w:hAnsi="Calibri" w:cs="Arial"/>
        </w:rPr>
      </w:pPr>
      <w:r>
        <w:rPr>
          <w:rFonts w:ascii="Calibri" w:hAnsi="Calibri" w:cs="Arial"/>
        </w:rPr>
        <w:t>Oligonucleotide therapeutics, siRNA, miRNA, PNA, PPMO, delivery.</w:t>
      </w:r>
    </w:p>
    <w:p w14:paraId="6442A122" w14:textId="77777777" w:rsidR="005837A4" w:rsidRPr="00C4343E" w:rsidRDefault="005837A4" w:rsidP="005837A4">
      <w:pPr>
        <w:spacing w:line="480" w:lineRule="auto"/>
        <w:jc w:val="both"/>
        <w:rPr>
          <w:rFonts w:ascii="Calibri" w:hAnsi="Calibri" w:cs="Arial"/>
        </w:rPr>
      </w:pPr>
    </w:p>
    <w:p w14:paraId="69521006" w14:textId="77777777" w:rsidR="009322C7" w:rsidRDefault="009322C7" w:rsidP="005837A4">
      <w:pPr>
        <w:spacing w:line="480" w:lineRule="auto"/>
        <w:jc w:val="both"/>
        <w:rPr>
          <w:rFonts w:ascii="Calibri" w:hAnsi="Calibri" w:cs="Arial"/>
        </w:rPr>
      </w:pPr>
    </w:p>
    <w:p w14:paraId="64D926EE" w14:textId="77777777" w:rsidR="00AE56C9" w:rsidRPr="00C4343E" w:rsidRDefault="00AE56C9" w:rsidP="005837A4">
      <w:pPr>
        <w:spacing w:line="480" w:lineRule="auto"/>
        <w:jc w:val="both"/>
        <w:rPr>
          <w:rFonts w:ascii="Calibri" w:hAnsi="Calibri" w:cs="Arial"/>
        </w:rPr>
      </w:pPr>
      <w:r w:rsidRPr="00C4343E">
        <w:rPr>
          <w:rFonts w:ascii="Calibri" w:hAnsi="Calibri" w:cs="Arial"/>
        </w:rPr>
        <w:br w:type="page"/>
      </w:r>
    </w:p>
    <w:sdt>
      <w:sdtPr>
        <w:rPr>
          <w:rFonts w:ascii="Calibri" w:eastAsiaTheme="minorHAnsi" w:hAnsi="Calibri" w:cs="Times New Roman"/>
          <w:bCs w:val="0"/>
          <w:color w:val="auto"/>
          <w:sz w:val="24"/>
          <w:szCs w:val="22"/>
        </w:rPr>
        <w:id w:val="-1842767325"/>
        <w:docPartObj>
          <w:docPartGallery w:val="Table of Contents"/>
          <w:docPartUnique/>
        </w:docPartObj>
      </w:sdtPr>
      <w:sdtEndPr>
        <w:rPr>
          <w:noProof/>
        </w:rPr>
      </w:sdtEndPr>
      <w:sdtContent>
        <w:p w14:paraId="4466A305" w14:textId="021F544D" w:rsidR="007E1888" w:rsidRPr="005837A4" w:rsidRDefault="007E1888" w:rsidP="005837A4">
          <w:pPr>
            <w:pStyle w:val="TOCHeading"/>
            <w:spacing w:line="480" w:lineRule="auto"/>
            <w:rPr>
              <w:color w:val="auto"/>
            </w:rPr>
          </w:pPr>
          <w:r w:rsidRPr="005837A4">
            <w:rPr>
              <w:color w:val="auto"/>
            </w:rPr>
            <w:t>Table of Contents</w:t>
          </w:r>
        </w:p>
        <w:p w14:paraId="322E4EAC" w14:textId="77777777" w:rsidR="005837A4" w:rsidRDefault="005837A4">
          <w:pPr>
            <w:pStyle w:val="TOC1"/>
            <w:tabs>
              <w:tab w:val="left" w:pos="426"/>
              <w:tab w:val="right" w:leader="dot" w:pos="9010"/>
            </w:tabs>
            <w:rPr>
              <w:rFonts w:asciiTheme="minorHAnsi" w:eastAsiaTheme="minorEastAsia" w:hAnsiTheme="minorHAnsi" w:cstheme="minorBidi"/>
              <w:b w:val="0"/>
              <w:noProof/>
              <w:lang w:val="en-GB" w:eastAsia="ja-JP"/>
            </w:rPr>
          </w:pPr>
          <w:r>
            <w:rPr>
              <w:rFonts w:asciiTheme="minorHAnsi" w:hAnsiTheme="minorHAnsi"/>
            </w:rPr>
            <w:fldChar w:fldCharType="begin"/>
          </w:r>
          <w:r>
            <w:rPr>
              <w:rFonts w:asciiTheme="minorHAnsi" w:hAnsiTheme="minorHAnsi"/>
            </w:rPr>
            <w:instrText xml:space="preserve"> TOC \o "1-1" </w:instrText>
          </w:r>
          <w:r>
            <w:rPr>
              <w:rFonts w:asciiTheme="minorHAnsi" w:hAnsiTheme="minorHAnsi"/>
            </w:rPr>
            <w:fldChar w:fldCharType="separate"/>
          </w:r>
          <w:r w:rsidRPr="00D15B1D">
            <w:rPr>
              <w:noProof/>
            </w:rPr>
            <w:t>1.</w:t>
          </w:r>
          <w:r>
            <w:rPr>
              <w:rFonts w:asciiTheme="minorHAnsi" w:eastAsiaTheme="minorEastAsia" w:hAnsiTheme="minorHAnsi" w:cstheme="minorBidi"/>
              <w:b w:val="0"/>
              <w:noProof/>
              <w:lang w:val="en-GB" w:eastAsia="ja-JP"/>
            </w:rPr>
            <w:tab/>
          </w:r>
          <w:r w:rsidRPr="00D15B1D">
            <w:rPr>
              <w:noProof/>
            </w:rPr>
            <w:t>Introduction.</w:t>
          </w:r>
          <w:r>
            <w:rPr>
              <w:noProof/>
            </w:rPr>
            <w:tab/>
          </w:r>
          <w:r>
            <w:rPr>
              <w:noProof/>
            </w:rPr>
            <w:fldChar w:fldCharType="begin"/>
          </w:r>
          <w:r>
            <w:rPr>
              <w:noProof/>
            </w:rPr>
            <w:instrText xml:space="preserve"> PAGEREF _Toc322260965 \h </w:instrText>
          </w:r>
          <w:r>
            <w:rPr>
              <w:noProof/>
            </w:rPr>
          </w:r>
          <w:r>
            <w:rPr>
              <w:noProof/>
            </w:rPr>
            <w:fldChar w:fldCharType="separate"/>
          </w:r>
          <w:r>
            <w:rPr>
              <w:noProof/>
            </w:rPr>
            <w:t>4</w:t>
          </w:r>
          <w:r>
            <w:rPr>
              <w:noProof/>
            </w:rPr>
            <w:fldChar w:fldCharType="end"/>
          </w:r>
        </w:p>
        <w:p w14:paraId="358CF1D4" w14:textId="77777777" w:rsidR="005837A4" w:rsidRDefault="005837A4">
          <w:pPr>
            <w:pStyle w:val="TOC1"/>
            <w:tabs>
              <w:tab w:val="left" w:pos="426"/>
              <w:tab w:val="right" w:leader="dot" w:pos="9010"/>
            </w:tabs>
            <w:rPr>
              <w:rFonts w:asciiTheme="minorHAnsi" w:eastAsiaTheme="minorEastAsia" w:hAnsiTheme="minorHAnsi" w:cstheme="minorBidi"/>
              <w:b w:val="0"/>
              <w:noProof/>
              <w:lang w:val="en-GB" w:eastAsia="ja-JP"/>
            </w:rPr>
          </w:pPr>
          <w:r>
            <w:rPr>
              <w:noProof/>
            </w:rPr>
            <w:t>2.</w:t>
          </w:r>
          <w:r>
            <w:rPr>
              <w:rFonts w:asciiTheme="minorHAnsi" w:eastAsiaTheme="minorEastAsia" w:hAnsiTheme="minorHAnsi" w:cstheme="minorBidi"/>
              <w:b w:val="0"/>
              <w:noProof/>
              <w:lang w:val="en-GB" w:eastAsia="ja-JP"/>
            </w:rPr>
            <w:tab/>
          </w:r>
          <w:r>
            <w:rPr>
              <w:noProof/>
            </w:rPr>
            <w:t>Modulating RNA homeostasis with oligonucleotide-based therapeutics.</w:t>
          </w:r>
          <w:r>
            <w:rPr>
              <w:noProof/>
            </w:rPr>
            <w:tab/>
          </w:r>
          <w:r>
            <w:rPr>
              <w:noProof/>
            </w:rPr>
            <w:fldChar w:fldCharType="begin"/>
          </w:r>
          <w:r>
            <w:rPr>
              <w:noProof/>
            </w:rPr>
            <w:instrText xml:space="preserve"> PAGEREF _Toc322260966 \h </w:instrText>
          </w:r>
          <w:r>
            <w:rPr>
              <w:noProof/>
            </w:rPr>
          </w:r>
          <w:r>
            <w:rPr>
              <w:noProof/>
            </w:rPr>
            <w:fldChar w:fldCharType="separate"/>
          </w:r>
          <w:r>
            <w:rPr>
              <w:noProof/>
            </w:rPr>
            <w:t>9</w:t>
          </w:r>
          <w:r>
            <w:rPr>
              <w:noProof/>
            </w:rPr>
            <w:fldChar w:fldCharType="end"/>
          </w:r>
        </w:p>
        <w:p w14:paraId="7B262795" w14:textId="77777777" w:rsidR="005837A4" w:rsidRDefault="005837A4">
          <w:pPr>
            <w:pStyle w:val="TOC1"/>
            <w:tabs>
              <w:tab w:val="left" w:pos="480"/>
              <w:tab w:val="right" w:leader="dot" w:pos="9010"/>
            </w:tabs>
            <w:rPr>
              <w:rFonts w:asciiTheme="minorHAnsi" w:eastAsiaTheme="minorEastAsia" w:hAnsiTheme="minorHAnsi" w:cstheme="minorBidi"/>
              <w:b w:val="0"/>
              <w:noProof/>
              <w:lang w:val="en-GB" w:eastAsia="ja-JP"/>
            </w:rPr>
          </w:pPr>
          <w:r>
            <w:rPr>
              <w:noProof/>
            </w:rPr>
            <w:t xml:space="preserve">3. </w:t>
          </w:r>
          <w:r>
            <w:rPr>
              <w:rFonts w:asciiTheme="minorHAnsi" w:eastAsiaTheme="minorEastAsia" w:hAnsiTheme="minorHAnsi" w:cstheme="minorBidi"/>
              <w:b w:val="0"/>
              <w:noProof/>
              <w:lang w:val="en-GB" w:eastAsia="ja-JP"/>
            </w:rPr>
            <w:tab/>
          </w:r>
          <w:r>
            <w:rPr>
              <w:noProof/>
            </w:rPr>
            <w:t>Clinical progress of oligonucleotide therapeutics for lung disease.</w:t>
          </w:r>
          <w:r>
            <w:rPr>
              <w:noProof/>
            </w:rPr>
            <w:tab/>
          </w:r>
          <w:r>
            <w:rPr>
              <w:noProof/>
            </w:rPr>
            <w:fldChar w:fldCharType="begin"/>
          </w:r>
          <w:r>
            <w:rPr>
              <w:noProof/>
            </w:rPr>
            <w:instrText xml:space="preserve"> PAGEREF _Toc322260967 \h </w:instrText>
          </w:r>
          <w:r>
            <w:rPr>
              <w:noProof/>
            </w:rPr>
          </w:r>
          <w:r>
            <w:rPr>
              <w:noProof/>
            </w:rPr>
            <w:fldChar w:fldCharType="separate"/>
          </w:r>
          <w:r>
            <w:rPr>
              <w:noProof/>
            </w:rPr>
            <w:t>25</w:t>
          </w:r>
          <w:r>
            <w:rPr>
              <w:noProof/>
            </w:rPr>
            <w:fldChar w:fldCharType="end"/>
          </w:r>
        </w:p>
        <w:p w14:paraId="01C9699B" w14:textId="77777777" w:rsidR="005837A4" w:rsidRDefault="005837A4">
          <w:pPr>
            <w:pStyle w:val="TOC1"/>
            <w:tabs>
              <w:tab w:val="left" w:pos="426"/>
              <w:tab w:val="right" w:leader="dot" w:pos="9010"/>
            </w:tabs>
            <w:rPr>
              <w:rFonts w:asciiTheme="minorHAnsi" w:eastAsiaTheme="minorEastAsia" w:hAnsiTheme="minorHAnsi" w:cstheme="minorBidi"/>
              <w:b w:val="0"/>
              <w:noProof/>
              <w:lang w:val="en-GB" w:eastAsia="ja-JP"/>
            </w:rPr>
          </w:pPr>
          <w:r>
            <w:rPr>
              <w:noProof/>
            </w:rPr>
            <w:t>4.</w:t>
          </w:r>
          <w:r>
            <w:rPr>
              <w:rFonts w:asciiTheme="minorHAnsi" w:eastAsiaTheme="minorEastAsia" w:hAnsiTheme="minorHAnsi" w:cstheme="minorBidi"/>
              <w:b w:val="0"/>
              <w:noProof/>
              <w:lang w:val="en-GB" w:eastAsia="ja-JP"/>
            </w:rPr>
            <w:tab/>
          </w:r>
          <w:r>
            <w:rPr>
              <w:noProof/>
            </w:rPr>
            <w:t>Oligonucleotide Pharmacology: Time for a Reboot?</w:t>
          </w:r>
          <w:r>
            <w:rPr>
              <w:noProof/>
            </w:rPr>
            <w:tab/>
          </w:r>
          <w:r>
            <w:rPr>
              <w:noProof/>
            </w:rPr>
            <w:fldChar w:fldCharType="begin"/>
          </w:r>
          <w:r>
            <w:rPr>
              <w:noProof/>
            </w:rPr>
            <w:instrText xml:space="preserve"> PAGEREF _Toc322260968 \h </w:instrText>
          </w:r>
          <w:r>
            <w:rPr>
              <w:noProof/>
            </w:rPr>
          </w:r>
          <w:r>
            <w:rPr>
              <w:noProof/>
            </w:rPr>
            <w:fldChar w:fldCharType="separate"/>
          </w:r>
          <w:r>
            <w:rPr>
              <w:noProof/>
            </w:rPr>
            <w:t>37</w:t>
          </w:r>
          <w:r>
            <w:rPr>
              <w:noProof/>
            </w:rPr>
            <w:fldChar w:fldCharType="end"/>
          </w:r>
        </w:p>
        <w:p w14:paraId="26E51722" w14:textId="77777777" w:rsidR="005837A4" w:rsidRDefault="005837A4">
          <w:pPr>
            <w:pStyle w:val="TOC1"/>
            <w:tabs>
              <w:tab w:val="left" w:pos="426"/>
              <w:tab w:val="right" w:leader="dot" w:pos="9010"/>
            </w:tabs>
            <w:rPr>
              <w:rFonts w:asciiTheme="minorHAnsi" w:eastAsiaTheme="minorEastAsia" w:hAnsiTheme="minorHAnsi" w:cstheme="minorBidi"/>
              <w:b w:val="0"/>
              <w:noProof/>
              <w:lang w:val="en-GB" w:eastAsia="ja-JP"/>
            </w:rPr>
          </w:pPr>
          <w:r>
            <w:rPr>
              <w:noProof/>
            </w:rPr>
            <w:t>5.</w:t>
          </w:r>
          <w:r>
            <w:rPr>
              <w:rFonts w:asciiTheme="minorHAnsi" w:eastAsiaTheme="minorEastAsia" w:hAnsiTheme="minorHAnsi" w:cstheme="minorBidi"/>
              <w:b w:val="0"/>
              <w:noProof/>
              <w:lang w:val="en-GB" w:eastAsia="ja-JP"/>
            </w:rPr>
            <w:tab/>
          </w:r>
          <w:r>
            <w:rPr>
              <w:noProof/>
            </w:rPr>
            <w:t>Concluding remarks and future challenges.</w:t>
          </w:r>
          <w:r>
            <w:rPr>
              <w:noProof/>
            </w:rPr>
            <w:tab/>
          </w:r>
          <w:r>
            <w:rPr>
              <w:noProof/>
            </w:rPr>
            <w:fldChar w:fldCharType="begin"/>
          </w:r>
          <w:r>
            <w:rPr>
              <w:noProof/>
            </w:rPr>
            <w:instrText xml:space="preserve"> PAGEREF _Toc322260969 \h </w:instrText>
          </w:r>
          <w:r>
            <w:rPr>
              <w:noProof/>
            </w:rPr>
          </w:r>
          <w:r>
            <w:rPr>
              <w:noProof/>
            </w:rPr>
            <w:fldChar w:fldCharType="separate"/>
          </w:r>
          <w:r>
            <w:rPr>
              <w:noProof/>
            </w:rPr>
            <w:t>42</w:t>
          </w:r>
          <w:r>
            <w:rPr>
              <w:noProof/>
            </w:rPr>
            <w:fldChar w:fldCharType="end"/>
          </w:r>
        </w:p>
        <w:p w14:paraId="3088DA19" w14:textId="43C0CAF3" w:rsidR="007E1888" w:rsidRDefault="005837A4" w:rsidP="005837A4">
          <w:pPr>
            <w:pStyle w:val="TOC2"/>
          </w:pPr>
          <w:r>
            <w:rPr>
              <w:rFonts w:asciiTheme="minorHAnsi" w:hAnsiTheme="minorHAnsi"/>
              <w:szCs w:val="24"/>
            </w:rPr>
            <w:fldChar w:fldCharType="end"/>
          </w:r>
        </w:p>
      </w:sdtContent>
    </w:sdt>
    <w:p w14:paraId="6B79C659" w14:textId="77777777" w:rsidR="005837A4" w:rsidRDefault="005837A4">
      <w:pPr>
        <w:rPr>
          <w:rFonts w:ascii="Calibri" w:hAnsi="Calibri" w:cs="Arial"/>
          <w:b/>
        </w:rPr>
      </w:pPr>
      <w:r>
        <w:rPr>
          <w:rFonts w:ascii="Calibri" w:hAnsi="Calibri" w:cs="Arial"/>
          <w:b/>
        </w:rPr>
        <w:br w:type="page"/>
      </w:r>
    </w:p>
    <w:p w14:paraId="4B935860" w14:textId="3DB53331" w:rsidR="005837A4" w:rsidRPr="009322C7" w:rsidRDefault="005837A4" w:rsidP="005837A4">
      <w:pPr>
        <w:spacing w:line="480" w:lineRule="auto"/>
        <w:jc w:val="both"/>
        <w:rPr>
          <w:rFonts w:ascii="Calibri" w:hAnsi="Calibri" w:cs="Arial"/>
          <w:b/>
        </w:rPr>
      </w:pPr>
      <w:r w:rsidRPr="009322C7">
        <w:rPr>
          <w:rFonts w:ascii="Calibri" w:hAnsi="Calibri" w:cs="Arial"/>
          <w:b/>
        </w:rPr>
        <w:lastRenderedPageBreak/>
        <w:t xml:space="preserve">Abbreviations </w:t>
      </w:r>
    </w:p>
    <w:p w14:paraId="6EB232D7" w14:textId="3AB26833" w:rsidR="005837A4" w:rsidRPr="00C4343E" w:rsidRDefault="005837A4" w:rsidP="005837A4">
      <w:pPr>
        <w:spacing w:line="480" w:lineRule="auto"/>
        <w:jc w:val="both"/>
        <w:rPr>
          <w:rFonts w:ascii="Calibri" w:hAnsi="Calibri" w:cs="Arial"/>
        </w:rPr>
      </w:pPr>
      <w:r w:rsidRPr="00C4343E">
        <w:rPr>
          <w:rFonts w:ascii="Calibri" w:hAnsi="Calibri" w:cs="Arial"/>
        </w:rPr>
        <w:t>AGO, Argonaute;</w:t>
      </w:r>
      <w:r>
        <w:rPr>
          <w:rFonts w:ascii="Calibri" w:hAnsi="Calibri" w:cs="Arial"/>
        </w:rPr>
        <w:t xml:space="preserve"> ASO, antisense oligonucleotide; CCR3, C-C chemokine receptor 3; CPP, cell penetrating peptide; COPD, chronic obstructive pulmonary disease;</w:t>
      </w:r>
      <w:r w:rsidRPr="00C4343E">
        <w:rPr>
          <w:rFonts w:ascii="Calibri" w:hAnsi="Calibri" w:cs="Arial"/>
        </w:rPr>
        <w:t xml:space="preserve"> </w:t>
      </w:r>
      <w:r>
        <w:rPr>
          <w:rFonts w:ascii="Calibri" w:hAnsi="Calibri" w:cs="Arial"/>
        </w:rPr>
        <w:t xml:space="preserve">CD, cluster designation; GMCSF, granulocyte monocyte – colony stimulating factor; IL, interleukin; IL-‘X’R, Interleukin receptor number ‘X’; LNA, locked nucleic acid; miRNA, microRNA; </w:t>
      </w:r>
      <w:r w:rsidRPr="00C4343E">
        <w:rPr>
          <w:rFonts w:ascii="Calibri" w:hAnsi="Calibri" w:cs="Arial"/>
        </w:rPr>
        <w:t xml:space="preserve">ncRNA, non-coding RNA; nucleotide, nt; </w:t>
      </w:r>
      <w:r>
        <w:rPr>
          <w:rFonts w:ascii="Calibri" w:hAnsi="Calibri" w:cs="Arial"/>
        </w:rPr>
        <w:t xml:space="preserve">PNA, peptide nucleic acid; PMO, </w:t>
      </w:r>
      <w:r w:rsidRPr="00063133">
        <w:rPr>
          <w:rFonts w:ascii="Calibri" w:hAnsi="Calibri" w:cs="Arial"/>
        </w:rPr>
        <w:t>phosphorodiamidate morpholinos</w:t>
      </w:r>
      <w:r>
        <w:rPr>
          <w:rFonts w:ascii="Calibri" w:hAnsi="Calibri" w:cs="Arial"/>
        </w:rPr>
        <w:t>;</w:t>
      </w:r>
      <w:r w:rsidRPr="00063133">
        <w:rPr>
          <w:rFonts w:ascii="Calibri" w:hAnsi="Calibri" w:cs="Arial"/>
        </w:rPr>
        <w:t xml:space="preserve"> </w:t>
      </w:r>
      <w:r w:rsidRPr="00C4343E">
        <w:rPr>
          <w:rFonts w:ascii="Calibri" w:hAnsi="Calibri" w:cs="Arial"/>
        </w:rPr>
        <w:t xml:space="preserve">RISC, RNA induced silencing complex; RNAi, RNA interference; RNA-Seq; next generation sequencing of RNA; </w:t>
      </w:r>
      <w:r>
        <w:rPr>
          <w:rFonts w:ascii="Calibri" w:hAnsi="Calibri" w:cs="Arial"/>
        </w:rPr>
        <w:t xml:space="preserve">PPMO, peptide-conjugated phosphorodiamidate morpholinos; </w:t>
      </w:r>
      <w:r w:rsidRPr="00C4343E">
        <w:rPr>
          <w:rFonts w:ascii="Calibri" w:hAnsi="Calibri" w:cs="Arial"/>
        </w:rPr>
        <w:t xml:space="preserve">siRNA, short </w:t>
      </w:r>
      <w:r>
        <w:rPr>
          <w:rFonts w:ascii="Calibri" w:hAnsi="Calibri" w:cs="Arial"/>
        </w:rPr>
        <w:t>(or small) interfering RNA; TLR,</w:t>
      </w:r>
      <w:r w:rsidRPr="00C4343E">
        <w:rPr>
          <w:rFonts w:ascii="Calibri" w:hAnsi="Calibri" w:cs="Arial"/>
        </w:rPr>
        <w:t xml:space="preserve"> toll-like receptor; UTR, un</w:t>
      </w:r>
      <w:r>
        <w:rPr>
          <w:rFonts w:ascii="Calibri" w:hAnsi="Calibri" w:cs="Arial"/>
        </w:rPr>
        <w:t>-</w:t>
      </w:r>
      <w:r w:rsidRPr="00C4343E">
        <w:rPr>
          <w:rFonts w:ascii="Calibri" w:hAnsi="Calibri" w:cs="Arial"/>
        </w:rPr>
        <w:t xml:space="preserve">translated region; </w:t>
      </w:r>
      <w:r w:rsidRPr="00D81E51">
        <w:rPr>
          <w:rFonts w:ascii="Symbol" w:hAnsi="Symbol" w:cs="Arial"/>
        </w:rPr>
        <w:t></w:t>
      </w:r>
      <w:r>
        <w:rPr>
          <w:rFonts w:ascii="Calibri" w:hAnsi="Calibri" w:cs="Arial"/>
        </w:rPr>
        <w:t>c, common beta chain.</w:t>
      </w:r>
    </w:p>
    <w:p w14:paraId="0DBD9895" w14:textId="371F6C87" w:rsidR="00AE56C9" w:rsidRPr="00C4343E" w:rsidRDefault="00AE56C9" w:rsidP="005837A4">
      <w:pPr>
        <w:pStyle w:val="TOC1"/>
        <w:spacing w:before="0"/>
      </w:pPr>
    </w:p>
    <w:p w14:paraId="7353B45D" w14:textId="77777777" w:rsidR="005837A4" w:rsidRDefault="005837A4">
      <w:pPr>
        <w:rPr>
          <w:rStyle w:val="Strong"/>
          <w:rFonts w:asciiTheme="majorHAnsi" w:eastAsiaTheme="majorEastAsia" w:hAnsiTheme="majorHAnsi" w:cstheme="majorBidi"/>
          <w:bCs w:val="0"/>
          <w:color w:val="000000" w:themeColor="text1"/>
          <w:szCs w:val="32"/>
        </w:rPr>
      </w:pPr>
      <w:r>
        <w:rPr>
          <w:rStyle w:val="Strong"/>
          <w:b w:val="0"/>
        </w:rPr>
        <w:br w:type="page"/>
      </w:r>
    </w:p>
    <w:p w14:paraId="3D934766" w14:textId="45554563" w:rsidR="00AE56C9" w:rsidRDefault="00803D8B" w:rsidP="005837A4">
      <w:pPr>
        <w:pStyle w:val="Heading1"/>
        <w:rPr>
          <w:rStyle w:val="Strong"/>
          <w:b/>
        </w:rPr>
      </w:pPr>
      <w:bookmarkStart w:id="0" w:name="_Toc322260965"/>
      <w:r>
        <w:rPr>
          <w:rStyle w:val="Strong"/>
          <w:b/>
        </w:rPr>
        <w:lastRenderedPageBreak/>
        <w:t>1.</w:t>
      </w:r>
      <w:r>
        <w:rPr>
          <w:rStyle w:val="Strong"/>
          <w:b/>
        </w:rPr>
        <w:tab/>
      </w:r>
      <w:r w:rsidR="00AE56C9" w:rsidRPr="009F4384">
        <w:rPr>
          <w:rStyle w:val="Strong"/>
          <w:b/>
        </w:rPr>
        <w:t>Introduction</w:t>
      </w:r>
      <w:r w:rsidR="00C045FB">
        <w:rPr>
          <w:rStyle w:val="Strong"/>
          <w:b/>
        </w:rPr>
        <w:t>.</w:t>
      </w:r>
      <w:bookmarkEnd w:id="0"/>
    </w:p>
    <w:p w14:paraId="6CD02D80" w14:textId="77777777" w:rsidR="00FA1813" w:rsidRPr="00FA1813" w:rsidRDefault="00FA1813" w:rsidP="005837A4">
      <w:pPr>
        <w:spacing w:line="480" w:lineRule="auto"/>
      </w:pPr>
    </w:p>
    <w:p w14:paraId="0049164D" w14:textId="695440AB" w:rsidR="00803D8B" w:rsidRDefault="00AE56C9" w:rsidP="005837A4">
      <w:pPr>
        <w:spacing w:line="480" w:lineRule="auto"/>
        <w:jc w:val="both"/>
        <w:rPr>
          <w:rFonts w:ascii="Calibri" w:hAnsi="Calibri" w:cs="Arial"/>
        </w:rPr>
      </w:pPr>
      <w:r w:rsidRPr="00C4343E">
        <w:rPr>
          <w:rFonts w:ascii="Calibri" w:hAnsi="Calibri" w:cs="Arial"/>
        </w:rPr>
        <w:t xml:space="preserve">Pharmacologic intervention </w:t>
      </w:r>
      <w:r w:rsidR="00B32BE9">
        <w:rPr>
          <w:rFonts w:ascii="Calibri" w:hAnsi="Calibri" w:cs="Arial"/>
        </w:rPr>
        <w:t xml:space="preserve">commonly </w:t>
      </w:r>
      <w:r w:rsidR="00A36F46">
        <w:rPr>
          <w:rFonts w:ascii="Calibri" w:hAnsi="Calibri" w:cs="Arial"/>
        </w:rPr>
        <w:t xml:space="preserve">involves </w:t>
      </w:r>
      <w:r w:rsidR="00B32BE9">
        <w:rPr>
          <w:rFonts w:ascii="Calibri" w:hAnsi="Calibri" w:cs="Arial"/>
        </w:rPr>
        <w:t>the administration of synthetic small molecules, r</w:t>
      </w:r>
      <w:r w:rsidR="00FA1813">
        <w:rPr>
          <w:rFonts w:ascii="Calibri" w:hAnsi="Calibri" w:cs="Arial"/>
        </w:rPr>
        <w:t>ecombinant proteins or antibody-based therapeutics that target or mimic the action of proteins. However, these approaches can only be employed to target certain classes of proteins (i.e. extracellular protein in the case of antibodies)</w:t>
      </w:r>
      <w:r w:rsidR="00CD03B1">
        <w:rPr>
          <w:rFonts w:ascii="Calibri" w:hAnsi="Calibri" w:cs="Arial"/>
        </w:rPr>
        <w:t>.</w:t>
      </w:r>
      <w:r w:rsidR="006C0CA5">
        <w:rPr>
          <w:rFonts w:ascii="Calibri" w:hAnsi="Calibri" w:cs="Arial"/>
        </w:rPr>
        <w:t xml:space="preserve"> </w:t>
      </w:r>
      <w:r w:rsidR="00CD03B1">
        <w:rPr>
          <w:rFonts w:ascii="Calibri" w:hAnsi="Calibri" w:cs="Arial"/>
        </w:rPr>
        <w:t>This</w:t>
      </w:r>
      <w:r w:rsidR="006C0CA5">
        <w:rPr>
          <w:rFonts w:ascii="Calibri" w:hAnsi="Calibri" w:cs="Arial"/>
        </w:rPr>
        <w:t xml:space="preserve"> has lead to </w:t>
      </w:r>
      <w:r w:rsidR="00FA1813">
        <w:rPr>
          <w:rFonts w:ascii="Calibri" w:hAnsi="Calibri" w:cs="Arial"/>
        </w:rPr>
        <w:t xml:space="preserve">emerging interest in targeting </w:t>
      </w:r>
      <w:r w:rsidR="006C0CA5">
        <w:rPr>
          <w:rFonts w:ascii="Calibri" w:hAnsi="Calibri" w:cs="Arial"/>
        </w:rPr>
        <w:t xml:space="preserve">proteins </w:t>
      </w:r>
      <w:r w:rsidR="00FA1813">
        <w:rPr>
          <w:rFonts w:ascii="Calibri" w:hAnsi="Calibri" w:cs="Arial"/>
        </w:rPr>
        <w:t xml:space="preserve">at the mRNA </w:t>
      </w:r>
      <w:r w:rsidR="006C0CA5">
        <w:rPr>
          <w:rFonts w:ascii="Calibri" w:hAnsi="Calibri" w:cs="Arial"/>
        </w:rPr>
        <w:t>level using oligonucleot</w:t>
      </w:r>
      <w:r w:rsidR="00A36F46">
        <w:rPr>
          <w:rFonts w:ascii="Calibri" w:hAnsi="Calibri" w:cs="Arial"/>
        </w:rPr>
        <w:t>ide-based therapeutics such as</w:t>
      </w:r>
      <w:r w:rsidR="006C0CA5">
        <w:rPr>
          <w:rFonts w:ascii="Calibri" w:hAnsi="Calibri" w:cs="Arial"/>
        </w:rPr>
        <w:t xml:space="preserve"> antisense and short </w:t>
      </w:r>
      <w:r w:rsidR="00DB73B3">
        <w:rPr>
          <w:rFonts w:ascii="Calibri" w:hAnsi="Calibri" w:cs="Arial"/>
        </w:rPr>
        <w:t xml:space="preserve">(or small) </w:t>
      </w:r>
      <w:r w:rsidR="006C0CA5">
        <w:rPr>
          <w:rFonts w:ascii="Calibri" w:hAnsi="Calibri" w:cs="Arial"/>
        </w:rPr>
        <w:t>interfer</w:t>
      </w:r>
      <w:r w:rsidR="009F0320">
        <w:rPr>
          <w:rFonts w:ascii="Calibri" w:hAnsi="Calibri" w:cs="Arial"/>
        </w:rPr>
        <w:t>ing</w:t>
      </w:r>
      <w:r w:rsidR="006C0CA5">
        <w:rPr>
          <w:rFonts w:ascii="Calibri" w:hAnsi="Calibri" w:cs="Arial"/>
        </w:rPr>
        <w:t xml:space="preserve"> RNA (siRNA). Since the actions of oligonucleotide therapeutics are mediated through Watson-Crick binding, this approach </w:t>
      </w:r>
      <w:r w:rsidR="00A36F46">
        <w:rPr>
          <w:rFonts w:ascii="Calibri" w:hAnsi="Calibri" w:cs="Arial"/>
        </w:rPr>
        <w:t xml:space="preserve">has the advantage of being able to </w:t>
      </w:r>
      <w:r w:rsidR="006C0CA5">
        <w:rPr>
          <w:rFonts w:ascii="Calibri" w:hAnsi="Calibri" w:cs="Arial"/>
        </w:rPr>
        <w:t xml:space="preserve">target all known mRNAs, as well </w:t>
      </w:r>
      <w:r w:rsidR="00CB0B75">
        <w:rPr>
          <w:rFonts w:ascii="Calibri" w:hAnsi="Calibri" w:cs="Arial"/>
        </w:rPr>
        <w:t xml:space="preserve">as </w:t>
      </w:r>
      <w:r w:rsidR="006C0CA5">
        <w:rPr>
          <w:rFonts w:ascii="Calibri" w:hAnsi="Calibri" w:cs="Arial"/>
        </w:rPr>
        <w:t>regulatory no</w:t>
      </w:r>
      <w:r w:rsidR="00A36F46">
        <w:rPr>
          <w:rFonts w:ascii="Calibri" w:hAnsi="Calibri" w:cs="Arial"/>
        </w:rPr>
        <w:t xml:space="preserve">n-coding RNAs </w:t>
      </w:r>
      <w:r w:rsidR="00CD03B1">
        <w:rPr>
          <w:rFonts w:ascii="Calibri" w:hAnsi="Calibri" w:cs="Arial"/>
        </w:rPr>
        <w:t xml:space="preserve">(ncRNA) </w:t>
      </w:r>
      <w:r w:rsidR="00A36F46">
        <w:rPr>
          <w:rFonts w:ascii="Calibri" w:hAnsi="Calibri" w:cs="Arial"/>
        </w:rPr>
        <w:t>such as microRNAs</w:t>
      </w:r>
      <w:r w:rsidR="00AD1D91">
        <w:rPr>
          <w:rFonts w:ascii="Calibri" w:hAnsi="Calibri" w:cs="Arial"/>
        </w:rPr>
        <w:t xml:space="preserve"> (miRNA)</w:t>
      </w:r>
      <w:r w:rsidR="006C0CA5">
        <w:rPr>
          <w:rFonts w:ascii="Calibri" w:hAnsi="Calibri" w:cs="Arial"/>
        </w:rPr>
        <w:t xml:space="preserve"> </w:t>
      </w:r>
      <w:r w:rsidR="00B16772">
        <w:rPr>
          <w:rFonts w:ascii="Calibri" w:hAnsi="Calibri" w:cs="Arial"/>
        </w:rPr>
        <w:fldChar w:fldCharType="begin" w:fldLock="1"/>
      </w:r>
      <w:r w:rsidR="00C55981">
        <w:rPr>
          <w:rFonts w:ascii="Calibri" w:hAnsi="Calibri" w:cs="Arial"/>
        </w:rPr>
        <w:instrText>ADDIN CSL_CITATION { "citationItems" : [ { "id" : "ITEM-1", "itemData" : { "DOI" : "10.1038/nature11233", "ISSN" : "1476-4687", "PMID" : "22955620", "abstract" : "Eukaryotic cells make many types of primary and processed RNAs that are found either in specific subcellular compartments or throughout the cells. A complete catalogue of these RNAs is not yet available and their characteristic subcellular localizations are also poorly understood. Because RNA represents the direct output of the genetic information encoded by genomes and a significant proportion of a cell's regulatory capabilities are focused on its synthesis, processing, transport, modification and translation, the generation of such a catalogue is crucial for understanding genome function. Here we report evidence that three-quarters of the human genome is capable of being transcribed, as well as observations about the range and levels of expression, localization, processing fates, regulatory regions and modifications of almost all currently annotated and thousands of previously unannotated RNAs. These observations, taken together, prompt a redefinition of the concept of a gene.", "author" : [ { "dropping-particle" : "", "family" : "Djebali", "given" : "Sarah", "non-dropping-particle" : "", "parse-names" : false, "suffix" : "" }, { "dropping-particle" : "", "family" : "Davis", "given" : "Carrie A", "non-dropping-particle" : "", "parse-names" : false, "suffix" : "" }, { "dropping-particle" : "", "family" : "Merkel", "given" : "Angelika", "non-dropping-particle" : "", "parse-names" : false, "suffix" : "" }, { "dropping-particle" : "", "family" : "Dobin", "given" : "Alex", "non-dropping-particle" : "", "parse-names" : false, "suffix" : "" }, { "dropping-particle" : "", "family" : "Lassmann", "given" : "Timo", "non-dropping-particle" : "", "parse-names" : false, "suffix" : "" }, { "dropping-particle" : "", "family" : "Mortazavi", "given" : "Ali", "non-dropping-particle" : "", "parse-names" : false, "suffix" : "" }, { "dropping-particle" : "", "family" : "Tanzer", "given" : "Andrea", "non-dropping-particle" : "", "parse-names" : false, "suffix" : "" }, { "dropping-particle" : "", "family" : "Lagarde", "given" : "Julien", "non-dropping-particle" : "", "parse-names" : false, "suffix" : "" }, { "dropping-particle" : "", "family" : "Lin", "given" : "Wei", "non-dropping-particle" : "", "parse-names" : false, "suffix" : "" }, { "dropping-particle" : "", "family" : "Schlesinger", "given" : "Felix", "non-dropping-particle" : "", "parse-names" : false, "suffix" : "" }, { "dropping-particle" : "", "family" : "Xue", "given" : "Chenghai", "non-dropping-particle" : "", "parse-names" : false, "suffix" : "" }, { "dropping-particle" : "", "family" : "Marinov", "given" : "Georgi K", "non-dropping-particle" : "", "parse-names" : false, "suffix" : "" }, { "dropping-particle" : "", "family" : "Khatun", "given" : "Jainab", "non-dropping-particle" : "", "parse-names" : false, "suffix" : "" }, { "dropping-particle" : "", "family" : "Williams", "given" : "Brian A", "non-dropping-particle" : "", "parse-names" : false, "suffix" : "" }, { "dropping-particle" : "", "family" : "Zaleski", "given" : "Chris", "non-dropping-particle" : "", "parse-names" : false, "suffix" : "" }, { "dropping-particle" : "", "family" : "Rozowsky", "given" : "Joel", "non-dropping-particle" : "", "parse-names" : false, "suffix" : "" }, { "dropping-particle" : "", "family" : "R\u00f6der", "given" : "Maik", "non-dropping-particle" : "", "parse-names" : false, "suffix" : "" }, { "dropping-particle" : "", "family" : "Kokocinski", "given" : "Felix", "non-dropping-particle" : "", "parse-names" : false, "suffix" : "" }, { "dropping-particle" : "", "family" : "Abdelhamid", "given" : "Rehab F", "non-dropping-particle" : "", "parse-names" : false, "suffix" : "" }, { "dropping-particle" : "", "family" : "Alioto", "given" : "Tyler", "non-dropping-particle" : "", "parse-names" : false, "suffix" : "" }, { "dropping-particle" : "", "family" : "Antoshechkin", "given" : "Igor", "non-dropping-particle" : "", "parse-names" : false, "suffix" : "" }, { "dropping-particle" : "", "family" : "Baer", "given" : "Michael T", "non-dropping-particle" : "", "parse-names" : false, "suffix" : "" }, { "dropping-particle" : "", "family" : "Bar", "given" : "Nadav S", "non-dropping-particle" : "", "parse-names" : false, "suffix" : "" }, { "dropping-particle" : "", "family" : "Batut", "given" : "Philippe", "non-dropping-particle" : "", "parse-names" : false, "suffix" : "" }, { "dropping-particle" : "", "family" : "Bell", "given" : "Kimberly", "non-dropping-particle" : "", "parse-names" : false, "suffix" : "" }, { "dropping-particle" : "", "family" : "Bell", "given" : "Ian", "non-dropping-particle" : "", "parse-names" : false, "suffix" : "" }, { "dropping-particle" : "", "family" : "Chakrabortty", "given" : "Sudipto", "non-dropping-particle" : "", "parse-names" : false, "suffix" : "" }, { "dropping-particle" : "", "family" : "Chen", "given" : "Xian", "non-dropping-particle" : "", "parse-names" : false, "suffix" : "" }, { "dropping-particle" : "", "family" : "Chrast", "given" : "Jacqueline", "non-dropping-particle" : "", "parse-names" : false, "suffix" : "" }, { "dropping-particle" : "", "family" : "Curado", "given" : "Joao", "non-dropping-particle" : "", "parse-names" : false, "suffix" : "" }, { "dropping-particle" : "", "family" : "Derrien", "given" : "Thomas", "non-dropping-particle" : "", "parse-names" : false, "suffix" : "" }, { "dropping-particle" : "", "family" : "Drenkow", "given" : "Jorg", "non-dropping-particle" : "", "parse-names" : false, "suffix" : "" }, { "dropping-particle" : "", "family" : "Dumais", "given" : "Erica", "non-dropping-particle" : "", "parse-names" : false, "suffix" : "" }, { "dropping-particle" : "", "family" : "Dumais", "given" : "Jacqueline", "non-dropping-particle" : "", "parse-names" : false, "suffix" : "" }, { "dropping-particle" : "", "family" : "Duttagupta", "given" : "Radha", "non-dropping-particle" : "", "parse-names" : false, "suffix" : "" }, { "dropping-particle" : "", "family" : "Falconnet", "given" : "Emilie", "non-dropping-particle" : "", "parse-names" : false, "suffix" : "" }, { "dropping-particle" : "", "family" : "Fastuca", "given" : "Meagan", "non-dropping-particle" : "", "parse-names" : false, "suffix" : "" }, { "dropping-particle" : "", "family" : "Fejes-Toth", "given" : "Kata", "non-dropping-particle" : "", "parse-names" : false, "suffix" : "" }, { "dropping-particle" : "", "family" : "Ferreira", "given" : "Pedro", "non-dropping-particle" : "", "parse-names" : false, "suffix" : "" }, { "dropping-particle" : "", "family" : "Foissac", "given" : "Sylvain", "non-dropping-particle" : "", "parse-names" : false, "suffix" : "" }, { "dropping-particle" : "", "family" : "Fullwood", "given" : "Melissa J", "non-dropping-particle" : "", "parse-names" : false, "suffix" : "" }, { "dropping-particle" : "", "family" : "Gao", "given" : "Hui", "non-dropping-particle" : "", "parse-names" : false, "suffix" : "" }, { "dropping-particle" : "", "family" : "Gonzalez", "given" : "David", "non-dropping-particle" : "", "parse-names" : false, "suffix" : "" }, { "dropping-particle" : "", "family" : "Gordon", "given" : "Assaf", "non-dropping-particle" : "", "parse-names" : false, "suffix" : "" }, { "dropping-particle" : "", "family" : "Gunawardena", "given" : "Harsha", "non-dropping-particle" : "", "parse-names" : false, "suffix" : "" }, { "dropping-particle" : "", "family" : "Howald", "given" : "Cedric", "non-dropping-particle" : "", "parse-names" : false, "suffix" : "" }, { "dropping-particle" : "", "family" : "Jha", "given" : "Sonali", "non-dropping-particle" : "", "parse-names" : false, "suffix" : "" }, { "dropping-particle" : "", "family" : "Johnson", "given" : "Rory", "non-dropping-particle" : "", "parse-names" : false, "suffix" : "" }, { "dropping-particle" : "", "family" : "Kapranov", "given" : "Philipp", "non-dropping-particle" : "", "parse-names" : false, "suffix" : "" }, { "dropping-particle" : "", "family" : "King", "given" : "Brandon", "non-dropping-particle" : "", "parse-names" : false, "suffix" : "" }, { "dropping-particle" : "", "family" : "Kingswood", "given" : "Colin", "non-dropping-particle" : "", "parse-names" : false, "suffix" : "" }, { "dropping-particle" : "", "family" : "Luo", "given" : "Oscar J", "non-dropping-particle" : "", "parse-names" : false, "suffix" : "" }, { "dropping-particle" : "", "family" : "Park", "given" : "Eddie", "non-dropping-particle" : "", "parse-names" : false, "suffix" : "" }, { "dropping-particle" : "", "family" : "Persaud", "given" : "Kimberly", "non-dropping-particle" : "", "parse-names" : false, "suffix" : "" }, { "dropping-particle" : "", "family" : "Preall", "given" : "Jonathan B", "non-dropping-particle" : "", "parse-names" : false, "suffix" : "" }, { "dropping-particle" : "", "family" : "Ribeca", "given" : "Paolo", "non-dropping-particle" : "", "parse-names" : false, "suffix" : "" }, { "dropping-particle" : "", "family" : "Risk", "given" : "Brian", "non-dropping-particle" : "", "parse-names" : false, "suffix" : "" }, { "dropping-particle" : "", "family" : "Robyr", "given" : "Daniel", "non-dropping-particle" : "", "parse-names" : false, "suffix" : "" }, { "dropping-particle" : "", "family" : "Sammeth", "given" : "Michael", "non-dropping-particle" : "", "parse-names" : false, "suffix" : "" }, { "dropping-particle" : "", "family" : "Schaffer", "given" : "Lorian", "non-dropping-particle" : "", "parse-names" : false, "suffix" : "" }, { "dropping-particle" : "", "family" : "See", "given" : "Lei-Hoon", "non-dropping-particle" : "", "parse-names" : false, "suffix" : "" }, { "dropping-particle" : "", "family" : "Shahab", "given" : "Atif", "non-dropping-particle" : "", "parse-names" : false, "suffix" : "" }, { "dropping-particle" : "", "family" : "Skancke", "given" : "Jorgen", "non-dropping-particle" : "", "parse-names" : false, "suffix" : "" }, { "dropping-particle" : "", "family" : "Suzuki", "given" : "Ana Maria", "non-dropping-particle" : "", "parse-names" : false, "suffix" : "" }, { "dropping-particle" : "", "family" : "Takahashi", "given" : "Hazuki", "non-dropping-particle" : "", "parse-names" : false, "suffix" : "" }, { "dropping-particle" : "", "family" : "Tilgner", "given" : "Hagen", "non-dropping-particle" : "", "parse-names" : false, "suffix" : "" }, { "dropping-particle" : "", "family" : "Trout", "given" : "Diane", "non-dropping-particle" : "", "parse-names" : false, "suffix" : "" }, { "dropping-particle" : "", "family" : "Walters", "given" : "Nathalie", "non-dropping-particle" : "", "parse-names" : false, "suffix" : "" }, { "dropping-particle" : "", "family" : "Wang", "given" : "Huaien", "non-dropping-particle" : "", "parse-names" : false, "suffix" : "" }, { "dropping-particle" : "", "family" : "Wrobel", "given" : "John", "non-dropping-particle" : "", "parse-names" : false, "suffix" : "" }, { "dropping-particle" : "", "family" : "Yu", "given" : "Yanbao", "non-dropping-particle" : "", "parse-names" : false, "suffix" : "" }, { "dropping-particle" : "", "family" : "Ruan", "given" : "Xiaoan", "non-dropping-particle" : "", "parse-names" : false, "suffix" : "" }, { "dropping-particle" : "", "family" : "Hayashizaki", "given" : "Yoshihide", "non-dropping-particle" : "", "parse-names" : false, "suffix" : "" }, { "dropping-particle" : "", "family" : "Harrow", "given" : "Jennifer", "non-dropping-particle" : "", "parse-names" : false, "suffix" : "" }, { "dropping-particle" : "", "family" : "Gerstein", "given" : "Mark", "non-dropping-particle" : "", "parse-names" : false, "suffix" : "" }, { "dropping-particle" : "", "family" : "Hubbard", "given" : "Tim", "non-dropping-particle" : "", "parse-names" : false, "suffix" : "" }, { "dropping-particle" : "", "family" : "Reymond", "given" : "Alexandre", "non-dropping-particle" : "", "parse-names" : false, "suffix" : "" }, { "dropping-particle" : "", "family" : "Antonarakis", "given" : "Stylianos E", "non-dropping-particle" : "", "parse-names" : false, "suffix" : "" }, { "dropping-particle" : "", "family" : "Hannon", "given" : "Gregory", "non-dropping-particle" : "", "parse-names" : false, "suffix" : "" }, { "dropping-particle" : "", "family" : "Giddings", "given" : "Morgan C", "non-dropping-particle" : "", "parse-names" : false, "suffix" : "" }, { "dropping-particle" : "", "family" : "Ruan", "given" : "Yijun", "non-dropping-particle" : "", "parse-names" : false, "suffix" : "" }, { "dropping-particle" : "", "family" : "Wold", "given" : "Barbara", "non-dropping-particle" : "", "parse-names" : false, "suffix" : "" }, { "dropping-particle" : "", "family" : "Carninci", "given" : "Piero", "non-dropping-particle" : "", "parse-names" : false, "suffix" : "" }, { "dropping-particle" : "", "family" : "Guig\u00f3", "given" : "Roderic", "non-dropping-particle" : "", "parse-names" : false, "suffix" : "" }, { "dropping-particle" : "", "family" : "Gingeras", "given" : "Thomas R", "non-dropping-particle" : "", "parse-names" : false, "suffix" : "" } ], "container-title" : "Nature", "id" : "ITEM-1", "issue" : "7414", "issued" : { "date-parts" : [ [ "2012", "9", "6" ] ] }, "page" : "101-8", "publisher" : "Nature Publishing Group, a division of Macmillan Publishers Limited. All Rights Reserved.", "title" : "Landscape of transcription in human cells.", "title-short" : "Nature", "type" : "article-journal", "volume" : "489" }, "uris" : [ "http://www.mendeley.com/documents/?uuid=49a120ca-644b-4e46-b45a-de7ca2b7f80e" ] }, { "id" : "ITEM-2", "itemData" : { "DOI" : "10.1038/35055500", "ISSN" : "0028-0836", "PMID" : "11217851", "abstract" : "The RIKEN Mouse Gene Encyclopaedia Project, a systematic approach to determining the full coding potential of the mouse genome, involves collection and sequencing of full-length complementary DNAs and physical mapping of the corresponding genes to the mouse genome. We organized an international functional annotation meeting (FANTOM) to annotate the first 21,076 cDNAs to be analysed in this project. Here we describe the first RIKEN clone collection, which is one of the largest described for any organism. Analysis of these cDNAs extends known gene families and identifies new ones.", "author" : [ { "dropping-particle" : "", "family" : "Kawai", "given" : "J", "non-dropping-particle" : "", "parse-names" : false, "suffix" : "" }, { "dropping-particle" : "", "family" : "Shinagawa", "given" : "A", "non-dropping-particle" : "", "parse-names" : false, "suffix" : "" }, { "dropping-particle" : "", "family" : "Shibata", "given" : "K", "non-dropping-particle" : "", "parse-names" : false, "suffix" : "" }, { "dropping-particle" : "", "family" : "Yoshino", "given" : "M", "non-dropping-particle" : "", "parse-names" : false, "suffix" : "" }, { "dropping-particle" : "", "family" : "Itoh", "given" : "M", "non-dropping-particle" : "", "parse-names" : false, "suffix" : "" }, { "dropping-particle" : "", "family" : "Ishii", "given" : "Y", "non-dropping-particle" : "", "parse-names" : false, "suffix" : "" }, { "dropping-particle" : "", "family" : "Arakawa", "given" : "T", "non-dropping-particle" : "", "parse-names" : false, "suffix" : "" }, { "dropping-particle" : "", "family" : "Hara", "given" : "A", "non-dropping-particle" : "", "parse-names" : false, "suffix" : "" }, { "dropping-particle" : "", "family" : "Fukunishi", "given" : "Y", "non-dropping-particle" : "", "parse-names" : false, "suffix" : "" }, { "dropping-particle" : "", "family" : "Konno", "given" : "H", "non-dropping-particle" : "", "parse-names" : false, "suffix" : "" }, { "dropping-particle" : "", "family" : "Adachi", "given" : "J", "non-dropping-particle" : "", "parse-names" : false, "suffix" : "" }, { "dropping-particle" : "", "family" : "Fukuda", "given" : "S", "non-dropping-particle" : "", "parse-names" : false, "suffix" : "" }, { "dropping-particle" : "", "family" : "Aizawa", "given" : "K", "non-dropping-particle" : "", "parse-names" : false, "suffix" : "" }, { "dropping-particle" : "", "family" : "Izawa", "given" : "M", "non-dropping-particle" : "", "parse-names" : false, "suffix" : "" }, { "dropping-particle" : "", "family" : "Nishi", "given" : "K", "non-dropping-particle" : "", "parse-names" : false, "suffix" : "" }, { "dropping-particle" : "", "family" : "Kiyosawa", "given" : "H", "non-dropping-particle" : "", "parse-names" : false, "suffix" : "" }, { "dropping-particle" : "", "family" : "Kondo", "given" : "S", "non-dropping-particle" : "", "parse-names" : false, "suffix" : "" }, { "dropping-particle" : "", "family" : "Yamanaka", "given" : "I", "non-dropping-particle" : "", "parse-names" : false, "suffix" : "" }, { "dropping-particle" : "", "family" : "Saito", "given" : "T", "non-dropping-particle" : "", "parse-names" : false, "suffix" : "" }, { "dropping-particle" : "", "family" : "Okazaki", "given" : "Y", "non-dropping-particle" : "", "parse-names" : false, "suffix" : "" }, { "dropping-particle" : "", "family" : "Gojobori", "given" : "T", "non-dropping-particle" : "", "parse-names" : false, "suffix" : "" }, { "dropping-particle" : "", "family" : "Bono", "given" : "H", "non-dropping-particle" : "", "parse-names" : false, "suffix" : "" }, { "dropping-particle" : "", "family" : "Kasukawa", "given" : "T", "non-dropping-particle" : "", "parse-names" : false, "suffix" : "" }, { "dropping-particle" : "", "family" : "Saito", "given" : "R", "non-dropping-particle" : "", "parse-names" : false, "suffix" : "" }, { "dropping-particle" : "", "family" : "Kadota", "given" : "K", "non-dropping-particle" : "", "parse-names" : false, "suffix" : "" }, { "dropping-particle" : "", "family" : "Matsuda", "given" : "H", "non-dropping-particle" : "", "parse-names" : false, "suffix" : "" }, { "dropping-particle" : "", "family" : "Ashburner", "given" : "M", "non-dropping-particle" : "", "parse-names" : false, "suffix" : "" }, { "dropping-particle" : "", "family" : "Batalov", "given" : "S", "non-dropping-particle" : "", "parse-names" : false, "suffix" : "" }, { "dropping-particle" : "", "family" : "Casavant", "given" : "T", "non-dropping-particle" : "", "parse-names" : false, "suffix" : "" }, { "dropping-particle" : "", "family" : "Fleischmann", "given" : "W", "non-dropping-particle" : "", "parse-names" : false, "suffix" : "" }, { "dropping-particle" : "", "family" : "Gaasterland", "given" : "T", "non-dropping-particle" : "", "parse-names" : false, "suffix" : "" }, { "dropping-particle" : "", "family" : "Gissi", "given" : "C", "non-dropping-particle" : "", "parse-names" : false, "suffix" : "" }, { "dropping-particle" : "", "family" : "King", "given" : "B", "non-dropping-particle" : "", "parse-names" : false, "suffix" : "" }, { "dropping-particle" : "", "family" : "Kochiwa", "given" : "H", "non-dropping-particle" : "", "parse-names" : false, "suffix" : "" }, { "dropping-particle" : "", "family" : "Kuehl", "given" : "P", "non-dropping-particle" : "", "parse-names" : false, "suffix" : "" }, { "dropping-particle" : "", "family" : "Lewis", "given" : "S", "non-dropping-particle" : "", "parse-names" : false, "suffix" : "" }, { "dropping-particle" : "", "family" : "Matsuo", "given" : "Y", "non-dropping-particle" : "", "parse-names" : false, "suffix" : "" }, { "dropping-particle" : "", "family" : "Nikaido", "given" : "I", "non-dropping-particle" : "", "parse-names" : false, "suffix" : "" }, { "dropping-particle" : "", "family" : "Pesole", "given" : "G", "non-dropping-particle" : "", "parse-names" : false, "suffix" : "" }, { "dropping-particle" : "", "family" : "Quackenbush", "given" : "J", "non-dropping-particle" : "", "parse-names" : false, "suffix" : "" }, { "dropping-particle" : "", "family" : "Schriml", "given" : "L M", "non-dropping-particle" : "", "parse-names" : false, "suffix" : "" }, { "dropping-particle" : "", "family" : "Staubli", "given" : "F", "non-dropping-particle" : "", "parse-names" : false, "suffix" : "" }, { "dropping-particle" : "", "family" : "Suzuki", "given" : "R", "non-dropping-particle" : "", "parse-names" : false, "suffix" : "" }, { "dropping-particle" : "", "family" : "Tomita", "given" : "M", "non-dropping-particle" : "", "parse-names" : false, "suffix" : "" }, { "dropping-particle" : "", "family" : "Wagner", "given" : "L", "non-dropping-particle" : "", "parse-names" : false, "suffix" : "" }, { "dropping-particle" : "", "family" : "Washio", "given" : "T", "non-dropping-particle" : "", "parse-names" : false, "suffix" : "" }, { "dropping-particle" : "", "family" : "Sakai", "given" : "K", "non-dropping-particle" : "", "parse-names" : false, "suffix" : "" }, { "dropping-particle" : "", "family" : "Okido", "given" : "T", "non-dropping-particle" : "", "parse-names" : false, "suffix" : "" }, { "dropping-particle" : "", "family" : "Furuno", "given" : "M", "non-dropping-particle" : "", "parse-names" : false, "suffix" : "" }, { "dropping-particle" : "", "family" : "Aono", "given" : "H", "non-dropping-particle" : "", "parse-names" : false, "suffix" : "" }, { "dropping-particle" : "", "family" : "Baldarelli", "given" : "R", "non-dropping-particle" : "", "parse-names" : false, "suffix" : "" }, { "dropping-particle" : "", "family" : "Barsh", "given" : "G", "non-dropping-particle" : "", "parse-names" : false, "suffix" : "" }, { "dropping-particle" : "", "family" : "Blake", "given" : "J", "non-dropping-particle" : "", "parse-names" : false, "suffix" : "" }, { "dropping-particle" : "", "family" : "Boffelli", "given" : "D", "non-dropping-particle" : "", "parse-names" : false, "suffix" : "" }, { "dropping-particle" : "", "family" : "Bojunga", "given" : "N", "non-dropping-particle" : "", "parse-names" : false, "suffix" : "" }, { "dropping-particle" : "", "family" : "Carninci", "given" : "P", "non-dropping-particle" : "", "parse-names" : false, "suffix" : "" }, { "dropping-particle" : "", "family" : "Bonaldo", "given" : "M F", "non-dropping-particle" : "de", "parse-names" : false, "suffix" : "" }, { "dropping-particle" : "", "family" : "Brownstein", "given" : "M J", "non-dropping-particle" : "", "parse-names" : false, "suffix" : "" }, { "dropping-particle" : "", "family" : "Bult", "given" : "C", "non-dropping-particle" : "", "parse-names" : false, "suffix" : "" }, { "dropping-particle" : "", "family" : "Fletcher", "given" : "C", "non-dropping-particle" : "", "parse-names" : false, "suffix" : "" }, { "dropping-particle" : "", "family" : "Fujita", "given" : "M", "non-dropping-particle" : "", "parse-names" : false, "suffix" : "" }, { "dropping-particle" : "", "family" : "Gariboldi", "given" : "M", "non-dropping-particle" : "", "parse-names" : false, "suffix" : "" }, { "dropping-particle" : "", "family" : "Gustincich", "given" : "S", "non-dropping-particle" : "", "parse-names" : false, "suffix" : "" }, { "dropping-particle" : "", "family" : "Hill", "given" : "D", "non-dropping-particle" : "", "parse-names" : false, "suffix" : "" }, { "dropping-particle" : "", "family" : "Hofmann", "given" : "M", "non-dropping-particle" : "", "parse-names" : false, "suffix" : "" }, { "dropping-particle" : "", "family" : "Hume", "given" : "D A", "non-dropping-particle" : "", "parse-names" : false, "suffix" : "" }, { "dropping-particle" : "", "family" : "Kamiya", "given" : "M", "non-dropping-particle" : "", "parse-names" : false, "suffix" : "" }, { "dropping-particle" : "", "family" : "Lee", "given" : "N H", "non-dropping-particle" : "", "parse-names" : false, "suffix" : "" }, { "dropping-particle" : "", "family" : "Lyons", "given" : "P", "non-dropping-particle" : "", "parse-names" : false, "suffix" : "" }, { "dropping-particle" : "", "family" : "Marchionni", "given" : "L", "non-dropping-particle" : "", "parse-names" : false, "suffix" : "" }, { "dropping-particle" : "", "family" : "Mashima", "given" : "J", "non-dropping-particle" : "", "parse-names" : false, "suffix" : "" }, { "dropping-particle" : "", "family" : "Mazzarelli", "given" : "J", "non-dropping-particle" : "", "parse-names" : false, "suffix" : "" }, { "dropping-particle" : "", "family" : "Mombaerts", "given" : "P", "non-dropping-particle" : "", "parse-names" : false, "suffix" : "" }, { "dropping-particle" : "", "family" : "Nordone", "given" : "P", "non-dropping-particle" : "", "parse-names" : false, "suffix" : "" }, { "dropping-particle" : "", "family" : "Ring", "given" : "B", "non-dropping-particle" : "", "parse-names" : false, "suffix" : "" }, { "dropping-particle" : "", "family" : "Ringwald", "given" : "M", "non-dropping-particle" : "", "parse-names" : false, "suffix" : "" }, { "dropping-particle" : "", "family" : "Rodriguez", "given" : "I", "non-dropping-particle" : "", "parse-names" : false, "suffix" : "" }, { "dropping-particle" : "", "family" : "Sakamoto", "given" : "N", "non-dropping-particle" : "", "parse-names" : false, "suffix" : "" }, { "dropping-particle" : "", "family" : "Sasaki", "given" : "H", "non-dropping-particle" : "", "parse-names" : false, "suffix" : "" }, { "dropping-particle" : "", "family" : "Sato", "given" : "K", "non-dropping-particle" : "", "parse-names" : false, "suffix" : "" }, { "dropping-particle" : "", "family" : "Sch\u00f6nbach", "given" : "C", "non-dropping-particle" : "", "parse-names" : false, "suffix" : "" }, { "dropping-particle" : "", "family" : "Seya", "given" : "T", "non-dropping-particle" : "", "parse-names" : false, "suffix" : "" }, { "dropping-particle" : "", "family" : "Shibata", "given" : "Y", "non-dropping-particle" : "", "parse-names" : false, "suffix" : "" }, { "dropping-particle" : "", "family" : "Storch", "given" : "K F", "non-dropping-particle" : "", "parse-names" : false, "suffix" : "" }, { "dropping-particle" : "", "family" : "Suzuki", "given" : "H", "non-dropping-particle" : "", "parse-names" : false, "suffix" : "" }, { "dropping-particle" : "", "family" : "Toyo-oka", "given" : "K", "non-dropping-particle" : "", "parse-names" : false, "suffix" : "" }, { "dropping-particle" : "", "family" : "Wang", "given" : "K H", "non-dropping-particle" : "", "parse-names" : false, "suffix" : "" }, { "dropping-particle" : "", "family" : "Weitz", "given" : "C", "non-dropping-particle" : "", "parse-names" : false, "suffix" : "" }, { "dropping-particle" : "", "family" : "Whittaker", "given" : "C", "non-dropping-particle" : "", "parse-names" : false, "suffix" : "" }, { "dropping-particle" : "", "family" : "Wilming", "given" : "L", "non-dropping-particle" : "", "parse-names" : false, "suffix" : "" }, { "dropping-particle" : "", "family" : "Wynshaw-Boris", "given" : "A", "non-dropping-particle" : "", "parse-names" : false, "suffix" : "" }, { "dropping-particle" : "", "family" : "Yoshida", "given" : "K", "non-dropping-particle" : "", "parse-names" : false, "suffix" : "" }, { "dropping-particle" : "", "family" : "Hasegawa", "given" : "Y", "non-dropping-particle" : "", "parse-names" : false, "suffix" : "" }, { "dropping-particle" : "", "family" : "Kawaji", "given" : "H", "non-dropping-particle" : "", "parse-names" : false, "suffix" : "" }, { "dropping-particle" : "", "family" : "Kohtsuki", "given" : "S", "non-dropping-particle" : "", "parse-names" : false, "suffix" : "" }, { "dropping-particle" : "", "family" : "Hayashizaki", "given" : "Y", "non-dropping-particle" : "", "parse-names" : false, "suffix" : "" } ], "container-title" : "Nature", "id" : "ITEM-2", "issue" : "6821", "issued" : { "date-parts" : [ [ "2001", "2", "8" ] ] }, "page" : "685-90", "title" : "Functional annotation of a full-length mouse cDNA collection.", "type" : "article-journal", "volume" : "409" }, "uris" : [ "http://www.mendeley.com/documents/?uuid=87f5231d-7342-48da-bbb6-6dc5d5471731" ] }, { "id" : "ITEM-3", "itemData" : { "DOI" : "10.1007/s00335-015-9593-8", "ISSN" : "1432-1777", "PMID" : "26253466", "abstract" : "Big leaps in science happen when scientists from different backgrounds interact. In the past 15\u00a0years, the FANTOM Consortium has brought together scientists from different fields to analyze and interpret genomic data produced with novel technologies, including mouse full-length cDNAs and, more recently, expression profiling at single-nucleotide resolution by cap-analysis gene expression. The FANTOM Consortium has provided the most comprehensive mouse cDNA collection for functional studies and extensive maps of the human and mouse transcriptome comprising promoters, enhancers, as well as the network of their regulatory interactions. More importantly, serendipitous observations of the FANTOM dataset led us to realize that the mammalian genome is pervasively transcribed, even from retrotransposon elements, which were previously considered junk DNA. The majority of products from the mammalian genome are long non-coding RNAs (lncRNAs), including sense-antisense, intergenic, and enhancer RNAs. While the biological function has been elucidated for some lncRNAs, more than 98\u00a0% of them remain without a known function. We argue that large-scale studies are urgently needed to address the functional role of lncRNAs.", "author" : [ { "dropping-particle" : "", "family" : "Hoon", "given" : "Michiel", "non-dropping-particle" : "de", "parse-names" : false, "suffix" : "" }, { "dropping-particle" : "", "family" : "Shin", "given" : "Jay W", "non-dropping-particle" : "", "parse-names" : false, "suffix" : "" }, { "dropping-particle" : "", "family" : "Carninci", "given" : "Piero", "non-dropping-particle" : "", "parse-names" : false, "suffix" : "" } ], "container-title" : "Mammalian genome : official journal of the International Mammalian Genome Society", "id" : "ITEM-3", "issue" : "9-10", "issued" : { "date-parts" : [ [ "2015", "10" ] ] }, "page" : "391-402", "title" : "Paradigm shifts in genomics through the FANTOM projects.", "type" : "article-journal", "volume" : "26" }, "uris" : [ "http://www.mendeley.com/documents/?uuid=8b713a62-98a6-4c10-b13a-30a23257b09c" ] } ], "mendeley" : { "formattedCitation" : "(de Hoon, Shin, &amp; Carninci, 2015; Djebali et al., 2012; Kawai et al., 2001)", "plainTextFormattedCitation" : "(de Hoon, Shin, &amp; Carninci, 2015; Djebali et al., 2012; Kawai et al., 2001)", "previouslyFormattedCitation" : "(de Hoon, Shin, &amp; Carninci, 2015; Djebali et al., 2012; Kawai et al., 2001)" }, "properties" : { "noteIndex" : 0 }, "schema" : "https://github.com/citation-style-language/schema/raw/master/csl-citation.json" }</w:instrText>
      </w:r>
      <w:r w:rsidR="00B16772">
        <w:rPr>
          <w:rFonts w:ascii="Calibri" w:hAnsi="Calibri" w:cs="Arial"/>
        </w:rPr>
        <w:fldChar w:fldCharType="separate"/>
      </w:r>
      <w:r w:rsidR="00B16772" w:rsidRPr="00B16772">
        <w:rPr>
          <w:rFonts w:ascii="Calibri" w:hAnsi="Calibri" w:cs="Arial"/>
          <w:noProof/>
        </w:rPr>
        <w:t>(de Hoon, Shin, &amp; Carninci, 2015; Djebali et al., 2012; Kawai et al., 2001)</w:t>
      </w:r>
      <w:r w:rsidR="00B16772">
        <w:rPr>
          <w:rFonts w:ascii="Calibri" w:hAnsi="Calibri" w:cs="Arial"/>
        </w:rPr>
        <w:fldChar w:fldCharType="end"/>
      </w:r>
      <w:r w:rsidR="004F66D4">
        <w:rPr>
          <w:rFonts w:ascii="Calibri" w:hAnsi="Calibri" w:cs="Arial"/>
        </w:rPr>
        <w:t xml:space="preserve">. </w:t>
      </w:r>
      <w:r w:rsidR="006C0CA5">
        <w:rPr>
          <w:rFonts w:ascii="Calibri" w:hAnsi="Calibri" w:cs="Arial"/>
        </w:rPr>
        <w:t>However, in developing these oligonucleotide-based therape</w:t>
      </w:r>
      <w:r w:rsidR="009363E0">
        <w:rPr>
          <w:rFonts w:ascii="Calibri" w:hAnsi="Calibri" w:cs="Arial"/>
        </w:rPr>
        <w:t>utics, a number of major problems</w:t>
      </w:r>
      <w:r w:rsidR="006C0CA5">
        <w:rPr>
          <w:rFonts w:ascii="Calibri" w:hAnsi="Calibri" w:cs="Arial"/>
        </w:rPr>
        <w:t xml:space="preserve"> have </w:t>
      </w:r>
      <w:r w:rsidR="00A36F46">
        <w:rPr>
          <w:rFonts w:ascii="Calibri" w:hAnsi="Calibri" w:cs="Arial"/>
        </w:rPr>
        <w:t xml:space="preserve">emerged </w:t>
      </w:r>
      <w:r w:rsidR="006C0CA5">
        <w:rPr>
          <w:rFonts w:ascii="Calibri" w:hAnsi="Calibri" w:cs="Arial"/>
        </w:rPr>
        <w:t xml:space="preserve">including </w:t>
      </w:r>
      <w:r w:rsidR="009363E0">
        <w:rPr>
          <w:rFonts w:ascii="Calibri" w:hAnsi="Calibri" w:cs="Arial"/>
        </w:rPr>
        <w:t>poor stability in biological fluids, potential to induce immune response and off-target action</w:t>
      </w:r>
      <w:r w:rsidR="00C24E0F">
        <w:rPr>
          <w:rFonts w:ascii="Calibri" w:hAnsi="Calibri" w:cs="Arial"/>
        </w:rPr>
        <w:t>s</w:t>
      </w:r>
      <w:r w:rsidR="009363E0">
        <w:rPr>
          <w:rFonts w:ascii="Calibri" w:hAnsi="Calibri" w:cs="Arial"/>
        </w:rPr>
        <w:t xml:space="preserve">. </w:t>
      </w:r>
      <w:r w:rsidR="00CB0B75">
        <w:rPr>
          <w:rFonts w:ascii="Calibri" w:hAnsi="Calibri" w:cs="Arial"/>
        </w:rPr>
        <w:t>T</w:t>
      </w:r>
      <w:r w:rsidR="009363E0">
        <w:rPr>
          <w:rFonts w:ascii="Calibri" w:hAnsi="Calibri" w:cs="Arial"/>
        </w:rPr>
        <w:t>he principal problem</w:t>
      </w:r>
      <w:r w:rsidR="00CB0B75">
        <w:rPr>
          <w:rFonts w:ascii="Calibri" w:hAnsi="Calibri" w:cs="Arial"/>
        </w:rPr>
        <w:t>, however,</w:t>
      </w:r>
      <w:r w:rsidR="009363E0">
        <w:rPr>
          <w:rFonts w:ascii="Calibri" w:hAnsi="Calibri" w:cs="Arial"/>
        </w:rPr>
        <w:t xml:space="preserve"> is delivery of these large (often &gt; </w:t>
      </w:r>
      <w:r w:rsidR="00CD03B1">
        <w:rPr>
          <w:rFonts w:ascii="Calibri" w:hAnsi="Calibri" w:cs="Arial"/>
        </w:rPr>
        <w:t xml:space="preserve">6 </w:t>
      </w:r>
      <w:r w:rsidR="009363E0">
        <w:rPr>
          <w:rFonts w:ascii="Calibri" w:hAnsi="Calibri" w:cs="Arial"/>
        </w:rPr>
        <w:t xml:space="preserve">kDa), </w:t>
      </w:r>
      <w:r w:rsidR="00CD03B1">
        <w:rPr>
          <w:rFonts w:ascii="Calibri" w:hAnsi="Calibri" w:cs="Arial"/>
        </w:rPr>
        <w:t xml:space="preserve">negatively </w:t>
      </w:r>
      <w:r w:rsidR="009363E0">
        <w:rPr>
          <w:rFonts w:ascii="Calibri" w:hAnsi="Calibri" w:cs="Arial"/>
        </w:rPr>
        <w:t xml:space="preserve">charged (resulting from the sugar-phosphate backbone) molecules both into the target tissue and then across the plasma membrane (also </w:t>
      </w:r>
      <w:r w:rsidR="00CD03B1">
        <w:rPr>
          <w:rFonts w:ascii="Calibri" w:hAnsi="Calibri" w:cs="Arial"/>
        </w:rPr>
        <w:t xml:space="preserve">negatively </w:t>
      </w:r>
      <w:r w:rsidR="009363E0">
        <w:rPr>
          <w:rFonts w:ascii="Calibri" w:hAnsi="Calibri" w:cs="Arial"/>
        </w:rPr>
        <w:t xml:space="preserve">charged) and into the cell, where they mediate their biological action. </w:t>
      </w:r>
      <w:r w:rsidR="00C24E0F">
        <w:rPr>
          <w:rFonts w:ascii="Calibri" w:hAnsi="Calibri" w:cs="Arial"/>
        </w:rPr>
        <w:t xml:space="preserve">Significantly, the </w:t>
      </w:r>
      <w:r w:rsidR="00CD03B1">
        <w:rPr>
          <w:rFonts w:ascii="Calibri" w:hAnsi="Calibri" w:cs="Arial"/>
        </w:rPr>
        <w:t xml:space="preserve">delivery </w:t>
      </w:r>
      <w:r w:rsidR="00C24E0F">
        <w:rPr>
          <w:rFonts w:ascii="Calibri" w:hAnsi="Calibri" w:cs="Arial"/>
        </w:rPr>
        <w:t xml:space="preserve">problems </w:t>
      </w:r>
      <w:r w:rsidR="00CD03B1">
        <w:rPr>
          <w:rFonts w:ascii="Calibri" w:hAnsi="Calibri" w:cs="Arial"/>
        </w:rPr>
        <w:t>have</w:t>
      </w:r>
      <w:r w:rsidR="00C24E0F">
        <w:rPr>
          <w:rFonts w:ascii="Calibri" w:hAnsi="Calibri" w:cs="Arial"/>
        </w:rPr>
        <w:t xml:space="preserve"> meant that much of the effort in this area has focused upon </w:t>
      </w:r>
      <w:r w:rsidR="00A36F46">
        <w:rPr>
          <w:rFonts w:ascii="Calibri" w:hAnsi="Calibri" w:cs="Arial"/>
        </w:rPr>
        <w:t>liver</w:t>
      </w:r>
      <w:r w:rsidR="00CD03B1">
        <w:rPr>
          <w:rFonts w:ascii="Calibri" w:hAnsi="Calibri" w:cs="Arial"/>
        </w:rPr>
        <w:t xml:space="preserve"> disease</w:t>
      </w:r>
      <w:r w:rsidR="00A36F46">
        <w:rPr>
          <w:rFonts w:ascii="Calibri" w:hAnsi="Calibri" w:cs="Arial"/>
        </w:rPr>
        <w:t xml:space="preserve"> based on the observation that </w:t>
      </w:r>
      <w:r w:rsidR="00CD03B1">
        <w:rPr>
          <w:rFonts w:ascii="Calibri" w:hAnsi="Calibri" w:cs="Arial"/>
        </w:rPr>
        <w:t xml:space="preserve">this organ readily absorbs </w:t>
      </w:r>
      <w:r w:rsidR="00A36F46">
        <w:rPr>
          <w:rFonts w:ascii="Calibri" w:hAnsi="Calibri" w:cs="Arial"/>
        </w:rPr>
        <w:t xml:space="preserve">oligonucleotides </w:t>
      </w:r>
      <w:r w:rsidR="00C24E0F">
        <w:rPr>
          <w:rFonts w:ascii="Calibri" w:hAnsi="Calibri" w:cs="Arial"/>
        </w:rPr>
        <w:t xml:space="preserve">following intravenous </w:t>
      </w:r>
      <w:r w:rsidR="00CD03B1">
        <w:rPr>
          <w:rFonts w:ascii="Calibri" w:hAnsi="Calibri" w:cs="Arial"/>
        </w:rPr>
        <w:t xml:space="preserve">(IV) </w:t>
      </w:r>
      <w:r w:rsidR="00C24E0F">
        <w:rPr>
          <w:rFonts w:ascii="Calibri" w:hAnsi="Calibri" w:cs="Arial"/>
        </w:rPr>
        <w:t xml:space="preserve">administration </w:t>
      </w:r>
      <w:r w:rsidR="000D6916" w:rsidRPr="000D6916">
        <w:rPr>
          <w:rFonts w:ascii="Calibri" w:hAnsi="Calibri" w:cs="Arial"/>
        </w:rPr>
        <w:fldChar w:fldCharType="begin" w:fldLock="1"/>
      </w:r>
      <w:r w:rsidR="00C267FD">
        <w:rPr>
          <w:rFonts w:ascii="Calibri" w:hAnsi="Calibri" w:cs="Arial"/>
        </w:rPr>
        <w:instrText>ADDIN CSL_CITATION { "citationItems" : [ { "id" : "ITEM-1", "itemData" : { "ISBN" : "0724-8741 (Print)\r0724-8741 (Linking)", "PMID" : "9587955", "abstract" : "PURPOSE: Phosphorothioate antisense oligodeoxynucleotides are promising therapeutic candidates. When given systemically in clinical trials they are administered via slow intravenous infusion to avoid their putative plasma concentration-dependent haemodynamic side-effects. In this study, we have evaluated alternative parenteral and non-parenteral administration routes which have the potential to enhance the therapeutic and commercial potential of these agents. METHODS: The delivery of CGP 64128A by intravenous, subcutaneous, intra-peritoneal, oral and intra-tracheal (pulmonary) routes was investigated in rats using radiolabelled compound and supported by more specific capillary gel electrophoretic analyses. RESULTS: Intravenously administered CGP 64128A exhibited the rapid blood clearance and distinctive tissue distribution which are typical for phosphorothioate oligodeoxynucleotides. Subcutaneous and intraperitoneal administration resulted in significant bioavailabilities (30.9% and 28.1% over 360 min, respectively) and reduced peak plasma levels when compared with intravenous dosing. Administration via the gastrointestinal tract gave negligible bioavailability (&lt; 2%). Intra-tracheal administration resulted in significant but dose-dependent bioavailabilities of 3.2, 16.5 and 39.8% at 0.06, 0.6 and 6.0 mg/kg, respectively. CONCLUSIONS: Significant bioavailabilities of CGP 64128A were achieved following subcutaneous, intra-peritoneal and intra-tracheal administration. Pulmonary delivery represents a promising mode of non-parenteral dosing for antisense oligonucleotides. The dose-dependent increase in pulmonary bioavailability suggests that low doses may be retained in the lungs for local effects whereas higher doses may be suitable for the treatment of a broader spectrum of systemic diseases.", "author" : [ { "dropping-particle" : "", "family" : "Nicklin", "given" : "P L", "non-dropping-particle" : "", "parse-names" : false, "suffix" : "" }, { "dropping-particle" : "", "family" : "Bayley", "given" : "D", "non-dropping-particle" : "", "parse-names" : false, "suffix" : "" }, { "dropping-particle" : "", "family" : "Giddings", "given" : "J", "non-dropping-particle" : "", "parse-names" : false, "suffix" : "" }, { "dropping-particle" : "", "family" : "Craig", "given" : "S J", "non-dropping-particle" : "", "parse-names" : false, "suffix" : "" }, { "dropping-particle" : "", "family" : "Cummins", "given" : "L L", "non-dropping-particle" : "", "parse-names" : false, "suffix" : "" }, { "dropping-particle" : "", "family" : "Hastewell", "given" : "J G", "non-dropping-particle" : "", "parse-names" : false, "suffix" : "" }, { "dropping-particle" : "", "family" : "Phillips", "given" : "J A", "non-dropping-particle" : "", "parse-names" : false, "suffix" : "" } ], "container-title" : "Pharm Res", "edition" : "1998/05/20", "id" : "ITEM-1", "issue" : "4", "issued" : { "date-parts" : [ [ "1998" ] ] }, "language" : "eng", "note" : "Nicklin, P L\nBayley, D\nGiddings, J\nCraig, S J\nCummins, L L\nHastewell, J G\nPhillips, J A\nPharm Res. 1998 Apr;15(4):583-91.", "page" : "583-591", "title" : "Pulmonary bioavailability of a phosphorothioate oligonucleotide (CGP 64128A): comparison with other delivery routes", "type" : "article-journal", "volume" : "15" }, "uris" : [ "http://www.mendeley.com/documents/?uuid=faf0ba59-e4f1-46a0-9972-cb58a9aff5de" ] } ], "mendeley" : { "formattedCitation" : "(Nicklin et al., 1998)", "plainTextFormattedCitation" : "(Nicklin et al., 1998)", "previouslyFormattedCitation" : "(Nicklin et al., 1998)" }, "properties" : { "noteIndex" : 0 }, "schema" : "https://github.com/citation-style-language/schema/raw/master/csl-citation.json" }</w:instrText>
      </w:r>
      <w:r w:rsidR="000D6916" w:rsidRPr="000D6916">
        <w:rPr>
          <w:rFonts w:ascii="Calibri" w:hAnsi="Calibri" w:cs="Arial"/>
        </w:rPr>
        <w:fldChar w:fldCharType="separate"/>
      </w:r>
      <w:r w:rsidR="000D6916" w:rsidRPr="000D6916">
        <w:rPr>
          <w:rFonts w:ascii="Calibri" w:hAnsi="Calibri" w:cs="Arial"/>
          <w:noProof/>
        </w:rPr>
        <w:t>(Nicklin et al., 1998)</w:t>
      </w:r>
      <w:r w:rsidR="000D6916" w:rsidRPr="000D6916">
        <w:rPr>
          <w:rFonts w:ascii="Calibri" w:hAnsi="Calibri" w:cs="Arial"/>
        </w:rPr>
        <w:fldChar w:fldCharType="end"/>
      </w:r>
      <w:r w:rsidR="00C24E0F">
        <w:rPr>
          <w:rFonts w:ascii="Calibri" w:hAnsi="Calibri" w:cs="Arial"/>
        </w:rPr>
        <w:t>. Thus, Ionis (previously known as ISIS)</w:t>
      </w:r>
      <w:r w:rsidR="00CD03B1">
        <w:rPr>
          <w:rFonts w:ascii="Calibri" w:hAnsi="Calibri" w:cs="Arial"/>
        </w:rPr>
        <w:t xml:space="preserve"> Pharmaceuticals</w:t>
      </w:r>
      <w:r w:rsidR="00C24E0F">
        <w:rPr>
          <w:rFonts w:ascii="Calibri" w:hAnsi="Calibri" w:cs="Arial"/>
        </w:rPr>
        <w:t xml:space="preserve"> has </w:t>
      </w:r>
      <w:r w:rsidR="005F1F3D">
        <w:rPr>
          <w:rFonts w:ascii="Calibri" w:hAnsi="Calibri" w:cs="Arial"/>
        </w:rPr>
        <w:t xml:space="preserve">recently </w:t>
      </w:r>
      <w:r w:rsidR="00C24E0F">
        <w:rPr>
          <w:rFonts w:ascii="Calibri" w:hAnsi="Calibri" w:cs="Arial"/>
        </w:rPr>
        <w:t xml:space="preserve">obtained regulatory approval </w:t>
      </w:r>
      <w:r w:rsidR="00CD03B1">
        <w:rPr>
          <w:rFonts w:ascii="Calibri" w:hAnsi="Calibri" w:cs="Arial"/>
        </w:rPr>
        <w:t xml:space="preserve">in the USA </w:t>
      </w:r>
      <w:r w:rsidR="00C24E0F">
        <w:rPr>
          <w:rFonts w:ascii="Calibri" w:hAnsi="Calibri" w:cs="Arial"/>
        </w:rPr>
        <w:t>for mipomersan, an</w:t>
      </w:r>
      <w:r w:rsidRPr="00C4343E">
        <w:rPr>
          <w:rFonts w:ascii="Calibri" w:hAnsi="Calibri" w:cs="Arial"/>
        </w:rPr>
        <w:t xml:space="preserve"> </w:t>
      </w:r>
      <w:r>
        <w:rPr>
          <w:rFonts w:ascii="Calibri" w:hAnsi="Calibri" w:cs="Arial"/>
        </w:rPr>
        <w:t>antisense</w:t>
      </w:r>
      <w:r w:rsidRPr="00C4343E">
        <w:rPr>
          <w:rFonts w:ascii="Calibri" w:hAnsi="Calibri" w:cs="Arial"/>
        </w:rPr>
        <w:t xml:space="preserve"> </w:t>
      </w:r>
      <w:r w:rsidR="00B87F8E">
        <w:rPr>
          <w:rFonts w:ascii="Calibri" w:hAnsi="Calibri" w:cs="Arial"/>
        </w:rPr>
        <w:t>olig</w:t>
      </w:r>
      <w:r w:rsidR="00ED0FCE">
        <w:rPr>
          <w:rFonts w:ascii="Calibri" w:hAnsi="Calibri" w:cs="Arial"/>
        </w:rPr>
        <w:t>o</w:t>
      </w:r>
      <w:r w:rsidR="00B87F8E">
        <w:rPr>
          <w:rFonts w:ascii="Calibri" w:hAnsi="Calibri" w:cs="Arial"/>
        </w:rPr>
        <w:t xml:space="preserve">ncleotide </w:t>
      </w:r>
      <w:r w:rsidR="00446663">
        <w:rPr>
          <w:rFonts w:ascii="Calibri" w:hAnsi="Calibri" w:cs="Arial"/>
        </w:rPr>
        <w:t xml:space="preserve">(ASO) </w:t>
      </w:r>
      <w:r w:rsidR="00C24E0F">
        <w:rPr>
          <w:rFonts w:ascii="Calibri" w:hAnsi="Calibri" w:cs="Arial"/>
        </w:rPr>
        <w:t xml:space="preserve">that targets apolipoprotein B for the treatment of </w:t>
      </w:r>
      <w:r w:rsidR="00C24E0F" w:rsidRPr="00C24E0F">
        <w:rPr>
          <w:rFonts w:asciiTheme="majorHAnsi" w:eastAsiaTheme="minorEastAsia" w:hAnsiTheme="majorHAnsi" w:cs="Helvetica"/>
          <w:color w:val="1C1C1C"/>
        </w:rPr>
        <w:t>familial hypercholesterolemia</w:t>
      </w:r>
      <w:r w:rsidR="00C24E0F" w:rsidRPr="00C4343E">
        <w:rPr>
          <w:rFonts w:ascii="Calibri" w:hAnsi="Calibri" w:cs="Arial"/>
        </w:rPr>
        <w:t xml:space="preserve"> </w:t>
      </w:r>
      <w:r w:rsidRPr="00C4343E">
        <w:rPr>
          <w:rFonts w:ascii="Calibri" w:hAnsi="Calibri" w:cs="Arial"/>
        </w:rPr>
        <w:fldChar w:fldCharType="begin" w:fldLock="1"/>
      </w:r>
      <w:r w:rsidRPr="00C4343E">
        <w:rPr>
          <w:rFonts w:ascii="Calibri" w:hAnsi="Calibri" w:cs="Arial"/>
        </w:rPr>
        <w:instrText>ADDIN CSL_CITATION { "citationItems" : [ { "id" : "ITEM-1", "itemData" : { "DOI" : "10.1016/j.jacl.2014.12.008", "ISSN" : "19332874", "PMID" : "25911076", "abstract" : "BACKGROUND: Because of variability in lipoprotein cholesterol content, low-density lipoprotein (LDL) cholesterol frequently underrepresents or overrepresents the number of LDL particles. Mipomersen is an antisense oligonucleotide that reduces hepatic production of apolipoprotein B-100, the sole apolipoprotein of LDL.\n\nOBJECTIVE: To characterize the effects of mipomersen on lipoprotein particle numbers as well as subclass distribution using nuclear magnetic resonance (NMR) spectroscopy.\n\nMETHODS: We compared the tertiary results for the direct measurement of LDL particle numbers by NMR among 4 placebo-controlled, phase 3 studies of mipomersen that had similar study designs but different patient populations: homozygous familial hypercholesterolemia (HoFH), severe hypercholesterolemia, heterozygous familial hypercholesterolemia with established coronary artery disease, or hypercholesterolemia with high risk for coronary heart disease (HC-CHD).\n\nRESULTS: HoFH patients had the highest median total LDL particles at baseline compared with HC-CHD patients, who had the lowest. At baseline, the HoFH population uniquely had a greater mean percentage of large LDL particles (placebo, 60.2%; mipomersen, 54.9%) compared with small LDL particles (placebo, 33.1%; mipomersen, 38.9%). In all 4 studies, mipomersen was associated with greater reductions from baseline in the concentrations of small LDL particles compared with those of large LDL particles, and both total LDL particles and small LDL particles were statistically significantly reduced.\n\nCONCLUSIONS: Mipomersen consistently reduced all LDL particle numbers and preferentially reduced the concentration of small LDL particles in all 4 phase 3 studies.", "author" : [ { "dropping-particle" : "", "family" : "Santos", "given" : "Raul D.", "non-dropping-particle" : "", "parse-names" : false, "suffix" : "" }, { "dropping-particle" : "", "family" : "Raal", "given" : "Frederick J.", "non-dropping-particle" : "", "parse-names" : false, "suffix" : "" }, { "dropping-particle" : "", "family" : "Donovan", "given" : "Joanne M.", "non-dropping-particle" : "", "parse-names" : false, "suffix" : "" }, { "dropping-particle" : "", "family" : "Cromwell", "given" : "William C.", "non-dropping-particle" : "", "parse-names" : false, "suffix" : "" } ], "container-title" : "Journal of Clinical Lipidology", "id" : "ITEM-1", "issue" : "2", "issued" : { "date-parts" : [ [ "2015", "3" ] ] }, "page" : "201-209", "title" : "Mipomersen preferentially reduces small low-density lipoprotein particle number in\u00a0patients with hypercholesterolemia", "type" : "article-journal", "volume" : "9" }, "uris" : [ "http://www.mendeley.com/documents/?uuid=f0dd4d12-933d-4dbc-8a11-bef570b7d334" ] } ], "mendeley" : { "formattedCitation" : "(Santos, Raal, Donovan, &amp; Cromwell, 2015)", "plainTextFormattedCitation" : "(Santos, Raal, Donovan, &amp; Cromwell, 2015)", "previouslyFormattedCitation" : "(Santos, Raal, Donovan, &amp; Cromwell, 2015)"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(Santos, Raal, Donovan, &amp; Cromwell, 2015)</w:t>
      </w:r>
      <w:r w:rsidRPr="00C4343E">
        <w:rPr>
          <w:rFonts w:ascii="Calibri" w:hAnsi="Calibri" w:cs="Arial"/>
        </w:rPr>
        <w:fldChar w:fldCharType="end"/>
      </w:r>
      <w:r w:rsidR="00803D8B">
        <w:rPr>
          <w:rFonts w:ascii="Calibri" w:hAnsi="Calibri" w:cs="Arial"/>
        </w:rPr>
        <w:t>.</w:t>
      </w:r>
      <w:r w:rsidR="00B62D5F">
        <w:rPr>
          <w:rFonts w:ascii="Calibri" w:hAnsi="Calibri" w:cs="Arial"/>
        </w:rPr>
        <w:t xml:space="preserve"> </w:t>
      </w:r>
      <w:r w:rsidR="00CD03B1">
        <w:rPr>
          <w:rFonts w:ascii="Calibri" w:hAnsi="Calibri" w:cs="Arial"/>
        </w:rPr>
        <w:t>Nevertheless</w:t>
      </w:r>
      <w:r w:rsidR="00803D8B">
        <w:rPr>
          <w:rFonts w:ascii="Calibri" w:hAnsi="Calibri" w:cs="Arial"/>
        </w:rPr>
        <w:t xml:space="preserve">, </w:t>
      </w:r>
      <w:r w:rsidR="00CD03B1">
        <w:rPr>
          <w:rFonts w:ascii="Calibri" w:hAnsi="Calibri" w:cs="Arial"/>
        </w:rPr>
        <w:t xml:space="preserve">the </w:t>
      </w:r>
      <w:r w:rsidR="00E812D1">
        <w:rPr>
          <w:rFonts w:ascii="Calibri" w:hAnsi="Calibri" w:cs="Arial"/>
        </w:rPr>
        <w:t xml:space="preserve">large surface area </w:t>
      </w:r>
      <w:r w:rsidR="00CD03B1">
        <w:rPr>
          <w:rFonts w:ascii="Calibri" w:hAnsi="Calibri" w:cs="Arial"/>
        </w:rPr>
        <w:t xml:space="preserve">of the airways </w:t>
      </w:r>
      <w:r w:rsidR="00E812D1">
        <w:rPr>
          <w:rFonts w:ascii="Calibri" w:hAnsi="Calibri" w:cs="Arial"/>
        </w:rPr>
        <w:t xml:space="preserve">and </w:t>
      </w:r>
      <w:r w:rsidR="00CD03B1">
        <w:rPr>
          <w:rFonts w:ascii="Calibri" w:hAnsi="Calibri" w:cs="Arial"/>
        </w:rPr>
        <w:t xml:space="preserve">their </w:t>
      </w:r>
      <w:r w:rsidR="00E812D1">
        <w:rPr>
          <w:rFonts w:ascii="Calibri" w:hAnsi="Calibri" w:cs="Arial"/>
        </w:rPr>
        <w:lastRenderedPageBreak/>
        <w:t>access</w:t>
      </w:r>
      <w:r w:rsidR="009835E0">
        <w:rPr>
          <w:rFonts w:ascii="Calibri" w:hAnsi="Calibri" w:cs="Arial"/>
        </w:rPr>
        <w:t xml:space="preserve">ibility to topical delivery </w:t>
      </w:r>
      <w:r w:rsidR="00CD03B1">
        <w:rPr>
          <w:rFonts w:ascii="Calibri" w:hAnsi="Calibri" w:cs="Arial"/>
        </w:rPr>
        <w:t xml:space="preserve">suggests </w:t>
      </w:r>
      <w:r w:rsidR="009835E0">
        <w:rPr>
          <w:rFonts w:ascii="Calibri" w:hAnsi="Calibri" w:cs="Arial"/>
        </w:rPr>
        <w:t xml:space="preserve">that the </w:t>
      </w:r>
      <w:r w:rsidR="00A36F46">
        <w:rPr>
          <w:rFonts w:ascii="Calibri" w:hAnsi="Calibri" w:cs="Arial"/>
        </w:rPr>
        <w:t xml:space="preserve">respiratory system </w:t>
      </w:r>
      <w:r w:rsidR="009835E0">
        <w:rPr>
          <w:rFonts w:ascii="Calibri" w:hAnsi="Calibri" w:cs="Arial"/>
        </w:rPr>
        <w:t xml:space="preserve">might also represent a potential target tissue for </w:t>
      </w:r>
      <w:r w:rsidR="00803D8B">
        <w:rPr>
          <w:rFonts w:ascii="Calibri" w:hAnsi="Calibri" w:cs="Arial"/>
        </w:rPr>
        <w:t>oligonucleotide-based therapeutics</w:t>
      </w:r>
      <w:r w:rsidR="00CA4782">
        <w:rPr>
          <w:rFonts w:ascii="Calibri" w:hAnsi="Calibri" w:cs="Arial"/>
        </w:rPr>
        <w:t xml:space="preserve">. </w:t>
      </w:r>
    </w:p>
    <w:p w14:paraId="2643E950" w14:textId="77777777" w:rsidR="00803D8B" w:rsidRDefault="00803D8B" w:rsidP="005837A4">
      <w:pPr>
        <w:spacing w:line="480" w:lineRule="auto"/>
        <w:jc w:val="both"/>
        <w:rPr>
          <w:rFonts w:ascii="Calibri" w:hAnsi="Calibri" w:cs="Arial"/>
        </w:rPr>
      </w:pPr>
    </w:p>
    <w:p w14:paraId="7337F27B" w14:textId="69B1A18C" w:rsidR="00B62D5F" w:rsidRDefault="00787897" w:rsidP="005837A4">
      <w:pPr>
        <w:pStyle w:val="Heading2"/>
      </w:pPr>
      <w:r>
        <w:rPr>
          <w:noProof/>
        </w:rPr>
        <w:t>1.1</w:t>
      </w:r>
      <w:r w:rsidR="00CA4782">
        <w:rPr>
          <w:noProof/>
        </w:rPr>
        <w:tab/>
        <w:t>Anatomy and physiology of the respiratory system</w:t>
      </w:r>
      <w:r w:rsidR="00C045FB">
        <w:rPr>
          <w:noProof/>
        </w:rPr>
        <w:t>.</w:t>
      </w:r>
    </w:p>
    <w:p w14:paraId="51E790AF" w14:textId="5875E6CD" w:rsidR="009355D2" w:rsidRPr="00803D8B" w:rsidRDefault="00F4510E" w:rsidP="005837A4">
      <w:pPr>
        <w:spacing w:line="480" w:lineRule="auto"/>
        <w:jc w:val="both"/>
        <w:rPr>
          <w:rFonts w:asciiTheme="majorHAnsi" w:hAnsiTheme="majorHAnsi" w:cs="Arial"/>
        </w:rPr>
      </w:pPr>
      <w:r w:rsidRPr="00803D8B">
        <w:rPr>
          <w:rFonts w:asciiTheme="majorHAnsi" w:hAnsiTheme="majorHAnsi" w:cs="Arial"/>
        </w:rPr>
        <w:t xml:space="preserve">Lung </w:t>
      </w:r>
      <w:r w:rsidR="0042507B" w:rsidRPr="00803D8B">
        <w:rPr>
          <w:rFonts w:asciiTheme="majorHAnsi" w:hAnsiTheme="majorHAnsi" w:cs="Arial"/>
        </w:rPr>
        <w:t xml:space="preserve">architecture </w:t>
      </w:r>
      <w:r w:rsidR="00121A9C" w:rsidRPr="00803D8B">
        <w:rPr>
          <w:rFonts w:asciiTheme="majorHAnsi" w:hAnsiTheme="majorHAnsi" w:cs="Arial"/>
        </w:rPr>
        <w:fldChar w:fldCharType="begin" w:fldLock="1"/>
      </w:r>
      <w:r w:rsidR="003850D8">
        <w:rPr>
          <w:rFonts w:asciiTheme="majorHAnsi" w:hAnsiTheme="majorHAnsi" w:cs="Arial"/>
        </w:rPr>
        <w:instrText>ADDIN CSL_CITATION { "citationItems" : [ { "id" : "ITEM-1", "itemData" : { "DOI" : "10.1002/bimj.19660080155", "ISSN" : "00063452", "author" : [ { "dropping-particle" : "", "family" : "Lorenz", "given" : "R. J.", "non-dropping-particle" : "", "parse-names" : false, "suffix" : "" } ], "container-title" : "Biometrische Zeitschrift", "id" : "ITEM-1", "issue" : "1-2", "issued" : { "date-parts" : [ [ "1966" ] ] }, "page" : "143-144", "title" : "Weibel, E. R.: Morphometry of the Human Lung. Springer Verlag, Berlin-G\u00f6ttingen-Heidelberg 1963; 151 S., 109 Abb., DM 36,-", "type" : "article-journal", "volume" : "8" }, "uris" : [ "http://www.mendeley.com/documents/?uuid=6cc9bf1a-865a-4b3b-ac3a-a645fb9e37f3" ] }, { "id" : "ITEM-2", "itemData" : { "ISSN" : "0021-8782", "PMID" : "4564685", "author" : [ { "dropping-particle" : "", "family" : "Hasleton", "given" : "P S", "non-dropping-particle" : "", "parse-names" : false, "suffix" : "" } ], "container-title" : "Journal of anatomy", "id" : "ITEM-2", "issue" : "Pt 3", "issued" : { "date-parts" : [ [ "1972", "9" ] ] }, "page" : "391-400", "title" : "The internal surface area of the adult human lung.", "type" : "article-journal", "volume" : "112" }, "uris" : [ "http://www.mendeley.com/documents/?uuid=19e9448f-c7aa-4f5c-b550-9459113f8cb1" ] }, { "id" : "ITEM-3", "itemData" : { "ISSN" : "0161-7567", "PMID" : "7061277", "abstract" : "A mathematical model of maximal expiratory flow was developed. Coupled equations describing the pressure losses in the flow and the pressure-area behavior of the airway were integrated along the airway from the periphery to the flow-limiting site. Equations describing pressure losses in the flow were adapted from studied of bronchial casts. The bronchial anatomy utilized was that described by Weibel. Bronchial mechanical properties were obtained from measurements in excised human lungs for the central airways and by extrapolations of these data for the peripheral airways. The maximal flow for air and helium predicted by the model agrees with that of five lungs from which mechanical properties were obtained. The model predictions agree with published values of density and viscosity dependence of maximal flow. At high and midlung volumes, maximal flow is determined primarily by the wave-speed mechanism. At low lung volumes, maximal flow is primarily determined by the coupling of viscous pressure losses and airway mechanical properties.", "author" : [ { "dropping-particle" : "", "family" : "Lambert", "given" : "R K", "non-dropping-particle" : "", "parse-names" : false, "suffix" : "" }, { "dropping-particle" : "", "family" : "Wilson", "given" : "T A", "non-dropping-particle" : "", "parse-names" : false, "suffix" : "" }, { "dropping-particle" : "", "family" : "Hyatt", "given" : "R E", "non-dropping-particle" : "", "parse-names" : false, "suffix" : "" }, { "dropping-particle" : "", "family" : "Rodarte", "given" : "J R", "non-dropping-particle" : "", "parse-names" : false, "suffix" : "" } ], "container-title" : "Journal of applied physiology: respiratory, environmental and exercise physiology", "id" : "ITEM-3", "issue" : "1", "issued" : { "date-parts" : [ [ "1982", "1" ] ] }, "page" : "44-56", "title" : "A computational model for expiratory flow.", "type" : "article-journal", "volume" : "52" }, "uris" : [ "http://www.mendeley.com/documents/?uuid=4ceeb0d0-82d5-4be6-aa70-9dc1a3c97dad" ] }, { "id" : "ITEM-4", "itemData" : { "ISSN" : "0148-0731", "PMID" : "2779184", "abstract" : "A model has been developed for expiration from human lungs in which the mechanical properties of the airways and parenchyma can be varied between regions. The model is based on an existing homogeneous model. The fluid mechanical problem of the merging of dissimilar flows from adjacent regions is underspecified by the conservation laws of mass and energy. An existing, empirically derived result, provides the required extra equation. Model simulation of a nonhomogeneously distributed mild constriction of the peripheral airways gives results for maximal flows and alveolar pressure differences which are in good agreement with recent experimental findings.", "author" : [ { "dropping-particle" : "", "family" : "Lambert", "given" : "R K", "non-dropping-particle" : "", "parse-names" : false, "suffix" : "" } ], "container-title" : "Journal of biomechanical engineering", "id" : "ITEM-4", "issue" : "3", "issued" : { "date-parts" : [ [ "1989", "8" ] ] }, "page" : "200-5", "title" : "A new computational model for expiratory flow from nonhomogeneous human lungs.", "type" : "article-journal", "volume" : "111" }, "uris" : [ "http://www.mendeley.com/documents/?uuid=be12d360-a3bb-42e0-8e8e-172feef1c248" ] } ], "mendeley" : { "formattedCitation" : "(Hasleton, 1972; Lambert, Wilson, Hyatt, &amp; Rodarte, 1982; Lambert, 1989; R. J. Lorenz, 1966)", "plainTextFormattedCitation" : "(Hasleton, 1972; Lambert, Wilson, Hyatt, &amp; Rodarte, 1982; Lambert, 1989; R. J. Lorenz, 1966)", "previouslyFormattedCitation" : "(Hasleton, 1972; Lambert, Wilson, Hyatt, &amp; Rodarte, 1982; Lambert, 1989; R. J. Lorenz, 1966)" }, "properties" : { "noteIndex" : 0 }, "schema" : "https://github.com/citation-style-language/schema/raw/master/csl-citation.json" }</w:instrText>
      </w:r>
      <w:r w:rsidR="00121A9C" w:rsidRPr="00803D8B">
        <w:rPr>
          <w:rFonts w:asciiTheme="majorHAnsi" w:hAnsiTheme="majorHAnsi" w:cs="Arial"/>
        </w:rPr>
        <w:fldChar w:fldCharType="separate"/>
      </w:r>
      <w:r w:rsidR="008F5076" w:rsidRPr="008F5076">
        <w:rPr>
          <w:rFonts w:asciiTheme="majorHAnsi" w:hAnsiTheme="majorHAnsi" w:cs="Arial"/>
          <w:noProof/>
        </w:rPr>
        <w:t>(Hasleton, 1972; Lambert, Wilson, Hyatt, &amp; Rodarte, 1982; Lambert, 1989; R. J. Lorenz, 1966)</w:t>
      </w:r>
      <w:r w:rsidR="00121A9C" w:rsidRPr="00803D8B">
        <w:rPr>
          <w:rFonts w:asciiTheme="majorHAnsi" w:hAnsiTheme="majorHAnsi" w:cs="Arial"/>
        </w:rPr>
        <w:fldChar w:fldCharType="end"/>
      </w:r>
      <w:r w:rsidR="00A75F93" w:rsidRPr="00803D8B">
        <w:rPr>
          <w:rFonts w:asciiTheme="majorHAnsi" w:hAnsiTheme="majorHAnsi" w:cs="Arial"/>
        </w:rPr>
        <w:t xml:space="preserve"> </w:t>
      </w:r>
      <w:r w:rsidR="0042507B" w:rsidRPr="00803D8B">
        <w:rPr>
          <w:rFonts w:asciiTheme="majorHAnsi" w:hAnsiTheme="majorHAnsi" w:cs="Arial"/>
        </w:rPr>
        <w:t xml:space="preserve">is </w:t>
      </w:r>
      <w:r w:rsidR="00ED0FCE" w:rsidRPr="00803D8B">
        <w:rPr>
          <w:rFonts w:asciiTheme="majorHAnsi" w:hAnsiTheme="majorHAnsi" w:cs="Arial"/>
        </w:rPr>
        <w:t xml:space="preserve">commonly visualized </w:t>
      </w:r>
      <w:r w:rsidR="00FC4C64" w:rsidRPr="00803D8B">
        <w:rPr>
          <w:rFonts w:asciiTheme="majorHAnsi" w:hAnsiTheme="majorHAnsi" w:cs="Arial"/>
        </w:rPr>
        <w:t xml:space="preserve">as a bunch-of-grapes </w:t>
      </w:r>
      <w:r w:rsidR="006A0576" w:rsidRPr="00803D8B">
        <w:rPr>
          <w:rFonts w:asciiTheme="majorHAnsi" w:hAnsiTheme="majorHAnsi" w:cs="Arial"/>
        </w:rPr>
        <w:fldChar w:fldCharType="begin" w:fldLock="1"/>
      </w:r>
      <w:r w:rsidR="006A0576" w:rsidRPr="00803D8B">
        <w:rPr>
          <w:rFonts w:asciiTheme="majorHAnsi" w:hAnsiTheme="majorHAnsi" w:cs="Arial"/>
        </w:rPr>
        <w:instrText>ADDIN CSL_CITATION { "citationItems" : [ { "id" : "ITEM-1", "itemData" : { "DOI" : "10.3389/fphys.2015.00214", "ISSN" : "1664-042X", "PMID" : "26300780", "abstract" : "Chest physiotherapy is an empirical technique used to help secretions to get out of the lung whenever stagnation occurs. Although commonly used, little is known about the inner mechanisms of chest physiotherapy and controversies about its use are coming out regularly. Thus, a scientific validation of chest physiotherapy is needed to evaluate its effects on secretions. We setup a quasi-static numerical model of chest physiotherapy based on thorax and lung physiology and on their respective biophysics. We modeled the lung with an idealized deformable symmetric bifurcating tree. Bronchi and their inner fluids mechanics are assumed axisymmetric. Static data from the literature is used to build a model for the lung's mechanics. Secretions motion is the consequence of the shear constraints apply by the air flow. The input of the model is the pressure on the chest wall at each time, and the output is the bronchi geometry and air and secretions properties. In the limit of our model, we mimicked manual and mechanical chest physiotherapy techniques. We show that for secretions to move, air flow has to be high enough to overcome secretion resistance to motion. Moreover, the higher the pressure or the quicker it is applied, the higher is the air flow and thus the mobilization of secretions. However, pressures too high are efficient up to a point where airways compressions prevents air flow to increase any further. Generally, the first effects of manipulations is a decrease of the airway tree hydrodynamic resistance, thus improving ventilation even if secretions do not get out of the lungs. Also, some secretions might be pushed deeper into the lungs; this effect is stronger for high pressures and for mechanical chest physiotherapy. Finally, we propose and tested two a dimensional numbers that depend on lung properties and that allow to measure the efficiency and comfort of a manipulation.", "author" : [ { "dropping-particle" : "", "family" : "Mauroy", "given" : "Benjamin", "non-dropping-particle" : "", "parse-names" : false, "suffix" : "" }, { "dropping-particle" : "", "family" : "Flaud", "given" : "Patrice", "non-dropping-particle" : "", "parse-names" : false, "suffix" : "" }, { "dropping-particle" : "", "family" : "Pelca", "given" : "Dominique", "non-dropping-particle" : "", "parse-names" : false, "suffix" : "" }, { "dropping-particle" : "", "family" : "Fausser", "given" : "Christian", "non-dropping-particle" : "", "parse-names" : false, "suffix" : "" }, { "dropping-particle" : "", "family" : "Merckx", "given" : "Jacques", "non-dropping-particle" : "", "parse-names" : false, "suffix" : "" }, { "dropping-particle" : "", "family" : "Mitchell", "given" : "Barrett R", "non-dropping-particle" : "", "parse-names" : false, "suffix" : "" } ], "container-title" : "Frontiers in physiology", "id" : "ITEM-1", "issued" : { "date-parts" : [ [ "2015", "1" ] ] }, "page" : "214", "title" : "Toward the modeling of mucus draining from human lung: role of airways deformation on air-mucus interaction.", "type" : "article-journal", "volume" : "6" }, "uris" : [ "http://www.mendeley.com/documents/?uuid=63f6bac1-ee0f-478a-9db5-06c2c1387903" ] } ], "mendeley" : { "formattedCitation" : "(Mauroy et al., 2015)", "plainTextFormattedCitation" : "(Mauroy et al., 2015)", "previouslyFormattedCitation" : "(Mauroy et al., 2015)" }, "properties" : { "noteIndex" : 0 }, "schema" : "https://github.com/citation-style-language/schema/raw/master/csl-citation.json" }</w:instrText>
      </w:r>
      <w:r w:rsidR="006A0576" w:rsidRPr="00803D8B">
        <w:rPr>
          <w:rFonts w:asciiTheme="majorHAnsi" w:hAnsiTheme="majorHAnsi" w:cs="Arial"/>
        </w:rPr>
        <w:fldChar w:fldCharType="separate"/>
      </w:r>
      <w:r w:rsidR="006A0576" w:rsidRPr="00803D8B">
        <w:rPr>
          <w:rFonts w:asciiTheme="majorHAnsi" w:hAnsiTheme="majorHAnsi" w:cs="Arial"/>
          <w:noProof/>
        </w:rPr>
        <w:t>(Mauroy et al., 2015)</w:t>
      </w:r>
      <w:r w:rsidR="006A0576" w:rsidRPr="00803D8B">
        <w:rPr>
          <w:rFonts w:asciiTheme="majorHAnsi" w:hAnsiTheme="majorHAnsi" w:cs="Arial"/>
        </w:rPr>
        <w:fldChar w:fldCharType="end"/>
      </w:r>
      <w:r w:rsidR="006A0576" w:rsidRPr="00803D8B">
        <w:rPr>
          <w:rFonts w:asciiTheme="majorHAnsi" w:hAnsiTheme="majorHAnsi" w:cs="Arial"/>
        </w:rPr>
        <w:t xml:space="preserve"> </w:t>
      </w:r>
      <w:r w:rsidR="00FC4C64" w:rsidRPr="00803D8B">
        <w:rPr>
          <w:rFonts w:asciiTheme="majorHAnsi" w:hAnsiTheme="majorHAnsi" w:cs="Arial"/>
        </w:rPr>
        <w:t>formed by</w:t>
      </w:r>
      <w:r w:rsidR="00C13250" w:rsidRPr="00803D8B">
        <w:rPr>
          <w:rFonts w:asciiTheme="majorHAnsi" w:hAnsiTheme="majorHAnsi" w:cs="Arial"/>
        </w:rPr>
        <w:t xml:space="preserve"> </w:t>
      </w:r>
      <w:r w:rsidR="00A75F93" w:rsidRPr="00803D8B">
        <w:rPr>
          <w:rFonts w:asciiTheme="majorHAnsi" w:hAnsiTheme="majorHAnsi" w:cs="Arial"/>
        </w:rPr>
        <w:t xml:space="preserve">23 </w:t>
      </w:r>
      <w:r w:rsidR="0042507B" w:rsidRPr="00803D8B">
        <w:rPr>
          <w:rFonts w:asciiTheme="majorHAnsi" w:hAnsiTheme="majorHAnsi" w:cs="Arial"/>
        </w:rPr>
        <w:t xml:space="preserve">serial </w:t>
      </w:r>
      <w:r w:rsidR="00A75F93" w:rsidRPr="00803D8B">
        <w:rPr>
          <w:rFonts w:asciiTheme="majorHAnsi" w:hAnsiTheme="majorHAnsi" w:cs="Arial"/>
        </w:rPr>
        <w:t>bifurcations from the trachea to the la</w:t>
      </w:r>
      <w:r w:rsidR="001D45DE" w:rsidRPr="00803D8B">
        <w:rPr>
          <w:rFonts w:asciiTheme="majorHAnsi" w:hAnsiTheme="majorHAnsi" w:cs="Arial"/>
        </w:rPr>
        <w:t>st alveolar duct (generation 22; Fig. 1</w:t>
      </w:r>
      <w:r w:rsidR="002375C8" w:rsidRPr="00803D8B">
        <w:rPr>
          <w:rFonts w:asciiTheme="majorHAnsi" w:hAnsiTheme="majorHAnsi" w:cs="Arial"/>
        </w:rPr>
        <w:t>A</w:t>
      </w:r>
      <w:r w:rsidR="001D45DE" w:rsidRPr="00803D8B">
        <w:rPr>
          <w:rFonts w:asciiTheme="majorHAnsi" w:hAnsiTheme="majorHAnsi" w:cs="Arial"/>
        </w:rPr>
        <w:t>)</w:t>
      </w:r>
      <w:r w:rsidR="009355D2" w:rsidRPr="00803D8B">
        <w:rPr>
          <w:rFonts w:asciiTheme="majorHAnsi" w:hAnsiTheme="majorHAnsi" w:cs="Arial"/>
        </w:rPr>
        <w:t xml:space="preserve"> </w:t>
      </w:r>
      <w:r w:rsidR="009355D2" w:rsidRPr="00803D8B">
        <w:rPr>
          <w:rFonts w:asciiTheme="majorHAnsi" w:hAnsiTheme="majorHAnsi" w:cs="Arial"/>
        </w:rPr>
        <w:fldChar w:fldCharType="begin" w:fldLock="1"/>
      </w:r>
      <w:r w:rsidR="003850D8">
        <w:rPr>
          <w:rFonts w:asciiTheme="majorHAnsi" w:hAnsiTheme="majorHAnsi" w:cs="Arial"/>
        </w:rPr>
        <w:instrText>ADDIN CSL_CITATION { "citationItems" : [ { "id" : "ITEM-1", "itemData" : { "DOI" : "10.1002/bimj.19660080155", "ISSN" : "00063452", "author" : [ { "dropping-particle" : "", "family" : "Lorenz", "given" : "R. J.", "non-dropping-particle" : "", "parse-names" : false, "suffix" : "" } ], "container-title" : "Biometrische Zeitschrift", "id" : "ITEM-1", "issue" : "1-2", "issued" : { "date-parts" : [ [ "1966" ] ] }, "page" : "143-144", "title" : "Weibel, E. R.: Morphometry of the Human Lung. Springer Verlag, Berlin-G\u00f6ttingen-Heidelberg 1963; 151 S., 109 Abb., DM 36,-", "type" : "article-journal", "volume" : "8" }, "uris" : [ "http://www.mendeley.com/documents/?uuid=6cc9bf1a-865a-4b3b-ac3a-a645fb9e37f3" ] } ], "mendeley" : { "formattedCitation" : "(R. J. Lorenz, 1966)", "plainTextFormattedCitation" : "(R. J. Lorenz, 1966)", "previouslyFormattedCitation" : "(R. J. Lorenz, 1966)" }, "properties" : { "noteIndex" : 0 }, "schema" : "https://github.com/citation-style-language/schema/raw/master/csl-citation.json" }</w:instrText>
      </w:r>
      <w:r w:rsidR="009355D2" w:rsidRPr="00803D8B">
        <w:rPr>
          <w:rFonts w:asciiTheme="majorHAnsi" w:hAnsiTheme="majorHAnsi" w:cs="Arial"/>
        </w:rPr>
        <w:fldChar w:fldCharType="separate"/>
      </w:r>
      <w:r w:rsidR="008F5076" w:rsidRPr="008F5076">
        <w:rPr>
          <w:rFonts w:asciiTheme="majorHAnsi" w:hAnsiTheme="majorHAnsi" w:cs="Arial"/>
          <w:noProof/>
        </w:rPr>
        <w:t>(R. J. Lorenz, 1966)</w:t>
      </w:r>
      <w:r w:rsidR="009355D2" w:rsidRPr="00803D8B">
        <w:rPr>
          <w:rFonts w:asciiTheme="majorHAnsi" w:hAnsiTheme="majorHAnsi" w:cs="Arial"/>
        </w:rPr>
        <w:fldChar w:fldCharType="end"/>
      </w:r>
      <w:r w:rsidR="009355D2" w:rsidRPr="00803D8B">
        <w:rPr>
          <w:rFonts w:asciiTheme="majorHAnsi" w:hAnsiTheme="majorHAnsi" w:cs="Arial"/>
        </w:rPr>
        <w:t>.</w:t>
      </w:r>
      <w:r w:rsidR="001D45DE" w:rsidRPr="00803D8B">
        <w:rPr>
          <w:rFonts w:asciiTheme="majorHAnsi" w:hAnsiTheme="majorHAnsi" w:cs="Arial"/>
        </w:rPr>
        <w:t xml:space="preserve"> </w:t>
      </w:r>
      <w:r w:rsidR="009355D2" w:rsidRPr="00803D8B">
        <w:rPr>
          <w:rFonts w:asciiTheme="majorHAnsi" w:hAnsiTheme="majorHAnsi" w:cs="Arial"/>
        </w:rPr>
        <w:t xml:space="preserve">Surface area </w:t>
      </w:r>
      <w:r w:rsidR="00554283" w:rsidRPr="00803D8B">
        <w:rPr>
          <w:rFonts w:asciiTheme="majorHAnsi" w:hAnsiTheme="majorHAnsi" w:cs="Arial"/>
        </w:rPr>
        <w:t xml:space="preserve">and volume in adults ranges </w:t>
      </w:r>
      <w:r w:rsidR="003D53DC">
        <w:rPr>
          <w:rFonts w:asciiTheme="majorHAnsi" w:hAnsiTheme="majorHAnsi" w:cs="Arial"/>
        </w:rPr>
        <w:t xml:space="preserve">from </w:t>
      </w:r>
      <w:r w:rsidR="00554283" w:rsidRPr="00803D8B">
        <w:rPr>
          <w:rFonts w:asciiTheme="majorHAnsi" w:hAnsiTheme="majorHAnsi" w:cs="Arial"/>
        </w:rPr>
        <w:t>24 - 69</w:t>
      </w:r>
      <w:r w:rsidR="009355D2" w:rsidRPr="00803D8B">
        <w:rPr>
          <w:rFonts w:asciiTheme="majorHAnsi" w:hAnsiTheme="majorHAnsi" w:cs="Arial"/>
        </w:rPr>
        <w:t xml:space="preserve"> m</w:t>
      </w:r>
      <w:r w:rsidR="009355D2" w:rsidRPr="00803D8B">
        <w:rPr>
          <w:rFonts w:asciiTheme="majorHAnsi" w:hAnsiTheme="majorHAnsi" w:cs="Arial"/>
          <w:vertAlign w:val="superscript"/>
        </w:rPr>
        <w:t xml:space="preserve">2 </w:t>
      </w:r>
      <w:r w:rsidR="009355D2" w:rsidRPr="00803D8B">
        <w:rPr>
          <w:rFonts w:asciiTheme="majorHAnsi" w:hAnsiTheme="majorHAnsi" w:cs="Arial"/>
        </w:rPr>
        <w:t>a</w:t>
      </w:r>
      <w:r w:rsidR="008962B8" w:rsidRPr="00803D8B">
        <w:rPr>
          <w:rFonts w:asciiTheme="majorHAnsi" w:hAnsiTheme="majorHAnsi" w:cs="Arial"/>
        </w:rPr>
        <w:t>nd 2.16 - 5.23 l, respectively</w:t>
      </w:r>
      <w:r w:rsidR="00121A9C" w:rsidRPr="00803D8B">
        <w:rPr>
          <w:rFonts w:asciiTheme="majorHAnsi" w:hAnsiTheme="majorHAnsi" w:cs="Arial"/>
        </w:rPr>
        <w:t>, varying</w:t>
      </w:r>
      <w:r w:rsidR="009355D2" w:rsidRPr="00803D8B">
        <w:rPr>
          <w:rFonts w:asciiTheme="majorHAnsi" w:hAnsiTheme="majorHAnsi" w:cs="Arial"/>
        </w:rPr>
        <w:t xml:space="preserve"> </w:t>
      </w:r>
      <w:r w:rsidR="00C55981" w:rsidRPr="00803D8B">
        <w:rPr>
          <w:rFonts w:asciiTheme="majorHAnsi" w:hAnsiTheme="majorHAnsi" w:cs="Arial"/>
        </w:rPr>
        <w:t xml:space="preserve">significantly </w:t>
      </w:r>
      <w:r w:rsidR="009355D2" w:rsidRPr="00803D8B">
        <w:rPr>
          <w:rFonts w:asciiTheme="majorHAnsi" w:hAnsiTheme="majorHAnsi" w:cs="Arial"/>
        </w:rPr>
        <w:t xml:space="preserve">on account of age, height and disease </w:t>
      </w:r>
      <w:r w:rsidR="00C55981" w:rsidRPr="00803D8B">
        <w:rPr>
          <w:rFonts w:asciiTheme="majorHAnsi" w:hAnsiTheme="majorHAnsi" w:cs="Arial"/>
        </w:rPr>
        <w:fldChar w:fldCharType="begin" w:fldLock="1"/>
      </w:r>
      <w:r w:rsidR="00956089" w:rsidRPr="00803D8B">
        <w:rPr>
          <w:rFonts w:asciiTheme="majorHAnsi" w:hAnsiTheme="majorHAnsi" w:cs="Arial"/>
        </w:rPr>
        <w:instrText>ADDIN CSL_CITATION { "citationItems" : [ { "id" : "ITEM-1", "itemData" : { "ISSN" : "0021-8782", "PMID" : "4564685", "author" : [ { "dropping-particle" : "", "family" : "Hasleton", "given" : "P S", "non-dropping-particle" : "", "parse-names" : false, "suffix" : "" } ], "container-title" : "Journal of anatomy", "id" : "ITEM-1", "issue" : "Pt 3", "issued" : { "date-parts" : [ [ "1972", "9" ] ] }, "page" : "391-400", "title" : "The internal surface area of the adult human lung.", "type" : "article-journal", "volume" : "112" }, "uris" : [ "http://www.mendeley.com/documents/?uuid=19e9448f-c7aa-4f5c-b550-9459113f8cb1" ] }, { "id" : "ITEM-2", "itemData" : { "DOI" : "10.4168/aair.2014.6.5.376", "ISSN" : "2092-7355", "PMID" : "25228994", "abstract" : "The small airways have been neglected for many years, but interest in the topic has been rekindled with recent advances in measurement techniques to assess this region and also the ability to deliver therapeutics to the distal airways. Current levels of disease control in asthmatic patients remain poor and there are several contributory factors including; poor treatment compliance, heterogeneity of asthma phenotypes and associated comorbidities. However, the proposition that we may not be targeting all the inflammation that is present throughout the whole respiratory tree may also be an important factor. Indeed decades ago, pathologists and physiologists clearly identified the importance of small airways dysfunction in asthmatic patients. With improved inhaler technology to deliver drug to target the whole respiratory tree and more sensitive measures to assess the distal airways, we should certainly give greater consideration to treating the small airway region when seeing our asthmatic patients in clinic. The aim of this review is to address the relevance of small airways dysfunction in the daily clinical management of patients with asthma. In particular the role of small particle aerosols in the management of patients with asthma will be explored.", "author" : [ { "dropping-particle" : "", "family" : "Usmani", "given" : "Omar S", "non-dropping-particle" : "", "parse-names" : false, "suffix" : "" } ], "container-title" : "Allergy, asthma &amp; immunology research", "id" : "ITEM-2", "issue" : "5", "issued" : { "date-parts" : [ [ "2014", "9" ] ] }, "page" : "376-88", "title" : "Small airways dysfunction in asthma: evaluation and management to improve asthma control.", "type" : "article-journal", "volume" : "6" }, "uris" : [ "http://www.mendeley.com/documents/?uuid=645a3e1f-050b-4a07-b3a2-70b8d935308b" ] }, { "id" : "ITEM-3", "itemData" : { "ISSN" : "0306-5251", "PMID" : "14616418", "abstract" : "As the end organ for the treatment of local diseases or as the route of administration for systemic therapies, the lung is a very attractive target for drug delivery. It provides direct access to disease in the treatment of respiratory diseases, while providing an enormous surface area and a relatively low enzymatic, controlled environment for systemic absorption of medications. As a major port of entry, the lung has evolved to prevent the invasion of unwanted airborne particles from entering into the body. Airway geometry, humidity, mucociliary clearance and alveolar macrophages play a vital role in maintaining the sterility of the lung and consequently are barriers to the therapeutic effectiveness of inhaled medications. In addition, a drug's efficacy may be affected by where in the respiratory tract it is deposited, its delivered dose and the disease it may be trying to treat.", "author" : [ { "dropping-particle" : "", "family" : "Labiris", "given" : "N R", "non-dropping-particle" : "", "parse-names" : false, "suffix" : "" }, { "dropping-particle" : "", "family" : "Dolovich", "given" : "M B", "non-dropping-particle" : "", "parse-names" : false, "suffix" : "" } ], "container-title" : "British journal of clinical pharmacology", "id" : "ITEM-3", "issue" : "6", "issued" : { "date-parts" : [ [ "2003", "12" ] ] }, "page" : "588-99", "title" : "Pulmonary drug delivery. Part I: physiological factors affecting therapeutic effectiveness of aerosolized medications.", "type" : "article-journal", "volume" : "56" }, "uris" : [ "http://www.mendeley.com/documents/?uuid=9a8c1021-e2c4-4d28-b1f6-ae302a4b8506" ] } ], "mendeley" : { "formattedCitation" : "(Hasleton, 1972; Labiris &amp; Dolovich, 2003; Usmani, 2014)", "plainTextFormattedCitation" : "(Hasleton, 1972; Labiris &amp; Dolovich, 2003; Usmani, 2014)", "previouslyFormattedCitation" : "(Hasleton, 1972; Labiris &amp; Dolovich, 2003; Usmani, 2014)" }, "properties" : { "noteIndex" : 0 }, "schema" : "https://github.com/citation-style-language/schema/raw/master/csl-citation.json" }</w:instrText>
      </w:r>
      <w:r w:rsidR="00C55981" w:rsidRPr="00803D8B">
        <w:rPr>
          <w:rFonts w:asciiTheme="majorHAnsi" w:hAnsiTheme="majorHAnsi" w:cs="Arial"/>
        </w:rPr>
        <w:fldChar w:fldCharType="separate"/>
      </w:r>
      <w:r w:rsidR="00C55981" w:rsidRPr="00803D8B">
        <w:rPr>
          <w:rFonts w:asciiTheme="majorHAnsi" w:hAnsiTheme="majorHAnsi" w:cs="Arial"/>
          <w:noProof/>
        </w:rPr>
        <w:t>(Hasleton, 1972; Labiris &amp; Dolovich, 2003; Usmani, 2014)</w:t>
      </w:r>
      <w:r w:rsidR="00C55981" w:rsidRPr="00803D8B">
        <w:rPr>
          <w:rFonts w:asciiTheme="majorHAnsi" w:hAnsiTheme="majorHAnsi" w:cs="Arial"/>
        </w:rPr>
        <w:fldChar w:fldCharType="end"/>
      </w:r>
      <w:r w:rsidR="00C55981" w:rsidRPr="00803D8B">
        <w:rPr>
          <w:rFonts w:asciiTheme="majorHAnsi" w:hAnsiTheme="majorHAnsi" w:cs="Arial"/>
        </w:rPr>
        <w:t xml:space="preserve">. </w:t>
      </w:r>
      <w:r w:rsidR="00121A9C" w:rsidRPr="00803D8B">
        <w:rPr>
          <w:rFonts w:asciiTheme="majorHAnsi" w:hAnsiTheme="majorHAnsi" w:cs="Arial"/>
        </w:rPr>
        <w:t>Of t</w:t>
      </w:r>
      <w:r w:rsidR="009355D2" w:rsidRPr="00803D8B">
        <w:rPr>
          <w:rFonts w:asciiTheme="majorHAnsi" w:hAnsiTheme="majorHAnsi" w:cs="Arial"/>
        </w:rPr>
        <w:t xml:space="preserve">he </w:t>
      </w:r>
      <w:r w:rsidR="003D53DC">
        <w:rPr>
          <w:rFonts w:asciiTheme="majorHAnsi" w:hAnsiTheme="majorHAnsi" w:cs="Arial"/>
        </w:rPr>
        <w:t>~3 l</w:t>
      </w:r>
      <w:r w:rsidR="00121A9C" w:rsidRPr="00803D8B">
        <w:rPr>
          <w:rFonts w:asciiTheme="majorHAnsi" w:hAnsiTheme="majorHAnsi" w:cs="Arial"/>
        </w:rPr>
        <w:t xml:space="preserve"> </w:t>
      </w:r>
      <w:r w:rsidR="009355D2" w:rsidRPr="00803D8B">
        <w:rPr>
          <w:rFonts w:asciiTheme="majorHAnsi" w:hAnsiTheme="majorHAnsi" w:cs="Arial"/>
        </w:rPr>
        <w:t xml:space="preserve">standard internal lung volume </w:t>
      </w:r>
      <w:r w:rsidR="009355D2" w:rsidRPr="00803D8B">
        <w:rPr>
          <w:rFonts w:asciiTheme="majorHAnsi" w:hAnsiTheme="majorHAnsi" w:cs="Arial"/>
        </w:rPr>
        <w:fldChar w:fldCharType="begin" w:fldLock="1"/>
      </w:r>
      <w:r w:rsidR="009355D2" w:rsidRPr="00803D8B">
        <w:rPr>
          <w:rFonts w:asciiTheme="majorHAnsi" w:hAnsiTheme="majorHAnsi" w:cs="Arial"/>
        </w:rPr>
        <w:instrText>ADDIN CSL_CITATION { "citationItems" : [ { "id" : "ITEM-1", "itemData" : { "ISSN" : "0021-8782", "PMID" : "4564685", "author" : [ { "dropping-particle" : "", "family" : "Hasleton", "given" : "P S", "non-dropping-particle" : "", "parse-names" : false, "suffix" : "" } ], "container-title" : "Journal of anatomy", "id" : "ITEM-1", "issue" : "Pt 3", "issued" : { "date-parts" : [ [ "1972", "9" ] ] }, "page" : "391-400", "title" : "The internal surface area of the adult human lung.", "type" : "article-journal", "volume" : "112" }, "uris" : [ "http://www.mendeley.com/documents/?uuid=19e9448f-c7aa-4f5c-b550-9459113f8cb1" ] } ], "mendeley" : { "formattedCitation" : "(Hasleton, 1972)", "plainTextFormattedCitation" : "(Hasleton, 1972)", "previouslyFormattedCitation" : "(Hasleton, 1972)" }, "properties" : { "noteIndex" : 0 }, "schema" : "https://github.com/citation-style-language/schema/raw/master/csl-citation.json" }</w:instrText>
      </w:r>
      <w:r w:rsidR="009355D2" w:rsidRPr="00803D8B">
        <w:rPr>
          <w:rFonts w:asciiTheme="majorHAnsi" w:hAnsiTheme="majorHAnsi" w:cs="Arial"/>
        </w:rPr>
        <w:fldChar w:fldCharType="separate"/>
      </w:r>
      <w:r w:rsidR="009355D2" w:rsidRPr="00803D8B">
        <w:rPr>
          <w:rFonts w:asciiTheme="majorHAnsi" w:hAnsiTheme="majorHAnsi" w:cs="Arial"/>
          <w:noProof/>
        </w:rPr>
        <w:t>(Hasleton, 1972)</w:t>
      </w:r>
      <w:r w:rsidR="009355D2" w:rsidRPr="00803D8B">
        <w:rPr>
          <w:rFonts w:asciiTheme="majorHAnsi" w:hAnsiTheme="majorHAnsi" w:cs="Arial"/>
        </w:rPr>
        <w:fldChar w:fldCharType="end"/>
      </w:r>
      <w:r w:rsidR="009355D2" w:rsidRPr="00803D8B">
        <w:rPr>
          <w:rFonts w:asciiTheme="majorHAnsi" w:hAnsiTheme="majorHAnsi" w:cs="Arial"/>
        </w:rPr>
        <w:t xml:space="preserve">, 85-90% </w:t>
      </w:r>
      <w:r w:rsidR="008962B8" w:rsidRPr="00803D8B">
        <w:rPr>
          <w:rFonts w:asciiTheme="majorHAnsi" w:hAnsiTheme="majorHAnsi" w:cs="Arial"/>
        </w:rPr>
        <w:t xml:space="preserve">is occupied by alveoli </w:t>
      </w:r>
      <w:r w:rsidR="00121A9C" w:rsidRPr="00803D8B">
        <w:rPr>
          <w:rFonts w:asciiTheme="majorHAnsi" w:hAnsiTheme="majorHAnsi" w:cs="Arial"/>
        </w:rPr>
        <w:t>(</w:t>
      </w:r>
      <w:r w:rsidR="009355D2" w:rsidRPr="00803D8B">
        <w:rPr>
          <w:rFonts w:asciiTheme="majorHAnsi" w:hAnsiTheme="majorHAnsi" w:cs="Arial"/>
        </w:rPr>
        <w:t>lung parenchyma or interstitium</w:t>
      </w:r>
      <w:r w:rsidR="00121A9C" w:rsidRPr="00803D8B">
        <w:rPr>
          <w:rFonts w:asciiTheme="majorHAnsi" w:hAnsiTheme="majorHAnsi" w:cs="Arial"/>
        </w:rPr>
        <w:t>)</w:t>
      </w:r>
      <w:r w:rsidR="00CB0B75">
        <w:rPr>
          <w:rFonts w:asciiTheme="majorHAnsi" w:hAnsiTheme="majorHAnsi" w:cs="Arial"/>
        </w:rPr>
        <w:t xml:space="preserve"> wherein oxygen and carbon dioxide exchange takes place</w:t>
      </w:r>
      <w:r w:rsidR="009355D2" w:rsidRPr="00803D8B">
        <w:rPr>
          <w:rFonts w:asciiTheme="majorHAnsi" w:hAnsiTheme="majorHAnsi" w:cs="Arial"/>
        </w:rPr>
        <w:t xml:space="preserve"> </w:t>
      </w:r>
      <w:r w:rsidR="009355D2" w:rsidRPr="00803D8B">
        <w:rPr>
          <w:rFonts w:asciiTheme="majorHAnsi" w:hAnsiTheme="majorHAnsi" w:cs="Arial"/>
        </w:rPr>
        <w:fldChar w:fldCharType="begin" w:fldLock="1"/>
      </w:r>
      <w:r w:rsidR="009355D2" w:rsidRPr="00803D8B">
        <w:rPr>
          <w:rFonts w:asciiTheme="majorHAnsi" w:hAnsiTheme="majorHAnsi" w:cs="Arial"/>
        </w:rPr>
        <w:instrText>ADDIN CSL_CITATION { "citationItems" : [ { "id" : "ITEM-1", "itemData" : { "DOI" : "10.1016/j.aanat.2013.10.004", "ISSN" : "1618-0402", "PMID" : "24268708", "abstract" : "Chronic obstructive pulmonary disease (COPD) is one of the most common lung diseases. The major component of COPD, which affects the gas-exchanging parenchyma of the lung, emphysema, is characterized by destruction of alveolar septae leading to loss of functional surface, loss of alveoli and enlargement of remaining distal airspaces. These microstructural alterations can be modeled in animals and can be measured using stereological methods applied to imaging datasets. Many animal models of emphysema exist, but most of them are insufficiently characterized with respect to the underlying nature (e.g. destructive or developmental) and the degree of the structural alterations. The most popular parameter for assessment of emphysematous alterations, mean linear intercept length, has severe limitations. It can, therefore, not be recommended. Better design-based stereological alternatives exist but are less often applied, such as total volumes of parenchymal compartments (alveolar airspace, alveolar duct airspace, alveolar septum), total alveolar surface area, total alveolar number and mean alveolar size and its size variation. A prerequisite is the use of appropriate fixation, sampling, and specimen processing protocols. This article reviews the challenges of stereologic assessment of emphysematous alterations in the lung and illustrates possible strategies.", "author" : [ { "dropping-particle" : "", "family" : "Ochs", "given" : "Matthias", "non-dropping-particle" : "", "parse-names" : false, "suffix" : "" } ], "container-title" : "Annals of anatomy = Anatomischer Anzeiger : official organ of the Anatomische Gesellschaft", "id" : "ITEM-1", "issue" : "1", "issued" : { "date-parts" : [ [ "2014", "1" ] ] }, "page" : "26-33", "title" : "Estimating structural alterations in animal models of lung emphysema. Is there a gold standard?", "type" : "article-journal", "volume" : "196" }, "uris" : [ "http://www.mendeley.com/documents/?uuid=1030b6d8-85a7-4e21-884c-7a39280c6ffc" ] } ], "mendeley" : { "formattedCitation" : "(Ochs, 2014)", "plainTextFormattedCitation" : "(Ochs, 2014)", "previouslyFormattedCitation" : "(Ochs, 2014)" }, "properties" : { "noteIndex" : 0 }, "schema" : "https://github.com/citation-style-language/schema/raw/master/csl-citation.json" }</w:instrText>
      </w:r>
      <w:r w:rsidR="009355D2" w:rsidRPr="00803D8B">
        <w:rPr>
          <w:rFonts w:asciiTheme="majorHAnsi" w:hAnsiTheme="majorHAnsi" w:cs="Arial"/>
        </w:rPr>
        <w:fldChar w:fldCharType="separate"/>
      </w:r>
      <w:r w:rsidR="009355D2" w:rsidRPr="00803D8B">
        <w:rPr>
          <w:rFonts w:asciiTheme="majorHAnsi" w:hAnsiTheme="majorHAnsi" w:cs="Arial"/>
          <w:noProof/>
        </w:rPr>
        <w:t>(Ochs, 2014)</w:t>
      </w:r>
      <w:r w:rsidR="009355D2" w:rsidRPr="00803D8B">
        <w:rPr>
          <w:rFonts w:asciiTheme="majorHAnsi" w:hAnsiTheme="majorHAnsi" w:cs="Arial"/>
        </w:rPr>
        <w:fldChar w:fldCharType="end"/>
      </w:r>
      <w:r w:rsidR="009355D2" w:rsidRPr="00803D8B">
        <w:rPr>
          <w:rFonts w:asciiTheme="majorHAnsi" w:hAnsiTheme="majorHAnsi" w:cs="Arial"/>
        </w:rPr>
        <w:t xml:space="preserve">. </w:t>
      </w:r>
      <w:r w:rsidR="00D13EA3">
        <w:rPr>
          <w:rFonts w:asciiTheme="majorHAnsi" w:hAnsiTheme="majorHAnsi" w:cs="Arial"/>
        </w:rPr>
        <w:t xml:space="preserve"> </w:t>
      </w:r>
    </w:p>
    <w:p w14:paraId="447E120F" w14:textId="77777777" w:rsidR="00D13EA3" w:rsidRPr="00D13EA3" w:rsidRDefault="00D13EA3" w:rsidP="005837A4">
      <w:pPr>
        <w:spacing w:line="480" w:lineRule="auto"/>
      </w:pPr>
    </w:p>
    <w:p w14:paraId="29B6BCC7" w14:textId="127918AB" w:rsidR="00A72DB5" w:rsidRDefault="0050727F" w:rsidP="005837A4">
      <w:pPr>
        <w:spacing w:line="480" w:lineRule="auto"/>
        <w:jc w:val="both"/>
        <w:rPr>
          <w:rFonts w:ascii="Calibri" w:hAnsi="Calibri" w:cs="Arial"/>
        </w:rPr>
      </w:pPr>
      <w:r>
        <w:rPr>
          <w:rFonts w:ascii="Calibri" w:hAnsi="Calibri" w:cs="Arial"/>
        </w:rPr>
        <w:t xml:space="preserve">One of the key </w:t>
      </w:r>
      <w:r w:rsidR="00D37FB2">
        <w:rPr>
          <w:rFonts w:ascii="Calibri" w:hAnsi="Calibri" w:cs="Arial"/>
        </w:rPr>
        <w:t xml:space="preserve">physiological </w:t>
      </w:r>
      <w:r>
        <w:rPr>
          <w:rFonts w:ascii="Calibri" w:hAnsi="Calibri" w:cs="Arial"/>
        </w:rPr>
        <w:t xml:space="preserve">barriers to the delivery of oligonucleotides is the thin layer of </w:t>
      </w:r>
      <w:r w:rsidR="00D37FB2">
        <w:rPr>
          <w:rFonts w:ascii="Calibri" w:hAnsi="Calibri" w:cs="Arial"/>
        </w:rPr>
        <w:t>pulmonary surfactant and mucus that line lower and up</w:t>
      </w:r>
      <w:r w:rsidR="003D53DC">
        <w:rPr>
          <w:rFonts w:ascii="Calibri" w:hAnsi="Calibri" w:cs="Arial"/>
        </w:rPr>
        <w:t xml:space="preserve">per airways, respectively. The </w:t>
      </w:r>
      <w:r w:rsidR="00832EE5" w:rsidRPr="00AD07AB">
        <w:rPr>
          <w:rFonts w:ascii="Calibri" w:hAnsi="Calibri" w:cs="Arial"/>
        </w:rPr>
        <w:t>cationic</w:t>
      </w:r>
      <w:r>
        <w:rPr>
          <w:rFonts w:ascii="Calibri" w:hAnsi="Calibri" w:cs="Arial"/>
        </w:rPr>
        <w:t xml:space="preserve"> and </w:t>
      </w:r>
      <w:r w:rsidR="00832EE5" w:rsidRPr="00AD07AB">
        <w:rPr>
          <w:rFonts w:ascii="Calibri" w:hAnsi="Calibri" w:cs="Arial"/>
        </w:rPr>
        <w:t xml:space="preserve">lipoproteinaceous matrix </w:t>
      </w:r>
      <w:r w:rsidR="00D37FB2">
        <w:rPr>
          <w:rFonts w:ascii="Calibri" w:hAnsi="Calibri" w:cs="Arial"/>
        </w:rPr>
        <w:t xml:space="preserve">that constitutes the </w:t>
      </w:r>
      <w:r w:rsidR="00832EE5" w:rsidRPr="00AD07AB">
        <w:rPr>
          <w:rFonts w:ascii="Calibri" w:hAnsi="Calibri" w:cs="Arial"/>
        </w:rPr>
        <w:t>pulmonary surfactant</w:t>
      </w:r>
      <w:r w:rsidR="00D37FB2">
        <w:rPr>
          <w:rFonts w:ascii="Calibri" w:hAnsi="Calibri" w:cs="Arial"/>
        </w:rPr>
        <w:t xml:space="preserve"> of the </w:t>
      </w:r>
      <w:r w:rsidR="00832EE5" w:rsidRPr="00AD07AB">
        <w:rPr>
          <w:rFonts w:ascii="Calibri" w:hAnsi="Calibri" w:cs="Arial"/>
        </w:rPr>
        <w:t>lower airways</w:t>
      </w:r>
      <w:r>
        <w:rPr>
          <w:rFonts w:ascii="Calibri" w:hAnsi="Calibri" w:cs="Arial"/>
        </w:rPr>
        <w:t xml:space="preserve"> and alveol</w:t>
      </w:r>
      <w:r w:rsidR="005F1F3D">
        <w:rPr>
          <w:rFonts w:ascii="Calibri" w:hAnsi="Calibri" w:cs="Arial"/>
        </w:rPr>
        <w:t>i</w:t>
      </w:r>
      <w:r w:rsidR="00D37FB2">
        <w:rPr>
          <w:rFonts w:ascii="Calibri" w:hAnsi="Calibri" w:cs="Arial"/>
        </w:rPr>
        <w:t xml:space="preserve"> </w:t>
      </w:r>
      <w:r>
        <w:rPr>
          <w:rFonts w:ascii="Calibri" w:hAnsi="Calibri" w:cs="Arial"/>
        </w:rPr>
        <w:t xml:space="preserve">has a number of biological functions including </w:t>
      </w:r>
      <w:r w:rsidR="006A55C1" w:rsidRPr="00AD07AB">
        <w:rPr>
          <w:rFonts w:ascii="Calibri" w:hAnsi="Calibri" w:cs="Arial"/>
        </w:rPr>
        <w:t>mechanostructural stabiliz</w:t>
      </w:r>
      <w:r>
        <w:rPr>
          <w:rFonts w:ascii="Calibri" w:hAnsi="Calibri" w:cs="Arial"/>
        </w:rPr>
        <w:t>ation</w:t>
      </w:r>
      <w:r w:rsidR="006A55C1" w:rsidRPr="00AD07AB">
        <w:rPr>
          <w:rFonts w:ascii="Calibri" w:hAnsi="Calibri" w:cs="Arial"/>
        </w:rPr>
        <w:t xml:space="preserve"> </w:t>
      </w:r>
      <w:r w:rsidR="00F268BD" w:rsidRPr="00AD07AB">
        <w:rPr>
          <w:rFonts w:ascii="Calibri" w:hAnsi="Calibri" w:cs="Arial"/>
        </w:rPr>
        <w:fldChar w:fldCharType="begin" w:fldLock="1"/>
      </w:r>
      <w:r w:rsidR="00F268BD" w:rsidRPr="00AD07AB">
        <w:rPr>
          <w:rFonts w:ascii="Calibri" w:hAnsi="Calibri" w:cs="Arial"/>
        </w:rPr>
        <w:instrText>ADDIN CSL_CITATION { "citationItems" : [ { "id" : "ITEM-1", "itemData" : { "DOI" : "10.1016/j.chemphyslip.2014.09.002", "ISSN" : "1873-2941", "PMID" : "25260665", "abstract" : "The respiratory surface in the mammalian lung is stabilized by pulmonary surfactant, a membrane-based system composed of multiple lipids and specific proteins, the primary function of which is to minimize the surface tension at the alveolar air-liquid interface, optimizing the mechanics of breathing and avoiding alveolar collapse, especially at the end of expiration. The goal of the present review is to summarize current knowledge regarding the structure, lipid-protein interactions and mechanical features of surfactant membranes and films and how these properties correlate with surfactant biological function inside the lungs. Surfactant mechanical properties can be severely compromised by different agents, which lead to surfactant inhibition and ultimately contributes to the development of pulmonary disorders and pathologies in newborns, children and adults. A detailed comprehension of the unique mechanical and rheological properties of surfactant layers is crucial for the diagnostics and treatment of lung diseases, either by analyzing the contribution of surfactant impairment to the pathophysiology or by improving the formulations in surfactant replacement therapies. Finally, a short review is also included on the most relevant experimental techniques currently employed to evaluate lung surfactant mechanics, rheology, and inhibition and reactivation processes.", "author" : [ { "dropping-particle" : "", "family" : "Parra", "given" : "Elisa", "non-dropping-particle" : "", "parse-names" : false, "suffix" : "" }, { "dropping-particle" : "", "family" : "P\u00e9rez-Gil", "given" : "Jes\u00fas", "non-dropping-particle" : "", "parse-names" : false, "suffix" : "" } ], "container-title" : "Chemistry and physics of lipids", "id" : "ITEM-1", "issued" : { "date-parts" : [ [ "2015", "1" ] ] }, "page" : "153-75", "title" : "Composition, structure and mechanical properties define performance of pulmonary surfactant membranes and films.", "type" : "article-journal", "volume" : "185" }, "uris" : [ "http://www.mendeley.com/documents/?uuid=50519387-4943-4194-9bb7-91a0ab9e5ee2" ] } ], "mendeley" : { "formattedCitation" : "(Parra &amp; P\u00e9rez-Gil, 2015)", "plainTextFormattedCitation" : "(Parra &amp; P\u00e9rez-Gil, 2015)", "previouslyFormattedCitation" : "(Parra &amp; P\u00e9rez-Gil, 2015)" }, "properties" : { "noteIndex" : 0 }, "schema" : "https://github.com/citation-style-language/schema/raw/master/csl-citation.json" }</w:instrText>
      </w:r>
      <w:r w:rsidR="00F268BD" w:rsidRPr="00AD07AB">
        <w:rPr>
          <w:rFonts w:ascii="Calibri" w:hAnsi="Calibri" w:cs="Arial"/>
        </w:rPr>
        <w:fldChar w:fldCharType="separate"/>
      </w:r>
      <w:r w:rsidR="00F268BD" w:rsidRPr="00AD07AB">
        <w:rPr>
          <w:rFonts w:ascii="Calibri" w:hAnsi="Calibri" w:cs="Arial"/>
          <w:noProof/>
        </w:rPr>
        <w:t>(Parra &amp; Pérez-Gil, 2015)</w:t>
      </w:r>
      <w:r w:rsidR="00F268BD" w:rsidRPr="00AD07AB">
        <w:rPr>
          <w:rFonts w:ascii="Calibri" w:hAnsi="Calibri" w:cs="Arial"/>
        </w:rPr>
        <w:fldChar w:fldCharType="end"/>
      </w:r>
      <w:r w:rsidR="006A55C1" w:rsidRPr="00AD07AB">
        <w:rPr>
          <w:rFonts w:ascii="Calibri" w:hAnsi="Calibri" w:cs="Arial"/>
        </w:rPr>
        <w:t>, surface tension reduc</w:t>
      </w:r>
      <w:r>
        <w:rPr>
          <w:rFonts w:ascii="Calibri" w:hAnsi="Calibri" w:cs="Arial"/>
        </w:rPr>
        <w:t>tion to</w:t>
      </w:r>
      <w:r w:rsidR="006A55C1" w:rsidRPr="00AD07AB">
        <w:rPr>
          <w:rFonts w:ascii="Calibri" w:hAnsi="Calibri" w:cs="Arial"/>
        </w:rPr>
        <w:t xml:space="preserve"> </w:t>
      </w:r>
      <w:r w:rsidR="00F268BD" w:rsidRPr="00AD07AB">
        <w:rPr>
          <w:rFonts w:ascii="Calibri" w:hAnsi="Calibri" w:cs="Arial"/>
        </w:rPr>
        <w:t>enabl</w:t>
      </w:r>
      <w:r>
        <w:rPr>
          <w:rFonts w:ascii="Calibri" w:hAnsi="Calibri" w:cs="Arial"/>
        </w:rPr>
        <w:t>e</w:t>
      </w:r>
      <w:r w:rsidR="00F268BD" w:rsidRPr="00AD07AB">
        <w:rPr>
          <w:rFonts w:ascii="Calibri" w:hAnsi="Calibri" w:cs="Arial"/>
        </w:rPr>
        <w:t xml:space="preserve"> gas exchange </w:t>
      </w:r>
      <w:r w:rsidR="00F268BD" w:rsidRPr="00AD07AB">
        <w:rPr>
          <w:rFonts w:ascii="Calibri" w:hAnsi="Calibri" w:cs="Arial"/>
        </w:rPr>
        <w:fldChar w:fldCharType="begin" w:fldLock="1"/>
      </w:r>
      <w:r w:rsidR="0087087A" w:rsidRPr="00AD07AB">
        <w:rPr>
          <w:rFonts w:ascii="Calibri" w:hAnsi="Calibri" w:cs="Arial"/>
        </w:rPr>
        <w:instrText>ADDIN CSL_CITATION { "citationItems" : [ { "id" : "ITEM-1", "itemData" : { "DOI" : "10.1146/annurev-pathol-012513-104644", "ISSN" : "1553-4014", "PMID" : "25621661", "abstract" : "Advances in physiology and biochemistry have provided fundamental insights into the role of pulmonary surfactant in the pathogenesis and treatment of preterm infants with respiratory distress syndrome. Identification of the surfactant proteins, lipid transporters, and transcriptional networks regulating their expression has provided the tools and insights needed to discern the molecular and cellular processes regulating the production and function of pulmonary surfactant prior to and after birth. Mutations in genes regulating surfactant homeostasis have been associated with severe lung disease in neonates and older infants. Biophysical and transgenic mouse models have provided insight into the mechanisms underlying surfactant protein and alveolar homeostasis. These studies have provided the framework for understanding the structure and function of pulmonary surfactant, which has informed understanding of the pathogenesis of diverse pulmonary disorders previously considered idiopathic. This review considers the pulmonary surfactant system and the genetic causes of acute and chronic lung disease caused by disruption of alveolar homeostasis.", "author" : [ { "dropping-particle" : "", "family" : "Whitsett", "given" : "Jeffrey A", "non-dropping-particle" : "", "parse-names" : false, "suffix" : "" }, { "dropping-particle" : "", "family" : "Wert", "given" : "Susan E", "non-dropping-particle" : "", "parse-names" : false, "suffix" : "" }, { "dropping-particle" : "", "family" : "Weaver", "given" : "Timothy E", "non-dropping-particle" : "", "parse-names" : false, "suffix" : "" } ], "container-title" : "Annual review of pathology", "id" : "ITEM-1", "issued" : { "date-parts" : [ [ "2015", "1" ] ] }, "page" : "371-93", "title" : "Diseases of pulmonary surfactant homeostasis.", "type" : "article-journal", "volume" : "10" }, "uris" : [ "http://www.mendeley.com/documents/?uuid=d402f352-8f80-4c92-a9ef-50238ae78e1f" ] } ], "mendeley" : { "formattedCitation" : "(Whitsett, Wert, &amp; Weaver, 2015)", "plainTextFormattedCitation" : "(Whitsett, Wert, &amp; Weaver, 2015)", "previouslyFormattedCitation" : "(Whitsett, Wert, &amp; Weaver, 2015)" }, "properties" : { "noteIndex" : 0 }, "schema" : "https://github.com/citation-style-language/schema/raw/master/csl-citation.json" }</w:instrText>
      </w:r>
      <w:r w:rsidR="00F268BD" w:rsidRPr="00AD07AB">
        <w:rPr>
          <w:rFonts w:ascii="Calibri" w:hAnsi="Calibri" w:cs="Arial"/>
        </w:rPr>
        <w:fldChar w:fldCharType="separate"/>
      </w:r>
      <w:r w:rsidR="00F268BD" w:rsidRPr="00AD07AB">
        <w:rPr>
          <w:rFonts w:ascii="Calibri" w:hAnsi="Calibri" w:cs="Arial"/>
          <w:noProof/>
        </w:rPr>
        <w:t>(Whitsett, Wert, &amp; Weaver, 2015)</w:t>
      </w:r>
      <w:r w:rsidR="00F268BD" w:rsidRPr="00AD07AB">
        <w:rPr>
          <w:rFonts w:ascii="Calibri" w:hAnsi="Calibri" w:cs="Arial"/>
        </w:rPr>
        <w:fldChar w:fldCharType="end"/>
      </w:r>
      <w:r w:rsidR="00F268BD" w:rsidRPr="00AD07AB">
        <w:rPr>
          <w:rFonts w:ascii="Calibri" w:hAnsi="Calibri" w:cs="Arial"/>
        </w:rPr>
        <w:t xml:space="preserve"> </w:t>
      </w:r>
      <w:r w:rsidR="006A55C1" w:rsidRPr="00AD07AB">
        <w:rPr>
          <w:rFonts w:ascii="Calibri" w:hAnsi="Calibri" w:cs="Arial"/>
        </w:rPr>
        <w:t xml:space="preserve">and </w:t>
      </w:r>
      <w:r>
        <w:rPr>
          <w:rFonts w:ascii="Calibri" w:hAnsi="Calibri" w:cs="Arial"/>
        </w:rPr>
        <w:t xml:space="preserve">as </w:t>
      </w:r>
      <w:r w:rsidR="00F268BD" w:rsidRPr="00AD07AB">
        <w:rPr>
          <w:rFonts w:ascii="Calibri" w:hAnsi="Calibri" w:cs="Arial"/>
        </w:rPr>
        <w:t xml:space="preserve">a contributor to immune protection </w:t>
      </w:r>
      <w:r w:rsidR="00E07870" w:rsidRPr="00AD07AB">
        <w:rPr>
          <w:rFonts w:ascii="Calibri" w:hAnsi="Calibri" w:cs="Arial"/>
        </w:rPr>
        <w:fldChar w:fldCharType="begin" w:fldLock="1"/>
      </w:r>
      <w:r w:rsidR="00E07870" w:rsidRPr="00AD07AB">
        <w:rPr>
          <w:rFonts w:ascii="Calibri" w:hAnsi="Calibri" w:cs="Arial"/>
        </w:rPr>
        <w:instrText>ADDIN CSL_CITATION { "citationItems" : [ { "id" : "ITEM-1", "itemData" : { "DOI" : "10.1513/AnnalsATS.201411-507FR", "ISSN" : "2325-6621", "PMID" : "25742123", "abstract" : "Pulmonary surfactant is essential for life as it lines the alveoli to lower surface tension, thereby preventing atelectasis during breathing. Surfactant is enriched with a relatively unique phospholipid, termed dipalmitoylphosphatidylcholine, and four surfactant-associated proteins, SP-A, SP-B, SP-C, and SP-D. The hydrophobic proteins, SP-B and SP-C, together with dipalmitoylphosphatidylcholine, confer surface tension-lowering properties to the material. The more hydrophilic surfactant components, SP-A and SP-D, participate in pulmonary host defense and modify immune responses. Specifically, SP-A and SP-D bind and partake in the clearance of a variety of bacterial, fungal, and viral pathogens and can dampen antigen-induced immune function of effector cells. Emerging data also show immunosuppressive actions of some surfactant-associated lipids, such as phosphatidylglycerol. Conversely, microbial pathogens in preclinical models impair surfactant synthesis and secretion, and microbial proteinases degrade surfactant-associated proteins. Deficiencies of surfactant components are classically observed in the neonatal respiratory distress syndrome, where surfactant replacement therapies have been the mainstay of treatment. However, functional or compositional deficiencies of surfactant are also observed in a variety of acute and chronic lung disorders. Increased surfactant is seen in pulmonary alveolar proteinosis, a disorder characterized by a functional deficiency of the granulocyte-macrophage colony-stimulating factor receptor or development of granulocyte-macrophage colony-stimulating factor antibodies. Genetic polymorphisms of some surfactant proteins such as SP-C are linked to interstitial pulmonary fibrosis. Here, we briefly review the composition, antimicrobial properties, and relevance of pulmonary surfactant to lung disorders and present its therapeutic implications.", "author" : [ { "dropping-particle" : "", "family" : "Han", "given" : "SeungHye", "non-dropping-particle" : "", "parse-names" : false, "suffix" : "" }, { "dropping-particle" : "", "family" : "Mallampalli", "given" : "Rama K", "non-dropping-particle" : "", "parse-names" : false, "suffix" : "" } ], "container-title" : "Annals of the American Thoracic Society", "id" : "ITEM-1", "issue" : "5", "issued" : { "date-parts" : [ [ "2015", "5" ] ] }, "page" : "765-74", "title" : "The Role of Surfactant in Lung Disease and Host Defense against Pulmonary Infections.", "type" : "article-journal", "volume" : "12" }, "uris" : [ "http://www.mendeley.com/documents/?uuid=e7f79305-cfcf-45ec-ae6f-6ae65611acc2" ] } ], "mendeley" : { "formattedCitation" : "(Han &amp; Mallampalli, 2015)", "plainTextFormattedCitation" : "(Han &amp; Mallampalli, 2015)", "previouslyFormattedCitation" : "(Han &amp; Mallampalli, 2015)" }, "properties" : { "noteIndex" : 0 }, "schema" : "https://github.com/citation-style-language/schema/raw/master/csl-citation.json" }</w:instrText>
      </w:r>
      <w:r w:rsidR="00E07870" w:rsidRPr="00AD07AB">
        <w:rPr>
          <w:rFonts w:ascii="Calibri" w:hAnsi="Calibri" w:cs="Arial"/>
        </w:rPr>
        <w:fldChar w:fldCharType="separate"/>
      </w:r>
      <w:r w:rsidR="00E07870" w:rsidRPr="00AD07AB">
        <w:rPr>
          <w:rFonts w:ascii="Calibri" w:hAnsi="Calibri" w:cs="Arial"/>
          <w:noProof/>
        </w:rPr>
        <w:t>(Han &amp; Mallampalli, 2015)</w:t>
      </w:r>
      <w:r w:rsidR="00E07870" w:rsidRPr="00AD07AB">
        <w:rPr>
          <w:rFonts w:ascii="Calibri" w:hAnsi="Calibri" w:cs="Arial"/>
        </w:rPr>
        <w:fldChar w:fldCharType="end"/>
      </w:r>
      <w:r w:rsidR="00E07870" w:rsidRPr="00AD07AB">
        <w:rPr>
          <w:rFonts w:ascii="Calibri" w:hAnsi="Calibri" w:cs="Arial"/>
        </w:rPr>
        <w:t>.</w:t>
      </w:r>
      <w:r w:rsidR="005712F5" w:rsidRPr="00AD07AB">
        <w:rPr>
          <w:rFonts w:ascii="Calibri" w:hAnsi="Calibri" w:cs="Arial"/>
        </w:rPr>
        <w:t xml:space="preserve"> </w:t>
      </w:r>
      <w:r w:rsidR="00D6558F" w:rsidRPr="00AD07AB">
        <w:rPr>
          <w:rFonts w:ascii="Calibri" w:hAnsi="Calibri" w:cs="Arial"/>
        </w:rPr>
        <w:t xml:space="preserve">Many of the </w:t>
      </w:r>
      <w:r w:rsidR="00121A9C" w:rsidRPr="00AD07AB">
        <w:rPr>
          <w:rFonts w:ascii="Calibri" w:hAnsi="Calibri" w:cs="Arial"/>
        </w:rPr>
        <w:t xml:space="preserve">surfactant </w:t>
      </w:r>
      <w:r w:rsidR="00D6558F" w:rsidRPr="00AD07AB">
        <w:rPr>
          <w:rFonts w:ascii="Calibri" w:hAnsi="Calibri" w:cs="Arial"/>
        </w:rPr>
        <w:t>lipid components</w:t>
      </w:r>
      <w:r w:rsidR="00F01D59" w:rsidRPr="00AD07AB">
        <w:rPr>
          <w:rFonts w:ascii="Calibri" w:hAnsi="Calibri" w:cs="Arial"/>
          <w:lang w:val="en-GB"/>
        </w:rPr>
        <w:t> </w:t>
      </w:r>
      <w:r w:rsidR="00D6558F" w:rsidRPr="00AD07AB">
        <w:rPr>
          <w:rFonts w:ascii="Calibri" w:hAnsi="Calibri" w:cs="Arial"/>
        </w:rPr>
        <w:t>have been succ</w:t>
      </w:r>
      <w:r w:rsidR="008962B8">
        <w:rPr>
          <w:rFonts w:ascii="Calibri" w:hAnsi="Calibri" w:cs="Arial"/>
        </w:rPr>
        <w:t xml:space="preserve">essfully synthesized </w:t>
      </w:r>
      <w:r w:rsidR="00121A9C">
        <w:rPr>
          <w:rFonts w:ascii="Calibri" w:hAnsi="Calibri" w:cs="Arial"/>
        </w:rPr>
        <w:t xml:space="preserve">and </w:t>
      </w:r>
      <w:r w:rsidR="00F01D59" w:rsidRPr="00AD07AB">
        <w:rPr>
          <w:rFonts w:ascii="Calibri" w:hAnsi="Calibri" w:cs="Arial"/>
        </w:rPr>
        <w:t xml:space="preserve">are </w:t>
      </w:r>
      <w:r w:rsidR="00D6558F" w:rsidRPr="00AD07AB">
        <w:rPr>
          <w:rFonts w:ascii="Calibri" w:hAnsi="Calibri" w:cs="Arial"/>
        </w:rPr>
        <w:t>used</w:t>
      </w:r>
      <w:r w:rsidR="00F01D59" w:rsidRPr="00AD07AB">
        <w:rPr>
          <w:rFonts w:ascii="Calibri" w:hAnsi="Calibri" w:cs="Arial"/>
        </w:rPr>
        <w:t xml:space="preserve"> in liposomal and lipid nanoparticle </w:t>
      </w:r>
      <w:r w:rsidR="00121A9C">
        <w:rPr>
          <w:rFonts w:ascii="Calibri" w:hAnsi="Calibri" w:cs="Arial"/>
        </w:rPr>
        <w:t xml:space="preserve">drug </w:t>
      </w:r>
      <w:r w:rsidR="00F01D59" w:rsidRPr="00AD07AB">
        <w:rPr>
          <w:rFonts w:ascii="Calibri" w:hAnsi="Calibri" w:cs="Arial"/>
        </w:rPr>
        <w:t>formulation.</w:t>
      </w:r>
      <w:r w:rsidR="00D6558F" w:rsidRPr="00AD07AB">
        <w:rPr>
          <w:rFonts w:ascii="Calibri" w:hAnsi="Calibri" w:cs="Arial"/>
        </w:rPr>
        <w:t xml:space="preserve"> </w:t>
      </w:r>
      <w:r w:rsidR="00121A9C">
        <w:rPr>
          <w:rFonts w:ascii="Calibri" w:hAnsi="Calibri" w:cs="Arial"/>
        </w:rPr>
        <w:t>Surfactant</w:t>
      </w:r>
      <w:r w:rsidR="00F01D59" w:rsidRPr="00AD07AB">
        <w:rPr>
          <w:rFonts w:ascii="Calibri" w:hAnsi="Calibri" w:cs="Arial"/>
        </w:rPr>
        <w:t xml:space="preserve"> protein</w:t>
      </w:r>
      <w:r w:rsidR="00121A9C">
        <w:rPr>
          <w:rFonts w:ascii="Calibri" w:hAnsi="Calibri" w:cs="Arial"/>
        </w:rPr>
        <w:t>s</w:t>
      </w:r>
      <w:r w:rsidR="00F01D59" w:rsidRPr="00AD07AB">
        <w:rPr>
          <w:rFonts w:ascii="Calibri" w:hAnsi="Calibri" w:cs="Arial"/>
        </w:rPr>
        <w:t xml:space="preserve"> </w:t>
      </w:r>
      <w:r w:rsidR="00554283">
        <w:rPr>
          <w:rFonts w:ascii="Calibri" w:hAnsi="Calibri" w:cs="Arial"/>
        </w:rPr>
        <w:t xml:space="preserve">(SP) </w:t>
      </w:r>
      <w:r w:rsidR="00F01D59" w:rsidRPr="00AD07AB">
        <w:rPr>
          <w:rFonts w:ascii="Calibri" w:hAnsi="Calibri" w:cs="Arial"/>
        </w:rPr>
        <w:t xml:space="preserve">are principally derived </w:t>
      </w:r>
      <w:r w:rsidR="00956089">
        <w:rPr>
          <w:rFonts w:ascii="Calibri" w:hAnsi="Calibri" w:cs="Arial"/>
        </w:rPr>
        <w:t xml:space="preserve">from </w:t>
      </w:r>
      <w:r w:rsidR="00121A9C">
        <w:rPr>
          <w:rFonts w:ascii="Calibri" w:hAnsi="Calibri" w:cs="Arial"/>
        </w:rPr>
        <w:t xml:space="preserve">the </w:t>
      </w:r>
      <w:r w:rsidR="00956089">
        <w:rPr>
          <w:rFonts w:ascii="Calibri" w:hAnsi="Calibri" w:cs="Arial"/>
          <w:i/>
        </w:rPr>
        <w:t xml:space="preserve">SPA, SPB, SPC </w:t>
      </w:r>
      <w:r w:rsidR="00956089">
        <w:rPr>
          <w:rFonts w:ascii="Calibri" w:hAnsi="Calibri" w:cs="Arial"/>
        </w:rPr>
        <w:t xml:space="preserve">and </w:t>
      </w:r>
      <w:r w:rsidR="00956089">
        <w:rPr>
          <w:rFonts w:ascii="Calibri" w:hAnsi="Calibri" w:cs="Arial"/>
          <w:i/>
        </w:rPr>
        <w:t>SP</w:t>
      </w:r>
      <w:r w:rsidR="001A0F45">
        <w:rPr>
          <w:rFonts w:ascii="Calibri" w:hAnsi="Calibri" w:cs="Arial"/>
          <w:i/>
        </w:rPr>
        <w:t>D</w:t>
      </w:r>
      <w:r w:rsidR="00121A9C">
        <w:rPr>
          <w:rFonts w:ascii="Calibri" w:hAnsi="Calibri" w:cs="Arial"/>
        </w:rPr>
        <w:t xml:space="preserve"> genes, </w:t>
      </w:r>
      <w:r w:rsidR="00956089">
        <w:rPr>
          <w:rFonts w:ascii="Calibri" w:hAnsi="Calibri" w:cs="Arial"/>
        </w:rPr>
        <w:t>expressed by</w:t>
      </w:r>
      <w:r w:rsidR="00F268BD" w:rsidRPr="00AD07AB">
        <w:rPr>
          <w:rFonts w:ascii="Calibri" w:hAnsi="Calibri" w:cs="Arial"/>
        </w:rPr>
        <w:t xml:space="preserve"> type II alveolar epithelial cell</w:t>
      </w:r>
      <w:r w:rsidR="00121A9C">
        <w:rPr>
          <w:rFonts w:ascii="Calibri" w:hAnsi="Calibri" w:cs="Arial"/>
        </w:rPr>
        <w:t>s</w:t>
      </w:r>
      <w:r w:rsidR="00F268BD" w:rsidRPr="00AD07AB">
        <w:rPr>
          <w:rFonts w:ascii="Calibri" w:hAnsi="Calibri" w:cs="Arial"/>
        </w:rPr>
        <w:t xml:space="preserve">. </w:t>
      </w:r>
      <w:r w:rsidR="005712F5" w:rsidRPr="00AD07AB">
        <w:rPr>
          <w:rFonts w:ascii="Calibri" w:hAnsi="Calibri" w:cs="Arial"/>
        </w:rPr>
        <w:t>These</w:t>
      </w:r>
      <w:r w:rsidR="00F268BD" w:rsidRPr="00AD07AB">
        <w:rPr>
          <w:rFonts w:ascii="Calibri" w:hAnsi="Calibri" w:cs="Arial"/>
        </w:rPr>
        <w:t>, along with alveolar macrophages, also recycle surfactant and together participate in innate immune responses to</w:t>
      </w:r>
      <w:r w:rsidR="005712F5" w:rsidRPr="00AD07AB">
        <w:rPr>
          <w:rFonts w:ascii="Calibri" w:hAnsi="Calibri" w:cs="Arial"/>
        </w:rPr>
        <w:t xml:space="preserve"> extrinsic inflammatory </w:t>
      </w:r>
      <w:r w:rsidR="005712F5" w:rsidRPr="00AD07AB">
        <w:rPr>
          <w:rFonts w:ascii="Calibri" w:hAnsi="Calibri" w:cs="Arial"/>
        </w:rPr>
        <w:lastRenderedPageBreak/>
        <w:t xml:space="preserve">stimuli of viral </w:t>
      </w:r>
      <w:r w:rsidR="004A5298" w:rsidRPr="00AD07AB">
        <w:rPr>
          <w:rFonts w:ascii="Calibri" w:hAnsi="Calibri" w:cs="Arial"/>
        </w:rPr>
        <w:fldChar w:fldCharType="begin" w:fldLock="1"/>
      </w:r>
      <w:r w:rsidR="004A5298" w:rsidRPr="00AD07AB">
        <w:rPr>
          <w:rFonts w:ascii="Calibri" w:hAnsi="Calibri" w:cs="Arial"/>
        </w:rPr>
        <w:instrText>ADDIN CSL_CITATION { "citationItems" : [ { "id" : "ITEM-1", "itemData" : { "DOI" : "10.1159/000346374", "ISSN" : "1662-8128", "PMID" : "23391661", "abstract" : "Influenza A viruses (IAV) cause respiratory tract infections annually associated with excess mortality and morbidity. Nonspecific, innate immune mechanisms play a key role in protection against viral invasion at early stages of infection. A soluble protein present in mucosal secretions of the lung, surfactant protein D (SP-D), is an important component of this initial barrier that helps to prevent and limit IAV infections of the respiratory epithelium. This collagenous C-type lectin binds IAVs and thereby inhibits attachment and entry of the virus but also contributes to enhanced clearance of SP-D-opsonized virus via interactions with phagocytic cells. In addition, SP-D modulates the inflammatory response and helps to maintain a balance between effective neutralization/killing of IAV, and protection against alveolar damage resulting from IAV-induced excessive inflammatory responses. The mechanisms of interaction between SP-D and IAV not only depend on the structure and binding properties of SP-D but also on strain-specific features of IAV, and both issues will be discussed. SP-D from pigs exhibits distinct anti-IAV properties and is discussed in more detail. Finally, the potential of SP-D as a prophylactic and/or therapeutic antiviral agent to protect humans against infections by IAV is discussed.", "author" : [ { "dropping-particle" : "", "family" : "Hillaire", "given" : "Marine L B", "non-dropping-particle" : "", "parse-names" : false, "suffix" : "" }, { "dropping-particle" : "", "family" : "Haagsman", "given" : "Henk P", "non-dropping-particle" : "", "parse-names" : false, "suffix" : "" }, { "dropping-particle" : "", "family" : "Osterhaus", "given" : "Albert D M E", "non-dropping-particle" : "", "parse-names" : false, "suffix" : "" }, { "dropping-particle" : "", "family" : "Rimmelzwaan", "given" : "Guus F", "non-dropping-particle" : "", "parse-names" : false, "suffix" : "" }, { "dropping-particle" : "", "family" : "Eijk", "given" : "Martin", "non-dropping-particle" : "van", "parse-names" : false, "suffix" : "" } ], "container-title" : "Journal of innate immunity", "id" : "ITEM-1", "issue" : "3", "issued" : { "date-parts" : [ [ "2013", "1" ] ] }, "page" : "197-208", "title" : "Pulmonary surfactant protein D in first-line innate defence against influenza A virus infections.", "type" : "article-journal", "volume" : "5" }, "uris" : [ "http://www.mendeley.com/documents/?uuid=b8a7342c-3bbb-461e-8822-c7b599f170f4" ] }, { "id" : "ITEM-2", "itemData" : { "DOI" : "10.1177/0300985813480216", "ISSN" : "1544-2217", "PMID" : "23528938", "abstract" : "The response of the preterm and newborn lung to airborne pathogens, particles, and other insults is initially dependent on innate immune responses since adaptive responses may not fully mature and require weeks for sufficient responses to antigenic stimuli. Foreign material and microbial agents trigger soluble, cell surface, and cytoplasmic receptors that activate signaling cascades that invoke release of surfactant proteins, defensins, interferons, lactoferrin, oxidative products, and other innate immune substances that have antimicrobial activity, which can also influence adaptive responses. For viral infections such as respiratory syncytial virus (RSV), the pulmonary innate immune responses has an essential role in defense as there are no fully effective vaccines or therapies for RSV infections of humans and reinfections are common. Understanding the innate immune response by the preterm and newborn lung may lead to preventive strategies and more effective therapeutic regimens.", "author" : [ { "dropping-particle" : "", "family" : "Derscheid", "given" : "R J", "non-dropping-particle" : "", "parse-names" : false, "suffix" : "" }, { "dropping-particle" : "", "family" : "Ackermann", "given" : "M R", "non-dropping-particle" : "", "parse-names" : false, "suffix" : "" } ], "container-title" : "Veterinary pathology", "id" : "ITEM-2", "issue" : "5", "issued" : { "date-parts" : [ [ "2013", "9", "1" ] ] }, "page" : "827-41", "title" : "The innate immune system of the perinatal lung and responses to respiratory syncytial virus infection.", "type" : "article-journal", "volume" : "50" }, "uris" : [ "http://www.mendeley.com/documents/?uuid=a3106a8f-1e0e-42f2-8acd-7ed99ff0c8b6" ] } ], "mendeley" : { "formattedCitation" : "(Derscheid &amp; Ackermann, 2013; Hillaire, Haagsman, Osterhaus, Rimmelzwaan, &amp; van Eijk, 2013)", "plainTextFormattedCitation" : "(Derscheid &amp; Ackermann, 2013; Hillaire, Haagsman, Osterhaus, Rimmelzwaan, &amp; van Eijk, 2013)", "previouslyFormattedCitation" : "(Derscheid &amp; Ackermann, 2013; Hillaire, Haagsman, Osterhaus, Rimmelzwaan, &amp; van Eijk, 2013)" }, "properties" : { "noteIndex" : 0 }, "schema" : "https://github.com/citation-style-language/schema/raw/master/csl-citation.json" }</w:instrText>
      </w:r>
      <w:r w:rsidR="004A5298" w:rsidRPr="00AD07AB">
        <w:rPr>
          <w:rFonts w:ascii="Calibri" w:hAnsi="Calibri" w:cs="Arial"/>
        </w:rPr>
        <w:fldChar w:fldCharType="separate"/>
      </w:r>
      <w:r w:rsidR="004A5298" w:rsidRPr="00AD07AB">
        <w:rPr>
          <w:rFonts w:ascii="Calibri" w:hAnsi="Calibri" w:cs="Arial"/>
          <w:noProof/>
        </w:rPr>
        <w:t>(Derscheid &amp; Ackermann, 2013; Hillaire, Haagsman, Osterhaus, Rimmelzwaan, &amp; van Eijk, 2013)</w:t>
      </w:r>
      <w:r w:rsidR="004A5298" w:rsidRPr="00AD07AB">
        <w:rPr>
          <w:rFonts w:ascii="Calibri" w:hAnsi="Calibri" w:cs="Arial"/>
        </w:rPr>
        <w:fldChar w:fldCharType="end"/>
      </w:r>
      <w:r w:rsidR="005712F5" w:rsidRPr="00AD07AB">
        <w:rPr>
          <w:rFonts w:ascii="Calibri" w:hAnsi="Calibri" w:cs="Arial"/>
        </w:rPr>
        <w:t>, bacterial</w:t>
      </w:r>
      <w:r w:rsidR="004A5298" w:rsidRPr="00AD07AB">
        <w:rPr>
          <w:rFonts w:ascii="Calibri" w:hAnsi="Calibri" w:cs="Arial"/>
        </w:rPr>
        <w:t xml:space="preserve"> </w:t>
      </w:r>
      <w:r w:rsidR="004A5298" w:rsidRPr="00AD07AB">
        <w:rPr>
          <w:rFonts w:ascii="Calibri" w:hAnsi="Calibri" w:cs="Arial"/>
        </w:rPr>
        <w:fldChar w:fldCharType="begin" w:fldLock="1"/>
      </w:r>
      <w:r w:rsidR="00E07870" w:rsidRPr="00AD07AB">
        <w:rPr>
          <w:rFonts w:ascii="Calibri" w:hAnsi="Calibri" w:cs="Arial"/>
        </w:rPr>
        <w:instrText>ADDIN CSL_CITATION { "citationItems" : [ { "id" : "ITEM-1", "itemData" : { "DOI" : "10.4161/cib.29053", "ISSN" : "1942-0889", "PMID" : "25136402", "abstract" : "Lung infection by Gram-negative bacteria is a major cause of morbidity and mortality in humans. Lipopolysaccharide (LPS), located in the outer membrane of the Gram-negative bacterial cell wall, is a highly potent stimulus of immune and structural cells via the TLR4/MD2 complex whose function is sequentially regulated by defined subsets of adaptor proteins. Regulatory mechanisms of lung-specific defense pathways point at the crucial role of resident alveolar macrophages, alveolar epithelial cells, the TLR4 receptor pathway, and lung surfactant in shaping the innate immune response to Gram-negative bacteria and LPS. During the past decade intracellular spatiotemporal localization of TLR4 emerged as a key feature of TLR4 function. Here, we briefly review lung cell type- and compartment-specific mechanisms of LPS-induced TLR4 regulation with a focus on primary resident hematopoietic and structural cells as well as modifying microenvironmental factors involved.", "author" : [ { "dropping-particle" : "", "family" : "Sender", "given" : "Vicky", "non-dropping-particle" : "", "parse-names" : false, "suffix" : "" }, { "dropping-particle" : "", "family" : "Stamme", "given" : "Cordula", "non-dropping-particle" : "", "parse-names" : false, "suffix" : "" } ], "container-title" : "Communicative &amp; integrative biology", "id" : "ITEM-1", "issued" : { "date-parts" : [ [ "2014", "1" ] ] }, "page" : "e29053", "title" : "Lung cell-specific modulation of LPS-induced TLR4 receptor and adaptor localization.", "type" : "article-journal", "volume" : "7" }, "uris" : [ "http://www.mendeley.com/documents/?uuid=4302a7dc-c916-4ab0-a189-f8b177e4d9aa" ] }, { "id" : "ITEM-2", "itemData" : { "DOI" : "10.1159/000272047", "ISSN" : "1421-9778", "PMID" : "20054141", "abstract" : "Pulmonary surfactant has two crucial roles in respiratory function; first, as a biophysical entity it reduces surface tension at the air water interface, facilitating gas exchange and alveolar stability during breathing, and, second, as an innate component of the lung's immune system it helps maintain sterility and balance immune reactions in the distal airways. Pulmonary surfactant consists of 90% lipids and 10% protein. There are four surfactant proteins named SP-A, SP-B, SP-C, and SP-D; their distinct interactions with surfactant phospholipids are necessary for the ultra-structural organization, stability, metabolism, and lowering of surface tension. In addition, SP-A and SP-D bind pathogens, inflict damage to microbial membranes, and regulate microbial phagocytosis and activation or deactivation of inflammatory responses by alveolar macrophages. SP-A and SP-D, also known as pulmonary collectins, mediate microbial phagocytosis via SP-A and SP-D receptors and the coordinated induction of other innate receptors. Several receptors (SP-R210, CD91/calreticulin, SIRPalpha, and toll-like receptors) mediate the immunological functions of SP-A and SP-D. However, accumulating evidence indicate that SP-B and SP-C and one or more lipid constituents of surfactant share similar immuno-regulatory properties as SP-A and SP-D. The present review discusses current knowledge on the interaction of surfactant with lung innate host defense.", "author" : [ { "dropping-particle" : "", "family" : "Chroneos", "given" : "Zissis C", "non-dropping-particle" : "", "parse-names" : false, "suffix" : "" }, { "dropping-particle" : "", "family" : "Sever-Chroneos", "given" : "Zvjezdana", "non-dropping-particle" : "", "parse-names" : false, "suffix" : "" }, { "dropping-particle" : "", "family" : "Shepherd", "given" : "Virginia L", "non-dropping-particle" : "", "parse-names" : false, "suffix" : "" } ], "container-title" : "Cellular physiology and biochemistry : international journal of experimental cellular physiology, biochemistry, and pharmacology", "id" : "ITEM-2", "issue" : "1", "issued" : { "date-parts" : [ [ "2010", "1" ] ] }, "page" : "13-26", "title" : "Pulmonary surfactant: an immunological perspective.", "type" : "article-journal", "volume" : "25" }, "uris" : [ "http://www.mendeley.com/documents/?uuid=728bcd08-f6f4-44c5-8cd4-bda36f84989c" ] }, { "id" : "ITEM-3", "itemData" : { "DOI" : "10.1177/1753425910366879", "ISSN" : "1753-4267", "PMID" : "20351134", "abstract" : "The study of pulmonary surfactant, directed towards prevention and treatment of respiratory distress syndrome in preterm infants, led to the identification of novel proteins/genes that determine the synthesis, packaging, secretion, function, and catabolism of alveolar surfactant. The surfactant proteins, SP-A, SP-B, SP-C, and SP-D, and the surfactant lipid associated transporter, ABCA3, play critical roles in surfactant homeostasis. The study of their structure and function provided insight into a system that integrates the biophysical need to reduce surface tension in the alveoli and the innate host defenses required to maintain pulmonary structure and function after birth. Alveolar homeostasis depends on the intrinsic, multifunctional structures of the surfactant-associated proteins and the shared transcriptional regulatory modules that determine both the expression of genes involved in surfactant production as well as those critical for host defense. Identification of the surfactant proteins and the elucidation of the genetic networks regulating alveolar homeostasis have provided the basis for understanding and diagnosing rare and common pulmonary disorders, including respiratory distress syndrome, inherited disorders of surfactant homeostasis, and pulmonary alveolar proteinosis.", "author" : [ { "dropping-particle" : "", "family" : "Whitsett", "given" : "Jeffrey A", "non-dropping-particle" : "", "parse-names" : false, "suffix" : "" } ], "container-title" : "Innate immunity", "id" : "ITEM-3", "issue" : "3", "issued" : { "date-parts" : [ [ "2010", "6" ] ] }, "page" : "138-42", "title" : "Review: The intersection of surfactant homeostasis and innate host defense of the lung: lessons from newborn infants.", "type" : "article-journal", "volume" : "16" }, "uris" : [ "http://www.mendeley.com/documents/?uuid=bdf0937d-1f69-4074-b303-d41be7d0b69f" ] } ], "mendeley" : { "formattedCitation" : "(Chroneos, Sever-Chroneos, &amp; Shepherd, 2010; Sender &amp; Stamme, 2014; Whitsett, 2010)", "plainTextFormattedCitation" : "(Chroneos, Sever-Chroneos, &amp; Shepherd, 2010; Sender &amp; Stamme, 2014; Whitsett, 2010)", "previouslyFormattedCitation" : "(Chroneos, Sever-Chroneos, &amp; Shepherd, 2010; Sender &amp; Stamme, 2014; Whitsett, 2010)" }, "properties" : { "noteIndex" : 0 }, "schema" : "https://github.com/citation-style-language/schema/raw/master/csl-citation.json" }</w:instrText>
      </w:r>
      <w:r w:rsidR="004A5298" w:rsidRPr="00AD07AB">
        <w:rPr>
          <w:rFonts w:ascii="Calibri" w:hAnsi="Calibri" w:cs="Arial"/>
        </w:rPr>
        <w:fldChar w:fldCharType="separate"/>
      </w:r>
      <w:r w:rsidR="004A5298" w:rsidRPr="00AD07AB">
        <w:rPr>
          <w:rFonts w:ascii="Calibri" w:hAnsi="Calibri" w:cs="Arial"/>
          <w:noProof/>
        </w:rPr>
        <w:t>(Chroneos, Sever-Chroneos, &amp; Shepherd, 2010; Sender &amp; Stamme, 2014; Whitsett, 2010)</w:t>
      </w:r>
      <w:r w:rsidR="004A5298" w:rsidRPr="00AD07AB">
        <w:rPr>
          <w:rFonts w:ascii="Calibri" w:hAnsi="Calibri" w:cs="Arial"/>
        </w:rPr>
        <w:fldChar w:fldCharType="end"/>
      </w:r>
      <w:r w:rsidR="004A5298" w:rsidRPr="00AD07AB">
        <w:rPr>
          <w:rFonts w:ascii="Calibri" w:hAnsi="Calibri" w:cs="Arial"/>
        </w:rPr>
        <w:t xml:space="preserve">, </w:t>
      </w:r>
      <w:r w:rsidR="005712F5" w:rsidRPr="00AD07AB">
        <w:rPr>
          <w:rFonts w:ascii="Calibri" w:hAnsi="Calibri" w:cs="Arial"/>
        </w:rPr>
        <w:t xml:space="preserve">fungal </w:t>
      </w:r>
      <w:r w:rsidR="00D6558F" w:rsidRPr="00AD07AB">
        <w:rPr>
          <w:rFonts w:ascii="Calibri" w:hAnsi="Calibri" w:cs="Arial"/>
        </w:rPr>
        <w:fldChar w:fldCharType="begin" w:fldLock="1"/>
      </w:r>
      <w:r w:rsidR="00D6558F" w:rsidRPr="00AD07AB">
        <w:rPr>
          <w:rFonts w:ascii="Calibri" w:hAnsi="Calibri" w:cs="Arial"/>
        </w:rPr>
        <w:instrText>ADDIN CSL_CITATION { "citationItems" : [ { "id" : "ITEM-1", "itemData" : { "DOI" : "10.1371/journal.pone.0035675", "ISSN" : "1932-6203", "PMID" : "22536422", "abstract" : "The innate recognition of fungi by leukocytes is mediated by pattern recognition receptors (PRR), such as Dectin-1, and is thought to occur at the cell surface triggering intracellular signalling cascades which lead to the induction of protective host responses. In the lung, this recognition is aided by surfactant which also serves to maintain the balance between inflammation and pulmonary function, although the underlying mechanisms are unknown. Here we have explored pulmonary innate recognition of a variety of fungal particles, including zymosan, Candida albicans and Aspergillus fumigatus, and demonstrate that opsonisation with surfactant components can limit inflammation by reducing host-cell fungal interactions. However, we found that this opsonisation does not contribute directly to innate fungal recognition and that this process is mediated through non-opsonic PRRs, including Dectin-1. Moreover, we found that pulmonary inflammatory responses to resting Aspergillus conidia were initiated by these PRRs in acidified phagolysosomes, following the uptake of fungal particles by leukocytes. Our data therefore provides crucial new insights into the mechanisms by which surfactant can maintain pulmonary function in the face of microbial challenge, and defines the phagolysosome as a novel intracellular compartment involved in the innate sensing of extracellular pathogens in the lung.", "author" : [ { "dropping-particle" : "", "family" : "Faro-Trindade", "given" : "In\u00eas", "non-dropping-particle" : "", "parse-names" : false, "suffix" : "" }, { "dropping-particle" : "", "family" : "Willment", "given" : "Janet A", "non-dropping-particle" : "", "parse-names" : false, "suffix" : "" }, { "dropping-particle" : "", "family" : "Kerrigan", "given" : "Ann M", "non-dropping-particle" : "", "parse-names" : false, "suffix" : "" }, { "dropping-particle" : "", "family" : "Redelinghuys", "given" : "Pierre", "non-dropping-particle" : "", "parse-names" : false, "suffix" : "" }, { "dropping-particle" : "", "family" : "Hadebe", "given" : "Sabelo", "non-dropping-particle" : "", "parse-names" : false, "suffix" : "" }, { "dropping-particle" : "", "family" : "Reid", "given" : "Delyth M", "non-dropping-particle" : "", "parse-names" : false, "suffix" : "" }, { "dropping-particle" : "", "family" : "Srinivasan", "given" : "Naren", "non-dropping-particle" : "", "parse-names" : false, "suffix" : "" }, { "dropping-particle" : "", "family" : "Wainwright", "given" : "Helen", "non-dropping-particle" : "", "parse-names" : false, "suffix" : "" }, { "dropping-particle" : "", "family" : "Lang", "given" : "Dirk M", "non-dropping-particle" : "", "parse-names" : false, "suffix" : "" }, { "dropping-particle" : "", "family" : "Steele", "given" : "Chad", "non-dropping-particle" : "", "parse-names" : false, "suffix" : "" }, { "dropping-particle" : "", "family" : "Brown", "given" : "Gordon D", "non-dropping-particle" : "", "parse-names" : false, "suffix" : "" } ], "container-title" : "PloS one", "id" : "ITEM-1", "issue" : "4", "issued" : { "date-parts" : [ [ "2012", "1" ] ] }, "page" : "e35675", "title" : "Characterisation of innate fungal recognition in the lung.", "type" : "article-journal", "volume" : "7" }, "uris" : [ "http://www.mendeley.com/documents/?uuid=e3fd40fb-29ef-4f48-8377-309bf4316385" ] }, { "id" : "ITEM-2", "itemData" : { "ISSN" : "0019-5189", "PMID" : "26669011", "abstract" : "Aspergillus fumigatus, a ubiquitous fungus, causes a wide spectrum of clinical conditions ranging from allergic to invasive aspergillosis depending upon the hosts' immune status. Several animal models have been generated to mimic the human clinical conditions in allergic and invasive aspergillosis. The onset, duration and severity of the disease developed in models varied depending on the animal strain/fungal isolate, quantity and mode of administration of fungal antigens/spores, duration of the treatment, and type of immunosuppressive agent used. These models provide insight into host and pathogen factors and prove to be useful for evaluation of diagnostic markers and effective therapies. A series of studies established the protective role of collectins in murine models of Allergic Bronchopulmonary Aspergillosis and Invasive Pulmonary Aspergillosis. Collectins, namely surfactant protein A (SP-A), surfactant protein D (SP-D) and mannan binding lectin (MBL), are pattern recognition molecules regulating both innate and adaptive immune response against pathogens. In the present review, we discussed various murine models of allergic and invasive aspergillosis and the role of collectins in host defense against aspergillosis.", "author" : [ { "dropping-particle" : "", "family" : "Singh", "given" : "Mamta", "non-dropping-particle" : "", "parse-names" : false, "suffix" : "" }, { "dropping-particle" : "", "family" : "Mahajan", "given" : "Lakshna", "non-dropping-particle" : "", "parse-names" : false, "suffix" : "" }, { "dropping-particle" : "", "family" : "Chaudhary", "given" : "Neelkamal", "non-dropping-particle" : "", "parse-names" : false, "suffix" : "" }, { "dropping-particle" : "", "family" : "Kaur", "given" : "Savneet", "non-dropping-particle" : "", "parse-names" : false, "suffix" : "" }, { "dropping-particle" : "", "family" : "Madan", "given" : "Taruna", "non-dropping-particle" : "", "parse-names" : false, "suffix" : "" }, { "dropping-particle" : "", "family" : "Sarma", "given" : "P Usha", "non-dropping-particle" : "", "parse-names" : false, "suffix" : "" } ], "container-title" : "Indian journal of experimental biology", "id" : "ITEM-2", "issue" : "11", "issued" : { "date-parts" : [ [ "2015", "11" ] ] }, "page" : "691-700", "title" : "Murine models of Aspergillosis: Role of collectins in host defense.", "type" : "article-journal", "volume" : "53" }, "uris" : [ "http://www.mendeley.com/documents/?uuid=dba106c7-4feb-440e-acd2-9d133eaa11fa" ] }, { "id" : "ITEM-3", "itemData" : { "DOI" : "10.1165/rcmb.2014-0095TR", "ISSN" : "1535-4989", "PMID" : "24960334", "abstract" : "Surfactant proteins (SP)-A and SP-D (SP-A/-D) play important roles in numerous eosinophil-dominated diseases, including asthma, allergic bronchopulmonary aspergillosis, and allergic rhinitis. In these settings, SP-A/-D have been shown to modulate eosinophil chemotaxis, inhibit eosinophil mediator release, and mediate macrophage clearance of apoptotic eosinophils. Dysregulation of SP-A/-D function in eosinophil-dominated diseases is also not uncommon. Alterations in serum SP-A/-D levels are associated with disease severity in allergic rhinitis and chronic obstructive pulmonary disease. Furthermore, oligimerization of SP-A/-D, necessary for their proper function, can be perturbed by reactive nitrogen species, which are increased in eosinophilic disease. In this review, we highlight the associations of eosinophilic lung diseases with SP-A and SP-D levels and functions.", "author" : [ { "dropping-particle" : "", "family" : "Ledford", "given" : "Julie G", "non-dropping-particle" : "", "parse-names" : false, "suffix" : "" }, { "dropping-particle" : "", "family" : "Addison", "given" : "Kenneth J", "non-dropping-particle" : "", "parse-names" : false, "suffix" : "" }, { "dropping-particle" : "", "family" : "Foster", "given" : "Matthew W", "non-dropping-particle" : "", "parse-names" : false, "suffix" : "" }, { "dropping-particle" : "", "family" : "Que", "given" : "Loretta G", "non-dropping-particle" : "", "parse-names" : false, "suffix" : "" } ], "container-title" : "American journal of respiratory cell and molecular biology", "id" : "ITEM-3", "issue" : "5", "issued" : { "date-parts" : [ [ "2014", "11" ] ] }, "page" : "604-14", "title" : "Eosinophil-associated lung diseases. A cry for surfactant proteins A and D help?", "type" : "article-journal", "volume" : "51" }, "uris" : [ "http://www.mendeley.com/documents/?uuid=91fc9c2b-837f-41a0-aeb2-2da02ecf65cf" ] }, { "id" : "ITEM-4", "itemData" : { "DOI" : "10.1165/rcmb.2004-0105OC", "ISSN" : "1044-1549", "PMID" : "15284077", "abstract" : "Pulmonary surfactant protein (SP)-D is an important component of the innate immune system of the lung, which is thought to function by binding to specific carbohydrates on the surface of viruses and unicellular pathogens. SP-D has been shown to have a relatively high affinity for the monosaccharides mannose, glucose, and fucose. However, there is limited information on SP-D binding to complex carbohydrate structures, and binding of SP-D to fucose in the context of an oligosaccharide has not yet been investigated. In this study, we used surface plasmon resonance spectroscopy to examine the potential of SP-D to bind to various synthetic fucosylated oligosaccharides, and identified Fucalpha1-3GalNAc and Fucalpha1-3GlcNAc elements as strong ligands. These types of fucosylated glycoconjugates are presented at the surface of Schistosoma mansoni, a parasitic worm that, during development, transiently resides in the lung. In line with the findings by surface plasmon resonance, we found that SP-D can bind to larval stages of S. mansoni, demonstrating for the first time that SP-D interacts with multicellular lung pathogens.", "author" : [ { "dropping-particle" : "", "family" : "Wetering", "given" : "J Koenraad", "non-dropping-particle" : "van de", "parse-names" : false, "suffix" : "" }, { "dropping-particle" : "", "family" : "Remoortere", "given" : "Alexandra", "non-dropping-particle" : "van", "parse-names" : false, "suffix" : "" }, { "dropping-particle" : "", "family" : "Vaandrager", "given" : "Arie B", "non-dropping-particle" : "", "parse-names" : false, "suffix" : "" }, { "dropping-particle" : "", "family" : "Batenburg", "given" : "Joseph J", "non-dropping-particle" : "", "parse-names" : false, "suffix" : "" }, { "dropping-particle" : "", "family" : "Golde", "given" : "Lambert M G", "non-dropping-particle" : "van", "parse-names" : false, "suffix" : "" }, { "dropping-particle" : "", "family" : "Hokke", "given" : "Cornelis H", "non-dropping-particle" : "", "parse-names" : false, "suffix" : "" }, { "dropping-particle" : "", "family" : "Hellemond", "given" : "Jaap J", "non-dropping-particle" : "van", "parse-names" : false, "suffix" : "" } ], "container-title" : "American journal of respiratory cell and molecular biology", "id" : "ITEM-4", "issue" : "5", "issued" : { "date-parts" : [ [ "2004", "11" ] ] }, "page" : "565-72", "title" : "Surfactant protein D binding to terminal alpha1-3-linked fucose residues and to Schistosoma mansoni.", "type" : "article-journal", "volume" : "31" }, "uris" : [ "http://www.mendeley.com/documents/?uuid=3913b2ea-4bbe-4b69-9d63-1fc33e3fd678" ] } ], "mendeley" : { "formattedCitation" : "(Faro-Trindade et al., 2012; Ledford, Addison, Foster, &amp; Que, 2014; Singh et al., 2015; van de Wetering et al., 2004)", "plainTextFormattedCitation" : "(Faro-Trindade et al., 2012; Ledford, Addison, Foster, &amp; Que, 2014; Singh et al., 2015; van de Wetering et al., 2004)", "previouslyFormattedCitation" : "(Faro-Trindade et al., 2012; Ledford, Addison, Foster, &amp; Que, 2014; Singh et al., 2015; van de Wetering et al., 2004)" }, "properties" : { "noteIndex" : 0 }, "schema" : "https://github.com/citation-style-language/schema/raw/master/csl-citation.json" }</w:instrText>
      </w:r>
      <w:r w:rsidR="00D6558F" w:rsidRPr="00AD07AB">
        <w:rPr>
          <w:rFonts w:ascii="Calibri" w:hAnsi="Calibri" w:cs="Arial"/>
        </w:rPr>
        <w:fldChar w:fldCharType="separate"/>
      </w:r>
      <w:r w:rsidR="00D6558F" w:rsidRPr="00AD07AB">
        <w:rPr>
          <w:rFonts w:ascii="Calibri" w:hAnsi="Calibri" w:cs="Arial"/>
          <w:noProof/>
        </w:rPr>
        <w:t>(Faro-Trindade et al., 2012; Ledford, Addison, Foster, &amp; Que, 2014; Singh et al., 2015; van de Wetering et al., 2004)</w:t>
      </w:r>
      <w:r w:rsidR="00D6558F" w:rsidRPr="00AD07AB">
        <w:rPr>
          <w:rFonts w:ascii="Calibri" w:hAnsi="Calibri" w:cs="Arial"/>
        </w:rPr>
        <w:fldChar w:fldCharType="end"/>
      </w:r>
      <w:r w:rsidR="00D6558F" w:rsidRPr="00AD07AB">
        <w:rPr>
          <w:rFonts w:ascii="Calibri" w:hAnsi="Calibri" w:cs="Arial"/>
        </w:rPr>
        <w:t xml:space="preserve">, </w:t>
      </w:r>
      <w:r w:rsidR="005712F5" w:rsidRPr="00AD07AB">
        <w:rPr>
          <w:rFonts w:ascii="Calibri" w:hAnsi="Calibri" w:cs="Arial"/>
        </w:rPr>
        <w:t xml:space="preserve">parasitic </w:t>
      </w:r>
      <w:r w:rsidR="00E07870" w:rsidRPr="00AD07AB">
        <w:rPr>
          <w:rFonts w:ascii="Calibri" w:hAnsi="Calibri" w:cs="Arial"/>
        </w:rPr>
        <w:fldChar w:fldCharType="begin" w:fldLock="1"/>
      </w:r>
      <w:r w:rsidR="00E07870" w:rsidRPr="00AD07AB">
        <w:rPr>
          <w:rFonts w:ascii="Calibri" w:hAnsi="Calibri" w:cs="Arial"/>
        </w:rPr>
        <w:instrText>ADDIN CSL_CITATION { "citationItems" : [ { "id" : "ITEM-1", "itemData" : { "ISSN" : "1678-9946", "PMID" : "21915470", "abstract" : "Surfacen\u00ae is an exogenous natural lung surfactant, composed by phospholipids and hydrophobic proteins, which is applied successfully in Newborn Respiratory Distress Syndrome. In this paper, in vitro activity of Surfacen\u00ae against Leishmania amazonensis is described. The product showed activity against the amastigote form found in peritoneal macrophages from BALB/c mice, with an IC50 value of 17.9 \u00b1 3.0 \u00b5g/mL; while no toxic effect on host cell was observed up to 200 \u00b5g/mL. This is the first report about the antileishmanial activity of Surfacen\u00ae.", "author" : [ { "dropping-particle" : "", "family" : "Blanco", "given" : "Odalys", "non-dropping-particle" : "", "parse-names" : false, "suffix" : "" }, { "dropping-particle" : "", "family" : "Lugones", "given" : "Yuliannis", "non-dropping-particle" : "", "parse-names" : false, "suffix" : "" }, { "dropping-particle" : "", "family" : "D\u00edaz", "given" : "Elaine", "non-dropping-particle" : "", "parse-names" : false, "suffix" : "" }, { "dropping-particle" : "", "family" : "Monzote", "given" : "Lianet", "non-dropping-particle" : "", "parse-names" : false, "suffix" : "" } ], "container-title" : "Revista do Instituto de Medicina Tropical de Sa\u0303o Paulo", "id" : "ITEM-1", "issue" : "4", "issued" : { "date-parts" : [ [ "0", "1" ] ] }, "page" : "235-8", "title" : "In vitro activity of the clinical pulmonary surfactant Surfacen\u00ae against Leishmania amazonensis.", "type" : "article-journal", "volume" : "53" }, "uris" : [ "http://www.mendeley.com/documents/?uuid=9dbc9cfe-4bab-4054-8a10-6e9c6323df75" ] } ], "mendeley" : { "formattedCitation" : "(Blanco, Lugones, D\u00edaz, &amp; Monzote)", "plainTextFormattedCitation" : "(Blanco, Lugones, D\u00edaz, &amp; Monzote)", "previouslyFormattedCitation" : "(Blanco, Lugones, D\u00edaz, &amp; Monzote)" }, "properties" : { "noteIndex" : 0 }, "schema" : "https://github.com/citation-style-language/schema/raw/master/csl-citation.json" }</w:instrText>
      </w:r>
      <w:r w:rsidR="00E07870" w:rsidRPr="00AD07AB">
        <w:rPr>
          <w:rFonts w:ascii="Calibri" w:hAnsi="Calibri" w:cs="Arial"/>
        </w:rPr>
        <w:fldChar w:fldCharType="separate"/>
      </w:r>
      <w:r w:rsidR="00E07870" w:rsidRPr="00AD07AB">
        <w:rPr>
          <w:rFonts w:ascii="Calibri" w:hAnsi="Calibri" w:cs="Arial"/>
          <w:noProof/>
        </w:rPr>
        <w:t>(Blanco, Lugones, Díaz, &amp; Monzote)</w:t>
      </w:r>
      <w:r w:rsidR="00E07870" w:rsidRPr="00AD07AB">
        <w:rPr>
          <w:rFonts w:ascii="Calibri" w:hAnsi="Calibri" w:cs="Arial"/>
        </w:rPr>
        <w:fldChar w:fldCharType="end"/>
      </w:r>
      <w:r w:rsidR="00E07870" w:rsidRPr="00AD07AB">
        <w:rPr>
          <w:rFonts w:ascii="Calibri" w:hAnsi="Calibri" w:cs="Arial"/>
        </w:rPr>
        <w:t xml:space="preserve"> </w:t>
      </w:r>
      <w:r w:rsidR="005712F5" w:rsidRPr="00AD07AB">
        <w:rPr>
          <w:rFonts w:ascii="Calibri" w:hAnsi="Calibri" w:cs="Arial"/>
        </w:rPr>
        <w:t xml:space="preserve">and particulate nature </w:t>
      </w:r>
      <w:r w:rsidR="00D6558F" w:rsidRPr="00AD07AB">
        <w:rPr>
          <w:rFonts w:ascii="Calibri" w:hAnsi="Calibri" w:cs="Arial"/>
        </w:rPr>
        <w:fldChar w:fldCharType="begin" w:fldLock="1"/>
      </w:r>
      <w:r w:rsidR="00F01D59" w:rsidRPr="00AD07AB">
        <w:rPr>
          <w:rFonts w:ascii="Calibri" w:hAnsi="Calibri" w:cs="Arial"/>
        </w:rPr>
        <w:instrText>ADDIN CSL_CITATION { "citationItems" : [ { "id" : "ITEM-1", "itemData" : { "DOI" : "10.1016/j.ijheh.2013.03.002", "ISSN" : "1618-131X", "PMID" : "23567252", "abstract" : "Particulate pollution is a major public health concern because epidemiological studies have demonstrated that exposure to particles is associated with respiratory diseases and lung cancer. Diesel exhaust particles (DEP), which is classified as a human carcinogen (IARC, 2012), are considered a major contributor to traffic-related particulate matter (PM) in urban areas. DEP consists of various compounds, including PAHs and metals which are the principal components that contribute to the toxicity of PM. The present study aimed to investigate effects of PM on induction of oxidative DNA damage and inflammation by using lymphocytes in vitro and in human exposed to PM in the environment. Human lymphoblasts (RPMI 1788) were treated with DEP (SRM 2975) at various concentrations (25-100 \u03bcg/ml) to compare the extent of responses with alveolar epithelial cells (A549). ROS generation was determined in each cell cycle phase of DEP-treated cells in order to investigate the influence of the cell cycle stage on induction of oxidative stress. The oxidative DNA damage was determined by measurement of 8-hydroxy-deoxyguanosine (8-OHdG) whereas the inflammatory responses were determined by mRNA expression of interleukin-6 and -8 (IL-6 and IL-8), Clara cell protein (CC16), and lung surfactant protein-A (SP-A). The results showed that RPMI 1788 and A549 cells had a similar pattern of dose-dependent responses to DEP in terms of particle uptake, ROS generation with highest level found in G2/M phase, 8-OHdG formation, and induction of IL-6 and IL-8 expression. The human study was conducted in 51 healthy subjects residing in traffic-congested areas. The effects of exposure to PM2.5 and particle-bound PAHs and toxic metals on the levels of 8-OHdG in lymphocyte DNA, IL-8 expression in lymphocytes, and serum CC16 were evaluated. 8-OHdG levels correlated with the exposure levels of PM2.5 (P&lt;0.01) and PAHs (P&lt;0.05), but this was not the case with IL-8. Serum CC16 showed significantly negative correlations with B[a]P equivalent (P&lt;0.05) levels, but positive correlation with Pb (P&lt;0.05). In conclusion, a similar pattern of the dose-dependent responses to DEP in the lymphoblasts and lung cells suggests that circulating lymphocytes could be used as a surrogate for assessing PM-induced oxidative DNA damage and inflammatory responses in the lung. Human exposure to PM leads to oxidative DNA damage whereas PM-induced inflammation was not conclusive and should be further investigated.", "author" : [ { "dropping-particle" : "", "family" : "Vattanasit", "given" : "Udomratana", "non-dropping-particle" : "", "parse-names" : false, "suffix" : "" }, { "dropping-particle" : "", "family" : "Navasumrit", "given" : "Panida", "non-dropping-particle" : "", "parse-names" : false, "suffix" : "" }, { "dropping-particle" : "", "family" : "Khadka", "given" : "Man Bahadur", "non-dropping-particle" : "", "parse-names" : false, "suffix" : "" }, { "dropping-particle" : "", "family" : "Kanitwithayanun", "given" : "Jantamas", "non-dropping-particle" : "", "parse-names" : false, "suffix" : "" }, { "dropping-particle" : "", "family" : "Promvijit", "given" : "Jeerawan", "non-dropping-particle" : "", "parse-names" : false, "suffix" : "" }, { "dropping-particle" : "", "family" : "Autrup", "given" : "Herman", "non-dropping-particle" : "", "parse-names" : false, "suffix" : "" }, { "dropping-particle" : "", "family" : "Ruchirawat", "given" : "Mathuros", "non-dropping-particle" : "", "parse-names" : false, "suffix" : "" } ], "container-title" : "International journal of hygiene and environmental health", "id" : "ITEM-1", "issue" : "1", "issued" : { "date-parts" : [ [ "2014", "1" ] ] }, "page" : "23-33", "title" : "Oxidative DNA damage and inflammatory responses in cultured human cells and in humans exposed to traffic-related particles.", "type" : "article-journal", "volume" : "217" }, "uris" : [ "http://www.mendeley.com/documents/?uuid=dcfe4a11-3939-4c6d-956a-670342944e5e" ] }, { "id" : "ITEM-2", "itemData" : { "DOI" : "10.1016/j.cis.2015.10.002", "ISSN" : "1873-3727", "PMID" : "26494653", "abstract" : "Nanotechnology is a rapidly expanding field that has very promising applications that will improve industry, medicine, and consumer products. However, despite the growing widespread use of engineered nanoparticles in these areas, very little has been done to assess the potential health risks they may pose to high-risk areas of the body, particularly the lungs. In this review we first briefly discuss the structure of the lungs and establish that the pulmonary surfactant (PS), given its vulnerability and huge contribution to healthy lung function, is a mechanism of great concern when evaluating potential nanoparticle interactions within the lung. To warrant that these interactions can occur, studies on the transport of nanoaerols are reviewed to highlight that a plethora of factors contribute to a nanoparticle's ability to travel to the deep regions of the lung where PS resides. The focus of this review is to determine the extent that physicochemical characteristics of nanoparticles such as size, hydrophobicity, and surface charge effect PS function. Numerous nanoparticle types are taken into consideration in order to effectively evaluate observed consistencies across numerous nanoparticle types and develop general trends that exist among the physicochemical characteristics of interest. Biological responses from other mechanisms/components of the lung are briefly discussed to provide further insights on how the toxicology of different nanoparticles is determined. We conclude by discussing general trends that summarize consistencies observed among the studies in regard to physicochemical properties and their effects on monolayer function, addressing current gaps in our understanding, and discussing the future outlook of this field of research.", "author" : [ { "dropping-particle" : "", "family" : "Arick", "given" : "Davis Q", "non-dropping-particle" : "", "parse-names" : false, "suffix" : "" }, { "dropping-particle" : "", "family" : "Choi", "given" : "Yun Hwa", "non-dropping-particle" : "", "parse-names" : false, "suffix" : "" }, { "dropping-particle" : "", "family" : "Kim", "given" : "Hyun Chang", "non-dropping-particle" : "", "parse-names" : false, "suffix" : "" }, { "dropping-particle" : "", "family" : "Won", "given" : "You-Yeon", "non-dropping-particle" : "", "parse-names" : false, "suffix" : "" } ], "container-title" : "Advances in colloid and interface science", "id" : "ITEM-2", "issued" : { "date-parts" : [ [ "2015", "11" ] ] }, "page" : "218-28", "title" : "Effects of nanoparticles on the mechanical functioning of the lung.", "type" : "article-journal", "volume" : "225" }, "uris" : [ "http://www.mendeley.com/documents/?uuid=c7ab8dfd-5793-452f-a035-d11e68b084b8" ] }, { "id" : "ITEM-3", "itemData" : { "DOI" : "10.1016/j.taap.2015.07.012", "ISSN" : "1096-0333", "PMID" : "26210349", "abstract" : "Recently cerium compounds have been used in a variety of consumer products, including diesel fuel additives, to increase fuel combustion efficiency and decrease diesel soot emissions. However, cerium oxide (CeO2) nanoparticles have been detected in the exhaust, which raises a health concern. Previous studies have shown that exposure of rats to nanoscale CeO2 by intratracheal instillation (IT) induces sustained pulmonary inflammation and fibrosis. In the present study, male Sprague-Dawley rats were exposed to CeO2 or CeO2 coated with a nano layer of amorphous SiO2 (aSiO2/CeO2) by a single IT and sacrificed at various times post-exposure to assess potential protective effects of the aSiO2 coating. The first acellular bronchoalveolar lavage (BAL) fluid and BAL cells were collected and analyzed from all exposed animals. At the low dose (0.15mg/kg), CeO2 but not aSiO2/CeO2 exposure induced inflammation. However, at the higher doses, both particles induced a dose-related inflammation, cytotoxicity, inflammatory cytokines, matrix metalloproteinase (MMP)-9, and tissue inhibitor of MMP at 1day post-exposure. Morphological analysis of lung showed an increased inflammation, surfactant and collagen fibers after CeO2 (high dose at 3.5mg/kg) treatment at 28days post-exposure. aSiO2 coating significantly reduced CeO2-induced inflammatory responses in the airspace and appeared to attenuate phospholipidosis and fibrosis. Energy dispersive X-ray spectroscopy analysis showed Ce and phosphorous (P) in all particle-exposed lungs, whereas Si was only detected in aSiO2/CeO2-exposed lungs up to 3days after exposure, suggesting that aSiO2 dissolved off the CeO2 core, and some of the CeO2 was transformed to CePO4 with time. These results demonstrate that aSiO2 coating reduce CeO2-induced inflammation, phospholipidosis and fibrosis.", "author" : [ { "dropping-particle" : "", "family" : "Ma", "given" : "Jane", "non-dropping-particle" : "", "parse-names" : false, "suffix" : "" }, { "dropping-particle" : "", "family" : "Mercer", "given" : "Robert R", "non-dropping-particle" : "", "parse-names" : false, "suffix" : "" }, { "dropping-particle" : "", "family" : "Barger", "given" : "Mark", "non-dropping-particle" : "", "parse-names" : false, "suffix" : "" }, { "dropping-particle" : "", "family" : "Schwegler-Berry", "given" : "Diane", "non-dropping-particle" : "", "parse-names" : false, "suffix" : "" }, { "dropping-particle" : "", "family" : "Cohen", "given" : "Joel M", "non-dropping-particle" : "", "parse-names" : false, "suffix" : "" }, { "dropping-particle" : "", "family" : "Demokritou", "given" : "Philip", "non-dropping-particle" : "", "parse-names" : false, "suffix" : "" }, { "dropping-particle" : "", "family" : "Castranova", "given" : "Vincent", "non-dropping-particle" : "", "parse-names" : false, "suffix" : "" } ], "container-title" : "Toxicology and applied pharmacology", "id" : "ITEM-3", "issue" : "1", "issued" : { "date-parts" : [ [ "2015", "10", "1" ] ] }, "page" : "63-73", "title" : "Effects of amorphous silica coating on cerium oxide nanoparticles induced pulmonary responses.", "type" : "article-journal", "volume" : "288" }, "uris" : [ "http://www.mendeley.com/documents/?uuid=baf0529f-3fb8-4caf-a2dd-3ece0fde93e3" ] } ], "mendeley" : { "formattedCitation" : "(Arick, Choi, Kim, &amp; Won, 2015; Ma et al., 2015; Vattanasit et al., 2014)", "plainTextFormattedCitation" : "(Arick, Choi, Kim, &amp; Won, 2015; Ma et al., 2015; Vattanasit et al., 2014)", "previouslyFormattedCitation" : "(Arick, Choi, Kim, &amp; Won, 2015; Ma et al., 2015; Vattanasit et al., 2014)" }, "properties" : { "noteIndex" : 0 }, "schema" : "https://github.com/citation-style-language/schema/raw/master/csl-citation.json" }</w:instrText>
      </w:r>
      <w:r w:rsidR="00D6558F" w:rsidRPr="00AD07AB">
        <w:rPr>
          <w:rFonts w:ascii="Calibri" w:hAnsi="Calibri" w:cs="Arial"/>
        </w:rPr>
        <w:fldChar w:fldCharType="separate"/>
      </w:r>
      <w:r w:rsidR="00D6558F" w:rsidRPr="00AD07AB">
        <w:rPr>
          <w:rFonts w:ascii="Calibri" w:hAnsi="Calibri" w:cs="Arial"/>
          <w:noProof/>
        </w:rPr>
        <w:t>(Arick, Choi, Kim, &amp; Won, 2015; Ma et al., 2015; Vattanasit et al., 2014)</w:t>
      </w:r>
      <w:r w:rsidR="00D6558F" w:rsidRPr="00AD07AB">
        <w:rPr>
          <w:rFonts w:ascii="Calibri" w:hAnsi="Calibri" w:cs="Arial"/>
        </w:rPr>
        <w:fldChar w:fldCharType="end"/>
      </w:r>
      <w:r w:rsidR="005712F5" w:rsidRPr="00AD07AB">
        <w:rPr>
          <w:rFonts w:ascii="Calibri" w:hAnsi="Calibri" w:cs="Arial"/>
        </w:rPr>
        <w:t>.</w:t>
      </w:r>
      <w:r w:rsidR="00F268BD" w:rsidRPr="00AD07AB">
        <w:rPr>
          <w:rFonts w:ascii="Calibri" w:hAnsi="Calibri" w:cs="Arial"/>
        </w:rPr>
        <w:t xml:space="preserve"> </w:t>
      </w:r>
      <w:r w:rsidR="001D06D2">
        <w:rPr>
          <w:rFonts w:ascii="Calibri" w:hAnsi="Calibri" w:cs="Arial"/>
        </w:rPr>
        <w:t xml:space="preserve">Alveolar macrophages also </w:t>
      </w:r>
      <w:r w:rsidR="00121A9C">
        <w:rPr>
          <w:rFonts w:ascii="Calibri" w:hAnsi="Calibri" w:cs="Arial"/>
        </w:rPr>
        <w:t>clear</w:t>
      </w:r>
      <w:r w:rsidR="001D06D2">
        <w:rPr>
          <w:rFonts w:ascii="Calibri" w:hAnsi="Calibri" w:cs="Arial"/>
        </w:rPr>
        <w:t xml:space="preserve"> extraneous matter, which may or may not elicit innate and adaptive immune responses </w:t>
      </w:r>
      <w:r w:rsidR="001D06D2">
        <w:rPr>
          <w:rFonts w:ascii="Calibri" w:hAnsi="Calibri" w:cs="Arial"/>
        </w:rPr>
        <w:fldChar w:fldCharType="begin" w:fldLock="1"/>
      </w:r>
      <w:r w:rsidR="001D06D2">
        <w:rPr>
          <w:rFonts w:ascii="Calibri" w:hAnsi="Calibri" w:cs="Arial"/>
        </w:rPr>
        <w:instrText>ADDIN CSL_CITATION { "citationItems" : [ { "id" : "ITEM-1", "itemData" : { "DOI" : "10.1016/j.addr.2014.02.001", "ISSN" : "1872-8294", "PMID" : "24530633", "abstract" : "Alveolar macrophage (AM) responses are commonly induced in inhalation toxicology studies, typically being observed as an increase in number or a vacuolated 'foamy' morphology. Discriminating between adaptive AM responses and adverse events during nonclinical and clinical development is a major scientific challenge. When measuring and interpreting induced AM responses, an understanding of macrophage biology is essential; this includes 'sub-types' of AMs with different roles in health and disease and mechanisms of induction/resolution of AM responses to inhalation of pharmaceutical aerosols. In this context, emerging assay techniques, the utility of toxicokinetics and the requirement for new biomarkers are considered. Risk assessment for nonclinical toxicology findings and their translation to effects in humans is discussed from a scientific and regulatory perspective. At present, when apparently adaptive macrophage-only responses to inhaled investigational products are observed in nonclinical studies, this poses a challenge for risk assessment and an improved understanding of induced AM responses to inhaled pharmaceuticals is required.", "author" : [ { "dropping-particle" : "", "family" : "Forbes", "given" : "Ben", "non-dropping-particle" : "", "parse-names" : false, "suffix" : "" }, { "dropping-particle" : "", "family" : "O'Lone", "given" : "Raegan", "non-dropping-particle" : "", "parse-names" : false, "suffix" : "" }, { "dropping-particle" : "", "family" : "Allen", "given" : "Philippa Pribul", "non-dropping-particle" : "", "parse-names" : false, "suffix" : "" }, { "dropping-particle" : "", "family" : "Cahn", "given" : "Anthony", "non-dropping-particle" : "", "parse-names" : false, "suffix" : "" }, { "dropping-particle" : "", "family" : "Clarke", "given" : "Chris", "non-dropping-particle" : "", "parse-names" : false, "suffix" : "" }, { "dropping-particle" : "", "family" : "Collinge", "given" : "Mark", "non-dropping-particle" : "", "parse-names" : false, "suffix" : "" }, { "dropping-particle" : "", "family" : "Dailey", "given" : "Lea Ann", "non-dropping-particle" : "", "parse-names" : false, "suffix" : "" }, { "dropping-particle" : "", "family" : "Donnelly", "given" : "Louise E", "non-dropping-particle" : "", "parse-names" : false, "suffix" : "" }, { "dropping-particle" : "", "family" : "Dybowski", "given" : "Joseph", "non-dropping-particle" : "", "parse-names" : false, "suffix" : "" }, { "dropping-particle" : "", "family" : "Hassall", "given" : "David", "non-dropping-particle" : "", "parse-names" : false, "suffix" : "" }, { "dropping-particle" : "", "family" : "Hildebrand", "given" : "Deon", "non-dropping-particle" : "", "parse-names" : false, "suffix" : "" }, { "dropping-particle" : "", "family" : "Jones", "given" : "Rhys", "non-dropping-particle" : "", "parse-names" : false, "suffix" : "" }, { "dropping-particle" : "", "family" : "Kilgour", "given" : "Joanne", "non-dropping-particle" : "", "parse-names" : false, "suffix" : "" }, { "dropping-particle" : "", "family" : "Klapwijk", "given" : "Jan", "non-dropping-particle" : "", "parse-names" : false, "suffix" : "" }, { "dropping-particle" : "", "family" : "Maier", "given" : "Curtis C", "non-dropping-particle" : "", "parse-names" : false, "suffix" : "" }, { "dropping-particle" : "", "family" : "McGovern", "given" : "Tim", "non-dropping-particle" : "", "parse-names" : false, "suffix" : "" }, { "dropping-particle" : "", "family" : "Nikula", "given" : "Kristen", "non-dropping-particle" : "", "parse-names" : false, "suffix" : "" }, { "dropping-particle" : "", "family" : "Parry", "given" : "Joel D", "non-dropping-particle" : "", "parse-names" : false, "suffix" : "" }, { "dropping-particle" : "", "family" : "Reed", "given" : "Matthew D", "non-dropping-particle" : "", "parse-names" : false, "suffix" : "" }, { "dropping-particle" : "", "family" : "Robinson", "given" : "Ian", "non-dropping-particle" : "", "parse-names" : false, "suffix" : "" }, { "dropping-particle" : "", "family" : "Tomlinson", "given" : "Lindsay", "non-dropping-particle" : "", "parse-names" : false, "suffix" : "" }, { "dropping-particle" : "", "family" : "Wolfreys", "given" : "Alison", "non-dropping-particle" : "", "parse-names" : false, "suffix" : "" } ], "container-title" : "Advanced drug delivery reviews", "id" : "ITEM-1", "issued" : { "date-parts" : [ [ "2014", "5" ] ] }, "page" : "15-33", "title" : "Challenges for inhaled drug discovery and development: Induced alveolar macrophage responses.", "type" : "article-journal", "volume" : "71" }, "uris" : [ "http://www.mendeley.com/documents/?uuid=ca5dc17c-8bbe-48ea-9b33-4321e7f612d7" ] } ], "mendeley" : { "formattedCitation" : "(Forbes et al., 2014)", "plainTextFormattedCitation" : "(Forbes et al., 2014)", "previouslyFormattedCitation" : "(Forbes et al., 2014)" }, "properties" : { "noteIndex" : 0 }, "schema" : "https://github.com/citation-style-language/schema/raw/master/csl-citation.json" }</w:instrText>
      </w:r>
      <w:r w:rsidR="001D06D2">
        <w:rPr>
          <w:rFonts w:ascii="Calibri" w:hAnsi="Calibri" w:cs="Arial"/>
        </w:rPr>
        <w:fldChar w:fldCharType="separate"/>
      </w:r>
      <w:r w:rsidR="001D06D2" w:rsidRPr="001D06D2">
        <w:rPr>
          <w:rFonts w:ascii="Calibri" w:hAnsi="Calibri" w:cs="Arial"/>
          <w:noProof/>
        </w:rPr>
        <w:t>(Forbes et al., 2014)</w:t>
      </w:r>
      <w:r w:rsidR="001D06D2">
        <w:rPr>
          <w:rFonts w:ascii="Calibri" w:hAnsi="Calibri" w:cs="Arial"/>
        </w:rPr>
        <w:fldChar w:fldCharType="end"/>
      </w:r>
      <w:r w:rsidR="001D06D2">
        <w:rPr>
          <w:rFonts w:ascii="Calibri" w:hAnsi="Calibri" w:cs="Arial"/>
        </w:rPr>
        <w:t>.</w:t>
      </w:r>
    </w:p>
    <w:p w14:paraId="181589B1" w14:textId="1A00BAF0" w:rsidR="002D511D" w:rsidRPr="00956089" w:rsidRDefault="001D06D2" w:rsidP="005837A4">
      <w:pPr>
        <w:spacing w:line="480" w:lineRule="auto"/>
        <w:jc w:val="both"/>
        <w:rPr>
          <w:rFonts w:ascii="Calibri" w:hAnsi="Calibri" w:cs="Arial"/>
        </w:rPr>
      </w:pPr>
      <w:r>
        <w:rPr>
          <w:rFonts w:ascii="Calibri" w:hAnsi="Calibri" w:cs="Arial"/>
        </w:rPr>
        <w:t xml:space="preserve"> </w:t>
      </w:r>
    </w:p>
    <w:p w14:paraId="023C6154" w14:textId="3E241AC4" w:rsidR="004478D6" w:rsidRDefault="00956089" w:rsidP="005837A4">
      <w:pPr>
        <w:spacing w:line="480" w:lineRule="auto"/>
        <w:jc w:val="both"/>
        <w:rPr>
          <w:rFonts w:ascii="Calibri" w:hAnsi="Calibri" w:cs="Arial"/>
        </w:rPr>
      </w:pPr>
      <w:r>
        <w:rPr>
          <w:rFonts w:ascii="Calibri" w:hAnsi="Calibri" w:cs="Arial"/>
        </w:rPr>
        <w:t>S</w:t>
      </w:r>
      <w:r w:rsidR="00D6558F" w:rsidRPr="005D6140">
        <w:rPr>
          <w:rFonts w:ascii="Calibri" w:hAnsi="Calibri" w:cs="Arial"/>
        </w:rPr>
        <w:t xml:space="preserve">urfactant </w:t>
      </w:r>
      <w:r>
        <w:rPr>
          <w:rFonts w:ascii="Calibri" w:hAnsi="Calibri" w:cs="Arial"/>
        </w:rPr>
        <w:t xml:space="preserve">genes </w:t>
      </w:r>
      <w:r w:rsidR="00D6558F" w:rsidRPr="005D6140">
        <w:rPr>
          <w:rFonts w:ascii="Calibri" w:hAnsi="Calibri" w:cs="Arial"/>
        </w:rPr>
        <w:t xml:space="preserve">are also expressed in the larger </w:t>
      </w:r>
      <w:r w:rsidR="007F1AC6" w:rsidRPr="005D6140">
        <w:rPr>
          <w:rFonts w:ascii="Calibri" w:hAnsi="Calibri" w:cs="Arial"/>
        </w:rPr>
        <w:t>airways</w:t>
      </w:r>
      <w:r w:rsidR="0023669C" w:rsidRPr="005D6140">
        <w:rPr>
          <w:rFonts w:ascii="Calibri" w:hAnsi="Calibri" w:cs="Arial"/>
        </w:rPr>
        <w:t xml:space="preserve"> </w:t>
      </w:r>
      <w:r w:rsidR="0023669C" w:rsidRPr="005D6140">
        <w:rPr>
          <w:rFonts w:ascii="Calibri" w:hAnsi="Calibri" w:cs="Arial"/>
        </w:rPr>
        <w:fldChar w:fldCharType="begin" w:fldLock="1"/>
      </w:r>
      <w:r w:rsidR="0023669C" w:rsidRPr="005D6140">
        <w:rPr>
          <w:rFonts w:ascii="Calibri" w:hAnsi="Calibri" w:cs="Arial"/>
        </w:rPr>
        <w:instrText>ADDIN CSL_CITATION { "citationItems" : [ { "id" : "ITEM-1", "itemData" : { "DOI" : "10.1146/annurev-pathol-012513-104644", "ISSN" : "1553-4014", "PMID" : "25621661", "abstract" : "Advances in physiology and biochemistry have provided fundamental insights into the role of pulmonary surfactant in the pathogenesis and treatment of preterm infants with respiratory distress syndrome. Identification of the surfactant proteins, lipid transporters, and transcriptional networks regulating their expression has provided the tools and insights needed to discern the molecular and cellular processes regulating the production and function of pulmonary surfactant prior to and after birth. Mutations in genes regulating surfactant homeostasis have been associated with severe lung disease in neonates and older infants. Biophysical and transgenic mouse models have provided insight into the mechanisms underlying surfactant protein and alveolar homeostasis. These studies have provided the framework for understanding the structure and function of pulmonary surfactant, which has informed understanding of the pathogenesis of diverse pulmonary disorders previously considered idiopathic. This review considers the pulmonary surfactant system and the genetic causes of acute and chronic lung disease caused by disruption of alveolar homeostasis.", "author" : [ { "dropping-particle" : "", "family" : "Whitsett", "given" : "Jeffrey A", "non-dropping-particle" : "", "parse-names" : false, "suffix" : "" }, { "dropping-particle" : "", "family" : "Wert", "given" : "Susan E", "non-dropping-particle" : "", "parse-names" : false, "suffix" : "" }, { "dropping-particle" : "", "family" : "Weaver", "given" : "Timothy E", "non-dropping-particle" : "", "parse-names" : false, "suffix" : "" } ], "container-title" : "Annual review of pathology", "id" : "ITEM-1", "issued" : { "date-parts" : [ [ "2015", "1" ] ] }, "page" : "371-93", "title" : "Diseases of pulmonary surfactant homeostasis.", "type" : "article-journal", "volume" : "10" }, "uris" : [ "http://www.mendeley.com/documents/?uuid=d402f352-8f80-4c92-a9ef-50238ae78e1f" ] } ], "mendeley" : { "formattedCitation" : "(Whitsett et al., 2015)", "plainTextFormattedCitation" : "(Whitsett et al., 2015)", "previouslyFormattedCitation" : "(Whitsett et al., 2015)" }, "properties" : { "noteIndex" : 0 }, "schema" : "https://github.com/citation-style-language/schema/raw/master/csl-citation.json" }</w:instrText>
      </w:r>
      <w:r w:rsidR="0023669C" w:rsidRPr="005D6140">
        <w:rPr>
          <w:rFonts w:ascii="Calibri" w:hAnsi="Calibri" w:cs="Arial"/>
        </w:rPr>
        <w:fldChar w:fldCharType="separate"/>
      </w:r>
      <w:r w:rsidR="0023669C" w:rsidRPr="005D6140">
        <w:rPr>
          <w:rFonts w:ascii="Calibri" w:hAnsi="Calibri" w:cs="Arial"/>
          <w:noProof/>
        </w:rPr>
        <w:t>(Whitsett et al., 2015)</w:t>
      </w:r>
      <w:r w:rsidR="0023669C" w:rsidRPr="005D6140">
        <w:rPr>
          <w:rFonts w:ascii="Calibri" w:hAnsi="Calibri" w:cs="Arial"/>
        </w:rPr>
        <w:fldChar w:fldCharType="end"/>
      </w:r>
      <w:r w:rsidR="00841AC5" w:rsidRPr="005D6140">
        <w:rPr>
          <w:rFonts w:ascii="Calibri" w:hAnsi="Calibri" w:cs="Arial"/>
        </w:rPr>
        <w:t xml:space="preserve"> and even the nose </w:t>
      </w:r>
      <w:r w:rsidR="00841AC5" w:rsidRPr="005D6140">
        <w:rPr>
          <w:rFonts w:ascii="Calibri" w:hAnsi="Calibri" w:cs="Arial"/>
        </w:rPr>
        <w:fldChar w:fldCharType="begin" w:fldLock="1"/>
      </w:r>
      <w:r w:rsidR="00633BB3" w:rsidRPr="005D6140">
        <w:rPr>
          <w:rFonts w:ascii="Calibri" w:hAnsi="Calibri" w:cs="Arial"/>
        </w:rPr>
        <w:instrText>ADDIN CSL_CITATION { "citationItems" : [ { "id" : "ITEM-1", "itemData" : { "DOI" : "10.1159/000369143", "ISSN" : "1423-0275", "PMID" : "25500788", "abstract" : "AIMS: To investigate the presence of surfactant protein (SP) A, B, C and D in nasal airways and to determine whether the proteins exert their main functions in nasal secretions or in the deeper layers of the nasal mucosa.\n\nMETHODS: Volunteers were recruited from the Department of ENT Head and Neck Surgery, Odense University Hospital, Denmark. The study included 39 subjects. Nasal mucosal biopsies were analyzed by immunohistochemistry, and bronchoalveolar and nasal lavages, nasal brush biopsies and nasal mucus were analyzed for SP-A, -B, -C and -D by SDS-PAGE and Western blotting. The presence of SP-A and SP-D in the first three samplings were also analyzed by enzyme-linked immunosorbent assay.\n\nRESULTS: In nasal mucosal biopsies, SP-A, -B, -C and -D were all demonstrated in the serous acini of the submucosal glands and in the surface epithelium. SP-D was detected in nasal brush biopsies, whereas the other SPs were absent. Moreover, SP-A, -B, -C and -D were absent in nasal lavage and mucus.\n\nCONCLUSION: SP-A, -B, -C and -D exert their protective effect in the ductal epithelium of the submucosal glands rather than in nasal secretions and mucus. Further studies are required to clarify the functions of these proteins in nasal secretory pathways for understanding upper airway diseases.", "author" : [ { "dropping-particle" : "", "family" : "Gaunsbaek", "given" : "Maria Q", "non-dropping-particle" : "", "parse-names" : false, "suffix" : "" }, { "dropping-particle" : "", "family" : "Kjeldsen", "given" : "Anette D", "non-dropping-particle" : "", "parse-names" : false, "suffix" : "" }, { "dropping-particle" : "", "family" : "Svane-Knudsen", "given" : "Viggo", "non-dropping-particle" : "", "parse-names" : false, "suffix" : "" }, { "dropping-particle" : "", "family" : "Henriksen", "given" : "Maiken L", "non-dropping-particle" : "", "parse-names" : false, "suffix" : "" }, { "dropping-particle" : "", "family" : "Hansen", "given" : "Soren", "non-dropping-particle" : "", "parse-names" : false, "suffix" : "" } ], "container-title" : "ORL; journal for oto-rhino-laryngology and its related specialties", "id" : "ITEM-1", "issue" : "5", "issued" : { "date-parts" : [ [ "2014", "1" ] ] }, "page" : "288-301", "title" : "Surfactant proteins A, B, C and D in the human nasal airway: associated with mucosal glands and ciliated epithelium but absent in fluid-phase secretions and mucus.", "type" : "article-journal", "volume" : "76" }, "uris" : [ "http://www.mendeley.com/documents/?uuid=46d01b1b-703f-4c7c-a4ab-62aa85dc8371" ] } ], "mendeley" : { "formattedCitation" : "(Gaunsbaek, Kjeldsen, Svane-Knudsen, Henriksen, &amp; Hansen, 2014)", "plainTextFormattedCitation" : "(Gaunsbaek, Kjeldsen, Svane-Knudsen, Henriksen, &amp; Hansen, 2014)", "previouslyFormattedCitation" : "(Gaunsbaek, Kjeldsen, Svane-Knudsen, Henriksen, &amp; Hansen, 2014)" }, "properties" : { "noteIndex" : 0 }, "schema" : "https://github.com/citation-style-language/schema/raw/master/csl-citation.json" }</w:instrText>
      </w:r>
      <w:r w:rsidR="00841AC5" w:rsidRPr="005D6140">
        <w:rPr>
          <w:rFonts w:ascii="Calibri" w:hAnsi="Calibri" w:cs="Arial"/>
        </w:rPr>
        <w:fldChar w:fldCharType="separate"/>
      </w:r>
      <w:r w:rsidR="00841AC5" w:rsidRPr="005D6140">
        <w:rPr>
          <w:rFonts w:ascii="Calibri" w:hAnsi="Calibri" w:cs="Arial"/>
          <w:noProof/>
        </w:rPr>
        <w:t>(Gaunsbaek, Kjeldsen, Svane-Knudsen, Henriksen, &amp; Hansen, 2014)</w:t>
      </w:r>
      <w:r w:rsidR="00841AC5" w:rsidRPr="005D6140">
        <w:rPr>
          <w:rFonts w:ascii="Calibri" w:hAnsi="Calibri" w:cs="Arial"/>
        </w:rPr>
        <w:fldChar w:fldCharType="end"/>
      </w:r>
      <w:r w:rsidR="008962B8">
        <w:rPr>
          <w:rFonts w:ascii="Calibri" w:hAnsi="Calibri" w:cs="Arial"/>
        </w:rPr>
        <w:t xml:space="preserve">. </w:t>
      </w:r>
      <w:r w:rsidR="002D511D">
        <w:rPr>
          <w:rFonts w:ascii="Calibri" w:hAnsi="Calibri" w:cs="Arial"/>
        </w:rPr>
        <w:t>However</w:t>
      </w:r>
      <w:r>
        <w:rPr>
          <w:rFonts w:ascii="Calibri" w:hAnsi="Calibri" w:cs="Arial"/>
        </w:rPr>
        <w:t>,</w:t>
      </w:r>
      <w:r w:rsidR="008962B8">
        <w:rPr>
          <w:rFonts w:ascii="Calibri" w:hAnsi="Calibri" w:cs="Arial"/>
        </w:rPr>
        <w:t xml:space="preserve"> the </w:t>
      </w:r>
      <w:r>
        <w:rPr>
          <w:rFonts w:ascii="Calibri" w:hAnsi="Calibri" w:cs="Arial"/>
        </w:rPr>
        <w:t>upper</w:t>
      </w:r>
      <w:r w:rsidR="008962B8">
        <w:rPr>
          <w:rFonts w:ascii="Calibri" w:hAnsi="Calibri" w:cs="Arial"/>
        </w:rPr>
        <w:t xml:space="preserve"> airways</w:t>
      </w:r>
      <w:r w:rsidR="00D6558F" w:rsidRPr="005D6140">
        <w:rPr>
          <w:rFonts w:ascii="Calibri" w:hAnsi="Calibri" w:cs="Arial"/>
        </w:rPr>
        <w:t xml:space="preserve"> </w:t>
      </w:r>
      <w:r w:rsidR="007F1AC6" w:rsidRPr="005D6140">
        <w:rPr>
          <w:rFonts w:ascii="Calibri" w:hAnsi="Calibri" w:cs="Arial"/>
        </w:rPr>
        <w:t xml:space="preserve">are </w:t>
      </w:r>
      <w:r w:rsidR="001A0F45">
        <w:rPr>
          <w:rFonts w:ascii="Calibri" w:hAnsi="Calibri" w:cs="Arial"/>
        </w:rPr>
        <w:t>mainly</w:t>
      </w:r>
      <w:r w:rsidR="00841AC5" w:rsidRPr="005D6140">
        <w:rPr>
          <w:rFonts w:ascii="Calibri" w:hAnsi="Calibri" w:cs="Arial"/>
        </w:rPr>
        <w:t xml:space="preserve"> </w:t>
      </w:r>
      <w:r w:rsidR="002D511D">
        <w:rPr>
          <w:rFonts w:ascii="Calibri" w:hAnsi="Calibri" w:cs="Arial"/>
        </w:rPr>
        <w:t>lined with</w:t>
      </w:r>
      <w:r w:rsidR="007F1AC6" w:rsidRPr="005D6140">
        <w:rPr>
          <w:rFonts w:ascii="Calibri" w:hAnsi="Calibri" w:cs="Arial"/>
        </w:rPr>
        <w:t xml:space="preserve"> mucous</w:t>
      </w:r>
      <w:r w:rsidR="00554283">
        <w:rPr>
          <w:rFonts w:ascii="Calibri" w:hAnsi="Calibri" w:cs="Arial"/>
        </w:rPr>
        <w:t xml:space="preserve"> - </w:t>
      </w:r>
      <w:r w:rsidR="00AF5019" w:rsidRPr="005D6140">
        <w:rPr>
          <w:rFonts w:ascii="Calibri" w:hAnsi="Calibri" w:cs="Arial"/>
        </w:rPr>
        <w:t>a</w:t>
      </w:r>
      <w:r w:rsidR="0023669C" w:rsidRPr="005D6140">
        <w:rPr>
          <w:rFonts w:ascii="Calibri" w:hAnsi="Calibri" w:cs="Arial"/>
        </w:rPr>
        <w:t xml:space="preserve"> highly complex, anionic,</w:t>
      </w:r>
      <w:r w:rsidR="00AF5019" w:rsidRPr="005D6140">
        <w:rPr>
          <w:rFonts w:ascii="Calibri" w:hAnsi="Calibri" w:cs="Arial"/>
        </w:rPr>
        <w:t xml:space="preserve"> </w:t>
      </w:r>
      <w:r w:rsidR="0023669C" w:rsidRPr="005D6140">
        <w:rPr>
          <w:rFonts w:ascii="Calibri" w:hAnsi="Calibri" w:cs="Arial"/>
        </w:rPr>
        <w:t>glycoproteinaceous</w:t>
      </w:r>
      <w:r w:rsidR="00A72DB5">
        <w:rPr>
          <w:rFonts w:ascii="Calibri" w:hAnsi="Calibri" w:cs="Arial"/>
        </w:rPr>
        <w:t xml:space="preserve"> and</w:t>
      </w:r>
      <w:r w:rsidR="0023669C" w:rsidRPr="005D6140">
        <w:rPr>
          <w:rFonts w:ascii="Calibri" w:hAnsi="Calibri" w:cs="Arial"/>
        </w:rPr>
        <w:t xml:space="preserve"> </w:t>
      </w:r>
      <w:r w:rsidR="00AF5019" w:rsidRPr="005D6140">
        <w:rPr>
          <w:rFonts w:ascii="Calibri" w:hAnsi="Calibri" w:cs="Arial"/>
        </w:rPr>
        <w:t>gelatinous extracellular</w:t>
      </w:r>
      <w:r w:rsidR="001A0F45">
        <w:rPr>
          <w:rFonts w:ascii="Calibri" w:hAnsi="Calibri" w:cs="Arial"/>
        </w:rPr>
        <w:t xml:space="preserve"> matrix</w:t>
      </w:r>
      <w:r w:rsidR="00AF5019" w:rsidRPr="005D6140">
        <w:rPr>
          <w:rFonts w:ascii="Calibri" w:hAnsi="Calibri" w:cs="Arial"/>
        </w:rPr>
        <w:t xml:space="preserve"> </w:t>
      </w:r>
      <w:r w:rsidR="00AF5019" w:rsidRPr="005D6140">
        <w:rPr>
          <w:rFonts w:ascii="Calibri" w:hAnsi="Calibri" w:cs="Arial"/>
        </w:rPr>
        <w:fldChar w:fldCharType="begin" w:fldLock="1"/>
      </w:r>
      <w:r w:rsidR="00322071">
        <w:rPr>
          <w:rFonts w:ascii="Calibri" w:hAnsi="Calibri" w:cs="Arial"/>
        </w:rPr>
        <w:instrText>ADDIN CSL_CITATION { "citationItems" : [ { "id" : "ITEM-1", "itemData" : { "DOI" : "10.1016/j.addr.2008.09.012", "ISSN" : "1872-8294", "PMID" : "19166889", "abstract" : "Mucus is a complex biological material that lubricates and protects the human lungs, gastrointestinal (GI) tract, vagina, eyes, and other moist mucosal surfaces. Mucus serves as a physical barrier against foreign particles, including toxins, pathogens, and environmental ultrafine particles, while allowing rapid passage of selected gases, ions, nutrients, and many proteins. Its selective barrier properties are precisely regulated at the biochemical level across vastly different length scales. At the macroscale, mucus behaves as a non-Newtonian gel, distinguished from classical solids and liquids by its response to shear rate and shear stress, while, at the nanoscale, it behaves as a low viscosity fluid. Advances in the rheological characterization of mucus from the macroscopic to nanoscopic levels have contributed critical understanding to mucus physiology, disease pathology, and the development of drug delivery systems designed for use at mucosal surfaces. This article reviews the biochemistry that governs mucus rheology, the macro- and microrheology of human and laboratory animal mucus, rheological techniques applied to mucus, and the importance of an improved understanding of the physical properties of mucus to advancing the field of drug and gene delivery.", "author" : [ { "dropping-particle" : "", "family" : "Lai", "given" : "Samuel K", "non-dropping-particle" : "", "parse-names" : false, "suffix" : "" }, { "dropping-particle" : "", "family" : "Wang", "given" : "Ying-Ying", "non-dropping-particle" : "", "parse-names" : false, "suffix" : "" }, { "dropping-particle" : "", "family" : "Wirtz", "given" : "Denis", "non-dropping-particle" : "", "parse-names" : false, "suffix" : "" }, { "dropping-particle" : "", "family" : "Hanes", "given" : "Justin", "non-dropping-particle" : "", "parse-names" : false, "suffix" : "" } ], "container-title" : "Advanced drug delivery reviews", "id" : "ITEM-1", "issue" : "2", "issued" : { "date-parts" : [ [ "2009", "2", "27" ] ] }, "page" : "86-100", "title" : "Micro- and macrorheology of mucus.", "type" : "article-journal", "volume" : "61" }, "uris" : [ "http://www.mendeley.com/documents/?uuid=2938d429-bb78-4294-806d-83e13629cccf" ] } ], "mendeley" : { "formattedCitation" : "(S. K. Lai, Wang, Wirtz, &amp; Hanes, 2009)", "plainTextFormattedCitation" : "(S. K. Lai, Wang, Wirtz, &amp; Hanes, 2009)", "previouslyFormattedCitation" : "(S. K. Lai, Wang, Wirtz, &amp; Hanes, 2009)" }, "properties" : { "noteIndex" : 0 }, "schema" : "https://github.com/citation-style-language/schema/raw/master/csl-citation.json" }</w:instrText>
      </w:r>
      <w:r w:rsidR="00AF5019" w:rsidRPr="005D6140">
        <w:rPr>
          <w:rFonts w:ascii="Calibri" w:hAnsi="Calibri" w:cs="Arial"/>
        </w:rPr>
        <w:fldChar w:fldCharType="separate"/>
      </w:r>
      <w:r w:rsidR="00230205" w:rsidRPr="00230205">
        <w:rPr>
          <w:rFonts w:ascii="Calibri" w:hAnsi="Calibri" w:cs="Arial"/>
          <w:noProof/>
        </w:rPr>
        <w:t>(S. K. Lai, Wang, Wirtz, &amp; Hanes, 2009)</w:t>
      </w:r>
      <w:r w:rsidR="00AF5019" w:rsidRPr="005D6140">
        <w:rPr>
          <w:rFonts w:ascii="Calibri" w:hAnsi="Calibri" w:cs="Arial"/>
        </w:rPr>
        <w:fldChar w:fldCharType="end"/>
      </w:r>
      <w:r w:rsidR="00AF5019" w:rsidRPr="005D6140">
        <w:rPr>
          <w:rFonts w:ascii="Calibri" w:hAnsi="Calibri" w:cs="Arial"/>
        </w:rPr>
        <w:t xml:space="preserve"> synthesized by goblet cells </w:t>
      </w:r>
      <w:r w:rsidR="00D45480" w:rsidRPr="005D6140">
        <w:rPr>
          <w:rFonts w:ascii="Calibri" w:hAnsi="Calibri" w:cs="Arial"/>
        </w:rPr>
        <w:t>and submucosal glands</w:t>
      </w:r>
      <w:r w:rsidR="00A72DB5">
        <w:rPr>
          <w:rFonts w:ascii="Calibri" w:hAnsi="Calibri" w:cs="Arial"/>
        </w:rPr>
        <w:t xml:space="preserve"> that </w:t>
      </w:r>
      <w:r w:rsidRPr="005D6140">
        <w:rPr>
          <w:rFonts w:ascii="Calibri" w:hAnsi="Calibri" w:cs="Arial"/>
        </w:rPr>
        <w:t xml:space="preserve">express </w:t>
      </w:r>
      <w:r w:rsidRPr="002D511D">
        <w:rPr>
          <w:rFonts w:ascii="Calibri" w:hAnsi="Calibri" w:cs="Arial"/>
          <w:i/>
        </w:rPr>
        <w:t>MUC5AC</w:t>
      </w:r>
      <w:r w:rsidRPr="005D6140">
        <w:rPr>
          <w:rFonts w:ascii="Calibri" w:hAnsi="Calibri" w:cs="Arial"/>
        </w:rPr>
        <w:t xml:space="preserve"> and </w:t>
      </w:r>
      <w:r w:rsidRPr="002D511D">
        <w:rPr>
          <w:rFonts w:ascii="Calibri" w:hAnsi="Calibri" w:cs="Arial"/>
          <w:i/>
        </w:rPr>
        <w:t>MUC5B</w:t>
      </w:r>
      <w:r w:rsidRPr="005D6140">
        <w:rPr>
          <w:rFonts w:ascii="Calibri" w:hAnsi="Calibri" w:cs="Arial"/>
        </w:rPr>
        <w:t xml:space="preserve"> </w:t>
      </w:r>
      <w:r w:rsidR="00A72DB5">
        <w:rPr>
          <w:rFonts w:ascii="Calibri" w:hAnsi="Calibri" w:cs="Arial"/>
        </w:rPr>
        <w:t xml:space="preserve">and are located </w:t>
      </w:r>
      <w:r w:rsidR="00AF5019" w:rsidRPr="005D6140">
        <w:rPr>
          <w:rFonts w:ascii="Calibri" w:hAnsi="Calibri" w:cs="Arial"/>
        </w:rPr>
        <w:t>throughout the bronchi</w:t>
      </w:r>
      <w:r w:rsidR="008962B8">
        <w:rPr>
          <w:rFonts w:ascii="Calibri" w:hAnsi="Calibri" w:cs="Arial"/>
        </w:rPr>
        <w:t xml:space="preserve">. </w:t>
      </w:r>
      <w:r w:rsidR="00554283">
        <w:rPr>
          <w:rFonts w:ascii="Calibri" w:hAnsi="Calibri" w:cs="Arial"/>
        </w:rPr>
        <w:t>The predominant structural</w:t>
      </w:r>
      <w:r w:rsidR="00A72DB5">
        <w:rPr>
          <w:rFonts w:ascii="Calibri" w:hAnsi="Calibri" w:cs="Arial"/>
        </w:rPr>
        <w:t xml:space="preserve"> component of m</w:t>
      </w:r>
      <w:r w:rsidR="002D511D">
        <w:rPr>
          <w:rFonts w:ascii="Calibri" w:hAnsi="Calibri" w:cs="Arial"/>
        </w:rPr>
        <w:t xml:space="preserve">ucous </w:t>
      </w:r>
      <w:r w:rsidR="00A72DB5">
        <w:rPr>
          <w:rFonts w:ascii="Calibri" w:hAnsi="Calibri" w:cs="Arial"/>
        </w:rPr>
        <w:t>is</w:t>
      </w:r>
      <w:r w:rsidR="0023669C" w:rsidRPr="005D6140">
        <w:rPr>
          <w:rFonts w:ascii="Calibri" w:hAnsi="Calibri" w:cs="Arial"/>
        </w:rPr>
        <w:t xml:space="preserve"> </w:t>
      </w:r>
      <w:r w:rsidR="00A72DB5">
        <w:rPr>
          <w:rFonts w:ascii="Calibri" w:hAnsi="Calibri" w:cs="Arial"/>
        </w:rPr>
        <w:t>large</w:t>
      </w:r>
      <w:r w:rsidR="002D511D">
        <w:rPr>
          <w:rFonts w:ascii="Calibri" w:hAnsi="Calibri" w:cs="Arial"/>
        </w:rPr>
        <w:t xml:space="preserve"> </w:t>
      </w:r>
      <w:r w:rsidR="0023669C" w:rsidRPr="005D6140">
        <w:rPr>
          <w:rFonts w:ascii="Calibri" w:hAnsi="Calibri" w:cs="Arial"/>
        </w:rPr>
        <w:t>mucin</w:t>
      </w:r>
      <w:r w:rsidR="002D511D">
        <w:rPr>
          <w:rFonts w:ascii="Calibri" w:hAnsi="Calibri" w:cs="Arial"/>
        </w:rPr>
        <w:t xml:space="preserve"> polymer</w:t>
      </w:r>
      <w:r w:rsidR="0023669C" w:rsidRPr="005D6140">
        <w:rPr>
          <w:rFonts w:ascii="Calibri" w:hAnsi="Calibri" w:cs="Arial"/>
        </w:rPr>
        <w:t xml:space="preserve"> fibers</w:t>
      </w:r>
      <w:r w:rsidR="002D511D">
        <w:rPr>
          <w:rFonts w:ascii="Calibri" w:hAnsi="Calibri" w:cs="Arial"/>
        </w:rPr>
        <w:t xml:space="preserve"> of</w:t>
      </w:r>
      <w:r w:rsidR="0023669C" w:rsidRPr="005D6140">
        <w:rPr>
          <w:rFonts w:ascii="Calibri" w:hAnsi="Calibri" w:cs="Arial"/>
        </w:rPr>
        <w:t xml:space="preserve"> &lt;10 nm </w:t>
      </w:r>
      <w:r w:rsidR="002D511D">
        <w:rPr>
          <w:rFonts w:ascii="Calibri" w:hAnsi="Calibri" w:cs="Arial"/>
        </w:rPr>
        <w:t>size</w:t>
      </w:r>
      <w:r w:rsidR="00A72DB5">
        <w:rPr>
          <w:rFonts w:ascii="Calibri" w:hAnsi="Calibri" w:cs="Arial"/>
        </w:rPr>
        <w:t xml:space="preserve">, that interact to produce a </w:t>
      </w:r>
      <w:r w:rsidR="00080235" w:rsidRPr="005D6140">
        <w:rPr>
          <w:rFonts w:ascii="Calibri" w:hAnsi="Calibri" w:cs="Arial"/>
        </w:rPr>
        <w:t xml:space="preserve">complex </w:t>
      </w:r>
      <w:r w:rsidR="00BC77BD">
        <w:rPr>
          <w:rFonts w:ascii="Calibri" w:hAnsi="Calibri" w:cs="Arial"/>
        </w:rPr>
        <w:t xml:space="preserve">physicochemical </w:t>
      </w:r>
      <w:r w:rsidR="007A4073" w:rsidRPr="005D6140">
        <w:rPr>
          <w:rFonts w:ascii="Calibri" w:hAnsi="Calibri" w:cs="Arial"/>
        </w:rPr>
        <w:t>organization</w:t>
      </w:r>
      <w:r w:rsidR="0023669C" w:rsidRPr="005D6140">
        <w:rPr>
          <w:rFonts w:ascii="Calibri" w:hAnsi="Calibri" w:cs="Arial"/>
        </w:rPr>
        <w:t xml:space="preserve"> </w:t>
      </w:r>
      <w:r w:rsidR="0023669C" w:rsidRPr="005D6140">
        <w:rPr>
          <w:rFonts w:ascii="Calibri" w:hAnsi="Calibri" w:cs="Arial"/>
        </w:rPr>
        <w:fldChar w:fldCharType="begin" w:fldLock="1"/>
      </w:r>
      <w:r w:rsidR="0023669C" w:rsidRPr="005D6140">
        <w:rPr>
          <w:rFonts w:ascii="Calibri" w:hAnsi="Calibri" w:cs="Arial"/>
        </w:rPr>
        <w:instrText>ADDIN CSL_CITATION { "citationItems" : [ { "id" : "ITEM-1", "itemData" : { "ISSN" : "0006-2960", "PMID" : "2775721", "abstract" : "The effect of carbohydrate on the conformation and chain dimensions of mucous glycoproteins was investigated by using light-scattering and circular dichroism studies of native, asialo, and deglycosylated (apo) ovine submaxillary gland mucin (OSM). OSM is a large glycoprotein that is extensively O-glycosylated by the disaccharide alpha-NeuNAc(2-6)alpha-GalNAc-O-Ser/Thr. Measurements of root mean square radius of gyration, (Rg2)1/2, and hydrodynamic radius, Rh, for OSM and its derivatives were carried out as a function of molecular weight by using static and dynamic light-scattering techniques. The results were fit to the wormlike chain model for describing the dimensions of extended polymer chains. By use of this model, values of h, the length per amino acid residue, and q, the persistence length, which is a measure of chain stiffness, were obtained. These values were then used to assess the conformation and degree of chain extension of intact OSM and its partially and totally deglycosylated derivatives. Native and asialo mucin are found to be highly extended random coils, with asialo mucin having a somewhat less extended structure than intact mucin. Upon the complete removal of the carbohydrate side chains, the extended structure characteristic of intact and asialo mucin collapses to chain dimensions typical of denatured globular proteins. Conformational analyses based on the rotational isomeric state model were also performed by using the probability maps of N-acetyl-O-(GalNAc)-Thr-N-methylamide as starting conformations for native and asialo mucin. The results suggest that both the glycosylated and nonglycosylated residues in native mucin may occupy a small region of conformational space having -90 degrees less than phi less than -60 degrees and 60 degrees less than psi less than 180 degrees, while a slightly broader range is found to fit asialo mucin. The proposed conformations obtained for these mucins are consistent with their circular dichroism spectra. Significantly larger ranges of phi and psi values were obtained for apo mucin, as would be expected from its circular dichroism spectra and increased flexibility. These results indicate the expanded mucin structure is the direct result of peptide core glycosylation. These observations together with the results of earlier studies indicate that steric interactions of the O-linked GalNAc residue with the peptide core are primarily responsible for the expanded mucin structure and that these perturbatio\u2026", "author" : [ { "dropping-particle" : "", "family" : "Shogren", "given" : "R", "non-dropping-particle" : "", "parse-names" : false, "suffix" : "" }, { "dropping-particle" : "", "family" : "Gerken", "given" : "T A", "non-dropping-particle" : "", "parse-names" : false, "suffix" : "" }, { "dropping-particle" : "", "family" : "Jentoft", "given" : "N", "non-dropping-particle" : "", "parse-names" : false, "suffix" : "" } ], "container-title" : "Biochemistry", "id" : "ITEM-1", "issue" : "13", "issued" : { "date-parts" : [ [ "1989", "6", "27" ] ] }, "page" : "5525-36", "title" : "Role of glycosylation on the conformation and chain dimensions of O-linked glycoproteins: light-scattering studies of ovine submaxillary mucin.", "type" : "article-journal", "volume" : "28" }, "uris" : [ "http://www.mendeley.com/documents/?uuid=c86ab1ba-e4da-4db3-9938-48d7ebc5e0c0" ] } ], "mendeley" : { "formattedCitation" : "(Shogren, Gerken, &amp; Jentoft, 1989)", "plainTextFormattedCitation" : "(Shogren, Gerken, &amp; Jentoft, 1989)", "previouslyFormattedCitation" : "(Shogren, Gerken, &amp; Jentoft, 1989)" }, "properties" : { "noteIndex" : 0 }, "schema" : "https://github.com/citation-style-language/schema/raw/master/csl-citation.json" }</w:instrText>
      </w:r>
      <w:r w:rsidR="0023669C" w:rsidRPr="005D6140">
        <w:rPr>
          <w:rFonts w:ascii="Calibri" w:hAnsi="Calibri" w:cs="Arial"/>
        </w:rPr>
        <w:fldChar w:fldCharType="separate"/>
      </w:r>
      <w:r w:rsidR="0023669C" w:rsidRPr="005D6140">
        <w:rPr>
          <w:rFonts w:ascii="Calibri" w:hAnsi="Calibri" w:cs="Arial"/>
          <w:noProof/>
        </w:rPr>
        <w:t>(Shogren, Gerken, &amp; Jentoft, 1989)</w:t>
      </w:r>
      <w:r w:rsidR="0023669C" w:rsidRPr="005D6140">
        <w:rPr>
          <w:rFonts w:ascii="Calibri" w:hAnsi="Calibri" w:cs="Arial"/>
        </w:rPr>
        <w:fldChar w:fldCharType="end"/>
      </w:r>
      <w:r w:rsidR="00080235" w:rsidRPr="005D6140">
        <w:rPr>
          <w:rFonts w:ascii="Calibri" w:hAnsi="Calibri" w:cs="Arial"/>
        </w:rPr>
        <w:t xml:space="preserve">. </w:t>
      </w:r>
      <w:r w:rsidR="001A0F45">
        <w:rPr>
          <w:rFonts w:ascii="Calibri" w:hAnsi="Calibri" w:cs="Arial"/>
        </w:rPr>
        <w:t>Its</w:t>
      </w:r>
      <w:r>
        <w:rPr>
          <w:rFonts w:ascii="Calibri" w:hAnsi="Calibri" w:cs="Arial"/>
        </w:rPr>
        <w:t xml:space="preserve"> role is</w:t>
      </w:r>
      <w:r w:rsidR="00AF5019" w:rsidRPr="005D6140">
        <w:rPr>
          <w:rFonts w:ascii="Calibri" w:hAnsi="Calibri" w:cs="Arial"/>
        </w:rPr>
        <w:t xml:space="preserve"> </w:t>
      </w:r>
      <w:r w:rsidR="001A0F45">
        <w:rPr>
          <w:rFonts w:ascii="Calibri" w:hAnsi="Calibri" w:cs="Arial"/>
        </w:rPr>
        <w:t xml:space="preserve">the </w:t>
      </w:r>
      <w:r w:rsidR="00AF5019" w:rsidRPr="005D6140">
        <w:rPr>
          <w:rFonts w:ascii="Calibri" w:hAnsi="Calibri" w:cs="Arial"/>
        </w:rPr>
        <w:t xml:space="preserve">capture </w:t>
      </w:r>
      <w:r w:rsidR="003B4B50" w:rsidRPr="005D6140">
        <w:rPr>
          <w:rFonts w:ascii="Calibri" w:hAnsi="Calibri" w:cs="Arial"/>
        </w:rPr>
        <w:t>and eliminat</w:t>
      </w:r>
      <w:r>
        <w:rPr>
          <w:rFonts w:ascii="Calibri" w:hAnsi="Calibri" w:cs="Arial"/>
        </w:rPr>
        <w:t>ion of</w:t>
      </w:r>
      <w:r w:rsidR="00AF5019" w:rsidRPr="005D6140">
        <w:rPr>
          <w:rFonts w:ascii="Calibri" w:hAnsi="Calibri" w:cs="Arial"/>
        </w:rPr>
        <w:t xml:space="preserve"> </w:t>
      </w:r>
      <w:r w:rsidR="00080235" w:rsidRPr="005D6140">
        <w:rPr>
          <w:rFonts w:ascii="Calibri" w:hAnsi="Calibri" w:cs="Arial"/>
        </w:rPr>
        <w:t xml:space="preserve">large </w:t>
      </w:r>
      <w:r w:rsidR="002D511D">
        <w:rPr>
          <w:rFonts w:ascii="Calibri" w:hAnsi="Calibri" w:cs="Arial"/>
        </w:rPr>
        <w:t>particles</w:t>
      </w:r>
      <w:r w:rsidR="00080235" w:rsidRPr="005D6140">
        <w:rPr>
          <w:rFonts w:ascii="Calibri" w:hAnsi="Calibri" w:cs="Arial"/>
        </w:rPr>
        <w:t xml:space="preserve"> </w:t>
      </w:r>
      <w:r w:rsidR="002D511D">
        <w:rPr>
          <w:rFonts w:ascii="Calibri" w:hAnsi="Calibri" w:cs="Arial"/>
        </w:rPr>
        <w:t xml:space="preserve">reaching </w:t>
      </w:r>
      <w:r w:rsidR="00AF5019" w:rsidRPr="005D6140">
        <w:rPr>
          <w:rFonts w:ascii="Calibri" w:hAnsi="Calibri" w:cs="Arial"/>
        </w:rPr>
        <w:t>the</w:t>
      </w:r>
      <w:r w:rsidR="001D06D2">
        <w:rPr>
          <w:rFonts w:ascii="Calibri" w:hAnsi="Calibri" w:cs="Arial"/>
        </w:rPr>
        <w:t xml:space="preserve"> upper</w:t>
      </w:r>
      <w:r w:rsidR="00AF5019" w:rsidRPr="005D6140">
        <w:rPr>
          <w:rFonts w:ascii="Calibri" w:hAnsi="Calibri" w:cs="Arial"/>
        </w:rPr>
        <w:t xml:space="preserve"> airways </w:t>
      </w:r>
      <w:r w:rsidR="002D511D">
        <w:rPr>
          <w:rFonts w:ascii="Calibri" w:hAnsi="Calibri" w:cs="Arial"/>
        </w:rPr>
        <w:t>through</w:t>
      </w:r>
      <w:r w:rsidR="00AF5019" w:rsidRPr="005D6140">
        <w:rPr>
          <w:rFonts w:ascii="Calibri" w:hAnsi="Calibri" w:cs="Arial"/>
        </w:rPr>
        <w:t xml:space="preserve"> inhalation</w:t>
      </w:r>
      <w:r w:rsidR="008962B8">
        <w:rPr>
          <w:rFonts w:ascii="Calibri" w:hAnsi="Calibri" w:cs="Arial"/>
        </w:rPr>
        <w:t>.</w:t>
      </w:r>
      <w:r w:rsidR="00633BB3" w:rsidRPr="005D6140">
        <w:rPr>
          <w:rFonts w:ascii="Calibri" w:hAnsi="Calibri" w:cs="Arial"/>
        </w:rPr>
        <w:t xml:space="preserve"> </w:t>
      </w:r>
      <w:r w:rsidR="008962B8">
        <w:rPr>
          <w:rFonts w:ascii="Calibri" w:hAnsi="Calibri" w:cs="Arial"/>
        </w:rPr>
        <w:t>The</w:t>
      </w:r>
      <w:r w:rsidR="00633BB3" w:rsidRPr="005D6140">
        <w:rPr>
          <w:rFonts w:ascii="Calibri" w:hAnsi="Calibri" w:cs="Arial"/>
        </w:rPr>
        <w:t xml:space="preserve"> underlying epithelium contributes to immune surveillance through both immune dampening and pathogen associated molecular pattern recognition systems </w:t>
      </w:r>
      <w:r w:rsidR="00633BB3" w:rsidRPr="005D6140">
        <w:rPr>
          <w:rFonts w:ascii="Calibri" w:hAnsi="Calibri" w:cs="Arial"/>
        </w:rPr>
        <w:fldChar w:fldCharType="begin" w:fldLock="1"/>
      </w:r>
      <w:r w:rsidR="00633BB3" w:rsidRPr="005D6140">
        <w:rPr>
          <w:rFonts w:ascii="Calibri" w:hAnsi="Calibri" w:cs="Arial"/>
        </w:rPr>
        <w:instrText>ADDIN CSL_CITATION { "citationItems" : [ { "id" : "ITEM-1", "itemData" : { "DOI" : "10.1513/AnnalsATS.201407-304AW", "ISSN" : "2325-6621", "PMID" : "25525727", "abstract" : "The bronchial epithelium is constantly exposed to a wide range of environmental materials present in inhaled air, including noxious gases and anthropogenic and natural particulates, such as gas and particles from car emissions, tobacco smoke, pollens, animal dander, and pathogens. As a fully differentiated, pseudostratified mucociliary epithelium, the bronchial epithelium protects the internal milieu of the lung from these agents by forming a physical barrier involving adhesive complexes and a chemical barrier involving secretion of mucus, which traps inhaled particles that can be cleared by the mucociliary escalator. It is a testament to the effectiveness of these two barriers that most environmental challenges are largely overcome without the need to develop an inflammatory response. However, as the initial cell of contact with the environment, the bronchial epithelium also plays a pivotal role in immune surveillance and appropriate activation of immune effector cells and antigen presenting cells in the presence of pathogens or other danger signals. Thus, the bronchial epithelium plays a central role in controlling tissue homeostasis and innate immunity. This review will discuss these barrier properties and how dysregulation of these homeostatic mechanisms can contribute to disease pathologies such as asthma.", "author" : [ { "dropping-particle" : "", "family" : "Davies", "given" : "Donna E", "non-dropping-particle" : "", "parse-names" : false, "suffix" : "" } ], "container-title" : "Annals of the American Thoracic Society", "id" : "ITEM-1", "issued" : { "date-parts" : [ [ "2014", "12", "19" ] ] }, "language" : "EN", "page" : "S244-51", "publisher" : "American Thoracic Society", "title" : "Epithelial barrier function and immunity in asthma.", "type" : "article-journal", "volume" : "11 Suppl 5" }, "uris" : [ "http://www.mendeley.com/documents/?uuid=8de5089c-49a3-49cb-91dc-f42f7bb50b6f" ] } ], "mendeley" : { "formattedCitation" : "(Davies, 2014)", "plainTextFormattedCitation" : "(Davies, 2014)", "previouslyFormattedCitation" : "(Davies, 2014)" }, "properties" : { "noteIndex" : 0 }, "schema" : "https://github.com/citation-style-language/schema/raw/master/csl-citation.json" }</w:instrText>
      </w:r>
      <w:r w:rsidR="00633BB3" w:rsidRPr="005D6140">
        <w:rPr>
          <w:rFonts w:ascii="Calibri" w:hAnsi="Calibri" w:cs="Arial"/>
        </w:rPr>
        <w:fldChar w:fldCharType="separate"/>
      </w:r>
      <w:r w:rsidR="00633BB3" w:rsidRPr="005D6140">
        <w:rPr>
          <w:rFonts w:ascii="Calibri" w:hAnsi="Calibri" w:cs="Arial"/>
          <w:noProof/>
        </w:rPr>
        <w:t>(Davies, 2014)</w:t>
      </w:r>
      <w:r w:rsidR="00633BB3" w:rsidRPr="005D6140">
        <w:rPr>
          <w:rFonts w:ascii="Calibri" w:hAnsi="Calibri" w:cs="Arial"/>
        </w:rPr>
        <w:fldChar w:fldCharType="end"/>
      </w:r>
      <w:r w:rsidR="0023669C" w:rsidRPr="005D6140">
        <w:rPr>
          <w:rFonts w:ascii="Calibri" w:hAnsi="Calibri" w:cs="Arial"/>
        </w:rPr>
        <w:t>.</w:t>
      </w:r>
      <w:r w:rsidR="003B4B50" w:rsidRPr="005D6140">
        <w:rPr>
          <w:rFonts w:ascii="Calibri" w:hAnsi="Calibri" w:cs="Arial"/>
        </w:rPr>
        <w:t xml:space="preserve"> </w:t>
      </w:r>
      <w:r w:rsidR="00B30788">
        <w:rPr>
          <w:rFonts w:ascii="Calibri" w:hAnsi="Calibri" w:cs="Arial"/>
        </w:rPr>
        <w:t>Removal</w:t>
      </w:r>
      <w:r w:rsidR="00B30788" w:rsidRPr="005D6140">
        <w:rPr>
          <w:rFonts w:ascii="Calibri" w:hAnsi="Calibri" w:cs="Arial"/>
        </w:rPr>
        <w:t xml:space="preserve"> </w:t>
      </w:r>
      <w:r w:rsidR="003B4B50" w:rsidRPr="005D6140">
        <w:rPr>
          <w:rFonts w:ascii="Calibri" w:hAnsi="Calibri" w:cs="Arial"/>
        </w:rPr>
        <w:t xml:space="preserve">of </w:t>
      </w:r>
      <w:r w:rsidR="00A77412">
        <w:rPr>
          <w:rFonts w:ascii="Calibri" w:hAnsi="Calibri" w:cs="Arial"/>
        </w:rPr>
        <w:t>particulates</w:t>
      </w:r>
      <w:r w:rsidR="00BC77BD">
        <w:rPr>
          <w:rFonts w:ascii="Calibri" w:hAnsi="Calibri" w:cs="Arial"/>
        </w:rPr>
        <w:t xml:space="preserve"> </w:t>
      </w:r>
      <w:r w:rsidR="003B4B50" w:rsidRPr="005D6140">
        <w:rPr>
          <w:rFonts w:ascii="Calibri" w:hAnsi="Calibri" w:cs="Arial"/>
        </w:rPr>
        <w:t xml:space="preserve">is mediated </w:t>
      </w:r>
      <w:r w:rsidR="008962B8">
        <w:rPr>
          <w:rFonts w:ascii="Calibri" w:hAnsi="Calibri" w:cs="Arial"/>
        </w:rPr>
        <w:t xml:space="preserve">by </w:t>
      </w:r>
      <w:r>
        <w:rPr>
          <w:rFonts w:ascii="Calibri" w:hAnsi="Calibri" w:cs="Arial"/>
        </w:rPr>
        <w:t>mucocilliary clearance</w:t>
      </w:r>
      <w:r w:rsidR="003B4B50" w:rsidRPr="005D6140">
        <w:rPr>
          <w:rFonts w:ascii="Calibri" w:hAnsi="Calibri" w:cs="Arial"/>
        </w:rPr>
        <w:t xml:space="preserve"> and </w:t>
      </w:r>
      <w:r w:rsidR="00BC77BD">
        <w:rPr>
          <w:rFonts w:ascii="Calibri" w:hAnsi="Calibri" w:cs="Arial"/>
        </w:rPr>
        <w:t xml:space="preserve">episodic </w:t>
      </w:r>
      <w:r w:rsidR="00BC77BD" w:rsidRPr="005D6140">
        <w:rPr>
          <w:rFonts w:ascii="Calibri" w:hAnsi="Calibri" w:cs="Arial"/>
        </w:rPr>
        <w:t>bronchial</w:t>
      </w:r>
      <w:r w:rsidR="00CB0B75">
        <w:rPr>
          <w:rFonts w:ascii="Calibri" w:hAnsi="Calibri" w:cs="Arial"/>
        </w:rPr>
        <w:t xml:space="preserve"> airway</w:t>
      </w:r>
      <w:r w:rsidR="00BC77BD" w:rsidRPr="005D6140">
        <w:rPr>
          <w:rFonts w:ascii="Calibri" w:hAnsi="Calibri" w:cs="Arial"/>
        </w:rPr>
        <w:t xml:space="preserve"> smooth muscle contraction</w:t>
      </w:r>
      <w:r w:rsidR="00BC77BD">
        <w:rPr>
          <w:rFonts w:ascii="Calibri" w:hAnsi="Calibri" w:cs="Arial"/>
        </w:rPr>
        <w:t>, i.e.</w:t>
      </w:r>
      <w:r w:rsidR="00BC77BD" w:rsidRPr="005D6140">
        <w:rPr>
          <w:rFonts w:ascii="Calibri" w:hAnsi="Calibri" w:cs="Arial"/>
        </w:rPr>
        <w:t xml:space="preserve"> </w:t>
      </w:r>
      <w:r w:rsidR="008962B8">
        <w:rPr>
          <w:rFonts w:ascii="Calibri" w:hAnsi="Calibri" w:cs="Arial"/>
        </w:rPr>
        <w:t>cough</w:t>
      </w:r>
      <w:r>
        <w:rPr>
          <w:rFonts w:ascii="Calibri" w:hAnsi="Calibri" w:cs="Arial"/>
        </w:rPr>
        <w:t>.</w:t>
      </w:r>
      <w:r w:rsidR="00A77412">
        <w:rPr>
          <w:rFonts w:ascii="Calibri" w:hAnsi="Calibri" w:cs="Arial"/>
        </w:rPr>
        <w:t xml:space="preserve"> </w:t>
      </w:r>
      <w:r>
        <w:rPr>
          <w:rFonts w:ascii="Calibri" w:hAnsi="Calibri" w:cs="Arial"/>
        </w:rPr>
        <w:t>M</w:t>
      </w:r>
      <w:r w:rsidR="00A77412">
        <w:rPr>
          <w:rFonts w:ascii="Calibri" w:hAnsi="Calibri" w:cs="Arial"/>
        </w:rPr>
        <w:t>aterials</w:t>
      </w:r>
      <w:r>
        <w:rPr>
          <w:rFonts w:ascii="Calibri" w:hAnsi="Calibri" w:cs="Arial"/>
        </w:rPr>
        <w:t xml:space="preserve"> are propelled </w:t>
      </w:r>
      <w:r w:rsidR="003B4B50" w:rsidRPr="005D6140">
        <w:rPr>
          <w:rFonts w:ascii="Calibri" w:hAnsi="Calibri" w:cs="Arial"/>
        </w:rPr>
        <w:t xml:space="preserve">into the trachea and </w:t>
      </w:r>
      <w:r w:rsidR="00A77412">
        <w:rPr>
          <w:rFonts w:ascii="Calibri" w:hAnsi="Calibri" w:cs="Arial"/>
        </w:rPr>
        <w:t>then to the</w:t>
      </w:r>
      <w:r w:rsidR="003B4B50" w:rsidRPr="005D6140">
        <w:rPr>
          <w:rFonts w:ascii="Calibri" w:hAnsi="Calibri" w:cs="Arial"/>
        </w:rPr>
        <w:t xml:space="preserve"> gastrointestinal tract </w:t>
      </w:r>
      <w:r w:rsidR="00A77412">
        <w:rPr>
          <w:rFonts w:ascii="Calibri" w:hAnsi="Calibri" w:cs="Arial"/>
        </w:rPr>
        <w:t xml:space="preserve">for </w:t>
      </w:r>
      <w:r w:rsidR="008962B8">
        <w:rPr>
          <w:rFonts w:ascii="Calibri" w:hAnsi="Calibri" w:cs="Arial"/>
        </w:rPr>
        <w:t>d</w:t>
      </w:r>
      <w:r w:rsidR="00A77412">
        <w:rPr>
          <w:rFonts w:ascii="Calibri" w:hAnsi="Calibri" w:cs="Arial"/>
        </w:rPr>
        <w:t>igestion</w:t>
      </w:r>
      <w:r w:rsidR="003B4B50" w:rsidRPr="005D6140">
        <w:rPr>
          <w:rFonts w:ascii="Calibri" w:hAnsi="Calibri" w:cs="Arial"/>
        </w:rPr>
        <w:t xml:space="preserve">. </w:t>
      </w:r>
      <w:r w:rsidR="00A77412">
        <w:rPr>
          <w:rFonts w:ascii="Calibri" w:hAnsi="Calibri" w:cs="Arial"/>
        </w:rPr>
        <w:t>This</w:t>
      </w:r>
      <w:r w:rsidR="00BC77BD">
        <w:rPr>
          <w:rFonts w:ascii="Calibri" w:hAnsi="Calibri" w:cs="Arial"/>
        </w:rPr>
        <w:t xml:space="preserve"> mechanobiolog</w:t>
      </w:r>
      <w:r w:rsidR="00A77412">
        <w:rPr>
          <w:rFonts w:ascii="Calibri" w:hAnsi="Calibri" w:cs="Arial"/>
        </w:rPr>
        <w:t xml:space="preserve">ical phenomenon relies on </w:t>
      </w:r>
      <w:r w:rsidR="003B4B50" w:rsidRPr="005D6140">
        <w:rPr>
          <w:rFonts w:ascii="Calibri" w:hAnsi="Calibri" w:cs="Arial"/>
        </w:rPr>
        <w:t>t</w:t>
      </w:r>
      <w:r w:rsidR="00BC77BD">
        <w:rPr>
          <w:rFonts w:ascii="Calibri" w:hAnsi="Calibri" w:cs="Arial"/>
        </w:rPr>
        <w:t>he microrheology of mucous</w:t>
      </w:r>
      <w:r w:rsidR="00A77412">
        <w:rPr>
          <w:rFonts w:ascii="Calibri" w:hAnsi="Calibri" w:cs="Arial"/>
        </w:rPr>
        <w:t>, which is more elastic</w:t>
      </w:r>
      <w:r w:rsidR="0061378A">
        <w:rPr>
          <w:rFonts w:ascii="Calibri" w:hAnsi="Calibri" w:cs="Arial"/>
        </w:rPr>
        <w:t xml:space="preserve"> in the</w:t>
      </w:r>
      <w:r w:rsidR="0023669C" w:rsidRPr="005D6140">
        <w:rPr>
          <w:rFonts w:ascii="Calibri" w:hAnsi="Calibri" w:cs="Arial"/>
        </w:rPr>
        <w:t xml:space="preserve"> </w:t>
      </w:r>
      <w:r w:rsidR="007A4073" w:rsidRPr="005D6140">
        <w:rPr>
          <w:rFonts w:ascii="Calibri" w:hAnsi="Calibri" w:cs="Arial"/>
        </w:rPr>
        <w:t xml:space="preserve">nasopharynx and </w:t>
      </w:r>
      <w:r w:rsidR="0023669C" w:rsidRPr="005D6140">
        <w:rPr>
          <w:rFonts w:ascii="Calibri" w:hAnsi="Calibri" w:cs="Arial"/>
        </w:rPr>
        <w:t>distal airways</w:t>
      </w:r>
      <w:r w:rsidR="0061378A">
        <w:rPr>
          <w:rFonts w:ascii="Calibri" w:hAnsi="Calibri" w:cs="Arial"/>
        </w:rPr>
        <w:t xml:space="preserve"> but </w:t>
      </w:r>
      <w:r w:rsidR="00A77412">
        <w:rPr>
          <w:rFonts w:ascii="Calibri" w:hAnsi="Calibri" w:cs="Arial"/>
        </w:rPr>
        <w:t>less so</w:t>
      </w:r>
      <w:r w:rsidR="0061378A">
        <w:rPr>
          <w:rFonts w:ascii="Calibri" w:hAnsi="Calibri" w:cs="Arial"/>
        </w:rPr>
        <w:t xml:space="preserve"> in the intervening </w:t>
      </w:r>
      <w:r w:rsidR="00B30788">
        <w:rPr>
          <w:rFonts w:ascii="Calibri" w:hAnsi="Calibri" w:cs="Arial"/>
        </w:rPr>
        <w:t>bronchi</w:t>
      </w:r>
      <w:r w:rsidR="007A4073" w:rsidRPr="005D6140">
        <w:rPr>
          <w:rFonts w:ascii="Calibri" w:hAnsi="Calibri" w:cs="Arial"/>
        </w:rPr>
        <w:t>,</w:t>
      </w:r>
      <w:r w:rsidR="0023669C" w:rsidRPr="005D6140">
        <w:rPr>
          <w:rFonts w:ascii="Calibri" w:hAnsi="Calibri" w:cs="Arial"/>
        </w:rPr>
        <w:t xml:space="preserve"> and </w:t>
      </w:r>
      <w:r w:rsidR="0061378A">
        <w:rPr>
          <w:rFonts w:ascii="Calibri" w:hAnsi="Calibri" w:cs="Arial"/>
        </w:rPr>
        <w:t xml:space="preserve">is </w:t>
      </w:r>
      <w:r w:rsidR="007A4073" w:rsidRPr="005D6140">
        <w:rPr>
          <w:rFonts w:ascii="Calibri" w:hAnsi="Calibri" w:cs="Arial"/>
        </w:rPr>
        <w:t>altered</w:t>
      </w:r>
      <w:r w:rsidR="0023669C" w:rsidRPr="005D6140">
        <w:rPr>
          <w:rFonts w:ascii="Calibri" w:hAnsi="Calibri" w:cs="Arial"/>
        </w:rPr>
        <w:t xml:space="preserve"> by disease </w:t>
      </w:r>
      <w:r w:rsidR="007A4073" w:rsidRPr="005D6140">
        <w:rPr>
          <w:rFonts w:ascii="Calibri" w:hAnsi="Calibri" w:cs="Arial"/>
        </w:rPr>
        <w:t xml:space="preserve">(e.g. increased viscoelasticity </w:t>
      </w:r>
      <w:r w:rsidR="007A4073" w:rsidRPr="005D6140">
        <w:rPr>
          <w:rFonts w:ascii="Calibri" w:hAnsi="Calibri" w:cs="Arial"/>
        </w:rPr>
        <w:lastRenderedPageBreak/>
        <w:t>due to reduced hydration)</w:t>
      </w:r>
      <w:r w:rsidR="00633BB3" w:rsidRPr="005D6140">
        <w:rPr>
          <w:rFonts w:ascii="Calibri" w:hAnsi="Calibri" w:cs="Arial"/>
        </w:rPr>
        <w:t xml:space="preserve"> </w:t>
      </w:r>
      <w:r w:rsidR="00633BB3" w:rsidRPr="005D6140">
        <w:rPr>
          <w:rFonts w:ascii="Calibri" w:hAnsi="Calibri" w:cs="Arial"/>
        </w:rPr>
        <w:fldChar w:fldCharType="begin" w:fldLock="1"/>
      </w:r>
      <w:r w:rsidR="005D6140" w:rsidRPr="005D6140">
        <w:rPr>
          <w:rFonts w:ascii="Calibri" w:hAnsi="Calibri" w:cs="Arial"/>
        </w:rPr>
        <w:instrText>ADDIN CSL_CITATION { "citationItems" : [ { "id" : "ITEM-1", "itemData" : { "DOI" : "10.1186/2213-0802-2-6", "ISSN" : "2213-0802", "PMID" : "25505698", "abstract" : "Chronic airway diseases like cystic fibrosis, chronic bronchitis, asthma, diffuse panbronchiolitis, and bronchiectasis are all associated with chronic inflammation. The airway mucosa responds to infection and inflammation in part by surface mucous (goblet) cell and submucosal gland hyperplasia and hypertrophy with mucus hypersecretion. Products of inflammation including neutrophil derived DNA and filamentous actin, effete cells, bacteria, and cell debris all contribute to mucus purulence and, when this is expectorated it is called sputum. Mucus is usually cleared by ciliary movement, and sputum is cleared by cough. These airway diseases each are associated with the production of mucus and sputum with characteristic composition, polymer structure, and biophysical properties. These properties change with the progress of the disease making it possible to use sputum analysis to identify the potential cause and severity of airway diseases. This information has also been important for the development of effective mucoactive therapy to promote airway hygiene.", "author" : [ { "dropping-particle" : "", "family" : "Rubin", "given" : "Bruce K", "non-dropping-particle" : "", "parse-names" : false, "suffix" : "" } ], "container-title" : "Translational Respiratory Medicine", "id" : "ITEM-1", "issue" : "1", "issued" : { "date-parts" : [ [ "2014", "1" ] ] }, "page" : "6", "title" : "Secretion properties, clearance, and therapy in airway disease", "type" : "article-journal", "volume" : "2" }, "uris" : [ "http://www.mendeley.com/documents/?uuid=59c5b6bf-f4f6-4e66-9d59-3d894f568585" ] } ], "mendeley" : { "formattedCitation" : "(Rubin, 2014)", "plainTextFormattedCitation" : "(Rubin, 2014)", "previouslyFormattedCitation" : "(Rubin, 2014)" }, "properties" : { "noteIndex" : 0 }, "schema" : "https://github.com/citation-style-language/schema/raw/master/csl-citation.json" }</w:instrText>
      </w:r>
      <w:r w:rsidR="00633BB3" w:rsidRPr="005D6140">
        <w:rPr>
          <w:rFonts w:ascii="Calibri" w:hAnsi="Calibri" w:cs="Arial"/>
        </w:rPr>
        <w:fldChar w:fldCharType="separate"/>
      </w:r>
      <w:r w:rsidR="00633BB3" w:rsidRPr="005D6140">
        <w:rPr>
          <w:rFonts w:ascii="Calibri" w:hAnsi="Calibri" w:cs="Arial"/>
          <w:noProof/>
        </w:rPr>
        <w:t>(Rubin, 2014)</w:t>
      </w:r>
      <w:r w:rsidR="00633BB3" w:rsidRPr="005D6140">
        <w:rPr>
          <w:rFonts w:ascii="Calibri" w:hAnsi="Calibri" w:cs="Arial"/>
        </w:rPr>
        <w:fldChar w:fldCharType="end"/>
      </w:r>
      <w:r w:rsidR="003B4B50" w:rsidRPr="005D6140">
        <w:rPr>
          <w:rFonts w:ascii="Calibri" w:hAnsi="Calibri" w:cs="Arial"/>
        </w:rPr>
        <w:t>. These changes</w:t>
      </w:r>
      <w:r w:rsidR="007A4073" w:rsidRPr="005D6140">
        <w:rPr>
          <w:rFonts w:ascii="Calibri" w:hAnsi="Calibri" w:cs="Arial"/>
        </w:rPr>
        <w:t xml:space="preserve"> </w:t>
      </w:r>
      <w:r w:rsidR="0023669C" w:rsidRPr="005D6140">
        <w:rPr>
          <w:rFonts w:ascii="Calibri" w:hAnsi="Calibri" w:cs="Arial"/>
        </w:rPr>
        <w:t xml:space="preserve">can alter significantly </w:t>
      </w:r>
      <w:r w:rsidR="003B4B50" w:rsidRPr="005D6140">
        <w:rPr>
          <w:rFonts w:ascii="Calibri" w:hAnsi="Calibri" w:cs="Arial"/>
        </w:rPr>
        <w:t xml:space="preserve">mucociliary clearance rates, </w:t>
      </w:r>
      <w:r w:rsidR="007A4073" w:rsidRPr="005D6140">
        <w:rPr>
          <w:rFonts w:ascii="Calibri" w:hAnsi="Calibri" w:cs="Arial"/>
        </w:rPr>
        <w:t xml:space="preserve">bacterial cell </w:t>
      </w:r>
      <w:r w:rsidR="00D45480" w:rsidRPr="005D6140">
        <w:rPr>
          <w:rFonts w:ascii="Calibri" w:hAnsi="Calibri" w:cs="Arial"/>
        </w:rPr>
        <w:t>interaction</w:t>
      </w:r>
      <w:r w:rsidR="003B4B50" w:rsidRPr="005D6140">
        <w:rPr>
          <w:rFonts w:ascii="Calibri" w:hAnsi="Calibri" w:cs="Arial"/>
        </w:rPr>
        <w:t>s</w:t>
      </w:r>
      <w:r w:rsidR="0061378A">
        <w:rPr>
          <w:rFonts w:ascii="Calibri" w:hAnsi="Calibri" w:cs="Arial"/>
        </w:rPr>
        <w:t xml:space="preserve"> with the host</w:t>
      </w:r>
      <w:r w:rsidR="00D45480" w:rsidRPr="005D6140">
        <w:rPr>
          <w:rFonts w:ascii="Calibri" w:hAnsi="Calibri" w:cs="Arial"/>
        </w:rPr>
        <w:t xml:space="preserve">, </w:t>
      </w:r>
      <w:r w:rsidR="0023669C" w:rsidRPr="005D6140">
        <w:rPr>
          <w:rFonts w:ascii="Calibri" w:hAnsi="Calibri" w:cs="Arial"/>
        </w:rPr>
        <w:t xml:space="preserve">particle </w:t>
      </w:r>
      <w:r w:rsidR="007A4073" w:rsidRPr="005D6140">
        <w:rPr>
          <w:rFonts w:ascii="Calibri" w:hAnsi="Calibri" w:cs="Arial"/>
        </w:rPr>
        <w:t xml:space="preserve">motion </w:t>
      </w:r>
      <w:r w:rsidR="003B4B50" w:rsidRPr="005D6140">
        <w:rPr>
          <w:rFonts w:ascii="Calibri" w:hAnsi="Calibri" w:cs="Arial"/>
        </w:rPr>
        <w:t xml:space="preserve">within the mucous matrix </w:t>
      </w:r>
      <w:r w:rsidR="0023669C" w:rsidRPr="005D6140">
        <w:rPr>
          <w:rFonts w:ascii="Calibri" w:hAnsi="Calibri" w:cs="Arial"/>
        </w:rPr>
        <w:t>and</w:t>
      </w:r>
      <w:r w:rsidR="003B4B50" w:rsidRPr="005D6140">
        <w:rPr>
          <w:rFonts w:ascii="Calibri" w:hAnsi="Calibri" w:cs="Arial"/>
        </w:rPr>
        <w:t>, consequently,</w:t>
      </w:r>
      <w:r w:rsidR="0023669C" w:rsidRPr="005D6140">
        <w:rPr>
          <w:rFonts w:ascii="Calibri" w:hAnsi="Calibri" w:cs="Arial"/>
        </w:rPr>
        <w:t xml:space="preserve"> drug delivery mechanics </w:t>
      </w:r>
      <w:r w:rsidR="0023669C" w:rsidRPr="005D6140">
        <w:rPr>
          <w:rFonts w:ascii="Calibri" w:hAnsi="Calibri" w:cs="Arial"/>
        </w:rPr>
        <w:fldChar w:fldCharType="begin" w:fldLock="1"/>
      </w:r>
      <w:r w:rsidR="00322071">
        <w:rPr>
          <w:rFonts w:ascii="Calibri" w:hAnsi="Calibri" w:cs="Arial"/>
        </w:rPr>
        <w:instrText>ADDIN CSL_CITATION { "citationItems" : [ { "id" : "ITEM-1", "itemData" : { "DOI" : "10.1016/j.addr.2008.09.012", "ISSN" : "1872-8294", "PMID" : "19166889", "abstract" : "Mucus is a complex biological material that lubricates and protects the human lungs, gastrointestinal (GI) tract, vagina, eyes, and other moist mucosal surfaces. Mucus serves as a physical barrier against foreign particles, including toxins, pathogens, and environmental ultrafine particles, while allowing rapid passage of selected gases, ions, nutrients, and many proteins. Its selective barrier properties are precisely regulated at the biochemical level across vastly different length scales. At the macroscale, mucus behaves as a non-Newtonian gel, distinguished from classical solids and liquids by its response to shear rate and shear stress, while, at the nanoscale, it behaves as a low viscosity fluid. Advances in the rheological characterization of mucus from the macroscopic to nanoscopic levels have contributed critical understanding to mucus physiology, disease pathology, and the development of drug delivery systems designed for use at mucosal surfaces. This article reviews the biochemistry that governs mucus rheology, the macro- and microrheology of human and laboratory animal mucus, rheological techniques applied to mucus, and the importance of an improved understanding of the physical properties of mucus to advancing the field of drug and gene delivery.", "author" : [ { "dropping-particle" : "", "family" : "Lai", "given" : "Samuel K", "non-dropping-particle" : "", "parse-names" : false, "suffix" : "" }, { "dropping-particle" : "", "family" : "Wang", "given" : "Ying-Ying", "non-dropping-particle" : "", "parse-names" : false, "suffix" : "" }, { "dropping-particle" : "", "family" : "Wirtz", "given" : "Denis", "non-dropping-particle" : "", "parse-names" : false, "suffix" : "" }, { "dropping-particle" : "", "family" : "Hanes", "given" : "Justin", "non-dropping-particle" : "", "parse-names" : false, "suffix" : "" } ], "container-title" : "Advanced drug delivery reviews", "id" : "ITEM-1", "issue" : "2", "issued" : { "date-parts" : [ [ "2009", "2", "27" ] ] }, "page" : "86-100", "title" : "Micro- and macrorheology of mucus.", "type" : "article-journal", "volume" : "61" }, "uris" : [ "http://www.mendeley.com/documents/?uuid=2938d429-bb78-4294-806d-83e13629cccf" ] } ], "mendeley" : { "formattedCitation" : "(S. K. Lai et al., 2009)", "plainTextFormattedCitation" : "(S. K. Lai et al., 2009)", "previouslyFormattedCitation" : "(S. K. Lai et al., 2009)" }, "properties" : { "noteIndex" : 0 }, "schema" : "https://github.com/citation-style-language/schema/raw/master/csl-citation.json" }</w:instrText>
      </w:r>
      <w:r w:rsidR="0023669C" w:rsidRPr="005D6140">
        <w:rPr>
          <w:rFonts w:ascii="Calibri" w:hAnsi="Calibri" w:cs="Arial"/>
        </w:rPr>
        <w:fldChar w:fldCharType="separate"/>
      </w:r>
      <w:r w:rsidR="00230205" w:rsidRPr="00230205">
        <w:rPr>
          <w:rFonts w:ascii="Calibri" w:hAnsi="Calibri" w:cs="Arial"/>
          <w:noProof/>
        </w:rPr>
        <w:t>(S. K. Lai et al., 2009)</w:t>
      </w:r>
      <w:r w:rsidR="0023669C" w:rsidRPr="005D6140">
        <w:rPr>
          <w:rFonts w:ascii="Calibri" w:hAnsi="Calibri" w:cs="Arial"/>
        </w:rPr>
        <w:fldChar w:fldCharType="end"/>
      </w:r>
      <w:r w:rsidR="00AF5019" w:rsidRPr="005D6140">
        <w:rPr>
          <w:rFonts w:ascii="Calibri" w:hAnsi="Calibri" w:cs="Arial"/>
        </w:rPr>
        <w:t xml:space="preserve">. </w:t>
      </w:r>
    </w:p>
    <w:p w14:paraId="69A3434D" w14:textId="77777777" w:rsidR="00162071" w:rsidRPr="00162071" w:rsidRDefault="00162071" w:rsidP="005837A4">
      <w:pPr>
        <w:spacing w:line="480" w:lineRule="auto"/>
      </w:pPr>
    </w:p>
    <w:p w14:paraId="436CDE88" w14:textId="18F6F525" w:rsidR="00BC77BD" w:rsidRDefault="004E328A" w:rsidP="005837A4">
      <w:pPr>
        <w:spacing w:line="480" w:lineRule="auto"/>
        <w:jc w:val="both"/>
        <w:rPr>
          <w:rFonts w:ascii="Calibri" w:hAnsi="Calibri" w:cs="Arial"/>
        </w:rPr>
      </w:pPr>
      <w:r>
        <w:rPr>
          <w:rFonts w:ascii="Calibri" w:hAnsi="Calibri" w:cs="Arial"/>
        </w:rPr>
        <w:t>Respiratory disease i</w:t>
      </w:r>
      <w:r w:rsidR="00B30788">
        <w:rPr>
          <w:rFonts w:ascii="Calibri" w:hAnsi="Calibri" w:cs="Arial"/>
        </w:rPr>
        <w:t>s</w:t>
      </w:r>
      <w:r>
        <w:rPr>
          <w:rFonts w:ascii="Calibri" w:hAnsi="Calibri" w:cs="Arial"/>
        </w:rPr>
        <w:t xml:space="preserve"> associated with multiple changes in the airways and lungs that can impact upon the delivery and action of oligonucleotide therapeutics. </w:t>
      </w:r>
      <w:r w:rsidR="00956089">
        <w:rPr>
          <w:rFonts w:ascii="Calibri" w:hAnsi="Calibri" w:cs="Arial"/>
        </w:rPr>
        <w:t>In</w:t>
      </w:r>
      <w:r w:rsidR="00F37918">
        <w:rPr>
          <w:rFonts w:ascii="Calibri" w:hAnsi="Calibri" w:cs="Arial"/>
        </w:rPr>
        <w:t xml:space="preserve"> fibrotic disease</w:t>
      </w:r>
      <w:r w:rsidR="00956089">
        <w:rPr>
          <w:rFonts w:ascii="Calibri" w:hAnsi="Calibri" w:cs="Arial"/>
        </w:rPr>
        <w:t xml:space="preserve"> </w:t>
      </w:r>
      <w:r w:rsidR="00F37918">
        <w:rPr>
          <w:rFonts w:ascii="Calibri" w:hAnsi="Calibri" w:cs="Arial"/>
        </w:rPr>
        <w:t xml:space="preserve">thickening of the alveoli </w:t>
      </w:r>
      <w:r w:rsidR="00A77412">
        <w:rPr>
          <w:rFonts w:ascii="Calibri" w:hAnsi="Calibri" w:cs="Arial"/>
        </w:rPr>
        <w:t>reduces the gas</w:t>
      </w:r>
      <w:r w:rsidR="0086453F">
        <w:rPr>
          <w:rFonts w:ascii="Calibri" w:hAnsi="Calibri" w:cs="Arial"/>
        </w:rPr>
        <w:t xml:space="preserve"> </w:t>
      </w:r>
      <w:r w:rsidR="00F37918">
        <w:rPr>
          <w:rFonts w:ascii="Calibri" w:hAnsi="Calibri" w:cs="Arial"/>
        </w:rPr>
        <w:t>diffusion bar</w:t>
      </w:r>
      <w:r w:rsidR="0086453F">
        <w:rPr>
          <w:rFonts w:ascii="Calibri" w:hAnsi="Calibri" w:cs="Arial"/>
        </w:rPr>
        <w:t>rier</w:t>
      </w:r>
      <w:r w:rsidR="000834B2">
        <w:rPr>
          <w:rFonts w:ascii="Calibri" w:hAnsi="Calibri" w:cs="Arial"/>
        </w:rPr>
        <w:t>, in many cases preceded or accompanied by surfactant dysfunction</w:t>
      </w:r>
      <w:r w:rsidR="0086453F">
        <w:rPr>
          <w:rFonts w:ascii="Calibri" w:hAnsi="Calibri" w:cs="Arial"/>
        </w:rPr>
        <w:t xml:space="preserve">. </w:t>
      </w:r>
      <w:r w:rsidR="00012E98">
        <w:rPr>
          <w:rFonts w:ascii="Calibri" w:hAnsi="Calibri" w:cs="Arial"/>
        </w:rPr>
        <w:t xml:space="preserve"> </w:t>
      </w:r>
      <w:r w:rsidR="00956089">
        <w:rPr>
          <w:rFonts w:ascii="Calibri" w:hAnsi="Calibri" w:cs="Arial"/>
        </w:rPr>
        <w:t xml:space="preserve">In </w:t>
      </w:r>
      <w:r w:rsidR="00162071">
        <w:rPr>
          <w:rFonts w:ascii="Calibri" w:hAnsi="Calibri" w:cs="Arial"/>
        </w:rPr>
        <w:t>chronic obstructive pulmonary di</w:t>
      </w:r>
      <w:r>
        <w:rPr>
          <w:rFonts w:ascii="Calibri" w:hAnsi="Calibri" w:cs="Arial"/>
        </w:rPr>
        <w:t>s</w:t>
      </w:r>
      <w:r w:rsidR="00162071">
        <w:rPr>
          <w:rFonts w:ascii="Calibri" w:hAnsi="Calibri" w:cs="Arial"/>
        </w:rPr>
        <w:t>ease (</w:t>
      </w:r>
      <w:r w:rsidR="00956089">
        <w:rPr>
          <w:rFonts w:ascii="Calibri" w:hAnsi="Calibri" w:cs="Arial"/>
        </w:rPr>
        <w:t>COPD</w:t>
      </w:r>
      <w:r w:rsidR="00162071">
        <w:rPr>
          <w:rFonts w:ascii="Calibri" w:hAnsi="Calibri" w:cs="Arial"/>
        </w:rPr>
        <w:t>),</w:t>
      </w:r>
      <w:r w:rsidR="0086453F">
        <w:rPr>
          <w:rFonts w:ascii="Calibri" w:hAnsi="Calibri" w:cs="Arial"/>
        </w:rPr>
        <w:t xml:space="preserve"> </w:t>
      </w:r>
      <w:r w:rsidR="0061378A">
        <w:rPr>
          <w:rFonts w:ascii="Calibri" w:hAnsi="Calibri" w:cs="Arial"/>
        </w:rPr>
        <w:t xml:space="preserve">alveolar </w:t>
      </w:r>
      <w:r w:rsidR="00A77412">
        <w:rPr>
          <w:rFonts w:ascii="Calibri" w:hAnsi="Calibri" w:cs="Arial"/>
        </w:rPr>
        <w:t>sac volume</w:t>
      </w:r>
      <w:r w:rsidR="0061378A">
        <w:rPr>
          <w:rFonts w:ascii="Calibri" w:hAnsi="Calibri" w:cs="Arial"/>
        </w:rPr>
        <w:t xml:space="preserve"> </w:t>
      </w:r>
      <w:r w:rsidR="00956089">
        <w:rPr>
          <w:rFonts w:ascii="Calibri" w:hAnsi="Calibri" w:cs="Arial"/>
        </w:rPr>
        <w:t xml:space="preserve">increases </w:t>
      </w:r>
      <w:r w:rsidR="0061378A">
        <w:rPr>
          <w:rFonts w:ascii="Calibri" w:hAnsi="Calibri" w:cs="Arial"/>
        </w:rPr>
        <w:t>on account of loss of the type II epithelia</w:t>
      </w:r>
      <w:r w:rsidR="00A77412">
        <w:rPr>
          <w:rFonts w:ascii="Calibri" w:hAnsi="Calibri" w:cs="Arial"/>
        </w:rPr>
        <w:t>,</w:t>
      </w:r>
      <w:r w:rsidR="0061378A">
        <w:rPr>
          <w:rFonts w:ascii="Calibri" w:hAnsi="Calibri" w:cs="Arial"/>
        </w:rPr>
        <w:t xml:space="preserve"> </w:t>
      </w:r>
      <w:r w:rsidR="00162071">
        <w:rPr>
          <w:rFonts w:ascii="Calibri" w:hAnsi="Calibri" w:cs="Arial"/>
        </w:rPr>
        <w:t xml:space="preserve">in </w:t>
      </w:r>
      <w:r w:rsidR="0086453F">
        <w:rPr>
          <w:rFonts w:ascii="Calibri" w:hAnsi="Calibri" w:cs="Arial"/>
        </w:rPr>
        <w:t>turn reduc</w:t>
      </w:r>
      <w:r w:rsidR="00A77412">
        <w:rPr>
          <w:rFonts w:ascii="Calibri" w:hAnsi="Calibri" w:cs="Arial"/>
        </w:rPr>
        <w:t>ing</w:t>
      </w:r>
      <w:r w:rsidR="0086453F">
        <w:rPr>
          <w:rFonts w:ascii="Calibri" w:hAnsi="Calibri" w:cs="Arial"/>
        </w:rPr>
        <w:t xml:space="preserve"> the surface area available for gas exchange</w:t>
      </w:r>
      <w:r w:rsidR="00AC4F95">
        <w:rPr>
          <w:rFonts w:ascii="Calibri" w:hAnsi="Calibri" w:cs="Arial"/>
        </w:rPr>
        <w:t xml:space="preserve"> </w:t>
      </w:r>
      <w:r w:rsidR="00AC4F95">
        <w:rPr>
          <w:rFonts w:ascii="Calibri" w:hAnsi="Calibri" w:cs="Arial"/>
        </w:rPr>
        <w:fldChar w:fldCharType="begin" w:fldLock="1"/>
      </w:r>
      <w:r w:rsidR="00AC4F95">
        <w:rPr>
          <w:rFonts w:ascii="Calibri" w:hAnsi="Calibri" w:cs="Arial"/>
        </w:rPr>
        <w:instrText>ADDIN CSL_CITATION { "citationItems" : [ { "id" : "ITEM-1", "itemData" : { "DOI" : "10.1016/j.aanat.2013.10.004", "ISSN" : "1618-0402", "PMID" : "24268708", "abstract" : "Chronic obstructive pulmonary disease (COPD) is one of the most common lung diseases. The major component of COPD, which affects the gas-exchanging parenchyma of the lung, emphysema, is characterized by destruction of alveolar septae leading to loss of functional surface, loss of alveoli and enlargement of remaining distal airspaces. These microstructural alterations can be modeled in animals and can be measured using stereological methods applied to imaging datasets. Many animal models of emphysema exist, but most of them are insufficiently characterized with respect to the underlying nature (e.g. destructive or developmental) and the degree of the structural alterations. The most popular parameter for assessment of emphysematous alterations, mean linear intercept length, has severe limitations. It can, therefore, not be recommended. Better design-based stereological alternatives exist but are less often applied, such as total volumes of parenchymal compartments (alveolar airspace, alveolar duct airspace, alveolar septum), total alveolar surface area, total alveolar number and mean alveolar size and its size variation. A prerequisite is the use of appropriate fixation, sampling, and specimen processing protocols. This article reviews the challenges of stereologic assessment of emphysematous alterations in the lung and illustrates possible strategies.", "author" : [ { "dropping-particle" : "", "family" : "Ochs", "given" : "Matthias", "non-dropping-particle" : "", "parse-names" : false, "suffix" : "" } ], "container-title" : "Annals of anatomy = Anatomischer Anzeiger : official organ of the Anatomische Gesellschaft", "id" : "ITEM-1", "issue" : "1", "issued" : { "date-parts" : [ [ "2014", "1" ] ] }, "page" : "26-33", "title" : "Estimating structural alterations in animal models of lung emphysema. Is there a gold standard?", "type" : "article-journal", "volume" : "196" }, "uris" : [ "http://www.mendeley.com/documents/?uuid=1030b6d8-85a7-4e21-884c-7a39280c6ffc" ] } ], "mendeley" : { "formattedCitation" : "(Ochs, 2014)", "plainTextFormattedCitation" : "(Ochs, 2014)", "previouslyFormattedCitation" : "(Ochs, 2014)" }, "properties" : { "noteIndex" : 0 }, "schema" : "https://github.com/citation-style-language/schema/raw/master/csl-citation.json" }</w:instrText>
      </w:r>
      <w:r w:rsidR="00AC4F95">
        <w:rPr>
          <w:rFonts w:ascii="Calibri" w:hAnsi="Calibri" w:cs="Arial"/>
        </w:rPr>
        <w:fldChar w:fldCharType="separate"/>
      </w:r>
      <w:r w:rsidR="00AC4F95" w:rsidRPr="00AC4F95">
        <w:rPr>
          <w:rFonts w:ascii="Calibri" w:hAnsi="Calibri" w:cs="Arial"/>
          <w:noProof/>
        </w:rPr>
        <w:t>(Ochs, 2014)</w:t>
      </w:r>
      <w:r w:rsidR="00AC4F95">
        <w:rPr>
          <w:rFonts w:ascii="Calibri" w:hAnsi="Calibri" w:cs="Arial"/>
        </w:rPr>
        <w:fldChar w:fldCharType="end"/>
      </w:r>
      <w:r w:rsidR="0086453F">
        <w:rPr>
          <w:rFonts w:ascii="Calibri" w:hAnsi="Calibri" w:cs="Arial"/>
        </w:rPr>
        <w:t xml:space="preserve">. Asthmatic patients </w:t>
      </w:r>
      <w:r w:rsidR="00A77412">
        <w:rPr>
          <w:rFonts w:ascii="Calibri" w:hAnsi="Calibri" w:cs="Arial"/>
        </w:rPr>
        <w:t>experience dyspnea</w:t>
      </w:r>
      <w:r w:rsidR="0086453F">
        <w:rPr>
          <w:rFonts w:ascii="Calibri" w:hAnsi="Calibri" w:cs="Arial"/>
        </w:rPr>
        <w:t xml:space="preserve"> as </w:t>
      </w:r>
      <w:r w:rsidR="00956089">
        <w:rPr>
          <w:rFonts w:ascii="Calibri" w:hAnsi="Calibri" w:cs="Arial"/>
        </w:rPr>
        <w:t xml:space="preserve">principally </w:t>
      </w:r>
      <w:r w:rsidR="002E2AC0">
        <w:rPr>
          <w:rFonts w:ascii="Calibri" w:hAnsi="Calibri" w:cs="Arial"/>
        </w:rPr>
        <w:t xml:space="preserve">airborne allergens </w:t>
      </w:r>
      <w:r w:rsidR="00956089">
        <w:rPr>
          <w:rFonts w:ascii="Calibri" w:hAnsi="Calibri" w:cs="Arial"/>
        </w:rPr>
        <w:fldChar w:fldCharType="begin" w:fldLock="1"/>
      </w:r>
      <w:r w:rsidR="00B00C9A">
        <w:rPr>
          <w:rFonts w:ascii="Calibri" w:hAnsi="Calibri" w:cs="Arial"/>
        </w:rPr>
        <w:instrText>ADDIN CSL_CITATION { "citationItems" : [ { "id" : "ITEM-1", "itemData" : { "DOI" : "10.1111/j.1398-9995.2001.00002.x-i1", "ISSN" : "01054538", "author" : [ { "dropping-particle" : "", "family" : "Johansson", "given" : "S. G. O.", "non-dropping-particle" : "", "parse-names" : false, "suffix" : "" }, { "dropping-particle" : "", "family" : "Hourihane", "given" : "J.O'B", "non-dropping-particle" : "", "parse-names" : false, "suffix" : "" }, { "dropping-particle" : "", "family" : "Bousquet", "given" : "J.", "non-dropping-particle" : "", "parse-names" : false, "suffix" : "" }, { "dropping-particle" : "", "family" : "Bruijnzeel-Koomen", "given" : "C.", "non-dropping-particle" : "", "parse-names" : false, "suffix" : "" }, { "dropping-particle" : "", "family" : "Dreborg", "given" : "S.", "non-dropping-particle" : "", "parse-names" : false, "suffix" : "" }, { "dropping-particle" : "", "family" : "Haahtela", "given" : "T.", "non-dropping-particle" : "", "parse-names" : false, "suffix" : "" }, { "dropping-particle" : "", "family" : "Kowalski", "given" : "M. L.", "non-dropping-particle" : "", "parse-names" : false, "suffix" : "" }, { "dropping-particle" : "", "family" : "Mygind", "given" : "N.", "non-dropping-particle" : "", "parse-names" : false, "suffix" : "" }, { "dropping-particle" : "", "family" : "Ring", "given" : "J.", "non-dropping-particle" : "", "parse-names" : false, "suffix" : "" }, { "dropping-particle" : "", "family" : "Cauwenberge", "given" : "P.", "non-dropping-particle" : "Van", "parse-names" : false, "suffix" : "" }, { "dropping-particle" : "", "family" : "Hage-Hamsten", "given" : "M.", "non-dropping-particle" : "Van", "parse-names" : false, "suffix" : "" }, { "dropping-particle" : "", "family" : "W\u00fcthrich", "given" : "B.", "non-dropping-particle" : "", "parse-names" : false, "suffix" : "" } ], "container-title" : "Allergy", "id" : "ITEM-1", "issue" : "9", "issued" : { "date-parts" : [ [ "2008", "7", "7" ] ] }, "page" : "813-824", "title" : "A revised nomenclature for allergy: An EAACI position statement from the EAACI nomenclature task force", "type" : "article-journal", "volume" : "56" }, "uris" : [ "http://www.mendeley.com/documents/?uuid=baa35380-9163-4eeb-acf1-713b96eb7073" ] }, { "id" : "ITEM-2", "itemData" : { "ISSN" : "0008-1264", "PMID" : "13240504", "abstract" : "A classification of asthma into allergic and nonallergic has gained support from the more recent studies on the underlying causes of the disease. The majority of instances of nonallergic asthma occur after middle life and result from recurrent infections of the upper and lower respiratory tract. Status asthmaticus is a frequent complication of infectious asthma. Chronic and intractable asthma may be present also in a patient with allergic asthma complicated by a superimposed infection of the sinuses, bronchi and lungs. There are many secondary or precipitating causes that may bring on asthmatic paroxysms. The most important of these are acute respiratory infections, mechanical and chemical irritants, autonomic imbalance, hormonal deficiencies and psychogenic influences. These secondary causes play a more important role in nonallergic asthma because of the greater tendency to chronicity in this form of the disease. The effective treatment of chronic asthma depends largely on the successful control of the secondary or precipitating causes of the asthmatic attacks. The introduction of the antibiotics and corticosteroids in the treatment of infectious asthma has supplied potent weapons to combat the disease. The use of these therapeutic agents makes possible the control of two of the important pathologic lesions of asthma-bronchial infection and bronchial inflammation. At present combined antibiotic and cortisone or hydrocortisone therapy of asthma seems to be the most rational method of preventing the disease from becoming chronic and intractable. Their value in infectious asthma is due to their anti-infective and antiflammatory action. When prolonged treatment is essential, combined therapy also lessens the dangers arising from the presence of masked infections.", "author" : [ { "dropping-particle" : "", "family" : "Hurwitz", "given" : "S H", "non-dropping-particle" : "", "parse-names" : false, "suffix" : "" } ], "container-title" : "California medicine", "id" : "ITEM-2", "issue" : "2", "issued" : { "date-parts" : [ [ "1955", "8" ] ] }, "page" : "61-7", "title" : "Nonallergic asthma; differential diagnosis and treatment.", "type" : "article-journal", "volume" : "83" }, "uris" : [ "http://www.mendeley.com/documents/?uuid=0bc4e60c-0096-4bbe-afc5-64a374ba40c4" ] }, { "id" : "ITEM-3", "itemData" : { "ISSN" : "0105-4538", "PMID" : "12100301", "abstract" : "BACKGROUND: The aim of this work was to describe clinical similarities and differences between allergic and nonallergic asthmatics, notably concerning the nasosinusal involvement.\n\nMETHODS: A total of 165 asthmatics (122 allergics and 43 nonallergics) and 193 controls (40 allergics and 153 nonallergics), recruited in the frame of EGEA study (Epidemiological study on the Genetics and Environment of Asthma, bronchial hyperresponsiveness and atopy), were included. Asthmatics were included on the basis of positive answer to four standardized items. To establish differences and similarities between allergic and nonallergic asthmatics, general characteristics (age, sex, smoking habits, history of hay fever and allergic dermatitis), history of asthma, severity and nasosinusal involvement were examined. Clinical assessment was based on the answers to a detailed questionnaire, and spirometry.\n\nRESULTS: Greater age, female sex, sinusal polyposis, and FEV1 below 80% of the predicted value increased the risk of displaying a nonallergic type of asthma, whereas history of hay fever, seasonal exacerbation of asthma, and asthma duration lowered this risk. Unexpectedly, we found no difference in terms of rhinitic symptoms between both groups, probably resulting from distinct causes.\n\nCONCLUSION: These results give new insights into the contrasts between clinical features of allergic and nonallergic asthma. The terminology of extrinsic asthma was first introduced by Rackeman in 1947 (1) and referred to the triggering role of allergens in asthma. By symmetry, he described intrinsic asthma as a disease characterized by later onset in life, female predominance, higher degree of severity, and more frequent association to nasosinusal polyposis. As these asthmatics were not improved by conventional treatment, this author considered their disease as caused by a nonallergic, unknown phenomenon. It is now widely admitted that nonallergic asthma can be objectively distinguished from allergic asthma based on negative skin tests to usual aeroallergens. On the other hand, positive skin test shows a tendency to produce IgE antibodies in response to low doses of allergens. \"Atopy\" and \"atopic\" are the terms used to describe this clinical trait and predisposition (2). Allergic clinical manifestations of atopy are of various types, for example rhinitis and asthma. Nowadays the terminology of \"extrinsic\" and \"intrinsic\" asthma should no longer be used, and should be replaced by the termin\u2026", "author" : [ { "dropping-particle" : "", "family" : "Romanet-Manent", "given" : "St\u00e9phanie", "non-dropping-particle" : "", "parse-names" : false, "suffix" : "" }, { "dropping-particle" : "", "family" : "Charpin", "given" : "D", "non-dropping-particle" : "", "parse-names" : false, "suffix" : "" }, { "dropping-particle" : "", "family" : "Magnan", "given" : "A", "non-dropping-particle" : "", "parse-names" : false, "suffix" : "" }, { "dropping-particle" : "", "family" : "Lanteaume", "given" : "A", "non-dropping-particle" : "", "parse-names" : false, "suffix" : "" }, { "dropping-particle" : "", "family" : "Vervloet", "given" : "D", "non-dropping-particle" : "", "parse-names" : false, "suffix" : "" } ], "container-title" : "Allergy", "id" : "ITEM-3", "issue" : "7", "issued" : { "date-parts" : [ [ "2002", "7" ] ] }, "page" : "607-13", "title" : "Allergic vs nonallergic asthma: what makes the difference?", "type" : "article-journal", "volume" : "57" }, "uris" : [ "http://www.mendeley.com/documents/?uuid=6c934341-c514-4779-a0a0-78053ad963e7" ] } ], "mendeley" : { "formattedCitation" : "(Hurwitz, 1955; Johansson et al., 2008; Romanet-Manent, Charpin, Magnan, Lanteaume, &amp; Vervloet, 2002)", "manualFormatting" : "(Hurwitz, 1955; Johansson et al., 2008; Romanet-Manent, Charpin, Magnan, Lanteaume, &amp; Vervloet, 2002)", "plainTextFormattedCitation" : "(Hurwitz, 1955; Johansson et al., 2008; Romanet-Manent, Charpin, Magnan, Lanteaume, &amp; Vervloet, 2002)", "previouslyFormattedCitation" : "(Hurwitz, 1955; Johansson et al., 2008; Romanet-Manent, Charpin, Magnan, Lanteaume, &amp; Vervloet, 2002)" }, "properties" : { "noteIndex" : 0 }, "schema" : "https://github.com/citation-style-language/schema/raw/master/csl-citation.json" }</w:instrText>
      </w:r>
      <w:r w:rsidR="00956089">
        <w:rPr>
          <w:rFonts w:ascii="Calibri" w:hAnsi="Calibri" w:cs="Arial"/>
        </w:rPr>
        <w:fldChar w:fldCharType="separate"/>
      </w:r>
      <w:r w:rsidR="008F2499">
        <w:rPr>
          <w:rFonts w:ascii="Calibri" w:hAnsi="Calibri" w:cs="Arial"/>
          <w:noProof/>
        </w:rPr>
        <w:t>(Hurwitz</w:t>
      </w:r>
      <w:r w:rsidR="00956089" w:rsidRPr="00956089">
        <w:rPr>
          <w:rFonts w:ascii="Calibri" w:hAnsi="Calibri" w:cs="Arial"/>
          <w:noProof/>
        </w:rPr>
        <w:t>, 1955; Johansson et al., 2008; Romanet-Manent, Charpin, Magnan, Lanteaume, &amp; Vervloet, 2002)</w:t>
      </w:r>
      <w:r w:rsidR="00956089">
        <w:rPr>
          <w:rFonts w:ascii="Calibri" w:hAnsi="Calibri" w:cs="Arial"/>
        </w:rPr>
        <w:fldChar w:fldCharType="end"/>
      </w:r>
      <w:r w:rsidR="00AC4F95">
        <w:rPr>
          <w:rFonts w:ascii="Calibri" w:hAnsi="Calibri" w:cs="Arial"/>
        </w:rPr>
        <w:t xml:space="preserve"> </w:t>
      </w:r>
      <w:r w:rsidR="002E2AC0">
        <w:rPr>
          <w:rFonts w:ascii="Calibri" w:hAnsi="Calibri" w:cs="Arial"/>
        </w:rPr>
        <w:t>trigger constriction of the upper airways</w:t>
      </w:r>
      <w:r w:rsidR="007A4073">
        <w:rPr>
          <w:rFonts w:ascii="Calibri" w:hAnsi="Calibri" w:cs="Arial"/>
        </w:rPr>
        <w:t xml:space="preserve"> </w:t>
      </w:r>
      <w:r w:rsidR="007A4073">
        <w:rPr>
          <w:rFonts w:ascii="Calibri" w:hAnsi="Calibri" w:cs="Arial"/>
        </w:rPr>
        <w:fldChar w:fldCharType="begin" w:fldLock="1"/>
      </w:r>
      <w:r w:rsidR="007A4073">
        <w:rPr>
          <w:rFonts w:ascii="Calibri" w:hAnsi="Calibri" w:cs="Arial"/>
        </w:rPr>
        <w:instrText>ADDIN CSL_CITATION { "citationItems" : [ { "id" : "ITEM-1", "itemData" : { "DOI" : "10.1016/j.pupt.2014.07.005", "ISSN" : "1522-9629", "PMID" : "25062835", "abstract" : "Asthma is an obstructive airway disease, with a heterogeneous and multifactorial pathogenesis. Although generally considered to be a disease principally driven by chronic inflammation, it is becoming increasingly recognised that the immune component of the pathology poorly correlates with the clinical symptoms of asthma, thus highlighting a potentially central role for non-immune cells. In this context airway smooth muscle (ASM) may be a key player, as it comprises a significant proportion of the airway wall and is the ultimate effector of acute airway narrowing. Historically, the contribution of ASM to asthma pathogenesis has been contentious, yet emerging evidence suggests that ASM contractile activation imparts chronic effects that extend well beyond the temporary effects of bronchoconstriction. In this review article we describe the effects that ASM contraction, in combination with cellular mechanotransduction and novel contraction-inflammation synergies, contribute to asthma pathogenesis. Specific emphasis will be placed on the effects that ASM contraction exerts on the mechanical properties of the airway wall, as well as novel mechanisms by which ASM contraction may contribute to more established features of asthma such as airway wall remodelling.", "author" : [ { "dropping-particle" : "", "family" : "Noble", "given" : "Peter B", "non-dropping-particle" : "", "parse-names" : false, "suffix" : "" }, { "dropping-particle" : "", "family" : "Pascoe", "given" : "Chris D", "non-dropping-particle" : "", "parse-names" : false, "suffix" : "" }, { "dropping-particle" : "", "family" : "Lan", "given" : "Bo", "non-dropping-particle" : "", "parse-names" : false, "suffix" : "" }, { "dropping-particle" : "", "family" : "Ito", "given" : "Satoru", "non-dropping-particle" : "", "parse-names" : false, "suffix" : "" }, { "dropping-particle" : "", "family" : "Kistemaker", "given" : "Loes E M", "non-dropping-particle" : "", "parse-names" : false, "suffix" : "" }, { "dropping-particle" : "", "family" : "Tatler", "given" : "Amanda L", "non-dropping-particle" : "", "parse-names" : false, "suffix" : "" }, { "dropping-particle" : "", "family" : "Pera", "given" : "Tonio", "non-dropping-particle" : "", "parse-names" : false, "suffix" : "" }, { "dropping-particle" : "", "family" : "Brook", "given" : "Bindi S", "non-dropping-particle" : "", "parse-names" : false, "suffix" : "" }, { "dropping-particle" : "", "family" : "Gosens", "given" : "Reinoud", "non-dropping-particle" : "", "parse-names" : false, "suffix" : "" }, { "dropping-particle" : "", "family" : "West", "given" : "Adrian R", "non-dropping-particle" : "", "parse-names" : false, "suffix" : "" } ], "container-title" : "Pulmonary pharmacology &amp; therapeutics", "id" : "ITEM-1", "issue" : "2", "issued" : { "date-parts" : [ [ "2014", "12" ] ] }, "page" : "96-107", "title" : "Airway smooth muscle in asthma: linking contraction and mechanotransduction to disease pathogenesis and remodelling.", "type" : "article-journal", "volume" : "29" }, "uris" : [ "http://www.mendeley.com/documents/?uuid=a72dfb12-eefd-40bc-a570-8d83113e9eb5" ] } ], "mendeley" : { "formattedCitation" : "(Noble et al., 2014)", "plainTextFormattedCitation" : "(Noble et al., 2014)", "previouslyFormattedCitation" : "(Noble et al., 2014)" }, "properties" : { "noteIndex" : 0 }, "schema" : "https://github.com/citation-style-language/schema/raw/master/csl-citation.json" }</w:instrText>
      </w:r>
      <w:r w:rsidR="007A4073">
        <w:rPr>
          <w:rFonts w:ascii="Calibri" w:hAnsi="Calibri" w:cs="Arial"/>
        </w:rPr>
        <w:fldChar w:fldCharType="separate"/>
      </w:r>
      <w:r w:rsidR="007A4073" w:rsidRPr="007A4073">
        <w:rPr>
          <w:rFonts w:ascii="Calibri" w:hAnsi="Calibri" w:cs="Arial"/>
          <w:noProof/>
        </w:rPr>
        <w:t>(Noble et al., 2014)</w:t>
      </w:r>
      <w:r w:rsidR="007A4073">
        <w:rPr>
          <w:rFonts w:ascii="Calibri" w:hAnsi="Calibri" w:cs="Arial"/>
        </w:rPr>
        <w:fldChar w:fldCharType="end"/>
      </w:r>
      <w:r w:rsidR="00AC4F95">
        <w:rPr>
          <w:rFonts w:ascii="Calibri" w:hAnsi="Calibri" w:cs="Arial"/>
        </w:rPr>
        <w:t xml:space="preserve"> </w:t>
      </w:r>
      <w:r w:rsidR="008F2499">
        <w:rPr>
          <w:rFonts w:ascii="Calibri" w:hAnsi="Calibri" w:cs="Arial"/>
        </w:rPr>
        <w:t>alongside inflammatory</w:t>
      </w:r>
      <w:r w:rsidR="005D6140">
        <w:rPr>
          <w:rFonts w:ascii="Calibri" w:hAnsi="Calibri" w:cs="Arial"/>
        </w:rPr>
        <w:t xml:space="preserve">/allergic responses </w:t>
      </w:r>
      <w:r w:rsidR="005D6140">
        <w:rPr>
          <w:rFonts w:ascii="Calibri" w:hAnsi="Calibri" w:cs="Arial"/>
        </w:rPr>
        <w:fldChar w:fldCharType="begin" w:fldLock="1"/>
      </w:r>
      <w:r w:rsidR="005D6140">
        <w:rPr>
          <w:rFonts w:ascii="Calibri" w:hAnsi="Calibri" w:cs="Arial"/>
        </w:rPr>
        <w:instrText>ADDIN CSL_CITATION { "citationItems" : [ { "id" : "ITEM-1", "itemData" : { "DOI" : "10.1083/jcb.201401050", "ISSN" : "1540-8140", "PMID" : "24914235", "abstract" : "The clinical manifestations of asthma are caused by obstruction of the conducting airways of the lung. Two airway cell types are critical for asthma pathogenesis: epithelial cells and smooth muscle cells. Airway epithelial cells, which are the first line of defense against inhaled pathogens and particles, initiate airway inflammation and produce mucus, an important contributor to airway obstruction. The other main cause of airway obstruction is contraction of airway smooth muscle. Complementary experimental approaches involving cultured cells, animal models, and human clinical studies have provided many insights into diverse mechanisms that contribute to airway epithelial and smooth muscle cell pathology in this complex disease.", "author" : [ { "dropping-particle" : "", "family" : "Erle", "given" : "David J", "non-dropping-particle" : "", "parse-names" : false, "suffix" : "" }, { "dropping-particle" : "", "family" : "Sheppard", "given" : "Dean", "non-dropping-particle" : "", "parse-names" : false, "suffix" : "" } ], "container-title" : "The Journal of cell biology", "id" : "ITEM-1", "issue" : "5", "issued" : { "date-parts" : [ [ "2014", "6", "9" ] ] }, "page" : "621-31", "title" : "The cell biology of asthma.", "type" : "article-journal", "volume" : "205" }, "uris" : [ "http://www.mendeley.com/documents/?uuid=6790c6c1-bcee-4c78-a0c0-29ddcf8ad7e8" ] } ], "mendeley" : { "formattedCitation" : "(Erle &amp; Sheppard, 2014)", "plainTextFormattedCitation" : "(Erle &amp; Sheppard, 2014)", "previouslyFormattedCitation" : "(Erle &amp; Sheppard, 2014)" }, "properties" : { "noteIndex" : 0 }, "schema" : "https://github.com/citation-style-language/schema/raw/master/csl-citation.json" }</w:instrText>
      </w:r>
      <w:r w:rsidR="005D6140">
        <w:rPr>
          <w:rFonts w:ascii="Calibri" w:hAnsi="Calibri" w:cs="Arial"/>
        </w:rPr>
        <w:fldChar w:fldCharType="separate"/>
      </w:r>
      <w:r w:rsidR="005D6140" w:rsidRPr="005D6140">
        <w:rPr>
          <w:rFonts w:ascii="Calibri" w:hAnsi="Calibri" w:cs="Arial"/>
          <w:noProof/>
        </w:rPr>
        <w:t>(Erle &amp; Sheppard, 2014)</w:t>
      </w:r>
      <w:r w:rsidR="005D6140">
        <w:rPr>
          <w:rFonts w:ascii="Calibri" w:hAnsi="Calibri" w:cs="Arial"/>
        </w:rPr>
        <w:fldChar w:fldCharType="end"/>
      </w:r>
      <w:r w:rsidR="005D6140">
        <w:rPr>
          <w:rFonts w:ascii="Calibri" w:hAnsi="Calibri" w:cs="Arial"/>
        </w:rPr>
        <w:t xml:space="preserve">, </w:t>
      </w:r>
      <w:r w:rsidR="00AC4F95">
        <w:rPr>
          <w:rFonts w:ascii="Calibri" w:hAnsi="Calibri" w:cs="Arial"/>
        </w:rPr>
        <w:t>mucous overproduction</w:t>
      </w:r>
      <w:r w:rsidR="007A4073">
        <w:rPr>
          <w:rFonts w:ascii="Calibri" w:hAnsi="Calibri" w:cs="Arial"/>
        </w:rPr>
        <w:t xml:space="preserve">/increased viscoelasticity </w:t>
      </w:r>
      <w:r w:rsidR="007A4073">
        <w:rPr>
          <w:rFonts w:ascii="Calibri" w:hAnsi="Calibri" w:cs="Arial"/>
        </w:rPr>
        <w:fldChar w:fldCharType="begin" w:fldLock="1"/>
      </w:r>
      <w:r w:rsidR="00322071">
        <w:rPr>
          <w:rFonts w:ascii="Calibri" w:hAnsi="Calibri" w:cs="Arial"/>
        </w:rPr>
        <w:instrText>ADDIN CSL_CITATION { "citationItems" : [ { "id" : "ITEM-1", "itemData" : { "DOI" : "10.1016/j.addr.2008.09.012", "ISSN" : "1872-8294", "PMID" : "19166889", "abstract" : "Mucus is a complex biological material that lubricates and protects the human lungs, gastrointestinal (GI) tract, vagina, eyes, and other moist mucosal surfaces. Mucus serves as a physical barrier against foreign particles, including toxins, pathogens, and environmental ultrafine particles, while allowing rapid passage of selected gases, ions, nutrients, and many proteins. Its selective barrier properties are precisely regulated at the biochemical level across vastly different length scales. At the macroscale, mucus behaves as a non-Newtonian gel, distinguished from classical solids and liquids by its response to shear rate and shear stress, while, at the nanoscale, it behaves as a low viscosity fluid. Advances in the rheological characterization of mucus from the macroscopic to nanoscopic levels have contributed critical understanding to mucus physiology, disease pathology, and the development of drug delivery systems designed for use at mucosal surfaces. This article reviews the biochemistry that governs mucus rheology, the macro- and microrheology of human and laboratory animal mucus, rheological techniques applied to mucus, and the importance of an improved understanding of the physical properties of mucus to advancing the field of drug and gene delivery.", "author" : [ { "dropping-particle" : "", "family" : "Lai", "given" : "Samuel K", "non-dropping-particle" : "", "parse-names" : false, "suffix" : "" }, { "dropping-particle" : "", "family" : "Wang", "given" : "Ying-Ying", "non-dropping-particle" : "", "parse-names" : false, "suffix" : "" }, { "dropping-particle" : "", "family" : "Wirtz", "given" : "Denis", "non-dropping-particle" : "", "parse-names" : false, "suffix" : "" }, { "dropping-particle" : "", "family" : "Hanes", "given" : "Justin", "non-dropping-particle" : "", "parse-names" : false, "suffix" : "" } ], "container-title" : "Advanced drug delivery reviews", "id" : "ITEM-1", "issue" : "2", "issued" : { "date-parts" : [ [ "2009", "2", "27" ] ] }, "page" : "86-100", "title" : "Micro- and macrorheology of mucus.", "type" : "article-journal", "volume" : "61" }, "uris" : [ "http://www.mendeley.com/documents/?uuid=2938d429-bb78-4294-806d-83e13629cccf" ] } ], "mendeley" : { "formattedCitation" : "(S. K. Lai et al., 2009)", "plainTextFormattedCitation" : "(S. K. Lai et al., 2009)", "previouslyFormattedCitation" : "(S. K. Lai et al., 2009)" }, "properties" : { "noteIndex" : 0 }, "schema" : "https://github.com/citation-style-language/schema/raw/master/csl-citation.json" }</w:instrText>
      </w:r>
      <w:r w:rsidR="007A4073">
        <w:rPr>
          <w:rFonts w:ascii="Calibri" w:hAnsi="Calibri" w:cs="Arial"/>
        </w:rPr>
        <w:fldChar w:fldCharType="separate"/>
      </w:r>
      <w:r w:rsidR="00230205" w:rsidRPr="00230205">
        <w:rPr>
          <w:rFonts w:ascii="Calibri" w:hAnsi="Calibri" w:cs="Arial"/>
          <w:noProof/>
        </w:rPr>
        <w:t>(S. K. Lai et al., 2009)</w:t>
      </w:r>
      <w:r w:rsidR="007A4073">
        <w:rPr>
          <w:rFonts w:ascii="Calibri" w:hAnsi="Calibri" w:cs="Arial"/>
        </w:rPr>
        <w:fldChar w:fldCharType="end"/>
      </w:r>
      <w:r w:rsidR="007A4073">
        <w:rPr>
          <w:rFonts w:ascii="Calibri" w:hAnsi="Calibri" w:cs="Arial"/>
        </w:rPr>
        <w:t xml:space="preserve"> and </w:t>
      </w:r>
      <w:r w:rsidR="0061378A">
        <w:rPr>
          <w:rFonts w:ascii="Calibri" w:hAnsi="Calibri" w:cs="Arial"/>
        </w:rPr>
        <w:t xml:space="preserve">conducting </w:t>
      </w:r>
      <w:r w:rsidR="00162071">
        <w:rPr>
          <w:rFonts w:ascii="Calibri" w:hAnsi="Calibri" w:cs="Arial"/>
        </w:rPr>
        <w:t>airway/</w:t>
      </w:r>
      <w:r w:rsidR="0061378A">
        <w:rPr>
          <w:rFonts w:ascii="Calibri" w:hAnsi="Calibri" w:cs="Arial"/>
        </w:rPr>
        <w:t xml:space="preserve">bronchial </w:t>
      </w:r>
      <w:r w:rsidR="007A4073">
        <w:rPr>
          <w:rFonts w:ascii="Calibri" w:hAnsi="Calibri" w:cs="Arial"/>
        </w:rPr>
        <w:t xml:space="preserve">wall thickening </w:t>
      </w:r>
      <w:r w:rsidR="007A4073">
        <w:rPr>
          <w:rFonts w:ascii="Calibri" w:hAnsi="Calibri" w:cs="Arial"/>
        </w:rPr>
        <w:fldChar w:fldCharType="begin" w:fldLock="1"/>
      </w:r>
      <w:r w:rsidR="007A4073">
        <w:rPr>
          <w:rFonts w:ascii="Calibri" w:hAnsi="Calibri" w:cs="Arial"/>
        </w:rPr>
        <w:instrText>ADDIN CSL_CITATION { "citationItems" : [ { "id" : "ITEM-1", "itemData" : { "DOI" : "10.1136/bmj.g5517", "ISSN" : "1756-1833", "PMID" : "25420994", "abstract" : "Asthma affects almost 20 million people in the United States and more than 300 million people worldwide. Of these, 10-15% have severe asthma, which is refractory to commonly available drugs. New drugs are needed because those that are currently available cannot control symptoms and exacerbations in all patients and can cause adverse reactions. In the past 10 years, there have been substantial advances in the understanding of asthma genetics, airway biology, and immune cell signaling. These advances have led to the development of small molecule therapeutics and biologic agents that may improve asthma care in the future. Several new classes of asthma drugs--including ultra long acting \u03b2 agonists and modulators of the interleukin 4 (IL-4), IL-5, IL-13, and IL-17 pathways--have been evaluated in randomized controlled trials. Other new drug classes--including dissociated corticosteroids, CXC chemokine receptor 2 antagonists, toll-like receptor 9 agonists, and tyrosine kinase inhibitors--remain in earlier phases of development. Despite some preliminary efficacy data, there is insufficient evidence to make strong recommendations about the use of these newer agents. Future research on the clinical efficacy of these biologic agents, the effect of newer agents on severe asthma in pediatric patients, and the biology of non-eosinophilic and corticosteroid resistant asthma is needed to reduce the morbidity of asthma worldwide.", "author" : [ { "dropping-particle" : "", "family" : "Olin", "given" : "J Tod", "non-dropping-particle" : "", "parse-names" : false, "suffix" : "" }, { "dropping-particle" : "", "family" : "Wechsler", "given" : "Michael E", "non-dropping-particle" : "", "parse-names" : false, "suffix" : "" } ], "container-title" : "BMJ (Clinical research ed.)", "id" : "ITEM-1", "issue" : "nov24_8", "issued" : { "date-parts" : [ [ "2014", "1", "24" ] ] }, "page" : "g5517", "title" : "Asthma: pathogenesis and novel drugs for treatment.", "type" : "article-journal", "volume" : "349" }, "uris" : [ "http://www.mendeley.com/documents/?uuid=1930383a-0137-4dcb-b5ba-5e74f1888e8d" ] } ], "mendeley" : { "formattedCitation" : "(Olin &amp; Wechsler, 2014)", "plainTextFormattedCitation" : "(Olin &amp; Wechsler, 2014)", "previouslyFormattedCitation" : "(Olin &amp; Wechsler, 2014)" }, "properties" : { "noteIndex" : 0 }, "schema" : "https://github.com/citation-style-language/schema/raw/master/csl-citation.json" }</w:instrText>
      </w:r>
      <w:r w:rsidR="007A4073">
        <w:rPr>
          <w:rFonts w:ascii="Calibri" w:hAnsi="Calibri" w:cs="Arial"/>
        </w:rPr>
        <w:fldChar w:fldCharType="separate"/>
      </w:r>
      <w:r w:rsidR="007A4073" w:rsidRPr="007A4073">
        <w:rPr>
          <w:rFonts w:ascii="Calibri" w:hAnsi="Calibri" w:cs="Arial"/>
          <w:noProof/>
        </w:rPr>
        <w:t>(Olin &amp; Wechsler, 2014)</w:t>
      </w:r>
      <w:r w:rsidR="007A4073">
        <w:rPr>
          <w:rFonts w:ascii="Calibri" w:hAnsi="Calibri" w:cs="Arial"/>
        </w:rPr>
        <w:fldChar w:fldCharType="end"/>
      </w:r>
      <w:r w:rsidR="00AC4F95">
        <w:rPr>
          <w:rFonts w:ascii="Calibri" w:hAnsi="Calibri" w:cs="Arial"/>
        </w:rPr>
        <w:t>. Together</w:t>
      </w:r>
      <w:r w:rsidR="005D6140">
        <w:rPr>
          <w:rFonts w:ascii="Calibri" w:hAnsi="Calibri" w:cs="Arial"/>
        </w:rPr>
        <w:t>,</w:t>
      </w:r>
      <w:r w:rsidR="00AC4F95">
        <w:rPr>
          <w:rFonts w:ascii="Calibri" w:hAnsi="Calibri" w:cs="Arial"/>
        </w:rPr>
        <w:t xml:space="preserve"> these phenomena reduce</w:t>
      </w:r>
      <w:r w:rsidR="002E2AC0">
        <w:rPr>
          <w:rFonts w:ascii="Calibri" w:hAnsi="Calibri" w:cs="Arial"/>
        </w:rPr>
        <w:t xml:space="preserve"> the bronchial diameter </w:t>
      </w:r>
      <w:r w:rsidR="005D6140">
        <w:rPr>
          <w:rFonts w:ascii="Calibri" w:hAnsi="Calibri" w:cs="Arial"/>
        </w:rPr>
        <w:t>during an asthmatic attack</w:t>
      </w:r>
      <w:r w:rsidR="00A77412">
        <w:rPr>
          <w:rFonts w:ascii="Calibri" w:hAnsi="Calibri" w:cs="Arial"/>
        </w:rPr>
        <w:t xml:space="preserve"> </w:t>
      </w:r>
      <w:r w:rsidR="00CB0B75">
        <w:rPr>
          <w:rFonts w:ascii="Calibri" w:hAnsi="Calibri" w:cs="Arial"/>
        </w:rPr>
        <w:t xml:space="preserve">to obstruct airflow, to an extent </w:t>
      </w:r>
      <w:r w:rsidR="00162071">
        <w:rPr>
          <w:rFonts w:ascii="Calibri" w:hAnsi="Calibri" w:cs="Arial"/>
        </w:rPr>
        <w:t xml:space="preserve">that can eventually lead to </w:t>
      </w:r>
      <w:r w:rsidR="00A77412">
        <w:rPr>
          <w:rFonts w:ascii="Calibri" w:hAnsi="Calibri" w:cs="Arial"/>
        </w:rPr>
        <w:t>death</w:t>
      </w:r>
      <w:r w:rsidR="005D6140">
        <w:rPr>
          <w:rFonts w:ascii="Calibri" w:hAnsi="Calibri" w:cs="Arial"/>
        </w:rPr>
        <w:t xml:space="preserve"> </w:t>
      </w:r>
      <w:r w:rsidR="005D6140">
        <w:rPr>
          <w:rFonts w:ascii="Calibri" w:hAnsi="Calibri" w:cs="Arial"/>
        </w:rPr>
        <w:fldChar w:fldCharType="begin" w:fldLock="1"/>
      </w:r>
      <w:r w:rsidR="003E6987">
        <w:rPr>
          <w:rFonts w:ascii="Calibri" w:hAnsi="Calibri" w:cs="Arial"/>
        </w:rPr>
        <w:instrText>ADDIN CSL_CITATION { "citationItems" : [ { "id" : "ITEM-1", "itemData" : { "DOI" : "10.1097/MCP.0000000000000011", "ISSN" : "1531-6971", "PMID" : "24247041", "abstract" : "PURPOSE OF REVIEW: Asthma is a major public health problem that afflicts nearly one in 20 people worldwide. Despite available treatments, asthma symptoms remain poorly controlled in a significant minority of asthma patients, especially those with severe disease. Accordingly, much ongoing effort has been directed at developing new therapeutic strategies; these efforts are described in detail below.\n\nRECENT FINDINGS: Although mucus hypersecretion is an important component of asthma pathobiology, the primary mechanism of morbidity and mortality in asthma is excessive narrowing of the airway. The key end- effector of excessive airway narrowing is airway smooth muscle (ASM) contraction; overcoming ASM contraction is therefore a prominent therapeutic strategy. Here, we review exciting new advances aimed at ASM relaxation.\n\nSUMMARY: Exciting advances in ASM biology have identified new therapeutic targets for the prevention or reversal of bronchoconstriction in asthma.", "author" : [ { "dropping-particle" : "", "family" : "Dowell", "given" : "Maria L", "non-dropping-particle" : "", "parse-names" : false, "suffix" : "" }, { "dropping-particle" : "", "family" : "Lavoie", "given" : "Tera L", "non-dropping-particle" : "", "parse-names" : false, "suffix" : "" }, { "dropping-particle" : "", "family" : "Solway", "given" : "Julian", "non-dropping-particle" : "", "parse-names" : false, "suffix" : "" }, { "dropping-particle" : "", "family" : "Krishnan", "given" : "Ramaswamy", "non-dropping-particle" : "", "parse-names" : false, "suffix" : "" } ], "container-title" : "Current opinion in pulmonary medicine", "id" : "ITEM-1", "issue" : "1", "issued" : { "date-parts" : [ [ "2014", "1" ] ] }, "page" : "66-72", "title" : "Airway smooth muscle: a potential target for asthma therapy.", "type" : "article-journal", "volume" : "20" }, "uris" : [ "http://www.mendeley.com/documents/?uuid=0e3d11bb-9968-4ea4-be21-b91f0ff9f931" ] } ], "mendeley" : { "formattedCitation" : "(Dowell, Lavoie, Solway, &amp; Krishnan, 2014)", "plainTextFormattedCitation" : "(Dowell, Lavoie, Solway, &amp; Krishnan, 2014)", "previouslyFormattedCitation" : "(Dowell, Lavoie, Solway, &amp; Krishnan, 2014)" }, "properties" : { "noteIndex" : 0 }, "schema" : "https://github.com/citation-style-language/schema/raw/master/csl-citation.json" }</w:instrText>
      </w:r>
      <w:r w:rsidR="005D6140">
        <w:rPr>
          <w:rFonts w:ascii="Calibri" w:hAnsi="Calibri" w:cs="Arial"/>
        </w:rPr>
        <w:fldChar w:fldCharType="separate"/>
      </w:r>
      <w:r w:rsidR="005D6140" w:rsidRPr="005D6140">
        <w:rPr>
          <w:rFonts w:ascii="Calibri" w:hAnsi="Calibri" w:cs="Arial"/>
          <w:noProof/>
        </w:rPr>
        <w:t>(Dowell, Lavoie, Solway, &amp; Krishnan, 2014)</w:t>
      </w:r>
      <w:r w:rsidR="005D6140">
        <w:rPr>
          <w:rFonts w:ascii="Calibri" w:hAnsi="Calibri" w:cs="Arial"/>
        </w:rPr>
        <w:fldChar w:fldCharType="end"/>
      </w:r>
      <w:r w:rsidR="002E2AC0">
        <w:rPr>
          <w:rFonts w:ascii="Calibri" w:hAnsi="Calibri" w:cs="Arial"/>
        </w:rPr>
        <w:t xml:space="preserve">. </w:t>
      </w:r>
      <w:r w:rsidR="000834B2">
        <w:rPr>
          <w:rFonts w:ascii="Calibri" w:hAnsi="Calibri" w:cs="Arial"/>
        </w:rPr>
        <w:t xml:space="preserve">In cystic fibrosis (CF), </w:t>
      </w:r>
      <w:r w:rsidR="00162071">
        <w:rPr>
          <w:rFonts w:ascii="Calibri" w:hAnsi="Calibri" w:cs="Arial"/>
        </w:rPr>
        <w:t>genetic mutations</w:t>
      </w:r>
      <w:r w:rsidR="000834B2">
        <w:rPr>
          <w:rFonts w:ascii="Calibri" w:hAnsi="Calibri" w:cs="Arial"/>
        </w:rPr>
        <w:t xml:space="preserve"> </w:t>
      </w:r>
      <w:r w:rsidR="000377B7">
        <w:rPr>
          <w:rFonts w:ascii="Calibri" w:hAnsi="Calibri" w:cs="Arial"/>
        </w:rPr>
        <w:fldChar w:fldCharType="begin" w:fldLock="1"/>
      </w:r>
      <w:r w:rsidR="0061378A">
        <w:rPr>
          <w:rFonts w:ascii="Calibri" w:hAnsi="Calibri" w:cs="Arial"/>
        </w:rPr>
        <w:instrText>ADDIN CSL_CITATION { "citationItems" : [ { "id" : "ITEM-1", "itemData" : { "DOI" : "10.1016/S1569-1993(11)60014-3", "ISSN" : "1873-5010", "PMID" : "21658649", "abstract" : "Several diseases have been clinically or genetically related to cystic fibrosis (CF), but a consensus definition is lacking. Here, we present a proposal for consensus guidelines on cystic fibrosis transmembrane conductance regulator (CFTR)-related disorders (CFTR-RDs), reached after expert discussion and two dedicated workshops. A CFTR-RD may be defined as \"a clinical entity associated with CFTR dysfunction that does not fulfil diagnostic criteria for CF\". The utility of sweat testing, mutation analysis, nasal potential difference, and/or intestinal current measurement for the differential diagnosis of CF and CFTR-RD is discussed. Algorithms which use genetic and functional diagnostic tests to distinguish CF and CFTR-RDs are presented. According to present knowledge, congenital bilateral absence of vas deferens (CBAVD), acute recurrent or chronic pancreatitis and disseminated bronchiectasis, all with CFTR dysfunction, are CFTR-RDs.", "author" : [ { "dropping-particle" : "", "family" : "Bombieri", "given" : "C", "non-dropping-particle" : "", "parse-names" : false, "suffix" : "" }, { "dropping-particle" : "", "family" : "Claustres", "given" : "M", "non-dropping-particle" : "", "parse-names" : false, "suffix" : "" }, { "dropping-particle" : "", "family" : "Boeck", "given" : "K", "non-dropping-particle" : "De", "parse-names" : false, "suffix" : "" }, { "dropping-particle" : "", "family" : "Derichs", "given" : "N", "non-dropping-particle" : "", "parse-names" : false, "suffix" : "" }, { "dropping-particle" : "", "family" : "Dodge", "given" : "J", "non-dropping-particle" : "", "parse-names" : false, "suffix" : "" }, { "dropping-particle" : "", "family" : "Girodon", "given" : "E", "non-dropping-particle" : "", "parse-names" : false, "suffix" : "" }, { "dropping-particle" : "", "family" : "Sermet", "given" : "I", "non-dropping-particle" : "", "parse-names" : false, "suffix" : "" }, { "dropping-particle" : "", "family" : "Schwarz", "given" : "M", "non-dropping-particle" : "", "parse-names" : false, "suffix" : "" }, { "dropping-particle" : "", "family" : "Tzetis", "given" : "M", "non-dropping-particle" : "", "parse-names" : false, "suffix" : "" }, { "dropping-particle" : "", "family" : "Wilschanski", "given" : "M", "non-dropping-particle" : "", "parse-names" : false, "suffix" : "" }, { "dropping-particle" : "", "family" : "Bareil", "given" : "C", "non-dropping-particle" : "", "parse-names" : false, "suffix" : "" }, { "dropping-particle" : "", "family" : "Bilton", "given" : "D", "non-dropping-particle" : "", "parse-names" : false, "suffix" : "" }, { "dropping-particle" : "", "family" : "Castellani", "given" : "C", "non-dropping-particle" : "", "parse-names" : false, "suffix" : "" }, { "dropping-particle" : "", "family" : "Cuppens", "given" : "H", "non-dropping-particle" : "", "parse-names" : false, "suffix" : "" }, { "dropping-particle" : "", "family" : "Cutting", "given" : "G R", "non-dropping-particle" : "", "parse-names" : false, "suffix" : "" }, { "dropping-particle" : "", "family" : "Drev\u00ednek", "given" : "P", "non-dropping-particle" : "", "parse-names" : false, "suffix" : "" }, { "dropping-particle" : "", "family" : "Farrell", "given" : "P", "non-dropping-particle" : "", "parse-names" : false, "suffix" : "" }, { "dropping-particle" : "", "family" : "Elborn", "given" : "J S", "non-dropping-particle" : "", "parse-names" : false, "suffix" : "" }, { "dropping-particle" : "", "family" : "Jarvi", "given" : "K", "non-dropping-particle" : "", "parse-names" : false, "suffix" : "" }, { "dropping-particle" : "", "family" : "Kerem", "given" : "B", "non-dropping-particle" : "", "parse-names" : false, "suffix" : "" }, { "dropping-particle" : "", "family" : "Kerem", "given" : "E", "non-dropping-particle" : "", "parse-names" : false, "suffix" : "" }, { "dropping-particle" : "", "family" : "Knowles", "given" : "M", "non-dropping-particle" : "", "parse-names" : false, "suffix" : "" }, { "dropping-particle" : "", "family" : "Macek", "given" : "M", "non-dropping-particle" : "", "parse-names" : false, "suffix" : "" }, { "dropping-particle" : "", "family" : "Munck", "given" : "A", "non-dropping-particle" : "", "parse-names" : false, "suffix" : "" }, { "dropping-particle" : "", "family" : "Radojkovic", "given" : "D", "non-dropping-particle" : "", "parse-names" : false, "suffix" : "" }, { "dropping-particle" : "", "family" : "Seia", "given" : "M", "non-dropping-particle" : "", "parse-names" : false, "suffix" : "" }, { "dropping-particle" : "", "family" : "Sheppard", "given" : "D N", "non-dropping-particle" : "", "parse-names" : false, "suffix" : "" }, { "dropping-particle" : "", "family" : "Southern", "given" : "K W", "non-dropping-particle" : "", "parse-names" : false, "suffix" : "" }, { "dropping-particle" : "", "family" : "Stuhrmann", "given" : "M", "non-dropping-particle" : "", "parse-names" : false, "suffix" : "" }, { "dropping-particle" : "", "family" : "Tullis", "given" : "E", "non-dropping-particle" : "", "parse-names" : false, "suffix" : "" }, { "dropping-particle" : "", "family" : "Zielenski", "given" : "J", "non-dropping-particle" : "", "parse-names" : false, "suffix" : "" }, { "dropping-particle" : "", "family" : "Pignatti", "given" : "P F", "non-dropping-particle" : "", "parse-names" : false, "suffix" : "" }, { "dropping-particle" : "", "family" : "Ferec", "given" : "C", "non-dropping-particle" : "", "parse-names" : false, "suffix" : "" } ], "container-title" : "Journal of cystic fibrosis : official journal of the European Cystic Fibrosis Society", "id" : "ITEM-1", "issued" : { "date-parts" : [ [ "2011", "6" ] ] }, "page" : "S86-102", "title" : "Recommendations for the classification of diseases as CFTR-related disorders.", "type" : "article-journal", "volume" : "10 Suppl 2" }, "uris" : [ "http://www.mendeley.com/documents/?uuid=c858409c-ecbf-4cb8-b632-1428b7898d51" ] } ], "mendeley" : { "formattedCitation" : "(Bombieri et al., 2011)", "plainTextFormattedCitation" : "(Bombieri et al., 2011)", "previouslyFormattedCitation" : "(Bombieri et al., 2011)" }, "properties" : { "noteIndex" : 0 }, "schema" : "https://github.com/citation-style-language/schema/raw/master/csl-citation.json" }</w:instrText>
      </w:r>
      <w:r w:rsidR="000377B7">
        <w:rPr>
          <w:rFonts w:ascii="Calibri" w:hAnsi="Calibri" w:cs="Arial"/>
        </w:rPr>
        <w:fldChar w:fldCharType="separate"/>
      </w:r>
      <w:r w:rsidR="000377B7" w:rsidRPr="000377B7">
        <w:rPr>
          <w:rFonts w:ascii="Calibri" w:hAnsi="Calibri" w:cs="Arial"/>
          <w:noProof/>
        </w:rPr>
        <w:t>(Bombieri et al., 2011)</w:t>
      </w:r>
      <w:r w:rsidR="000377B7">
        <w:rPr>
          <w:rFonts w:ascii="Calibri" w:hAnsi="Calibri" w:cs="Arial"/>
        </w:rPr>
        <w:fldChar w:fldCharType="end"/>
      </w:r>
      <w:r w:rsidR="000377B7">
        <w:rPr>
          <w:rFonts w:ascii="Calibri" w:hAnsi="Calibri" w:cs="Arial"/>
        </w:rPr>
        <w:t xml:space="preserve"> </w:t>
      </w:r>
      <w:r w:rsidR="00162071">
        <w:rPr>
          <w:rFonts w:ascii="Calibri" w:hAnsi="Calibri" w:cs="Arial"/>
        </w:rPr>
        <w:t>produce</w:t>
      </w:r>
      <w:r w:rsidR="000834B2">
        <w:rPr>
          <w:rFonts w:ascii="Calibri" w:hAnsi="Calibri" w:cs="Arial"/>
        </w:rPr>
        <w:t xml:space="preserve"> solute </w:t>
      </w:r>
      <w:r w:rsidR="008F2499">
        <w:rPr>
          <w:rFonts w:ascii="Calibri" w:hAnsi="Calibri" w:cs="Arial"/>
        </w:rPr>
        <w:t>im</w:t>
      </w:r>
      <w:r w:rsidR="000834B2">
        <w:rPr>
          <w:rFonts w:ascii="Calibri" w:hAnsi="Calibri" w:cs="Arial"/>
        </w:rPr>
        <w:t>balance</w:t>
      </w:r>
      <w:r w:rsidR="00A77412">
        <w:rPr>
          <w:rFonts w:ascii="Calibri" w:hAnsi="Calibri" w:cs="Arial"/>
        </w:rPr>
        <w:t>s</w:t>
      </w:r>
      <w:r w:rsidR="000834B2">
        <w:rPr>
          <w:rFonts w:ascii="Calibri" w:hAnsi="Calibri" w:cs="Arial"/>
        </w:rPr>
        <w:t xml:space="preserve"> </w:t>
      </w:r>
      <w:r w:rsidR="000377B7">
        <w:rPr>
          <w:rFonts w:ascii="Calibri" w:hAnsi="Calibri" w:cs="Arial"/>
        </w:rPr>
        <w:t xml:space="preserve">in the airways </w:t>
      </w:r>
      <w:r w:rsidR="000834B2">
        <w:rPr>
          <w:rFonts w:ascii="Calibri" w:hAnsi="Calibri" w:cs="Arial"/>
        </w:rPr>
        <w:t>that contribute to mucous hypersecretion</w:t>
      </w:r>
      <w:r w:rsidR="000377B7">
        <w:rPr>
          <w:rFonts w:ascii="Calibri" w:hAnsi="Calibri" w:cs="Arial"/>
        </w:rPr>
        <w:t xml:space="preserve">, altered </w:t>
      </w:r>
      <w:r w:rsidR="00A77412">
        <w:rPr>
          <w:rFonts w:ascii="Calibri" w:hAnsi="Calibri" w:cs="Arial"/>
        </w:rPr>
        <w:t xml:space="preserve">mucous </w:t>
      </w:r>
      <w:r w:rsidR="000377B7">
        <w:rPr>
          <w:rFonts w:ascii="Calibri" w:hAnsi="Calibri" w:cs="Arial"/>
        </w:rPr>
        <w:t>motility</w:t>
      </w:r>
      <w:r w:rsidR="000834B2">
        <w:rPr>
          <w:rFonts w:ascii="Calibri" w:hAnsi="Calibri" w:cs="Arial"/>
        </w:rPr>
        <w:t xml:space="preserve"> and </w:t>
      </w:r>
      <w:r w:rsidR="000377B7">
        <w:rPr>
          <w:rFonts w:ascii="Calibri" w:hAnsi="Calibri" w:cs="Arial"/>
        </w:rPr>
        <w:t>dysregulated</w:t>
      </w:r>
      <w:r w:rsidR="000834B2">
        <w:rPr>
          <w:rFonts w:ascii="Calibri" w:hAnsi="Calibri" w:cs="Arial"/>
        </w:rPr>
        <w:t xml:space="preserve"> immune homeostasis, leading to opportunistic infection. </w:t>
      </w:r>
    </w:p>
    <w:p w14:paraId="540B58DC" w14:textId="77777777" w:rsidR="00162071" w:rsidRDefault="00162071" w:rsidP="005837A4">
      <w:pPr>
        <w:spacing w:line="480" w:lineRule="auto"/>
        <w:jc w:val="both"/>
        <w:rPr>
          <w:rFonts w:ascii="Calibri" w:hAnsi="Calibri" w:cs="Arial"/>
        </w:rPr>
      </w:pPr>
    </w:p>
    <w:p w14:paraId="5F9AA007" w14:textId="4B8EA72C" w:rsidR="008F2499" w:rsidRDefault="000834B2" w:rsidP="005837A4">
      <w:pPr>
        <w:spacing w:line="480" w:lineRule="auto"/>
        <w:jc w:val="both"/>
        <w:rPr>
          <w:rFonts w:ascii="Calibri" w:hAnsi="Calibri" w:cs="Arial"/>
        </w:rPr>
      </w:pPr>
      <w:r>
        <w:rPr>
          <w:rFonts w:ascii="Calibri" w:hAnsi="Calibri" w:cs="Arial"/>
        </w:rPr>
        <w:t xml:space="preserve">All these </w:t>
      </w:r>
      <w:r w:rsidR="008F2499">
        <w:rPr>
          <w:rFonts w:ascii="Calibri" w:hAnsi="Calibri" w:cs="Arial"/>
        </w:rPr>
        <w:t>indications</w:t>
      </w:r>
      <w:r>
        <w:rPr>
          <w:rFonts w:ascii="Calibri" w:hAnsi="Calibri" w:cs="Arial"/>
        </w:rPr>
        <w:t xml:space="preserve"> </w:t>
      </w:r>
      <w:r w:rsidR="00162071">
        <w:rPr>
          <w:rFonts w:ascii="Calibri" w:hAnsi="Calibri" w:cs="Arial"/>
        </w:rPr>
        <w:t xml:space="preserve">are associated with exaggerated or disrupted </w:t>
      </w:r>
      <w:r>
        <w:rPr>
          <w:rFonts w:ascii="Calibri" w:hAnsi="Calibri" w:cs="Arial"/>
        </w:rPr>
        <w:t>innate</w:t>
      </w:r>
      <w:r w:rsidR="00162071">
        <w:rPr>
          <w:rFonts w:ascii="Calibri" w:hAnsi="Calibri" w:cs="Arial"/>
        </w:rPr>
        <w:t xml:space="preserve"> and adaptive immune responses</w:t>
      </w:r>
      <w:r>
        <w:rPr>
          <w:rFonts w:ascii="Calibri" w:hAnsi="Calibri" w:cs="Arial"/>
        </w:rPr>
        <w:t xml:space="preserve">. </w:t>
      </w:r>
      <w:r w:rsidR="00162071">
        <w:rPr>
          <w:rFonts w:ascii="Calibri" w:hAnsi="Calibri" w:cs="Arial"/>
        </w:rPr>
        <w:t>Indeed, recent a</w:t>
      </w:r>
      <w:r w:rsidR="00A77412">
        <w:rPr>
          <w:rFonts w:ascii="Calibri" w:hAnsi="Calibri" w:cs="Arial"/>
        </w:rPr>
        <w:t>ttention has shifted onto the role of r</w:t>
      </w:r>
      <w:r w:rsidR="00961F78">
        <w:rPr>
          <w:rFonts w:ascii="Calibri" w:hAnsi="Calibri" w:cs="Arial"/>
        </w:rPr>
        <w:t>espiratory epithelia given the</w:t>
      </w:r>
      <w:r w:rsidR="00A77412">
        <w:rPr>
          <w:rFonts w:ascii="Calibri" w:hAnsi="Calibri" w:cs="Arial"/>
        </w:rPr>
        <w:t xml:space="preserve">ir </w:t>
      </w:r>
      <w:r w:rsidR="008F2499">
        <w:rPr>
          <w:rFonts w:ascii="Calibri" w:hAnsi="Calibri" w:cs="Arial"/>
        </w:rPr>
        <w:t>importance</w:t>
      </w:r>
      <w:r w:rsidR="00961F78">
        <w:rPr>
          <w:rFonts w:ascii="Calibri" w:hAnsi="Calibri" w:cs="Arial"/>
        </w:rPr>
        <w:t xml:space="preserve"> in </w:t>
      </w:r>
      <w:r w:rsidR="00BC77BD">
        <w:rPr>
          <w:rFonts w:ascii="Calibri" w:hAnsi="Calibri" w:cs="Arial"/>
        </w:rPr>
        <w:t>inflammation</w:t>
      </w:r>
      <w:r w:rsidR="00961F78">
        <w:rPr>
          <w:rFonts w:ascii="Calibri" w:hAnsi="Calibri" w:cs="Arial"/>
        </w:rPr>
        <w:t xml:space="preserve"> an</w:t>
      </w:r>
      <w:r w:rsidR="00162071">
        <w:rPr>
          <w:rFonts w:ascii="Calibri" w:hAnsi="Calibri" w:cs="Arial"/>
        </w:rPr>
        <w:t xml:space="preserve">d the exacerbations associated with </w:t>
      </w:r>
      <w:r w:rsidR="00162071">
        <w:rPr>
          <w:rFonts w:ascii="Calibri" w:hAnsi="Calibri" w:cs="Arial"/>
        </w:rPr>
        <w:lastRenderedPageBreak/>
        <w:t xml:space="preserve">many chronic lung disease following exposure to </w:t>
      </w:r>
      <w:r w:rsidR="00961F78">
        <w:rPr>
          <w:rFonts w:ascii="Calibri" w:hAnsi="Calibri" w:cs="Arial"/>
        </w:rPr>
        <w:t xml:space="preserve">inhaled pathogens </w:t>
      </w:r>
      <w:r w:rsidR="00961F78">
        <w:rPr>
          <w:rFonts w:ascii="Calibri" w:hAnsi="Calibri" w:cs="Arial"/>
        </w:rPr>
        <w:fldChar w:fldCharType="begin" w:fldLock="1"/>
      </w:r>
      <w:r w:rsidR="00961F78">
        <w:rPr>
          <w:rFonts w:ascii="Calibri" w:hAnsi="Calibri" w:cs="Arial"/>
        </w:rPr>
        <w:instrText>ADDIN CSL_CITATION { "citationItems" : [ { "id" : "ITEM-1", "itemData" : { "DOI" : "10.3389/fphys.2015.00312", "ISSN" : "1664-042X", "PMID" : "26617525", "abstract" : "Asthma and chronic obstructive pulmonary disease (COPD) have both been historically associated with significant morbidity and financial burden. These diseases can be induced by several exogenous factors, such as pathogen-associated molecular patterns (PAMPs) (e.g., allergens and microbes). Endogenous factors, including reactive oxygen species, and damage-associated molecular patterns (DAMPs) recognized by toll-like receptors (TLRs), can also result in airway inflammation. Asthma is characterized by the dominant presence of eosinophils, mast cells, and clusters of differentiation (CD)4(+) T cells in the airways, while COPD typically results in the excessive formation of neutrophils, macrophages, and CD8(+) T cells in the airways. In both asthma and COPD, in the respiratory tract, TLRs are the primary proteins of interest associated with the innate and adaptive immune responses; hence, multiple treatment options targeting TLRs are being explored in an effort to reduce the severity of the symptoms of these disorders. TLR-mediated pathways for both COPD and asthma have their similarities and differences with regards to cell types and the pro-inflammatory cytotoxins present in the airway. Because of the complex TLR cascade, a variety of treatments have been used to minimize airway hypersensitivity and promote bronchodilation. Although unsuccessful at completely alleviating COPD and severe asthmatic symptoms, new studies are focused on possible targets within the TLR cascade to ameliorate airway inflammation.", "author" : [ { "dropping-particle" : "", "family" : "Zuo", "given" : "Li", "non-dropping-particle" : "", "parse-names" : false, "suffix" : "" }, { "dropping-particle" : "", "family" : "Lucas", "given" : "Kurt", "non-dropping-particle" : "", "parse-names" : false, "suffix" : "" }, { "dropping-particle" : "", "family" : "Fortuna", "given" : "Christopher A", "non-dropping-particle" : "", "parse-names" : false, "suffix" : "" }, { "dropping-particle" : "", "family" : "Chuang", "given" : "Chia-Chen", "non-dropping-particle" : "", "parse-names" : false, "suffix" : "" }, { "dropping-particle" : "", "family" : "Best", "given" : "Thomas M", "non-dropping-particle" : "", "parse-names" : false, "suffix" : "" } ], "container-title" : "Frontiers in physiology", "id" : "ITEM-1", "issued" : { "date-parts" : [ [ "2015", "1" ] ] }, "page" : "312", "title" : "Molecular Regulation of Toll-like Receptors in Asthma and COPD.", "type" : "article-journal", "volume" : "6" }, "uris" : [ "http://www.mendeley.com/documents/?uuid=4c53cfb0-9ac8-409f-8785-69f89a9118b9" ] } ], "mendeley" : { "formattedCitation" : "(Zuo, Lucas, Fortuna, Chuang, &amp; Best, 2015)", "plainTextFormattedCitation" : "(Zuo, Lucas, Fortuna, Chuang, &amp; Best, 2015)", "previouslyFormattedCitation" : "(Zuo, Lucas, Fortuna, Chuang, &amp; Best, 2015)" }, "properties" : { "noteIndex" : 0 }, "schema" : "https://github.com/citation-style-language/schema/raw/master/csl-citation.json" }</w:instrText>
      </w:r>
      <w:r w:rsidR="00961F78">
        <w:rPr>
          <w:rFonts w:ascii="Calibri" w:hAnsi="Calibri" w:cs="Arial"/>
        </w:rPr>
        <w:fldChar w:fldCharType="separate"/>
      </w:r>
      <w:r w:rsidR="00961F78" w:rsidRPr="003E6987">
        <w:rPr>
          <w:rFonts w:ascii="Calibri" w:hAnsi="Calibri" w:cs="Arial"/>
          <w:noProof/>
        </w:rPr>
        <w:t>(Zuo, Lucas, Fortuna, Chuang, &amp; Best, 2015)</w:t>
      </w:r>
      <w:r w:rsidR="00961F78">
        <w:rPr>
          <w:rFonts w:ascii="Calibri" w:hAnsi="Calibri" w:cs="Arial"/>
        </w:rPr>
        <w:fldChar w:fldCharType="end"/>
      </w:r>
      <w:r w:rsidR="00961F78">
        <w:rPr>
          <w:rFonts w:ascii="Calibri" w:hAnsi="Calibri" w:cs="Arial"/>
        </w:rPr>
        <w:t xml:space="preserve">. </w:t>
      </w:r>
      <w:r w:rsidR="001C73EB">
        <w:rPr>
          <w:rFonts w:ascii="Calibri" w:hAnsi="Calibri" w:cs="Arial"/>
        </w:rPr>
        <w:t xml:space="preserve">Interestingly, studies have </w:t>
      </w:r>
      <w:r w:rsidR="004E328A">
        <w:rPr>
          <w:rFonts w:ascii="Calibri" w:hAnsi="Calibri" w:cs="Arial"/>
        </w:rPr>
        <w:t xml:space="preserve">also </w:t>
      </w:r>
      <w:r w:rsidR="001C73EB">
        <w:rPr>
          <w:rFonts w:ascii="Calibri" w:hAnsi="Calibri" w:cs="Arial"/>
        </w:rPr>
        <w:t xml:space="preserve">indicated that </w:t>
      </w:r>
      <w:r w:rsidR="0061378A">
        <w:rPr>
          <w:rFonts w:ascii="Calibri" w:hAnsi="Calibri" w:cs="Arial"/>
        </w:rPr>
        <w:t>the lung is not sterile</w:t>
      </w:r>
      <w:r w:rsidR="001C73EB">
        <w:rPr>
          <w:rFonts w:ascii="Calibri" w:hAnsi="Calibri" w:cs="Arial"/>
        </w:rPr>
        <w:t xml:space="preserve">, as </w:t>
      </w:r>
      <w:r w:rsidR="00B30788">
        <w:rPr>
          <w:rFonts w:ascii="Calibri" w:hAnsi="Calibri" w:cs="Arial"/>
        </w:rPr>
        <w:t xml:space="preserve">commonly </w:t>
      </w:r>
      <w:r w:rsidR="001C73EB">
        <w:rPr>
          <w:rFonts w:ascii="Calibri" w:hAnsi="Calibri" w:cs="Arial"/>
        </w:rPr>
        <w:t>believed,</w:t>
      </w:r>
      <w:r w:rsidR="008F2499">
        <w:rPr>
          <w:rFonts w:ascii="Calibri" w:hAnsi="Calibri" w:cs="Arial"/>
        </w:rPr>
        <w:t xml:space="preserve"> but</w:t>
      </w:r>
      <w:r w:rsidR="00961F78">
        <w:rPr>
          <w:rFonts w:ascii="Calibri" w:hAnsi="Calibri" w:cs="Arial"/>
        </w:rPr>
        <w:t xml:space="preserve"> populated by numerous microb</w:t>
      </w:r>
      <w:r w:rsidR="00A77412">
        <w:rPr>
          <w:rFonts w:ascii="Calibri" w:hAnsi="Calibri" w:cs="Arial"/>
        </w:rPr>
        <w:t xml:space="preserve">es </w:t>
      </w:r>
      <w:r w:rsidR="00961F78">
        <w:rPr>
          <w:rFonts w:ascii="Calibri" w:hAnsi="Calibri" w:cs="Arial"/>
        </w:rPr>
        <w:fldChar w:fldCharType="begin" w:fldLock="1"/>
      </w:r>
      <w:r w:rsidR="00BC77BD">
        <w:rPr>
          <w:rFonts w:ascii="Calibri" w:hAnsi="Calibri" w:cs="Arial"/>
        </w:rPr>
        <w:instrText>ADDIN CSL_CITATION { "citationItems" : [ { "id" : "ITEM-1", "itemData" : { "DOI" : "10.1186/s13223-015-0102-0", "ISSN" : "1710-1484", "PMID" : "26664362", "abstract" : "The human microbiome can be defined as the microorganisms that reside within and on our bodies and how they interact with the environment. Recent research suggests that numerous mutually beneficial interactions occur between a human and their microbiome, including those that are essential for good health. Modern microbiological detection techniques have contributed to new knowledge about microorganisms in their human environment. These findings reveal that the microbiomes of the lung and gut contribute to the pathogenesis of asthma and allergy. For example, evidence indicates that the microbiome of the gut regulates the activities of helper T cell subsets (Th1 and Th2) that affect the development of immune tolerance. Moreover, recent studies demonstrate differences between the lung microbiomes of healthy and asthmatic subjects. The hygiene and biodiversity hypotheses explain how exposure to microorganisms is associated with asthma and allergy. Although those living in developed countries are exposed to fewer and less diverse microorganisms compared with the inhabitants of developing countries, they are experiencing an increase in the incidence of asthma and allergies. Detailed analyses of the human microbiome, as are being conducted under the auspices of the Human Microbiome Project initiated in 2007, promise to contribute insights into the mechanisms and factors that cause asthma and allergy that may lead to the development of strategies to prevent and treat these diseases.", "author" : [ { "dropping-particle" : "", "family" : "Riiser", "given" : "Amund", "non-dropping-particle" : "", "parse-names" : false, "suffix" : "" } ], "container-title" : "Allergy, asthma, and clinical immunology : official journal of the Canadian Society of Allergy and Clinical Immunology", "id" : "ITEM-1", "issued" : { "date-parts" : [ [ "2015", "1" ] ] }, "page" : "35", "title" : "The human microbiome, asthma, and allergy.", "type" : "article-journal", "volume" : "11" }, "uris" : [ "http://www.mendeley.com/documents/?uuid=c594d9d2-e7d6-496b-be47-d4f1d72683c9" ] } ], "mendeley" : { "formattedCitation" : "(Riiser, 2015)", "plainTextFormattedCitation" : "(Riiser, 2015)", "previouslyFormattedCitation" : "(Riiser, 2015)" }, "properties" : { "noteIndex" : 0 }, "schema" : "https://github.com/citation-style-language/schema/raw/master/csl-citation.json" }</w:instrText>
      </w:r>
      <w:r w:rsidR="00961F78">
        <w:rPr>
          <w:rFonts w:ascii="Calibri" w:hAnsi="Calibri" w:cs="Arial"/>
        </w:rPr>
        <w:fldChar w:fldCharType="separate"/>
      </w:r>
      <w:r w:rsidR="00961F78" w:rsidRPr="004478D6">
        <w:rPr>
          <w:rFonts w:ascii="Calibri" w:hAnsi="Calibri" w:cs="Arial"/>
          <w:noProof/>
        </w:rPr>
        <w:t>(Riiser, 2015)</w:t>
      </w:r>
      <w:r w:rsidR="00961F78">
        <w:rPr>
          <w:rFonts w:ascii="Calibri" w:hAnsi="Calibri" w:cs="Arial"/>
        </w:rPr>
        <w:fldChar w:fldCharType="end"/>
      </w:r>
      <w:r w:rsidR="00961F78">
        <w:rPr>
          <w:rFonts w:ascii="Calibri" w:hAnsi="Calibri" w:cs="Arial"/>
        </w:rPr>
        <w:t xml:space="preserve">. Although sampling approaches and analytical methodologies </w:t>
      </w:r>
      <w:r w:rsidR="00A77412">
        <w:rPr>
          <w:rFonts w:ascii="Calibri" w:hAnsi="Calibri" w:cs="Arial"/>
        </w:rPr>
        <w:t>confound this research</w:t>
      </w:r>
      <w:r w:rsidR="0061378A">
        <w:rPr>
          <w:rFonts w:ascii="Calibri" w:hAnsi="Calibri" w:cs="Arial"/>
        </w:rPr>
        <w:t xml:space="preserve"> </w:t>
      </w:r>
      <w:r w:rsidR="0061378A">
        <w:rPr>
          <w:rFonts w:ascii="Calibri" w:hAnsi="Calibri" w:cs="Arial"/>
        </w:rPr>
        <w:fldChar w:fldCharType="begin" w:fldLock="1"/>
      </w:r>
      <w:r w:rsidR="000609A8">
        <w:rPr>
          <w:rFonts w:ascii="Calibri" w:hAnsi="Calibri" w:cs="Arial"/>
        </w:rPr>
        <w:instrText>ADDIN CSL_CITATION { "citationItems" : [ { "id" : "ITEM-1", "itemData" : { "DOI" : "10.1186/s12915-014-0087-z", "ISSN" : "1741-7007", "PMID" : "25387460", "abstract" : "BACKGROUND: The study of microbial communities has been revolutionised in recent years by the widespread adoption of culture independent analytical techniques such as 16S rRNA gene sequencing and metagenomics. One potential confounder of these sequence-based approaches is the presence of contamination in DNA extraction kits and other laboratory reagents.\n\nRESULTS: In this study we demonstrate that contaminating DNA is ubiquitous in commonly used DNA extraction kits and other laboratory reagents, varies greatly in composition between different kits and kit batches, and that this contamination critically impacts results obtained from samples containing a low microbial biomass. Contamination impacts both PCR-based 16S rRNA gene surveys and shotgun metagenomics. We provide an extensive list of potential contaminating genera, and guidelines on how to mitigate the effects of contamination.\n\nCONCLUSIONS: These results suggest that caution should be advised when applying sequence-based techniques to the study of microbiota present in low biomass environments. Concurrent sequencing of negative control samples is strongly advised.", "author" : [ { "dropping-particle" : "", "family" : "Salter", "given" : "Susannah J", "non-dropping-particle" : "", "parse-names" : false, "suffix" : "" }, { "dropping-particle" : "", "family" : "Cox", "given" : "Michael J", "non-dropping-particle" : "", "parse-names" : false, "suffix" : "" }, { "dropping-particle" : "", "family" : "Turek", "given" : "Elena M", "non-dropping-particle" : "", "parse-names" : false, "suffix" : "" }, { "dropping-particle" : "", "family" : "Calus", "given" : "Szymon T", "non-dropping-particle" : "", "parse-names" : false, "suffix" : "" }, { "dropping-particle" : "", "family" : "Cookson", "given" : "William O", "non-dropping-particle" : "", "parse-names" : false, "suffix" : "" }, { "dropping-particle" : "", "family" : "Moffatt", "given" : "Miriam F", "non-dropping-particle" : "", "parse-names" : false, "suffix" : "" }, { "dropping-particle" : "", "family" : "Turner", "given" : "Paul", "non-dropping-particle" : "", "parse-names" : false, "suffix" : "" }, { "dropping-particle" : "", "family" : "Parkhill", "given" : "Julian", "non-dropping-particle" : "", "parse-names" : false, "suffix" : "" }, { "dropping-particle" : "", "family" : "Loman", "given" : "Nicholas J", "non-dropping-particle" : "", "parse-names" : false, "suffix" : "" }, { "dropping-particle" : "", "family" : "Walker", "given" : "Alan W", "non-dropping-particle" : "", "parse-names" : false, "suffix" : "" } ], "container-title" : "BMC Biology", "id" : "ITEM-1", "issue" : "1", "issued" : { "date-parts" : [ [ "2014", "1" ] ] }, "page" : "87", "title" : "Reagent and laboratory contamination can critically impact sequence-based microbiome analyses", "type" : "article-journal", "volume" : "12" }, "uris" : [ "http://www.mendeley.com/documents/?uuid=2969d023-aaa0-4cb3-82c3-956921b20582" ] } ], "mendeley" : { "formattedCitation" : "(Salter et al., 2014)", "plainTextFormattedCitation" : "(Salter et al., 2014)", "previouslyFormattedCitation" : "(Salter et al., 2014)" }, "properties" : { "noteIndex" : 0 }, "schema" : "https://github.com/citation-style-language/schema/raw/master/csl-citation.json" }</w:instrText>
      </w:r>
      <w:r w:rsidR="0061378A">
        <w:rPr>
          <w:rFonts w:ascii="Calibri" w:hAnsi="Calibri" w:cs="Arial"/>
        </w:rPr>
        <w:fldChar w:fldCharType="separate"/>
      </w:r>
      <w:r w:rsidR="0061378A" w:rsidRPr="0061378A">
        <w:rPr>
          <w:rFonts w:ascii="Calibri" w:hAnsi="Calibri" w:cs="Arial"/>
          <w:noProof/>
        </w:rPr>
        <w:t>(Salter et al., 2014)</w:t>
      </w:r>
      <w:r w:rsidR="0061378A">
        <w:rPr>
          <w:rFonts w:ascii="Calibri" w:hAnsi="Calibri" w:cs="Arial"/>
        </w:rPr>
        <w:fldChar w:fldCharType="end"/>
      </w:r>
      <w:r w:rsidR="00961F78">
        <w:rPr>
          <w:rFonts w:ascii="Calibri" w:hAnsi="Calibri" w:cs="Arial"/>
        </w:rPr>
        <w:t xml:space="preserve">, reports of pulmonary microbiome imbalances </w:t>
      </w:r>
      <w:r w:rsidR="008F2499">
        <w:rPr>
          <w:rFonts w:ascii="Calibri" w:hAnsi="Calibri" w:cs="Arial"/>
        </w:rPr>
        <w:t>have emerged</w:t>
      </w:r>
      <w:r w:rsidR="0061378A">
        <w:rPr>
          <w:rFonts w:ascii="Calibri" w:hAnsi="Calibri" w:cs="Arial"/>
        </w:rPr>
        <w:t xml:space="preserve">. </w:t>
      </w:r>
      <w:r w:rsidR="00961F78">
        <w:rPr>
          <w:rFonts w:ascii="Calibri" w:hAnsi="Calibri" w:cs="Arial"/>
        </w:rPr>
        <w:t xml:space="preserve">Whether </w:t>
      </w:r>
      <w:r w:rsidR="00A77412">
        <w:rPr>
          <w:rFonts w:ascii="Calibri" w:hAnsi="Calibri" w:cs="Arial"/>
        </w:rPr>
        <w:t xml:space="preserve">these are </w:t>
      </w:r>
      <w:r w:rsidR="00961F78">
        <w:rPr>
          <w:rFonts w:ascii="Calibri" w:hAnsi="Calibri" w:cs="Arial"/>
        </w:rPr>
        <w:t>causal or consequential remains to be determined</w:t>
      </w:r>
      <w:r w:rsidR="00A77412">
        <w:rPr>
          <w:rFonts w:ascii="Calibri" w:hAnsi="Calibri" w:cs="Arial"/>
        </w:rPr>
        <w:t>, h</w:t>
      </w:r>
      <w:r w:rsidR="00961F78">
        <w:rPr>
          <w:rFonts w:ascii="Calibri" w:hAnsi="Calibri" w:cs="Arial"/>
        </w:rPr>
        <w:t>owever</w:t>
      </w:r>
      <w:r w:rsidR="00A9637D">
        <w:rPr>
          <w:rFonts w:ascii="Calibri" w:hAnsi="Calibri" w:cs="Arial"/>
        </w:rPr>
        <w:t>,</w:t>
      </w:r>
      <w:r w:rsidR="00961F78">
        <w:rPr>
          <w:rFonts w:ascii="Calibri" w:hAnsi="Calibri" w:cs="Arial"/>
        </w:rPr>
        <w:t xml:space="preserve"> their relevance to</w:t>
      </w:r>
      <w:r w:rsidR="00A9637D">
        <w:rPr>
          <w:rFonts w:ascii="Calibri" w:hAnsi="Calibri" w:cs="Arial"/>
        </w:rPr>
        <w:t xml:space="preserve"> </w:t>
      </w:r>
      <w:r w:rsidR="00961F78">
        <w:rPr>
          <w:rFonts w:ascii="Calibri" w:hAnsi="Calibri" w:cs="Arial"/>
        </w:rPr>
        <w:t xml:space="preserve">immune plasticity during treatment is of therapeutic interest, especially </w:t>
      </w:r>
      <w:r w:rsidR="00A77412">
        <w:rPr>
          <w:rFonts w:ascii="Calibri" w:hAnsi="Calibri" w:cs="Arial"/>
        </w:rPr>
        <w:t>where</w:t>
      </w:r>
      <w:r w:rsidR="00961F78">
        <w:rPr>
          <w:rFonts w:ascii="Calibri" w:hAnsi="Calibri" w:cs="Arial"/>
        </w:rPr>
        <w:t xml:space="preserve"> novel therapeutics </w:t>
      </w:r>
      <w:r w:rsidR="00A77412">
        <w:rPr>
          <w:rFonts w:ascii="Calibri" w:hAnsi="Calibri" w:cs="Arial"/>
        </w:rPr>
        <w:t>may</w:t>
      </w:r>
      <w:r w:rsidR="00961F78">
        <w:rPr>
          <w:rFonts w:ascii="Calibri" w:hAnsi="Calibri" w:cs="Arial"/>
        </w:rPr>
        <w:t xml:space="preserve"> interact </w:t>
      </w:r>
      <w:r w:rsidR="00A77412">
        <w:rPr>
          <w:rFonts w:ascii="Calibri" w:hAnsi="Calibri" w:cs="Arial"/>
        </w:rPr>
        <w:t>with</w:t>
      </w:r>
      <w:r w:rsidR="005F1F3D">
        <w:rPr>
          <w:rFonts w:ascii="Calibri" w:hAnsi="Calibri" w:cs="Arial"/>
        </w:rPr>
        <w:t>,</w:t>
      </w:r>
      <w:r w:rsidR="00A77412">
        <w:rPr>
          <w:rFonts w:ascii="Calibri" w:hAnsi="Calibri" w:cs="Arial"/>
        </w:rPr>
        <w:t xml:space="preserve"> </w:t>
      </w:r>
      <w:r w:rsidR="00961F78">
        <w:rPr>
          <w:rFonts w:ascii="Calibri" w:hAnsi="Calibri" w:cs="Arial"/>
        </w:rPr>
        <w:t xml:space="preserve">or affect immune status. </w:t>
      </w:r>
    </w:p>
    <w:p w14:paraId="7436A59E" w14:textId="77777777" w:rsidR="001C73EB" w:rsidRDefault="001C73EB" w:rsidP="005837A4">
      <w:pPr>
        <w:spacing w:line="480" w:lineRule="auto"/>
        <w:jc w:val="both"/>
        <w:rPr>
          <w:rFonts w:ascii="Calibri" w:hAnsi="Calibri" w:cs="Arial"/>
        </w:rPr>
      </w:pPr>
    </w:p>
    <w:p w14:paraId="74770AAB" w14:textId="743746A1" w:rsidR="000A512B" w:rsidRDefault="008F2499" w:rsidP="005837A4">
      <w:pPr>
        <w:spacing w:line="480" w:lineRule="auto"/>
        <w:jc w:val="both"/>
        <w:rPr>
          <w:rFonts w:ascii="Calibri" w:hAnsi="Calibri" w:cs="Arial"/>
        </w:rPr>
      </w:pPr>
      <w:r>
        <w:rPr>
          <w:rFonts w:ascii="Calibri" w:hAnsi="Calibri" w:cs="Arial"/>
        </w:rPr>
        <w:t>The</w:t>
      </w:r>
      <w:r w:rsidR="000834B2">
        <w:rPr>
          <w:rFonts w:ascii="Calibri" w:hAnsi="Calibri" w:cs="Arial"/>
        </w:rPr>
        <w:t xml:space="preserve"> physiological, mechanistic and molecular differences</w:t>
      </w:r>
      <w:r w:rsidR="00CF345E">
        <w:rPr>
          <w:rFonts w:ascii="Calibri" w:hAnsi="Calibri" w:cs="Arial"/>
        </w:rPr>
        <w:t xml:space="preserve"> between pathologies, coupled to the functional differences between species </w:t>
      </w:r>
      <w:r w:rsidR="00961F78">
        <w:rPr>
          <w:rFonts w:ascii="Calibri" w:hAnsi="Calibri" w:cs="Arial"/>
        </w:rPr>
        <w:t xml:space="preserve">and </w:t>
      </w:r>
      <w:r w:rsidR="00BC77BD">
        <w:rPr>
          <w:rFonts w:ascii="Calibri" w:hAnsi="Calibri" w:cs="Arial"/>
        </w:rPr>
        <w:t>organizational</w:t>
      </w:r>
      <w:r w:rsidR="00961F78">
        <w:rPr>
          <w:rFonts w:ascii="Calibri" w:hAnsi="Calibri" w:cs="Arial"/>
        </w:rPr>
        <w:t xml:space="preserve"> complexity of the tissue</w:t>
      </w:r>
      <w:r w:rsidR="000834B2">
        <w:rPr>
          <w:rFonts w:ascii="Calibri" w:hAnsi="Calibri" w:cs="Arial"/>
        </w:rPr>
        <w:t xml:space="preserve"> are </w:t>
      </w:r>
      <w:r>
        <w:rPr>
          <w:rFonts w:ascii="Calibri" w:hAnsi="Calibri" w:cs="Arial"/>
        </w:rPr>
        <w:t>such that</w:t>
      </w:r>
      <w:r w:rsidR="00CF345E">
        <w:rPr>
          <w:rFonts w:ascii="Calibri" w:hAnsi="Calibri" w:cs="Arial"/>
        </w:rPr>
        <w:t xml:space="preserve"> </w:t>
      </w:r>
      <w:r w:rsidR="00CF345E">
        <w:rPr>
          <w:rFonts w:ascii="Calibri" w:hAnsi="Calibri" w:cs="Arial"/>
          <w:i/>
        </w:rPr>
        <w:t xml:space="preserve">in vitro </w:t>
      </w:r>
      <w:r w:rsidR="00CF345E">
        <w:rPr>
          <w:rFonts w:ascii="Calibri" w:hAnsi="Calibri" w:cs="Arial"/>
        </w:rPr>
        <w:t>2D/</w:t>
      </w:r>
      <w:r>
        <w:rPr>
          <w:rFonts w:ascii="Calibri" w:hAnsi="Calibri" w:cs="Arial"/>
        </w:rPr>
        <w:t>3D/co-culture system</w:t>
      </w:r>
      <w:r w:rsidR="00CF345E">
        <w:rPr>
          <w:rFonts w:ascii="Calibri" w:hAnsi="Calibri" w:cs="Arial"/>
        </w:rPr>
        <w:t xml:space="preserve"> and</w:t>
      </w:r>
      <w:r>
        <w:rPr>
          <w:rFonts w:ascii="Calibri" w:hAnsi="Calibri" w:cs="Arial"/>
        </w:rPr>
        <w:t xml:space="preserve"> animal model use is</w:t>
      </w:r>
      <w:r w:rsidR="000834B2">
        <w:rPr>
          <w:rFonts w:ascii="Calibri" w:hAnsi="Calibri" w:cs="Arial"/>
        </w:rPr>
        <w:t xml:space="preserve"> </w:t>
      </w:r>
      <w:r w:rsidR="00A9637D">
        <w:rPr>
          <w:rFonts w:ascii="Calibri" w:hAnsi="Calibri" w:cs="Arial"/>
        </w:rPr>
        <w:t>limited</w:t>
      </w:r>
      <w:r w:rsidR="00D2094D">
        <w:rPr>
          <w:rFonts w:ascii="Calibri" w:hAnsi="Calibri" w:cs="Arial"/>
        </w:rPr>
        <w:t xml:space="preserve">, or at least </w:t>
      </w:r>
      <w:r w:rsidR="00A9637D">
        <w:rPr>
          <w:rFonts w:ascii="Calibri" w:hAnsi="Calibri" w:cs="Arial"/>
        </w:rPr>
        <w:t xml:space="preserve">challenging </w:t>
      </w:r>
      <w:r w:rsidR="00BC77BD">
        <w:rPr>
          <w:rFonts w:ascii="Calibri" w:hAnsi="Calibri" w:cs="Arial"/>
        </w:rPr>
        <w:t xml:space="preserve">in their translational value </w:t>
      </w:r>
      <w:r w:rsidR="000377B7">
        <w:rPr>
          <w:rFonts w:ascii="Calibri" w:hAnsi="Calibri" w:cs="Arial"/>
        </w:rPr>
        <w:fldChar w:fldCharType="begin" w:fldLock="1"/>
      </w:r>
      <w:r w:rsidR="00353BD8">
        <w:rPr>
          <w:rFonts w:ascii="Calibri" w:hAnsi="Calibri" w:cs="Arial"/>
        </w:rPr>
        <w:instrText>ADDIN CSL_CITATION { "citationItems" : [ { "id" : "ITEM-1", "itemData" : { "DOI" : "10.1152/ajplung.00064.2008", "ISSN" : "1040-0605", "PMID" : "18502816", "abstract" : "Current emphasis on translational application of genetic models of lung disease has renewed interest in the measurement of the gravimetric filtration coefficient (K(f)) as a means to assess vascular permeability changes in isolated perfused lungs. The K(f) is the product of the hydraulic conductivity and the filtration surface area, and is a sensitive measure of vascular fluid permeability when the pulmonary vessels are fully recruited and perfused. We have observed a remarkable consistency of the normalized baseline K(f) values between species with widely varying body weights from mice to sheep. Uniformity of K(f) values can be attributed to the thin alveolar capillary barrier required for gas exchange and the conserved matching of lung vascular surface area to the oxygen requirements of the body mass. An allometric correlation between the total lung filtration coefficient (K(f,t)) and body weight in several species (r(2)=1.00) had a slope that was similar to those reported for alveolar and pulmonary capillary surface areas and pulmonary diffusion coefficients determined by morphometric methods in these species. A consistent K(f) is dependent on accurately separating the filtration and vascular volume components of lung weight gain, then K(f) is a consistent and repeatable index of lung vascular permeability.", "author" : [ { "dropping-particle" : "", "family" : "Parker", "given" : "James C", "non-dropping-particle" : "", "parse-names" : false, "suffix" : "" }, { "dropping-particle" : "", "family" : "Townsley", "given" : "Mary I", "non-dropping-particle" : "", "parse-names" : false, "suffix" : "" } ], "container-title" : "American journal of physiology. Lung cellular and molecular physiology", "id" : "ITEM-1", "issue" : "2", "issued" : { "date-parts" : [ [ "2008", "8" ] ] }, "page" : "L235-7", "title" : "Physiological determinants of the pulmonary filtration coefficient.", "type" : "article-journal", "volume" : "295" }, "uris" : [ "http://www.mendeley.com/documents/?uuid=f1edb89c-f984-4cfb-b086-bfd60d3faffe" ] }, { "id" : "ITEM-2", "itemData" : { "DOI" : "10.1016/j.aanat.2013.10.004", "ISSN" : "1618-0402", "PMID" : "24268708", "abstract" : "Chronic obstructive pulmonary disease (COPD) is one of the most common lung diseases. The major component of COPD, which affects the gas-exchanging parenchyma of the lung, emphysema, is characterized by destruction of alveolar septae leading to loss of functional surface, loss of alveoli and enlargement of remaining distal airspaces. These microstructural alterations can be modeled in animals and can be measured using stereological methods applied to imaging datasets. Many animal models of emphysema exist, but most of them are insufficiently characterized with respect to the underlying nature (e.g. destructive or developmental) and the degree of the structural alterations. The most popular parameter for assessment of emphysematous alterations, mean linear intercept length, has severe limitations. It can, therefore, not be recommended. Better design-based stereological alternatives exist but are less often applied, such as total volumes of parenchymal compartments (alveolar airspace, alveolar duct airspace, alveolar septum), total alveolar surface area, total alveolar number and mean alveolar size and its size variation. A prerequisite is the use of appropriate fixation, sampling, and specimen processing protocols. This article reviews the challenges of stereologic assessment of emphysematous alterations in the lung and illustrates possible strategies.", "author" : [ { "dropping-particle" : "", "family" : "Ochs", "given" : "Matthias", "non-dropping-particle" : "", "parse-names" : false, "suffix" : "" } ], "container-title" : "Annals of anatomy = Anatomischer Anzeiger : official organ of the Anatomische Gesellschaft", "id" : "ITEM-2", "issue" : "1", "issued" : { "date-parts" : [ [ "2014", "1" ] ] }, "page" : "26-33", "title" : "Estimating structural alterations in animal models of lung emphysema. Is there a gold standard?", "type" : "article-journal", "volume" : "196" }, "uris" : [ "http://www.mendeley.com/documents/?uuid=1030b6d8-85a7-4e21-884c-7a39280c6ffc" ] }, { "id" : "ITEM-3", "itemData" : { "DOI" : "10.1002/path.4658", "ISSN" : "1096-9896", "PMID" : "26467890", "abstract" : "Respiratory disorders like asthma, emphysema, and pulmonary fibrosis affect millions of Americans and many more worldwide. Despite advancements in medical research that have lead to improved understanding of the pathophysiology of these conditions and sometimes to new therapeutic interventions, these disorders are for the most part chronic and progressive; current interventions are not curative and do not halt disease progression. A major obstacle to further advancements relates to the absence of animal models that exactly resemble the human condition, which delays the elucidation of relevant mechanisms of action, the unveiling of biomarkers of disease progression, and identification of new targets for intervention in patients. There are currently many induced animal models of human respiratory disease available for study, and even though they mimic features of human disease, discoveries in these models have not always translated into safe and effective treatments in humans. A major obstacle relates to the genetic, anatomical, and functional variations amongst species, which represents the major challenge to overcome when searching for appropriate models of respiratory disease. Nevertheless, rodents, in particular mice, have become the most common species used for experimentation due to their relatively low cost, size, and adequate understanding of murine genetics, among other advantages. Less well known is the fact that domestic animals also suffer from respiratory illnesses similar to those found in humans. Asthma, bronchitis, pneumonia and pulmonary fibrosis are among the many disorders occurring naturally in dogs, cats, and horses, among other species. These models might better resemble the human condition and are emphasized here, but further investigations are needed to determine their relevance.", "author" : [ { "dropping-particle" : "", "family" : "Williams", "given" : "Kurt", "non-dropping-particle" : "", "parse-names" : false, "suffix" : "" }, { "dropping-particle" : "", "family" : "Roman", "given" : "Jesse", "non-dropping-particle" : "", "parse-names" : false, "suffix" : "" } ], "container-title" : "The Journal of pathology", "id" : "ITEM-3", "issue" : "2", "issued" : { "date-parts" : [ [ "2015", "10", "15" ] ] }, "page" : "220-32", "title" : "Studying human respiratory disease in animals - Role of induced and naturally-occurring models.", "type" : "article-journal", "volume" : "238" }, "uris" : [ "http://www.mendeley.com/documents/?uuid=3b5ccb61-cd21-493b-8467-7da8e86da7d4" ] }, { "id" : "ITEM-4", "itemData" : { "DOI" : "10.1016/j.tiv.2013.10.025", "ISSN" : "1879-3177", "PMID" : "24216300", "abstract" : "The respiratory route is an important portal for human exposure to a large variety of substances. Consequently, there is an urgent need for realistic in vitro strategies for evaluation of the absorption of airborne substances with regard to safety and efficacy assessment. The present study investigated feasibility of a 3D human airway epithelial model to study respiratory absorption, in particular to differentiate between low and high absorption of substances. Bronchial epithelial models (MucilAir\u2122), cultured at the air-liquid interface, were exposed to eight radiolabeled model substances via the apical epithelial surface. Absorption was evaluated by measuring radioactivity in the apical compartment, the epithelial cells and the basolateral culture medium. Antipyrine, caffeine, naproxen and propranolol were highly transported across the epithelial cell layer (&gt;5%), whereas atenolol, mannitol, PEG-400 and insulin were limitedly transported (&lt;5%). Results indicate that the 3D human airway epithelial model used in this study is able to differentiate between substances with low and high absorption. The intra-experimental reproducibility of the results was considered adequate based on an average coefficient of variation (CV) of 15%. The inter-experimental reproducibility of highly absorbed compounds was in a similar range (CV of 15%), but this value was considerably higher for those compounds that were limitedly absorbed. No statistical significant differences between different donors and experiments were observed. The present study provides a simple method transposable in any lab, which can be used to rank the absorption of chemicals and pharmaceuticals, and is ready for further validation with respect to reproducibility and capacity of the method to predict respiratory transport in humans.", "author" : [ { "dropping-particle" : "", "family" : "Reus", "given" : "Astrid A", "non-dropping-particle" : "", "parse-names" : false, "suffix" : "" }, { "dropping-particle" : "", "family" : "Maas", "given" : "Wilfred J M", "non-dropping-particle" : "", "parse-names" : false, "suffix" : "" }, { "dropping-particle" : "", "family" : "Jansen", "given" : "Harm T", "non-dropping-particle" : "", "parse-names" : false, "suffix" : "" }, { "dropping-particle" : "", "family" : "Constant", "given" : "Samuel", "non-dropping-particle" : "", "parse-names" : false, "suffix" : "" }, { "dropping-particle" : "", "family" : "Staal", "given" : "Yvonne C M", "non-dropping-particle" : "", "parse-names" : false, "suffix" : "" }, { "dropping-particle" : "", "family" : "Triel", "given" : "Jos J", "non-dropping-particle" : "van", "parse-names" : false, "suffix" : "" }, { "dropping-particle" : "", "family" : "Kuper", "given" : "C Frieke", "non-dropping-particle" : "", "parse-names" : false, "suffix" : "" } ], "container-title" : "Toxicology in vitro : an international journal published in association with BIBRA", "id" : "ITEM-4", "issue" : "2", "issued" : { "date-parts" : [ [ "2014", "3" ] ] }, "page" : "258-64", "title" : "Feasibility of a 3D human airway epithelial model to study respiratory absorption.", "type" : "article-journal", "volume" : "28" }, "uris" : [ "http://www.mendeley.com/documents/?uuid=e6ff4818-510c-4a96-842f-6e88b78e6128" ] }, { "id" : "ITEM-5", "itemData" : { "DOI" : "10.1177/1535370214536679", "ISBN" : "10.1177/1535370214536679", "ISSN" : "1535-3702", "PMID" : "24962174", "abstract" : "Respiratory tract specific cell populations, or tissue engineered in vitro grown human lung, have the potential to be used as research tools to mimic physiology, toxicology, pathology, as well as infectious diseases responses of cells or tissues. Studies related to respiratory tract pathogenesis or drug toxicity testing in the past made use of basic systems where single cell populations were exposed to test agents followed by evaluations of simple cellular responses. Although these simple single-cell-type systems provided good basic information related to cellular responses, much more can be learned from cells grown in fabricated microenvironments which mimic in vivo conditions in specialized microfabricated chambers or by human tissue engineered three-dimensional (3D) models which allow for more natural interactions between cells. Recent advances in microengineering technology, microfluidics, and tissue engineering have provided a new approach to the development of 2D and 3D cell culture models which enable production of more robust human in vitro respiratory tract models. Complex models containing multiple cell phenotypes also provide a more reasonable approximation of what occurs in vivo without the confounding elements in the dynamic in vivo environment. The goal of engineering good 3D human models is the formation of physiologically functional respiratory tissue surrogates which can be used as pathogenesis models or in the case of 2D screening systems for drug therapy evaluation as well as human toxicity testing. We hope that this manuscript will serve as a guide for development of future respiratory tract model systems as well as a review of conventional models.", "author" : [ { "dropping-particle" : "", "family" : "Nichols", "given" : "J. E.", "non-dropping-particle" : "", "parse-names" : false, "suffix" : "" }, { "dropping-particle" : "", "family" : "Niles", "given" : "J. A.", "non-dropping-particle" : "", "parse-names" : false, "suffix" : "" }, { "dropping-particle" : "", "family" : "Vega", "given" : "S. P.", "non-dropping-particle" : "", "parse-names" : false, "suffix" : "" }, { "dropping-particle" : "", "family" : "Argueta", "given" : "L. B.", "non-dropping-particle" : "", "parse-names" : false, "suffix" : "" }, { "dropping-particle" : "", "family" : "Eastaway", "given" : "A.", "non-dropping-particle" : "", "parse-names" : false, "suffix" : "" }, { "dropping-particle" : "", "family" : "Cortiella", "given" : "J.", "non-dropping-particle" : "", "parse-names" : false, "suffix" : "" } ], "container-title" : "Experimental Biology and Medicine", "id" : "ITEM-5", "issue" : "9", "issued" : { "date-parts" : [ [ "2014", "6", "24" ] ] }, "language" : "en", "page" : "1135-1169", "publisher" : "SAGE Publications", "title" : "Modeling the lung: Design and development of tissue engineered macro- and micro-physiologic lung models for research use", "type" : "article-journal", "volume" : "239" }, "uris" : [ "http://www.mendeley.com/documents/?uuid=f6a64c35-8802-49da-acb3-acf272c040e5" ] } ], "mendeley" : { "formattedCitation" : "(Nichols et al., 2014; Ochs, 2014; J. C. Parker &amp; Townsley, 2008; Reus et al., 2014; Williams &amp; Roman, 2015)", "plainTextFormattedCitation" : "(Nichols et al., 2014; Ochs, 2014; J. C. Parker &amp; Townsley, 2008; Reus et al., 2014; Williams &amp; Roman, 2015)", "previouslyFormattedCitation" : "(Nichols et al., 2014; Ochs, 2014; J. C. Parker &amp; Townsley, 2008; Reus et al., 2014; Williams &amp; Roman, 2015)" }, "properties" : { "noteIndex" : 0 }, "schema" : "https://github.com/citation-style-language/schema/raw/master/csl-citation.json" }</w:instrText>
      </w:r>
      <w:r w:rsidR="000377B7">
        <w:rPr>
          <w:rFonts w:ascii="Calibri" w:hAnsi="Calibri" w:cs="Arial"/>
        </w:rPr>
        <w:fldChar w:fldCharType="separate"/>
      </w:r>
      <w:r w:rsidR="00353BD8" w:rsidRPr="00353BD8">
        <w:rPr>
          <w:rFonts w:ascii="Calibri" w:hAnsi="Calibri" w:cs="Arial"/>
          <w:noProof/>
        </w:rPr>
        <w:t>(Nichols et al., 2014; Ochs, 2014; J. C. Parker &amp; Townsley, 2008; Reus et al., 2014; Williams &amp; Roman, 2015)</w:t>
      </w:r>
      <w:r w:rsidR="000377B7">
        <w:rPr>
          <w:rFonts w:ascii="Calibri" w:hAnsi="Calibri" w:cs="Arial"/>
        </w:rPr>
        <w:fldChar w:fldCharType="end"/>
      </w:r>
      <w:r>
        <w:rPr>
          <w:rFonts w:ascii="Calibri" w:hAnsi="Calibri" w:cs="Arial"/>
        </w:rPr>
        <w:t>. This is</w:t>
      </w:r>
      <w:r w:rsidR="000377B7">
        <w:rPr>
          <w:rFonts w:ascii="Calibri" w:hAnsi="Calibri" w:cs="Arial"/>
        </w:rPr>
        <w:t xml:space="preserve"> especially </w:t>
      </w:r>
      <w:r>
        <w:rPr>
          <w:rFonts w:ascii="Calibri" w:hAnsi="Calibri" w:cs="Arial"/>
        </w:rPr>
        <w:t xml:space="preserve">the case </w:t>
      </w:r>
      <w:r w:rsidR="000377B7">
        <w:rPr>
          <w:rFonts w:ascii="Calibri" w:hAnsi="Calibri" w:cs="Arial"/>
        </w:rPr>
        <w:t xml:space="preserve">when </w:t>
      </w:r>
      <w:r>
        <w:rPr>
          <w:rFonts w:ascii="Calibri" w:hAnsi="Calibri" w:cs="Arial"/>
        </w:rPr>
        <w:t xml:space="preserve">such approaches are </w:t>
      </w:r>
      <w:r w:rsidR="000377B7">
        <w:rPr>
          <w:rFonts w:ascii="Calibri" w:hAnsi="Calibri" w:cs="Arial"/>
        </w:rPr>
        <w:t xml:space="preserve">used in isolation </w:t>
      </w:r>
      <w:r w:rsidR="000377B7">
        <w:rPr>
          <w:rFonts w:ascii="Calibri" w:hAnsi="Calibri" w:cs="Arial"/>
        </w:rPr>
        <w:fldChar w:fldCharType="begin" w:fldLock="1"/>
      </w:r>
      <w:r w:rsidR="000377B7">
        <w:rPr>
          <w:rFonts w:ascii="Calibri" w:hAnsi="Calibri" w:cs="Arial"/>
        </w:rPr>
        <w:instrText>ADDIN CSL_CITATION { "citationItems" : [ { "id" : "ITEM-1", "itemData" : { "DOI" : "10.4168/aair.2015.7.6.525", "ISSN" : "2092-7355", "PMID" : "26333698", "abstract" : "Respiratory infections are one of the main health problems worldwide. They are a challenging field of study due to an intricate relationship between the pathogenicity of microbes and the host's defenses. To better understand mechanisms of respiratory infections, different models have been developed. A model is the reproduction of a disease in a system that mimics human pathophysiology. For this reason, the best models should closely resemble real-life conditions. Thus, the human model is the best. However, human models of respiratory infections have some disadvantages that limit their role. Therefore, other models, including animal, in vitro, and mathematical ones, have been developed. We will discuss advantages and limitations of available models and focus on models of viral infections as triggers of asthma exacerbations, viral infections being one of the most frequent causes of exacerbating disease. Future studies should focus on the interrelation of various models.", "author" : [ { "dropping-particle" : "", "family" : "Saturni", "given" : "Sara", "non-dropping-particle" : "", "parse-names" : false, "suffix" : "" }, { "dropping-particle" : "", "family" : "Contoli", "given" : "Marco", "non-dropping-particle" : "", "parse-names" : false, "suffix" : "" }, { "dropping-particle" : "", "family" : "Spanevello", "given" : "Antonio", "non-dropping-particle" : "", "parse-names" : false, "suffix" : "" }, { "dropping-particle" : "", "family" : "Papi", "given" : "Alberto", "non-dropping-particle" : "", "parse-names" : false, "suffix" : "" } ], "container-title" : "Allergy, asthma &amp; immunology research", "id" : "ITEM-1", "issue" : "6", "issued" : { "date-parts" : [ [ "2015", "11" ] ] }, "page" : "525-33", "title" : "Models of Respiratory Infections: Virus-Induced Asthma Exacerbations and Beyond.", "type" : "article-journal", "volume" : "7" }, "uris" : [ "http://www.mendeley.com/documents/?uuid=281065e4-4e1a-406f-a803-f316f65dd403" ] } ], "mendeley" : { "formattedCitation" : "(Saturni, Contoli, Spanevello, &amp; Papi, 2015)", "plainTextFormattedCitation" : "(Saturni, Contoli, Spanevello, &amp; Papi, 2015)", "previouslyFormattedCitation" : "(Saturni, Contoli, Spanevello, &amp; Papi, 2015)" }, "properties" : { "noteIndex" : 0 }, "schema" : "https://github.com/citation-style-language/schema/raw/master/csl-citation.json" }</w:instrText>
      </w:r>
      <w:r w:rsidR="000377B7">
        <w:rPr>
          <w:rFonts w:ascii="Calibri" w:hAnsi="Calibri" w:cs="Arial"/>
        </w:rPr>
        <w:fldChar w:fldCharType="separate"/>
      </w:r>
      <w:r w:rsidR="000377B7" w:rsidRPr="000377B7">
        <w:rPr>
          <w:rFonts w:ascii="Calibri" w:hAnsi="Calibri" w:cs="Arial"/>
          <w:noProof/>
        </w:rPr>
        <w:t>(Saturni, Contoli, Spanevello, &amp; Papi, 2015)</w:t>
      </w:r>
      <w:r w:rsidR="000377B7">
        <w:rPr>
          <w:rFonts w:ascii="Calibri" w:hAnsi="Calibri" w:cs="Arial"/>
        </w:rPr>
        <w:fldChar w:fldCharType="end"/>
      </w:r>
      <w:r w:rsidR="00A9637D">
        <w:rPr>
          <w:rFonts w:ascii="Calibri" w:hAnsi="Calibri" w:cs="Arial"/>
        </w:rPr>
        <w:t xml:space="preserve">, or without consideration </w:t>
      </w:r>
      <w:r w:rsidR="00A77412">
        <w:rPr>
          <w:rFonts w:ascii="Calibri" w:hAnsi="Calibri" w:cs="Arial"/>
        </w:rPr>
        <w:t>of</w:t>
      </w:r>
      <w:r w:rsidR="00A9637D">
        <w:rPr>
          <w:rFonts w:ascii="Calibri" w:hAnsi="Calibri" w:cs="Arial"/>
        </w:rPr>
        <w:t xml:space="preserve"> systems-level </w:t>
      </w:r>
      <w:r w:rsidR="00A77412">
        <w:rPr>
          <w:rFonts w:ascii="Calibri" w:hAnsi="Calibri" w:cs="Arial"/>
        </w:rPr>
        <w:t>elements</w:t>
      </w:r>
      <w:r w:rsidR="006224C2">
        <w:rPr>
          <w:rFonts w:ascii="Calibri" w:hAnsi="Calibri" w:cs="Arial"/>
        </w:rPr>
        <w:t xml:space="preserve"> </w:t>
      </w:r>
      <w:r w:rsidR="00FA4EDA">
        <w:rPr>
          <w:rFonts w:ascii="Calibri" w:hAnsi="Calibri" w:cs="Arial"/>
        </w:rPr>
        <w:fldChar w:fldCharType="begin" w:fldLock="1"/>
      </w:r>
      <w:r w:rsidR="00C55981">
        <w:rPr>
          <w:rFonts w:ascii="Calibri" w:hAnsi="Calibri" w:cs="Arial"/>
        </w:rPr>
        <w:instrText>ADDIN CSL_CITATION { "citationItems" : [ { "id" : "ITEM-1", "itemData" : { "DOI" : "10.1073/pnas.1222878110", "ISSN" : "1091-6490", "PMID" : "23401516", "abstract" : "A cornerstone of modern biomedical research is the use of mouse models to explore basic pathophysiological mechanisms, evaluate new therapeutic approaches, and make go or no-go decisions to carry new drug candidates forward into clinical trials. Systematic studies evaluating how well murine models mimic human inflammatory diseases are nonexistent. Here, we show that, although acute inflammatory stresses from different etiologies result in highly similar genomic responses in humans, the responses in corresponding mouse models correlate poorly with the human conditions and also, one another. Among genes changed significantly in humans, the murine orthologs are close to random in matching their human counterparts (e.g., R(2) between 0.0 and 0.1). In addition to improvements in the current animal model systems, our study supports higher priority for translational medical research to focus on the more complex human conditions rather than relying on mouse models to study human inflammatory diseases.", "author" : [ { "dropping-particle" : "", "family" : "Seok", "given" : "Junhee", "non-dropping-particle" : "", "parse-names" : false, "suffix" : "" }, { "dropping-particle" : "", "family" : "Warren", "given" : "H Shaw", "non-dropping-particle" : "", "parse-names" : false, "suffix" : "" }, { "dropping-particle" : "", "family" : "Cuenca", "given" : "Alex G", "non-dropping-particle" : "", "parse-names" : false, "suffix" : "" }, { "dropping-particle" : "", "family" : "Mindrinos", "given" : "Michael N", "non-dropping-particle" : "", "parse-names" : false, "suffix" : "" }, { "dropping-particle" : "V", "family" : "Baker", "given" : "Henry", "non-dropping-particle" : "", "parse-names" : false, "suffix" : "" }, { "dropping-particle" : "", "family" : "Xu", "given" : "Weihong", "non-dropping-particle" : "", "parse-names" : false, "suffix" : "" }, { "dropping-particle" : "", "family" : "Richards", "given" : "Daniel R", "non-dropping-particle" : "", "parse-names" : false, "suffix" : "" }, { "dropping-particle" : "", "family" : "McDonald-Smith", "given" : "Grace P", "non-dropping-particle" : "", "parse-names" : false, "suffix" : "" }, { "dropping-particle" : "", "family" : "Gao", "given" : "Hong", "non-dropping-particle" : "", "parse-names" : false, "suffix" : "" }, { "dropping-particle" : "", "family" : "Hennessy", "given" : "Laura", "non-dropping-particle" : "", "parse-names" : false, "suffix" : "" }, { "dropping-particle" : "", "family" : "Finnerty", "given" : "Celeste C", "non-dropping-particle" : "", "parse-names" : false, "suffix" : "" }, { "dropping-particle" : "", "family" : "L\u00f3pez", "given" : "Cecilia M", "non-dropping-particle" : "", "parse-names" : false, "suffix" : "" }, { "dropping-particle" : "", "family" : "Honari", "given" : "Shari", "non-dropping-particle" : "", "parse-names" : false, "suffix" : "" }, { "dropping-particle" : "", "family" : "Moore", "given" : "Ernest E", "non-dropping-particle" : "", "parse-names" : false, "suffix" : "" }, { "dropping-particle" : "", "family" : "Minei", "given" : "Joseph P", "non-dropping-particle" : "", "parse-names" : false, "suffix" : "" }, { "dropping-particle" : "", "family" : "Cuschieri", "given" : "Joseph", "non-dropping-particle" : "", "parse-names" : false, "suffix" : "" }, { "dropping-particle" : "", "family" : "Bankey", "given" : "Paul E", "non-dropping-particle" : "", "parse-names" : false, "suffix" : "" }, { "dropping-particle" : "", "family" : "Johnson", "given" : "Jeffrey L", "non-dropping-particle" : "", "parse-names" : false, "suffix" : "" }, { "dropping-particle" : "", "family" : "Sperry", "given" : "Jason", "non-dropping-particle" : "", "parse-names" : false, "suffix" : "" }, { "dropping-particle" : "", "family" : "Nathens", "given" : "Avery B", "non-dropping-particle" : "", "parse-names" : false, "suffix" : "" }, { "dropping-particle" : "", "family" : "Billiar", "given" : "Timothy R", "non-dropping-particle" : "", "parse-names" : false, "suffix" : "" }, { "dropping-particle" : "", "family" : "West", "given" : "Michael A", "non-dropping-particle" : "", "parse-names" : false, "suffix" : "" }, { "dropping-particle" : "", "family" : "Jeschke", "given" : "Marc G", "non-dropping-particle" : "", "parse-names" : false, "suffix" : "" }, { "dropping-particle" : "", "family" : "Klein", "given" : "Matthew B", "non-dropping-particle" : "", "parse-names" : false, "suffix" : "" }, { "dropping-particle" : "", "family" : "Gamelli", "given" : "Richard L", "non-dropping-particle" : "", "parse-names" : false, "suffix" : "" }, { "dropping-particle" : "", "family" : "Gibran", "given" : "Nicole S", "non-dropping-particle" : "", "parse-names" : false, "suffix" : "" }, { "dropping-particle" : "", "family" : "Brownstein", "given" : "Bernard H", "non-dropping-particle" : "", "parse-names" : false, "suffix" : "" }, { "dropping-particle" : "", "family" : "Miller-Graziano", "given" : "Carol", "non-dropping-particle" : "", "parse-names" : false, "suffix" : "" }, { "dropping-particle" : "", "family" : "Calvano", "given" : "Steve E", "non-dropping-particle" : "", "parse-names" : false, "suffix" : "" }, { "dropping-particle" : "", "family" : "Mason", "given" : "Philip H", "non-dropping-particle" : "", "parse-names" : false, "suffix" : "" }, { "dropping-particle" : "", "family" : "Cobb", "given" : "J Perren", "non-dropping-particle" : "", "parse-names" : false, "suffix" : "" }, { "dropping-particle" : "", "family" : "Rahme", "given" : "Laurence G", "non-dropping-particle" : "", "parse-names" : false, "suffix" : "" }, { "dropping-particle" : "", "family" : "Lowry", "given" : "Stephen F", "non-dropping-particle" : "", "parse-names" : false, "suffix" : "" }, { "dropping-particle" : "V", "family" : "Maier", "given" : "Ronald", "non-dropping-particle" : "", "parse-names" : false, "suffix" : "" }, { "dropping-particle" : "", "family" : "Moldawer", "given" : "Lyle L", "non-dropping-particle" : "", "parse-names" : false, "suffix" : "" }, { "dropping-particle" : "", "family" : "Herndon", "given" : "David N", "non-dropping-particle" : "", "parse-names" : false, "suffix" : "" }, { "dropping-particle" : "", "family" : "Davis", "given" : "Ronald W", "non-dropping-particle" : "", "parse-names" : false, "suffix" : "" }, { "dropping-particle" : "", "family" : "Xiao", "given" : "Wenzhong", "non-dropping-particle" : "", "parse-names" : false, "suffix" : "" }, { "dropping-particle" : "", "family" : "Tompkins", "given" : "Ronald G", "non-dropping-particle" : "", "parse-names" : false, "suffix" : "" } ], "container-title" : "Proceedings of the National Academy of Sciences of the United States of America", "id" : "ITEM-1", "issue" : "9", "issued" : { "date-parts" : [ [ "2013", "2", "26" ] ] }, "page" : "3507-12", "title" : "Genomic responses in mouse models poorly mimic human inflammatory diseases.", "type" : "article-journal", "volume" : "110" }, "uris" : [ "http://www.mendeley.com/documents/?uuid=e66b84dd-534f-4a46-a064-7177edcf71c1" ] }, { "id" : "ITEM-2", "itemData" : { "DOI" : "10.1073/pnas.1401965111", "ISSN" : "1091-6490", "PMID" : "25092317", "abstract" : "The use of mice as animal models has long been considered essential in modern biomedical research, but the role of mouse models in research was challenged by a recent report that genomic responses in mouse models poorly mimic human inflammatory diseases. Here we reevaluated the same gene expression datasets used in the previous study by focusing on genes whose expression levels were significantly changed in both humans and mice. Contrary to the previous findings, the gene expression levels in the mouse models showed extraordinarily significant correlations with those of the human conditions (Spearman's rank correlation coefficient: 0.43-0.68; genes changed in the same direction: 77-93%; P = 6.5 \u00d7 10(-11) to 1.2 \u00d7 10(-35)). Moreover, meta-analysis of those datasets revealed a number of pathways/biogroups commonly regulated by multiple conditions in humans and mice. These findings demonstrate that gene expression patterns in mouse models closely recapitulate those in human inflammatory conditions and strongly argue for the utility of mice as animal models of human disorders.", "author" : [ { "dropping-particle" : "", "family" : "Takao", "given" : "Keizo", "non-dropping-particle" : "", "parse-names" : false, "suffix" : "" }, { "dropping-particle" : "", "family" : "Miyakawa", "given" : "Tsuyoshi", "non-dropping-particle" : "", "parse-names" : false, "suffix" : "" } ], "container-title" : "Proceedings of the National Academy of Sciences of the United States of America", "id" : "ITEM-2", "issue" : "4", "issued" : { "date-parts" : [ [ "2015", "1", "27" ] ] }, "page" : "1167-72", "title" : "Genomic responses in mouse models greatly mimic human inflammatory diseases.", "type" : "article-journal", "volume" : "112" }, "uris" : [ "http://www.mendeley.com/documents/?uuid=19d5ce95-9185-469b-8191-ebfce97e1b8c" ] }, { "id" : "ITEM-3", "itemData" : { "DOI" : "10.1093/nar/gku442", "ISSN" : "1362-4962", "PMID" : "24848012", "abstract" : "The wealth of publicly available gene expression and genomic data provides unique opportunities for computational inference to discover groups of genes that function to control specific cellular processes. Such genes are likely to have co-evolved and be expressed in the same tissues and cells. Unfortunately, the expertise and computational resources required to compare tens of genomes and gene expression data sets make this type of analysis difficult for the average end-user. Here, we describe the implementation of a web server that predicts genes involved in affecting specific cellular processes together with a gene of interest. We termed the server 'EvoCor', to denote that it detects functional relationships among genes through evolutionary analysis and gene expression correlation. This web server integrates profiles of sequence divergence derived by a Hidden Markov Model (HMM) and tissue-wide gene expression patterns to determine putative functional linkages between pairs of genes. This server is easy to use and freely available at http://pilot-hmm.vbi.vt.edu/.", "author" : [ { "dropping-particle" : "", "family" : "Dittmar", "given" : "W James", "non-dropping-particle" : "", "parse-names" : false, "suffix" : "" }, { "dropping-particle" : "", "family" : "McIver", "given" : "Lauren", "non-dropping-particle" : "", "parse-names" : false, "suffix" : "" }, { "dropping-particle" : "", "family" : "Michalak", "given" : "Pawel", "non-dropping-particle" : "", "parse-names" : false, "suffix" : "" }, { "dropping-particle" : "", "family" : "Garner", "given" : "Harold R", "non-dropping-particle" : "", "parse-names" : false, "suffix" : "" }, { "dropping-particle" : "", "family" : "Valdez", "given" : "Gregorio", "non-dropping-particle" : "", "parse-names" : false, "suffix" : "" } ], "container-title" : "Nucleic acids research", "id" : "ITEM-3", "issue" : "Web Server issue", "issued" : { "date-parts" : [ [ "2014", "7" ] ] }, "page" : "W72-5", "title" : "EvoCor: a platform for predicting functionally related genes using phylogenetic and expression profiles.", "type" : "article-journal", "volume" : "42" }, "uris" : [ "http://www.mendeley.com/documents/?uuid=9a605174-ad3e-42e8-8846-07823117b99a" ] }, { "id" : "ITEM-4", "itemData" : { "DOI" : "S0091-6749(11)01310-8 [pii]\r10.1016/j.jaci.2011.08.011", "ISBN" : "1097-6825 (Electronic)\r0091-6749 (Linking)", "PMID" : "21917308", "abstract" : "BACKGROUND: Although previous studies have implicated tissue CD4(+) T cells in the development and maintenance of the inflammatory response in asthmatic patients, little is known about the role of CD8(+) T cells. There is now accumulating evidence that microRNAs and other noncoding RNAs are important regulators of T-cell function. OBJECTIVES: We sought to use transcriptomics to determine the activation state of circulating CD4(+) and CD8(+) T cells in patients with nonsevere and severe asthma. METHODS: mRNA and noncoding RNA expression in circulating T cells was measured by means of microarray, quantitative real-time PCR, or both. RESULTS: Comparison of mRNA expression showed widespread changes in the circulating CD8(+) but not CD4(+) T cells from patients with severe asthma. No changes were observed in the CD4(+) and CD8(+) T cells in patients with nonsevere asthma versus those in healthy control subjects. Bioinformatics analysis showed that the changes in CD8(+) T-cell mRNA expression were associated with multiple pathways involved in T-cell activation. As with mRNAs, we also observed widespread changes in expression of noncoding RNA species, including natural antisense, pseudogenes, intronic long noncoding RNAs (lncRNAs), and intergenic lncRNAs in CD8(+) T cells from patients with severe asthma. Measurement of the microRNA expression profile showed selective downregulation of miR-28-5p in CD8(+) T cells and reduction of miR-146a and miR-146b in both CD4(+) and CD8(+) T cells. CONCLUSIONS: Severe asthma is associated with the activation of circulating CD8(+) T cells but not CD4(+) T cells. This response is correlated with the downregulation of miR-146a/b and miR-28-5p, as well as changes in the expression of multiple species of lncRNA that might regulate CD8(+) T-cell function.", "author" : [ { "dropping-particle" : "", "family" : "Tsitsiou", "given" : "E", "non-dropping-particle" : "", "parse-names" : false, "suffix" : "" }, { "dropping-particle" : "", "family" : "Williams", "given" : "A E", "non-dropping-particle" : "", "parse-names" : false, "suffix" : "" }, { "dropping-particle" : "", "family" : "Moschos", "given" : "S A", "non-dropping-particle" : "", "parse-names" : false, "suffix" : "" }, { "dropping-particle" : "", "family" : "Patel", "given" : "K", "non-dropping-particle" : "", "parse-names" : false, "suffix" : "" }, { "dropping-particle" : "", "family" : "Rossios", "given" : "C", "non-dropping-particle" : "", "parse-names" : false, "suffix" : "" }, { "dropping-particle" : "", "family" : "Jiang", "given" : "X", "non-dropping-particle" : "", "parse-names" : false, "suffix" : "" }, { "dropping-particle" : "", "family" : "Adams", "given" : "O D", "non-dropping-particle" : "", "parse-names" : false, "suffix" : "" }, { "dropping-particle" : "", "family" : "Macedo", "given" : "P", "non-dropping-particle" : "", "parse-names" : false, "suffix" : "" }, { "dropping-particle" : "", "family" : "Booton", "given" : "R", "non-dropping-particle" : "", "parse-names" : false, "suffix" : "" }, { "dropping-particle" : "", "family" : "Gibeon", "given" : "D", "non-dropping-particle" : "", "parse-names" : false, "suffix" : "" }, { "dropping-particle" : "", "family" : "Chung", "given" : "K F", "non-dropping-particle" : "", "parse-names" : false, "suffix" : "" }, { "dropping-particle" : "", "family" : "Lindsay", "given" : "M A", "non-dropping-particle" : "", "parse-names" : false, "suffix" : "" } ], "container-title" : "J Allergy Clin Immunol", "edition" : "2011/09/16", "id" : "ITEM-4", "issue" : "1", "issued" : { "date-parts" : [ [ "2012" ] ] }, "language" : "eng", "note" : "Tsitsiou, Eleni\nWilliams, Andrew E\nMoschos, Sterghios A\nPatel, Ketan\nRossios, Christos\nJiang, Xiaoying\nAdams, Oona-Delpuech\nMacedo, Patricia\nBooton, Richard\nGibeon, David\nChung, Kian Fan\nLindsay, Mark A\n076111/Wellcome Trust/United Kingdom\n085935/Wellcome Trust/United Kingdom\nResearch Support, Non-U.S. Gov't\nUnited States\nThe Journal of allergy and clinical immunology\nJ Allergy Clin Immunol. 2012 Jan;129(1):95-103. Epub 2011 Sep 13.", "page" : "95-103", "title" : "Transcriptome analysis shows activation of circulating CD8+ T cells in patients with severe asthma", "type" : "article-journal", "volume" : "129" }, "uris" : [ "http://www.mendeley.com/documents/?uuid=fad3d3f5-a382-49f1-a5ac-4190e71775f2" ] } ], "mendeley" : { "formattedCitation" : "(Dittmar, McIver, Michalak, Garner, &amp; Valdez, 2014; Seok et al., 2013; Takao &amp; Miyakawa, 2015; Tsitsiou et al., 2012)", "plainTextFormattedCitation" : "(Dittmar, McIver, Michalak, Garner, &amp; Valdez, 2014; Seok et al., 2013; Takao &amp; Miyakawa, 2015; Tsitsiou et al., 2012)", "previouslyFormattedCitation" : "(Dittmar, McIver, Michalak, Garner, &amp; Valdez, 2014; Seok et al., 2013; Takao &amp; Miyakawa, 2015; Tsitsiou et al., 2012)" }, "properties" : { "noteIndex" : 0 }, "schema" : "https://github.com/citation-style-language/schema/raw/master/csl-citation.json" }</w:instrText>
      </w:r>
      <w:r w:rsidR="00FA4EDA">
        <w:rPr>
          <w:rFonts w:ascii="Calibri" w:hAnsi="Calibri" w:cs="Arial"/>
        </w:rPr>
        <w:fldChar w:fldCharType="separate"/>
      </w:r>
      <w:r w:rsidR="00B16772" w:rsidRPr="00B16772">
        <w:rPr>
          <w:rFonts w:ascii="Calibri" w:hAnsi="Calibri" w:cs="Arial"/>
          <w:noProof/>
        </w:rPr>
        <w:t>(Dittmar, McIver, Michalak, Garner, &amp; Valdez, 2014; Seok et al., 2013; Takao &amp; Miyakawa, 2015; Tsitsiou et al., 2012)</w:t>
      </w:r>
      <w:r w:rsidR="00FA4EDA">
        <w:rPr>
          <w:rFonts w:ascii="Calibri" w:hAnsi="Calibri" w:cs="Arial"/>
        </w:rPr>
        <w:fldChar w:fldCharType="end"/>
      </w:r>
      <w:r w:rsidR="000377B7">
        <w:rPr>
          <w:rFonts w:ascii="Calibri" w:hAnsi="Calibri" w:cs="Arial"/>
        </w:rPr>
        <w:t>.</w:t>
      </w:r>
    </w:p>
    <w:p w14:paraId="072FEDE1" w14:textId="77777777" w:rsidR="00CA4782" w:rsidRDefault="00CA4782" w:rsidP="005837A4">
      <w:pPr>
        <w:spacing w:line="480" w:lineRule="auto"/>
        <w:jc w:val="both"/>
        <w:rPr>
          <w:rFonts w:ascii="Calibri" w:hAnsi="Calibri" w:cs="Arial"/>
        </w:rPr>
      </w:pPr>
    </w:p>
    <w:p w14:paraId="54C57FDE" w14:textId="7B9328B4" w:rsidR="00CA4782" w:rsidRDefault="00FF435E" w:rsidP="005837A4">
      <w:pPr>
        <w:pStyle w:val="Heading2"/>
      </w:pPr>
      <w:r>
        <w:t>1.2</w:t>
      </w:r>
      <w:r>
        <w:tab/>
      </w:r>
      <w:r w:rsidR="00CA4782" w:rsidRPr="00CA4782">
        <w:t>Pharmacological targeting of selective regions within the respiratory system</w:t>
      </w:r>
      <w:r w:rsidR="00C045FB">
        <w:t>.</w:t>
      </w:r>
    </w:p>
    <w:p w14:paraId="0E25F17B" w14:textId="77777777" w:rsidR="00CA4782" w:rsidRPr="00CA4782" w:rsidRDefault="00CA4782" w:rsidP="005837A4">
      <w:pPr>
        <w:spacing w:line="480" w:lineRule="auto"/>
        <w:jc w:val="both"/>
        <w:rPr>
          <w:rFonts w:ascii="Calibri" w:hAnsi="Calibri" w:cs="Arial"/>
          <w:b/>
        </w:rPr>
      </w:pPr>
    </w:p>
    <w:p w14:paraId="17B6955A" w14:textId="5805D946" w:rsidR="00CA4782" w:rsidRDefault="00CA4782" w:rsidP="005837A4">
      <w:pPr>
        <w:spacing w:line="480" w:lineRule="auto"/>
        <w:jc w:val="both"/>
        <w:rPr>
          <w:rFonts w:ascii="Calibri" w:hAnsi="Calibri" w:cs="Arial"/>
        </w:rPr>
      </w:pPr>
      <w:r w:rsidRPr="00803D8B">
        <w:rPr>
          <w:rFonts w:asciiTheme="majorHAnsi" w:hAnsiTheme="majorHAnsi" w:cs="Arial"/>
        </w:rPr>
        <w:t xml:space="preserve">Airway dimensions adhere to fractal branching models </w:t>
      </w:r>
      <w:r w:rsidRPr="00803D8B">
        <w:rPr>
          <w:rFonts w:asciiTheme="majorHAnsi" w:hAnsiTheme="majorHAnsi" w:cs="Arial"/>
        </w:rPr>
        <w:fldChar w:fldCharType="begin" w:fldLock="1"/>
      </w:r>
      <w:r w:rsidRPr="00803D8B">
        <w:rPr>
          <w:rFonts w:asciiTheme="majorHAnsi" w:hAnsiTheme="majorHAnsi" w:cs="Arial"/>
        </w:rPr>
        <w:instrText>ADDIN CSL_CITATION { "citationItems" : [ { "id" : "ITEM-1", "itemData" : { "ISSN" : "8750-7587", "PMID" : "2318756", "abstract" : "Studies of bronchial tree data by West et al. (J. Appl. Physiol. 60: 1089-1097, 1986) have shown that plots of mean diameter against generation, using log-log scales, can be represented by a power function with harmonic modulations. Other studies have shown that the mean diameter of the airways is exponentially related to order of branching. This paper demonstrates that both observations are compatible with a fractal model of branching, and because airway branching is fractal, this may explain why both are also true of the bronchial tree. Furthermore, the exponential relationship of mean diameter with generation in the larger airways, demonstrated by Weibel, is shown to result from the exponential relation of diameter with order in the fractal model.", "author" : [ { "dropping-particle" : "", "family" : "Horsfield", "given" : "K", "non-dropping-particle" : "", "parse-names" : false, "suffix" : "" } ], "container-title" : "Journal of applied physiology (Bethesda, Md. : 1985)", "id" : "ITEM-1", "issue" : "2", "issued" : { "date-parts" : [ [ "1990", "2" ] ] }, "page" : "457-61", "title" : "Diameters, generations, and orders of branches in the bronchial tree.", "type" : "article-journal", "volume" : "68" }, "uris" : [ "http://www.mendeley.com/documents/?uuid=9c501d3e-d46c-44cb-b513-5d540b191f6c" ] } ], "mendeley" : { "formattedCitation" : "(Horsfield, 1990)", "plainTextFormattedCitation" : "(Horsfield, 1990)", "previouslyFormattedCitation" : "(Horsfield, 1990)" }, "properties" : { "noteIndex" : 0 }, "schema" : "https://github.com/citation-style-language/schema/raw/master/csl-citation.json" }</w:instrText>
      </w:r>
      <w:r w:rsidRPr="00803D8B">
        <w:rPr>
          <w:rFonts w:asciiTheme="majorHAnsi" w:hAnsiTheme="majorHAnsi" w:cs="Arial"/>
        </w:rPr>
        <w:fldChar w:fldCharType="separate"/>
      </w:r>
      <w:r w:rsidRPr="00803D8B">
        <w:rPr>
          <w:rFonts w:asciiTheme="majorHAnsi" w:hAnsiTheme="majorHAnsi" w:cs="Arial"/>
          <w:noProof/>
        </w:rPr>
        <w:t>(Horsfield, 1990)</w:t>
      </w:r>
      <w:r w:rsidRPr="00803D8B">
        <w:rPr>
          <w:rFonts w:asciiTheme="majorHAnsi" w:hAnsiTheme="majorHAnsi" w:cs="Arial"/>
        </w:rPr>
        <w:fldChar w:fldCharType="end"/>
      </w:r>
      <w:r w:rsidRPr="00803D8B">
        <w:rPr>
          <w:rFonts w:asciiTheme="majorHAnsi" w:hAnsiTheme="majorHAnsi" w:cs="Arial"/>
        </w:rPr>
        <w:t xml:space="preserve">, information essential in engineering aerosolized and dry powder systems that target drugs to the </w:t>
      </w:r>
      <w:r>
        <w:rPr>
          <w:rFonts w:asciiTheme="majorHAnsi" w:hAnsiTheme="majorHAnsi" w:cs="Arial"/>
        </w:rPr>
        <w:t xml:space="preserve">specific location within the </w:t>
      </w:r>
      <w:r w:rsidRPr="00803D8B">
        <w:rPr>
          <w:rFonts w:asciiTheme="majorHAnsi" w:hAnsiTheme="majorHAnsi" w:cs="Arial"/>
        </w:rPr>
        <w:t xml:space="preserve">airways and lung by inhalation </w:t>
      </w:r>
      <w:r w:rsidRPr="00803D8B">
        <w:rPr>
          <w:rFonts w:asciiTheme="majorHAnsi" w:hAnsiTheme="majorHAnsi" w:cs="Arial"/>
        </w:rPr>
        <w:fldChar w:fldCharType="begin" w:fldLock="1"/>
      </w:r>
      <w:r w:rsidRPr="00803D8B">
        <w:rPr>
          <w:rFonts w:asciiTheme="majorHAnsi" w:hAnsiTheme="majorHAnsi" w:cs="Arial"/>
        </w:rPr>
        <w:instrText>ADDIN CSL_CITATION { "citationItems" : [ { "id" : "ITEM-1", "itemData" : { "DOI" : "10.1089/jamp.2009.0791", "ISSN" : "1941-2703", "PMID" : "20373904", "abstract" : "Conventional aerosol delivery systems and the availability of new technologies have led to the development of \"intelligent\" nebulizers such as the I-neb Adaptive Aerosol Delivery (AAD) System. Based on the AAD technology, the I-neb AAD System has been designed to continuously adapt to changes in the patient's breathing pattern, and to pulse aerosol only during the inspiratory part of the breathing cycle. This eliminates waste of aerosol during exhalation, and creates a foundation for precise aerosol (dose) delivery. To facilitate the delivery of precise metered doses of aerosol to the patient, a unique metering chamber design has been developed. Through the vibrating mesh technology, the metering chamber design, and the AAD Disc function, the aerosol output rate and metered (delivered) dose can be tailored to the demands of the specific drug to be delivered. In the I-neb AAD System, aerosol delivery is guided through two algorithms, one for the Tidal Breathing Mode (TBM), and one for slow and deep inhalations, the Target Inhalation Mode (TIM). The aim of TIM is to reduce the treatment time by increasing the total inhalation time per minute, and to increase lung deposition by reducing impaction in the upper airways through slow and deep inhalations. A key feature of the AAD technology is the patient feedback mechanisms that are provided to guide the patient on delivery performance. These feedback signals, which include visual, audible, and tactile forms, are configured in a feedback cascade that leads to a high level of compliance with the use of the I-neb AAD System. The I-neb Insight and the Patient Logging System facilitate a further degree of sophistication to the feedback mechanisms, by providing information on long term adherence and compliance data. These can be assessed by patients and clinicians via a Web-based delivery of information in the form of customized graphical analyses.", "author" : [ { "dropping-particle" : "", "family" : "Denyer", "given" : "John", "non-dropping-particle" : "", "parse-names" : false, "suffix" : "" }, { "dropping-particle" : "", "family" : "Dyche", "given" : "Tony", "non-dropping-particle" : "", "parse-names" : false, "suffix" : "" } ], "container-title" : "Journal of aerosol medicine and pulmonary drug delivery", "id" : "ITEM-1", "issued" : { "date-parts" : [ [ "2010", "4" ] ] }, "page" : "S1-10", "title" : "The Adaptive Aerosol Delivery (AAD) technology: Past, present, and future.", "type" : "article-journal", "volume" : "23 Suppl 1" }, "uris" : [ "http://www.mendeley.com/documents/?uuid=152e3c4d-73d3-45e6-b37e-1fd5d7b6afb8" ] }, { "id" : "ITEM-2", "itemData" : { "DOI" : "10.1186/2213-0802-2-3", "ISSN" : "2213-0802", "PMID" : "25505695", "abstract" : "Until the late 1990s, aerosol therapy consisted of beta2-adrenergic agonists, anti-cholinergics, steroidal and non-steroidal agents, mucolytics and antibiotics that were used to treat patients with asthma, COPD and cystic fibrosis. Since then, inhalation therapy has matured to include drugs that: (1) are designed to treat diseases outside the lung and whose target is the systemic circulation (systemic drug delivery); (2) deliver nucleic acids that lead to permanent expression of a gene construct, or protein coding sequence, in a population of cells (gene therapy); and (3) provide needle-free immunization against disease (aerosolized vaccination). During the evolution of these advanced applications, it was also necessary to develop new devices that provided increased dosing efficiency and less loss during delivery. This review will present an update on the success of each of these new applications and their devices. The early promise of aerosolized systemic drug delivery and its outlook for future success will be highlighted. In addition, the challenges to aerosolized gene therapy and the need for appropriate gene vectors will be discussed. Finally, progress in the development of aerosolized vaccination will be presented. The continued expansion of the role of aerosol therapy in the future will depend on: (1) improving the bioavailability of systemically delivered drugs; (2) developing gene therapy vectors that can efficiently penetrate the mucus barrier and cell membrane, navigate the cell cytoplasm and efficiently transfer DNA material to the cell nucleus; (3) improving delivery of gene vectors and vaccines to infants; and (4) developing formulations that are safe for acute and chronic administrations.", "author" : [ { "dropping-particle" : "", "family" : "Laube", "given" : "Beth L", "non-dropping-particle" : "", "parse-names" : false, "suffix" : "" } ], "container-title" : "Translational respiratory medicine", "id" : "ITEM-2", "issued" : { "date-parts" : [ [ "2014", "1" ] ] }, "page" : "3", "title" : "The expanding role of aerosols in systemic drug delivery, gene therapy and vaccination: an update.", "type" : "article-journal", "volume" : "2" }, "uris" : [ "http://www.mendeley.com/documents/?uuid=099fbcb5-5853-45a2-b18b-968a0d05364f" ] } ], "mendeley" : { "formattedCitation" : "(Denyer &amp; Dyche, 2010; Laube, 2014)", "plainTextFormattedCitation" : "(Denyer &amp; Dyche, 2010; Laube, 2014)", "previouslyFormattedCitation" : "(Denyer &amp; Dyche, 2010; Laube, 2014)" }, "properties" : { "noteIndex" : 0 }, "schema" : "https://github.com/citation-style-language/schema/raw/master/csl-citation.json" }</w:instrText>
      </w:r>
      <w:r w:rsidRPr="00803D8B">
        <w:rPr>
          <w:rFonts w:asciiTheme="majorHAnsi" w:hAnsiTheme="majorHAnsi" w:cs="Arial"/>
        </w:rPr>
        <w:fldChar w:fldCharType="separate"/>
      </w:r>
      <w:r w:rsidRPr="00803D8B">
        <w:rPr>
          <w:rFonts w:asciiTheme="majorHAnsi" w:hAnsiTheme="majorHAnsi" w:cs="Arial"/>
          <w:noProof/>
        </w:rPr>
        <w:t>(Denyer &amp; Dyche, 2010; Laube, 2014)</w:t>
      </w:r>
      <w:r w:rsidRPr="00803D8B">
        <w:rPr>
          <w:rFonts w:asciiTheme="majorHAnsi" w:hAnsiTheme="majorHAnsi" w:cs="Arial"/>
        </w:rPr>
        <w:fldChar w:fldCharType="end"/>
      </w:r>
      <w:r w:rsidR="00B30788">
        <w:rPr>
          <w:rFonts w:asciiTheme="majorHAnsi" w:hAnsiTheme="majorHAnsi" w:cs="Arial"/>
        </w:rPr>
        <w:t xml:space="preserve">. Thus, by controlling nebulized solution or dry powder particle size, appropriate </w:t>
      </w:r>
      <w:r w:rsidR="00B30788">
        <w:rPr>
          <w:rFonts w:asciiTheme="majorHAnsi" w:hAnsiTheme="majorHAnsi" w:cs="Arial"/>
        </w:rPr>
        <w:lastRenderedPageBreak/>
        <w:t xml:space="preserve">deposition targeting can be achieved across the pulmonary tract, with minimal drug loss to the oral/nasal cavity or the environment </w:t>
      </w:r>
      <w:r w:rsidRPr="00803D8B">
        <w:rPr>
          <w:rFonts w:asciiTheme="majorHAnsi" w:hAnsiTheme="majorHAnsi" w:cs="Arial"/>
        </w:rPr>
        <w:t xml:space="preserve">(Fig. </w:t>
      </w:r>
      <w:r w:rsidR="00173355">
        <w:rPr>
          <w:rFonts w:asciiTheme="majorHAnsi" w:hAnsiTheme="majorHAnsi" w:cs="Arial"/>
        </w:rPr>
        <w:t>1</w:t>
      </w:r>
      <w:r w:rsidRPr="00803D8B">
        <w:rPr>
          <w:rFonts w:asciiTheme="majorHAnsi" w:hAnsiTheme="majorHAnsi" w:cs="Arial"/>
        </w:rPr>
        <w:t xml:space="preserve">B). Drug formulations are presently evaluated for their deposition mechanics through optical particle sizing, time-of-flight spectrometry, cascade impaction and liquid impinger technologies </w:t>
      </w:r>
      <w:r w:rsidRPr="00803D8B">
        <w:rPr>
          <w:rFonts w:asciiTheme="majorHAnsi" w:hAnsiTheme="majorHAnsi" w:cs="Arial"/>
        </w:rPr>
        <w:fldChar w:fldCharType="begin" w:fldLock="1"/>
      </w:r>
      <w:r w:rsidRPr="00803D8B">
        <w:rPr>
          <w:rFonts w:asciiTheme="majorHAnsi" w:hAnsiTheme="majorHAnsi" w:cs="Arial"/>
        </w:rPr>
        <w:instrText>ADDIN CSL_CITATION { "citationItems" : [ { "id" : "ITEM-1", "itemData" : { "DOI" : "10.1089/jamp.2009.0791", "ISSN" : "1941-2703", "PMID" : "20373904", "abstract" : "Conventional aerosol delivery systems and the availability of new technologies have led to the development of \"intelligent\" nebulizers such as the I-neb Adaptive Aerosol Delivery (AAD) System. Based on the AAD technology, the I-neb AAD System has been designed to continuously adapt to changes in the patient's breathing pattern, and to pulse aerosol only during the inspiratory part of the breathing cycle. This eliminates waste of aerosol during exhalation, and creates a foundation for precise aerosol (dose) delivery. To facilitate the delivery of precise metered doses of aerosol to the patient, a unique metering chamber design has been developed. Through the vibrating mesh technology, the metering chamber design, and the AAD Disc function, the aerosol output rate and metered (delivered) dose can be tailored to the demands of the specific drug to be delivered. In the I-neb AAD System, aerosol delivery is guided through two algorithms, one for the Tidal Breathing Mode (TBM), and one for slow and deep inhalations, the Target Inhalation Mode (TIM). The aim of TIM is to reduce the treatment time by increasing the total inhalation time per minute, and to increase lung deposition by reducing impaction in the upper airways through slow and deep inhalations. A key feature of the AAD technology is the patient feedback mechanisms that are provided to guide the patient on delivery performance. These feedback signals, which include visual, audible, and tactile forms, are configured in a feedback cascade that leads to a high level of compliance with the use of the I-neb AAD System. The I-neb Insight and the Patient Logging System facilitate a further degree of sophistication to the feedback mechanisms, by providing information on long term adherence and compliance data. These can be assessed by patients and clinicians via a Web-based delivery of information in the form of customized graphical analyses.", "author" : [ { "dropping-particle" : "", "family" : "Denyer", "given" : "John", "non-dropping-particle" : "", "parse-names" : false, "suffix" : "" }, { "dropping-particle" : "", "family" : "Dyche", "given" : "Tony", "non-dropping-particle" : "", "parse-names" : false, "suffix" : "" } ], "container-title" : "Journal of aerosol medicine and pulmonary drug delivery", "id" : "ITEM-1", "issued" : { "date-parts" : [ [ "2010", "4" ] ] }, "page" : "S1-10", "title" : "The Adaptive Aerosol Delivery (AAD) technology: Past, present, and future.", "type" : "article-journal", "volume" : "23 Suppl 1" }, "uris" : [ "http://www.mendeley.com/documents/?uuid=152e3c4d-73d3-45e6-b37e-1fd5d7b6afb8" ] }, { "id" : "ITEM-2", "itemData" : { "DOI" : "10.1208/s12249-011-9662-6", "ISBN" : "1530-9932 (Electronic)\r1530-9932 (Linking)", "PMID" : "21785912", "abstract" : "The purpose of this article is to review non-impactor-based methods for measuring particle size distributions of orally inhaled and nasal pharmaceutical aerosols. The assessment of the size distributions of sprays and aerosols from orally inhaled and nasal drug products by methods not involving multi-stage cascade impaction may offer significant potential advantages in terms of labor savings and reducing the risk for operator-related errors associated with complex-to-undertake impactor-based methods. Indeed, in the case of nasal spray products, cascade impaction is inappropriate and alternative, and preferably non-invasive methods must be sought that minimize size-related bias associated with the measurement process for these relatively large droplets. This review highlights the options that are available to those involved with product quality assessments, providing guidance on relative strengths and weaknesses, as well as highlighting precautions that should be observed to minimize bias. The advent of Raman chemical imaging, which enables an estimate to be made of the proportion of each particle comprising active pharmaceutical ingredient(s) (APIs), necessitates a re-think about the value of classical microscopy image analysis as now being capable of providing API-relevant information from collected aerosols and sprays.", "author" : [ { "dropping-particle" : "", "family" : "Mitchell", "given" : "J", "non-dropping-particle" : "", "parse-names" : false, "suffix" : "" }, { "dropping-particle" : "", "family" : "Bauer", "given" : "R", "non-dropping-particle" : "", "parse-names" : false, "suffix" : "" }, { "dropping-particle" : "", "family" : "Lyapustina", "given" : "S", "non-dropping-particle" : "", "parse-names" : false, "suffix" : "" }, { "dropping-particle" : "", "family" : "Tougas", "given" : "T", "non-dropping-particle" : "", "parse-names" : false, "suffix" : "" }, { "dropping-particle" : "", "family" : "Glaab", "given" : "V", "non-dropping-particle" : "", "parse-names" : false, "suffix" : "" } ], "container-title" : "AAPS PharmSciTech", "edition" : "2011/07/26", "id" : "ITEM-2", "issue" : "3", "issued" : { "date-parts" : [ [ "2011" ] ] }, "language" : "eng", "note" : "Mitchell, Jolyon\nBauer, Richard\nLyapustina, Svetlana\nTougas, Terrence\nGlaab, Volker\nAAPS PharmSciTech. 2011 Sep;12(3):965-88. doi: 10.1208/s12249-011-9662-6. Epub 2011 Jul 22.", "page" : "965-988", "title" : "Non-impactor-based methods for sizing of aerosols emitted from orally inhaled and nasal drug products (OINDPs)", "type" : "article-journal", "volume" : "12" }, "uris" : [ "http://www.mendeley.com/documents/?uuid=c9cc0023-8d4f-48a4-8ff3-4eb02924af3c" ] }, { "id" : "ITEM-3", "itemData" : { "DOI" : "10.1016/j.ejps.2015.04.016", "ISSN" : "1879-0720", "PMID" : "25956075", "abstract" : "BACKGROUND: Theophylline (TP) is a bronchodilator used orally to treat chronic obstructive pulmonary disease (COPD) that has been associated with multiple side effects, tempering its present use. This study aims to improve COPD treatment by creating a low-dose pressurized metered dose inhaler (pMDI) inhalable formulation of TP.\n\nMETHODS: Aerosol performance was assessed using Andersen Cascade Impaction (ACI). Solubility of TP in HFA 134/ethanol mixture was measured and morphology of the particles analyzed with a scanning electron microscope (SEM). Calu-3 cell viability, epithelial cell transport and inflammatory-response assays were conducted to study the impact of the formulation on lung epithelial cells.\n\nRESULTS: The mass deposition profile of the formulation showed an emitted dose of 250.04\u00b114.48\u03bcg per 5 actuations, achieving the designed nominal dose (50\u03bcg/dose). SEM showed that the emitted particles were hollow with spherical morphology. Approximately 98% of TP was transported across Calu-3 epithelial cells and the concentration of interleukin-8 secreted from Calu-3 cells following stimulation with tissue necrosis factor-\u03b1 (TNF-\u03b1) resulted in significantly lower level of interleukin-8 released from the cells pre-treated with TP (1.92\u00b10.77ng\u00b7ml(-1) TP treated vs. 8.83\u00b12.05ng\u00b7ml(-1) TNF-\u03b1 stimulated, respectively).\n\nCONCLUSIONS: The solution pMDI formulation of TP developed in present study was shown to be suitable for inhalation and demonstrated anti-inflammatory effects at low doses in Calu-3 cell model.", "author" : [ { "dropping-particle" : "", "family" : "Zhu", "given" : "Bing", "non-dropping-particle" : "", "parse-names" : false, "suffix" : "" }, { "dropping-particle" : "", "family" : "Haghi", "given" : "Mehra", "non-dropping-particle" : "", "parse-names" : false, "suffix" : "" }, { "dropping-particle" : "", "family" : "Goud", "given" : "Mary", "non-dropping-particle" : "", "parse-names" : false, "suffix" : "" }, { "dropping-particle" : "", "family" : "Young", "given" : "Paul M", "non-dropping-particle" : "", "parse-names" : false, "suffix" : "" }, { "dropping-particle" : "", "family" : "Traini", "given" : "Daniela", "non-dropping-particle" : "", "parse-names" : false, "suffix" : "" } ], "container-title" : "European journal of pharmaceutical sciences : official journal of the European Federation for Pharmaceutical Sciences", "id" : "ITEM-3", "issued" : { "date-parts" : [ [ "2015", "8", "30" ] ] }, "page" : "68-72", "title" : "The formulation of a pressurized metered dose inhaler containing theophylline for inhalation.", "type" : "article-journal", "volume" : "76" }, "uris" : [ "http://www.mendeley.com/documents/?uuid=4aba7734-5377-411e-a218-21a6942d29fe" ] }, { "id" : "ITEM-4", "itemData" : { "DOI" : "10.3109/03639045.2014.900079", "ISSN" : "1520-5762", "PMID" : "24641447", "abstract" : "Optical techniques for the particle size characterization of metered dose inhaler (MDI) suspensions have been developed as an alternative to the labor-intensive and time-consuming impaction method. In this study, a laser diffraction (LD) apparatus with a liquid cell (\"wet cell\" method) and a \"time-of-flight\" apparatus named aerodynamic particle sizer (APS) were utilized to assess MDI suspensions with varied formulation compositions and storage conditions. The results were compared with the conventional Anderson cascade impaction (ACI) data. The two optical methods were able to detect the changes in particle size distributions between formulations, yet to a lesser extent than those observed using the cascade impaction methodology. The median aerodynamic particle size measured by the APS method and the median geometric particle size obtained from the LD method were linearly correlated with the corresponding ACI results in the range of 2-5\u2009\u00b5m. It was also found that the APS measurement was biased towards the finer particle size region and resulted in overestimated fine particle fraction (FPF) values which were 2-3 times folds of the ACI results. In conclusion, the optical particle sizing techniques may, under some circumstances, be viable techniques for the rapid assessment of MDI suspensions. The \"wet cell\" LD method, in particular, is found to be a valuable means of detecting active pharmaceutical ingredient (API) particle size changes in an MDI suspension. Using both the LD and the APS methods in early formulation screening followed by a final assessment with cascade impaction analysis can improve the efficiency of MDI formulation development.", "author" : [ { "dropping-particle" : "", "family" : "Pu", "given" : "Yu", "non-dropping-particle" : "", "parse-names" : false, "suffix" : "" }, { "dropping-particle" : "", "family" : "Kline", "given" : "Lukeysha C", "non-dropping-particle" : "", "parse-names" : false, "suffix" : "" }, { "dropping-particle" : "", "family" : "Khawaja", "given" : "Nazia", "non-dropping-particle" : "", "parse-names" : false, "suffix" : "" }, { "dropping-particle" : "", "family" : "Liew", "given" : "Melissa", "non-dropping-particle" : "Van", "parse-names" : false, "suffix" : "" }, { "dropping-particle" : "", "family" : "Berry", "given" : "Julianne", "non-dropping-particle" : "", "parse-names" : false, "suffix" : "" } ], "container-title" : "Drug development and industrial pharmacy", "id" : "ITEM-4", "issue" : "5", "issued" : { "date-parts" : [ [ "2015", "5" ] ] }, "page" : "737-43", "title" : "Comparison of optical particle sizing and cascade impaction for measuring the particle size of a suspension metered dose inhaler.", "type" : "article-journal", "volume" : "41" }, "uris" : [ "http://www.mendeley.com/documents/?uuid=3dde71a2-7a82-478d-b4e8-ab15f162b717" ] } ], "mendeley" : { "formattedCitation" : "(Denyer &amp; Dyche, 2010; Mitchell, Bauer, Lyapustina, Tougas, &amp; Glaab, 2011; Pu, Kline, Khawaja, Van Liew, &amp; Berry, 2015; Zhu, Haghi, Goud, Young, &amp; Traini, 2015)", "plainTextFormattedCitation" : "(Denyer &amp; Dyche, 2010; Mitchell, Bauer, Lyapustina, Tougas, &amp; Glaab, 2011; Pu, Kline, Khawaja, Van Liew, &amp; Berry, 2015; Zhu, Haghi, Goud, Young, &amp; Traini, 2015)", "previouslyFormattedCitation" : "(Denyer &amp; Dyche, 2010; Mitchell, Bauer, Lyapustina, Tougas, &amp; Glaab, 2011; Pu, Kline, Khawaja, Van Liew, &amp; Berry, 2015; Zhu, Haghi, Goud, Young, &amp; Traini, 2015)" }, "properties" : { "noteIndex" : 0 }, "schema" : "https://github.com/citation-style-language/schema/raw/master/csl-citation.json" }</w:instrText>
      </w:r>
      <w:r w:rsidRPr="00803D8B">
        <w:rPr>
          <w:rFonts w:asciiTheme="majorHAnsi" w:hAnsiTheme="majorHAnsi" w:cs="Arial"/>
        </w:rPr>
        <w:fldChar w:fldCharType="separate"/>
      </w:r>
      <w:r w:rsidRPr="00803D8B">
        <w:rPr>
          <w:rFonts w:asciiTheme="majorHAnsi" w:hAnsiTheme="majorHAnsi" w:cs="Arial"/>
          <w:noProof/>
        </w:rPr>
        <w:t>(Denyer &amp; Dyche, 2010; Mitchell, Bauer, Lyapustina, Tougas, &amp; Glaab, 2011; Pu, Kline, Khawaja, Van Liew, &amp; Berry, 2015; Zhu, Haghi, Goud, Young, &amp; Traini, 2015)</w:t>
      </w:r>
      <w:r w:rsidRPr="00803D8B">
        <w:rPr>
          <w:rFonts w:asciiTheme="majorHAnsi" w:hAnsiTheme="majorHAnsi" w:cs="Arial"/>
        </w:rPr>
        <w:fldChar w:fldCharType="end"/>
      </w:r>
      <w:r w:rsidRPr="00803D8B">
        <w:rPr>
          <w:rFonts w:asciiTheme="majorHAnsi" w:hAnsiTheme="majorHAnsi" w:cs="Arial"/>
        </w:rPr>
        <w:t>.</w:t>
      </w:r>
    </w:p>
    <w:p w14:paraId="4621D1F6" w14:textId="77777777" w:rsidR="00D13EA3" w:rsidRPr="000A512B" w:rsidRDefault="00D13EA3" w:rsidP="005837A4">
      <w:pPr>
        <w:spacing w:line="480" w:lineRule="auto"/>
        <w:jc w:val="both"/>
        <w:rPr>
          <w:rFonts w:ascii="Calibri" w:hAnsi="Calibri" w:cs="Arial"/>
        </w:rPr>
      </w:pPr>
    </w:p>
    <w:p w14:paraId="4961F452" w14:textId="5D03F321" w:rsidR="00AE56C9" w:rsidRDefault="00FF435E" w:rsidP="005837A4">
      <w:pPr>
        <w:pStyle w:val="Heading1"/>
      </w:pPr>
      <w:bookmarkStart w:id="1" w:name="_Toc322260966"/>
      <w:r>
        <w:t>2.</w:t>
      </w:r>
      <w:r>
        <w:tab/>
      </w:r>
      <w:r w:rsidR="00A9637D">
        <w:t>Modulating</w:t>
      </w:r>
      <w:r w:rsidR="00AE56C9">
        <w:t xml:space="preserve"> RNA </w:t>
      </w:r>
      <w:r w:rsidR="00A9637D">
        <w:t>homeostasis</w:t>
      </w:r>
      <w:r w:rsidR="00416287">
        <w:t xml:space="preserve"> </w:t>
      </w:r>
      <w:r w:rsidR="00A9637D">
        <w:t>with oligonucleotide</w:t>
      </w:r>
      <w:r w:rsidR="002E41A0">
        <w:t>-based therapeutics</w:t>
      </w:r>
      <w:r w:rsidR="00C045FB">
        <w:t>.</w:t>
      </w:r>
      <w:bookmarkEnd w:id="1"/>
    </w:p>
    <w:p w14:paraId="1898A5D2" w14:textId="77777777" w:rsidR="001C73EB" w:rsidRPr="001C73EB" w:rsidRDefault="001C73EB" w:rsidP="005837A4">
      <w:pPr>
        <w:spacing w:line="480" w:lineRule="auto"/>
      </w:pPr>
    </w:p>
    <w:p w14:paraId="4A161251" w14:textId="68DD4520" w:rsidR="00AE56C9" w:rsidRDefault="002E41A0" w:rsidP="005837A4">
      <w:pPr>
        <w:spacing w:line="480" w:lineRule="auto"/>
        <w:jc w:val="both"/>
        <w:rPr>
          <w:rFonts w:ascii="Calibri" w:hAnsi="Calibri" w:cs="Arial"/>
        </w:rPr>
      </w:pPr>
      <w:r>
        <w:rPr>
          <w:rFonts w:ascii="Calibri" w:hAnsi="Calibri" w:cs="Arial"/>
        </w:rPr>
        <w:t>A number of classes of oligonucleotide-based therapeutics have been developed although these can be principally divided in</w:t>
      </w:r>
      <w:r w:rsidR="005F1F3D">
        <w:rPr>
          <w:rFonts w:ascii="Calibri" w:hAnsi="Calibri" w:cs="Arial"/>
        </w:rPr>
        <w:t>to i)</w:t>
      </w:r>
      <w:r>
        <w:rPr>
          <w:rFonts w:ascii="Calibri" w:hAnsi="Calibri" w:cs="Arial"/>
        </w:rPr>
        <w:t xml:space="preserve"> antisense and </w:t>
      </w:r>
      <w:r w:rsidR="005F1F3D">
        <w:rPr>
          <w:rFonts w:ascii="Calibri" w:hAnsi="Calibri" w:cs="Arial"/>
        </w:rPr>
        <w:t xml:space="preserve">ii) </w:t>
      </w:r>
      <w:r w:rsidR="00542D3A">
        <w:rPr>
          <w:rFonts w:ascii="Calibri" w:hAnsi="Calibri" w:cs="Arial"/>
        </w:rPr>
        <w:t>RNA interference (</w:t>
      </w:r>
      <w:r w:rsidR="00DB73B3">
        <w:rPr>
          <w:rFonts w:ascii="Calibri" w:hAnsi="Calibri" w:cs="Arial"/>
        </w:rPr>
        <w:t>RNAi</w:t>
      </w:r>
      <w:r w:rsidR="00542D3A">
        <w:rPr>
          <w:rFonts w:ascii="Calibri" w:hAnsi="Calibri" w:cs="Arial"/>
        </w:rPr>
        <w:t>)</w:t>
      </w:r>
      <w:r>
        <w:rPr>
          <w:rFonts w:ascii="Calibri" w:hAnsi="Calibri" w:cs="Arial"/>
        </w:rPr>
        <w:t xml:space="preserve">-based approaches. </w:t>
      </w:r>
      <w:r w:rsidR="00FA4EDA">
        <w:rPr>
          <w:rFonts w:ascii="Calibri" w:hAnsi="Calibri" w:cs="Arial"/>
        </w:rPr>
        <w:t>The</w:t>
      </w:r>
      <w:r w:rsidR="00AA5455">
        <w:rPr>
          <w:rFonts w:ascii="Calibri" w:hAnsi="Calibri" w:cs="Arial"/>
        </w:rPr>
        <w:t xml:space="preserve"> first </w:t>
      </w:r>
      <w:r w:rsidR="004E328A">
        <w:rPr>
          <w:rFonts w:ascii="Calibri" w:hAnsi="Calibri" w:cs="Arial"/>
        </w:rPr>
        <w:t>are</w:t>
      </w:r>
      <w:r>
        <w:rPr>
          <w:rFonts w:ascii="Calibri" w:hAnsi="Calibri" w:cs="Arial"/>
        </w:rPr>
        <w:t xml:space="preserve"> </w:t>
      </w:r>
      <w:r w:rsidR="004E328A">
        <w:rPr>
          <w:rFonts w:ascii="Calibri" w:hAnsi="Calibri" w:cs="Arial"/>
        </w:rPr>
        <w:t>single-stran</w:t>
      </w:r>
      <w:r w:rsidR="000172A4">
        <w:rPr>
          <w:rFonts w:ascii="Calibri" w:hAnsi="Calibri" w:cs="Arial"/>
        </w:rPr>
        <w:t>ded antisense oligonucleotides (ASO</w:t>
      </w:r>
      <w:r w:rsidR="005F1F3D">
        <w:rPr>
          <w:rFonts w:ascii="Calibri" w:hAnsi="Calibri" w:cs="Arial"/>
        </w:rPr>
        <w:t>)</w:t>
      </w:r>
      <w:r w:rsidR="00B737A4">
        <w:rPr>
          <w:rFonts w:ascii="Calibri" w:hAnsi="Calibri" w:cs="Arial"/>
        </w:rPr>
        <w:t xml:space="preserve"> </w:t>
      </w:r>
      <w:r w:rsidR="00FA4EDA">
        <w:rPr>
          <w:rFonts w:ascii="Calibri" w:hAnsi="Calibri" w:cs="Arial"/>
        </w:rPr>
        <w:t>20-</w:t>
      </w:r>
      <w:r w:rsidR="00AA5455">
        <w:rPr>
          <w:rFonts w:ascii="Calibri" w:hAnsi="Calibri" w:cs="Arial"/>
        </w:rPr>
        <w:t>30 nucleotide</w:t>
      </w:r>
      <w:r w:rsidR="000172A4">
        <w:rPr>
          <w:rFonts w:ascii="Calibri" w:hAnsi="Calibri" w:cs="Arial"/>
        </w:rPr>
        <w:t>s</w:t>
      </w:r>
      <w:r w:rsidR="00AA5455">
        <w:rPr>
          <w:rFonts w:ascii="Calibri" w:hAnsi="Calibri" w:cs="Arial"/>
        </w:rPr>
        <w:t xml:space="preserve"> (nt)</w:t>
      </w:r>
      <w:r w:rsidR="005F1F3D">
        <w:rPr>
          <w:rFonts w:ascii="Calibri" w:hAnsi="Calibri" w:cs="Arial"/>
        </w:rPr>
        <w:t xml:space="preserve"> in length</w:t>
      </w:r>
      <w:r w:rsidR="000172A4">
        <w:rPr>
          <w:rFonts w:ascii="Calibri" w:hAnsi="Calibri" w:cs="Arial"/>
        </w:rPr>
        <w:t xml:space="preserve"> that can either </w:t>
      </w:r>
      <w:r w:rsidR="00FF5C8F">
        <w:rPr>
          <w:rFonts w:ascii="Calibri" w:hAnsi="Calibri" w:cs="Arial"/>
        </w:rPr>
        <w:t>catalys</w:t>
      </w:r>
      <w:r w:rsidR="005F1F3D">
        <w:rPr>
          <w:rFonts w:ascii="Calibri" w:hAnsi="Calibri" w:cs="Arial"/>
        </w:rPr>
        <w:t>e</w:t>
      </w:r>
      <w:r w:rsidR="00AA5455">
        <w:rPr>
          <w:rFonts w:ascii="Calibri" w:hAnsi="Calibri" w:cs="Arial"/>
        </w:rPr>
        <w:t xml:space="preserve"> </w:t>
      </w:r>
      <w:r w:rsidR="00952B28">
        <w:rPr>
          <w:rFonts w:ascii="Calibri" w:hAnsi="Calibri" w:cs="Arial"/>
        </w:rPr>
        <w:t>target</w:t>
      </w:r>
      <w:r w:rsidR="00FF5C8F">
        <w:rPr>
          <w:rFonts w:ascii="Calibri" w:hAnsi="Calibri" w:cs="Arial"/>
        </w:rPr>
        <w:t xml:space="preserve"> cleavage </w:t>
      </w:r>
      <w:r w:rsidR="000172A4">
        <w:rPr>
          <w:rFonts w:ascii="Calibri" w:hAnsi="Calibri" w:cs="Arial"/>
        </w:rPr>
        <w:t xml:space="preserve">(via RNAse H) </w:t>
      </w:r>
      <w:r w:rsidR="00FF5C8F">
        <w:rPr>
          <w:rFonts w:ascii="Calibri" w:hAnsi="Calibri" w:cs="Arial"/>
        </w:rPr>
        <w:t>or</w:t>
      </w:r>
      <w:r w:rsidR="00AA5455">
        <w:rPr>
          <w:rFonts w:ascii="Calibri" w:hAnsi="Calibri" w:cs="Arial"/>
        </w:rPr>
        <w:t xml:space="preserve"> </w:t>
      </w:r>
      <w:r w:rsidR="00FF5C8F">
        <w:rPr>
          <w:rFonts w:ascii="Calibri" w:hAnsi="Calibri" w:cs="Arial"/>
        </w:rPr>
        <w:t xml:space="preserve">stoichiometrically </w:t>
      </w:r>
      <w:r w:rsidR="00AA5455">
        <w:rPr>
          <w:rFonts w:ascii="Calibri" w:hAnsi="Calibri" w:cs="Arial"/>
        </w:rPr>
        <w:t xml:space="preserve">sequester </w:t>
      </w:r>
      <w:r w:rsidR="00FA4EDA">
        <w:rPr>
          <w:rFonts w:ascii="Calibri" w:hAnsi="Calibri" w:cs="Arial"/>
        </w:rPr>
        <w:t>RNA</w:t>
      </w:r>
      <w:r w:rsidR="00B30788">
        <w:rPr>
          <w:rFonts w:ascii="Calibri" w:hAnsi="Calibri" w:cs="Arial"/>
        </w:rPr>
        <w:t xml:space="preserve"> targets</w:t>
      </w:r>
      <w:r w:rsidR="00FA4EDA">
        <w:rPr>
          <w:rFonts w:ascii="Calibri" w:hAnsi="Calibri" w:cs="Arial"/>
        </w:rPr>
        <w:t xml:space="preserve"> </w:t>
      </w:r>
      <w:r w:rsidR="002375C8">
        <w:rPr>
          <w:rFonts w:ascii="Calibri" w:hAnsi="Calibri" w:cs="Arial"/>
        </w:rPr>
        <w:t>(Fig. 2A, B)</w:t>
      </w:r>
      <w:r w:rsidR="00AA5455">
        <w:rPr>
          <w:rFonts w:ascii="Calibri" w:hAnsi="Calibri" w:cs="Arial"/>
        </w:rPr>
        <w:t xml:space="preserve">. </w:t>
      </w:r>
      <w:r w:rsidR="000172A4">
        <w:rPr>
          <w:rFonts w:ascii="Calibri" w:hAnsi="Calibri" w:cs="Arial"/>
        </w:rPr>
        <w:t>Cur</w:t>
      </w:r>
      <w:r w:rsidR="00CB0B75">
        <w:rPr>
          <w:rFonts w:ascii="Calibri" w:hAnsi="Calibri" w:cs="Arial"/>
        </w:rPr>
        <w:t>rently, this approach has been proven</w:t>
      </w:r>
      <w:r w:rsidR="000172A4">
        <w:rPr>
          <w:rFonts w:ascii="Calibri" w:hAnsi="Calibri" w:cs="Arial"/>
        </w:rPr>
        <w:t xml:space="preserve"> the most effective, with two</w:t>
      </w:r>
      <w:r w:rsidR="00CB0B75">
        <w:rPr>
          <w:rFonts w:ascii="Calibri" w:hAnsi="Calibri" w:cs="Arial"/>
        </w:rPr>
        <w:t xml:space="preserve"> RNase H active</w:t>
      </w:r>
      <w:r w:rsidR="000172A4">
        <w:rPr>
          <w:rFonts w:ascii="Calibri" w:hAnsi="Calibri" w:cs="Arial"/>
        </w:rPr>
        <w:t xml:space="preserve"> ASOs </w:t>
      </w:r>
      <w:r w:rsidR="00CB0B75">
        <w:rPr>
          <w:rFonts w:ascii="Calibri" w:hAnsi="Calibri" w:cs="Arial"/>
        </w:rPr>
        <w:t>approved for clinical use</w:t>
      </w:r>
      <w:r w:rsidR="00FA4EDA">
        <w:rPr>
          <w:rFonts w:ascii="Calibri" w:hAnsi="Calibri" w:cs="Arial"/>
        </w:rPr>
        <w:t xml:space="preserve"> (fomivirsen: approved in 1998; </w:t>
      </w:r>
      <w:r w:rsidR="00A9637D">
        <w:rPr>
          <w:rFonts w:ascii="Calibri" w:hAnsi="Calibri" w:cs="Arial"/>
        </w:rPr>
        <w:t>mipomersen</w:t>
      </w:r>
      <w:r w:rsidR="00FA4EDA">
        <w:rPr>
          <w:rFonts w:ascii="Calibri" w:hAnsi="Calibri" w:cs="Arial"/>
        </w:rPr>
        <w:t xml:space="preserve">: approved in 2012). </w:t>
      </w:r>
      <w:r w:rsidR="004E328A">
        <w:rPr>
          <w:rFonts w:ascii="Calibri" w:hAnsi="Calibri" w:cs="Arial"/>
        </w:rPr>
        <w:t>Antisense</w:t>
      </w:r>
      <w:r w:rsidR="005F1F3D">
        <w:rPr>
          <w:rFonts w:ascii="Calibri" w:hAnsi="Calibri" w:cs="Arial"/>
        </w:rPr>
        <w:t>-</w:t>
      </w:r>
      <w:r w:rsidR="004E328A">
        <w:rPr>
          <w:rFonts w:ascii="Calibri" w:hAnsi="Calibri" w:cs="Arial"/>
        </w:rPr>
        <w:t xml:space="preserve">based approaches have also been developed for </w:t>
      </w:r>
      <w:r w:rsidR="00CC7F76">
        <w:rPr>
          <w:rFonts w:ascii="Calibri" w:hAnsi="Calibri" w:cs="Arial"/>
        </w:rPr>
        <w:t>RNA splicing manipulation</w:t>
      </w:r>
      <w:r w:rsidR="008D4EFF">
        <w:rPr>
          <w:rFonts w:ascii="Calibri" w:hAnsi="Calibri" w:cs="Arial"/>
        </w:rPr>
        <w:t xml:space="preserve">. Thus, until </w:t>
      </w:r>
      <w:r w:rsidR="00FF5E56">
        <w:rPr>
          <w:rFonts w:ascii="Calibri" w:hAnsi="Calibri" w:cs="Arial"/>
        </w:rPr>
        <w:t>recently</w:t>
      </w:r>
      <w:r w:rsidR="008D4EFF">
        <w:rPr>
          <w:rFonts w:ascii="Calibri" w:hAnsi="Calibri" w:cs="Arial"/>
        </w:rPr>
        <w:t>,</w:t>
      </w:r>
      <w:r w:rsidR="004E328A">
        <w:rPr>
          <w:rFonts w:ascii="Calibri" w:hAnsi="Calibri" w:cs="Arial"/>
        </w:rPr>
        <w:t xml:space="preserve"> the closest </w:t>
      </w:r>
      <w:r w:rsidR="00FF5E56">
        <w:rPr>
          <w:rFonts w:ascii="Calibri" w:hAnsi="Calibri" w:cs="Arial"/>
        </w:rPr>
        <w:t xml:space="preserve">compound </w:t>
      </w:r>
      <w:r w:rsidR="004E328A">
        <w:rPr>
          <w:rFonts w:ascii="Calibri" w:hAnsi="Calibri" w:cs="Arial"/>
        </w:rPr>
        <w:t xml:space="preserve">to market </w:t>
      </w:r>
      <w:r w:rsidR="008D4EFF">
        <w:rPr>
          <w:rFonts w:ascii="Calibri" w:hAnsi="Calibri" w:cs="Arial"/>
        </w:rPr>
        <w:t xml:space="preserve">was </w:t>
      </w:r>
      <w:r w:rsidR="004E328A">
        <w:rPr>
          <w:rFonts w:ascii="Calibri" w:hAnsi="Calibri" w:cs="Arial"/>
        </w:rPr>
        <w:t>drisapersen</w:t>
      </w:r>
      <w:r w:rsidR="005F1F3D">
        <w:rPr>
          <w:rFonts w:ascii="Calibri" w:hAnsi="Calibri" w:cs="Arial"/>
        </w:rPr>
        <w:t>, a</w:t>
      </w:r>
      <w:r w:rsidR="004E328A">
        <w:rPr>
          <w:rFonts w:ascii="Calibri" w:hAnsi="Calibri" w:cs="Arial"/>
        </w:rPr>
        <w:t xml:space="preserve"> </w:t>
      </w:r>
      <w:r w:rsidR="005F1F3D">
        <w:rPr>
          <w:rFonts w:ascii="Calibri" w:hAnsi="Calibri" w:cs="Arial"/>
        </w:rPr>
        <w:t xml:space="preserve">late </w:t>
      </w:r>
      <w:r w:rsidR="008D4EFF">
        <w:rPr>
          <w:rFonts w:ascii="Calibri" w:hAnsi="Calibri" w:cs="Arial"/>
        </w:rPr>
        <w:t xml:space="preserve">stage </w:t>
      </w:r>
      <w:r w:rsidR="00FF5E56">
        <w:rPr>
          <w:rFonts w:ascii="Calibri" w:hAnsi="Calibri" w:cs="Arial"/>
        </w:rPr>
        <w:t>drug</w:t>
      </w:r>
      <w:r w:rsidR="00CB0B75">
        <w:rPr>
          <w:rFonts w:ascii="Calibri" w:hAnsi="Calibri" w:cs="Arial"/>
        </w:rPr>
        <w:t xml:space="preserve"> </w:t>
      </w:r>
      <w:r w:rsidR="004E328A">
        <w:rPr>
          <w:rFonts w:ascii="Calibri" w:hAnsi="Calibri" w:cs="Arial"/>
        </w:rPr>
        <w:t>developed for the treatment of Duch</w:t>
      </w:r>
      <w:r w:rsidR="00BF3DAF">
        <w:rPr>
          <w:rFonts w:ascii="Calibri" w:hAnsi="Calibri" w:cs="Arial"/>
        </w:rPr>
        <w:t xml:space="preserve">enne </w:t>
      </w:r>
      <w:r w:rsidR="00304BC3">
        <w:rPr>
          <w:rFonts w:ascii="Calibri" w:hAnsi="Calibri" w:cs="Arial"/>
        </w:rPr>
        <w:t>M</w:t>
      </w:r>
      <w:r w:rsidR="00BF3DAF">
        <w:rPr>
          <w:rFonts w:ascii="Calibri" w:hAnsi="Calibri" w:cs="Arial"/>
        </w:rPr>
        <w:t xml:space="preserve">uscular </w:t>
      </w:r>
      <w:r w:rsidR="00304BC3">
        <w:rPr>
          <w:rFonts w:ascii="Calibri" w:hAnsi="Calibri" w:cs="Arial"/>
        </w:rPr>
        <w:t>D</w:t>
      </w:r>
      <w:r w:rsidR="00BF3DAF">
        <w:rPr>
          <w:rFonts w:ascii="Calibri" w:hAnsi="Calibri" w:cs="Arial"/>
        </w:rPr>
        <w:t>ystrophy</w:t>
      </w:r>
      <w:r w:rsidR="004E328A">
        <w:rPr>
          <w:rFonts w:ascii="Calibri" w:hAnsi="Calibri" w:cs="Arial"/>
        </w:rPr>
        <w:t xml:space="preserve"> </w:t>
      </w:r>
      <w:r w:rsidR="00CC7F76">
        <w:rPr>
          <w:rFonts w:ascii="Calibri" w:hAnsi="Calibri" w:cs="Arial"/>
        </w:rPr>
        <w:t>(</w:t>
      </w:r>
      <w:r w:rsidR="001A0F45">
        <w:rPr>
          <w:rFonts w:ascii="Calibri" w:hAnsi="Calibri" w:cs="Arial"/>
        </w:rPr>
        <w:t xml:space="preserve">Fig. 2C; </w:t>
      </w:r>
      <w:r w:rsidR="00CC7F76">
        <w:rPr>
          <w:rFonts w:ascii="Calibri" w:hAnsi="Calibri" w:cs="Arial"/>
        </w:rPr>
        <w:t xml:space="preserve">drisapersen, Biomarin </w:t>
      </w:r>
      <w:r w:rsidR="000A487B">
        <w:rPr>
          <w:rFonts w:ascii="Calibri" w:hAnsi="Calibri" w:cs="Arial"/>
        </w:rPr>
        <w:t>Pharmaceu</w:t>
      </w:r>
      <w:r w:rsidR="00CC7F76">
        <w:rPr>
          <w:rFonts w:ascii="Calibri" w:hAnsi="Calibri" w:cs="Arial"/>
        </w:rPr>
        <w:t>t</w:t>
      </w:r>
      <w:r w:rsidR="000A487B">
        <w:rPr>
          <w:rFonts w:ascii="Calibri" w:hAnsi="Calibri" w:cs="Arial"/>
        </w:rPr>
        <w:t>i</w:t>
      </w:r>
      <w:r w:rsidR="00CC7F76">
        <w:rPr>
          <w:rFonts w:ascii="Calibri" w:hAnsi="Calibri" w:cs="Arial"/>
        </w:rPr>
        <w:t>cal</w:t>
      </w:r>
      <w:r w:rsidR="00FF5C8F">
        <w:rPr>
          <w:rFonts w:ascii="Calibri" w:hAnsi="Calibri" w:cs="Arial"/>
        </w:rPr>
        <w:t xml:space="preserve"> </w:t>
      </w:r>
      <w:r w:rsidR="00CC7F76">
        <w:rPr>
          <w:rFonts w:ascii="Calibri" w:hAnsi="Calibri" w:cs="Arial"/>
        </w:rPr>
        <w:fldChar w:fldCharType="begin" w:fldLock="1"/>
      </w:r>
      <w:r w:rsidR="00D573DB">
        <w:rPr>
          <w:rFonts w:ascii="Calibri" w:hAnsi="Calibri" w:cs="Arial"/>
        </w:rPr>
        <w:instrText>ADDIN CSL_CITATION { "citationItems" : [ { "id" : "ITEM-1", "itemData" : { "DOI" : "10.1056/NEJMoa073108", "ISSN" : "1533-4406", "PMID" : "18160687", "abstract" : "BACKGROUND: Duchenne's muscular dystrophy is associated with severe, progressive muscle weakness and typically leads to death between the ages of 20 and 35 years. By inducing specific exon skipping during messenger RNA (mRNA) splicing, antisense compounds were recently shown to correct the open reading frame of the DMD gene and thus to restore dystrophin expression in vitro and in animal models in vivo. We explored the safety, adverse-event profile, and local dystrophin-restoring effect of a single, intramuscular dose of an antisense oligonucleotide, PRO051, in patients with this disease.\n\nMETHODS: Four patients, who were selected on the basis of their mutational status, muscle condition, and positive exon-skipping response to PRO051 in vitro, received a dose of 0.8 mg of PRO051 injected into the tibialis anterior muscle. A biopsy was performed 28 days later. Safety measures, composition of mRNA, and dystrophin expression were assessed.\n\nRESULTS: PRO051 injection was not associated with clinically apparent adverse events. Each patient showed specific skipping of exon 51 and sarcolemmal dystrophin in 64 to 97% of myofibers. The amount of dystrophin in total protein extracts ranged from 3 to 12% of that found in the control specimen and from 17 to 35% of that of the control specimen in the quantitative ratio of dystrophin to laminin alpha2.\n\nCONCLUSIONS: Intramuscular injection of antisense oligonucleotide PRO051 induced dystrophin synthesis in four patients with Duchenne's muscular dystrophy who had suitable mutations, suggesting that further studies might be feasible.", "author" : [ { "dropping-particle" : "", "family" : "Deutekom", "given" : "Judith C", "non-dropping-particle" : "van", "parse-names" : false, "suffix" : "" }, { "dropping-particle" : "", "family" : "Janson", "given" : "Anneke A", "non-dropping-particle" : "", "parse-names" : false, "suffix" : "" }, { "dropping-particle" : "", "family" : "Ginjaar", "given" : "Ieke B", "non-dropping-particle" : "", "parse-names" : false, "suffix" : "" }, { "dropping-particle" : "", "family" : "Frankhuizen", "given" : "Wendy S", "non-dropping-particle" : "", "parse-names" : false, "suffix" : "" }, { "dropping-particle" : "", "family" : "Aartsma-Rus", "given" : "Annemieke", "non-dropping-particle" : "", "parse-names" : false, "suffix" : "" }, { "dropping-particle" : "", "family" : "Bremmer-Bout", "given" : "Mattie", "non-dropping-particle" : "", "parse-names" : false, "suffix" : "" }, { "dropping-particle" : "", "family" : "Dunnen", "given" : "Johan T", "non-dropping-particle" : "den", "parse-names" : false, "suffix" : "" }, { "dropping-particle" : "", "family" : "Koop", "given" : "Klaas", "non-dropping-particle" : "", "parse-names" : false, "suffix" : "" }, { "dropping-particle" : "", "family" : "Kooi", "given" : "Anneke J", "non-dropping-particle" : "van der", "parse-names" : false, "suffix" : "" }, { "dropping-particle" : "", "family" : "Goemans", "given" : "Nathalie M", "non-dropping-particle" : "", "parse-names" : false, "suffix" : "" }, { "dropping-particle" : "", "family" : "Kimpe", "given" : "Sjef J", "non-dropping-particle" : "de", "parse-names" : false, "suffix" : "" }, { "dropping-particle" : "", "family" : "Ekhart", "given" : "Peter F", "non-dropping-particle" : "", "parse-names" : false, "suffix" : "" }, { "dropping-particle" : "", "family" : "Venneker", "given" : "Edna H", "non-dropping-particle" : "", "parse-names" : false, "suffix" : "" }, { "dropping-particle" : "", "family" : "Platenburg", "given" : "Gerard J", "non-dropping-particle" : "", "parse-names" : false, "suffix" : "" }, { "dropping-particle" : "", "family" : "Verschuuren", "given" : "Jan J", "non-dropping-particle" : "", "parse-names" : false, "suffix" : "" }, { "dropping-particle" : "", "family" : "Ommen", "given" : "Gert-Jan B", "non-dropping-particle" : "van", "parse-names" : false, "suffix" : "" } ], "container-title" : "The New England journal of medicine", "id" : "ITEM-1", "issue" : "26", "issued" : { "date-parts" : [ [ "2007", "12", "27" ] ] }, "page" : "2677-86", "title" : "Local dystrophin restoration with antisense oligonucleotide PRO051.", "type" : "article-journal", "volume" : "357" }, "uris" : [ "http://www.mendeley.com/documents/?uuid=7f769ead-223d-4846-8d69-495b3380eaf5" ] }, { "id" : "ITEM-2", "itemData" : { "DOI" : "10.1038/mtna.2014.6", "ISSN" : "2162-2531", "PMID" : "24618851", "author" : [ { "dropping-particle" : "", "family" : "Lu", "given" : "Qi-Long", "non-dropping-particle" : "", "parse-names" : false, "suffix" : "" }, { "dropping-particle" : "", "family" : "Cirak", "given" : "Sebahattin", "non-dropping-particle" : "", "parse-names" : false, "suffix" : "" }, { "dropping-particle" : "", "family" : "Partridge", "given" : "Terence", "non-dropping-particle" : "", "parse-names" : false, "suffix" : "" } ], "container-title" : "Molecular therapy. Nucleic acids", "id" : "ITEM-2", "issued" : { "date-parts" : [ [ "2014", "1", "11" ] ] }, "page" : "e152", "publisher" : "The American Society of Gene &amp; Cell Therapy", "title" : "What Can We Learn From Clinical Trials of Exon Skipping for DMD?", "title-short" : "Mol Ther Nucleic Acids", "type" : "article-journal", "volume" : "3" }, "uris" : [ "http://www.mendeley.com/documents/?uuid=8af1738c-df90-4a46-b0a0-2dc87e88f673" ] }, { "id" : "ITEM-3", "itemData" : { "DOI" : "10.1089/hum.2013.234", "ISSN" : "1557-7422", "PMID" : "24826963", "abstract" : "Synthetic splice-switching oligonucleotides (SSOs) target nuclear pre-mRNA molecules to change exon splicing and generate an alternative protein isoform. Clinical trials with two competitive SSO drugs are underway to treat Duchenne muscular dystrophy (DMD). Beyond DMD, many additional therapeutic applications are possible, with some in phase 1 clinical trials or advanced preclinical evaluation. Here, we present an overview of the central factors involved in developing therapeutic SSOs for the treatment of diseases. The selection of susceptible pre-mRNA target sequences, as well as the design and chemical modification of SSOs to increase SSO stability and effectiveness, are key initial considerations. Identification of effective SSO target sequences is still largely empirical and published guidelines are not a universal guarantee for success. Specifically, exon-targeted SSOs, which are successful in modifying dystrophin splicing, can be ineffective for splice-switching in other contexts. Chemical modifications, importantly, are associated with certain characteristic toxicities, which need to be addressed as target diseases require chronic treatment with SSOs. Moreover, SSO delivery in adequate quantities to the nucleus of target cells without toxicity can prove difficult. Last, the means by which these SSOs are administered needs to be acceptable to the patient. Engineering an efficient therapeutic SSO, therefore, necessarily entails a compromise between desirable qualities and effectiveness. Here, we describe how the application of optimal solutions may differ from case to case.", "author" : [ { "dropping-particle" : "", "family" : "Disterer", "given" : "Petra", "non-dropping-particle" : "", "parse-names" : false, "suffix" : "" }, { "dropping-particle" : "", "family" : "Kryczka", "given" : "Adrianna", "non-dropping-particle" : "", "parse-names" : false, "suffix" : "" }, { "dropping-particle" : "", "family" : "Liu", "given" : "Yuqi", "non-dropping-particle" : "", "parse-names" : false, "suffix" : "" }, { "dropping-particle" : "", "family" : "Badi", "given" : "Yusef E", "non-dropping-particle" : "", "parse-names" : false, "suffix" : "" }, { "dropping-particle" : "", "family" : "Wong", "given" : "Jessie J", "non-dropping-particle" : "", "parse-names" : false, "suffix" : "" }, { "dropping-particle" : "", "family" : "Owen", "given" : "James S", "non-dropping-particle" : "", "parse-names" : false, "suffix" : "" }, { "dropping-particle" : "", "family" : "Khoo", "given" : "Bernard", "non-dropping-particle" : "", "parse-names" : false, "suffix" : "" } ], "container-title" : "Human gene therapy", "id" : "ITEM-3", "issue" : "7", "issued" : { "date-parts" : [ [ "2014", "7" ] ] }, "page" : "587-98", "title" : "Development of therapeutic splice-switching oligonucleotides.", "type" : "article-journal", "volume" : "25" }, "uris" : [ "http://www.mendeley.com/documents/?uuid=7396feb3-9959-459d-8201-d784ef997691" ] } ], "mendeley" : { "formattedCitation" : "(Disterer et al., 2014; Q.-L. Lu, Cirak, &amp; Partridge, 2014; van Deutekom et al., 2007)", "plainTextFormattedCitation" : "(Disterer et al., 2014; Q.-L. Lu, Cirak, &amp; Partridge, 2014; van Deutekom et al., 2007)", "previouslyFormattedCitation" : "(Disterer et al., 2014; Q.-L. Lu, Cirak, &amp; Partridge, 2014; van Deutekom et al., 2007)" }, "properties" : { "noteIndex" : 0 }, "schema" : "https://github.com/citation-style-language/schema/raw/master/csl-citation.json" }</w:instrText>
      </w:r>
      <w:r w:rsidR="00CC7F76">
        <w:rPr>
          <w:rFonts w:ascii="Calibri" w:hAnsi="Calibri" w:cs="Arial"/>
        </w:rPr>
        <w:fldChar w:fldCharType="separate"/>
      </w:r>
      <w:r w:rsidR="00CC7F76" w:rsidRPr="00CC7F76">
        <w:rPr>
          <w:rFonts w:ascii="Calibri" w:hAnsi="Calibri" w:cs="Arial"/>
          <w:noProof/>
        </w:rPr>
        <w:t>(Disterer et al., 2014; Q.-L. Lu, Cirak, &amp; Partridge, 2014; van Deutekom et al., 2007)</w:t>
      </w:r>
      <w:r w:rsidR="00CC7F76">
        <w:rPr>
          <w:rFonts w:ascii="Calibri" w:hAnsi="Calibri" w:cs="Arial"/>
        </w:rPr>
        <w:fldChar w:fldCharType="end"/>
      </w:r>
      <w:r w:rsidR="00CC7F76">
        <w:rPr>
          <w:rFonts w:ascii="Calibri" w:hAnsi="Calibri" w:cs="Arial"/>
        </w:rPr>
        <w:t>)</w:t>
      </w:r>
      <w:r w:rsidR="00FF5C8F">
        <w:rPr>
          <w:rFonts w:ascii="Calibri" w:hAnsi="Calibri" w:cs="Arial"/>
        </w:rPr>
        <w:t>.</w:t>
      </w:r>
      <w:r w:rsidR="008D4EFF">
        <w:rPr>
          <w:rFonts w:ascii="Calibri" w:hAnsi="Calibri" w:cs="Arial"/>
        </w:rPr>
        <w:t xml:space="preserve"> </w:t>
      </w:r>
      <w:r w:rsidR="00496ACA">
        <w:rPr>
          <w:rFonts w:ascii="Calibri" w:hAnsi="Calibri" w:cs="Arial"/>
        </w:rPr>
        <w:t>D</w:t>
      </w:r>
      <w:r w:rsidR="00304BC3">
        <w:rPr>
          <w:rFonts w:ascii="Calibri" w:hAnsi="Calibri" w:cs="Arial"/>
        </w:rPr>
        <w:t>risapersen</w:t>
      </w:r>
      <w:r w:rsidR="00FF5E56">
        <w:rPr>
          <w:rFonts w:ascii="Calibri" w:hAnsi="Calibri" w:cs="Arial"/>
        </w:rPr>
        <w:t xml:space="preserve"> </w:t>
      </w:r>
      <w:r w:rsidR="00304BC3">
        <w:rPr>
          <w:rFonts w:ascii="Calibri" w:hAnsi="Calibri" w:cs="Arial"/>
        </w:rPr>
        <w:t>failed to achieve regulatory approval</w:t>
      </w:r>
      <w:r w:rsidR="00FF5E56">
        <w:rPr>
          <w:rFonts w:ascii="Calibri" w:hAnsi="Calibri" w:cs="Arial"/>
        </w:rPr>
        <w:t xml:space="preserve"> in January 2016, leading Biomarin to focus on the next generation of this technology</w:t>
      </w:r>
      <w:r w:rsidR="00496ACA">
        <w:rPr>
          <w:rFonts w:ascii="Calibri" w:hAnsi="Calibri" w:cs="Arial"/>
        </w:rPr>
        <w:t>. Eteplirsen is also facing significant skepticism by US regulators</w:t>
      </w:r>
      <w:r w:rsidR="00FF5E56">
        <w:rPr>
          <w:rFonts w:ascii="Calibri" w:hAnsi="Calibri" w:cs="Arial"/>
        </w:rPr>
        <w:t xml:space="preserve"> </w:t>
      </w:r>
      <w:r w:rsidR="00CF6996">
        <w:rPr>
          <w:rFonts w:ascii="Calibri" w:hAnsi="Calibri" w:cs="Arial"/>
        </w:rPr>
        <w:fldChar w:fldCharType="begin" w:fldLock="1"/>
      </w:r>
      <w:r w:rsidR="00E31E0A">
        <w:rPr>
          <w:rFonts w:ascii="Calibri" w:hAnsi="Calibri" w:cs="Arial"/>
        </w:rPr>
        <w:instrText>ADDIN CSL_CITATION { "citationItems" : [ { "id" : "ITEM-1", "itemData" : { "DOI" : "10.1358/dot.2016.52.3.2473590", "ISSN" : "1699-3993", "PMID" : "27186594", "abstract" : "Highly anticipated as new disease-modifying treatments for Duchenne muscular dystrophy (DMD), therapeutics by BioMarin Pharmaceutical (Kyndrisa\u2122; drisapersen) and Sarepta Therapeutics (eteplirsen; AVI-4658) both recently received negative FDA reviews and are now facing battles for approval in the U.S. At present, BioMarin is committed to working with the FDA to forge a pathway to approval following the failure of its NDA, while Sarepta awaits the formal decision on its NDA, which is expected by late May 2016. Despite the critical nature of both reviews, analysts consider that there is still a narrow possibility of approval of both drugs. According to Consensus forecasts from Thomson Reuters Cortellis for Competitive Intelligence, Kyndrisa is forecast to achieve sales of USD 533.71 million in 2021.", "author" : [ { "dropping-particle" : "", "family" : "Hodgkinson", "given" : "L", "non-dropping-particle" : "", "parse-names" : false, "suffix" : "" }, { "dropping-particle" : "", "family" : "Sorbera", "given" : "L", "non-dropping-particle" : "", "parse-names" : false, "suffix" : "" }, { "dropping-particle" : "", "family" : "Graul", "given" : "A I", "non-dropping-particle" : "", "parse-names" : false, "suffix" : "" } ], "container-title" : "Drugs of today (Barcelona, Spain : 1998)", "id" : "ITEM-1", "issue" : "3", "issued" : { "date-parts" : [ [ "2016", "3" ] ] }, "page" : "199-202", "title" : "Duchenne muscular dystrophy drugs face tough path to approval.", "type" : "article-journal", "volume" : "52" }, "uris" : [ "http://www.mendeley.com/documents/?uuid=2b654bd5-3124-30a3-81b8-62c0a229d7dd" ] } ], "mendeley" : { "formattedCitation" : "(Hodgkinson, Sorbera, &amp; Graul, 2016)", "plainTextFormattedCitation" : "(Hodgkinson, Sorbera, &amp; Graul, 2016)", "previouslyFormattedCitation" : "(Hodgkinson, Sorbera, &amp; Graul, 2016)" }, "properties" : { "noteIndex" : 0 }, "schema" : "https://github.com/citation-style-language/schema/raw/master/csl-citation.json" }</w:instrText>
      </w:r>
      <w:r w:rsidR="00CF6996">
        <w:rPr>
          <w:rFonts w:ascii="Calibri" w:hAnsi="Calibri" w:cs="Arial"/>
        </w:rPr>
        <w:fldChar w:fldCharType="separate"/>
      </w:r>
      <w:r w:rsidR="00CF6996" w:rsidRPr="00CF6996">
        <w:rPr>
          <w:rFonts w:ascii="Calibri" w:hAnsi="Calibri" w:cs="Arial"/>
          <w:noProof/>
        </w:rPr>
        <w:t>(Hodgkinson, Sorbera, &amp; Graul, 2016)</w:t>
      </w:r>
      <w:r w:rsidR="00CF6996">
        <w:rPr>
          <w:rFonts w:ascii="Calibri" w:hAnsi="Calibri" w:cs="Arial"/>
        </w:rPr>
        <w:fldChar w:fldCharType="end"/>
      </w:r>
      <w:r w:rsidR="008E4709">
        <w:rPr>
          <w:rFonts w:ascii="Calibri" w:hAnsi="Calibri" w:cs="Arial"/>
        </w:rPr>
        <w:t xml:space="preserve">. </w:t>
      </w:r>
      <w:r w:rsidR="00A24E74">
        <w:rPr>
          <w:rFonts w:ascii="Calibri" w:hAnsi="Calibri" w:cs="Arial"/>
        </w:rPr>
        <w:t xml:space="preserve">Single stranded oligonucleotides </w:t>
      </w:r>
      <w:r w:rsidR="00BF3DAF">
        <w:rPr>
          <w:rFonts w:ascii="Calibri" w:hAnsi="Calibri" w:cs="Arial"/>
        </w:rPr>
        <w:t xml:space="preserve">in the form of aptamers </w:t>
      </w:r>
      <w:r w:rsidR="00A24E74">
        <w:rPr>
          <w:rFonts w:ascii="Calibri" w:hAnsi="Calibri" w:cs="Arial"/>
        </w:rPr>
        <w:t>can also be used as replacements to antibodies</w:t>
      </w:r>
      <w:r w:rsidR="005F1F3D">
        <w:rPr>
          <w:rFonts w:ascii="Calibri" w:hAnsi="Calibri" w:cs="Arial"/>
        </w:rPr>
        <w:t>.</w:t>
      </w:r>
      <w:r w:rsidR="00BF3DAF">
        <w:rPr>
          <w:rFonts w:ascii="Calibri" w:hAnsi="Calibri" w:cs="Arial"/>
        </w:rPr>
        <w:t xml:space="preserve"> </w:t>
      </w:r>
      <w:r w:rsidR="005F1F3D">
        <w:rPr>
          <w:rFonts w:ascii="Calibri" w:hAnsi="Calibri" w:cs="Arial"/>
        </w:rPr>
        <w:t>A marketed</w:t>
      </w:r>
      <w:r w:rsidR="00BF3DAF">
        <w:rPr>
          <w:rFonts w:ascii="Calibri" w:hAnsi="Calibri" w:cs="Arial"/>
        </w:rPr>
        <w:t xml:space="preserve"> example </w:t>
      </w:r>
      <w:r w:rsidR="005F1F3D">
        <w:rPr>
          <w:rFonts w:ascii="Calibri" w:hAnsi="Calibri" w:cs="Arial"/>
        </w:rPr>
        <w:t xml:space="preserve">is </w:t>
      </w:r>
      <w:r w:rsidR="00BF3DAF">
        <w:rPr>
          <w:rFonts w:ascii="Calibri" w:hAnsi="Calibri" w:cs="Arial"/>
        </w:rPr>
        <w:lastRenderedPageBreak/>
        <w:t xml:space="preserve">pegaptanib which targets </w:t>
      </w:r>
      <w:r w:rsidR="005F1F3D">
        <w:rPr>
          <w:rFonts w:ascii="Calibri" w:hAnsi="Calibri" w:cs="Arial"/>
        </w:rPr>
        <w:t xml:space="preserve">extracellular </w:t>
      </w:r>
      <w:r w:rsidR="00BF3DAF">
        <w:rPr>
          <w:rFonts w:ascii="Calibri" w:hAnsi="Calibri" w:cs="Arial"/>
        </w:rPr>
        <w:t xml:space="preserve">VEGF and is licensed for use in wet macular degeneration </w:t>
      </w:r>
      <w:r w:rsidR="005F1F3D">
        <w:rPr>
          <w:rFonts w:ascii="Calibri" w:hAnsi="Calibri" w:cs="Arial"/>
        </w:rPr>
        <w:t>(</w:t>
      </w:r>
      <w:r w:rsidR="006F341F">
        <w:rPr>
          <w:rFonts w:ascii="Calibri" w:hAnsi="Calibri" w:cs="Arial"/>
        </w:rPr>
        <w:t>approved in 2004</w:t>
      </w:r>
      <w:r w:rsidR="00446663">
        <w:rPr>
          <w:rFonts w:ascii="Calibri" w:hAnsi="Calibri" w:cs="Arial"/>
        </w:rPr>
        <w:t>)</w:t>
      </w:r>
      <w:r w:rsidR="00A24E74">
        <w:rPr>
          <w:rFonts w:ascii="Calibri" w:hAnsi="Calibri" w:cs="Arial"/>
        </w:rPr>
        <w:t xml:space="preserve"> </w:t>
      </w:r>
      <w:r w:rsidR="00446663">
        <w:rPr>
          <w:rFonts w:ascii="Calibri" w:hAnsi="Calibri" w:cs="Arial"/>
        </w:rPr>
        <w:fldChar w:fldCharType="begin" w:fldLock="1"/>
      </w:r>
      <w:r w:rsidR="004F4303">
        <w:rPr>
          <w:rFonts w:ascii="Calibri" w:hAnsi="Calibri" w:cs="Arial"/>
        </w:rPr>
        <w:instrText>ADDIN CSL_CITATION { "citationItems" : [ { "id" : "ITEM-1", "itemData" : { "DOI" : "10.1016/j.ejps.2012.10.014", "ISSN" : "1879-0720", "PMID" : "23142634", "abstract" : "RNA aptamers can fold into complex structures and bind with high affinity and selectivity to various macromolecules, viruses, and cells. They are isolated from a large pool of nucleic acids by a conceptually straightforward iterative selection process called SELEX. Aptamers have enormous potential as therapeutics due to their ability to bind to proteins and specifically inhibit their functions with minimal or no harmful side-effects. The first aptamer therapeutic was FDA approved in 2005 and a number of novel aptamer-based therapeutics are currently undergoing clinical trials for treating diseases such as macular degeneration, choroidal neovascularization, intravascular thrombus, acute coronary syndrome, von Willebrand factor related disorders, von Hippel-Lindau syndrome (VHL), angiomas, acute myeloid leukemia, renal cell carcinoma, non-small cell lung cancer, thrombotic thrombocytopenic purpura, and several others. In this review, we present aptamers in on-going, completed, and terminated clinical studies highlighting their mechanism of action as well as the inherent challenges of aptamer production and use.", "author" : [ { "dropping-particle" : "", "family" : "Sundaram", "given" : "Padma", "non-dropping-particle" : "", "parse-names" : false, "suffix" : "" }, { "dropping-particle" : "", "family" : "Kurniawan", "given" : "Helena", "non-dropping-particle" : "", "parse-names" : false, "suffix" : "" }, { "dropping-particle" : "", "family" : "Byrne", "given" : "Mark E", "non-dropping-particle" : "", "parse-names" : false, "suffix" : "" }, { "dropping-particle" : "", "family" : "Wower", "given" : "Jacek", "non-dropping-particle" : "", "parse-names" : false, "suffix" : "" } ], "container-title" : "European journal of pharmaceutical sciences : official journal of the European Federation for Pharmaceutical Sciences", "id" : "ITEM-1", "issue" : "1-2", "issued" : { "date-parts" : [ [ "2013", "1", "23" ] ] }, "page" : "259-71", "title" : "Therapeutic RNA aptamers in clinical trials.", "type" : "article-journal", "volume" : "48" }, "uris" : [ "http://www.mendeley.com/documents/?uuid=1ee1e6c8-087a-48d7-9d4b-02b2a9f822c6" ] } ], "mendeley" : { "formattedCitation" : "(Sundaram, Kurniawan, Byrne, &amp; Wower, 2013)", "plainTextFormattedCitation" : "(Sundaram, Kurniawan, Byrne, &amp; Wower, 2013)", "previouslyFormattedCitation" : "(Sundaram, Kurniawan, Byrne, &amp; Wower, 2013)" }, "properties" : { "noteIndex" : 0 }, "schema" : "https://github.com/citation-style-language/schema/raw/master/csl-citation.json" }</w:instrText>
      </w:r>
      <w:r w:rsidR="00446663">
        <w:rPr>
          <w:rFonts w:ascii="Calibri" w:hAnsi="Calibri" w:cs="Arial"/>
        </w:rPr>
        <w:fldChar w:fldCharType="separate"/>
      </w:r>
      <w:r w:rsidR="00446663" w:rsidRPr="00446663">
        <w:rPr>
          <w:rFonts w:ascii="Calibri" w:hAnsi="Calibri" w:cs="Arial"/>
          <w:noProof/>
        </w:rPr>
        <w:t>(Sundaram, Kurniawan, Byrne, &amp; Wower, 2013)</w:t>
      </w:r>
      <w:r w:rsidR="00446663">
        <w:rPr>
          <w:rFonts w:ascii="Calibri" w:hAnsi="Calibri" w:cs="Arial"/>
        </w:rPr>
        <w:fldChar w:fldCharType="end"/>
      </w:r>
      <w:r w:rsidR="00AE5908">
        <w:rPr>
          <w:rFonts w:ascii="Calibri" w:hAnsi="Calibri" w:cs="Arial"/>
        </w:rPr>
        <w:t>.</w:t>
      </w:r>
      <w:r w:rsidR="00446663">
        <w:rPr>
          <w:rFonts w:ascii="Calibri" w:hAnsi="Calibri" w:cs="Arial"/>
        </w:rPr>
        <w:t xml:space="preserve"> </w:t>
      </w:r>
      <w:r w:rsidR="000172A4">
        <w:rPr>
          <w:rFonts w:ascii="Calibri" w:hAnsi="Calibri" w:cs="Arial"/>
        </w:rPr>
        <w:t xml:space="preserve">Following the identification of siRNA-mediated </w:t>
      </w:r>
      <w:r w:rsidR="00542D3A">
        <w:rPr>
          <w:rFonts w:ascii="Calibri" w:hAnsi="Calibri" w:cs="Arial"/>
        </w:rPr>
        <w:t>RNAi</w:t>
      </w:r>
      <w:r w:rsidR="00B30788">
        <w:rPr>
          <w:rFonts w:ascii="Calibri" w:hAnsi="Calibri" w:cs="Arial"/>
        </w:rPr>
        <w:t xml:space="preserve"> </w:t>
      </w:r>
      <w:r w:rsidR="000172A4">
        <w:rPr>
          <w:rFonts w:ascii="Calibri" w:hAnsi="Calibri" w:cs="Arial"/>
        </w:rPr>
        <w:t xml:space="preserve">as a mechanism </w:t>
      </w:r>
      <w:r w:rsidR="00B30788">
        <w:rPr>
          <w:rFonts w:ascii="Calibri" w:hAnsi="Calibri" w:cs="Arial"/>
        </w:rPr>
        <w:t>capable of</w:t>
      </w:r>
      <w:r w:rsidR="000172A4">
        <w:rPr>
          <w:rFonts w:ascii="Calibri" w:hAnsi="Calibri" w:cs="Arial"/>
        </w:rPr>
        <w:t xml:space="preserve"> </w:t>
      </w:r>
      <w:r w:rsidR="00B737A4">
        <w:rPr>
          <w:rFonts w:ascii="Calibri" w:hAnsi="Calibri" w:cs="Arial"/>
        </w:rPr>
        <w:t>regulat</w:t>
      </w:r>
      <w:r w:rsidR="00B30788">
        <w:rPr>
          <w:rFonts w:ascii="Calibri" w:hAnsi="Calibri" w:cs="Arial"/>
        </w:rPr>
        <w:t>ing</w:t>
      </w:r>
      <w:r w:rsidR="00B737A4">
        <w:rPr>
          <w:rFonts w:ascii="Calibri" w:hAnsi="Calibri" w:cs="Arial"/>
        </w:rPr>
        <w:t xml:space="preserve"> </w:t>
      </w:r>
      <w:r w:rsidR="00AE56C9" w:rsidRPr="00C4343E">
        <w:rPr>
          <w:rFonts w:ascii="Calibri" w:hAnsi="Calibri" w:cs="Arial"/>
        </w:rPr>
        <w:t xml:space="preserve">gene expression at the </w:t>
      </w:r>
      <w:r w:rsidR="004E328A">
        <w:rPr>
          <w:rFonts w:ascii="Calibri" w:hAnsi="Calibri" w:cs="Arial"/>
        </w:rPr>
        <w:t>level</w:t>
      </w:r>
      <w:r w:rsidR="005B7E51">
        <w:rPr>
          <w:rFonts w:ascii="Calibri" w:hAnsi="Calibri" w:cs="Arial"/>
        </w:rPr>
        <w:t xml:space="preserve"> of </w:t>
      </w:r>
      <w:r w:rsidR="00AE56C9" w:rsidRPr="00C4343E">
        <w:rPr>
          <w:rFonts w:ascii="Calibri" w:hAnsi="Calibri" w:cs="Arial"/>
        </w:rPr>
        <w:t>transcription</w:t>
      </w:r>
      <w:r w:rsidR="00A9637D">
        <w:rPr>
          <w:rFonts w:ascii="Calibri" w:hAnsi="Calibri" w:cs="Arial"/>
        </w:rPr>
        <w:t xml:space="preserve"> and</w:t>
      </w:r>
      <w:r w:rsidR="00B737A4">
        <w:rPr>
          <w:rFonts w:ascii="Calibri" w:hAnsi="Calibri" w:cs="Arial"/>
        </w:rPr>
        <w:t>/or</w:t>
      </w:r>
      <w:r w:rsidR="00A9637D">
        <w:rPr>
          <w:rFonts w:ascii="Calibri" w:hAnsi="Calibri" w:cs="Arial"/>
        </w:rPr>
        <w:t xml:space="preserve"> translation</w:t>
      </w:r>
      <w:r w:rsidR="00B737A4">
        <w:rPr>
          <w:rFonts w:ascii="Calibri" w:hAnsi="Calibri" w:cs="Arial"/>
        </w:rPr>
        <w:t xml:space="preserve">, </w:t>
      </w:r>
      <w:r w:rsidR="00952B28">
        <w:rPr>
          <w:rFonts w:ascii="Calibri" w:hAnsi="Calibri" w:cs="Arial"/>
        </w:rPr>
        <w:t>there has</w:t>
      </w:r>
      <w:r w:rsidR="000172A4">
        <w:rPr>
          <w:rFonts w:ascii="Calibri" w:hAnsi="Calibri" w:cs="Arial"/>
        </w:rPr>
        <w:t xml:space="preserve"> also been considerable effort to develop these double stranded RNA</w:t>
      </w:r>
      <w:r w:rsidR="005F1F3D">
        <w:rPr>
          <w:rFonts w:ascii="Calibri" w:hAnsi="Calibri" w:cs="Arial"/>
        </w:rPr>
        <w:t>s</w:t>
      </w:r>
      <w:r w:rsidR="000172A4">
        <w:rPr>
          <w:rFonts w:ascii="Calibri" w:hAnsi="Calibri" w:cs="Arial"/>
        </w:rPr>
        <w:t xml:space="preserve"> </w:t>
      </w:r>
      <w:r w:rsidR="004D59AB">
        <w:rPr>
          <w:rFonts w:ascii="Calibri" w:hAnsi="Calibri" w:cs="Arial"/>
        </w:rPr>
        <w:t xml:space="preserve">(dsRNA) </w:t>
      </w:r>
      <w:r w:rsidR="000172A4">
        <w:rPr>
          <w:rFonts w:ascii="Calibri" w:hAnsi="Calibri" w:cs="Arial"/>
        </w:rPr>
        <w:t xml:space="preserve">as potential therapeutic modalities </w:t>
      </w:r>
      <w:r w:rsidR="00CA681B">
        <w:rPr>
          <w:rFonts w:ascii="Calibri" w:hAnsi="Calibri" w:cs="Arial"/>
        </w:rPr>
        <w:t>(Fig. 2D</w:t>
      </w:r>
      <w:r w:rsidR="00D277EF">
        <w:rPr>
          <w:rFonts w:ascii="Calibri" w:hAnsi="Calibri" w:cs="Arial"/>
        </w:rPr>
        <w:t>)</w:t>
      </w:r>
      <w:r w:rsidR="00CA681B" w:rsidRPr="00C4343E">
        <w:rPr>
          <w:rFonts w:ascii="Calibri" w:hAnsi="Calibri" w:cs="Arial"/>
        </w:rPr>
        <w:t xml:space="preserve"> </w:t>
      </w:r>
      <w:r w:rsidR="00FA4EDA">
        <w:rPr>
          <w:rFonts w:ascii="Calibri" w:hAnsi="Calibri" w:cs="Arial"/>
        </w:rPr>
        <w:fldChar w:fldCharType="begin" w:fldLock="1"/>
      </w:r>
      <w:r w:rsidR="0057308B">
        <w:rPr>
          <w:rFonts w:ascii="Calibri" w:hAnsi="Calibri" w:cs="Arial"/>
        </w:rPr>
        <w:instrText>ADDIN CSL_CITATION { "citationItems" : [ { "id" : "ITEM-1", "itemData" : { "author" : [ { "dropping-particle" : "", "family" : "Moschos", "given" : "S A", "non-dropping-particle" : "", "parse-names" : false, "suffix" : "" } ], "chapter-number" : "7", "container-title" : "Biotherapeutics: Recent Developments using Chemical and Molecular Biology", "editor" : [ { "dropping-particle" : "", "family" : "Jones", "given" : "L", "non-dropping-particle" : "", "parse-names" : false, "suffix" : "" }, { "dropping-particle" : "", "family" : "McKnight", "given" : "A J", "non-dropping-particle" : "", "parse-names" : false, "suffix" : "" } ], "id" : "ITEM-1", "issued" : { "date-parts" : [ [ "2013" ] ] }, "page" : "176-223", "publisher" : "Royal Society of Chemistry Publishing", "publisher-place" : "London", "title" : "MicroRNA Biotherapeutics: Key Challenges from a Drug Development Perspective", "type" : "chapter" }, "uris" : [ "http://www.mendeley.com/documents/?uuid=762298b4-c5a5-4d8f-a8bf-0b40443e3804" ] }, { "id" : "ITEM-2", "itemData" : { "DOI" : "10.1016/j.molcel.2013.02.010", "ISSN" : "10972765", "PMID" : "23473599", "abstract" : "Epigenetic control of gene expression is a critical component of transcriptional regulation. Remarkably, the deposition of epigenetic modifications is often guided by noncoding RNAs. Although noncoding RNAs have been most often implicated in posttranscriptional gene silencing, these molecules are now emerging as critical regulators of gene expression and genomic stability at the transcriptional level. Here, we review recent efforts to understand the mechanisms by which RNA controls the expression or content of DNA. We discuss the role of both small RNAs and long noncoding RNAs in directing chromatin changes through histone modifications and DNA methylation. Furthermore, we highlight the function of RNA in mediating DNA cleavage during genome rearrangements and pathogen defense. In understanding the mechanisms of RNA control over DNA, the power of RNA may one day be harnessed to impact gene expression in a therapeutic setting.", "author" : [ { "dropping-particle" : "", "family" : "Sabin", "given" : "Leah\u00a0R.", "non-dropping-particle" : "", "parse-names" : false, "suffix" : "" }, { "dropping-particle" : "", "family" : "Del\u00e1s", "given" : "M.\u00a0Joaquina", "non-dropping-particle" : "", "parse-names" : false, "suffix" : "" }, { "dropping-particle" : "", "family" : "Hannon", "given" : "Gregory\u00a0J.", "non-dropping-particle" : "", "parse-names" : false, "suffix" : "" } ], "container-title" : "Molecular Cell", "id" : "ITEM-2", "issue" : "5", "issued" : { "date-parts" : [ [ "2013", "3", "7" ] ] }, "page" : "783-794", "title" : "Dogma Derailed: The Many Influences of RNA on the Genome", "type" : "article-journal", "volume" : "49" }, "uris" : [ "http://www.mendeley.com/documents/?uuid=225df819-7291-43ef-9290-aa3530662383" ] } ], "mendeley" : { "formattedCitation" : "(Moschos, 2013; Sabin, Del\u00e1s, &amp; Hannon, 2013)", "plainTextFormattedCitation" : "(Moschos, 2013; Sabin, Del\u00e1s, &amp; Hannon, 2013)", "previouslyFormattedCitation" : "(Moschos, 2013; Sabin, Del\u00e1s, &amp; Hannon, 2013)" }, "properties" : { "noteIndex" : 0 }, "schema" : "https://github.com/citation-style-language/schema/raw/master/csl-citation.json" }</w:instrText>
      </w:r>
      <w:r w:rsidR="00FA4EDA">
        <w:rPr>
          <w:rFonts w:ascii="Calibri" w:hAnsi="Calibri" w:cs="Arial"/>
        </w:rPr>
        <w:fldChar w:fldCharType="separate"/>
      </w:r>
      <w:r w:rsidR="00FA4EDA" w:rsidRPr="00FA4EDA">
        <w:rPr>
          <w:rFonts w:ascii="Calibri" w:hAnsi="Calibri" w:cs="Arial"/>
          <w:noProof/>
        </w:rPr>
        <w:t>(Moschos, 2013; Sabin, Delás, &amp; Hannon, 2013)</w:t>
      </w:r>
      <w:r w:rsidR="00FA4EDA">
        <w:rPr>
          <w:rFonts w:ascii="Calibri" w:hAnsi="Calibri" w:cs="Arial"/>
        </w:rPr>
        <w:fldChar w:fldCharType="end"/>
      </w:r>
      <w:r w:rsidR="00AE56C9" w:rsidRPr="006F6A97">
        <w:rPr>
          <w:rFonts w:ascii="Calibri" w:hAnsi="Calibri" w:cs="Arial"/>
        </w:rPr>
        <w:t>.</w:t>
      </w:r>
      <w:r w:rsidR="00AE56C9" w:rsidRPr="00C4343E">
        <w:rPr>
          <w:rFonts w:ascii="Calibri" w:hAnsi="Calibri" w:cs="Arial"/>
        </w:rPr>
        <w:t xml:space="preserve"> </w:t>
      </w:r>
    </w:p>
    <w:p w14:paraId="2C57073B" w14:textId="77777777" w:rsidR="00B37B6B" w:rsidRDefault="00B37B6B" w:rsidP="005837A4">
      <w:pPr>
        <w:spacing w:line="480" w:lineRule="auto"/>
        <w:jc w:val="both"/>
        <w:rPr>
          <w:rFonts w:ascii="Calibri" w:hAnsi="Calibri" w:cs="Arial"/>
        </w:rPr>
      </w:pPr>
    </w:p>
    <w:p w14:paraId="5CD7F8EA" w14:textId="1302BD7D" w:rsidR="005E06D6" w:rsidRPr="00370F3F" w:rsidRDefault="00B30788" w:rsidP="005837A4">
      <w:pPr>
        <w:spacing w:line="480" w:lineRule="auto"/>
        <w:jc w:val="both"/>
        <w:rPr>
          <w:rFonts w:ascii="Calibri" w:hAnsi="Calibri" w:cs="Arial"/>
        </w:rPr>
      </w:pPr>
      <w:r>
        <w:rPr>
          <w:rFonts w:ascii="Calibri" w:hAnsi="Calibri" w:cs="Arial"/>
        </w:rPr>
        <w:t>T</w:t>
      </w:r>
      <w:r w:rsidR="005E06D6">
        <w:rPr>
          <w:rFonts w:ascii="Calibri" w:hAnsi="Calibri" w:cs="Arial"/>
        </w:rPr>
        <w:t xml:space="preserve">he </w:t>
      </w:r>
      <w:r>
        <w:rPr>
          <w:rFonts w:ascii="Calibri" w:hAnsi="Calibri" w:cs="Arial"/>
        </w:rPr>
        <w:t>biggest challenge</w:t>
      </w:r>
      <w:r w:rsidR="001E1D74">
        <w:rPr>
          <w:rFonts w:ascii="Calibri" w:hAnsi="Calibri" w:cs="Arial"/>
        </w:rPr>
        <w:t>s</w:t>
      </w:r>
      <w:r>
        <w:rPr>
          <w:rFonts w:ascii="Calibri" w:hAnsi="Calibri" w:cs="Arial"/>
        </w:rPr>
        <w:t xml:space="preserve"> in </w:t>
      </w:r>
      <w:r w:rsidR="005E06D6">
        <w:rPr>
          <w:rFonts w:ascii="Calibri" w:hAnsi="Calibri" w:cs="Arial"/>
        </w:rPr>
        <w:t xml:space="preserve">the </w:t>
      </w:r>
      <w:r w:rsidR="001E1D74">
        <w:rPr>
          <w:rFonts w:ascii="Calibri" w:hAnsi="Calibri" w:cs="Arial"/>
        </w:rPr>
        <w:t xml:space="preserve">clinical progression </w:t>
      </w:r>
      <w:r w:rsidR="005E06D6">
        <w:rPr>
          <w:rFonts w:ascii="Calibri" w:hAnsi="Calibri" w:cs="Arial"/>
        </w:rPr>
        <w:t xml:space="preserve">of both antisense and </w:t>
      </w:r>
      <w:r>
        <w:rPr>
          <w:rFonts w:ascii="Calibri" w:hAnsi="Calibri" w:cs="Arial"/>
        </w:rPr>
        <w:t>RNAi-active drugs</w:t>
      </w:r>
      <w:r w:rsidR="005E06D6">
        <w:rPr>
          <w:rFonts w:ascii="Calibri" w:hAnsi="Calibri" w:cs="Arial"/>
        </w:rPr>
        <w:t xml:space="preserve"> </w:t>
      </w:r>
      <w:r w:rsidR="001E1D74">
        <w:rPr>
          <w:rFonts w:ascii="Calibri" w:hAnsi="Calibri" w:cs="Arial"/>
        </w:rPr>
        <w:t>are</w:t>
      </w:r>
      <w:r w:rsidR="005E06D6">
        <w:rPr>
          <w:rFonts w:ascii="Calibri" w:hAnsi="Calibri" w:cs="Arial"/>
        </w:rPr>
        <w:t xml:space="preserve"> </w:t>
      </w:r>
      <w:r w:rsidR="00C93921">
        <w:rPr>
          <w:rFonts w:ascii="Calibri" w:hAnsi="Calibri" w:cs="Arial"/>
        </w:rPr>
        <w:t xml:space="preserve">their </w:t>
      </w:r>
      <w:r>
        <w:rPr>
          <w:rFonts w:ascii="Calibri" w:hAnsi="Calibri" w:cs="Arial"/>
        </w:rPr>
        <w:t xml:space="preserve">poor </w:t>
      </w:r>
      <w:r w:rsidR="001E1D74">
        <w:rPr>
          <w:rFonts w:ascii="Calibri" w:hAnsi="Calibri" w:cs="Arial"/>
        </w:rPr>
        <w:t xml:space="preserve">targeting </w:t>
      </w:r>
      <w:r w:rsidR="005E06D6">
        <w:rPr>
          <w:rFonts w:ascii="Calibri" w:hAnsi="Calibri" w:cs="Arial"/>
        </w:rPr>
        <w:t xml:space="preserve">to </w:t>
      </w:r>
      <w:r w:rsidR="001E1D74">
        <w:rPr>
          <w:rFonts w:ascii="Calibri" w:hAnsi="Calibri" w:cs="Arial"/>
        </w:rPr>
        <w:t>disease-</w:t>
      </w:r>
      <w:r w:rsidR="005E06D6">
        <w:rPr>
          <w:rFonts w:ascii="Calibri" w:hAnsi="Calibri" w:cs="Arial"/>
        </w:rPr>
        <w:t xml:space="preserve">relevant </w:t>
      </w:r>
      <w:r w:rsidR="00C93921">
        <w:rPr>
          <w:rFonts w:ascii="Calibri" w:hAnsi="Calibri" w:cs="Arial"/>
        </w:rPr>
        <w:t>tissue site</w:t>
      </w:r>
      <w:r w:rsidR="001E1D74">
        <w:rPr>
          <w:rFonts w:ascii="Calibri" w:hAnsi="Calibri" w:cs="Arial"/>
        </w:rPr>
        <w:t>s</w:t>
      </w:r>
      <w:r w:rsidR="00C93921">
        <w:rPr>
          <w:rFonts w:ascii="Calibri" w:hAnsi="Calibri" w:cs="Arial"/>
        </w:rPr>
        <w:t xml:space="preserve"> and the</w:t>
      </w:r>
      <w:r w:rsidR="001E1D74">
        <w:rPr>
          <w:rFonts w:ascii="Calibri" w:hAnsi="Calibri" w:cs="Arial"/>
        </w:rPr>
        <w:t>ir inefficient</w:t>
      </w:r>
      <w:r w:rsidR="00C93921">
        <w:rPr>
          <w:rFonts w:ascii="Calibri" w:hAnsi="Calibri" w:cs="Arial"/>
        </w:rPr>
        <w:t xml:space="preserve"> </w:t>
      </w:r>
      <w:r w:rsidR="001E1D74">
        <w:rPr>
          <w:rFonts w:ascii="Calibri" w:hAnsi="Calibri" w:cs="Arial"/>
        </w:rPr>
        <w:t>transportation across</w:t>
      </w:r>
      <w:r w:rsidR="00C93921">
        <w:rPr>
          <w:rFonts w:ascii="Calibri" w:hAnsi="Calibri" w:cs="Arial"/>
        </w:rPr>
        <w:t xml:space="preserve"> the plasma membrane into the c</w:t>
      </w:r>
      <w:r w:rsidR="001E1D74">
        <w:rPr>
          <w:rFonts w:ascii="Calibri" w:hAnsi="Calibri" w:cs="Arial"/>
        </w:rPr>
        <w:t>ytosol, where the pharmacological targets of these drugs reside</w:t>
      </w:r>
      <w:r w:rsidR="00C93921">
        <w:rPr>
          <w:rFonts w:ascii="Calibri" w:hAnsi="Calibri" w:cs="Arial"/>
        </w:rPr>
        <w:t>. In addition, it has been necessary to address a number of other issues including stability, off-target action and immune activation.</w:t>
      </w:r>
    </w:p>
    <w:p w14:paraId="03F98FEA" w14:textId="594FAF8D" w:rsidR="000172A4" w:rsidRDefault="000172A4" w:rsidP="005837A4">
      <w:pPr>
        <w:spacing w:line="480" w:lineRule="auto"/>
        <w:jc w:val="both"/>
        <w:rPr>
          <w:rFonts w:ascii="Calibri" w:hAnsi="Calibri" w:cs="Arial"/>
        </w:rPr>
      </w:pPr>
    </w:p>
    <w:p w14:paraId="1812ADBF" w14:textId="78B89A4A" w:rsidR="000172A4" w:rsidRDefault="00FF435E" w:rsidP="005837A4">
      <w:pPr>
        <w:pStyle w:val="Heading2"/>
      </w:pPr>
      <w:r>
        <w:t>2.1</w:t>
      </w:r>
      <w:r>
        <w:tab/>
      </w:r>
      <w:r w:rsidR="005E06D6">
        <w:t xml:space="preserve">Development of </w:t>
      </w:r>
      <w:r w:rsidR="00BF3DAF">
        <w:t>antisense oligonucleotide</w:t>
      </w:r>
      <w:r w:rsidR="000172A4">
        <w:t xml:space="preserve"> therapeutics</w:t>
      </w:r>
      <w:r w:rsidR="00C045FB">
        <w:t>.</w:t>
      </w:r>
    </w:p>
    <w:p w14:paraId="5C409C3D" w14:textId="006D1C4A" w:rsidR="00B67435" w:rsidRDefault="00B67435" w:rsidP="005837A4">
      <w:pPr>
        <w:spacing w:line="480" w:lineRule="auto"/>
        <w:jc w:val="both"/>
        <w:rPr>
          <w:rFonts w:ascii="Calibri" w:hAnsi="Calibri" w:cs="Arial"/>
        </w:rPr>
      </w:pPr>
      <w:r>
        <w:rPr>
          <w:rFonts w:ascii="Calibri" w:hAnsi="Calibri" w:cs="Arial"/>
        </w:rPr>
        <w:t>T</w:t>
      </w:r>
      <w:r w:rsidR="00C93921">
        <w:rPr>
          <w:rFonts w:ascii="Calibri" w:hAnsi="Calibri" w:cs="Arial"/>
        </w:rPr>
        <w:t xml:space="preserve">o simultaneously address the problems of antisense </w:t>
      </w:r>
      <w:r w:rsidR="00F9350D">
        <w:rPr>
          <w:rFonts w:ascii="Calibri" w:hAnsi="Calibri" w:cs="Arial"/>
        </w:rPr>
        <w:t>stability and delivery</w:t>
      </w:r>
      <w:r w:rsidR="00C93921">
        <w:rPr>
          <w:rFonts w:ascii="Calibri" w:hAnsi="Calibri" w:cs="Arial"/>
        </w:rPr>
        <w:t xml:space="preserve">, much of </w:t>
      </w:r>
      <w:r w:rsidR="00434E25">
        <w:rPr>
          <w:rFonts w:ascii="Calibri" w:hAnsi="Calibri" w:cs="Arial"/>
        </w:rPr>
        <w:t xml:space="preserve">the </w:t>
      </w:r>
      <w:r w:rsidR="00C93921">
        <w:rPr>
          <w:rFonts w:ascii="Calibri" w:hAnsi="Calibri" w:cs="Arial"/>
        </w:rPr>
        <w:t xml:space="preserve">effort has focused upon the </w:t>
      </w:r>
      <w:r w:rsidR="00F9350D">
        <w:rPr>
          <w:rFonts w:ascii="Calibri" w:hAnsi="Calibri" w:cs="Arial"/>
        </w:rPr>
        <w:t>development of</w:t>
      </w:r>
      <w:r w:rsidR="00952B28">
        <w:rPr>
          <w:rFonts w:ascii="Calibri" w:hAnsi="Calibri" w:cs="Arial"/>
        </w:rPr>
        <w:t xml:space="preserve"> modified </w:t>
      </w:r>
      <w:r w:rsidR="007D2C1C">
        <w:rPr>
          <w:rFonts w:ascii="Calibri" w:hAnsi="Calibri" w:cs="Arial"/>
        </w:rPr>
        <w:t xml:space="preserve">synthetic </w:t>
      </w:r>
      <w:r w:rsidR="00952B28">
        <w:rPr>
          <w:rFonts w:ascii="Calibri" w:hAnsi="Calibri" w:cs="Arial"/>
        </w:rPr>
        <w:t>oligonuc</w:t>
      </w:r>
      <w:r w:rsidR="00A44F43">
        <w:rPr>
          <w:rFonts w:ascii="Calibri" w:hAnsi="Calibri" w:cs="Arial"/>
        </w:rPr>
        <w:t xml:space="preserve">leotides </w:t>
      </w:r>
      <w:r w:rsidR="000172A4" w:rsidRPr="003B561E">
        <w:rPr>
          <w:rFonts w:ascii="Calibri" w:hAnsi="Calibri" w:cs="Arial"/>
        </w:rPr>
        <w:fldChar w:fldCharType="begin" w:fldLock="1"/>
      </w:r>
      <w:r w:rsidR="000172A4" w:rsidRPr="003B561E">
        <w:rPr>
          <w:rFonts w:ascii="Calibri" w:hAnsi="Calibri" w:cs="Arial"/>
        </w:rPr>
        <w:instrText>ADDIN CSL_CITATION { "citationItems" : [ { "id" : "ITEM-1", "itemData" : { "ISSN" : "0026-895X", "PMID" : "1352033", "abstract" : "We have investigated the use of a cationic lipid preparation to enhance antisense oligonucleotide activity in human umbilical vein endothelial cells. A liposomal preparation containing the cationic lipid N-[1-(2,3-dioleyloxy)propyl]-N,N,N-trimethylammonium chloride (DOTMA) was found to increase by at least 1000-fold the potency of an antisense oligonucleotide (ISIS 1570) that hybridizes to the AUG translation initiation codon of human intercellular adhesion molecule-1. In the presence of 8 microM DOTMA, 6-15-fold more 35S-ISIS 1570 associated with cells, at oligonucleotide concentrations from 0.01 to 5 microM, than did in the absence of DOTMA. Both 35S-ISIS 1570 association with cells and antisense activity were increased as a function of DOTMA concentration and with increasing time of incubation with the cationic lipid. Fluorescein-labeled ISIS 1570 was used to assess the intracellular distribution of the oligonucleotide in the presence and absence of DOTMA. In the absence of DOTMA, the oligonucleotide localized to discrete structures in the cytoplasm of the cell, resulting in a punctate fluorescence pattern. In the presence of DOTMA, cellular fluorescence markedly increased and the oligonucleotide localized within the nucleus, as well as to discrete structures in the cytoplasm. Accumulation of the oligonucleotide in the nucleus in the presence of DOTMA was time and temperature dependent. Nuclear accumulation was inhibited by preincubation of the cells with monensin but not chloroquine, NH4Cl, nocodazole, colcemid, or brefeldin A. These data demonstrate that cationic lipids increase antisense activity by increasing the amount of oligonucleotide associated with cells and altering intracellular distribution of the oligonucleotide.", "author" : [ { "dropping-particle" : "", "family" : "Bennett", "given" : "C F", "non-dropping-particle" : "", "parse-names" : false, "suffix" : "" }, { "dropping-particle" : "", "family" : "Chiang", "given" : "M Y", "non-dropping-particle" : "", "parse-names" : false, "suffix" : "" }, { "dropping-particle" : "", "family" : "Chan", "given" : "H", "non-dropping-particle" : "", "parse-names" : false, "suffix" : "" }, { "dropping-particle" : "", "family" : "Shoemaker", "given" : "J E", "non-dropping-particle" : "", "parse-names" : false, "suffix" : "" }, { "dropping-particle" : "", "family" : "Mirabelli", "given" : "C K", "non-dropping-particle" : "", "parse-names" : false, "suffix" : "" } ], "container-title" : "Molecular pharmacology", "id" : "ITEM-1", "issue" : "6", "issued" : { "date-parts" : [ [ "1992", "7" ] ] }, "page" : "1023-33", "title" : "Cationic lipids enhance cellular uptake and activity of phosphorothioate antisense oligonucleotides.", "type" : "article-journal", "volume" : "41" }, "uris" : [ "http://www.mendeley.com/documents/?uuid=bb611aec-e7fc-4bed-b7e9-e522090d44c7" ] } ], "mendeley" : { "formattedCitation" : "(Bennett, Chiang, Chan, Shoemaker, &amp; Mirabelli, 1992)", "plainTextFormattedCitation" : "(Bennett, Chiang, Chan, Shoemaker, &amp; Mirabelli, 1992)", "previouslyFormattedCitation" : "(Bennett, Chiang, Chan, Shoemaker, &amp; Mirabelli, 1992)" }, "properties" : { "noteIndex" : 0 }, "schema" : "https://github.com/citation-style-language/schema/raw/master/csl-citation.json" }</w:instrText>
      </w:r>
      <w:r w:rsidR="000172A4" w:rsidRPr="003B561E">
        <w:rPr>
          <w:rFonts w:ascii="Calibri" w:hAnsi="Calibri" w:cs="Arial"/>
        </w:rPr>
        <w:fldChar w:fldCharType="separate"/>
      </w:r>
      <w:r w:rsidR="000172A4" w:rsidRPr="003B561E">
        <w:rPr>
          <w:rFonts w:ascii="Calibri" w:hAnsi="Calibri" w:cs="Arial"/>
          <w:noProof/>
        </w:rPr>
        <w:t>(Bennett, Chiang, Chan, Shoemaker, &amp; Mirabelli, 1992)</w:t>
      </w:r>
      <w:r w:rsidR="000172A4" w:rsidRPr="003B561E">
        <w:rPr>
          <w:rFonts w:ascii="Calibri" w:hAnsi="Calibri" w:cs="Arial"/>
        </w:rPr>
        <w:fldChar w:fldCharType="end"/>
      </w:r>
      <w:r w:rsidR="00A44F43">
        <w:rPr>
          <w:rFonts w:ascii="Calibri" w:hAnsi="Calibri" w:cs="Arial"/>
        </w:rPr>
        <w:t xml:space="preserve">. </w:t>
      </w:r>
      <w:r w:rsidR="00285238">
        <w:rPr>
          <w:rFonts w:ascii="Calibri" w:hAnsi="Calibri" w:cs="Arial"/>
        </w:rPr>
        <w:t xml:space="preserve">Specifically, emphasis has been </w:t>
      </w:r>
      <w:r w:rsidR="001E1D74">
        <w:rPr>
          <w:rFonts w:ascii="Calibri" w:hAnsi="Calibri" w:cs="Arial"/>
        </w:rPr>
        <w:t xml:space="preserve">placed on development of </w:t>
      </w:r>
      <w:r w:rsidR="007D2C1C">
        <w:rPr>
          <w:rFonts w:ascii="Calibri" w:hAnsi="Calibri" w:cs="Arial"/>
        </w:rPr>
        <w:t>chemistries</w:t>
      </w:r>
      <w:r w:rsidR="00285238">
        <w:rPr>
          <w:rFonts w:ascii="Calibri" w:hAnsi="Calibri" w:cs="Arial"/>
        </w:rPr>
        <w:t xml:space="preserve"> </w:t>
      </w:r>
      <w:r w:rsidR="001E1D74">
        <w:rPr>
          <w:rFonts w:ascii="Calibri" w:hAnsi="Calibri" w:cs="Arial"/>
        </w:rPr>
        <w:t xml:space="preserve">impervious to nuclease degradation, </w:t>
      </w:r>
      <w:r w:rsidR="00285238">
        <w:rPr>
          <w:rFonts w:ascii="Calibri" w:hAnsi="Calibri" w:cs="Arial"/>
        </w:rPr>
        <w:t>with</w:t>
      </w:r>
      <w:r w:rsidR="001E1D74">
        <w:rPr>
          <w:rFonts w:ascii="Calibri" w:hAnsi="Calibri" w:cs="Arial"/>
        </w:rPr>
        <w:t xml:space="preserve"> concomitantly</w:t>
      </w:r>
      <w:r w:rsidR="00285238">
        <w:rPr>
          <w:rFonts w:ascii="Calibri" w:hAnsi="Calibri" w:cs="Arial"/>
        </w:rPr>
        <w:t xml:space="preserve"> </w:t>
      </w:r>
      <w:r w:rsidR="007D2C1C">
        <w:rPr>
          <w:rFonts w:ascii="Calibri" w:hAnsi="Calibri" w:cs="Arial"/>
        </w:rPr>
        <w:t>enhanced pharmacokinetic properties, better cellular u</w:t>
      </w:r>
      <w:r w:rsidR="00B37B6B">
        <w:rPr>
          <w:rFonts w:ascii="Calibri" w:hAnsi="Calibri" w:cs="Arial"/>
        </w:rPr>
        <w:t>ptak</w:t>
      </w:r>
      <w:r w:rsidR="007D2C1C">
        <w:rPr>
          <w:rFonts w:ascii="Calibri" w:hAnsi="Calibri" w:cs="Arial"/>
        </w:rPr>
        <w:t xml:space="preserve">e, </w:t>
      </w:r>
      <w:r w:rsidR="00285238">
        <w:rPr>
          <w:rFonts w:ascii="Calibri" w:hAnsi="Calibri" w:cs="Arial"/>
        </w:rPr>
        <w:t>improved</w:t>
      </w:r>
      <w:r w:rsidR="007D2C1C">
        <w:rPr>
          <w:rFonts w:ascii="Calibri" w:hAnsi="Calibri" w:cs="Arial"/>
        </w:rPr>
        <w:t xml:space="preserve"> target</w:t>
      </w:r>
      <w:r w:rsidR="00285238">
        <w:rPr>
          <w:rFonts w:ascii="Calibri" w:hAnsi="Calibri" w:cs="Arial"/>
        </w:rPr>
        <w:t xml:space="preserve"> affinity</w:t>
      </w:r>
      <w:r w:rsidR="001E1D74">
        <w:rPr>
          <w:rFonts w:ascii="Calibri" w:hAnsi="Calibri" w:cs="Arial"/>
        </w:rPr>
        <w:t>,</w:t>
      </w:r>
      <w:r w:rsidR="00285238">
        <w:rPr>
          <w:rFonts w:ascii="Calibri" w:hAnsi="Calibri" w:cs="Arial"/>
        </w:rPr>
        <w:t xml:space="preserve"> </w:t>
      </w:r>
      <w:r w:rsidR="001E1D74">
        <w:rPr>
          <w:rFonts w:ascii="Calibri" w:hAnsi="Calibri" w:cs="Arial"/>
        </w:rPr>
        <w:t>and tailored</w:t>
      </w:r>
      <w:r w:rsidR="00285238">
        <w:rPr>
          <w:rFonts w:ascii="Calibri" w:hAnsi="Calibri" w:cs="Arial"/>
        </w:rPr>
        <w:t xml:space="preserve"> immunogenicity</w:t>
      </w:r>
      <w:r w:rsidR="001E1D74">
        <w:rPr>
          <w:rFonts w:ascii="Calibri" w:hAnsi="Calibri" w:cs="Arial"/>
        </w:rPr>
        <w:t xml:space="preserve"> profiles</w:t>
      </w:r>
      <w:r w:rsidR="00285238">
        <w:rPr>
          <w:rFonts w:ascii="Calibri" w:hAnsi="Calibri" w:cs="Arial"/>
        </w:rPr>
        <w:t xml:space="preserve">. </w:t>
      </w:r>
    </w:p>
    <w:p w14:paraId="3CA1884B" w14:textId="77777777" w:rsidR="00B67435" w:rsidRDefault="00B67435" w:rsidP="005837A4">
      <w:pPr>
        <w:spacing w:line="480" w:lineRule="auto"/>
        <w:jc w:val="both"/>
        <w:rPr>
          <w:rFonts w:ascii="Calibri" w:hAnsi="Calibri" w:cs="Arial"/>
        </w:rPr>
      </w:pPr>
    </w:p>
    <w:p w14:paraId="1BF66D41" w14:textId="6652273F" w:rsidR="00B67435" w:rsidRPr="00B67435" w:rsidRDefault="00FF435E" w:rsidP="005837A4">
      <w:pPr>
        <w:pStyle w:val="Heading3"/>
      </w:pPr>
      <w:r>
        <w:t>2.1.1</w:t>
      </w:r>
      <w:r>
        <w:tab/>
      </w:r>
      <w:r w:rsidR="00B67435" w:rsidRPr="00B67435">
        <w:t>First Generation Antisense</w:t>
      </w:r>
      <w:r w:rsidR="00C045FB">
        <w:t>.</w:t>
      </w:r>
    </w:p>
    <w:p w14:paraId="0025212C" w14:textId="39A18174" w:rsidR="00B67435" w:rsidRDefault="00B93A7F" w:rsidP="005837A4">
      <w:pPr>
        <w:spacing w:line="480" w:lineRule="auto"/>
        <w:jc w:val="both"/>
        <w:rPr>
          <w:rFonts w:ascii="Calibri" w:hAnsi="Calibri" w:cs="Arial"/>
        </w:rPr>
      </w:pPr>
      <w:r w:rsidRPr="003B561E">
        <w:rPr>
          <w:rFonts w:ascii="Calibri" w:hAnsi="Calibri" w:cs="Arial"/>
        </w:rPr>
        <w:t xml:space="preserve">Early studies on RNase H-active ASO evidenced transfection reagents </w:t>
      </w:r>
      <w:r>
        <w:rPr>
          <w:rFonts w:ascii="Calibri" w:hAnsi="Calibri" w:cs="Arial"/>
        </w:rPr>
        <w:t>as</w:t>
      </w:r>
      <w:r w:rsidRPr="003B561E">
        <w:rPr>
          <w:rFonts w:ascii="Calibri" w:hAnsi="Calibri" w:cs="Arial"/>
        </w:rPr>
        <w:t xml:space="preserve"> necessary to elicit </w:t>
      </w:r>
      <w:r>
        <w:rPr>
          <w:rFonts w:ascii="Calibri" w:hAnsi="Calibri" w:cs="Arial"/>
        </w:rPr>
        <w:t xml:space="preserve">appreciable </w:t>
      </w:r>
      <w:r w:rsidRPr="003B561E">
        <w:rPr>
          <w:rFonts w:ascii="Calibri" w:hAnsi="Calibri" w:cs="Arial"/>
        </w:rPr>
        <w:t xml:space="preserve">function </w:t>
      </w:r>
      <w:r w:rsidRPr="003B561E">
        <w:rPr>
          <w:rFonts w:ascii="Calibri" w:hAnsi="Calibri" w:cs="Arial"/>
          <w:i/>
        </w:rPr>
        <w:t xml:space="preserve">in vitro </w:t>
      </w:r>
      <w:r w:rsidRPr="003B561E">
        <w:rPr>
          <w:rFonts w:ascii="Calibri" w:hAnsi="Calibri" w:cs="Arial"/>
        </w:rPr>
        <w:fldChar w:fldCharType="begin" w:fldLock="1"/>
      </w:r>
      <w:r w:rsidR="00C8187C">
        <w:rPr>
          <w:rFonts w:ascii="Calibri" w:hAnsi="Calibri" w:cs="Arial"/>
        </w:rPr>
        <w:instrText>ADDIN CSL_CITATION { "citationItems" : [ { "id" : "ITEM-1", "itemData" : { "ISSN" : "0026-895X", "PMID" : "1352033", "abstract" : "We have investigated the use of a cationic lipid preparation to enhance antisense oligonucleotide activity in human umbilical vein endothelial cells. A liposomal preparation containing the cationic lipid N-[1-(2,3-dioleyloxy)propyl]-N,N,N-trimethylammonium chloride (DOTMA) was found to increase by at least 1000-fold the potency of an antisense oligonucleotide (ISIS 1570) that hybridizes to the AUG translation initiation codon of human intercellular adhesion molecule-1. In the presence of 8 microM DOTMA, 6-15-fold more 35S-ISIS 1570 associated with cells, at oligonucleotide concentrations from 0.01 to 5 microM, than did in the absence of DOTMA. Both 35S-ISIS 1570 association with cells and antisense activity were increased as a function of DOTMA concentration and with increasing time of incubation with the cationic lipid. Fluorescein-labeled ISIS 1570 was used to assess the intracellular distribution of the oligonucleotide in the presence and absence of DOTMA. In the absence of DOTMA, the oligonucleotide localized to discrete structures in the cytoplasm of the cell, resulting in a punctate fluorescence pattern. In the presence of DOTMA, cellular fluorescence markedly increased and the oligonucleotide localized within the nucleus, as well as to discrete structures in the cytoplasm. Accumulation of the oligonucleotide in the nucleus in the presence of DOTMA was time and temperature dependent. Nuclear accumulation was inhibited by preincubation of the cells with monensin but not chloroquine, NH4Cl, nocodazole, colcemid, or brefeldin A. These data demonstrate that cationic lipids increase antisense activity by increasing the amount of oligonucleotide associated with cells and altering intracellular distribution of the oligonucleotide.", "author" : [ { "dropping-particle" : "", "family" : "Bennett", "given" : "C F", "non-dropping-particle" : "", "parse-names" : false, "suffix" : "" }, { "dropping-particle" : "", "family" : "Chiang", "given" : "M Y", "non-dropping-particle" : "", "parse-names" : false, "suffix" : "" }, { "dropping-particle" : "", "family" : "Chan", "given" : "H", "non-dropping-particle" : "", "parse-names" : false, "suffix" : "" }, { "dropping-particle" : "", "family" : "Shoemaker", "given" : "J E", "non-dropping-particle" : "", "parse-names" : false, "suffix" : "" }, { "dropping-particle" : "", "family" : "Mirabelli", "given" : "C K", "non-dropping-particle" : "", "parse-names" : false, "suffix" : "" } ], "container-title" : "Molecular pharmacology", "id" : "ITEM-1", "issue" : "6", "issued" : { "date-parts" : [ [ "1992", "7" ] ] }, "page" : "1023-33", "title" : "Cationic lipids enhance cellular uptake and activity of phosphorothioate antisense oligonucleotides.", "type" : "article-journal", "volume" : "41" }, "uris" : [ "http://www.mendeley.com/documents/?uuid=bb611aec-e7fc-4bed-b7e9-e522090d44c7" ] } ], "mendeley" : { "formattedCitation" : "(Bennett et al., 1992)", "plainTextFormattedCitation" : "(Bennett et al., 1992)", "previouslyFormattedCitation" : "(Bennett et al., 1992)" }, "properties" : { "noteIndex" : 0 }, "schema" : "https://github.com/citation-style-language/schema/raw/master/csl-citation.json" }</w:instrText>
      </w:r>
      <w:r w:rsidRPr="003B561E">
        <w:rPr>
          <w:rFonts w:ascii="Calibri" w:hAnsi="Calibri" w:cs="Arial"/>
        </w:rPr>
        <w:fldChar w:fldCharType="separate"/>
      </w:r>
      <w:r w:rsidR="002A25D9" w:rsidRPr="002A25D9">
        <w:rPr>
          <w:rFonts w:ascii="Calibri" w:hAnsi="Calibri" w:cs="Arial"/>
          <w:noProof/>
        </w:rPr>
        <w:t>(Bennett et al., 1992)</w:t>
      </w:r>
      <w:r w:rsidRPr="003B561E">
        <w:rPr>
          <w:rFonts w:ascii="Calibri" w:hAnsi="Calibri" w:cs="Arial"/>
        </w:rPr>
        <w:fldChar w:fldCharType="end"/>
      </w:r>
      <w:r>
        <w:rPr>
          <w:rFonts w:ascii="Calibri" w:hAnsi="Calibri" w:cs="Arial"/>
        </w:rPr>
        <w:t>, otherwise micromolar</w:t>
      </w:r>
      <w:r w:rsidRPr="003B561E">
        <w:rPr>
          <w:rFonts w:ascii="Calibri" w:hAnsi="Calibri" w:cs="Arial"/>
        </w:rPr>
        <w:t xml:space="preserve"> concentrations </w:t>
      </w:r>
      <w:r w:rsidRPr="003B561E">
        <w:rPr>
          <w:rFonts w:ascii="Calibri" w:hAnsi="Calibri" w:cs="Arial"/>
        </w:rPr>
        <w:lastRenderedPageBreak/>
        <w:t>achieve</w:t>
      </w:r>
      <w:r>
        <w:rPr>
          <w:rFonts w:ascii="Calibri" w:hAnsi="Calibri" w:cs="Arial"/>
        </w:rPr>
        <w:t>d</w:t>
      </w:r>
      <w:r w:rsidRPr="003B561E">
        <w:rPr>
          <w:rFonts w:ascii="Calibri" w:hAnsi="Calibri" w:cs="Arial"/>
        </w:rPr>
        <w:t xml:space="preserve"> internalization over a 50 h period through a saturable</w:t>
      </w:r>
      <w:r>
        <w:rPr>
          <w:rFonts w:ascii="Calibri" w:hAnsi="Calibri" w:cs="Arial"/>
        </w:rPr>
        <w:t>,</w:t>
      </w:r>
      <w:r w:rsidRPr="003B561E">
        <w:rPr>
          <w:rFonts w:ascii="Calibri" w:hAnsi="Calibri" w:cs="Arial"/>
        </w:rPr>
        <w:t xml:space="preserve"> cytoplasmic membrane protein pathway </w:t>
      </w:r>
      <w:r w:rsidRPr="003B561E">
        <w:rPr>
          <w:rFonts w:ascii="Calibri" w:hAnsi="Calibri" w:cs="Arial"/>
        </w:rPr>
        <w:fldChar w:fldCharType="begin" w:fldLock="1"/>
      </w:r>
      <w:r w:rsidRPr="003B561E">
        <w:rPr>
          <w:rFonts w:ascii="Calibri" w:hAnsi="Calibri" w:cs="Arial"/>
        </w:rPr>
        <w:instrText>ADDIN CSL_CITATION { "citationItems" : [ { "id" : "ITEM-1", "itemData" : { "ISSN" : "0027-8424", "PMID" : "2726730", "abstract" : "Addition of antisense oligonucleotides to cell cultures has been used to specifically inhibit gene expression. We have investigated the mechanism by which oligonucleotides enter living cells. These compounds are taken up by cells in a saturable, size-dependent manner compatible with receptor-mediated endocytosis. Polynucleotides of any length are competitive inhibitors of oligomer transport, providing they possess a 5'-phosphate moiety. Using oligo(dT)-cellulose for affinity purification, we have identified an 80-kDa surface protein that may mediate transport. Knowledge of the oligonucleotide transport mechanism should facilitate the design of more effective synthetic antisense oligomers as potential clinical agents.", "author" : [ { "dropping-particle" : "", "family" : "Loke", "given" : "S L", "non-dropping-particle" : "", "parse-names" : false, "suffix" : "" }, { "dropping-particle" : "", "family" : "Stein", "given" : "C A", "non-dropping-particle" : "", "parse-names" : false, "suffix" : "" }, { "dropping-particle" : "", "family" : "Zhang", "given" : "X H", "non-dropping-particle" : "", "parse-names" : false, "suffix" : "" }, { "dropping-particle" : "", "family" : "Mori", "given" : "K", "non-dropping-particle" : "", "parse-names" : false, "suffix" : "" }, { "dropping-particle" : "", "family" : "Nakanishi", "given" : "M", "non-dropping-particle" : "", "parse-names" : false, "suffix" : "" }, { "dropping-particle" : "", "family" : "Subasinghe", "given" : "C", "non-dropping-particle" : "", "parse-names" : false, "suffix" : "" }, { "dropping-particle" : "", "family" : "Cohen", "given" : "J S", "non-dropping-particle" : "", "parse-names" : false, "suffix" : "" }, { "dropping-particle" : "", "family" : "Neckers", "given" : "L M", "non-dropping-particle" : "", "parse-names" : false, "suffix" : "" } ], "container-title" : "Proceedings of the National Academy of Sciences of the United States of America", "id" : "ITEM-1", "issue" : "10", "issued" : { "date-parts" : [ [ "1989", "5" ] ] }, "page" : "3474-8", "title" : "Characterization of oligonucleotide transport into living cells.", "type" : "article-journal", "volume" : "86" }, "uris" : [ "http://www.mendeley.com/documents/?uuid=445cf64c-68af-4874-a708-f132ca03366c" ] } ], "mendeley" : { "formattedCitation" : "(Loke et al., 1989)", "plainTextFormattedCitation" : "(Loke et al., 1989)", "previouslyFormattedCitation" : "(Loke et al., 1989)" }, "properties" : { "noteIndex" : 0 }, "schema" : "https://github.com/citation-style-language/schema/raw/master/csl-citation.json" }</w:instrText>
      </w:r>
      <w:r w:rsidRPr="003B561E">
        <w:rPr>
          <w:rFonts w:ascii="Calibri" w:hAnsi="Calibri" w:cs="Arial"/>
        </w:rPr>
        <w:fldChar w:fldCharType="separate"/>
      </w:r>
      <w:r w:rsidRPr="003B561E">
        <w:rPr>
          <w:rFonts w:ascii="Calibri" w:hAnsi="Calibri" w:cs="Arial"/>
          <w:noProof/>
        </w:rPr>
        <w:t>(Loke et al., 1989)</w:t>
      </w:r>
      <w:r w:rsidRPr="003B561E">
        <w:rPr>
          <w:rFonts w:ascii="Calibri" w:hAnsi="Calibri" w:cs="Arial"/>
        </w:rPr>
        <w:fldChar w:fldCharType="end"/>
      </w:r>
      <w:r w:rsidRPr="003B561E">
        <w:rPr>
          <w:rFonts w:ascii="Calibri" w:hAnsi="Calibri" w:cs="Arial"/>
        </w:rPr>
        <w:t xml:space="preserve">. </w:t>
      </w:r>
      <w:r>
        <w:rPr>
          <w:rFonts w:ascii="Calibri" w:hAnsi="Calibri" w:cs="Arial"/>
        </w:rPr>
        <w:t>T</w:t>
      </w:r>
      <w:r w:rsidRPr="003B561E">
        <w:rPr>
          <w:rFonts w:ascii="Calibri" w:hAnsi="Calibri" w:cs="Arial"/>
        </w:rPr>
        <w:t xml:space="preserve">he main site of ASO activity was shown to be the nucleus </w:t>
      </w:r>
      <w:r w:rsidRPr="003B561E">
        <w:rPr>
          <w:rFonts w:ascii="Calibri" w:hAnsi="Calibri" w:cs="Arial"/>
        </w:rPr>
        <w:fldChar w:fldCharType="begin" w:fldLock="1"/>
      </w:r>
      <w:r>
        <w:rPr>
          <w:rFonts w:ascii="Calibri" w:hAnsi="Calibri" w:cs="Arial"/>
        </w:rPr>
        <w:instrText>ADDIN CSL_CITATION { "citationItems" : [ { "id" : "ITEM-1", "itemData" : { "ISSN" : "1050-5261", "PMID" : "1490072", "abstract" : "A phosphorothioate oligonucleotide that has been employed to inhibit HIV-1 viral expression in chronically infected H9 cells was examined for cellular uptake and subcellular distribution. The relationship between extracellular oligonucleotide concentration and the distribution and accumulation into subcellular organelles is important to the design, potential side effects, and understanding of a therapeutically useful antisense oligonucleotide. These studies employed uptake of both 35S- and fluorescence-labeled phosphorothioate oligonucleotides. Experiments with V79, HeLa, H9, and fresh human peripheral blood monocytes indicate that accumulations of oligonucleotide inside cells exceeds the concentration of oligonucleotide in culture media by over 100 times following 1 h of exposure at 37 degrees C. Uptake is more efficient at low concentrations, suggesting a saturable process. The total oligonucleotide that remains in cells begins to reach a plateau after 45-60 min, indicating either that efflux pathways exist or that uptake is saturable. Subcellular fractionation studies with 35S-labeled phosphorothioate demonstrate the oligonucleotide is sequestered into both the nuclei and the mitochondria of cultured HeLa cells in a time-dependent manner. The subcellular fractionation was examined with fluorescence-labeled phosphorothioate by both confocal and fluorescence microscopy, which confirmed the rate and localization of oligonucleotide into cultured cells. Finally, cellular uptake is not uniform for all cells in a nonsynchronous culture.", "author" : [ { "dropping-particle" : "", "family" : "Iversen", "given" : "P L", "non-dropping-particle" : "", "parse-names" : false, "suffix" : "" }, { "dropping-particle" : "", "family" : "Zhu", "given" : "S", "non-dropping-particle" : "", "parse-names" : false, "suffix" : "" }, { "dropping-particle" : "", "family" : "Meyer", "given" : "A", "non-dropping-particle" : "", "parse-names" : false, "suffix" : "" }, { "dropping-particle" : "", "family" : "Zon", "given" : "G", "non-dropping-particle" : "", "parse-names" : false, "suffix" : "" } ], "container-title" : "Antisense research and development", "id" : "ITEM-1", "issue" : "3", "issued" : { "date-parts" : [ [ "1992", "1" ] ] }, "page" : "211-22", "title" : "Cellular uptake and subcellular distribution of phosphorothioate oligonucleotides into cultured cells.", "type" : "article-journal", "volume" : "2" }, "uris" : [ "http://www.mendeley.com/documents/?uuid=b7a4067c-93e5-4836-a489-f95b83abcdc1" ] } ], "mendeley" : { "formattedCitation" : "(P L Iversen, Zhu, Meyer, &amp; Zon, 1992)", "plainTextFormattedCitation" : "(P L Iversen, Zhu, Meyer, &amp; Zon, 1992)", "previouslyFormattedCitation" : "(P L Iversen, Zhu, Meyer, &amp; Zon, 1992)" }, "properties" : { "noteIndex" : 0 }, "schema" : "https://github.com/citation-style-language/schema/raw/master/csl-citation.json" }</w:instrText>
      </w:r>
      <w:r w:rsidRPr="003B561E">
        <w:rPr>
          <w:rFonts w:ascii="Calibri" w:hAnsi="Calibri" w:cs="Arial"/>
        </w:rPr>
        <w:fldChar w:fldCharType="separate"/>
      </w:r>
      <w:r w:rsidRPr="00561915">
        <w:rPr>
          <w:rFonts w:ascii="Calibri" w:hAnsi="Calibri" w:cs="Arial"/>
          <w:noProof/>
        </w:rPr>
        <w:t>(P L Iversen, Zhu, Meyer, &amp; Zon, 1992)</w:t>
      </w:r>
      <w:r w:rsidRPr="003B561E">
        <w:rPr>
          <w:rFonts w:ascii="Calibri" w:hAnsi="Calibri" w:cs="Arial"/>
        </w:rPr>
        <w:fldChar w:fldCharType="end"/>
      </w:r>
      <w:r w:rsidRPr="003B561E">
        <w:rPr>
          <w:rFonts w:ascii="Calibri" w:hAnsi="Calibri" w:cs="Arial"/>
        </w:rPr>
        <w:t xml:space="preserve">. </w:t>
      </w:r>
      <w:r w:rsidRPr="003B561E">
        <w:rPr>
          <w:rFonts w:ascii="Calibri" w:hAnsi="Calibri" w:cs="Arial"/>
          <w:i/>
        </w:rPr>
        <w:t xml:space="preserve">In vivo </w:t>
      </w:r>
      <w:r w:rsidRPr="003B561E">
        <w:rPr>
          <w:rFonts w:ascii="Calibri" w:hAnsi="Calibri" w:cs="Arial"/>
        </w:rPr>
        <w:t xml:space="preserve">activity, however, was negligible due to the poor stability </w:t>
      </w:r>
      <w:r>
        <w:rPr>
          <w:rFonts w:ascii="Calibri" w:hAnsi="Calibri" w:cs="Arial"/>
        </w:rPr>
        <w:t>against</w:t>
      </w:r>
      <w:r w:rsidRPr="003B561E">
        <w:rPr>
          <w:rFonts w:ascii="Calibri" w:hAnsi="Calibri" w:cs="Arial"/>
        </w:rPr>
        <w:t xml:space="preserve"> nucleases. </w:t>
      </w:r>
    </w:p>
    <w:p w14:paraId="33A5D78D" w14:textId="77777777" w:rsidR="00551275" w:rsidRDefault="00551275" w:rsidP="005837A4">
      <w:pPr>
        <w:spacing w:line="480" w:lineRule="auto"/>
        <w:jc w:val="both"/>
        <w:rPr>
          <w:rFonts w:ascii="Calibri" w:hAnsi="Calibri" w:cs="Arial"/>
        </w:rPr>
      </w:pPr>
    </w:p>
    <w:p w14:paraId="3F41A0F7" w14:textId="7C4B153C" w:rsidR="000172A4" w:rsidRDefault="009C2079" w:rsidP="005837A4">
      <w:pPr>
        <w:spacing w:line="480" w:lineRule="auto"/>
        <w:jc w:val="both"/>
        <w:rPr>
          <w:rFonts w:ascii="Calibri" w:hAnsi="Calibri" w:cs="Arial"/>
        </w:rPr>
      </w:pPr>
      <w:r>
        <w:rPr>
          <w:rFonts w:ascii="Calibri" w:hAnsi="Calibri" w:cs="Arial"/>
        </w:rPr>
        <w:t>The first attempts</w:t>
      </w:r>
      <w:r w:rsidR="00B93A7F">
        <w:rPr>
          <w:rFonts w:ascii="Calibri" w:hAnsi="Calibri" w:cs="Arial"/>
        </w:rPr>
        <w:t xml:space="preserve"> to resolve this problem</w:t>
      </w:r>
      <w:r>
        <w:rPr>
          <w:rFonts w:ascii="Calibri" w:hAnsi="Calibri" w:cs="Arial"/>
        </w:rPr>
        <w:t xml:space="preserve"> involved the </w:t>
      </w:r>
      <w:r w:rsidR="000172A4">
        <w:rPr>
          <w:rFonts w:ascii="Calibri" w:hAnsi="Calibri" w:cs="Arial"/>
        </w:rPr>
        <w:t>use of phosphorothioate backbone modifications</w:t>
      </w:r>
      <w:r w:rsidR="005F1F3D">
        <w:rPr>
          <w:rFonts w:ascii="Calibri" w:hAnsi="Calibri" w:cs="Arial"/>
        </w:rPr>
        <w:t>,</w:t>
      </w:r>
      <w:r w:rsidR="000172A4">
        <w:rPr>
          <w:rFonts w:ascii="Calibri" w:hAnsi="Calibri" w:cs="Arial"/>
        </w:rPr>
        <w:t xml:space="preserve"> </w:t>
      </w:r>
      <w:r w:rsidR="00434E25">
        <w:rPr>
          <w:rFonts w:ascii="Calibri" w:hAnsi="Calibri" w:cs="Arial"/>
        </w:rPr>
        <w:t xml:space="preserve">which </w:t>
      </w:r>
      <w:r w:rsidR="007D2C1C">
        <w:rPr>
          <w:rFonts w:ascii="Calibri" w:hAnsi="Calibri" w:cs="Arial"/>
        </w:rPr>
        <w:t xml:space="preserve">imparted </w:t>
      </w:r>
      <w:r w:rsidR="00434E25">
        <w:rPr>
          <w:rFonts w:ascii="Calibri" w:hAnsi="Calibri" w:cs="Arial"/>
        </w:rPr>
        <w:t xml:space="preserve">increased stability </w:t>
      </w:r>
      <w:r w:rsidR="007D2C1C">
        <w:rPr>
          <w:rFonts w:ascii="Calibri" w:hAnsi="Calibri" w:cs="Arial"/>
        </w:rPr>
        <w:t xml:space="preserve">in biofluids </w:t>
      </w:r>
      <w:r w:rsidR="00434E25">
        <w:rPr>
          <w:rFonts w:ascii="Calibri" w:hAnsi="Calibri" w:cs="Arial"/>
        </w:rPr>
        <w:t>and improved pharmacokinetic</w:t>
      </w:r>
      <w:r w:rsidR="007D2C1C">
        <w:rPr>
          <w:rFonts w:ascii="Calibri" w:hAnsi="Calibri" w:cs="Arial"/>
        </w:rPr>
        <w:t>s</w:t>
      </w:r>
      <w:r w:rsidR="00434E25">
        <w:rPr>
          <w:rFonts w:ascii="Calibri" w:hAnsi="Calibri" w:cs="Arial"/>
        </w:rPr>
        <w:t xml:space="preserve"> </w:t>
      </w:r>
      <w:r w:rsidR="007D2C1C">
        <w:rPr>
          <w:rFonts w:ascii="Calibri" w:hAnsi="Calibri" w:cs="Arial"/>
          <w:i/>
        </w:rPr>
        <w:t>in vivo</w:t>
      </w:r>
      <w:r w:rsidR="007D2C1C">
        <w:rPr>
          <w:rFonts w:ascii="Calibri" w:hAnsi="Calibri" w:cs="Arial"/>
        </w:rPr>
        <w:t xml:space="preserve"> </w:t>
      </w:r>
      <w:r w:rsidR="00434E25">
        <w:rPr>
          <w:rFonts w:ascii="Calibri" w:hAnsi="Calibri" w:cs="Arial"/>
        </w:rPr>
        <w:t xml:space="preserve">(Fig. </w:t>
      </w:r>
      <w:r w:rsidR="00C5768B">
        <w:rPr>
          <w:rFonts w:ascii="Calibri" w:hAnsi="Calibri" w:cs="Arial"/>
        </w:rPr>
        <w:t>3</w:t>
      </w:r>
      <w:r w:rsidR="00434E25">
        <w:rPr>
          <w:rFonts w:ascii="Calibri" w:hAnsi="Calibri" w:cs="Arial"/>
        </w:rPr>
        <w:t xml:space="preserve">A, Fig. </w:t>
      </w:r>
      <w:r w:rsidR="00C5768B">
        <w:rPr>
          <w:rFonts w:ascii="Calibri" w:hAnsi="Calibri" w:cs="Arial"/>
        </w:rPr>
        <w:t>4</w:t>
      </w:r>
      <w:r w:rsidR="00434E25">
        <w:rPr>
          <w:rFonts w:ascii="Calibri" w:hAnsi="Calibri" w:cs="Arial"/>
        </w:rPr>
        <w:t>). However</w:t>
      </w:r>
      <w:r w:rsidR="000172A4">
        <w:rPr>
          <w:rFonts w:ascii="Calibri" w:hAnsi="Calibri" w:cs="Arial"/>
        </w:rPr>
        <w:t xml:space="preserve">, toxicity was observed due to interactions with heparin-binding growth factors and other compounds </w:t>
      </w:r>
      <w:r w:rsidR="000172A4">
        <w:rPr>
          <w:rFonts w:ascii="Calibri" w:hAnsi="Calibri" w:cs="Arial"/>
        </w:rPr>
        <w:fldChar w:fldCharType="begin" w:fldLock="1"/>
      </w:r>
      <w:r w:rsidR="000172A4">
        <w:rPr>
          <w:rFonts w:ascii="Calibri" w:hAnsi="Calibri" w:cs="Arial"/>
        </w:rPr>
        <w:instrText>ADDIN CSL_CITATION { "citationItems" : [ { "id" : "ITEM-1", "itemData" : { "DOI" : "10.1038/nm0497-414", "ISSN" : "1078-8956", "author" : [ { "dropping-particle" : "", "family" : "Benimetskaya", "given" : "Lyuba", "non-dropping-particle" : "", "parse-names" : false, "suffix" : "" }, { "dropping-particle" : "", "family" : "Loike", "given" : "John D.", "non-dropping-particle" : "", "parse-names" : false, "suffix" : "" }, { "dropping-particle" : "", "family" : "Khaled", "given" : "Zahangir", "non-dropping-particle" : "", "parse-names" : false, "suffix" : "" }, { "dropping-particle" : "", "family" : "LoiKe", "given" : "Gila", "non-dropping-particle" : "", "parse-names" : false, "suffix" : "" }, { "dropping-particle" : "", "family" : "Silverstein", "given" : "Samuel C.", "non-dropping-particle" : "", "parse-names" : false, "suffix" : "" }, { "dropping-particle" : "", "family" : "Cao", "given" : "Long", "non-dropping-particle" : "", "parse-names" : false, "suffix" : "" }, { "dropping-particle" : "", "family" : "Khoury", "given" : "Joseph E.L.", "non-dropping-particle" : "", "parse-names" : false, "suffix" : "" }, { "dropping-particle" : "", "family" : "CaI", "given" : "Tian-Quan", "non-dropping-particle" : "", "parse-names" : false, "suffix" : "" }, { "dropping-particle" : "", "family" : "Stein", "given" : "C.A.", "non-dropping-particle" : "", "parse-names" : false, "suffix" : "" } ], "container-title" : "Nature Medicine", "id" : "ITEM-1", "issue" : "4", "issued" : { "date-parts" : [ [ "1997", "4" ] ] }, "page" : "414-420", "title" : "Mac-1 (CD11b/CD18) is an oligodeoxynucleotide-binding protein", "title-short" : "Nat Med", "type" : "article-journal", "volume" : "3" }, "uris" : [ "http://www.mendeley.com/documents/?uuid=2d591f8e-89db-41b1-a5d4-03ba54f6a4ae" ] }, { "id" : "ITEM-2", "itemData" : { "DOI" : "10.1074/jbc.270.6.2620", "ISSN" : "0021-9258", "abstract" : "We studied the interactions of phosphorothioate oligodeoxynucleotides and heparin-binding growth factors. By means of a gel mobility shift assay, we demonstrated that phosphodiester and phosphorothioate homopolymers bound to basic fibroblast growth factor (bFGF). Binding of a probe phosphodiester oligodeoxynucleotide could also be shown for other proteins of the FGF family, including acidic fibroblast growth factor (aFGF), Kaposi's growth factor (FGF-4) as well as for the bFGF-related vascular endothelial growth factor, VEGF. No binding to epidermal growth factor (EGF) was observed. In addition, using a radioreceptor assay, we have shown that phosphorothioate homopolymers of cytidine and thymidine blocked binding of not only [IMG]/medium/_6717_tex2html_wrap1294.gif\" ALT=\"Formula \"&gt;I-bFGF, but also of [IMG]/medium/_6717_tex2html_wrap1294.gif\" ALT=\"Formula \"&gt;I-PDGF to NIH 3T3 cells, whereas phosphodiester oligodeoxynucleotides were ineffective. The extent of blockade of binding was dependent on the chain length of the phosphorothioate oligodeoxynucleotide. Furthermore, we have examined the effects of 18-mer phosphorothioate oligodeoxynucleotides of different sequences on [IMG]/medium/_6717_tex2html_wrap1294.gif\" ALT=\"Formula \"&gt;I-bFGF binding to low and high affinity sites on both NIH 3T3 fibroblasts and DU-145 prostate cancer cells. Despite the fact that we have observed inhibition of bFGF binding by the 18-mer phosphorothioate oligodeoxynucleotides for both the high and low affinity classes of bFGF receptor, the inhibition was sequence-selective only for the high affinity receptors. We have also demonstrated that phosphorothioate homopolymers of cytidine and thymidine release bFGF bound to low affinity receptors in extracellular matrix (ECM). Finally, the most potent phosphorothioate oligodeoxynucleotides used in these experiments (e.g. SdC28) were inhibitors of bFGF-induced DNA synthesis in NIH 3T3 cells.", "author" : [ { "dropping-particle" : "", "family" : "Guvakova", "given" : "M. A.", "non-dropping-particle" : "", "parse-names" : false, "suffix" : "" }, { "dropping-particle" : "", "family" : "Yakubov", "given" : "L. A.", "non-dropping-particle" : "", "parse-names" : false, "suffix" : "" }, { "dropping-particle" : "", "family" : "Vlodavsky", "given" : "I.", "non-dropping-particle" : "", "parse-names" : false, "suffix" : "" }, { "dropping-particle" : "", "family" : "Tonkinson", "given" : "J. L.", "non-dropping-particle" : "", "parse-names" : false, "suffix" : "" }, { "dropping-particle" : "", "family" : "Stein", "given" : "C. A.", "non-dropping-particle" : "", "parse-names" : false, "suffix" : "" } ], "container-title" : "Journal of Biological Chemistry", "id" : "ITEM-2", "issue" : "6", "issued" : { "date-parts" : [ [ "1995", "2", "10" ] ] }, "page" : "2620-2627", "title" : "Phosphorothioate Oligodeoxynucleotides Bind to Basic Fibroblast Growth Factor, Inhibit Its Binding to Cell Surface Receptors, and Remove It from Low Affinity Binding Sites on Extracellular Matrix", "type" : "article-journal", "volume" : "270" }, "uris" : [ "http://www.mendeley.com/documents/?uuid=0b27cb5e-562b-4030-887d-e09d1f95a39a" ] }, { "id" : "ITEM-3", "itemData" : { "DOI" : "10.1074/jbc.270.37.21718", "ISSN" : "0021-9258", "abstract" : "Oligonucleotides can be used to inhibit the binding of basic fibroblast growth factor to cells. Though standard phosphodiester oligonucleotides show a slight inhibition of binding, the oligonucleotides with phosphorothioate internucleoside linkages have inhibition levels equivalent to that of the polyanion heparin. Variations in sequence of the oligonucleotides does lead to differences in the inhibitory action of the oligonucleotides. This inhibition of basic fibroblast growth factor by phosphorothioate oligonucleotides may account for much of the published data on inhibition of various genes by proposed antisense oligonucleotides and needs to be taken into account when considering the mechanism of action of oligonucleotides in biological systems.", "author" : [ { "dropping-particle" : "", "family" : "Fennewald", "given" : "S. M.", "non-dropping-particle" : "", "parse-names" : false, "suffix" : "" }, { "dropping-particle" : "", "family" : "Rando", "given" : "R. F.", "non-dropping-particle" : "", "parse-names" : false, "suffix" : "" } ], "container-title" : "Journal of Biological Chemistry", "id" : "ITEM-3", "issue" : "37", "issued" : { "date-parts" : [ [ "1995", "9", "15" ] ] }, "page" : "21718-21721", "title" : "Inhibition of High Affinity Basic Fibroblast Growth Factor Binding by Oligonucleotides", "type" : "article-journal", "volume" : "270" }, "uris" : [ "http://www.mendeley.com/documents/?uuid=23cc2dc5-f92b-433f-9476-a0394390c560" ] } ], "mendeley" : { "formattedCitation" : "(Benimetskaya et al., 1997; Fennewald &amp; Rando, 1995; Guvakova, Yakubov, Vlodavsky, Tonkinson, &amp; Stein, 1995)", "plainTextFormattedCitation" : "(Benimetskaya et al., 1997; Fennewald &amp; Rando, 1995; Guvakova, Yakubov, Vlodavsky, Tonkinson, &amp; Stein, 1995)", "previouslyFormattedCitation" : "(Benimetskaya et al., 1997; Fennewald &amp; Rando, 1995; Guvakova, Yakubov, Vlodavsky, Tonkinson, &amp; Stein, 1995)" }, "properties" : { "noteIndex" : 0 }, "schema" : "https://github.com/citation-style-language/schema/raw/master/csl-citation.json" }</w:instrText>
      </w:r>
      <w:r w:rsidR="000172A4">
        <w:rPr>
          <w:rFonts w:ascii="Calibri" w:hAnsi="Calibri" w:cs="Arial"/>
        </w:rPr>
        <w:fldChar w:fldCharType="separate"/>
      </w:r>
      <w:r w:rsidR="000172A4" w:rsidRPr="005E2AB3">
        <w:rPr>
          <w:rFonts w:ascii="Calibri" w:hAnsi="Calibri" w:cs="Arial"/>
          <w:noProof/>
        </w:rPr>
        <w:t>(Benimetskaya et al., 1997; Fennewald &amp; Rando, 1995; Guvakova, Yakubov, Vlodavsky, Tonkinson, &amp; Stein, 1995)</w:t>
      </w:r>
      <w:r w:rsidR="000172A4">
        <w:rPr>
          <w:rFonts w:ascii="Calibri" w:hAnsi="Calibri" w:cs="Arial"/>
        </w:rPr>
        <w:fldChar w:fldCharType="end"/>
      </w:r>
      <w:r w:rsidR="000172A4">
        <w:rPr>
          <w:rFonts w:ascii="Calibri" w:hAnsi="Calibri" w:cs="Arial"/>
        </w:rPr>
        <w:t xml:space="preserve">. It was not until many years later that serum albumin was identified as the principle </w:t>
      </w:r>
      <w:r w:rsidR="000172A4">
        <w:rPr>
          <w:rFonts w:ascii="Calibri" w:hAnsi="Calibri" w:cs="Arial"/>
        </w:rPr>
        <w:fldChar w:fldCharType="begin" w:fldLock="1"/>
      </w:r>
      <w:r w:rsidR="002A25D9">
        <w:rPr>
          <w:rFonts w:ascii="Calibri" w:hAnsi="Calibri" w:cs="Arial"/>
        </w:rPr>
        <w:instrText>ADDIN CSL_CITATION { "citationItems" : [ { "id" : "ITEM-1", "itemData" : { "DOI" : "10.1089/oli.2006.16.169", "ISSN" : "1545-4576", "PMID" : "16764540", "abstract" : "In vitro ultrafiltration was used to determine the plasma protein-binding characteristics of phosphorothioate oligonucleotides (PS ODNs). Although there are binding data on multiple PS ODNs presented here, the focus of this research is on the protein-binding characteristics of ISIS 2302, a PS ODN targeting human intercellular adhesion molecule-1 (ICAM-1) mRNA, which is currently in clinical trials for the treatment of ulcerative colitis. ISIS 2302 was shown to be highly bound (&gt; 97%) across species (mouse, rat, monkey, human), with the mouse having the least degree of binding. ISIS 2302 was highly bound to albumin and, to a lesser, extent alpha2-macroglobulin and had negligible binding to alpha1-acid glycoprotein. Ten shortened ODN metabolites (8, 10, and 12-19 nucleotides [nt] in length, truncated from the 3' end) were evaluated in human plasma. The degree of binding was reduced as the ODN metabolite length decreased. Three additional 20-nt (20-mer) PS ODNs (ISIS 3521, ISIS 2503, and ISIS 5132) of varying sequence but similar chemistry were evaluated. Although the tested PS ODNs were highly bound to plasma proteins, suggesting a commonality within the chemical class, these results suggested that the protein-binding characteristics in human plasma may be sequence dependent. Lastly, drug displacement studies with ISIS 2302 and other concomitant drugs with known protein-binding properties were conducted to provide information on potential drug interactions. Coadministered ISIS 2302 and other high-binding drugs evaluated in this study did not displace one another at supraclinical plasma concentrations and, thus, are not anticipated to cause any pharmacokinetic interaction in the clinic as a result of the displacement of binding to plasma proteins.", "author" : [ { "dropping-particle" : "", "family" : "Watanabe", "given" : "Tanya A", "non-dropping-particle" : "", "parse-names" : false, "suffix" : "" }, { "dropping-particle" : "", "family" : "Geary", "given" : "Richard S", "non-dropping-particle" : "", "parse-names" : false, "suffix" : "" }, { "dropping-particle" : "", "family" : "Levin", "given" : "Arthur A", "non-dropping-particle" : "", "parse-names" : false, "suffix" : "" } ], "container-title" : "Oligonucleotides", "id" : "ITEM-1", "issue" : "2", "issued" : { "date-parts" : [ [ "2006", "1", "9" ] ] }, "language" : "en", "page" : "169-80", "publisher" : "Mary Ann Liebert, Inc.  2 Madison Avenue Larchmont, NY 10538 USA", "title" : "Plasma protein binding of an antisense oligonucleotide targeting human ICAM-1 (ISIS 2302).", "type" : "article-journal", "volume" : "16" }, "uris" : [ "http://www.mendeley.com/documents/?uuid=8207edec-28d4-4842-9b03-370880857b46" ] } ], "mendeley" : { "formattedCitation" : "(T. A. Watanabe, Geary, &amp; Levin, 2006)", "plainTextFormattedCitation" : "(T. A. Watanabe, Geary, &amp; Levin, 2006)", "previouslyFormattedCitation" : "(T. A. Watanabe, Geary, &amp; Levin, 2006)" }, "properties" : { "noteIndex" : 0 }, "schema" : "https://github.com/citation-style-language/schema/raw/master/csl-citation.json" }</w:instrText>
      </w:r>
      <w:r w:rsidR="000172A4">
        <w:rPr>
          <w:rFonts w:ascii="Calibri" w:hAnsi="Calibri" w:cs="Arial"/>
        </w:rPr>
        <w:fldChar w:fldCharType="separate"/>
      </w:r>
      <w:r w:rsidR="00AC0940" w:rsidRPr="00AC0940">
        <w:rPr>
          <w:rFonts w:ascii="Calibri" w:hAnsi="Calibri" w:cs="Arial"/>
          <w:noProof/>
        </w:rPr>
        <w:t>(T. A. Watanabe, Geary, &amp; Levin, 2006)</w:t>
      </w:r>
      <w:r w:rsidR="000172A4">
        <w:rPr>
          <w:rFonts w:ascii="Calibri" w:hAnsi="Calibri" w:cs="Arial"/>
        </w:rPr>
        <w:fldChar w:fldCharType="end"/>
      </w:r>
      <w:r w:rsidR="000172A4">
        <w:rPr>
          <w:rFonts w:ascii="Calibri" w:hAnsi="Calibri" w:cs="Arial"/>
        </w:rPr>
        <w:t xml:space="preserve">, but not the only carrier of phosphorothioate ASO in circulation and into the liver </w:t>
      </w:r>
      <w:r w:rsidR="000172A4">
        <w:rPr>
          <w:rFonts w:ascii="Calibri" w:hAnsi="Calibri" w:cs="Arial"/>
        </w:rPr>
        <w:fldChar w:fldCharType="begin" w:fldLock="1"/>
      </w:r>
      <w:r w:rsidR="000172A4">
        <w:rPr>
          <w:rFonts w:ascii="Calibri" w:hAnsi="Calibri" w:cs="Arial"/>
        </w:rPr>
        <w:instrText>ADDIN CSL_CITATION { "citationItems" : [ { "id" : "ITEM-1", "itemData" : { "ISSN" : "1362-4962", "PMID" : "10908328", "abstract" : "Several studies have shown improved efficacy of cholesteryl-conjugated phosphorothioate antisense oligodeoxynucleotides. To gain insight into the mechanisms of the improved efficacy in vivo, we investigated the disposition of ISIS-9388, the 3'-cholesterol analog of the ICAM-1-specific phosphorothioate oligodeoxynucleotide ISIS-3082, in rats. Intravenously injected [(3)H]ISIS-9388 was cleared from the circulation with a half-life of 49.9 +/- 2.2 min (ISIS-3082, 23.3 +/- 3.8 min). At 3 h after injection, the liver contained 63.7 +/- 3. 3% of the dose. Compared to ISIS-3082, the hepatic uptake of ISIS-9388 is approximately 2-fold higher. Endothelial, Kupffer and parenchymal cells accounted for 45.7 +/- 5.7, 33.0 +/- 5.9 and 21.3 +/- 2.6% of the liver uptake of [(3)H]ISIS-9388, respectively, and intracellular concentrations of approximately 2, 75 and 50 microM, respectively, could be reached in these cells (1 mg/kg dose). Preinjection with polyinosinic acid or poly-adenylic acid reduced the hepatic uptake of [(3)H]ISIS-9388, which suggests the involvement of (multiple) scavenger receptors. Size exclusion chromatography of mixtures of the oligonucleotides and rat plasma indicated that ISIS-9388 binds to a larger extent to high molecular weight proteins than ISIS-3082. Analysis by agarose gel electrophoresis indicated that ISIS-9388 binds more tightly to plasma proteins than ISIS-3082. The different interaction of the oligonucleotides with plasma proteins possibly explains their different dispositions. We conclude that cholesterol conjugation results in high accumulation of phosphorothioate oligodeoxynucleotides in various liver cell types, which is likely to be beneficial for antisense therapy of liver-associated diseases.", "author" : [ { "dropping-particle" : "", "family" : "Bijsterbosch", "given" : "M K", "non-dropping-particle" : "", "parse-names" : false, "suffix" : "" }, { "dropping-particle" : "", "family" : "Rump", "given" : "E T", "non-dropping-particle" : "", "parse-names" : false, "suffix" : "" }, { "dropping-particle" : "", "family" : "Vrueh", "given" : "R L", "non-dropping-particle" : "De", "parse-names" : false, "suffix" : "" }, { "dropping-particle" : "", "family" : "Dorland", "given" : "R", "non-dropping-particle" : "", "parse-names" : false, "suffix" : "" }, { "dropping-particle" : "", "family" : "Veghel", "given" : "R", "non-dropping-particle" : "van", "parse-names" : false, "suffix" : "" }, { "dropping-particle" : "", "family" : "Tivel", "given" : "K L", "non-dropping-particle" : "", "parse-names" : false, "suffix" : "" }, { "dropping-particle" : "", "family" : "Biessen", "given" : "E A", "non-dropping-particle" : "", "parse-names" : false, "suffix" : "" }, { "dropping-particle" : "", "family" : "Berkel", "given" : "T J", "non-dropping-particle" : "van", "parse-names" : false, "suffix" : "" }, { "dropping-particle" : "", "family" : "Manoharan", "given" : "M", "non-dropping-particle" : "", "parse-names" : false, "suffix" : "" } ], "container-title" : "Nucleic acids research", "id" : "ITEM-1", "issue" : "14", "issued" : { "date-parts" : [ [ "2000", "7", "15" ] ] }, "page" : "2717-25", "title" : "Modulation of plasma protein binding and in vivo liver cell uptake of phosphorothioate oligodeoxynucleotides by cholesterol conjugation.", "type" : "article-journal", "volume" : "28" }, "uris" : [ "http://www.mendeley.com/documents/?uuid=c446045d-aab8-4dad-816c-173bdeb34edf" ] } ], "mendeley" : { "formattedCitation" : "(Bijsterbosch et al., 2000)", "plainTextFormattedCitation" : "(Bijsterbosch et al., 2000)", "previouslyFormattedCitation" : "(Bijsterbosch et al., 2000)" }, "properties" : { "noteIndex" : 0 }, "schema" : "https://github.com/citation-style-language/schema/raw/master/csl-citation.json" }</w:instrText>
      </w:r>
      <w:r w:rsidR="000172A4">
        <w:rPr>
          <w:rFonts w:ascii="Calibri" w:hAnsi="Calibri" w:cs="Arial"/>
        </w:rPr>
        <w:fldChar w:fldCharType="separate"/>
      </w:r>
      <w:r w:rsidR="000172A4" w:rsidRPr="00512E4C">
        <w:rPr>
          <w:rFonts w:ascii="Calibri" w:hAnsi="Calibri" w:cs="Arial"/>
          <w:noProof/>
        </w:rPr>
        <w:t>(Bijsterbosch et al., 2000)</w:t>
      </w:r>
      <w:r w:rsidR="000172A4">
        <w:rPr>
          <w:rFonts w:ascii="Calibri" w:hAnsi="Calibri" w:cs="Arial"/>
        </w:rPr>
        <w:fldChar w:fldCharType="end"/>
      </w:r>
      <w:r w:rsidR="000172A4">
        <w:rPr>
          <w:rFonts w:ascii="Calibri" w:hAnsi="Calibri" w:cs="Arial"/>
        </w:rPr>
        <w:t xml:space="preserve">. Uptake is presently understood to involve at least two </w:t>
      </w:r>
      <w:r w:rsidR="000172A4">
        <w:rPr>
          <w:rFonts w:ascii="Calibri" w:hAnsi="Calibri" w:cs="Arial"/>
        </w:rPr>
        <w:fldChar w:fldCharType="begin" w:fldLock="1"/>
      </w:r>
      <w:r w:rsidR="000172A4">
        <w:rPr>
          <w:rFonts w:ascii="Calibri" w:hAnsi="Calibri" w:cs="Arial"/>
        </w:rPr>
        <w:instrText>ADDIN CSL_CITATION { "citationItems" : [ { "id" : "ITEM-1", "itemData" : { "DOI" : "10.1093/nar/gkr089", "ISSN" : "1362-4962", "PMID" : "21345934", "abstract" : "Single-stranded antisense oligonucleotides (SSOs) are used to modulate the expression of genes in animal models and are being investigated as potential therapeutics. To better understand why synthetic SSOs accumulate in the same intracellular location as the target RNA, we have isolated a novel mouse hepatocellular SV40 large T-antigen carcinoma cell line, MHT that maintains the ability to efficiently take up SSOs over several years in culture. Sequence-specific antisense effects are demonstrated at low nanomolar concentrations. SSO accumulation into cells is both time and concentration dependent. At least two distinct cellular pathways are responsible for SSO accumulation in cells: a non-productive pathway resulting in accumulation in lysosomes, and a functional uptake pathway in which the SSO gains access to the targeted RNA. We demonstrate that functional uptake, as defined by a sequence-specific reduction in target mRNA, is inhibited by brefeldin A and chloroquine. Functional uptake is blocked by siRNA inhibitors of the adaptor protein AP2M1, but not by clathrin or caveolin. Furthermore, we document that treatment of mice with an AP2M1 siRNA blocks functional uptake into liver tissue. Functional uptake of SSO appears to be mediated by a novel clathrin- and caveolin-independent endocytotic process.", "author" : [ { "dropping-particle" : "", "family" : "Koller", "given" : "Erich", "non-dropping-particle" : "", "parse-names" : false, "suffix" : "" }, { "dropping-particle" : "", "family" : "Vincent", "given" : "Thomas M", "non-dropping-particle" : "", "parse-names" : false, "suffix" : "" }, { "dropping-particle" : "", "family" : "Chappell", "given" : "Alfred", "non-dropping-particle" : "", "parse-names" : false, "suffix" : "" }, { "dropping-particle" : "", "family" : "De", "given" : "Soma", "non-dropping-particle" : "", "parse-names" : false, "suffix" : "" }, { "dropping-particle" : "", "family" : "Manoharan", "given" : "Muthiah", "non-dropping-particle" : "", "parse-names" : false, "suffix" : "" }, { "dropping-particle" : "", "family" : "Bennett", "given" : "C Frank", "non-dropping-particle" : "", "parse-names" : false, "suffix" : "" } ], "container-title" : "Nucleic acids research", "id" : "ITEM-1", "issue" : "11", "issued" : { "date-parts" : [ [ "2011", "7" ] ] }, "page" : "4795-807", "title" : "Mechanisms of single-stranded phosphorothioate modified antisense oligonucleotide accumulation in hepatocytes.", "type" : "article-journal", "volume" : "39" }, "uris" : [ "http://www.mendeley.com/documents/?uuid=4121a809-a4d8-48f2-8ad0-a5f2304025ad" ] } ], "mendeley" : { "formattedCitation" : "(Koller et al., 2011)", "plainTextFormattedCitation" : "(Koller et al., 2011)", "previouslyFormattedCitation" : "(Koller et al., 2011)" }, "properties" : { "noteIndex" : 0 }, "schema" : "https://github.com/citation-style-language/schema/raw/master/csl-citation.json" }</w:instrText>
      </w:r>
      <w:r w:rsidR="000172A4">
        <w:rPr>
          <w:rFonts w:ascii="Calibri" w:hAnsi="Calibri" w:cs="Arial"/>
        </w:rPr>
        <w:fldChar w:fldCharType="separate"/>
      </w:r>
      <w:r w:rsidR="000172A4" w:rsidRPr="00FC0AE4">
        <w:rPr>
          <w:rFonts w:ascii="Calibri" w:hAnsi="Calibri" w:cs="Arial"/>
          <w:noProof/>
        </w:rPr>
        <w:t>(Koller et al., 2011)</w:t>
      </w:r>
      <w:r w:rsidR="000172A4">
        <w:rPr>
          <w:rFonts w:ascii="Calibri" w:hAnsi="Calibri" w:cs="Arial"/>
        </w:rPr>
        <w:fldChar w:fldCharType="end"/>
      </w:r>
      <w:r w:rsidR="000172A4">
        <w:rPr>
          <w:rFonts w:ascii="Calibri" w:hAnsi="Calibri" w:cs="Arial"/>
        </w:rPr>
        <w:t xml:space="preserve">, if not more endocytic mechanisms </w:t>
      </w:r>
      <w:r w:rsidR="000172A4">
        <w:rPr>
          <w:rFonts w:ascii="Calibri" w:hAnsi="Calibri" w:cs="Arial"/>
        </w:rPr>
        <w:fldChar w:fldCharType="begin" w:fldLock="1"/>
      </w:r>
      <w:r w:rsidR="000172A4">
        <w:rPr>
          <w:rFonts w:ascii="Calibri" w:hAnsi="Calibri" w:cs="Arial"/>
        </w:rPr>
        <w:instrText>ADDIN CSL_CITATION { "citationItems" : [ { "id" : "ITEM-1", "itemData" : { "DOI" : "10.1021/bc200377d", "ISSN" : "1520-4812", "PMID" : "21992697", "abstract" : "Significant progress is being made concerning the development of oligonucleotides as therapeutic agents. Studies with antisense, siRNA, and other forms of oligonucleotides have shown promise in cellular and animal models and in some clinical studies. Nonetheless, our understanding of how oligonucleotides function in cells and tissues is really quite limited. One major issue concerns the modes of uptake and intracellular trafficking of oligonucleotides, whether as \"free\" molecules or linked to various delivery moieties such as nanoparticles or targeting ligands. In this review, we examine the recent literature on oligonucleotide internalization and subcellular trafficking in the context of current insights into the basic machinery for endocytosis and intracellular vesicular traffic.", "author" : [ { "dropping-particle" : "", "family" : "Juliano", "given" : "Rudolph L", "non-dropping-particle" : "", "parse-names" : false, "suffix" : "" }, { "dropping-particle" : "", "family" : "Ming", "given" : "Xin", "non-dropping-particle" : "", "parse-names" : false, "suffix" : "" }, { "dropping-particle" : "", "family" : "Nakagawa", "given" : "Osamu", "non-dropping-particle" : "", "parse-names" : false, "suffix" : "" } ], "container-title" : "Bioconjugate chemistry", "id" : "ITEM-1", "issue" : "2", "issued" : { "date-parts" : [ [ "2012", "3", "15" ] ] }, "page" : "147-57", "title" : "Cellular uptake and intracellular trafficking of antisense and siRNA oligonucleotides.", "type" : "article-journal", "volume" : "23" }, "uris" : [ "http://www.mendeley.com/documents/?uuid=4c99eb4c-078a-4f2b-85ae-228c7c1ab2fb" ] } ], "mendeley" : { "formattedCitation" : "(Juliano, Ming, &amp; Nakagawa, 2012)", "plainTextFormattedCitation" : "(Juliano, Ming, &amp; Nakagawa, 2012)", "previouslyFormattedCitation" : "(Juliano, Ming, &amp; Nakagawa, 2012)" }, "properties" : { "noteIndex" : 0 }, "schema" : "https://github.com/citation-style-language/schema/raw/master/csl-citation.json" }</w:instrText>
      </w:r>
      <w:r w:rsidR="000172A4">
        <w:rPr>
          <w:rFonts w:ascii="Calibri" w:hAnsi="Calibri" w:cs="Arial"/>
        </w:rPr>
        <w:fldChar w:fldCharType="separate"/>
      </w:r>
      <w:r w:rsidR="000172A4" w:rsidRPr="00FC0AE4">
        <w:rPr>
          <w:rFonts w:ascii="Calibri" w:hAnsi="Calibri" w:cs="Arial"/>
          <w:noProof/>
        </w:rPr>
        <w:t>(Juliano, Ming, &amp; Nakagawa, 2012)</w:t>
      </w:r>
      <w:r w:rsidR="000172A4">
        <w:rPr>
          <w:rFonts w:ascii="Calibri" w:hAnsi="Calibri" w:cs="Arial"/>
        </w:rPr>
        <w:fldChar w:fldCharType="end"/>
      </w:r>
      <w:r w:rsidR="006D23AB">
        <w:rPr>
          <w:rFonts w:ascii="Calibri" w:hAnsi="Calibri" w:cs="Arial"/>
        </w:rPr>
        <w:t xml:space="preserve"> although this mechanism is thought to account for only</w:t>
      </w:r>
      <w:r w:rsidR="000172A4">
        <w:rPr>
          <w:rFonts w:ascii="Calibri" w:hAnsi="Calibri" w:cs="Arial"/>
        </w:rPr>
        <w:t xml:space="preserve"> 20% of </w:t>
      </w:r>
      <w:r w:rsidR="006D23AB">
        <w:rPr>
          <w:rFonts w:ascii="Calibri" w:hAnsi="Calibri" w:cs="Arial"/>
        </w:rPr>
        <w:t xml:space="preserve">uptake </w:t>
      </w:r>
      <w:r w:rsidR="000172A4">
        <w:rPr>
          <w:rFonts w:ascii="Calibri" w:hAnsi="Calibri" w:cs="Arial"/>
        </w:rPr>
        <w:fldChar w:fldCharType="begin" w:fldLock="1"/>
      </w:r>
      <w:r w:rsidR="000172A4">
        <w:rPr>
          <w:rFonts w:ascii="Calibri" w:hAnsi="Calibri" w:cs="Arial"/>
        </w:rPr>
        <w:instrText>ADDIN CSL_CITATION { "citationItems" : [ { "id" : "ITEM-1", "itemData" : { "DOI" : "10.1016/j.bcp.2009.04.013", "ISSN" : "1873-2968", "PMID" : "19393225", "abstract" : "The role of dose and plasma concentration on liver tissue uptake and resulting antisense pharmacology using a chemically modified antisense oligonucleotide (ASO) targeting PTEN was assessed in mice. A single bolus s.c. dose of 60 mg/kg in mice showed a time-dependent reduction in liver PTEN mRNA that was maximal at 48-72 h and returned to near control levels by 20 days after administration. These pharmacodynamics are in good agreement with liver concentrations of ASO and are consistent with slow elimination (t(1/2)=8 days) of the PTEN ASO from Balb/C mouse liver. As expected, highest ASO concentrations in liver resulted from the s.c. slow infusion at all doses tested. Unexpectedly, the liver EC(50) for the 24-h s.c. slow infusion was approximately twofold higher than the two bolus routes of administration. Based on plasma concentration analysis it appears that 1-2 microg/mL ASO plasma concentration is a threshold that, if exceeded, results in robust antisense effects and below which there is reduced or complete loss of antisense pharmacology in liver even though bulk uptake in the organ is improved. Co-administration of a nonsense ASO competed for liver uptake, but unexpectedly increased pharmacodynamic response for the active oligonucleotide (ISIS 116847) supporting inhibition of a nonproductive bulk uptake pathway while simultaneously improving productive uptake (pharmacodynamics). This competition effect was similar whether the nonsense oligonucleotide was co-administered with ASO or administered up to 24 h prior to active ASO injection.", "author" : [ { "dropping-particle" : "", "family" : "Geary", "given" : "Richard S", "non-dropping-particle" : "", "parse-names" : false, "suffix" : "" }, { "dropping-particle" : "", "family" : "Wancewicz", "given" : "Ed", "non-dropping-particle" : "", "parse-names" : false, "suffix" : "" }, { "dropping-particle" : "", "family" : "Matson", "given" : "John", "non-dropping-particle" : "", "parse-names" : false, "suffix" : "" }, { "dropping-particle" : "", "family" : "Pearce", "given" : "Megan", "non-dropping-particle" : "", "parse-names" : false, "suffix" : "" }, { "dropping-particle" : "", "family" : "Siwkowski", "given" : "Andrew", "non-dropping-particle" : "", "parse-names" : false, "suffix" : "" }, { "dropping-particle" : "", "family" : "Swayze", "given" : "Eric", "non-dropping-particle" : "", "parse-names" : false, "suffix" : "" }, { "dropping-particle" : "", "family" : "Bennett", "given" : "Frank", "non-dropping-particle" : "", "parse-names" : false, "suffix" : "" } ], "container-title" : "Biochemical pharmacology", "id" : "ITEM-1", "issue" : "3", "issued" : { "date-parts" : [ [ "2009", "8", "1" ] ] }, "page" : "284-91", "title" : "Effect of dose and plasma concentration on liver uptake and pharmacologic activity of a 2'-methoxyethyl modified chimeric antisense oligonucleotide targeting PTEN.", "type" : "article-journal", "volume" : "78" }, "uris" : [ "http://www.mendeley.com/documents/?uuid=821855fb-eeef-472f-a908-e791d64b0457" ] } ], "mendeley" : { "formattedCitation" : "(Geary et al., 2009)", "plainTextFormattedCitation" : "(Geary et al., 2009)", "previouslyFormattedCitation" : "(Geary et al., 2009)" }, "properties" : { "noteIndex" : 0 }, "schema" : "https://github.com/citation-style-language/schema/raw/master/csl-citation.json" }</w:instrText>
      </w:r>
      <w:r w:rsidR="000172A4">
        <w:rPr>
          <w:rFonts w:ascii="Calibri" w:hAnsi="Calibri" w:cs="Arial"/>
        </w:rPr>
        <w:fldChar w:fldCharType="separate"/>
      </w:r>
      <w:r w:rsidR="000172A4" w:rsidRPr="00FC0AE4">
        <w:rPr>
          <w:rFonts w:ascii="Calibri" w:hAnsi="Calibri" w:cs="Arial"/>
          <w:noProof/>
        </w:rPr>
        <w:t>(Geary et al., 2009)</w:t>
      </w:r>
      <w:r w:rsidR="000172A4">
        <w:rPr>
          <w:rFonts w:ascii="Calibri" w:hAnsi="Calibri" w:cs="Arial"/>
        </w:rPr>
        <w:fldChar w:fldCharType="end"/>
      </w:r>
      <w:r w:rsidR="00434E25">
        <w:rPr>
          <w:rFonts w:ascii="Calibri" w:hAnsi="Calibri" w:cs="Arial"/>
        </w:rPr>
        <w:t>. Of note, these antisense</w:t>
      </w:r>
      <w:r w:rsidR="000172A4">
        <w:rPr>
          <w:rFonts w:ascii="Calibri" w:hAnsi="Calibri" w:cs="Arial"/>
        </w:rPr>
        <w:t xml:space="preserve"> were also found to be TLR9 agonists </w:t>
      </w:r>
      <w:r w:rsidR="000172A4">
        <w:rPr>
          <w:rFonts w:ascii="Calibri" w:hAnsi="Calibri" w:cs="Arial"/>
        </w:rPr>
        <w:fldChar w:fldCharType="begin" w:fldLock="1"/>
      </w:r>
      <w:r w:rsidR="000172A4">
        <w:rPr>
          <w:rFonts w:ascii="Calibri" w:hAnsi="Calibri" w:cs="Arial"/>
        </w:rPr>
        <w:instrText>ADDIN CSL_CITATION { "citationItems" : [ { "id" : "ITEM-1", "itemData" : { "DOI" : "10.1038/374546a0", "ISSN" : "0028-0836", "PMID" : "7700380", "abstract" : "Unmethylated CpG dinucleotides are more frequent in the genomes of bacteria and viruses than of vertebrates. We report here that bacterial DNA and synthetic oligodeoxynucleotides containing unmethylated CpG dinucleotides induce murine B cells to proliferate and secrete immunoglobulin in vitro and in vivo. This activation is enhanced by simultaneous signals delivered through the antigen receptor. Optimal B-cell activation requires a DNA motif in which an unmethylated CpG dinucleotide is flanked by two 5' purines and two 3' pyrimidines. Oligodeoxynucleotides containing this CpG motif induce more than 95% of all spleen B cells to enter the cell cycle. These data suggest a possible evolutionary link between immune defence based on the recognition of microbial DNA and the phenomenon of 'CpG suppression' in vertebrates. The potent immune activation by CpG oligonucleotides has implications for the design and interpretation of studies using 'antisense' oligonucleotides and points to possible new applications as adjuvants.", "author" : [ { "dropping-particle" : "", "family" : "Krieg", "given" : "Arthur M.", "non-dropping-particle" : "", "parse-names" : false, "suffix" : "" }, { "dropping-particle" : "", "family" : "Yi", "given" : "Ae-Kyung", "non-dropping-particle" : "", "parse-names" : false, "suffix" : "" }, { "dropping-particle" : "", "family" : "Matson", "given" : "Sara", "non-dropping-particle" : "", "parse-names" : false, "suffix" : "" }, { "dropping-particle" : "", "family" : "Waldschmidt", "given" : "Thomas J.", "non-dropping-particle" : "", "parse-names" : false, "suffix" : "" }, { "dropping-particle" : "", "family" : "Bishop", "given" : "Gail A.", "non-dropping-particle" : "", "parse-names" : false, "suffix" : "" }, { "dropping-particle" : "", "family" : "Teasdale", "given" : "Rebecca", "non-dropping-particle" : "", "parse-names" : false, "suffix" : "" }, { "dropping-particle" : "", "family" : "Koretzky", "given" : "Gary A.", "non-dropping-particle" : "", "parse-names" : false, "suffix" : "" }, { "dropping-particle" : "", "family" : "Klinman", "given" : "Dennis M.", "non-dropping-particle" : "", "parse-names" : false, "suffix" : "" } ], "container-title" : "Nature", "id" : "ITEM-1", "issue" : "6522", "issued" : { "date-parts" : [ [ "1995", "4", "6" ] ] }, "page" : "546-549", "title" : "CpG motifs in bacterial DNA trigger direct B-cell activation", "type" : "article-journal", "volume" : "374" }, "uris" : [ "http://www.mendeley.com/documents/?uuid=fd81ec6a-ef76-401d-833b-8c600b445233" ] }, { "id" : "ITEM-2", "itemData" : { "DOI" : "10.1002/eji.200425218", "ISSN" : "0014-2980", "PMID" : "15307186", "abstract" : "Toll-like receptors (TLR) recognize bacterial and viral components, but direct interaction of receptor and ligand is unclear. Here, we demonstrate that TLR9 binds directly and sequence-specifically to single-stranded unmethylated CpG-DNA containing a phosphodiester backbone. TLR9-CpG-DNA interaction occurs at the acidic pH (6.5-5.0) found in endosomes and lysosomes. By sequence comparison we identified a potential CpG-DNA binding domain homologous to that described for methyl-CpG-DNA binding proteins. Amino acid substitutions in this region abrogated CpG-DNA binding and led to loss of NF-kappaB activation. Furthermore, chloroquine and quinacrine, therapeutic agents for autoimmune diseases like rheumatoid arthritis and systemic lupus erythematosus, directly blocked TLR9-CpG-DNA interaction but not TLR2-Pam3Cys binding. Our results demonstrate direct binding of TLR9 to CpG-DNA and suggest that the therapeutic activity of chloroquine and quinacrine in autoimmune diseases may be due to its activity as a TLR9 antagonist and inhibitor of endosomal acidification.", "author" : [ { "dropping-particle" : "", "family" : "Rutz", "given" : "Mark", "non-dropping-particle" : "", "parse-names" : false, "suffix" : "" }, { "dropping-particle" : "", "family" : "Metzger", "given" : "Jochen", "non-dropping-particle" : "", "parse-names" : false, "suffix" : "" }, { "dropping-particle" : "", "family" : "Gellert", "given" : "Tanja", "non-dropping-particle" : "", "parse-names" : false, "suffix" : "" }, { "dropping-particle" : "", "family" : "Luppa", "given" : "Peter", "non-dropping-particle" : "", "parse-names" : false, "suffix" : "" }, { "dropping-particle" : "", "family" : "Lipford", "given" : "Grayson B", "non-dropping-particle" : "", "parse-names" : false, "suffix" : "" }, { "dropping-particle" : "", "family" : "Wagner", "given" : "Hermann", "non-dropping-particle" : "", "parse-names" : false, "suffix" : "" }, { "dropping-particle" : "", "family" : "Bauer", "given" : "Stefan", "non-dropping-particle" : "", "parse-names" : false, "suffix" : "" } ], "container-title" : "European journal of immunology", "id" : "ITEM-2", "issue" : "9", "issued" : { "date-parts" : [ [ "2004", "9" ] ] }, "page" : "2541-50", "title" : "Toll-like receptor 9 binds single-stranded CpG-DNA in a sequence- and pH-dependent manner.", "type" : "article-journal", "volume" : "34" }, "uris" : [ "http://www.mendeley.com/documents/?uuid=9464734d-acce-405e-8a97-b64a5f76609d" ] } ], "mendeley" : { "formattedCitation" : "(Krieg et al., 1995; Rutz et al., 2004)", "plainTextFormattedCitation" : "(Krieg et al., 1995; Rutz et al., 2004)", "previouslyFormattedCitation" : "(Krieg et al., 1995; Rutz et al., 2004)" }, "properties" : { "noteIndex" : 0 }, "schema" : "https://github.com/citation-style-language/schema/raw/master/csl-citation.json" }</w:instrText>
      </w:r>
      <w:r w:rsidR="000172A4">
        <w:rPr>
          <w:rFonts w:ascii="Calibri" w:hAnsi="Calibri" w:cs="Arial"/>
        </w:rPr>
        <w:fldChar w:fldCharType="separate"/>
      </w:r>
      <w:r w:rsidR="000172A4" w:rsidRPr="0098340B">
        <w:rPr>
          <w:rFonts w:ascii="Calibri" w:hAnsi="Calibri" w:cs="Arial"/>
          <w:noProof/>
        </w:rPr>
        <w:t>(Krieg et al., 1995; Rutz et al., 2004)</w:t>
      </w:r>
      <w:r w:rsidR="000172A4">
        <w:rPr>
          <w:rFonts w:ascii="Calibri" w:hAnsi="Calibri" w:cs="Arial"/>
        </w:rPr>
        <w:fldChar w:fldCharType="end"/>
      </w:r>
      <w:r w:rsidR="006D23AB">
        <w:rPr>
          <w:rFonts w:ascii="Calibri" w:hAnsi="Calibri" w:cs="Arial"/>
        </w:rPr>
        <w:t xml:space="preserve"> (Table 1) and demonstrated a </w:t>
      </w:r>
      <w:r w:rsidR="006D23AB" w:rsidRPr="000A71C1">
        <w:rPr>
          <w:rFonts w:ascii="Calibri" w:hAnsi="Calibri" w:cs="Arial"/>
        </w:rPr>
        <w:t xml:space="preserve">propensity for complement activation </w:t>
      </w:r>
      <w:r w:rsidR="006D23AB" w:rsidRPr="000A71C1">
        <w:rPr>
          <w:rFonts w:ascii="Calibri" w:hAnsi="Calibri" w:cs="Arial"/>
        </w:rPr>
        <w:fldChar w:fldCharType="begin" w:fldLock="1"/>
      </w:r>
      <w:r w:rsidR="006D23AB" w:rsidRPr="000A71C1">
        <w:rPr>
          <w:rFonts w:ascii="Calibri" w:hAnsi="Calibri" w:cs="Arial"/>
        </w:rPr>
        <w:instrText>ADDIN CSL_CITATION { "citationItems" : [ { "id" : "ITEM-1", "itemData" : { "ISSN" : "0022-3565", "PMID" : "9152389", "abstract" : "Intravenous infusion of high doses of phosphorothioate oligonucleotides in monkeys has been associated with transient alterations in hematologic and hemodynamic parameters, which appear to be secondary to complement activation. ISIS 2302, a phosphorothioate oligonucleotide specific for human intracellular adhesion molecule-1, was used to further characterize complement activation in monkeys. Complement activation occurred selectively through the alternative pathway resulting in increased plasma concentrations of the complement split products Bb, C3a and C5a. Marked fluctuations in circulating neutrophil counts and reductions in cardiac output were closely associated with peak production of anaphylatoxins C3a and C5a. Changing both dose and infusion duration revealed that complement activation is related to plasma levels of oligonucleotide, and that there is a minimum threshold concentration of approximately 50 micrograms/ml of ISIS 2302 that is required to activate complement. Dose regimens in which plasma concentrations do not exceed this threshold do not result in complement activation. Further investigation reveals that plasma concentrations of a key regulatory component of the alternative pathway, Factor H, were also decreased after administration of ISIS 2302. Decreases in Factor H levels are suggestive of a possible mechanism of complement activation. Direct interaction between ISIS 2302 and Factor H was demonstrated in a competition assay, where increasing concentrations of ISIS 2302 eluted Factor H from a heparin-sepharose column. These data demonstrate a clear correlation between plasma oligonucleotide concentrations and complement activation. Interactions between ISIS 2302 and Factor H may lead to activation of the alternative complement pathway.", "author" : [ { "dropping-particle" : "", "family" : "Henry", "given" : "S P", "non-dropping-particle" : "", "parse-names" : false, "suffix" : "" }, { "dropping-particle" : "", "family" : "Giclas", "given" : "P C", "non-dropping-particle" : "", "parse-names" : false, "suffix" : "" }, { "dropping-particle" : "", "family" : "Leeds", "given" : "J", "non-dropping-particle" : "", "parse-names" : false, "suffix" : "" }, { "dropping-particle" : "", "family" : "Pangburn", "given" : "M", "non-dropping-particle" : "", "parse-names" : false, "suffix" : "" }, { "dropping-particle" : "", "family" : "Auletta", "given" : "C", "non-dropping-particle" : "", "parse-names" : false, "suffix" : "" }, { "dropping-particle" : "", "family" : "Levin", "given" : "A A", "non-dropping-particle" : "", "parse-names" : false, "suffix" : "" }, { "dropping-particle" : "", "family" : "Kornbrust", "given" : "D J", "non-dropping-particle" : "", "parse-names" : false, "suffix" : "" } ], "container-title" : "The Journal of pharmacology and experimental therapeutics", "id" : "ITEM-1", "issue" : "2", "issued" : { "date-parts" : [ [ "1997", "5" ] ] }, "page" : "810-6", "title" : "Activation of the alternative pathway of complement by a phosphorothioate oligonucleotide: potential mechanism of action.", "type" : "article-journal", "volume" : "281" }, "uris" : [ "http://www.mendeley.com/documents/?uuid=127ccd46-9828-43d6-b8cf-702156439171" ] }, { "id" : "ITEM-2", "itemData" : { "DOI" : "10.1007/s10637-005-2906-0", "ISSN" : "0167-6997", "PMID" : "16133798", "abstract" : "PURPOSE: A phase I study was performed to determine the maximum tolerated dose (MTD), safety profile and pharmacology of aprinocarsen (ISIS 3521), an antisense oligonucleotide to protein kinase C-alpha, in patients with refractory solid tumors. EXPERIMENTAL DESIGN: Fourteen patients were treated in sequential cohorts of aprinocarsen by 24-hour continuous infusion (CIV), weekly, at doses of 6, 12, 18 and 24 mg/kg. RESULTS: One grade 4 toxicity was observed, transient grade 4 neutropenia at 18 mg/kg. Grade 3 toxicities included neutropenia at 12 mg/kg, fever and hemorrhage at 18 mg/kg, and neutropenia, nausea, and chills at 24 mg/kg. Grade 2 toxicities included thrombocytopenia myalgias, chills, headache, fatigue, fever and nausea/vomiting. Mean prothrombin times and activated partial thromboplastin times (aPTT) increased by 10% and 29% from baseline (p = 0.006 and 0.005). Mean complement split products (Bb and C3a) increased 1.6-fold and 3.6-fold (from p = 0.014 and 0.004, respectively). These changes correlated with dose and were transient with recovery to baseline by day 7. Steady state plasma concentrations (Css) of aprinocarsen were achieved within four hours. Css better described changes in aPTT than dose. Clinical evidence of complement activation was not observed. CONCLUSIONS: In contrast to 21-day protracted infusion schedules, delivery of aprinocarsen over a 24-hour infusion schedule showed concentration-dependent effects on coagulation and complement, which are consistent with nonclinical toxicology studies performed in the phosphorothioate DNA antisense drug class. These coagulation and complement changes resulted in a maximum tolerated dose 24 mg/kg.", "author" : [ { "dropping-particle" : "", "family" : "Advani", "given" : "Ranjana", "non-dropping-particle" : "", "parse-names" : false, "suffix" : "" }, { "dropping-particle" : "", "family" : "Lum", "given" : "Bert L", "non-dropping-particle" : "", "parse-names" : false, "suffix" : "" }, { "dropping-particle" : "", "family" : "Fisher", "given" : "George A", "non-dropping-particle" : "", "parse-names" : false, "suffix" : "" }, { "dropping-particle" : "", "family" : "Halsey", "given" : "Joanne", "non-dropping-particle" : "", "parse-names" : false, "suffix" : "" }, { "dropping-particle" : "", "family" : "Geary", "given" : "Richard S", "non-dropping-particle" : "", "parse-names" : false, "suffix" : "" }, { "dropping-particle" : "", "family" : "Holmlund", "given" : "Jon T", "non-dropping-particle" : "", "parse-names" : false, "suffix" : "" }, { "dropping-particle" : "", "family" : "Kwoh", "given" : "T Jesse", "non-dropping-particle" : "", "parse-names" : false, "suffix" : "" }, { "dropping-particle" : "", "family" : "Dorr", "given" : "F Andrew", "non-dropping-particle" : "", "parse-names" : false, "suffix" : "" }, { "dropping-particle" : "", "family" : "Sikic", "given" : "Branimir I", "non-dropping-particle" : "", "parse-names" : false, "suffix" : "" } ], "container-title" : "Investigational new drugs", "id" : "ITEM-2", "issue" : "5", "issued" : { "date-parts" : [ [ "2005", "10" ] ] }, "page" : "467-77", "title" : "A phase I trial of aprinocarsen (ISIS 3521/LY900003), an antisense inhibitor of protein kinase C-alpha administered as a 24-hour weekly infusion schedule in patients with advanced cancer.", "type" : "article-journal", "volume" : "23" }, "uris" : [ "http://www.mendeley.com/documents/?uuid=9e646245-ac52-4e9b-99d5-892503798845" ] } ], "mendeley" : { "formattedCitation" : "(Advani et al., 2005; Henry et al., 1997)", "plainTextFormattedCitation" : "(Advani et al., 2005; Henry et al., 1997)", "previouslyFormattedCitation" : "(Advani et al., 2005; Henry et al., 1997)" }, "properties" : { "noteIndex" : 0 }, "schema" : "https://github.com/citation-style-language/schema/raw/master/csl-citation.json" }</w:instrText>
      </w:r>
      <w:r w:rsidR="006D23AB" w:rsidRPr="000A71C1">
        <w:rPr>
          <w:rFonts w:ascii="Calibri" w:hAnsi="Calibri" w:cs="Arial"/>
        </w:rPr>
        <w:fldChar w:fldCharType="separate"/>
      </w:r>
      <w:r w:rsidR="006D23AB" w:rsidRPr="000A71C1">
        <w:rPr>
          <w:rFonts w:ascii="Calibri" w:hAnsi="Calibri" w:cs="Arial"/>
          <w:noProof/>
        </w:rPr>
        <w:t>(Advani et al., 2005; Henry et al., 1997)</w:t>
      </w:r>
      <w:r w:rsidR="006D23AB" w:rsidRPr="000A71C1">
        <w:rPr>
          <w:rFonts w:ascii="Calibri" w:hAnsi="Calibri" w:cs="Arial"/>
        </w:rPr>
        <w:fldChar w:fldCharType="end"/>
      </w:r>
    </w:p>
    <w:p w14:paraId="2FAC146C" w14:textId="77777777" w:rsidR="000172A4" w:rsidRDefault="000172A4" w:rsidP="005837A4">
      <w:pPr>
        <w:spacing w:line="480" w:lineRule="auto"/>
      </w:pPr>
    </w:p>
    <w:p w14:paraId="2B7656C6" w14:textId="7B32C8E6" w:rsidR="00B67435" w:rsidRPr="00B67435" w:rsidRDefault="00787897" w:rsidP="005837A4">
      <w:pPr>
        <w:pStyle w:val="Heading3"/>
      </w:pPr>
      <w:r>
        <w:t>2.1.2</w:t>
      </w:r>
      <w:r w:rsidR="004C40DB">
        <w:tab/>
      </w:r>
      <w:r w:rsidR="00B67435" w:rsidRPr="00B67435">
        <w:t>Second Generation Antisense</w:t>
      </w:r>
      <w:r w:rsidR="00C045FB">
        <w:t>.</w:t>
      </w:r>
    </w:p>
    <w:p w14:paraId="305C836B" w14:textId="350DC1A6" w:rsidR="00B93A7F" w:rsidRDefault="00434E25" w:rsidP="005837A4">
      <w:pPr>
        <w:spacing w:line="480" w:lineRule="auto"/>
        <w:jc w:val="both"/>
        <w:rPr>
          <w:rFonts w:ascii="Calibri" w:hAnsi="Calibri" w:cs="Arial"/>
        </w:rPr>
      </w:pPr>
      <w:r>
        <w:rPr>
          <w:rFonts w:ascii="Calibri" w:hAnsi="Calibri" w:cs="Arial"/>
        </w:rPr>
        <w:t>The second generation of antisense</w:t>
      </w:r>
      <w:r w:rsidR="006D29D0">
        <w:rPr>
          <w:rFonts w:ascii="Calibri" w:hAnsi="Calibri" w:cs="Arial"/>
        </w:rPr>
        <w:t xml:space="preserve"> involved</w:t>
      </w:r>
      <w:r w:rsidR="000113BF">
        <w:rPr>
          <w:rFonts w:ascii="Calibri" w:hAnsi="Calibri" w:cs="Arial"/>
        </w:rPr>
        <w:t xml:space="preserve"> a cadre of chemical</w:t>
      </w:r>
      <w:r w:rsidR="006D29D0">
        <w:rPr>
          <w:rFonts w:ascii="Calibri" w:hAnsi="Calibri" w:cs="Arial"/>
        </w:rPr>
        <w:t xml:space="preserve"> modifications of </w:t>
      </w:r>
      <w:r w:rsidR="007D2C1C">
        <w:rPr>
          <w:rFonts w:ascii="Calibri" w:hAnsi="Calibri" w:cs="Arial"/>
        </w:rPr>
        <w:t xml:space="preserve">the </w:t>
      </w:r>
      <w:r>
        <w:rPr>
          <w:rFonts w:ascii="Calibri" w:hAnsi="Calibri" w:cs="Arial"/>
        </w:rPr>
        <w:t xml:space="preserve">2’ </w:t>
      </w:r>
      <w:r w:rsidR="007D2C1C">
        <w:rPr>
          <w:rFonts w:ascii="Calibri" w:hAnsi="Calibri" w:cs="Arial"/>
        </w:rPr>
        <w:t xml:space="preserve">ribose </w:t>
      </w:r>
      <w:r>
        <w:rPr>
          <w:rFonts w:ascii="Calibri" w:hAnsi="Calibri" w:cs="Arial"/>
        </w:rPr>
        <w:t>position</w:t>
      </w:r>
      <w:r w:rsidR="00551275">
        <w:rPr>
          <w:rFonts w:ascii="Calibri" w:hAnsi="Calibri" w:cs="Arial"/>
        </w:rPr>
        <w:t xml:space="preserve"> at seemingly random locations on the sequence</w:t>
      </w:r>
      <w:r>
        <w:rPr>
          <w:rFonts w:ascii="Calibri" w:hAnsi="Calibri" w:cs="Arial"/>
        </w:rPr>
        <w:t xml:space="preserve"> </w:t>
      </w:r>
      <w:r w:rsidR="00A81A41">
        <w:rPr>
          <w:rFonts w:ascii="Calibri" w:hAnsi="Calibri" w:cs="Arial"/>
        </w:rPr>
        <w:t xml:space="preserve">(Fig. </w:t>
      </w:r>
      <w:r w:rsidR="00C5768B">
        <w:rPr>
          <w:rFonts w:ascii="Calibri" w:hAnsi="Calibri" w:cs="Arial"/>
        </w:rPr>
        <w:t>3</w:t>
      </w:r>
      <w:r w:rsidR="00A81A41">
        <w:rPr>
          <w:rFonts w:ascii="Calibri" w:hAnsi="Calibri" w:cs="Arial"/>
        </w:rPr>
        <w:t>B</w:t>
      </w:r>
      <w:r w:rsidR="00C53CDB">
        <w:rPr>
          <w:rFonts w:ascii="Calibri" w:hAnsi="Calibri" w:cs="Arial"/>
        </w:rPr>
        <w:t>, 4B</w:t>
      </w:r>
      <w:r w:rsidR="002F35E5">
        <w:rPr>
          <w:rFonts w:ascii="Calibri" w:hAnsi="Calibri" w:cs="Arial"/>
        </w:rPr>
        <w:t>; mixomers</w:t>
      </w:r>
      <w:r w:rsidR="00A81A41">
        <w:rPr>
          <w:rFonts w:ascii="Calibri" w:hAnsi="Calibri" w:cs="Arial"/>
        </w:rPr>
        <w:t>)</w:t>
      </w:r>
      <w:r w:rsidR="007D2C1C">
        <w:rPr>
          <w:rFonts w:ascii="Calibri" w:hAnsi="Calibri" w:cs="Arial"/>
        </w:rPr>
        <w:t>, or the development of entirely novel backbone structures resistant to nuclease activity, such as</w:t>
      </w:r>
      <w:r w:rsidR="009015F5">
        <w:rPr>
          <w:rFonts w:ascii="Calibri" w:hAnsi="Calibri" w:cs="Arial"/>
        </w:rPr>
        <w:t xml:space="preserve"> </w:t>
      </w:r>
      <w:r w:rsidR="00A81A41" w:rsidRPr="00063133">
        <w:rPr>
          <w:rFonts w:ascii="Calibri" w:hAnsi="Calibri" w:cs="Arial"/>
        </w:rPr>
        <w:t xml:space="preserve">phosphorodiamidate morpholinos </w:t>
      </w:r>
      <w:r w:rsidR="00A81A41">
        <w:rPr>
          <w:rFonts w:ascii="Calibri" w:hAnsi="Calibri" w:cs="Arial"/>
        </w:rPr>
        <w:t xml:space="preserve">(PMO) </w:t>
      </w:r>
      <w:r w:rsidR="00A81A41" w:rsidRPr="00063133">
        <w:rPr>
          <w:rFonts w:ascii="Calibri" w:hAnsi="Calibri" w:cs="Arial"/>
        </w:rPr>
        <w:t>and peptide nucleic acids</w:t>
      </w:r>
      <w:r w:rsidR="00A81A41">
        <w:rPr>
          <w:rFonts w:ascii="Calibri" w:hAnsi="Calibri" w:cs="Arial"/>
        </w:rPr>
        <w:t xml:space="preserve"> (PNA; Fig. </w:t>
      </w:r>
      <w:r w:rsidR="00C5768B">
        <w:rPr>
          <w:rFonts w:ascii="Calibri" w:hAnsi="Calibri" w:cs="Arial"/>
        </w:rPr>
        <w:t>3</w:t>
      </w:r>
      <w:r w:rsidR="00A81A41">
        <w:rPr>
          <w:rFonts w:ascii="Calibri" w:hAnsi="Calibri" w:cs="Arial"/>
        </w:rPr>
        <w:t xml:space="preserve">A). </w:t>
      </w:r>
      <w:r w:rsidR="009015F5">
        <w:rPr>
          <w:rFonts w:ascii="Calibri" w:hAnsi="Calibri" w:cs="Arial"/>
        </w:rPr>
        <w:t xml:space="preserve">In </w:t>
      </w:r>
      <w:r w:rsidR="009015F5">
        <w:rPr>
          <w:rFonts w:ascii="Calibri" w:hAnsi="Calibri" w:cs="Arial"/>
        </w:rPr>
        <w:lastRenderedPageBreak/>
        <w:t>many cases, although these modifications greatly increased the binding affinity of the ASO for its target RNA, this often coincided with the loss of RNase</w:t>
      </w:r>
      <w:r w:rsidR="00551275">
        <w:rPr>
          <w:rFonts w:ascii="Calibri" w:hAnsi="Calibri" w:cs="Arial"/>
        </w:rPr>
        <w:t xml:space="preserve"> </w:t>
      </w:r>
      <w:r w:rsidR="009015F5">
        <w:rPr>
          <w:rFonts w:ascii="Calibri" w:hAnsi="Calibri" w:cs="Arial"/>
        </w:rPr>
        <w:t>H activity</w:t>
      </w:r>
      <w:r w:rsidR="00B93A7F">
        <w:rPr>
          <w:rFonts w:ascii="Calibri" w:hAnsi="Calibri" w:cs="Arial"/>
        </w:rPr>
        <w:t xml:space="preserve">, as RNase H cleaves 8-12 bases from the 3’ end of the ASO </w:t>
      </w:r>
      <w:r w:rsidR="00B93A7F">
        <w:rPr>
          <w:rFonts w:ascii="Calibri" w:hAnsi="Calibri" w:cs="Arial"/>
        </w:rPr>
        <w:fldChar w:fldCharType="begin" w:fldLock="1"/>
      </w:r>
      <w:r w:rsidR="00B93A7F">
        <w:rPr>
          <w:rFonts w:ascii="Calibri" w:hAnsi="Calibri" w:cs="Arial"/>
        </w:rPr>
        <w:instrText>ADDIN CSL_CITATION { "citationItems" : [ { "id" : "ITEM-1", "itemData" : { "ISSN" : "0006-3002", "PMID" : "10806995", "abstract" : "Given the progress reported during the past decade, a wide range of chemical modifications may be incorporated into potential antisense drugs. These modifications may influence all the properties of these molecules, including mechanism of action. DNA-like antisense drugs have been shown to serve as substrates when bound to target RNAs for RNase Hs. These enzymes cleave the RNA in RNA/DNA duplexes and now the human enzymes have been cloned and characterized. A number of mechanisms other than RNase H have also been reported for non-DNA-like antisense drugs. For example, activation of splicing, inhibition of 5'-cap formation, translation arrest and activation of double strand RNases have all been shown to be potential mechanisms. Thus, there is a growing repertoire of potential mechanisms of action from which to choose, and a range of modified oligonucleotides to match to the desired mechanism. Further, we are beginning to understand the various mechanisms in more detail. These insights, coupled with the ability to rapidly evaluate activities of antisense drugs under well-controlled rapid throughput systems, suggest that we will make more rapid progress in identifying new mechanisms, developing detailed understanding of each mechanism and creating oligonucleotides that better predict what sites in an RNA are most amenable to antisense drugs of various chemical classes.", "author" : [ { "dropping-particle" : "", "family" : "Crooke", "given" : "S T", "non-dropping-particle" : "", "parse-names" : false, "suffix" : "" } ], "container-title" : "Biochimica et biophysica acta", "id" : "ITEM-1", "issue" : "1", "issued" : { "date-parts" : [ [ "1999", "12", "10" ] ] }, "page" : "31-44", "title" : "Molecular mechanisms of action of antisense drugs.", "type" : "article-journal", "volume" : "1489" }, "uris" : [ "http://www.mendeley.com/documents/?uuid=79d75ed2-80c2-4ed5-acac-749fbf37b536" ] }, { "id" : "ITEM-2", "itemData" : { "DOI" : "10.1111/j.1742-4658.2009.06908.x", "ISSN" : "1742-4658", "PMID" : "19228196", "abstract" : "Ribonucleases H are enzymes that cleave the RNA of RNA/DNA hybrids that form during replication and repair and which could lead to DNA instability if they were not processed. There are two main types of RNase H, and at least one of them is present in most organisms. Eukaryotic RNases H are larger and more complex than their prokaryotic counterparts. Eukaryotic RNase H1 has acquired a hybrid binding domain that confers processivity and affinity for the substrate, whereas eukaryotic RNase H2 is composed of three different proteins: the catalytic subunit (2A), similar to the monomeric prokaryotic RNase HII, and two other subunits (2B and 2C) that have no prokaryotic counterparts and as yet unknown functions, but that are necessary for catalysis. In this minireview, we discuss some of the most recent findings on eukaryotic RNases H1 and H2, focusing on the structural data on complexes between human RNase H1 and RNA/DNA hybrids that had provided great detail of how the hybrid binding- and RNase H-domains recognize and cleave the RNA strand of the hybrid substrates. We also describe the progress made in understanding the in vivo function of eukaryotic RNases H. Although prokayotes and some single-cell eukaryotes do not require RNases H for viability, in higher eukaryotes RNases H are essential. Rnaseh1 null mice arrest development around E8.5 because RNase H1 is necessary during embryogenesis for mitochondrial DNA replication. Mutations in any of the three subunits of human RNase H2 cause Aicardi-Gouti\u00e8res syndrome, a human neurological disorder with devastating consequences.", "author" : [ { "dropping-particle" : "", "family" : "Cerritelli", "given" : "Susana M", "non-dropping-particle" : "", "parse-names" : false, "suffix" : "" }, { "dropping-particle" : "", "family" : "Crouch", "given" : "Robert J", "non-dropping-particle" : "", "parse-names" : false, "suffix" : "" } ], "container-title" : "The FEBS journal", "id" : "ITEM-2", "issue" : "6", "issued" : { "date-parts" : [ [ "2009", "3" ] ] }, "page" : "1494-505", "title" : "Ribonuclease H: the enzymes in eukaryotes.", "type" : "article-journal", "volume" : "276" }, "uris" : [ "http://www.mendeley.com/documents/?uuid=8ddccdfb-e4dd-48fb-8c05-b1cd3635eefe" ] }, { "id" : "ITEM-3", "itemData" : { "DOI" : "10.1093/nar/gkv920", "ISSN" : "1362-4962", "PMID" : "26384424", "abstract" : "Antisense oligonucleotides (ASOs) are most commonly designed to reduce targeted RNA via RNase H1-dependent degradation, however kinetic parameters for ASO-mediated targeting and subsequent cleavage and degradation of RNA in living cells are poorly understood. In this manuscript we use an inducible minigene system to determine the time course of ASO activity in the cell. Estimates of the time required for the ASO to enter and traverse the cell, scan the target mRNA, bind the cognate site, recruit RNase H1 and initiate cleavage, are presented in the context of transcription and mRNA processing rates. Data are also presented which indicate that rates for RNase H1-dependent ASO-mediated degradation of the targeted RNAs are different for nuclear-retained versus RNAs exported to the cytoplasm and that the level of RNase H1 in the cell and cellular compartments is limiting to the rate of ASO activity. In both cellular compartments RNase H1 ASOs essentially double the endogenous rates of clearance of the target RNA. Overexpression of Escherichia coli RNase H1 or the presence of multiple cognate sites each further increase the rate of target RNA degradation.", "author" : [ { "dropping-particle" : "", "family" : "Vickers", "given" : "Timothy A", "non-dropping-particle" : "", "parse-names" : false, "suffix" : "" }, { "dropping-particle" : "", "family" : "Crooke", "given" : "Stanley T", "non-dropping-particle" : "", "parse-names" : false, "suffix" : "" } ], "container-title" : "Nucleic acids research", "id" : "ITEM-3", "issue" : "18", "issued" : { "date-parts" : [ [ "2015", "10", "15" ] ] }, "page" : "8955-63", "title" : "The rates of the major steps in the molecular mechanism of RNase H1-dependent antisense oligonucleotide induced degradation of RNA.", "type" : "article-journal", "volume" : "43" }, "uris" : [ "http://www.mendeley.com/documents/?uuid=38cf563d-5609-4fd9-9310-abbe6838780b" ] }, { "id" : "ITEM-4", "itemData" : { "ISSN" : "0021-9258", "PMID" : "10497183", "abstract" : "We have characterized cloned His-tag human RNase H1. The activity of the enzyme exhibited a bell-shaped response to divalent cations and pH. The optimum conditions for catalysis consisted of 1 mM Mg(2+) and pH 7-8. In the presence of Mg(2+), Mn(2+) was inhibitory. Human RNase H1 shares many enzymatic properties with Escherichia coli RNase H1. The human enzyme cleaves RNA in a DNA-RNA duplex resulting in products with 5'-phosphate and 3'-hydroxy termini, can cleave overhanging single strand RNA adjacent to a DNA-RNA duplex, and is unable to cleave substrates in which either the RNA or DNA strand has 2' modifications at the cleavage site. Human RNase H1 binds selectively to \"A-form\"-type duplexes with approximately 10-20-fold greater affinity than that observed for E. coli RNase H1. The human enzyme displays a greater initial rate of cleavage of a heteroduplex-containing RNA-phosphorothioate DNA than an RNA-DNA duplex. Unlike the E. coli enzyme, human RNase H1 displays a strong positional preference for cleavage, i.e. it cleaves between 8 and 12 nucleotides from the 5'-RNA-3'-DNA terminus of the duplex. Within the preferred cleavage site, the enzyme displays modest sequence preference with GU being a preferred dinucleotide. The enzyme is inhibited by single-strand phosphorothioate oligonucleotides and displays no evidence of processivity. The minimum RNA-DNA duplex length that supports cleavage is 6 base pairs, and the minimum RNA-DNA \"gap size\" that supports cleavage is 5 base pairs.", "author" : [ { "dropping-particle" : "", "family" : "Wu", "given" : "H", "non-dropping-particle" : "", "parse-names" : false, "suffix" : "" }, { "dropping-particle" : "", "family" : "Lima", "given" : "W F", "non-dropping-particle" : "", "parse-names" : false, "suffix" : "" }, { "dropping-particle" : "", "family" : "Crooke", "given" : "S T", "non-dropping-particle" : "", "parse-names" : false, "suffix" : "" } ], "container-title" : "The Journal of biological chemistry", "id" : "ITEM-4", "issue" : "40", "issued" : { "date-parts" : [ [ "1999", "10", "1" ] ] }, "page" : "28270-8", "title" : "Properties of cloned and expressed human RNase H1.", "type" : "article-journal", "volume" : "274" }, "uris" : [ "http://www.mendeley.com/documents/?uuid=b2779573-34a8-48b5-845c-2b43a8f59c59" ] } ], "mendeley" : { "formattedCitation" : "(Cerritelli &amp; Crouch, 2009; Crooke, 1999; Vickers &amp; Crooke, 2015; H. Wu, Lima, &amp; Crooke, 1999)", "plainTextFormattedCitation" : "(Cerritelli &amp; Crouch, 2009; Crooke, 1999; Vickers &amp; Crooke, 2015; H. Wu, Lima, &amp; Crooke, 1999)", "previouslyFormattedCitation" : "(Cerritelli &amp; Crouch, 2009; Crooke, 1999; Vickers &amp; Crooke, 2015; H. Wu, Lima, &amp; Crooke, 1999)" }, "properties" : { "noteIndex" : 0 }, "schema" : "https://github.com/citation-style-language/schema/raw/master/csl-citation.json" }</w:instrText>
      </w:r>
      <w:r w:rsidR="00B93A7F">
        <w:rPr>
          <w:rFonts w:ascii="Calibri" w:hAnsi="Calibri" w:cs="Arial"/>
        </w:rPr>
        <w:fldChar w:fldCharType="separate"/>
      </w:r>
      <w:r w:rsidR="00B93A7F" w:rsidRPr="00906B82">
        <w:rPr>
          <w:rFonts w:ascii="Calibri" w:hAnsi="Calibri" w:cs="Arial"/>
          <w:noProof/>
        </w:rPr>
        <w:t>(Cerritelli &amp; Crouch, 2009; Crooke, 1999; Vickers &amp; Crooke, 2015; H. Wu, Lima, &amp; Crooke, 1999)</w:t>
      </w:r>
      <w:r w:rsidR="00B93A7F">
        <w:rPr>
          <w:rFonts w:ascii="Calibri" w:hAnsi="Calibri" w:cs="Arial"/>
        </w:rPr>
        <w:fldChar w:fldCharType="end"/>
      </w:r>
      <w:r w:rsidR="00B93A7F">
        <w:rPr>
          <w:rFonts w:ascii="Calibri" w:hAnsi="Calibri" w:cs="Arial"/>
        </w:rPr>
        <w:t>.</w:t>
      </w:r>
    </w:p>
    <w:p w14:paraId="432F7E2F" w14:textId="77777777" w:rsidR="00551275" w:rsidRDefault="00551275" w:rsidP="005837A4">
      <w:pPr>
        <w:spacing w:line="480" w:lineRule="auto"/>
        <w:jc w:val="both"/>
        <w:rPr>
          <w:rFonts w:ascii="Calibri" w:hAnsi="Calibri" w:cs="Arial"/>
        </w:rPr>
      </w:pPr>
    </w:p>
    <w:p w14:paraId="00EB9823" w14:textId="18AD19D4" w:rsidR="002F35E5" w:rsidRPr="003B1E7B" w:rsidRDefault="00B93A7F" w:rsidP="005837A4">
      <w:pPr>
        <w:spacing w:line="480" w:lineRule="auto"/>
        <w:jc w:val="both"/>
        <w:rPr>
          <w:rFonts w:ascii="Calibri" w:hAnsi="Calibri" w:cs="Arial"/>
        </w:rPr>
      </w:pPr>
      <w:r>
        <w:rPr>
          <w:rFonts w:ascii="Calibri" w:hAnsi="Calibri" w:cs="Arial"/>
        </w:rPr>
        <w:t>Lack of RNase H induction</w:t>
      </w:r>
      <w:r w:rsidR="002F35E5">
        <w:rPr>
          <w:rFonts w:ascii="Calibri" w:hAnsi="Calibri" w:cs="Arial"/>
        </w:rPr>
        <w:t>, however, can be advantageous wher</w:t>
      </w:r>
      <w:r w:rsidR="00E2440E">
        <w:rPr>
          <w:rFonts w:ascii="Calibri" w:hAnsi="Calibri" w:cs="Arial"/>
        </w:rPr>
        <w:t xml:space="preserve">e the mechanism of action </w:t>
      </w:r>
      <w:r w:rsidR="002F35E5">
        <w:rPr>
          <w:rFonts w:ascii="Calibri" w:hAnsi="Calibri" w:cs="Arial"/>
        </w:rPr>
        <w:t>does not require target cleavage, such as exon modulation (splice switching or splice correction) therapy.</w:t>
      </w:r>
      <w:r w:rsidR="000113BF">
        <w:rPr>
          <w:rFonts w:ascii="Calibri" w:hAnsi="Calibri" w:cs="Arial"/>
        </w:rPr>
        <w:t xml:space="preserve"> Interestingly,</w:t>
      </w:r>
      <w:r w:rsidR="002F35E5">
        <w:rPr>
          <w:rFonts w:ascii="Calibri" w:hAnsi="Calibri" w:cs="Arial"/>
        </w:rPr>
        <w:t xml:space="preserve"> </w:t>
      </w:r>
      <w:r w:rsidR="000113BF">
        <w:rPr>
          <w:rFonts w:ascii="Calibri" w:hAnsi="Calibri" w:cs="Arial"/>
        </w:rPr>
        <w:t xml:space="preserve">some mutations in </w:t>
      </w:r>
      <w:r w:rsidR="002F35E5">
        <w:rPr>
          <w:rFonts w:ascii="Calibri" w:hAnsi="Calibri" w:cs="Arial"/>
        </w:rPr>
        <w:t xml:space="preserve">CF </w:t>
      </w:r>
      <w:r w:rsidR="000113BF">
        <w:rPr>
          <w:rFonts w:ascii="Calibri" w:hAnsi="Calibri" w:cs="Arial"/>
        </w:rPr>
        <w:t xml:space="preserve">patients are indeed </w:t>
      </w:r>
      <w:r w:rsidR="002F35E5">
        <w:rPr>
          <w:rFonts w:ascii="Calibri" w:hAnsi="Calibri" w:cs="Arial"/>
        </w:rPr>
        <w:t xml:space="preserve">amenable to splice-switching therapy </w:t>
      </w:r>
      <w:r w:rsidR="000113BF">
        <w:rPr>
          <w:rFonts w:ascii="Calibri" w:hAnsi="Calibri" w:cs="Arial"/>
        </w:rPr>
        <w:t>as evidenced</w:t>
      </w:r>
      <w:r w:rsidR="002F35E5">
        <w:rPr>
          <w:rFonts w:ascii="Calibri" w:hAnsi="Calibri" w:cs="Arial"/>
        </w:rPr>
        <w:t xml:space="preserve"> </w:t>
      </w:r>
      <w:r w:rsidR="002F35E5">
        <w:rPr>
          <w:rFonts w:ascii="Calibri" w:hAnsi="Calibri" w:cs="Arial"/>
          <w:i/>
        </w:rPr>
        <w:t>in vitro</w:t>
      </w:r>
      <w:r w:rsidR="002F35E5">
        <w:rPr>
          <w:rFonts w:ascii="Calibri" w:hAnsi="Calibri" w:cs="Arial"/>
        </w:rPr>
        <w:t xml:space="preserve">. Thus, correct exon splicing has been reported in at least two separate studies modeling distinct genetic backgrounds involving aberrant splicing of </w:t>
      </w:r>
      <w:r w:rsidR="002F35E5" w:rsidRPr="009F262A">
        <w:rPr>
          <w:rFonts w:ascii="Calibri" w:hAnsi="Calibri" w:cs="Arial"/>
          <w:i/>
        </w:rPr>
        <w:t>CFTR</w:t>
      </w:r>
      <w:r w:rsidR="002F35E5">
        <w:rPr>
          <w:rFonts w:ascii="Calibri" w:hAnsi="Calibri" w:cs="Arial"/>
        </w:rPr>
        <w:t xml:space="preserve"> </w:t>
      </w:r>
      <w:r w:rsidR="002F35E5">
        <w:rPr>
          <w:rFonts w:ascii="Calibri" w:hAnsi="Calibri" w:cs="Arial"/>
        </w:rPr>
        <w:fldChar w:fldCharType="begin" w:fldLock="1"/>
      </w:r>
      <w:r w:rsidR="002F35E5">
        <w:rPr>
          <w:rFonts w:ascii="Calibri" w:hAnsi="Calibri" w:cs="Arial"/>
        </w:rPr>
        <w:instrText>ADDIN CSL_CITATION { "citationItems" : [ { "id" : "ITEM-1", "itemData" : { "DOI" : "10.1002/humu.22931", "ISSN" : "1098-1004", "PMID" : "26553470", "abstract" : "Cystic fibrosis (CF), the most common life-threatening genetic disease in Caucasians, is caused by \u223c2,000 different mutations in the CF transmembrane conductance regulator (CFTR) gene. A significant fraction of these (\u223c13%) affect pre-mRNA splicing for which novel therapies have been somewhat neglected. We have previously described the effect of the CFTR splicing mutation c.2657+5G&gt;A in IVS16, showing that it originates transcripts lacking exon 16 as well as wild-type transcripts. Here, we tested an RNA-based antisense oligonucleotide (AON) strategy to correct the aberrant splicing caused by this mutation. Two AONs (AON1/2) complementary to the pre-mRNA IVS16 mutant region were designed and their effect on splicing was assessed at the RNA and protein levels, on intracellular protein localization and function. To this end, we used the 2657+5G&gt;A mutant CFTR minigene stably expressed in HEK293 Flp-In cells that express a single copy of the transgene. RNA data from AON1-treated mutant cells show that exon 16 inclusion was almost completely restored (to 95%), also resulting in increased levels of correctly localized CFTR protein at the plasma membrane (PM) and with increased function. A novel two-color CFTR splicing reporter minigene developed here allowed the quantitative monitoring of splicing by automated microscopy localization of CFTR at the PM. The AON strategy is thus a promising therapeutic approach for the specific correction of alternative splicing.", "author" : [ { "dropping-particle" : "", "family" : "Igreja", "given" : "Susana", "non-dropping-particle" : "", "parse-names" : false, "suffix" : "" }, { "dropping-particle" : "", "family" : "Clarke", "given" : "Luka A", "non-dropping-particle" : "", "parse-names" : false, "suffix" : "" }, { "dropping-particle" : "", "family" : "Botelho", "given" : "Hugo M", "non-dropping-particle" : "", "parse-names" : false, "suffix" : "" }, { "dropping-particle" : "", "family" : "Marques", "given" : "Lu\u00eds", "non-dropping-particle" : "", "parse-names" : false, "suffix" : "" }, { "dropping-particle" : "", "family" : "Amaral", "given" : "Margarida D", "non-dropping-particle" : "", "parse-names" : false, "suffix" : "" } ], "container-title" : "Human mutation", "id" : "ITEM-1", "issued" : { "date-parts" : [ [ "2015", "11", "10" ] ] }, "title" : "Correction of a Cystic Fibrosis Splicing Mutation by Antisense Oligonucleotides.", "type" : "article-journal" }, "uris" : [ "http://www.mendeley.com/documents/?uuid=2a108c10-861d-48dc-bb3c-8489583953f7" ] }, { "id" : "ITEM-2", "itemData" : { "ISSN" : "0021-9258", "PMID" : "10593905", "abstract" : "The CFTR splicing mutation 3849 + 10 kb C --&gt; T creates a novel donor site 10 kilobases (kb) into intron 19 of the gene and is one of the more common splicing mutations that causes cystic fibrosis (CF). It has an elevated prevalence among patients with atypically mild disease and normal sweat electrolytes and is especially prominent in Ashkenazi Jews. This class of splicing mutations, reported in several genes, involves novel splice sites activated deep within introns while leaving wild-type splice elements intact. CFTR cDNA constructs that modeled the 3849 + 10 kb C --&gt; T mutation were expressed in 3T3 mouse fibroblasts and in CFT1 human tracheal and C127 mouse mammary epithelial cells. In all three cell types, aberrant splicing of CFTR pre-mRNA was comparable to that reported in vivo in CF patients. Treatment of the cells with 2'-O-methyl phosphorothioate oligoribonucleotides antisense toward the aberrant donor and acceptor splice sites or to the retained exon-like sequence, disfavored aberrant splicing and enhanced normal processing of CFTR pre-mRNA. This antisense-mediated correction of splicing was dose- and sequence-dependent and was accompanied by increased production of CFTR protein that was appropriately glycosylated. Antisense-mediated correction of splicing in a mutation-specific context represents a potential gene therapy modality with applicability to many inherited disorders.", "author" : [ { "dropping-particle" : "", "family" : "Friedman", "given" : "K J", "non-dropping-particle" : "", "parse-names" : false, "suffix" : "" }, { "dropping-particle" : "", "family" : "Kole", "given" : "J", "non-dropping-particle" : "", "parse-names" : false, "suffix" : "" }, { "dropping-particle" : "", "family" : "Cohn", "given" : "J A", "non-dropping-particle" : "", "parse-names" : false, "suffix" : "" }, { "dropping-particle" : "", "family" : "Knowles", "given" : "M R", "non-dropping-particle" : "", "parse-names" : false, "suffix" : "" }, { "dropping-particle" : "", "family" : "Silverman", "given" : "L M", "non-dropping-particle" : "", "parse-names" : false, "suffix" : "" }, { "dropping-particle" : "", "family" : "Kole", "given" : "R", "non-dropping-particle" : "", "parse-names" : false, "suffix" : "" } ], "container-title" : "The Journal of biological chemistry", "id" : "ITEM-2", "issue" : "51", "issued" : { "date-parts" : [ [ "1999", "12", "17" ] ] }, "page" : "36193-9", "title" : "Correction of aberrant splicing of the cystic fibrosis transmembrane conductance regulator (CFTR) gene by antisense oligonucleotides.", "type" : "article-journal", "volume" : "274" }, "uris" : [ "http://www.mendeley.com/documents/?uuid=da033689-0e06-4fb8-a650-af6817640954" ] } ], "mendeley" : { "formattedCitation" : "(Friedman et al., 1999; Igreja, Clarke, Botelho, Marques, &amp; Amaral, 2015)", "plainTextFormattedCitation" : "(Friedman et al., 1999; Igreja, Clarke, Botelho, Marques, &amp; Amaral, 2015)", "previouslyFormattedCitation" : "(Friedman et al., 1999; Igreja, Clarke, Botelho, Marques, &amp; Amaral, 2015)" }, "properties" : { "noteIndex" : 0 }, "schema" : "https://github.com/citation-style-language/schema/raw/master/csl-citation.json" }</w:instrText>
      </w:r>
      <w:r w:rsidR="002F35E5">
        <w:rPr>
          <w:rFonts w:ascii="Calibri" w:hAnsi="Calibri" w:cs="Arial"/>
        </w:rPr>
        <w:fldChar w:fldCharType="separate"/>
      </w:r>
      <w:r w:rsidR="002F35E5" w:rsidRPr="00681FDD">
        <w:rPr>
          <w:rFonts w:ascii="Calibri" w:hAnsi="Calibri" w:cs="Arial"/>
          <w:noProof/>
        </w:rPr>
        <w:t>(Friedman et al., 1999; Igreja, Clarke, Botelho, Marques, &amp; Amaral, 2015)</w:t>
      </w:r>
      <w:r w:rsidR="002F35E5">
        <w:rPr>
          <w:rFonts w:ascii="Calibri" w:hAnsi="Calibri" w:cs="Arial"/>
        </w:rPr>
        <w:fldChar w:fldCharType="end"/>
      </w:r>
      <w:r w:rsidR="002F35E5">
        <w:rPr>
          <w:rFonts w:ascii="Calibri" w:hAnsi="Calibri" w:cs="Arial"/>
        </w:rPr>
        <w:t xml:space="preserve">. The therapeutic value of this approach is strongly supported by </w:t>
      </w:r>
      <w:r w:rsidR="000113BF">
        <w:rPr>
          <w:rFonts w:ascii="Calibri" w:hAnsi="Calibri" w:cs="Arial"/>
        </w:rPr>
        <w:t>complementary studies</w:t>
      </w:r>
      <w:r w:rsidR="002F35E5">
        <w:rPr>
          <w:rFonts w:ascii="Calibri" w:hAnsi="Calibri" w:cs="Arial"/>
        </w:rPr>
        <w:t xml:space="preserve"> which involve the overexpression of splicing factors as opposed to use of splice correction oligonucleotides </w:t>
      </w:r>
      <w:r w:rsidR="002F35E5">
        <w:rPr>
          <w:rFonts w:ascii="Calibri" w:hAnsi="Calibri" w:cs="Arial"/>
        </w:rPr>
        <w:fldChar w:fldCharType="begin" w:fldLock="1"/>
      </w:r>
      <w:r w:rsidR="002F35E5">
        <w:rPr>
          <w:rFonts w:ascii="Calibri" w:hAnsi="Calibri" w:cs="Arial"/>
        </w:rPr>
        <w:instrText>ADDIN CSL_CITATION { "citationItems" : [ { "id" : "ITEM-1", "itemData" : { "DOI" : "10.1038/sj.embor.7400273", "ISSN" : "1469-221X", "PMID" : "15472711", "abstract" : "A significant fraction of disease-causing mutations affects pre-mRNA splicing. These mutations can generate both aberrant and correct transcripts, the level of which varies among different patients. An inverse correlation was found between this level and disease severity, suggesting a role for splicing regulation as a genetic modifier. Overexpression of splicing factors increased the level of correctly spliced RNA, transcribed from minigenes carrying disease-causing splicing mutations. However, whether this increase could restore the protein function was unknown. Here, we demonstrate that overexpression of Htra2-beta1 and SC35 increases the level of normal cystic fibrosis transmembrane conductance regulator (CFTR) transcripts in cystic-fibrosis-derived epithelial cells carrying the 3849+10 kb C --&gt; T splicing mutation. This led to activation of the CFTR channel and restoration of its function. Restoration was also obtained by sodium butyrate, a histone deacetylase inhibitor, known to upregulate the expression of splicing factors. These results highlight the therapeutic potential of splicing modulation for genetic diseases caused by splicing mutations.", "author" : [ { "dropping-particle" : "", "family" : "Nissim-Rafinia", "given" : "Malka", "non-dropping-particle" : "", "parse-names" : false, "suffix" : "" }, { "dropping-particle" : "", "family" : "Aviram", "given" : "Micha", "non-dropping-particle" : "", "parse-names" : false, "suffix" : "" }, { "dropping-particle" : "", "family" : "Randell", "given" : "Scott H", "non-dropping-particle" : "", "parse-names" : false, "suffix" : "" }, { "dropping-particle" : "", "family" : "Shushi", "given" : "Liat", "non-dropping-particle" : "", "parse-names" : false, "suffix" : "" }, { "dropping-particle" : "", "family" : "Ozeri", "given" : "Efrat", "non-dropping-particle" : "", "parse-names" : false, "suffix" : "" }, { "dropping-particle" : "", "family" : "Chiba-Falek", "given" : "Ornit", "non-dropping-particle" : "", "parse-names" : false, "suffix" : "" }, { "dropping-particle" : "", "family" : "Eidelman", "given" : "Ofer", "non-dropping-particle" : "", "parse-names" : false, "suffix" : "" }, { "dropping-particle" : "", "family" : "Pollard", "given" : "Harvey B", "non-dropping-particle" : "", "parse-names" : false, "suffix" : "" }, { "dropping-particle" : "", "family" : "Yankaskas", "given" : "James R", "non-dropping-particle" : "", "parse-names" : false, "suffix" : "" }, { "dropping-particle" : "", "family" : "Kerem", "given" : "Batsheva", "non-dropping-particle" : "", "parse-names" : false, "suffix" : "" } ], "container-title" : "EMBO reports", "id" : "ITEM-1", "issue" : "11", "issued" : { "date-parts" : [ [ "2004", "11" ] ] }, "page" : "1071-7", "title" : "Restoration of the cystic fibrosis transmembrane conductance regulator function by splicing modulation.", "type" : "article-journal", "volume" : "5" }, "uris" : [ "http://www.mendeley.com/documents/?uuid=4efb875e-8a19-4955-919e-8abfc187908e" ] } ], "mendeley" : { "formattedCitation" : "(Nissim-Rafinia et al., 2004)", "plainTextFormattedCitation" : "(Nissim-Rafinia et al., 2004)", "previouslyFormattedCitation" : "(Nissim-Rafinia et al., 2004)" }, "properties" : { "noteIndex" : 0 }, "schema" : "https://github.com/citation-style-language/schema/raw/master/csl-citation.json" }</w:instrText>
      </w:r>
      <w:r w:rsidR="002F35E5">
        <w:rPr>
          <w:rFonts w:ascii="Calibri" w:hAnsi="Calibri" w:cs="Arial"/>
        </w:rPr>
        <w:fldChar w:fldCharType="separate"/>
      </w:r>
      <w:r w:rsidR="002F35E5" w:rsidRPr="003B1E7B">
        <w:rPr>
          <w:rFonts w:ascii="Calibri" w:hAnsi="Calibri" w:cs="Arial"/>
          <w:noProof/>
        </w:rPr>
        <w:t>(Nissim-Rafinia et al., 2004)</w:t>
      </w:r>
      <w:r w:rsidR="002F35E5">
        <w:rPr>
          <w:rFonts w:ascii="Calibri" w:hAnsi="Calibri" w:cs="Arial"/>
        </w:rPr>
        <w:fldChar w:fldCharType="end"/>
      </w:r>
      <w:r w:rsidR="002F35E5">
        <w:rPr>
          <w:rFonts w:ascii="Calibri" w:hAnsi="Calibri" w:cs="Arial"/>
        </w:rPr>
        <w:t xml:space="preserve">. </w:t>
      </w:r>
      <w:r w:rsidR="000113BF">
        <w:rPr>
          <w:rFonts w:ascii="Calibri" w:hAnsi="Calibri" w:cs="Arial"/>
        </w:rPr>
        <w:t>There</w:t>
      </w:r>
      <w:r w:rsidR="002F35E5">
        <w:rPr>
          <w:rFonts w:ascii="Calibri" w:hAnsi="Calibri" w:cs="Arial"/>
        </w:rPr>
        <w:t xml:space="preserve"> is </w:t>
      </w:r>
      <w:r w:rsidR="000113BF">
        <w:rPr>
          <w:rFonts w:ascii="Calibri" w:hAnsi="Calibri" w:cs="Arial"/>
        </w:rPr>
        <w:t xml:space="preserve">therefore </w:t>
      </w:r>
      <w:r w:rsidR="002F35E5">
        <w:rPr>
          <w:rFonts w:ascii="Calibri" w:hAnsi="Calibri" w:cs="Arial"/>
        </w:rPr>
        <w:t>scope for expanding the evidence on the mechanistic utility of splice switching therapies in animal models</w:t>
      </w:r>
      <w:r w:rsidR="00551275">
        <w:rPr>
          <w:rFonts w:ascii="Calibri" w:hAnsi="Calibri" w:cs="Arial"/>
        </w:rPr>
        <w:t xml:space="preserve"> relevant to CF disease</w:t>
      </w:r>
      <w:r w:rsidR="002F35E5">
        <w:rPr>
          <w:rFonts w:ascii="Calibri" w:hAnsi="Calibri" w:cs="Arial"/>
        </w:rPr>
        <w:t xml:space="preserve">, provided commercially appealing delivery solutions are pursued.  </w:t>
      </w:r>
    </w:p>
    <w:p w14:paraId="2B7B4D61" w14:textId="6FE009F9" w:rsidR="002F35E5" w:rsidRDefault="002F35E5" w:rsidP="005837A4">
      <w:pPr>
        <w:spacing w:line="480" w:lineRule="auto"/>
        <w:jc w:val="both"/>
        <w:rPr>
          <w:rFonts w:ascii="Calibri" w:hAnsi="Calibri" w:cs="Arial"/>
        </w:rPr>
      </w:pPr>
    </w:p>
    <w:p w14:paraId="3176F76E" w14:textId="3B911E1A" w:rsidR="00A81A41" w:rsidRDefault="009015F5" w:rsidP="005837A4">
      <w:pPr>
        <w:spacing w:line="480" w:lineRule="auto"/>
        <w:jc w:val="both"/>
        <w:rPr>
          <w:rFonts w:ascii="Calibri" w:hAnsi="Calibri" w:cs="Arial"/>
        </w:rPr>
      </w:pPr>
      <w:r>
        <w:rPr>
          <w:rFonts w:ascii="Calibri" w:hAnsi="Calibri" w:cs="Arial"/>
        </w:rPr>
        <w:t>To address th</w:t>
      </w:r>
      <w:r w:rsidR="002F35E5">
        <w:rPr>
          <w:rFonts w:ascii="Calibri" w:hAnsi="Calibri" w:cs="Arial"/>
        </w:rPr>
        <w:t>e mixomer</w:t>
      </w:r>
      <w:r>
        <w:rPr>
          <w:rFonts w:ascii="Calibri" w:hAnsi="Calibri" w:cs="Arial"/>
        </w:rPr>
        <w:t xml:space="preserve"> issue</w:t>
      </w:r>
      <w:r w:rsidR="002F35E5">
        <w:rPr>
          <w:rFonts w:ascii="Calibri" w:hAnsi="Calibri" w:cs="Arial"/>
        </w:rPr>
        <w:t xml:space="preserve"> around loss of RNase H activity</w:t>
      </w:r>
      <w:r w:rsidR="000113BF">
        <w:rPr>
          <w:rFonts w:ascii="Calibri" w:hAnsi="Calibri" w:cs="Arial"/>
        </w:rPr>
        <w:t xml:space="preserve"> in 2</w:t>
      </w:r>
      <w:r w:rsidR="000113BF" w:rsidRPr="0034141D">
        <w:rPr>
          <w:rFonts w:ascii="Calibri" w:hAnsi="Calibri" w:cs="Arial"/>
          <w:vertAlign w:val="superscript"/>
        </w:rPr>
        <w:t>nd</w:t>
      </w:r>
      <w:r w:rsidR="000113BF">
        <w:rPr>
          <w:rFonts w:ascii="Calibri" w:hAnsi="Calibri" w:cs="Arial"/>
        </w:rPr>
        <w:t xml:space="preserve"> generation ASO</w:t>
      </w:r>
      <w:r>
        <w:rPr>
          <w:rFonts w:ascii="Calibri" w:hAnsi="Calibri" w:cs="Arial"/>
        </w:rPr>
        <w:t xml:space="preserve"> attempts were made to </w:t>
      </w:r>
      <w:r w:rsidR="008B0557">
        <w:rPr>
          <w:rFonts w:ascii="Calibri" w:hAnsi="Calibri" w:cs="Arial"/>
        </w:rPr>
        <w:t xml:space="preserve">produce </w:t>
      </w:r>
      <w:r w:rsidR="002F592A">
        <w:rPr>
          <w:rFonts w:ascii="Calibri" w:hAnsi="Calibri" w:cs="Arial"/>
        </w:rPr>
        <w:t xml:space="preserve">so-called </w:t>
      </w:r>
      <w:r w:rsidR="007D2C1C">
        <w:rPr>
          <w:rFonts w:ascii="Calibri" w:hAnsi="Calibri" w:cs="Arial"/>
        </w:rPr>
        <w:t>g</w:t>
      </w:r>
      <w:r w:rsidR="00DF46EC">
        <w:rPr>
          <w:rFonts w:ascii="Calibri" w:hAnsi="Calibri" w:cs="Arial"/>
        </w:rPr>
        <w:t>apmer</w:t>
      </w:r>
      <w:r w:rsidR="002F592A">
        <w:rPr>
          <w:rFonts w:ascii="Calibri" w:hAnsi="Calibri" w:cs="Arial"/>
        </w:rPr>
        <w:t xml:space="preserve"> oligonucleotide</w:t>
      </w:r>
      <w:r w:rsidR="00DF46EC">
        <w:rPr>
          <w:rFonts w:ascii="Calibri" w:hAnsi="Calibri" w:cs="Arial"/>
        </w:rPr>
        <w:t>s</w:t>
      </w:r>
      <w:r w:rsidR="000172A4" w:rsidRPr="00E938F9">
        <w:rPr>
          <w:rFonts w:ascii="Calibri" w:hAnsi="Calibri" w:cs="Arial"/>
        </w:rPr>
        <w:t xml:space="preserve"> </w:t>
      </w:r>
      <w:r w:rsidR="000172A4">
        <w:rPr>
          <w:rFonts w:ascii="Calibri" w:hAnsi="Calibri" w:cs="Arial"/>
        </w:rPr>
        <w:t xml:space="preserve">(Fig. </w:t>
      </w:r>
      <w:r w:rsidR="00C5768B">
        <w:rPr>
          <w:rFonts w:ascii="Calibri" w:hAnsi="Calibri" w:cs="Arial"/>
        </w:rPr>
        <w:t>4</w:t>
      </w:r>
      <w:r w:rsidR="000172A4">
        <w:rPr>
          <w:rFonts w:ascii="Calibri" w:hAnsi="Calibri" w:cs="Arial"/>
        </w:rPr>
        <w:t>B)</w:t>
      </w:r>
      <w:r w:rsidR="002F592A">
        <w:rPr>
          <w:rFonts w:ascii="Calibri" w:hAnsi="Calibri" w:cs="Arial"/>
        </w:rPr>
        <w:t>.</w:t>
      </w:r>
      <w:r w:rsidR="000172A4">
        <w:rPr>
          <w:rFonts w:ascii="Calibri" w:hAnsi="Calibri" w:cs="Arial"/>
        </w:rPr>
        <w:t xml:space="preserve"> </w:t>
      </w:r>
      <w:r w:rsidR="002F592A">
        <w:rPr>
          <w:rFonts w:ascii="Calibri" w:hAnsi="Calibri" w:cs="Arial"/>
        </w:rPr>
        <w:t>These were organized to</w:t>
      </w:r>
      <w:r w:rsidR="008B0557">
        <w:rPr>
          <w:rFonts w:ascii="Calibri" w:hAnsi="Calibri" w:cs="Arial"/>
        </w:rPr>
        <w:t xml:space="preserve"> </w:t>
      </w:r>
      <w:r w:rsidR="002F592A">
        <w:rPr>
          <w:rFonts w:ascii="Calibri" w:hAnsi="Calibri" w:cs="Arial"/>
        </w:rPr>
        <w:t xml:space="preserve">feature </w:t>
      </w:r>
      <w:r w:rsidR="008B0557">
        <w:rPr>
          <w:rFonts w:ascii="Calibri" w:hAnsi="Calibri" w:cs="Arial"/>
        </w:rPr>
        <w:t xml:space="preserve">unmodified 8-12 nt DNA sequences </w:t>
      </w:r>
      <w:r w:rsidR="002F592A">
        <w:rPr>
          <w:rFonts w:ascii="Calibri" w:hAnsi="Calibri" w:cs="Arial"/>
        </w:rPr>
        <w:t xml:space="preserve">at </w:t>
      </w:r>
      <w:r w:rsidR="008B0557">
        <w:rPr>
          <w:rFonts w:ascii="Calibri" w:hAnsi="Calibri" w:cs="Arial"/>
        </w:rPr>
        <w:t>the centre</w:t>
      </w:r>
      <w:r w:rsidR="002F592A">
        <w:rPr>
          <w:rFonts w:ascii="Calibri" w:hAnsi="Calibri" w:cs="Arial"/>
        </w:rPr>
        <w:t>, flanked by</w:t>
      </w:r>
      <w:r w:rsidR="008B0557">
        <w:rPr>
          <w:rFonts w:ascii="Calibri" w:hAnsi="Calibri" w:cs="Arial"/>
        </w:rPr>
        <w:t xml:space="preserve"> modified </w:t>
      </w:r>
      <w:r w:rsidR="005F1F3D">
        <w:rPr>
          <w:rFonts w:ascii="Calibri" w:hAnsi="Calibri" w:cs="Arial"/>
        </w:rPr>
        <w:t xml:space="preserve">nucleosides </w:t>
      </w:r>
      <w:r w:rsidR="008B0557">
        <w:rPr>
          <w:rFonts w:ascii="Calibri" w:hAnsi="Calibri" w:cs="Arial"/>
        </w:rPr>
        <w:t>at the 3’ and 5’ ends</w:t>
      </w:r>
      <w:r w:rsidR="00551275">
        <w:rPr>
          <w:rFonts w:ascii="Calibri" w:hAnsi="Calibri" w:cs="Arial"/>
        </w:rPr>
        <w:t xml:space="preserve"> of the ASO</w:t>
      </w:r>
      <w:r w:rsidR="008B0557">
        <w:rPr>
          <w:rFonts w:ascii="Calibri" w:hAnsi="Calibri" w:cs="Arial"/>
        </w:rPr>
        <w:t xml:space="preserve">. </w:t>
      </w:r>
      <w:r w:rsidR="000172A4">
        <w:rPr>
          <w:rFonts w:ascii="Calibri" w:hAnsi="Calibri" w:cs="Arial"/>
        </w:rPr>
        <w:fldChar w:fldCharType="begin" w:fldLock="1"/>
      </w:r>
      <w:r w:rsidR="00C8187C">
        <w:rPr>
          <w:rFonts w:ascii="Calibri" w:hAnsi="Calibri" w:cs="Arial"/>
        </w:rPr>
        <w:instrText>ADDIN CSL_CITATION { "citationItems" : [ { "id" : "ITEM-1", "itemData" : { "ISSN" : "0006-3002", "PMID" : "10806995", "abstract" : "Given the progress reported during the past decade, a wide range of chemical modifications may be incorporated into potential antisense drugs. These modifications may influence all the properties of these molecules, including mechanism of action. DNA-like antisense drugs have been shown to serve as substrates when bound to target RNAs for RNase Hs. These enzymes cleave the RNA in RNA/DNA duplexes and now the human enzymes have been cloned and characterized. A number of mechanisms other than RNase H have also been reported for non-DNA-like antisense drugs. For example, activation of splicing, inhibition of 5'-cap formation, translation arrest and activation of double strand RNases have all been shown to be potential mechanisms. Thus, there is a growing repertoire of potential mechanisms of action from which to choose, and a range of modified oligonucleotides to match to the desired mechanism. Further, we are beginning to understand the various mechanisms in more detail. These insights, coupled with the ability to rapidly evaluate activities of antisense drugs under well-controlled rapid throughput systems, suggest that we will make more rapid progress in identifying new mechanisms, developing detailed understanding of each mechanism and creating oligonucleotides that better predict what sites in an RNA are most amenable to antisense drugs of various chemical classes.", "author" : [ { "dropping-particle" : "", "family" : "Crooke", "given" : "S T", "non-dropping-particle" : "", "parse-names" : false, "suffix" : "" } ], "container-title" : "Biochimica et biophysica acta", "id" : "ITEM-1", "issue" : "1", "issued" : { "date-parts" : [ [ "1999", "12", "10" ] ] }, "page" : "31-44", "title" : "Molecular mechanisms of action of antisense drugs.", "type" : "article-journal", "volume" : "1489" }, "uris" : [ "http://www.mendeley.com/documents/?uuid=79d75ed2-80c2-4ed5-acac-749fbf37b536" ] }, { "id" : "ITEM-2", "itemData" : { "DOI" : "10.1111/j.1742-4658.2009.06908.x", "ISSN" : "1742-4658", "PMID" : "19228196", "abstract" : "Ribonucleases H are enzymes that cleave the RNA of RNA/DNA hybrids that form during replication and repair and which could lead to DNA instability if they were not processed. There are two main types of RNase H, and at least one of them is present in most organisms. Eukaryotic RNases H are larger and more complex than their prokaryotic counterparts. Eukaryotic RNase H1 has acquired a hybrid binding domain that confers processivity and affinity for the substrate, whereas eukaryotic RNase H2 is composed of three different proteins: the catalytic subunit (2A), similar to the monomeric prokaryotic RNase HII, and two other subunits (2B and 2C) that have no prokaryotic counterparts and as yet unknown functions, but that are necessary for catalysis. In this minireview, we discuss some of the most recent findings on eukaryotic RNases H1 and H2, focusing on the structural data on complexes between human RNase H1 and RNA/DNA hybrids that had provided great detail of how the hybrid binding- and RNase H-domains recognize and cleave the RNA strand of the hybrid substrates. We also describe the progress made in understanding the in vivo function of eukaryotic RNases H. Although prokayotes and some single-cell eukaryotes do not require RNases H for viability, in higher eukaryotes RNases H are essential. Rnaseh1 null mice arrest development around E8.5 because RNase H1 is necessary during embryogenesis for mitochondrial DNA replication. Mutations in any of the three subunits of human RNase H2 cause Aicardi-Gouti\u00e8res syndrome, a human neurological disorder with devastating consequences.", "author" : [ { "dropping-particle" : "", "family" : "Cerritelli", "given" : "Susana M", "non-dropping-particle" : "", "parse-names" : false, "suffix" : "" }, { "dropping-particle" : "", "family" : "Crouch", "given" : "Robert J", "non-dropping-particle" : "", "parse-names" : false, "suffix" : "" } ], "container-title" : "The FEBS journal", "id" : "ITEM-2", "issue" : "6", "issued" : { "date-parts" : [ [ "2009", "3" ] ] }, "page" : "1494-505", "title" : "Ribonuclease H: the enzymes in eukaryotes.", "type" : "article-journal", "volume" : "276" }, "uris" : [ "http://www.mendeley.com/documents/?uuid=8ddccdfb-e4dd-48fb-8c05-b1cd3635eefe" ] }, { "id" : "ITEM-3", "itemData" : { "DOI" : "10.1093/nar/gkv920", "ISSN" : "1362-4962", "PMID" : "26384424", "abstract" : "Antisense oligonucleotides (ASOs) are most commonly designed to reduce targeted RNA via RNase H1-dependent degradation, however kinetic parameters for ASO-mediated targeting and subsequent cleavage and degradation of RNA in living cells are poorly understood. In this manuscript we use an inducible minigene system to determine the time course of ASO activity in the cell. Estimates of the time required for the ASO to enter and traverse the cell, scan the target mRNA, bind the cognate site, recruit RNase H1 and initiate cleavage, are presented in the context of transcription and mRNA processing rates. Data are also presented which indicate that rates for RNase H1-dependent ASO-mediated degradation of the targeted RNAs are different for nuclear-retained versus RNAs exported to the cytoplasm and that the level of RNase H1 in the cell and cellular compartments is limiting to the rate of ASO activity. In both cellular compartments RNase H1 ASOs essentially double the endogenous rates of clearance of the target RNA. Overexpression of Escherichia coli RNase H1 or the presence of multiple cognate sites each further increase the rate of target RNA degradation.", "author" : [ { "dropping-particle" : "", "family" : "Vickers", "given" : "Timothy A", "non-dropping-particle" : "", "parse-names" : false, "suffix" : "" }, { "dropping-particle" : "", "family" : "Crooke", "given" : "Stanley T", "non-dropping-particle" : "", "parse-names" : false, "suffix" : "" } ], "container-title" : "Nucleic acids research", "id" : "ITEM-3", "issue" : "18", "issued" : { "date-parts" : [ [ "2015", "10", "15" ] ] }, "page" : "8955-63", "title" : "The rates of the major steps in the molecular mechanism of RNase H1-dependent antisense oligonucleotide induced degradation of RNA.", "type" : "article-journal", "volume" : "43" }, "uris" : [ "http://www.mendeley.com/documents/?uuid=38cf563d-5609-4fd9-9310-abbe6838780b" ] }, { "id" : "ITEM-4", "itemData" : { "ISSN" : "0021-9258", "PMID" : "10497183", "abstract" : "We have characterized cloned His-tag human RNase H1. The activity of the enzyme exhibited a bell-shaped response to divalent cations and pH. The optimum conditions for catalysis consisted of 1 mM Mg(2+) and pH 7-8. In the presence of Mg(2+), Mn(2+) was inhibitory. Human RNase H1 shares many enzymatic properties with Escherichia coli RNase H1. The human enzyme cleaves RNA in a DNA-RNA duplex resulting in products with 5'-phosphate and 3'-hydroxy termini, can cleave overhanging single strand RNA adjacent to a DNA-RNA duplex, and is unable to cleave substrates in which either the RNA or DNA strand has 2' modifications at the cleavage site. Human RNase H1 binds selectively to \"A-form\"-type duplexes with approximately 10-20-fold greater affinity than that observed for E. coli RNase H1. The human enzyme displays a greater initial rate of cleavage of a heteroduplex-containing RNA-phosphorothioate DNA than an RNA-DNA duplex. Unlike the E. coli enzyme, human RNase H1 displays a strong positional preference for cleavage, i.e. it cleaves between 8 and 12 nucleotides from the 5'-RNA-3'-DNA terminus of the duplex. Within the preferred cleavage site, the enzyme displays modest sequence preference with GU being a preferred dinucleotide. The enzyme is inhibited by single-strand phosphorothioate oligonucleotides and displays no evidence of processivity. The minimum RNA-DNA duplex length that supports cleavage is 6 base pairs, and the minimum RNA-DNA \"gap size\" that supports cleavage is 5 base pairs.", "author" : [ { "dropping-particle" : "", "family" : "Wu", "given" : "H", "non-dropping-particle" : "", "parse-names" : false, "suffix" : "" }, { "dropping-particle" : "", "family" : "Lima", "given" : "W F", "non-dropping-particle" : "", "parse-names" : false, "suffix" : "" }, { "dropping-particle" : "", "family" : "Crooke", "given" : "S T", "non-dropping-particle" : "", "parse-names" : false, "suffix" : "" } ], "container-title" : "The Journal of biological chemistry", "id" : "ITEM-4", "issue" : "40", "issued" : { "date-parts" : [ [ "1999", "10", "1" ] ] }, "page" : "28270-8", "title" : "Properties of cloned and expressed human RNase H1.", "type" : "article-journal", "volume" : "274" }, "uris" : [ "http://www.mendeley.com/documents/?uuid=b2779573-34a8-48b5-845c-2b43a8f59c59" ] } ], "mendeley" : { "formattedCitation" : "(Cerritelli &amp; Crouch, 2009; Crooke, 1999; Vickers &amp; Crooke, 2015; H. Wu et al., 1999)", "plainTextFormattedCitation" : "(Cerritelli &amp; Crouch, 2009; Crooke, 1999; Vickers &amp; Crooke, 2015; H. Wu et al., 1999)", "previouslyFormattedCitation" : "(Cerritelli &amp; Crouch, 2009; Crooke, 1999; Vickers &amp; Crooke, 2015; H. Wu et al., 1999)" }, "properties" : { "noteIndex" : 0 }, "schema" : "https://github.com/citation-style-language/schema/raw/master/csl-citation.json" }</w:instrText>
      </w:r>
      <w:r w:rsidR="000172A4">
        <w:rPr>
          <w:rFonts w:ascii="Calibri" w:hAnsi="Calibri" w:cs="Arial"/>
        </w:rPr>
        <w:fldChar w:fldCharType="separate"/>
      </w:r>
      <w:r w:rsidR="002A25D9" w:rsidRPr="002A25D9">
        <w:rPr>
          <w:rFonts w:ascii="Calibri" w:hAnsi="Calibri" w:cs="Arial"/>
          <w:noProof/>
        </w:rPr>
        <w:t>(Cerritelli &amp; Crouch, 2009; Crooke, 1999; Vickers &amp; Crooke, 2015; H. Wu et al., 1999)</w:t>
      </w:r>
      <w:r w:rsidR="000172A4">
        <w:rPr>
          <w:rFonts w:ascii="Calibri" w:hAnsi="Calibri" w:cs="Arial"/>
        </w:rPr>
        <w:fldChar w:fldCharType="end"/>
      </w:r>
      <w:r w:rsidR="000172A4">
        <w:rPr>
          <w:rFonts w:ascii="Calibri" w:hAnsi="Calibri" w:cs="Arial"/>
        </w:rPr>
        <w:t xml:space="preserve">. </w:t>
      </w:r>
      <w:r w:rsidR="000113BF">
        <w:rPr>
          <w:rFonts w:ascii="Calibri" w:hAnsi="Calibri" w:cs="Arial"/>
        </w:rPr>
        <w:t>A number of these 2</w:t>
      </w:r>
      <w:r w:rsidR="000113BF" w:rsidRPr="0034141D">
        <w:rPr>
          <w:rFonts w:ascii="Calibri" w:hAnsi="Calibri" w:cs="Arial"/>
          <w:vertAlign w:val="superscript"/>
        </w:rPr>
        <w:t>nd</w:t>
      </w:r>
      <w:r w:rsidR="000113BF">
        <w:rPr>
          <w:rFonts w:ascii="Calibri" w:hAnsi="Calibri" w:cs="Arial"/>
        </w:rPr>
        <w:t xml:space="preserve"> generation ASO</w:t>
      </w:r>
      <w:r w:rsidR="00551275">
        <w:rPr>
          <w:rFonts w:ascii="Calibri" w:hAnsi="Calibri" w:cs="Arial"/>
        </w:rPr>
        <w:t>s</w:t>
      </w:r>
      <w:r w:rsidR="000113BF">
        <w:rPr>
          <w:rFonts w:ascii="Calibri" w:hAnsi="Calibri" w:cs="Arial"/>
        </w:rPr>
        <w:t xml:space="preserve"> have been advanced clinicall</w:t>
      </w:r>
      <w:r w:rsidR="00AC29B1">
        <w:rPr>
          <w:rFonts w:ascii="Calibri" w:hAnsi="Calibri" w:cs="Arial"/>
        </w:rPr>
        <w:t>y</w:t>
      </w:r>
      <w:r w:rsidR="00787897">
        <w:rPr>
          <w:rFonts w:ascii="Calibri" w:hAnsi="Calibri" w:cs="Arial"/>
        </w:rPr>
        <w:t xml:space="preserve"> with mixed outcomes </w:t>
      </w:r>
      <w:r w:rsidR="00787897" w:rsidRPr="000D6916">
        <w:rPr>
          <w:rFonts w:ascii="Calibri" w:hAnsi="Calibri" w:cs="Arial"/>
        </w:rPr>
        <w:t>(sec</w:t>
      </w:r>
      <w:r w:rsidR="000D6916" w:rsidRPr="000D6916">
        <w:rPr>
          <w:rFonts w:ascii="Calibri" w:hAnsi="Calibri" w:cs="Arial"/>
        </w:rPr>
        <w:t>t</w:t>
      </w:r>
      <w:r w:rsidR="00787897" w:rsidRPr="000D6916">
        <w:rPr>
          <w:rFonts w:ascii="Calibri" w:hAnsi="Calibri" w:cs="Arial"/>
        </w:rPr>
        <w:t xml:space="preserve">ion </w:t>
      </w:r>
      <w:r w:rsidR="000D6916" w:rsidRPr="000D6916">
        <w:rPr>
          <w:rFonts w:ascii="Calibri" w:hAnsi="Calibri" w:cs="Arial"/>
        </w:rPr>
        <w:t>3</w:t>
      </w:r>
      <w:r w:rsidR="00787897">
        <w:rPr>
          <w:rFonts w:ascii="Calibri" w:hAnsi="Calibri" w:cs="Arial"/>
        </w:rPr>
        <w:t>)</w:t>
      </w:r>
      <w:r w:rsidR="00AC29B1">
        <w:rPr>
          <w:rFonts w:ascii="Calibri" w:hAnsi="Calibri" w:cs="Arial"/>
        </w:rPr>
        <w:t xml:space="preserve">. </w:t>
      </w:r>
    </w:p>
    <w:p w14:paraId="3FCA8176" w14:textId="77777777" w:rsidR="00A81A41" w:rsidRDefault="00A81A41" w:rsidP="005837A4">
      <w:pPr>
        <w:spacing w:line="480" w:lineRule="auto"/>
        <w:jc w:val="both"/>
        <w:rPr>
          <w:rFonts w:ascii="Calibri" w:hAnsi="Calibri" w:cs="Arial"/>
        </w:rPr>
      </w:pPr>
    </w:p>
    <w:p w14:paraId="4D2BFD88" w14:textId="3D798989" w:rsidR="00D15A72" w:rsidRDefault="000172A4" w:rsidP="005837A4">
      <w:pPr>
        <w:spacing w:line="480" w:lineRule="auto"/>
        <w:jc w:val="both"/>
        <w:rPr>
          <w:rFonts w:ascii="Calibri" w:hAnsi="Calibri" w:cs="Arial"/>
        </w:rPr>
      </w:pPr>
      <w:r>
        <w:rPr>
          <w:rFonts w:ascii="Calibri" w:hAnsi="Calibri" w:cs="Arial"/>
        </w:rPr>
        <w:lastRenderedPageBreak/>
        <w:t xml:space="preserve">PMOs are claimed to </w:t>
      </w:r>
      <w:r w:rsidR="0048373A">
        <w:rPr>
          <w:rFonts w:ascii="Calibri" w:hAnsi="Calibri" w:cs="Arial"/>
        </w:rPr>
        <w:t>have higher affinity and a reduced</w:t>
      </w:r>
      <w:r>
        <w:rPr>
          <w:rFonts w:ascii="Calibri" w:hAnsi="Calibri" w:cs="Arial"/>
        </w:rPr>
        <w:t xml:space="preserve"> </w:t>
      </w:r>
      <w:r w:rsidR="00B67435">
        <w:rPr>
          <w:rFonts w:ascii="Calibri" w:hAnsi="Calibri" w:cs="Arial"/>
        </w:rPr>
        <w:t>propensity for off-target RNA binding</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"ISSN" : "1873-4294", "PMID" : "17430206", "abstract" : "Generally a gene knockdown agent should achieve high sequence specificity and should lack off-target effects (non-antisense effects due to interactions with structures other than gene transcripts). Three major gene knockdown types are compared with respect to off-target effects and sequence specificities: 1) phosphorothioate-linked DNA (S-DNA); 2) short interfering RNA (siRNA); and, 3) Morpholino. S-DNAs cause multiple off-target effects, largely because their backbone sulfurs bind to many different proteins. S-DNAs also achieve poor sequence specificity because S-DNA/RNA duplexes as short as 7 base-pairs are cleaved by RNase H. siRNAs cause several off-target effects, but improved designs may soon avoid such effects. siRNAs also provide only limited sequence specificity because their short guide sequences largely determine which gene transcripts will be blocked or cleaved, and those guide sequences appear to recognize insufficient sequence information to uniquely target a selected gene transcript. This specificity limitation is inherent in their mechanism of action and so probably cannot be greatly improved. Morpholinos are virtually free of off-target effects--probably because they cannot interact electrostatically with proteins. Morpholinos also achieve exquisite sequence specificity--in large part because they must bind at least about 14 to 15 contiguous bases to block a gene transcript, and this constitutes sufficient sequence information to uniquely target a selected gene transcript. Because of their freedom from off-target effects, exquisite sequence specificity, complete stability in biological systems, and highly predictable targeting, Morpholinos dominate the most demanding of all gene knockdown applications, studies in developing embryos.", "author" : [ { "dropping-particle" : "", "family" : "Summerton", "given" : "James E", "non-dropping-particle" : "", "parse-names" : false, "suffix" : "" } ], "container-title" : "Current topics in medicinal chemistry", "id" : "ITEM-1", "issue" : "7", "issued" : { "date-parts" : [ [ "2007", "1" ] ] }, "page" : "651-60", "title" : "Morpholino, siRNA, and S-DNA compared: impact of structure and mechanism of action on off-target effects and sequence specificity.", "type" : "article-journal", "volume" : "7" }, "uris" : [ "http://www.mendeley.com/documents/?uuid=4f6d7eef-527a-4651-adca-910a2e46d4d8" ] } ], "mendeley" : { "formattedCitation" : "(J. E. Summerton, 2007)", "plainTextFormattedCitation" : "(J. E. Summerton, 2007)", "previouslyFormattedCitation" : "(J. E. Summerton, 2007)" }, "properties" : { "noteIndex" : 0 }, "schema" : "https://github.com/citation-style-language/schema/raw/master/csl-citation.json" }</w:instrText>
      </w:r>
      <w:r>
        <w:rPr>
          <w:rFonts w:ascii="Calibri" w:hAnsi="Calibri" w:cs="Arial"/>
        </w:rPr>
        <w:fldChar w:fldCharType="separate"/>
      </w:r>
      <w:r w:rsidRPr="00B3723C">
        <w:rPr>
          <w:rFonts w:ascii="Calibri" w:hAnsi="Calibri" w:cs="Arial"/>
          <w:noProof/>
        </w:rPr>
        <w:t>(J. E. Summerton, 2007)</w:t>
      </w:r>
      <w:r>
        <w:rPr>
          <w:rFonts w:ascii="Calibri" w:hAnsi="Calibri" w:cs="Arial"/>
        </w:rPr>
        <w:fldChar w:fldCharType="end"/>
      </w:r>
      <w:r w:rsidR="00ED2E67">
        <w:rPr>
          <w:rFonts w:ascii="Calibri" w:hAnsi="Calibri" w:cs="Arial"/>
        </w:rPr>
        <w:t>, with flagship programs in phase 2 and 3</w:t>
      </w:r>
      <w:r w:rsidR="00D15A72">
        <w:rPr>
          <w:rFonts w:ascii="Calibri" w:hAnsi="Calibri" w:cs="Arial"/>
        </w:rPr>
        <w:t xml:space="preserve"> clinical studies for the</w:t>
      </w:r>
      <w:r w:rsidR="00ED2E67">
        <w:rPr>
          <w:rFonts w:ascii="Calibri" w:hAnsi="Calibri" w:cs="Arial"/>
        </w:rPr>
        <w:t xml:space="preserve"> treat</w:t>
      </w:r>
      <w:r w:rsidR="00D15A72">
        <w:rPr>
          <w:rFonts w:ascii="Calibri" w:hAnsi="Calibri" w:cs="Arial"/>
        </w:rPr>
        <w:t>ment of</w:t>
      </w:r>
      <w:r w:rsidR="00ED2E67">
        <w:rPr>
          <w:rFonts w:ascii="Calibri" w:hAnsi="Calibri" w:cs="Arial"/>
        </w:rPr>
        <w:t xml:space="preserve"> Duchenne’s muscular dystrophy through splicing </w:t>
      </w:r>
      <w:r w:rsidR="00D15A72">
        <w:rPr>
          <w:rFonts w:ascii="Calibri" w:hAnsi="Calibri" w:cs="Arial"/>
        </w:rPr>
        <w:t>modulatio</w:t>
      </w:r>
      <w:r w:rsidR="00E2440E">
        <w:rPr>
          <w:rFonts w:ascii="Calibri" w:hAnsi="Calibri" w:cs="Arial"/>
        </w:rPr>
        <w:t>n</w:t>
      </w:r>
      <w:r w:rsidR="00CF6996">
        <w:rPr>
          <w:rFonts w:ascii="Calibri" w:hAnsi="Calibri" w:cs="Arial"/>
        </w:rPr>
        <w:t xml:space="preserve"> of the target gene, dystrophin</w:t>
      </w:r>
      <w:r w:rsidR="00ED2E67">
        <w:rPr>
          <w:rFonts w:ascii="Calibri" w:hAnsi="Calibri" w:cs="Arial"/>
        </w:rPr>
        <w:t xml:space="preserve"> (</w:t>
      </w:r>
      <w:r w:rsidR="00D15A72">
        <w:rPr>
          <w:rFonts w:ascii="Calibri" w:hAnsi="Calibri" w:cs="Arial"/>
        </w:rPr>
        <w:t xml:space="preserve">eteplirsen (AVI-4658) and SRP-4053; </w:t>
      </w:r>
      <w:r w:rsidR="00ED2E67">
        <w:rPr>
          <w:rFonts w:ascii="Calibri" w:hAnsi="Calibri" w:cs="Arial"/>
        </w:rPr>
        <w:t>Sarepta Therapeutics)</w:t>
      </w:r>
      <w:r>
        <w:rPr>
          <w:rFonts w:ascii="Calibri" w:hAnsi="Calibri" w:cs="Arial"/>
        </w:rPr>
        <w:t>. Whilst precl</w:t>
      </w:r>
      <w:r w:rsidR="008B0557">
        <w:rPr>
          <w:rFonts w:ascii="Calibri" w:hAnsi="Calibri" w:cs="Arial"/>
        </w:rPr>
        <w:t xml:space="preserve">inical data corroborated increased </w:t>
      </w:r>
      <w:r w:rsidR="00A81A41">
        <w:rPr>
          <w:rFonts w:ascii="Calibri" w:hAnsi="Calibri" w:cs="Arial"/>
        </w:rPr>
        <w:t>affinity</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"10.1038/mtna.2012.38", "ISSN" : "2162-2531", "PMID" : "23344236", "abstract" : "Antisense-mediated exon skipping for Duchenne muscular dystrophy (DMD) is currently tested in phase 3 clinical trials. The aim of this approach is to modulate splicing by skipping a specific exon to reframe disrupted dystrophin transcripts, allowing the synthesis of a partly functional dystrophin protein. Studies in animal models allow detailed analysis of the pharmacokinetic and pharmacodynamic profile of antisense oligonucleotides (AONs). Here, we tested the safety and efficacy of subcutaneously administered 2'-O-methyl phosphorothioate AON at 200\u2009mg/kg/week for up to 6 months in mouse models with varying levels of disease severity: mdx mice (mild phenotype) and mdx mice with one utrophin allele (mdx/utrn(+/-); more severe phenotype). Long-term treatment was well tolerated and exon skipping and dystrophin restoration confirmed for all animals. Notably, in the more severely affected mdx/utrn(+/-) mice the therapeutic effect was larger: creatine kinase (CK) levels were more decreased and rotarod running time was more increased. This suggests that the mdx/utrn(+/-) model may be a more suitable model to test potential therapies than the regular mdx mouse. Our results also indicate that long-term subcutaneous treatment in dystrophic mouse models with these AONs is safe and beneficial.Molecular Therapy-Nucleic Acids (2012) 1, e44; doi:10.1038/mtna.2012.38; published online 4 September 2012.", "author" : [ { "dropping-particle" : "", "family" : "Tanganyika-de Winter", "given" : "Christa L", "non-dropping-particle" : "", "parse-names" : false, "suffix" : "" }, { "dropping-particle" : "", "family" : "Heemskerk", "given" : "Hans", "non-dropping-particle" : "", "parse-names" : false, "suffix" : "" }, { "dropping-particle" : "", "family" : "Karnaoukh", "given" : "Tatyana G", "non-dropping-particle" : "", "parse-names" : false, "suffix" : "" }, { "dropping-particle" : "", "family" : "Putten", "given" : "Maaike", "non-dropping-particle" : "van", "parse-names" : false, "suffix" : "" }, { "dropping-particle" : "", "family" : "Kimpe", "given" : "Sjef J", "non-dropping-particle" : "de", "parse-names" : false, "suffix" : "" }, { "dropping-particle" : "", "family" : "Deutekom", "given" : "Judith", "non-dropping-particle" : "van", "parse-names" : false, "suffix" : "" }, { "dropping-particle" : "", "family" : "Aartsma-Rus", "given" : "Annemieke", "non-dropping-particle" : "", "parse-names" : false, "suffix" : "" } ], "container-title" : "Molecular therapy. Nucleic acids", "id" : "ITEM-1", "issued" : { "date-parts" : [ [ "2012", "1" ] ] }, "page" : "e44", "title" : "Long-term Exon Skipping Studies With 2'-O-Methyl Phosphorothioate Antisense Oligonucleotides in Dystrophic Mouse Models.", "type" : "article-journal", "volume" : "1" }, "uris" : [ "http://www.mendeley.com/documents/?uuid=f9be5732-12f0-4a70-93e3-90cfdea2d475" ] }, { "id" : "ITEM-2", "itemData" : { "DOI" : "10.1073/pnas.0406700102", "ISSN" : "0027-8424", "PMID" : "15608067", "abstract" : "Antisense oligonucleotide-mediated alternative splicing has great potential for treatment of Duchenne muscular dystrophy (DMD) caused by mutations within nonessential regions of the dystrophin gene. We have recently shown in the dystrophic mdx mouse that exon 23, bearing a nonsense mutation, can be skipped after intramuscular injection of a specific 2'-O-methyl phosphorothioate antisense oligoribonucleotide (2OMeAO). This skipping created a shortened, but in-frame, transcript that is translated to produce near-normal levels of dystrophin expression. This expression, in turn, led to improved muscle function. However, because DMD affects muscles body-wide, effective treatment requires dystrophin induction ideally in all muscles. Here, we show that systemic delivery of specific 2OMeAOs, together with the triblock copolymer F127, induced dystrophin expression in all skeletal muscles but not in cardiac muscle of the mdx dystrophic mice. The highest dystrophin expression was detected in diaphragm, gastrocnemius, and intercostal muscles. Large numbers of fibers with near-normal level of dystrophin were observed in focal areas. Three injections of 2OMeAOs at weekly intervals enhanced the levels of dystrophin. Dystrophin mRNA lacking the targeted exon 23 remained detectable 2 weeks after injection. No evidence of tissue damage was detected after 2OMeAO and F127 treatment either by serum analysis or histological examination of liver, kidney, lung, and muscles. The simplicity and safety of the antisense protocol provide a realistic prospect for treatment of the majority of DMD mutations. We conclude that a significant therapeutic effect may be achieved by further optimization in dose and regime of administration of antisense oligonucleotide.", "author" : [ { "dropping-particle" : "", "family" : "Lu", "given" : "Qi Long", "non-dropping-particle" : "", "parse-names" : false, "suffix" : "" }, { "dropping-particle" : "", "family" : "Rabinowitz", "given" : "Adam", "non-dropping-particle" : "", "parse-names" : false, "suffix" : "" }, { "dropping-particle" : "", "family" : "Chen", "given" : "Yun Chao", "non-dropping-particle" : "", "parse-names" : false, "suffix" : "" }, { "dropping-particle" : "", "family" : "Yokota", "given" : "Toshifumi", "non-dropping-particle" : "", "parse-names" : false, "suffix" : "" }, { "dropping-particle" : "", "family" : "Yin", "given" : "HaiFang", "non-dropping-particle" : "", "parse-names" : false, "suffix" : "" }, { "dropping-particle" : "", "family" : "Alter", "given" : "Julia", "non-dropping-particle" : "", "parse-names" : false, "suffix" : "" }, { "dropping-particle" : "", "family" : "Jadoon", "given" : "Atif", "non-dropping-particle" : "", "parse-names" : false, "suffix" : "" }, { "dropping-particle" : "", "family" : "Bou-Gharios", "given" : "George", "non-dropping-particle" : "", "parse-names" : false, "suffix" : "" }, { "dropping-particle" : "", "family" : "Partridge", "given" : "Terence", "non-dropping-particle" : "", "parse-names" : false, "suffix" : "" } ], "container-title" : "Proceedings of the National Academy of Sciences of the United States of America", "id" : "ITEM-2", "issue" : "1", "issued" : { "date-parts" : [ [ "2005", "1", "4" ] ] }, "page" : "198-203", "title" : "Systemic delivery of antisense oligoribonucleotide restores dystrophin expression in body-wide skeletal muscles.", "type" : "article-journal", "volume" : "102" }, "uris" : [ "http://www.mendeley.com/documents/?uuid=8bbeb887-a019-4bc8-a5e9-641860b6b2d6" ] }, { "id" : "ITEM-3", "itemData" : { "DOI" : "10.1038/gt.2009.120", "ISSN" : "1476-5462", "PMID" : "19759562", "abstract" : "We have earlier shown that antisense morpholino oligomers are able to restore dystrophin expression by systemic delivery in body-wide skeletal muscles of dystrophic mdx mice. However, the levels of dystrophin expression vary considerably and, more importantly, no dystrophin expression has been achieved in cardiac muscle. In this study, we investigate the efficiency of morpholino-induced exon skipping in cardiomyoblasts and myocytes in vitro, and in cardiac muscle in vivo by dose escalation. We showed that morpholino induces targeted exon skipping equally effectively in both skeletal muscle myoblasts and cardiomyoblasts. Effective exon skipping was achieved in cardiomyocytes in culture. In the mdx mice, morpholino rescues dystrophin expression dose dependently in both skeletal and cardiac muscles. Therapeutic levels of dystrophin were achieved in cardiac muscle albeit at higher doses than in skeletal muscles. Up to 50 and 30% normal levels of dystrophin were induced by single systemic delivery of 3 g kg(-1) of morpholino in skeletal and cardiac muscles, respectively. High doses of morpholino treatment reduced the serum levels of creatine kinase without clear toxicity. These findings suggest that effective rescue of dystrophin in cardiac muscles can be achieved by morpholino for the treatment of Duchenne muscular dystrophy.", "author" : [ { "dropping-particle" : "", "family" : "Wu", "given" : "B", "non-dropping-particle" : "", "parse-names" : false, "suffix" : "" }, { "dropping-particle" : "", "family" : "Lu", "given" : "P", "non-dropping-particle" : "", "parse-names" : false, "suffix" : "" }, { "dropping-particle" : "", "family" : "Benrashid", "given" : "E", "non-dropping-particle" : "", "parse-names" : false, "suffix" : "" }, { "dropping-particle" : "", "family" : "Malik", "given" : "S", "non-dropping-particle" : "", "parse-names" : false, "suffix" : "" }, { "dropping-particle" : "", "family" : "Ashar", "given" : "J", "non-dropping-particle" : "", "parse-names" : false, "suffix" : "" }, { "dropping-particle" : "", "family" : "Doran", "given" : "T J", "non-dropping-particle" : "", "parse-names" : false, "suffix" : "" }, { "dropping-particle" : "", "family" : "Lu", "given" : "Q L", "non-dropping-particle" : "", "parse-names" : false, "suffix" : "" } ], "container-title" : "Gene therapy", "id" : "ITEM-3", "issue" : "1", "issued" : { "date-parts" : [ [ "2010", "1" ] ] }, "page" : "132-40", "title" : "Dose-dependent restoration of dystrophin expression in cardiac muscle of dystrophic mice by systemically delivered morpholino.", "type" : "article-journal", "volume" : "17" }, "uris" : [ "http://www.mendeley.com/documents/?uuid=654725e5-856e-456d-a526-1c891b128e06" ] } ], "mendeley" : { "formattedCitation" : "(Q. L. Lu et al., 2005; Tanganyika-de Winter et al., 2012; B. Wu et al., 2010)", "plainTextFormattedCitation" : "(Q. L. Lu et al., 2005; Tanganyika-de Winter et al., 2012; B. Wu et al., 2010)", "previouslyFormattedCitation" : "(Q. L. Lu et al., 2005; Tanganyika-de Winter et al., 2012; B. Wu et al., 2010)" }, "properties" : { "noteIndex" : 0 }, "schema" : "https://github.com/citation-style-language/schema/raw/master/csl-citation.json" }</w:instrText>
      </w:r>
      <w:r>
        <w:rPr>
          <w:rFonts w:ascii="Calibri" w:hAnsi="Calibri" w:cs="Arial"/>
        </w:rPr>
        <w:fldChar w:fldCharType="separate"/>
      </w:r>
      <w:r w:rsidRPr="003424A6">
        <w:rPr>
          <w:rFonts w:ascii="Calibri" w:hAnsi="Calibri" w:cs="Arial"/>
          <w:noProof/>
        </w:rPr>
        <w:t>(Q. L. Lu et al., 2005; Tanganyika-de Winter et al., 2012; B. Wu et al., 2010)</w:t>
      </w:r>
      <w:r>
        <w:rPr>
          <w:rFonts w:ascii="Calibri" w:hAnsi="Calibri" w:cs="Arial"/>
        </w:rPr>
        <w:fldChar w:fldCharType="end"/>
      </w:r>
      <w:r>
        <w:rPr>
          <w:rFonts w:ascii="Calibri" w:hAnsi="Calibri" w:cs="Arial"/>
        </w:rPr>
        <w:t xml:space="preserve">, including in the lung </w:t>
      </w:r>
      <w:r>
        <w:rPr>
          <w:rFonts w:ascii="Calibri" w:hAnsi="Calibri" w:cs="Arial"/>
        </w:rPr>
        <w:fldChar w:fldCharType="begin" w:fldLock="1"/>
      </w:r>
      <w:r>
        <w:rPr>
          <w:rFonts w:ascii="Calibri" w:hAnsi="Calibri" w:cs="Arial"/>
        </w:rPr>
        <w:instrText>ADDIN CSL_CITATION { "citationItems" : [ { "id" : "ITEM-1", "itemData" : { "DOI" : "10.1038/gt.2009.120", "ISSN" : "1476-5462", "PMID" : "19759562", "abstract" : "We have earlier shown that antisense morpholino oligomers are able to restore dystrophin expression by systemic delivery in body-wide skeletal muscles of dystrophic mdx mice. However, the levels of dystrophin expression vary considerably and, more importantly, no dystrophin expression has been achieved in cardiac muscle. In this study, we investigate the efficiency of morpholino-induced exon skipping in cardiomyoblasts and myocytes in vitro, and in cardiac muscle in vivo by dose escalation. We showed that morpholino induces targeted exon skipping equally effectively in both skeletal muscle myoblasts and cardiomyoblasts. Effective exon skipping was achieved in cardiomyocytes in culture. In the mdx mice, morpholino rescues dystrophin expression dose dependently in both skeletal and cardiac muscles. Therapeutic levels of dystrophin were achieved in cardiac muscle albeit at higher doses than in skeletal muscles. Up to 50 and 30% normal levels of dystrophin were induced by single systemic delivery of 3 g kg(-1) of morpholino in skeletal and cardiac muscles, respectively. High doses of morpholino treatment reduced the serum levels of creatine kinase without clear toxicity. These findings suggest that effective rescue of dystrophin in cardiac muscles can be achieved by morpholino for the treatment of Duchenne muscular dystrophy.", "author" : [ { "dropping-particle" : "", "family" : "Wu", "given" : "B", "non-dropping-particle" : "", "parse-names" : false, "suffix" : "" }, { "dropping-particle" : "", "family" : "Lu", "given" : "P", "non-dropping-particle" : "", "parse-names" : false, "suffix" : "" }, { "dropping-particle" : "", "family" : "Benrashid", "given" : "E", "non-dropping-particle" : "", "parse-names" : false, "suffix" : "" }, { "dropping-particle" : "", "family" : "Malik", "given" : "S", "non-dropping-particle" : "", "parse-names" : false, "suffix" : "" }, { "dropping-particle" : "", "family" : "Ashar", "given" : "J", "non-dropping-particle" : "", "parse-names" : false, "suffix" : "" }, { "dropping-particle" : "", "family" : "Doran", "given" : "T J", "non-dropping-particle" : "", "parse-names" : false, "suffix" : "" }, { "dropping-particle" : "", "family" : "Lu", "given" : "Q L", "non-dropping-particle" : "", "parse-names" : false, "suffix" : "" } ], "container-title" : "Gene therapy", "id" : "ITEM-1", "issue" : "1", "issued" : { "date-parts" : [ [ "2010", "1" ] ] }, "page" : "132-40", "title" : "Dose-dependent restoration of dystrophin expression in cardiac muscle of dystrophic mice by systemically delivered morpholino.", "type" : "article-journal", "volume" : "17" }, "uris" : [ "http://www.mendeley.com/documents/?uuid=654725e5-856e-456d-a526-1c891b128e06" ] }, { "id" : "ITEM-2", "itemData" : { "DOI" : "10.1073/pnas.0406700102", "ISSN" : "0027-8424", "PMID" : "15608067", "abstract" : "Antisense oligonucleotide-mediated alternative splicing has great potential for treatment of Duchenne muscular dystrophy (DMD) caused by mutations within nonessential regions of the dystrophin gene. We have recently shown in the dystrophic mdx mouse that exon 23, bearing a nonsense mutation, can be skipped after intramuscular injection of a specific 2'-O-methyl phosphorothioate antisense oligoribonucleotide (2OMeAO). This skipping created a shortened, but in-frame, transcript that is translated to produce near-normal levels of dystrophin expression. This expression, in turn, led to improved muscle function. However, because DMD affects muscles body-wide, effective treatment requires dystrophin induction ideally in all muscles. Here, we show that systemic delivery of specific 2OMeAOs, together with the triblock copolymer F127, induced dystrophin expression in all skeletal muscles but not in cardiac muscle of the mdx dystrophic mice. The highest dystrophin expression was detected in diaphragm, gastrocnemius, and intercostal muscles. Large numbers of fibers with near-normal level of dystrophin were observed in focal areas. Three injections of 2OMeAOs at weekly intervals enhanced the levels of dystrophin. Dystrophin mRNA lacking the targeted exon 23 remained detectable 2 weeks after injection. No evidence of tissue damage was detected after 2OMeAO and F127 treatment either by serum analysis or histological examination of liver, kidney, lung, and muscles. The simplicity and safety of the antisense protocol provide a realistic prospect for treatment of the majority of DMD mutations. We conclude that a significant therapeutic effect may be achieved by further optimization in dose and regime of administration of antisense oligonucleotide.", "author" : [ { "dropping-particle" : "", "family" : "Lu", "given" : "Qi Long", "non-dropping-particle" : "", "parse-names" : false, "suffix" : "" }, { "dropping-particle" : "", "family" : "Rabinowitz", "given" : "Adam", "non-dropping-particle" : "", "parse-names" : false, "suffix" : "" }, { "dropping-particle" : "", "family" : "Chen", "given" : "Yun Chao", "non-dropping-particle" : "", "parse-names" : false, "suffix" : "" }, { "dropping-particle" : "", "family" : "Yokota", "given" : "Toshifumi", "non-dropping-particle" : "", "parse-names" : false, "suffix" : "" }, { "dropping-particle" : "", "family" : "Yin", "given" : "HaiFang", "non-dropping-particle" : "", "parse-names" : false, "suffix" : "" }, { "dropping-particle" : "", "family" : "Alter", "given" : "Julia", "non-dropping-particle" : "", "parse-names" : false, "suffix" : "" }, { "dropping-particle" : "", "family" : "Jadoon", "given" : "Atif", "non-dropping-particle" : "", "parse-names" : false, "suffix" : "" }, { "dropping-particle" : "", "family" : "Bou-Gharios", "given" : "George", "non-dropping-particle" : "", "parse-names" : false, "suffix" : "" }, { "dropping-particle" : "", "family" : "Partridge", "given" : "Terence", "non-dropping-particle" : "", "parse-names" : false, "suffix" : "" } ], "container-title" : "Proceedings of the National Academy of Sciences of the United States of America", "id" : "ITEM-2", "issue" : "1", "issued" : { "date-parts" : [ [ "2005", "1", "4" ] ] }, "page" : "198-203", "title" : "Systemic delivery of antisense oligoribonucleotide restores dystrophin expression in body-wide skeletal muscles.", "type" : "article-journal", "volume" : "102" }, "uris" : [ "http://www.mendeley.com/documents/?uuid=8bbeb887-a019-4bc8-a5e9-641860b6b2d6" ] } ], "mendeley" : { "formattedCitation" : "(Q. L. Lu et al., 2005; B. Wu et al., 2010)", "plainTextFormattedCitation" : "(Q. L. Lu et al., 2005; B. Wu et al., 2010)", "previouslyFormattedCitation" : "(Q. L. Lu et al., 2005; B. Wu et al., 2010)" }, "properties" : { "noteIndex" : 0 }, "schema" : "https://github.com/citation-style-language/schema/raw/master/csl-citation.json" }</w:instrText>
      </w:r>
      <w:r>
        <w:rPr>
          <w:rFonts w:ascii="Calibri" w:hAnsi="Calibri" w:cs="Arial"/>
        </w:rPr>
        <w:fldChar w:fldCharType="separate"/>
      </w:r>
      <w:r w:rsidRPr="002F2765">
        <w:rPr>
          <w:rFonts w:ascii="Calibri" w:hAnsi="Calibri" w:cs="Arial"/>
          <w:noProof/>
        </w:rPr>
        <w:t>(Q. L. Lu et al., 2005; B. Wu et al., 2010)</w:t>
      </w:r>
      <w:r>
        <w:rPr>
          <w:rFonts w:ascii="Calibri" w:hAnsi="Calibri" w:cs="Arial"/>
        </w:rPr>
        <w:fldChar w:fldCharType="end"/>
      </w:r>
      <w:r>
        <w:rPr>
          <w:rFonts w:ascii="Calibri" w:hAnsi="Calibri" w:cs="Arial"/>
        </w:rPr>
        <w:t xml:space="preserve">, </w:t>
      </w:r>
      <w:r w:rsidR="008B0557">
        <w:rPr>
          <w:rFonts w:ascii="Calibri" w:hAnsi="Calibri" w:cs="Arial"/>
        </w:rPr>
        <w:t>the claims of increased specificity have</w:t>
      </w:r>
      <w:r>
        <w:rPr>
          <w:rFonts w:ascii="Calibri" w:hAnsi="Calibri" w:cs="Arial"/>
        </w:rPr>
        <w:t xml:space="preserve"> </w:t>
      </w:r>
      <w:r w:rsidR="008B0557">
        <w:rPr>
          <w:rFonts w:ascii="Calibri" w:hAnsi="Calibri" w:cs="Arial"/>
        </w:rPr>
        <w:t xml:space="preserve">been </w:t>
      </w:r>
      <w:r>
        <w:rPr>
          <w:rFonts w:ascii="Calibri" w:hAnsi="Calibri" w:cs="Arial"/>
        </w:rPr>
        <w:t>challenged</w:t>
      </w:r>
      <w:r w:rsidR="002F592A">
        <w:rPr>
          <w:rFonts w:ascii="Calibri" w:hAnsi="Calibri" w:cs="Arial"/>
        </w:rPr>
        <w:t xml:space="preserve"> by others exploring off-target binding </w:t>
      </w:r>
      <w:r w:rsidR="00D15A72">
        <w:rPr>
          <w:rFonts w:ascii="Calibri" w:hAnsi="Calibri" w:cs="Arial"/>
        </w:rPr>
        <w:t xml:space="preserve">in depth </w:t>
      </w:r>
      <w:r>
        <w:rPr>
          <w:rFonts w:ascii="Calibri" w:hAnsi="Calibri" w:cs="Arial"/>
        </w:rPr>
        <w:fldChar w:fldCharType="begin" w:fldLock="1"/>
      </w:r>
      <w:r>
        <w:rPr>
          <w:rFonts w:ascii="Calibri" w:hAnsi="Calibri" w:cs="Arial"/>
        </w:rPr>
        <w:instrText>ADDIN CSL_CITATION { "citationItems" : [ { "id" : "ITEM-1", "itemData" : { "DOI" : "10.1242/dev.112003", "ISSN" : "1477-9129", "PMID" : "25100652", "abstract" : "Morpholino oligomers have been used widely and for many years in the zebrafish community to transiently knock down the function of target genes. It has often been difficult, however, to reliably discriminate between specific and non-specific effects, and thus generally accepted guidelines to control for morpholino side effects do not exist. In light of recent methodologies to generate mutant lines in virtually any zebrafish gene, we discuss these different approaches with a specific focus on how the first description of a loss-of-function phenotype in zebrafish should be accomplished.", "author" : [ { "dropping-particle" : "", "family" : "Schulte-Merker", "given" : "Stefan", "non-dropping-particle" : "", "parse-names" : false, "suffix" : "" }, { "dropping-particle" : "", "family" : "Stainier", "given" : "Didier Y R", "non-dropping-particle" : "", "parse-names" : false, "suffix" : "" } ], "container-title" : "Development (Cambridge, England)", "id" : "ITEM-1", "issue" : "16", "issued" : { "date-parts" : [ [ "2014", "8", "15" ] ] }, "page" : "3103-4", "title" : "Out with the old, in with the new: reassessing morpholino knockdowns in light of genome editing technology.", "type" : "article-journal", "volume" : "141" }, "uris" : [ "http://www.mendeley.com/documents/?uuid=caa5408f-6365-46fe-abd3-8d99cf8a9b65" ] }, { "id" : "ITEM-2", "itemData" : { "DOI" : "10.1242/dev.001115", "ISSN" : "0950-1991", "PMID" : "18403413", "abstract" : "One of the most significant problems facing developmental biologists who do not work on an organism with well-developed genetics - and even for some who do - is how to inhibit the action of a gene of interest during development so as to learn about its normal biological function. A widely adopted approach is to use antisense technologies, and especially morpholino antisense oligonucleotides. In this article, we review the use of such reagents and present examples of how they have provided insights into developmental mechanisms. We also discuss how the use of morpholinos can lead to misleading results, including off-target effects, and we suggest controls that will allow researchers to interpret morpholino experiments correctly.", "author" : [ { "dropping-particle" : "", "family" : "Eisen", "given" : "Judith S", "non-dropping-particle" : "", "parse-names" : false, "suffix" : "" }, { "dropping-particle" : "", "family" : "Smith", "given" : "James C", "non-dropping-particle" : "", "parse-names" : false, "suffix" : "" } ], "container-title" : "Development (Cambridge, England)", "id" : "ITEM-2", "issue" : "10", "issued" : { "date-parts" : [ [ "2008", "5", "15" ] ] }, "page" : "1735-43", "title" : "Controlling morpholino experiments: don't stop making antisense.", "type" : "article-journal", "volume" : "135" }, "uris" : [ "http://www.mendeley.com/documents/?uuid=79881dec-a181-4a92-9d37-6241ebf6a2ee" ] } ], "mendeley" : { "formattedCitation" : "(Eisen &amp; Smith, 2008; Schulte-Merker &amp; Stainier, 2014)", "plainTextFormattedCitation" : "(Eisen &amp; Smith, 2008; Schulte-Merker &amp; Stainier, 2014)", "previouslyFormattedCitation" : "(Eisen &amp; Smith, 2008; Schulte-Merker &amp; Stainier, 2014)" }, "properties" : { "noteIndex" : 0 }, "schema" : "https://github.com/citation-style-language/schema/raw/master/csl-citation.json" }</w:instrText>
      </w:r>
      <w:r>
        <w:rPr>
          <w:rFonts w:ascii="Calibri" w:hAnsi="Calibri" w:cs="Arial"/>
        </w:rPr>
        <w:fldChar w:fldCharType="separate"/>
      </w:r>
      <w:r w:rsidRPr="003A62F0">
        <w:rPr>
          <w:rFonts w:ascii="Calibri" w:hAnsi="Calibri" w:cs="Arial"/>
          <w:noProof/>
        </w:rPr>
        <w:t>(Eisen &amp; Smith, 2008; Schulte-Merker &amp; Stainier, 2014)</w:t>
      </w:r>
      <w:r>
        <w:rPr>
          <w:rFonts w:ascii="Calibri" w:hAnsi="Calibri" w:cs="Arial"/>
        </w:rPr>
        <w:fldChar w:fldCharType="end"/>
      </w:r>
      <w:r>
        <w:rPr>
          <w:rFonts w:ascii="Calibri" w:hAnsi="Calibri" w:cs="Arial"/>
        </w:rPr>
        <w:t xml:space="preserve">. </w:t>
      </w:r>
      <w:r w:rsidR="0048373A">
        <w:rPr>
          <w:rFonts w:ascii="Calibri" w:hAnsi="Calibri" w:cs="Arial"/>
        </w:rPr>
        <w:t>Furthermore, although</w:t>
      </w:r>
      <w:r>
        <w:rPr>
          <w:rFonts w:ascii="Calibri" w:hAnsi="Calibri" w:cs="Arial"/>
        </w:rPr>
        <w:t xml:space="preserve"> </w:t>
      </w:r>
      <w:r w:rsidR="008B0557">
        <w:rPr>
          <w:rFonts w:ascii="Calibri" w:hAnsi="Calibri" w:cs="Arial"/>
        </w:rPr>
        <w:t xml:space="preserve">PMO </w:t>
      </w:r>
      <w:r w:rsidR="00A81A41">
        <w:rPr>
          <w:rFonts w:ascii="Calibri" w:hAnsi="Calibri" w:cs="Arial"/>
        </w:rPr>
        <w:t xml:space="preserve">alone showed </w:t>
      </w:r>
      <w:r>
        <w:rPr>
          <w:rFonts w:ascii="Calibri" w:hAnsi="Calibri" w:cs="Arial"/>
        </w:rPr>
        <w:t xml:space="preserve">delivery </w:t>
      </w:r>
      <w:r w:rsidR="00A81A41" w:rsidRPr="00A81A41">
        <w:rPr>
          <w:rFonts w:ascii="Calibri" w:hAnsi="Calibri" w:cs="Arial"/>
          <w:i/>
        </w:rPr>
        <w:t>in vitro</w:t>
      </w:r>
      <w:r w:rsidR="00A81A41">
        <w:rPr>
          <w:rFonts w:ascii="Calibri" w:hAnsi="Calibri" w:cs="Arial"/>
        </w:rPr>
        <w:t xml:space="preserve"> and </w:t>
      </w:r>
      <w:r w:rsidR="00A81A41" w:rsidRPr="00A81A41">
        <w:rPr>
          <w:rFonts w:ascii="Calibri" w:hAnsi="Calibri" w:cs="Arial"/>
          <w:i/>
        </w:rPr>
        <w:t>in vivo</w:t>
      </w:r>
      <w:r w:rsidR="00A81A41">
        <w:rPr>
          <w:rFonts w:ascii="Calibri" w:hAnsi="Calibri" w:cs="Arial"/>
        </w:rPr>
        <w:t xml:space="preserve">, this </w:t>
      </w:r>
      <w:r w:rsidR="008B0557">
        <w:rPr>
          <w:rFonts w:ascii="Calibri" w:hAnsi="Calibri" w:cs="Arial"/>
        </w:rPr>
        <w:t>can be substantially improved through conjugation with</w:t>
      </w:r>
      <w:r>
        <w:rPr>
          <w:rFonts w:ascii="Calibri" w:hAnsi="Calibri" w:cs="Arial"/>
        </w:rPr>
        <w:t xml:space="preserve"> synthetic cell penetrating peptides (CPP) </w:t>
      </w:r>
      <w:r>
        <w:rPr>
          <w:rFonts w:ascii="Calibri" w:hAnsi="Calibri" w:cs="Arial"/>
        </w:rPr>
        <w:fldChar w:fldCharType="begin" w:fldLock="1"/>
      </w:r>
      <w:r>
        <w:rPr>
          <w:rFonts w:ascii="Calibri" w:hAnsi="Calibri" w:cs="Arial"/>
        </w:rPr>
        <w:instrText>ADDIN CSL_CITATION { "citationItems" : [ { "id" : "ITEM-1", "itemData" : { "DOI" : "10.1042/BST0350826", "ISSN" : "0300-5127", "PMID" : "17635157", "abstract" : "The cellular uptake of PMOs (phosphorodiamidate morpholino oligomers) can be enhanced by their conjugation to arginine-rich CPPs (cell-penetrating peptides). Here, we discuss our recent findings regarding (R-Ahx-R)(4)AhxB (Ahx is 6-aminohexanoic acid and B is beta-alanine) CPP-PMO conjugates in DMD (Duchenne muscular dystrophy) and murine coronavirus research. An (R-Ahx-R)(4)AhxB-PMO conjugate was the most effective compound in inducing the correction of mutant dystrophin transcripts in myoblasts derived from a canine model of DMD. Similarly, normal levels of dystrophin expression were restored in the diaphragms of mdx mice, with treatment starting at the neonatal stage, and protein was still detecTable 22 weeks after the last dose of an (R-Ahx-R)(4)AhxB-PMO conjugate. Effects of length, linkage and carbohydrate modification of this CPP on the delivery of a PMO were investigated in a coronavirus mouse model. An (R-Ahx-R)(4)AhxB-PMO conjugate effectively inhibited viral replication, in comparison with other peptides conjugated to the same PMO. Shortening the CPP length, modifying it with a mannosylated serine moiety or replacing it with the R(9)F(2) CPP significantly decreased the efficacy of the resulting PPMO (CPP-PMO conjugate). We attribute the success of this CPP to its stability in serum and its capacity to transport PMO to RNA targets in a manner superior to that of poly-arginine CPPs.", "author" : [ { "dropping-particle" : "", "family" : "Moulton", "given" : "H M", "non-dropping-particle" : "", "parse-names" : false, "suffix" : "" }, { "dropping-particle" : "", "family" : "Fletcher", "given" : "S", "non-dropping-particle" : "", "parse-names" : false, "suffix" : "" }, { "dropping-particle" : "", "family" : "Neuman", "given" : "B W", "non-dropping-particle" : "", "parse-names" : false, "suffix" : "" }, { "dropping-particle" : "", "family" : "McClorey", "given" : "G", "non-dropping-particle" : "", "parse-names" : false, "suffix" : "" }, { "dropping-particle" : "", "family" : "Stein", "given" : "D A", "non-dropping-particle" : "", "parse-names" : false, "suffix" : "" }, { "dropping-particle" : "", "family" : "Abes", "given" : "S", "non-dropping-particle" : "", "parse-names" : false, "suffix" : "" }, { "dropping-particle" : "", "family" : "Wilton", "given" : "S D", "non-dropping-particle" : "", "parse-names" : false, "suffix" : "" }, { "dropping-particle" : "", "family" : "Buchmeier", "given" : "M J", "non-dropping-particle" : "", "parse-names" : false, "suffix" : "" }, { "dropping-particle" : "", "family" : "Lebleu", "given" : "B", "non-dropping-particle" : "", "parse-names" : false, "suffix" : "" }, { "dropping-particle" : "", "family" : "Iversen", "given" : "P L", "non-dropping-particle" : "", "parse-names" : false, "suffix" : "" } ], "container-title" : "Biochemical Society transactions", "id" : "ITEM-1", "issue" : "Pt 4", "issued" : { "date-parts" : [ [ "2007", "8" ] ] }, "page" : "826-8", "title" : "Cell-penetrating peptide-morpholino conjugates alter pre-mRNA splicing of DMD (Duchenne muscular dystrophy) and inhibit murine coronavirus replication in vivo.", "type" : "article-journal", "volume" : "35" }, "uris" : [ "http://www.mendeley.com/documents/?uuid=63e14869-f4fe-4b72-96fd-71ff00bcf384" ] } ], "mendeley" : { "formattedCitation" : "(Moulton et al., 2007)", "plainTextFormattedCitation" : "(Moulton et al., 2007)", "previouslyFormattedCitation" : "(Moulton et al., 2007)" }, "properties" : { "noteIndex" : 0 }, "schema" : "https://github.com/citation-style-language/schema/raw/master/csl-citation.json" }</w:instrText>
      </w:r>
      <w:r>
        <w:rPr>
          <w:rFonts w:ascii="Calibri" w:hAnsi="Calibri" w:cs="Arial"/>
        </w:rPr>
        <w:fldChar w:fldCharType="separate"/>
      </w:r>
      <w:r w:rsidRPr="00832EE5">
        <w:rPr>
          <w:rFonts w:ascii="Calibri" w:hAnsi="Calibri" w:cs="Arial"/>
          <w:noProof/>
        </w:rPr>
        <w:t>(Moulton et al., 2007)</w:t>
      </w:r>
      <w:r>
        <w:rPr>
          <w:rFonts w:ascii="Calibri" w:hAnsi="Calibri" w:cs="Arial"/>
        </w:rPr>
        <w:fldChar w:fldCharType="end"/>
      </w:r>
      <w:r>
        <w:rPr>
          <w:rFonts w:ascii="Calibri" w:hAnsi="Calibri" w:cs="Arial"/>
        </w:rPr>
        <w:t xml:space="preserve"> (peptide-conjugated phosphorodiamidate morpholinos (PPMO), or 2</w:t>
      </w:r>
      <w:r w:rsidRPr="00F91D6E">
        <w:rPr>
          <w:rFonts w:ascii="Calibri" w:hAnsi="Calibri" w:cs="Arial"/>
          <w:vertAlign w:val="superscript"/>
        </w:rPr>
        <w:t>nd</w:t>
      </w:r>
      <w:r>
        <w:rPr>
          <w:rFonts w:ascii="Calibri" w:hAnsi="Calibri" w:cs="Arial"/>
        </w:rPr>
        <w:t xml:space="preserve"> generation PMO’s). </w:t>
      </w:r>
      <w:r w:rsidR="00FF5E56">
        <w:rPr>
          <w:rFonts w:ascii="Calibri" w:hAnsi="Calibri" w:cs="Arial"/>
        </w:rPr>
        <w:t>Perhaps not surprisingly,</w:t>
      </w:r>
      <w:r w:rsidR="00CF6996">
        <w:rPr>
          <w:rFonts w:ascii="Calibri" w:hAnsi="Calibri" w:cs="Arial"/>
        </w:rPr>
        <w:t xml:space="preserve"> eteplirsen was shown to increase average production of dystrophin, only by 0.93% (</w:t>
      </w:r>
      <w:r w:rsidR="00087564">
        <w:rPr>
          <w:rFonts w:ascii="Calibri" w:hAnsi="Calibri" w:cs="Arial"/>
        </w:rPr>
        <w:t xml:space="preserve">range: </w:t>
      </w:r>
      <w:r w:rsidR="00CF6996">
        <w:rPr>
          <w:rFonts w:ascii="Calibri" w:hAnsi="Calibri" w:cs="Arial"/>
        </w:rPr>
        <w:t>0.00% –</w:t>
      </w:r>
      <w:r w:rsidR="00FF5E56">
        <w:rPr>
          <w:rFonts w:ascii="Calibri" w:hAnsi="Calibri" w:cs="Arial"/>
        </w:rPr>
        <w:t xml:space="preserve"> </w:t>
      </w:r>
      <w:r w:rsidR="00CF6996">
        <w:rPr>
          <w:rFonts w:ascii="Calibri" w:hAnsi="Calibri" w:cs="Arial"/>
        </w:rPr>
        <w:t>2.47%) within dystrophin positive fibers (16.0%; range</w:t>
      </w:r>
      <w:r w:rsidR="00087564">
        <w:rPr>
          <w:rFonts w:ascii="Calibri" w:hAnsi="Calibri" w:cs="Arial"/>
        </w:rPr>
        <w:t>:</w:t>
      </w:r>
      <w:r w:rsidR="00CF6996">
        <w:rPr>
          <w:rFonts w:ascii="Calibri" w:hAnsi="Calibri" w:cs="Arial"/>
        </w:rPr>
        <w:t xml:space="preserve"> 1.40% - 33.5%)</w:t>
      </w:r>
      <w:r w:rsidR="00E31E0A">
        <w:rPr>
          <w:rFonts w:ascii="Calibri" w:hAnsi="Calibri" w:cs="Arial"/>
        </w:rPr>
        <w:t xml:space="preserve"> </w:t>
      </w:r>
      <w:r w:rsidR="00E31E0A">
        <w:rPr>
          <w:rFonts w:ascii="Calibri" w:hAnsi="Calibri" w:cs="Arial"/>
        </w:rPr>
        <w:fldChar w:fldCharType="begin" w:fldLock="1"/>
      </w:r>
      <w:r w:rsidR="00A21669">
        <w:rPr>
          <w:rFonts w:ascii="Calibri" w:hAnsi="Calibri" w:cs="Arial"/>
        </w:rPr>
        <w:instrText>ADDIN CSL_CITATION { "citationItems" : [ { "id" : "ITEM-1", "itemData" : { "DOI" : "10.1016/j.ymgme.2016.04.001", "ISSN" : "10967192", "author" : [ { "dropping-particle" : "", "family" : "Miceli", "given" : "M. Carrie", "non-dropping-particle" : "", "parse-names" : false, "suffix" : "" }, { "dropping-particle" : "", "family" : "Nelson", "given" : "Stanley F.", "non-dropping-particle" : "", "parse-names" : false, "suffix" : "" } ], "container-title" : "Molecular Genetics and Metabolism", "id" : "ITEM-1", "issue" : "2", "issued" : { "date-parts" : [ [ "2016" ] ] }, "page" : "70-71", "title" : "The case for eteplirsen: Paving the way for precision medicine", "type" : "article", "volume" : "118" }, "uris" : [ "http://www.mendeley.com/documents/?uuid=bce37d74-b913-3d5a-ad06-18e5729ee2c3" ] } ], "mendeley" : { "formattedCitation" : "(Miceli &amp; Nelson, 2016)", "plainTextFormattedCitation" : "(Miceli &amp; Nelson, 2016)", "previouslyFormattedCitation" : "(Miceli &amp; Nelson, 2016)" }, "properties" : { "noteIndex" : 0 }, "schema" : "https://github.com/citation-style-language/schema/raw/master/csl-citation.json" }</w:instrText>
      </w:r>
      <w:r w:rsidR="00E31E0A">
        <w:rPr>
          <w:rFonts w:ascii="Calibri" w:hAnsi="Calibri" w:cs="Arial"/>
        </w:rPr>
        <w:fldChar w:fldCharType="separate"/>
      </w:r>
      <w:r w:rsidR="00E31E0A" w:rsidRPr="00E31E0A">
        <w:rPr>
          <w:rFonts w:ascii="Calibri" w:hAnsi="Calibri" w:cs="Arial"/>
          <w:noProof/>
        </w:rPr>
        <w:t>(Miceli &amp; Nelson, 2016)</w:t>
      </w:r>
      <w:r w:rsidR="00E31E0A">
        <w:rPr>
          <w:rFonts w:ascii="Calibri" w:hAnsi="Calibri" w:cs="Arial"/>
        </w:rPr>
        <w:fldChar w:fldCharType="end"/>
      </w:r>
      <w:r w:rsidR="00CF6996">
        <w:rPr>
          <w:rFonts w:ascii="Calibri" w:hAnsi="Calibri" w:cs="Arial"/>
        </w:rPr>
        <w:t xml:space="preserve">. </w:t>
      </w:r>
      <w:r w:rsidR="00FF5E56">
        <w:rPr>
          <w:rFonts w:ascii="Calibri" w:hAnsi="Calibri" w:cs="Arial"/>
        </w:rPr>
        <w:t>Thus, presently, marketing approval is reported in trade press to pivot on additional efficacy data</w:t>
      </w:r>
      <w:r w:rsidR="00CF6996">
        <w:rPr>
          <w:rFonts w:ascii="Calibri" w:hAnsi="Calibri" w:cs="Arial"/>
        </w:rPr>
        <w:t xml:space="preserve"> requested by regulators, to be obtained</w:t>
      </w:r>
      <w:r w:rsidR="00FF5E56">
        <w:rPr>
          <w:rFonts w:ascii="Calibri" w:hAnsi="Calibri" w:cs="Arial"/>
        </w:rPr>
        <w:t xml:space="preserve"> from stored clinical samples.</w:t>
      </w:r>
    </w:p>
    <w:p w14:paraId="0AC8C0AE" w14:textId="77777777" w:rsidR="00D15A72" w:rsidRDefault="00D15A72" w:rsidP="005837A4">
      <w:pPr>
        <w:spacing w:line="480" w:lineRule="auto"/>
        <w:jc w:val="both"/>
        <w:rPr>
          <w:rFonts w:ascii="Calibri" w:hAnsi="Calibri" w:cs="Arial"/>
        </w:rPr>
      </w:pPr>
    </w:p>
    <w:p w14:paraId="71E9B66B" w14:textId="0FD6ACB0" w:rsidR="000172A4" w:rsidRDefault="000172A4" w:rsidP="005837A4">
      <w:pPr>
        <w:spacing w:line="480" w:lineRule="auto"/>
        <w:jc w:val="both"/>
        <w:rPr>
          <w:rFonts w:ascii="Calibri" w:hAnsi="Calibri" w:cs="Arial"/>
        </w:rPr>
      </w:pPr>
      <w:r>
        <w:rPr>
          <w:rFonts w:ascii="Calibri" w:hAnsi="Calibri" w:cs="Arial"/>
        </w:rPr>
        <w:t xml:space="preserve">PPMOs have been recently suggested to form &lt;90 nm, negatively charged micelles under physiologically relevant conditions </w:t>
      </w:r>
      <w:r>
        <w:rPr>
          <w:rFonts w:ascii="Calibri" w:hAnsi="Calibri" w:cs="Arial"/>
        </w:rPr>
        <w:fldChar w:fldCharType="begin" w:fldLock="1"/>
      </w:r>
      <w:r>
        <w:rPr>
          <w:rFonts w:ascii="Calibri" w:hAnsi="Calibri" w:cs="Arial"/>
        </w:rPr>
        <w:instrText>ADDIN CSL_CITATION { "citationItems" : [ { "id" : "ITEM-1", "itemData" : { "DOI" : "10.1021/acs.nanolett.5b00490", "ISSN" : "1530-6992", "PMID" : "26042553", "abstract" : "Antisense oligonucleotides (ASOs) have the potential to revolutionize medicine due to their ability to manipulate gene function for therapeutic purposes. ASOs are chemically modified and/or incorporated within nanoparticles to enhance their stability and cellular uptake, however, a major challenge is the poor understanding of their uptake mechanisms, which would facilitate improved ASO designs with enhanced activity and reduced toxicity. Here, we study the uptake mechanism of three therapeutically relevant ASOs (peptide-conjugated phosphorodiamidate morpholino (PPMO), 2'Omethyl phosphorothioate (2'OMe), and phosphorothioated tricyclo DNA (tcDNA) that have been optimized to induce exon skipping in models of Duchenne muscular dystrophy (DMD). We show that PPMO and tcDNA have high propensity to spontaneously self-assemble into nanoparticles. PPMO forms micelles of defined size and their net charge (zeta potential) is dependent on the medium and concentration. In biomimetic conditions and at low concentrations, PPMO obtains net negative charge and its uptake is mediated by class A scavenger receptor subtypes (SCARAs) as shown by competitive inhibition and RNAi silencing experiments in vitro. In vivo, the activity of PPMO was significantly decreased in SCARA1 knockout mice compared to wild-type animals. Additionally, we show that SCARA1 is involved in the uptake of tcDNA and 2'OMe as shown by competitive inhibition and colocalization experiments. Surface plasmon resonance binding analysis to SCARA1 demonstrated that PPMO and tcDNA have higher binding profiles to the receptor compared to 2'OMe. These results demonstrate receptor-mediated uptake for a range of therapeutic ASO chemistries, a mechanism that is dependent on their self-assembly into nanoparticles.", "author" : [ { "dropping-particle" : "", "family" : "Ezzat", "given" : "Kariem", "non-dropping-particle" : "", "parse-names" : false, "suffix" : "" }, { "dropping-particle" : "", "family" : "Aoki", "given" : "Yoshitsugu", "non-dropping-particle" : "", "parse-names" : false, "suffix" : "" }, { "dropping-particle" : "", "family" : "Koo", "given" : "Taeyoung", "non-dropping-particle" : "", "parse-names" : false, "suffix" : "" }, { "dropping-particle" : "", "family" : "McClorey", "given" : "Graham", "non-dropping-particle" : "", "parse-names" : false, "suffix" : "" }, { "dropping-particle" : "", "family" : "Benner", "given" : "Leif", "non-dropping-particle" : "", "parse-names" : false, "suffix" : "" }, { "dropping-particle" : "", "family" : "Coenen-Stass", "given" : "Anna", "non-dropping-particle" : "", "parse-names" : false, "suffix" : "" }, { "dropping-particle" : "", "family" : "O'Donovan", "given" : "Liz", "non-dropping-particle" : "", "parse-names" : false, "suffix" : "" }, { "dropping-particle" : "", "family" : "Lehto", "given" : "Taavi", "non-dropping-particle" : "", "parse-names" : false, "suffix" : "" }, { "dropping-particle" : "", "family" : "Garcia-Guerra", "given" : "Antonio", "non-dropping-particle" : "", "parse-names" : false, "suffix" : "" }, { "dropping-particle" : "", "family" : "Nordin", "given" : "Joel", "non-dropping-particle" : "", "parse-names" : false, "suffix" : "" }, { "dropping-particle" : "", "family" : "Saleh", "given" : "Amer F", "non-dropping-particle" : "", "parse-names" : false, "suffix" : "" }, { "dropping-particle" : "", "family" : "Behlke", "given" : "Mark", "non-dropping-particle" : "", "parse-names" : false, "suffix" : "" }, { "dropping-particle" : "", "family" : "Morris", "given" : "John", "non-dropping-particle" : "", "parse-names" : false, "suffix" : "" }, { "dropping-particle" : "", "family" : "Goyenvalle", "given" : "Aurelie", "non-dropping-particle" : "", "parse-names" : false, "suffix" : "" }, { "dropping-particle" : "", "family" : "Dugovic", "given" : "Branislav", "non-dropping-particle" : "", "parse-names" : false, "suffix" : "" }, { "dropping-particle" : "", "family" : "Leumann", "given" : "Christian", "non-dropping-particle" : "", "parse-names" : false, "suffix" : "" }, { "dropping-particle" : "", "family" : "Gordon", "given" : "Siamon", "non-dropping-particle" : "", "parse-names" : false, "suffix" : "" }, { "dropping-particle" : "", "family" : "Gait", "given" : "Michael J", "non-dropping-particle" : "", "parse-names" : false, "suffix" : "" }, { "dropping-particle" : "", "family" : "El-Andaloussi", "given" : "Samir", "non-dropping-particle" : "", "parse-names" : false, "suffix" : "" }, { "dropping-particle" : "", "family" : "Wood", "given" : "Matthew J A", "non-dropping-particle" : "", "parse-names" : false, "suffix" : "" } ], "container-title" : "Nano letters", "id" : "ITEM-1", "issue" : "7", "issued" : { "date-parts" : [ [ "2015", "7", "8" ] ] }, "page" : "4364-73", "title" : "Self-Assembly into Nanoparticles Is Essential for Receptor Mediated Uptake of Therapeutic Antisense Oligonucleotides.", "type" : "article-journal", "volume" : "15" }, "uris" : [ "http://www.mendeley.com/documents/?uuid=8305af4b-fd76-4345-8239-41d3d41967f9" ] } ], "mendeley" : { "formattedCitation" : "(Ezzat et al., 2015)", "plainTextFormattedCitation" : "(Ezzat et al., 2015)", "previouslyFormattedCitation" : "(Ezzat et al., 2015)" }, "properties" : { "noteIndex" : 0 }, "schema" : "https://github.com/citation-style-language/schema/raw/master/csl-citation.json" }</w:instrText>
      </w:r>
      <w:r>
        <w:rPr>
          <w:rFonts w:ascii="Calibri" w:hAnsi="Calibri" w:cs="Arial"/>
        </w:rPr>
        <w:fldChar w:fldCharType="separate"/>
      </w:r>
      <w:r w:rsidRPr="00B91104">
        <w:rPr>
          <w:rFonts w:ascii="Calibri" w:hAnsi="Calibri" w:cs="Arial"/>
          <w:noProof/>
        </w:rPr>
        <w:t>(Ezzat et al., 2015)</w:t>
      </w:r>
      <w:r>
        <w:rPr>
          <w:rFonts w:ascii="Calibri" w:hAnsi="Calibri" w:cs="Arial"/>
        </w:rPr>
        <w:fldChar w:fldCharType="end"/>
      </w:r>
      <w:r>
        <w:rPr>
          <w:rFonts w:ascii="Calibri" w:hAnsi="Calibri" w:cs="Arial"/>
        </w:rPr>
        <w:t xml:space="preserve">, leading to cellular uptake through scavenger receptors </w:t>
      </w:r>
      <w:r>
        <w:rPr>
          <w:rFonts w:ascii="Calibri" w:hAnsi="Calibri" w:cs="Arial"/>
        </w:rPr>
        <w:fldChar w:fldCharType="begin" w:fldLock="1"/>
      </w:r>
      <w:r>
        <w:rPr>
          <w:rFonts w:ascii="Calibri" w:hAnsi="Calibri" w:cs="Arial"/>
        </w:rPr>
        <w:instrText>ADDIN CSL_CITATION { "citationItems" : [ { "id" : "ITEM-1", "itemData" : { "DOI" : "10.1096/fj.11-191536", "ISSN" : "1530-6860", "PMID" : "22138034", "abstract" : "Cell-penetrating peptides (CPPs) are short cationic peptides that penetrate cells by interacting with the negatively charged plasma membrane; however, the detailed uptake mechanism is not clear. In contrary to the conventional mode of action of CPPs, we show here that a CPP, PepFect14 (PF14), forms negatively charged nanocomplexes with oligonucleotides and their uptake is mediated by class-A scavenger receptors (SCARAs). Specific inhibitory ligands of SCARAs, such as fucoidin, polyinosinic acid, and dextran sulfate, totally inhibit the activity of PF14-oligonucleotide nanocomplexes in the HeLa pLuc705 splice-correction cell model, while nonspecific, chemically related molecules do not. Furthermore, RNA interference (RNAi) knockdown of SCARA subtypes (SCARA3 and SCARA5) that are expressed in this cell line led to a significant reduction of the activity to &lt;50%. In line with this, immunostaining shows prevalent colocalization of the nanocomplexes with the receptors, and electron microscopy images show no binding or internalization of the nanocomplexes in the presence of the inhibitory ligands. Interestingly, naked oligonucleotides also colocalize with SCARAs when used at high concentrations. These results demonstrate the involvement of SCARA3 and SCARA5 in the uptake of PF14-oligonucleotide nanocomplexes and suggest for the first time that some CPP-based systems function through scavenger receptors, which could yield novel possibilities to understand and improve the transfection by CPPs.", "author" : [ { "dropping-particle" : "", "family" : "Ezzat", "given" : "Kariem", "non-dropping-particle" : "", "parse-names" : false, "suffix" : "" }, { "dropping-particle" : "", "family" : "Helmfors", "given" : "Henrik", "non-dropping-particle" : "", "parse-names" : false, "suffix" : "" }, { "dropping-particle" : "", "family" : "Tudoran", "given" : "Oana", "non-dropping-particle" : "", "parse-names" : false, "suffix" : "" }, { "dropping-particle" : "", "family" : "Juks", "given" : "Carmen", "non-dropping-particle" : "", "parse-names" : false, "suffix" : "" }, { "dropping-particle" : "", "family" : "Lindberg", "given" : "Staffan", "non-dropping-particle" : "", "parse-names" : false, "suffix" : "" }, { "dropping-particle" : "", "family" : "Padari", "given" : "K\u00e4rt", "non-dropping-particle" : "", "parse-names" : false, "suffix" : "" }, { "dropping-particle" : "", "family" : "El-Andaloussi", "given" : "Samir", "non-dropping-particle" : "", "parse-names" : false, "suffix" : "" }, { "dropping-particle" : "", "family" : "Pooga", "given" : "Margus", "non-dropping-particle" : "", "parse-names" : false, "suffix" : "" }, { "dropping-particle" : "", "family" : "Langel", "given" : "Ulo", "non-dropping-particle" : "", "parse-names" : false, "suffix" : "" } ], "container-title" : "FASEB journal : official publication of the Federation of American Societies for Experimental Biology", "id" : "ITEM-1", "issue" : "3", "issued" : { "date-parts" : [ [ "2012", "3", "1" ] ] }, "page" : "1172-80", "title" : "Scavenger receptor-mediated uptake of cell-penetrating peptide nanocomplexes with oligonucleotides.", "type" : "article-journal", "volume" : "26" }, "uris" : [ "http://www.mendeley.com/documents/?uuid=ed6dc2e4-8ab3-4aa4-9182-55ce0aab1948" ] }, { "id" : "ITEM-2", "itemData" : { "DOI" : "10.1021/acs.nanolett.5b00490", "ISSN" : "1530-6992", "PMID" : "26042553", "abstract" : "Antisense oligonucleotides (ASOs) have the potential to revolutionize medicine due to their ability to manipulate gene function for therapeutic purposes. ASOs are chemically modified and/or incorporated within nanoparticles to enhance their stability and cellular uptake, however, a major challenge is the poor understanding of their uptake mechanisms, which would facilitate improved ASO designs with enhanced activity and reduced toxicity. Here, we study the uptake mechanism of three therapeutically relevant ASOs (peptide-conjugated phosphorodiamidate morpholino (PPMO), 2'Omethyl phosphorothioate (2'OMe), and phosphorothioated tricyclo DNA (tcDNA) that have been optimized to induce exon skipping in models of Duchenne muscular dystrophy (DMD). We show that PPMO and tcDNA have high propensity to spontaneously self-assemble into nanoparticles. PPMO forms micelles of defined size and their net charge (zeta potential) is dependent on the medium and concentration. In biomimetic conditions and at low concentrations, PPMO obtains net negative charge and its uptake is mediated by class A scavenger receptor subtypes (SCARAs) as shown by competitive inhibition and RNAi silencing experiments in vitro. In vivo, the activity of PPMO was significantly decreased in SCARA1 knockout mice compared to wild-type animals. Additionally, we show that SCARA1 is involved in the uptake of tcDNA and 2'OMe as shown by competitive inhibition and colocalization experiments. Surface plasmon resonance binding analysis to SCARA1 demonstrated that PPMO and tcDNA have higher binding profiles to the receptor compared to 2'OMe. These results demonstrate receptor-mediated uptake for a range of therapeutic ASO chemistries, a mechanism that is dependent on their self-assembly into nanoparticles.", "author" : [ { "dropping-particle" : "", "family" : "Ezzat", "given" : "Kariem", "non-dropping-particle" : "", "parse-names" : false, "suffix" : "" }, { "dropping-particle" : "", "family" : "Aoki", "given" : "Yoshitsugu", "non-dropping-particle" : "", "parse-names" : false, "suffix" : "" }, { "dropping-particle" : "", "family" : "Koo", "given" : "Taeyoung", "non-dropping-particle" : "", "parse-names" : false, "suffix" : "" }, { "dropping-particle" : "", "family" : "McClorey", "given" : "Graham", "non-dropping-particle" : "", "parse-names" : false, "suffix" : "" }, { "dropping-particle" : "", "family" : "Benner", "given" : "Leif", "non-dropping-particle" : "", "parse-names" : false, "suffix" : "" }, { "dropping-particle" : "", "family" : "Coenen-Stass", "given" : "Anna", "non-dropping-particle" : "", "parse-names" : false, "suffix" : "" }, { "dropping-particle" : "", "family" : "O'Donovan", "given" : "Liz", "non-dropping-particle" : "", "parse-names" : false, "suffix" : "" }, { "dropping-particle" : "", "family" : "Lehto", "given" : "Taavi", "non-dropping-particle" : "", "parse-names" : false, "suffix" : "" }, { "dropping-particle" : "", "family" : "Garcia-Guerra", "given" : "Antonio", "non-dropping-particle" : "", "parse-names" : false, "suffix" : "" }, { "dropping-particle" : "", "family" : "Nordin", "given" : "Joel", "non-dropping-particle" : "", "parse-names" : false, "suffix" : "" }, { "dropping-particle" : "", "family" : "Saleh", "given" : "Amer F", "non-dropping-particle" : "", "parse-names" : false, "suffix" : "" }, { "dropping-particle" : "", "family" : "Behlke", "given" : "Mark", "non-dropping-particle" : "", "parse-names" : false, "suffix" : "" }, { "dropping-particle" : "", "family" : "Morris", "given" : "John", "non-dropping-particle" : "", "parse-names" : false, "suffix" : "" }, { "dropping-particle" : "", "family" : "Goyenvalle", "given" : "Aurelie", "non-dropping-particle" : "", "parse-names" : false, "suffix" : "" }, { "dropping-particle" : "", "family" : "Dugovic", "given" : "Branislav", "non-dropping-particle" : "", "parse-names" : false, "suffix" : "" }, { "dropping-particle" : "", "family" : "Leumann", "given" : "Christian", "non-dropping-particle" : "", "parse-names" : false, "suffix" : "" }, { "dropping-particle" : "", "family" : "Gordon", "given" : "Siamon", "non-dropping-particle" : "", "parse-names" : false, "suffix" : "" }, { "dropping-particle" : "", "family" : "Gait", "given" : "Michael J", "non-dropping-particle" : "", "parse-names" : false, "suffix" : "" }, { "dropping-particle" : "", "family" : "El-Andaloussi", "given" : "Samir", "non-dropping-particle" : "", "parse-names" : false, "suffix" : "" }, { "dropping-particle" : "", "family" : "Wood", "given" : "Matthew J A", "non-dropping-particle" : "", "parse-names" : false, "suffix" : "" } ], "container-title" : "Nano letters", "id" : "ITEM-2", "issue" : "7", "issued" : { "date-parts" : [ [ "2015", "7", "8" ] ] }, "page" : "4364-73", "title" : "Self-Assembly into Nanoparticles Is Essential for Receptor Mediated Uptake of Therapeutic Antisense Oligonucleotides.", "type" : "article-journal", "volume" : "15" }, "uris" : [ "http://www.mendeley.com/documents/?uuid=8305af4b-fd76-4345-8239-41d3d41967f9" ] } ], "mendeley" : { "formattedCitation" : "(Ezzat et al., 2012, 2015)", "plainTextFormattedCitation" : "(Ezzat et al., 2012, 2015)", "previouslyFormattedCitation" : "(Ezzat et al., 2012, 2015)" }, "properties" : { "noteIndex" : 0 }, "schema" : "https://github.com/citation-style-language/schema/raw/master/csl-citation.json" }</w:instrText>
      </w:r>
      <w:r>
        <w:rPr>
          <w:rFonts w:ascii="Calibri" w:hAnsi="Calibri" w:cs="Arial"/>
        </w:rPr>
        <w:fldChar w:fldCharType="separate"/>
      </w:r>
      <w:r w:rsidRPr="008826E1">
        <w:rPr>
          <w:rFonts w:ascii="Calibri" w:hAnsi="Calibri" w:cs="Arial"/>
          <w:noProof/>
        </w:rPr>
        <w:t>(Ezzat et al., 2012, 2015)</w:t>
      </w:r>
      <w:r>
        <w:rPr>
          <w:rFonts w:ascii="Calibri" w:hAnsi="Calibri" w:cs="Arial"/>
        </w:rPr>
        <w:fldChar w:fldCharType="end"/>
      </w:r>
      <w:r>
        <w:rPr>
          <w:rFonts w:ascii="Calibri" w:hAnsi="Calibri" w:cs="Arial"/>
        </w:rPr>
        <w:t xml:space="preserve">. </w:t>
      </w:r>
      <w:r w:rsidR="00271D0D">
        <w:rPr>
          <w:rFonts w:ascii="Calibri" w:hAnsi="Calibri" w:cs="Arial"/>
        </w:rPr>
        <w:t xml:space="preserve">However, the micromolar critical micelle concentration reported by Ezzat </w:t>
      </w:r>
      <w:r w:rsidR="00271D0D" w:rsidRPr="00230205">
        <w:rPr>
          <w:rFonts w:ascii="Calibri" w:hAnsi="Calibri" w:cs="Arial"/>
          <w:i/>
        </w:rPr>
        <w:t>et al.</w:t>
      </w:r>
      <w:r w:rsidR="00271D0D">
        <w:rPr>
          <w:rFonts w:ascii="Calibri" w:hAnsi="Calibri" w:cs="Arial"/>
        </w:rPr>
        <w:t xml:space="preserve"> is higher than therapeutically relevant concentrations of drug. </w:t>
      </w:r>
      <w:r w:rsidR="00A81A41">
        <w:rPr>
          <w:rFonts w:ascii="Calibri" w:hAnsi="Calibri" w:cs="Arial"/>
        </w:rPr>
        <w:t xml:space="preserve">Although there have been </w:t>
      </w:r>
      <w:r>
        <w:rPr>
          <w:rFonts w:ascii="Calibri" w:hAnsi="Calibri" w:cs="Arial"/>
        </w:rPr>
        <w:t xml:space="preserve">eight clinical trials involving PPMOs, none have involved lung disease. However, preclinical evidence suggests </w:t>
      </w:r>
      <w:r w:rsidR="00551275">
        <w:rPr>
          <w:rFonts w:ascii="Calibri" w:hAnsi="Calibri" w:cs="Arial"/>
        </w:rPr>
        <w:t xml:space="preserve">possible </w:t>
      </w:r>
      <w:r>
        <w:rPr>
          <w:rFonts w:ascii="Calibri" w:hAnsi="Calibri" w:cs="Arial"/>
        </w:rPr>
        <w:t>efficacy after top</w:t>
      </w:r>
      <w:r w:rsidR="00DF128F">
        <w:rPr>
          <w:rFonts w:ascii="Calibri" w:hAnsi="Calibri" w:cs="Arial"/>
        </w:rPr>
        <w:t>ical administration to the lung</w:t>
      </w:r>
      <w:r>
        <w:rPr>
          <w:rFonts w:ascii="Calibri" w:hAnsi="Calibri" w:cs="Arial"/>
        </w:rPr>
        <w:t xml:space="preserve">. Thus, </w:t>
      </w:r>
      <w:r w:rsidR="00F22D3A">
        <w:rPr>
          <w:rFonts w:ascii="Calibri" w:hAnsi="Calibri" w:cs="Arial"/>
        </w:rPr>
        <w:t xml:space="preserve">targeting of the </w:t>
      </w:r>
      <w:r w:rsidR="00F22D3A" w:rsidRPr="00F22D3A">
        <w:rPr>
          <w:rFonts w:asciiTheme="majorHAnsi" w:hAnsiTheme="majorHAnsi"/>
          <w:noProof/>
        </w:rPr>
        <w:t xml:space="preserve">respiratory syncytial virus (RSV) </w:t>
      </w:r>
      <w:r w:rsidR="00F22D3A">
        <w:rPr>
          <w:rFonts w:asciiTheme="majorHAnsi" w:hAnsiTheme="majorHAnsi" w:cs="Arial"/>
        </w:rPr>
        <w:t xml:space="preserve">by </w:t>
      </w:r>
      <w:r w:rsidR="00F22D3A">
        <w:rPr>
          <w:rFonts w:asciiTheme="majorHAnsi" w:hAnsiTheme="majorHAnsi" w:cs="Arial"/>
        </w:rPr>
        <w:lastRenderedPageBreak/>
        <w:t xml:space="preserve">intranasal </w:t>
      </w:r>
      <w:r w:rsidR="005F1F3D">
        <w:rPr>
          <w:rFonts w:asciiTheme="majorHAnsi" w:hAnsiTheme="majorHAnsi" w:cs="Arial"/>
        </w:rPr>
        <w:t xml:space="preserve">(IN) dosing </w:t>
      </w:r>
      <w:r>
        <w:rPr>
          <w:rFonts w:ascii="Calibri" w:hAnsi="Calibri" w:cs="Arial"/>
        </w:rPr>
        <w:t xml:space="preserve">in mice </w:t>
      </w:r>
      <w:r w:rsidR="00DF128F">
        <w:rPr>
          <w:rFonts w:ascii="Calibri" w:hAnsi="Calibri" w:cs="Arial"/>
        </w:rPr>
        <w:t xml:space="preserve">demonstrated localized </w:t>
      </w:r>
      <w:r w:rsidR="00F22D3A">
        <w:rPr>
          <w:rFonts w:ascii="Calibri" w:hAnsi="Calibri" w:cs="Arial"/>
        </w:rPr>
        <w:t xml:space="preserve">antisense </w:t>
      </w:r>
      <w:r>
        <w:rPr>
          <w:rFonts w:ascii="Calibri" w:hAnsi="Calibri" w:cs="Arial"/>
        </w:rPr>
        <w:t xml:space="preserve">delivery to the bronchial airways </w:t>
      </w:r>
      <w:r w:rsidR="00F22D3A">
        <w:rPr>
          <w:rFonts w:ascii="Calibri" w:hAnsi="Calibri" w:cs="Arial"/>
        </w:rPr>
        <w:t xml:space="preserve">and indicated some prophylactic value </w:t>
      </w:r>
      <w:r>
        <w:rPr>
          <w:rFonts w:ascii="Calibri" w:hAnsi="Calibri" w:cs="Arial"/>
        </w:rPr>
        <w:fldChar w:fldCharType="begin" w:fldLock="1"/>
      </w:r>
      <w:r>
        <w:rPr>
          <w:rFonts w:ascii="Calibri" w:hAnsi="Calibri" w:cs="Arial"/>
        </w:rPr>
        <w:instrText>ADDIN CSL_CITATION { "citationItems" : [ { "id" : "ITEM-1", "itemData" : { "DOI" : "10.1038/mt.2008.81", "ISSN" : "1525-0024", "PMID" : "18443602", "abstract" : "Respiratory syncytial virus (RSV) is a major cause of lower respiratory tract infection in infants, young children, and high-risk adults. Currently, there is no vaccine to prevent RSV infection, and the available therapeutic agents are of limited utility. Peptide-conjugated phosphorodiamidate morpholino oligomers (PPMOs) are a class of antisense agents that can enter cells readily and interfere with viral protein expression through steric blocking of complementary RNA. Two antisense PPMOs, designed to target sequence that includes the 5'-terminal region and translation start-site region of RSV L mRNA, were tested for anti-RSV activity in cultures of two human-airway cell lines. Both PPMOs showed minimal cytotoxicity and one of them, (AUG-2), reduced viral titers by &gt;2.0 log(10). Intranasal (i.n.) treatment of BALB/c mice with AUG-2 PPMO before the RSV inoculation produced a reduction in viral titer of 1.2 log(10) in lung tissue at day 5 postinfection (p.i.), and attenuated pulmonary inflammation at day 7 postinfection. These data show that the AUG-2 PPMO possesses potent anti-RSV activity and is worthy of further investigation as a candidate for potential therapeutic application.", "author" : [ { "dropping-particle" : "", "family" : "Lai", "given" : "Shen-Hao", "non-dropping-particle" : "", "parse-names" : false, "suffix" : "" }, { "dropping-particle" : "", "family" : "Stein", "given" : "David A", "non-dropping-particle" : "", "parse-names" : false, "suffix" : "" }, { "dropping-particle" : "", "family" : "Guerrero-Plata", "given" : "Antonieta", "non-dropping-particle" : "", "parse-names" : false, "suffix" : "" }, { "dropping-particle" : "", "family" : "Liao", "given" : "Sui-Ling", "non-dropping-particle" : "", "parse-names" : false, "suffix" : "" }, { "dropping-particle" : "", "family" : "Ivanciuc", "given" : "Teodora", "non-dropping-particle" : "", "parse-names" : false, "suffix" : "" }, { "dropping-particle" : "", "family" : "Hong", "given" : "Chao", "non-dropping-particle" : "", "parse-names" : false, "suffix" : "" }, { "dropping-particle" : "", "family" : "Iversen", "given" : "Patrick L", "non-dropping-particle" : "", "parse-names" : false, "suffix" : "" }, { "dropping-particle" : "", "family" : "Casola", "given" : "Antonella", "non-dropping-particle" : "", "parse-names" : false, "suffix" : "" }, { "dropping-particle" : "", "family" : "Garofalo", "given" : "Roberto P", "non-dropping-particle" : "", "parse-names" : false, "suffix" : "" } ], "container-title" : "Molecular therapy : the journal of the American Society of Gene Therapy", "id" : "ITEM-1", "issue" : "6", "issued" : { "date-parts" : [ [ "2008", "6" ] ] }, "page" : "1120-8", "title" : "Inhibition of respiratory syncytial virus infections with morpholino oligomers in cell cultures and in mice.", "type" : "article-journal", "volume" : "16" }, "uris" : [ "http://www.mendeley.com/documents/?uuid=c5716c66-96c8-46aa-8ca0-d18ac3f26411" ] }, { "id" : "ITEM-2", "itemData" : { "DOI" : "10.1007/s00705-008-0067-0", "ISSN" : "0304-8608", "PMID" : "18369525", "abstract" : "New methods to combat influenza A virus (FLUAV) in humans and animals are needed. The H3N8 subtype virus was the cause of the pandemic of 1890 and has recently undergone cross-species transmission from horses to dogs in the USA. In 2007 H3N8 spread to Australia, a continent previously devoid of equine influenza. Here, we show that antisense-peptide-conjugated phosphorodiamidate morpholino oligomers (PPMOs), delivered by intranasal administration, are able to inhibit the replication of FLUAV A/Eq/Miami/1/63 (H3N8) in mice by over 95% compared to controls. Monitoring of body weight and immune cell infiltrates in the lungs of noninfected mice indicated that PPMO treatment was not toxic at a concentration shown to be effectively antiviral in vivo. In addition, we detected a naturally occurring mutation within the PPMO target site of a viral gene that may be the cause of resistance to one of the two antisense PPMO sequences tested. These data indicate that PPMOs targeting highly conserved regions of FLUAV are promising novel therapeutic candidates.", "author" : [ { "dropping-particle" : "", "family" : "Lupfer", "given" : "Christopher", "non-dropping-particle" : "", "parse-names" : false, "suffix" : "" }, { "dropping-particle" : "", "family" : "Stein", "given" : "David A", "non-dropping-particle" : "", "parse-names" : false, "suffix" : "" }, { "dropping-particle" : "V", "family" : "Mourich", "given" : "Dan", "non-dropping-particle" : "", "parse-names" : false, "suffix" : "" }, { "dropping-particle" : "", "family" : "Tepper", "given" : "Samuel E", "non-dropping-particle" : "", "parse-names" : false, "suffix" : "" }, { "dropping-particle" : "", "family" : "Iversen", "given" : "Patrick L", "non-dropping-particle" : "", "parse-names" : false, "suffix" : "" }, { "dropping-particle" : "", "family" : "Pastey", "given" : "Manoj", "non-dropping-particle" : "", "parse-names" : false, "suffix" : "" } ], "container-title" : "Archives of virology", "id" : "ITEM-2", "issue" : "5", "issued" : { "date-parts" : [ [ "2008", "1" ] ] }, "page" : "929-37", "title" : "Inhibition of influenza A H3N8 virus infections in mice by morpholino oligomers.", "type" : "article-journal", "volume" : "153" }, "uris" : [ "http://www.mendeley.com/documents/?uuid=a6adc073-8b3e-4313-83c2-cd026b27c153" ] } ], "mendeley" : { "formattedCitation" : "(S.-H. Lai et al., 2008; Lupfer et al., 2008)", "plainTextFormattedCitation" : "(S.-H. Lai et al., 2008; Lupfer et al., 2008)", "previouslyFormattedCitation" : "(S.-H. Lai et al., 2008; Lupfer et al., 2008)" }, "properties" : { "noteIndex" : 0 }, "schema" : "https://github.com/citation-style-language/schema/raw/master/csl-citation.json" }</w:instrText>
      </w:r>
      <w:r>
        <w:rPr>
          <w:rFonts w:ascii="Calibri" w:hAnsi="Calibri" w:cs="Arial"/>
        </w:rPr>
        <w:fldChar w:fldCharType="separate"/>
      </w:r>
      <w:r w:rsidRPr="005F09AC">
        <w:rPr>
          <w:rFonts w:ascii="Calibri" w:hAnsi="Calibri" w:cs="Arial"/>
          <w:noProof/>
        </w:rPr>
        <w:t>(S.-H. Lai et al., 2008; Lupfer et al., 2008)</w:t>
      </w:r>
      <w:r>
        <w:rPr>
          <w:rFonts w:ascii="Calibri" w:hAnsi="Calibri" w:cs="Arial"/>
        </w:rPr>
        <w:fldChar w:fldCharType="end"/>
      </w:r>
      <w:r w:rsidR="00271D0D">
        <w:rPr>
          <w:rFonts w:ascii="Calibri" w:hAnsi="Calibri" w:cs="Arial"/>
        </w:rPr>
        <w:t xml:space="preserve"> if the drug was dosed within a limited window ahead of virus challenge</w:t>
      </w:r>
      <w:r w:rsidR="00F22D3A">
        <w:rPr>
          <w:rFonts w:ascii="Calibri" w:hAnsi="Calibri" w:cs="Arial"/>
        </w:rPr>
        <w:t>.</w:t>
      </w:r>
      <w:r>
        <w:rPr>
          <w:rFonts w:ascii="Calibri" w:hAnsi="Calibri" w:cs="Arial"/>
        </w:rPr>
        <w:t xml:space="preserve"> Therapeutic value, however, was questionable since</w:t>
      </w:r>
      <w:r w:rsidR="005F1F3D">
        <w:rPr>
          <w:rFonts w:ascii="Calibri" w:hAnsi="Calibri" w:cs="Arial"/>
        </w:rPr>
        <w:t xml:space="preserve"> only a modest,</w:t>
      </w:r>
      <w:r>
        <w:rPr>
          <w:rFonts w:ascii="Calibri" w:hAnsi="Calibri" w:cs="Arial"/>
        </w:rPr>
        <w:t xml:space="preserve"> &lt;65% reduction of viral titers was reported </w:t>
      </w:r>
      <w:r>
        <w:rPr>
          <w:rFonts w:ascii="Calibri" w:hAnsi="Calibri" w:cs="Arial"/>
        </w:rPr>
        <w:fldChar w:fldCharType="begin" w:fldLock="1"/>
      </w:r>
      <w:r>
        <w:rPr>
          <w:rFonts w:ascii="Calibri" w:hAnsi="Calibri" w:cs="Arial"/>
        </w:rPr>
        <w:instrText>ADDIN CSL_CITATION { "citationItems" : [ { "id" : "ITEM-1", "itemData" : { "DOI" : "10.1038/mt.2008.81", "ISSN" : "1525-0024", "PMID" : "18443602", "abstract" : "Respiratory syncytial virus (RSV) is a major cause of lower respiratory tract infection in infants, young children, and high-risk adults. Currently, there is no vaccine to prevent RSV infection, and the available therapeutic agents are of limited utility. Peptide-conjugated phosphorodiamidate morpholino oligomers (PPMOs) are a class of antisense agents that can enter cells readily and interfere with viral protein expression through steric blocking of complementary RNA. Two antisense PPMOs, designed to target sequence that includes the 5'-terminal region and translation start-site region of RSV L mRNA, were tested for anti-RSV activity in cultures of two human-airway cell lines. Both PPMOs showed minimal cytotoxicity and one of them, (AUG-2), reduced viral titers by &gt;2.0 log(10). Intranasal (i.n.) treatment of BALB/c mice with AUG-2 PPMO before the RSV inoculation produced a reduction in viral titer of 1.2 log(10) in lung tissue at day 5 postinfection (p.i.), and attenuated pulmonary inflammation at day 7 postinfection. These data show that the AUG-2 PPMO possesses potent anti-RSV activity and is worthy of further investigation as a candidate for potential therapeutic application.", "author" : [ { "dropping-particle" : "", "family" : "Lai", "given" : "Shen-Hao", "non-dropping-particle" : "", "parse-names" : false, "suffix" : "" }, { "dropping-particle" : "", "family" : "Stein", "given" : "David A", "non-dropping-particle" : "", "parse-names" : false, "suffix" : "" }, { "dropping-particle" : "", "family" : "Guerrero-Plata", "given" : "Antonieta", "non-dropping-particle" : "", "parse-names" : false, "suffix" : "" }, { "dropping-particle" : "", "family" : "Liao", "given" : "Sui-Ling", "non-dropping-particle" : "", "parse-names" : false, "suffix" : "" }, { "dropping-particle" : "", "family" : "Ivanciuc", "given" : "Teodora", "non-dropping-particle" : "", "parse-names" : false, "suffix" : "" }, { "dropping-particle" : "", "family" : "Hong", "given" : "Chao", "non-dropping-particle" : "", "parse-names" : false, "suffix" : "" }, { "dropping-particle" : "", "family" : "Iversen", "given" : "Patrick L", "non-dropping-particle" : "", "parse-names" : false, "suffix" : "" }, { "dropping-particle" : "", "family" : "Casola", "given" : "Antonella", "non-dropping-particle" : "", "parse-names" : false, "suffix" : "" }, { "dropping-particle" : "", "family" : "Garofalo", "given" : "Roberto P", "non-dropping-particle" : "", "parse-names" : false, "suffix" : "" } ], "container-title" : "Molecular therapy : the journal of the American Society of Gene Therapy", "id" : "ITEM-1", "issue" : "6", "issued" : { "date-parts" : [ [ "2008", "6" ] ] }, "page" : "1120-8", "title" : "Inhibition of respiratory syncytial virus infections with morpholino oligomers in cell cultures and in mice.", "type" : "article-journal", "volume" : "16" }, "uris" : [ "http://www.mendeley.com/documents/?uuid=c5716c66-96c8-46aa-8ca0-d18ac3f26411" ] } ], "mendeley" : { "formattedCitation" : "(S.-H. Lai et al., 2008)", "plainTextFormattedCitation" : "(S.-H. Lai et al., 2008)", "previouslyFormattedCitation" : "(S.-H. Lai et al., 2008)" }, "properties" : { "noteIndex" : 0 }, "schema" : "https://github.com/citation-style-language/schema/raw/master/csl-citation.json" }</w:instrText>
      </w:r>
      <w:r>
        <w:rPr>
          <w:rFonts w:ascii="Calibri" w:hAnsi="Calibri" w:cs="Arial"/>
        </w:rPr>
        <w:fldChar w:fldCharType="separate"/>
      </w:r>
      <w:r w:rsidRPr="00322071">
        <w:rPr>
          <w:rFonts w:ascii="Calibri" w:hAnsi="Calibri" w:cs="Arial"/>
          <w:noProof/>
        </w:rPr>
        <w:t>(S.-H. Lai et al., 2008)</w:t>
      </w:r>
      <w:r>
        <w:rPr>
          <w:rFonts w:ascii="Calibri" w:hAnsi="Calibri" w:cs="Arial"/>
        </w:rPr>
        <w:fldChar w:fldCharType="end"/>
      </w:r>
      <w:r w:rsidR="005F1F3D">
        <w:rPr>
          <w:rFonts w:ascii="Calibri" w:hAnsi="Calibri" w:cs="Arial"/>
        </w:rPr>
        <w:t xml:space="preserve">. </w:t>
      </w:r>
      <w:r w:rsidR="00D15A72">
        <w:rPr>
          <w:rFonts w:ascii="Calibri" w:hAnsi="Calibri" w:cs="Arial"/>
        </w:rPr>
        <w:t>Curiously</w:t>
      </w:r>
      <w:r w:rsidR="005F1F3D">
        <w:rPr>
          <w:rFonts w:ascii="Calibri" w:hAnsi="Calibri" w:cs="Arial"/>
        </w:rPr>
        <w:t>, the extent of virologic response was comparable to the</w:t>
      </w:r>
      <w:r>
        <w:rPr>
          <w:rFonts w:ascii="Calibri" w:hAnsi="Calibri" w:cs="Arial"/>
        </w:rPr>
        <w:t xml:space="preserve"> ~50%</w:t>
      </w:r>
      <w:r w:rsidR="005F1F3D">
        <w:rPr>
          <w:rFonts w:ascii="Calibri" w:hAnsi="Calibri" w:cs="Arial"/>
        </w:rPr>
        <w:t xml:space="preserve"> reduction of </w:t>
      </w:r>
      <w:r w:rsidR="002F592A">
        <w:rPr>
          <w:rFonts w:ascii="Calibri" w:hAnsi="Calibri" w:cs="Arial"/>
        </w:rPr>
        <w:t xml:space="preserve">transcript levels for </w:t>
      </w:r>
      <w:r w:rsidR="005F1F3D">
        <w:rPr>
          <w:rFonts w:ascii="Calibri" w:hAnsi="Calibri" w:cs="Arial"/>
        </w:rPr>
        <w:t>endogenous RNA</w:t>
      </w:r>
      <w:r w:rsidR="002F592A">
        <w:rPr>
          <w:rFonts w:ascii="Calibri" w:hAnsi="Calibri" w:cs="Arial"/>
        </w:rPr>
        <w:t>s</w:t>
      </w:r>
      <w:r w:rsidR="005F1F3D">
        <w:rPr>
          <w:rFonts w:ascii="Calibri" w:hAnsi="Calibri" w:cs="Arial"/>
        </w:rPr>
        <w:t xml:space="preserve"> when these were targeted by PPMOs </w:t>
      </w:r>
      <w:r>
        <w:rPr>
          <w:rFonts w:ascii="Calibri" w:hAnsi="Calibri" w:cs="Arial"/>
        </w:rPr>
        <w:fldChar w:fldCharType="begin" w:fldLock="1"/>
      </w:r>
      <w:r>
        <w:rPr>
          <w:rFonts w:ascii="Calibri" w:hAnsi="Calibri" w:cs="Arial"/>
        </w:rPr>
        <w:instrText>ADDIN CSL_CITATION { "citationItems" : [ { "id" : "ITEM-1", "itemData" : { "DOI" : "10.1016/j.immuni.2014.04.018", "ISSN" : "1097-4180", "PMID" : "24882218", "abstract" : "Type I interferons (IFN-I) are essential antiviral cytokines produced upon microbial infection. IFN-I elicits this activity through the upregulation of hundreds of\u00a0IFN-I-stimulated genes (ISGs). The full breadth of ISG induction demands activation of a number of cellular factors including the I\u03baB kinase epsilon (IKK\u03b5). However, the mechanism of IKK\u03b5 activation upon IFN receptor signaling has remained elusive. Here we show that TRIM6, a member of the E3-ubiquitin ligase tripartite motif (TRIM) family of proteins, interacted with IKK\u03b5 and promoted induction of IKK\u03b5-dependent ISGs. TRIM6 and the E2-ubiquitin conjugase UbE2K cooperated in the synthesis of unanchored K48-linked polyubiquitin chains, which activated IKK\u03b5 for subsequent STAT1 phosphorylation. Our work attributes a previously unrecognized activating role of K48-linked unanchored polyubiquitin chains in kinase activation and identifies the UbE2K-TRIM6-ubiquitin axis as critical for IFN signaling and antiviral response.", "author" : [ { "dropping-particle" : "", "family" : "Rajsbaum", "given" : "Ricardo", "non-dropping-particle" : "", "parse-names" : false, "suffix" : "" }, { "dropping-particle" : "", "family" : "Versteeg", "given" : "Gijs A", "non-dropping-particle" : "", "parse-names" : false, "suffix" : "" }, { "dropping-particle" : "", "family" : "Schmid", "given" : "Sonja", "non-dropping-particle" : "", "parse-names" : false, "suffix" : "" }, { "dropping-particle" : "", "family" : "Maestre", "given" : "Ana M", "non-dropping-particle" : "", "parse-names" : false, "suffix" : "" }, { "dropping-particle" : "", "family" : "Belicha-Villanueva", "given" : "Alan", "non-dropping-particle" : "", "parse-names" : false, "suffix" : "" }, { "dropping-particle" : "", "family" : "Mart\u00ednez-Romero", "given" : "Carles", "non-dropping-particle" : "", "parse-names" : false, "suffix" : "" }, { "dropping-particle" : "", "family" : "Patel", "given" : "Jenish R", "non-dropping-particle" : "", "parse-names" : false, "suffix" : "" }, { "dropping-particle" : "", "family" : "Morrison", "given" : "Juliet", "non-dropping-particle" : "", "parse-names" : false, "suffix" : "" }, { "dropping-particle" : "", "family" : "Pisanelli", "given" : "Giuseppe", "non-dropping-particle" : "", "parse-names" : false, "suffix" : "" }, { "dropping-particle" : "", "family" : "Miorin", "given" : "Lisa", "non-dropping-particle" : "", "parse-names" : false, "suffix" : "" }, { "dropping-particle" : "", "family" : "Laurent-Rolle", "given" : "Maudry", "non-dropping-particle" : "", "parse-names" : false, "suffix" : "" }, { "dropping-particle" : "", "family" : "Moulton", "given" : "Hong M", "non-dropping-particle" : "", "parse-names" : false, "suffix" : "" }, { "dropping-particle" : "", "family" : "Stein", "given" : "David A", "non-dropping-particle" : "", "parse-names" : false, "suffix" : "" }, { "dropping-particle" : "", "family" : "Fernandez-Sesma", "given" : "Ana", "non-dropping-particle" : "", "parse-names" : false, "suffix" : "" }, { "dropping-particle" : "", "family" : "tenOever", "given" : "Benjamin R", "non-dropping-particle" : "", "parse-names" : false, "suffix" : "" }, { "dropping-particle" : "", "family" : "Garc\u00eda-Sastre", "given" : "Adolfo", "non-dropping-particle" : "", "parse-names" : false, "suffix" : "" } ], "container-title" : "Immunity", "id" : "ITEM-1", "issue" : "6", "issued" : { "date-parts" : [ [ "2014", "6", "19" ] ] }, "page" : "880-95", "title" : "Unanchored K48-linked polyubiquitin synthesized by the E3-ubiquitin ligase TRIM6 stimulates the interferon-IKK\u03b5 kinase-mediated antiviral response.", "type" : "article-journal", "volume" : "40" }, "uris" : [ "http://www.mendeley.com/documents/?uuid=21422826-2ecd-4e8e-a2a0-e5d40f09af32" ] } ], "mendeley" : { "formattedCitation" : "(Rajsbaum et al., 2014)", "plainTextFormattedCitation" : "(Rajsbaum et al., 2014)", "previouslyFormattedCitation" : "(Rajsbaum et al., 2014)" }, "properties" : { "noteIndex" : 0 }, "schema" : "https://github.com/citation-style-language/schema/raw/master/csl-citation.json" }</w:instrText>
      </w:r>
      <w:r>
        <w:rPr>
          <w:rFonts w:ascii="Calibri" w:hAnsi="Calibri" w:cs="Arial"/>
        </w:rPr>
        <w:fldChar w:fldCharType="separate"/>
      </w:r>
      <w:r w:rsidRPr="002753D2">
        <w:rPr>
          <w:rFonts w:ascii="Calibri" w:hAnsi="Calibri" w:cs="Arial"/>
          <w:noProof/>
        </w:rPr>
        <w:t>(Rajsbaum et al., 2014)</w:t>
      </w:r>
      <w:r>
        <w:rPr>
          <w:rFonts w:ascii="Calibri" w:hAnsi="Calibri" w:cs="Arial"/>
        </w:rPr>
        <w:fldChar w:fldCharType="end"/>
      </w:r>
      <w:r>
        <w:rPr>
          <w:rFonts w:ascii="Calibri" w:hAnsi="Calibri" w:cs="Arial"/>
        </w:rPr>
        <w:t>.</w:t>
      </w:r>
      <w:r w:rsidR="002F592A">
        <w:rPr>
          <w:rFonts w:ascii="Calibri" w:hAnsi="Calibri" w:cs="Arial"/>
        </w:rPr>
        <w:t xml:space="preserve"> </w:t>
      </w:r>
      <w:r w:rsidR="00D15A72">
        <w:rPr>
          <w:rFonts w:ascii="Calibri" w:hAnsi="Calibri" w:cs="Arial"/>
        </w:rPr>
        <w:t>Yet</w:t>
      </w:r>
      <w:r w:rsidR="002F592A">
        <w:rPr>
          <w:rFonts w:ascii="Calibri" w:hAnsi="Calibri" w:cs="Arial"/>
        </w:rPr>
        <w:t xml:space="preserve"> efficacious antivirals </w:t>
      </w:r>
      <w:r w:rsidR="009565BC">
        <w:rPr>
          <w:rFonts w:ascii="Calibri" w:hAnsi="Calibri" w:cs="Arial"/>
        </w:rPr>
        <w:t xml:space="preserve">typically </w:t>
      </w:r>
      <w:r w:rsidR="002F592A">
        <w:rPr>
          <w:rFonts w:ascii="Calibri" w:hAnsi="Calibri" w:cs="Arial"/>
        </w:rPr>
        <w:t xml:space="preserve">induce </w:t>
      </w:r>
      <w:r w:rsidR="009565BC">
        <w:rPr>
          <w:rFonts w:ascii="Calibri" w:hAnsi="Calibri" w:cs="Arial"/>
        </w:rPr>
        <w:t xml:space="preserve">acute, </w:t>
      </w:r>
      <w:r w:rsidR="002F592A">
        <w:rPr>
          <w:rFonts w:ascii="Calibri" w:hAnsi="Calibri" w:cs="Arial"/>
        </w:rPr>
        <w:t xml:space="preserve">multi-log (i.e. &gt;99.9%) </w:t>
      </w:r>
      <w:r w:rsidR="009565BC">
        <w:rPr>
          <w:rFonts w:ascii="Calibri" w:hAnsi="Calibri" w:cs="Arial"/>
        </w:rPr>
        <w:t xml:space="preserve">drops </w:t>
      </w:r>
      <w:r w:rsidR="002F592A">
        <w:rPr>
          <w:rFonts w:ascii="Calibri" w:hAnsi="Calibri" w:cs="Arial"/>
        </w:rPr>
        <w:t xml:space="preserve">in viral target </w:t>
      </w:r>
      <w:r w:rsidR="009565BC">
        <w:rPr>
          <w:rFonts w:ascii="Calibri" w:hAnsi="Calibri" w:cs="Arial"/>
        </w:rPr>
        <w:t>titers</w:t>
      </w:r>
      <w:r w:rsidR="00551275">
        <w:rPr>
          <w:rFonts w:ascii="Calibri" w:hAnsi="Calibri" w:cs="Arial"/>
        </w:rPr>
        <w:t>, typically below the assay limit of detection across a 6-8 log range</w:t>
      </w:r>
      <w:r w:rsidR="002F592A">
        <w:rPr>
          <w:rFonts w:ascii="Calibri" w:hAnsi="Calibri" w:cs="Arial"/>
        </w:rPr>
        <w:t>.</w:t>
      </w:r>
      <w:r>
        <w:rPr>
          <w:rFonts w:ascii="Calibri" w:hAnsi="Calibri" w:cs="Arial"/>
        </w:rPr>
        <w:t xml:space="preserve"> </w:t>
      </w:r>
      <w:r w:rsidR="00F22D3A">
        <w:rPr>
          <w:rFonts w:ascii="Calibri" w:hAnsi="Calibri" w:cs="Arial"/>
        </w:rPr>
        <w:t xml:space="preserve">Similar results were reported in piglets </w:t>
      </w:r>
      <w:r w:rsidR="00F22D3A">
        <w:rPr>
          <w:rFonts w:ascii="Calibri" w:hAnsi="Calibri" w:cs="Arial"/>
        </w:rPr>
        <w:fldChar w:fldCharType="begin" w:fldLock="1"/>
      </w:r>
      <w:r w:rsidR="00F22D3A">
        <w:rPr>
          <w:rFonts w:ascii="Calibri" w:hAnsi="Calibri" w:cs="Arial"/>
        </w:rPr>
        <w:instrText>ADDIN CSL_CITATION { "citationItems" : [ { "id" : "ITEM-1", "itemData" : { "DOI" : "10.1016/j.antiviral.2011.04.012", "ISSN" : "1872-9096", "PMID" : "21554902", "abstract" : "Porcine reproductive and respiratory syndrome (PRRS) causes substantial economic losses to the swine industry in many countries, and current control strategies are inadequate. Previously, we explored the strategy of using peptide-conjugated phosphorodiamidate morpholino oligomers (PPMOs) to inhibit PRRS virus (PRRSV) replication. PPMOs are nuclease-resistant and single-stranded DNA analogs containing a modified backbone conjugated to a cell-penetrating peptide and can act as antisense agents through steric blockade of complementary messenger RNA. A PPMO (designated 5UP2) targeting highly conserved sequence in the 5'-terminal region of the PRRSV genome was found to produce multi-log10 inhibition of PRRSV replication in cultured cells. To evaluate 5UP2 in vivo, we here administrated the PPMO to 3-week-old piglets via intranasal instillation at 24h before, and 2 and 24h after infection with PRRSV (strain VR2385). Blood samples were collected at 6, 10 and 14 days post-infection (dpi) for detection of PRRSV RNA and antibodies. Necropsy was performed at 14 dpi. Monitoring weight gain in all piglet groups throughout the experiment indicated that PPMO was well tolerated at the doses used. PPMO 5UP2 treatment significantly reduced PRRSV viremia at 6 dpi. On day 14, piglets receiving 5UP2 had significantly less interstitial pneumonia and lower level of anti-PRRSV antibodies than untreated piglets. In alveolar macrophages isolated at the time of necropsy, the expression of antiviral genes in PPMO-treated piglets was elevated in comparison with untreated. This study provides further data indicating that the 5UP2 PPMO can be considered a candidate component for a novel PRRS control strategy.", "author" : [ { "dropping-particle" : "", "family" : "Opriessnig", "given" : "Tanja", "non-dropping-particle" : "", "parse-names" : false, "suffix" : "" }, { "dropping-particle" : "", "family" : "Patel", "given" : "Deendayal", "non-dropping-particle" : "", "parse-names" : false, "suffix" : "" }, { "dropping-particle" : "", "family" : "Wang", "given" : "Rong", "non-dropping-particle" : "", "parse-names" : false, "suffix" : "" }, { "dropping-particle" : "", "family" : "Halbur", "given" : "Patrick G", "non-dropping-particle" : "", "parse-names" : false, "suffix" : "" }, { "dropping-particle" : "", "family" : "Meng", "given" : "Xiang-Jin", "non-dropping-particle" : "", "parse-names" : false, "suffix" : "" }, { "dropping-particle" : "", "family" : "Stein", "given" : "David A", "non-dropping-particle" : "", "parse-names" : false, "suffix" : "" }, { "dropping-particle" : "", "family" : "Zhang", "given" : "Yan-Jin", "non-dropping-particle" : "", "parse-names" : false, "suffix" : "" } ], "container-title" : "Antiviral research", "id" : "ITEM-1", "issue" : "1", "issued" : { "date-parts" : [ [ "2011", "7" ] ] }, "page" : "36-42", "title" : "Inhibition of porcine reproductive and respiratory syndrome virus infection in piglets by a peptide-conjugated morpholino oligomer.", "type" : "article-journal", "volume" : "91" }, "uris" : [ "http://www.mendeley.com/documents/?uuid=cbfa3dc1-c55e-483a-86d0-31cde23950aa" ] } ], "mendeley" : { "formattedCitation" : "(Opriessnig et al., 2011)", "plainTextFormattedCitation" : "(Opriessnig et al., 2011)", "previouslyFormattedCitation" : "(Opriessnig et al., 2011)" }, "properties" : { "noteIndex" : 0 }, "schema" : "https://github.com/citation-style-language/schema/raw/master/csl-citation.json" }</w:instrText>
      </w:r>
      <w:r w:rsidR="00F22D3A">
        <w:rPr>
          <w:rFonts w:ascii="Calibri" w:hAnsi="Calibri" w:cs="Arial"/>
        </w:rPr>
        <w:fldChar w:fldCharType="separate"/>
      </w:r>
      <w:r w:rsidR="00F22D3A" w:rsidRPr="00EF63BF">
        <w:rPr>
          <w:rFonts w:ascii="Calibri" w:hAnsi="Calibri" w:cs="Arial"/>
          <w:noProof/>
        </w:rPr>
        <w:t>(Opriessnig et al., 2011)</w:t>
      </w:r>
      <w:r w:rsidR="00F22D3A">
        <w:rPr>
          <w:rFonts w:ascii="Calibri" w:hAnsi="Calibri" w:cs="Arial"/>
        </w:rPr>
        <w:fldChar w:fldCharType="end"/>
      </w:r>
      <w:r w:rsidR="00F22D3A">
        <w:rPr>
          <w:rFonts w:ascii="Calibri" w:hAnsi="Calibri" w:cs="Arial"/>
        </w:rPr>
        <w:t xml:space="preserve">, with RNase H-inactive antisense to RSV </w:t>
      </w:r>
      <w:r w:rsidR="009565BC">
        <w:rPr>
          <w:rFonts w:ascii="Calibri" w:hAnsi="Calibri" w:cs="Arial"/>
        </w:rPr>
        <w:t xml:space="preserve">inducing a </w:t>
      </w:r>
      <w:r w:rsidR="00F22D3A">
        <w:rPr>
          <w:rFonts w:ascii="Calibri" w:hAnsi="Calibri" w:cs="Arial"/>
        </w:rPr>
        <w:t>delay</w:t>
      </w:r>
      <w:r w:rsidR="005F1F3D">
        <w:rPr>
          <w:rFonts w:ascii="Calibri" w:hAnsi="Calibri" w:cs="Arial"/>
        </w:rPr>
        <w:t>,</w:t>
      </w:r>
      <w:r w:rsidR="00F22D3A">
        <w:rPr>
          <w:rFonts w:ascii="Calibri" w:hAnsi="Calibri" w:cs="Arial"/>
        </w:rPr>
        <w:t xml:space="preserve"> but not eliminat</w:t>
      </w:r>
      <w:r w:rsidR="009565BC">
        <w:rPr>
          <w:rFonts w:ascii="Calibri" w:hAnsi="Calibri" w:cs="Arial"/>
        </w:rPr>
        <w:t>ion of</w:t>
      </w:r>
      <w:r w:rsidR="00F22D3A">
        <w:rPr>
          <w:rFonts w:ascii="Calibri" w:hAnsi="Calibri" w:cs="Arial"/>
        </w:rPr>
        <w:t xml:space="preserve"> viral infection. Of relevance, development of viral mutational escape </w:t>
      </w:r>
      <w:r w:rsidR="00F22D3A">
        <w:rPr>
          <w:rFonts w:ascii="Calibri" w:hAnsi="Calibri" w:cs="Arial"/>
        </w:rPr>
        <w:fldChar w:fldCharType="begin" w:fldLock="1"/>
      </w:r>
      <w:r w:rsidR="00F22D3A">
        <w:rPr>
          <w:rFonts w:ascii="Calibri" w:hAnsi="Calibri" w:cs="Arial"/>
        </w:rPr>
        <w:instrText>ADDIN CSL_CITATION { "citationItems" : [ { "id" : "ITEM-1", "itemData" : { "DOI" : "10.1007/s00705-008-0067-0", "ISSN" : "0304-8608", "PMID" : "18369525", "abstract" : "New methods to combat influenza A virus (FLUAV) in humans and animals are needed. The H3N8 subtype virus was the cause of the pandemic of 1890 and has recently undergone cross-species transmission from horses to dogs in the USA. In 2007 H3N8 spread to Australia, a continent previously devoid of equine influenza. Here, we show that antisense-peptide-conjugated phosphorodiamidate morpholino oligomers (PPMOs), delivered by intranasal administration, are able to inhibit the replication of FLUAV A/Eq/Miami/1/63 (H3N8) in mice by over 95% compared to controls. Monitoring of body weight and immune cell infiltrates in the lungs of noninfected mice indicated that PPMO treatment was not toxic at a concentration shown to be effectively antiviral in vivo. In addition, we detected a naturally occurring mutation within the PPMO target site of a viral gene that may be the cause of resistance to one of the two antisense PPMO sequences tested. These data indicate that PPMOs targeting highly conserved regions of FLUAV are promising novel therapeutic candidates.", "author" : [ { "dropping-particle" : "", "family" : "Lupfer", "given" : "Christopher", "non-dropping-particle" : "", "parse-names" : false, "suffix" : "" }, { "dropping-particle" : "", "family" : "Stein", "given" : "David A", "non-dropping-particle" : "", "parse-names" : false, "suffix" : "" }, { "dropping-particle" : "V", "family" : "Mourich", "given" : "Dan", "non-dropping-particle" : "", "parse-names" : false, "suffix" : "" }, { "dropping-particle" : "", "family" : "Tepper", "given" : "Samuel E", "non-dropping-particle" : "", "parse-names" : false, "suffix" : "" }, { "dropping-particle" : "", "family" : "Iversen", "given" : "Patrick L", "non-dropping-particle" : "", "parse-names" : false, "suffix" : "" }, { "dropping-particle" : "", "family" : "Pastey", "given" : "Manoj", "non-dropping-particle" : "", "parse-names" : false, "suffix" : "" } ], "container-title" : "Archives of virology", "id" : "ITEM-1", "issue" : "5", "issued" : { "date-parts" : [ [ "2008", "1" ] ] }, "page" : "929-37", "title" : "Inhibition of influenza A H3N8 virus infections in mice by morpholino oligomers.", "type" : "article-journal", "volume" : "153" }, "uris" : [ "http://www.mendeley.com/documents/?uuid=a6adc073-8b3e-4313-83c2-cd026b27c153" ] } ], "mendeley" : { "formattedCitation" : "(Lupfer et al., 2008)", "plainTextFormattedCitation" : "(Lupfer et al., 2008)", "previouslyFormattedCitation" : "(Lupfer et al., 2008)" }, "properties" : { "noteIndex" : 0 }, "schema" : "https://github.com/citation-style-language/schema/raw/master/csl-citation.json" }</w:instrText>
      </w:r>
      <w:r w:rsidR="00F22D3A">
        <w:rPr>
          <w:rFonts w:ascii="Calibri" w:hAnsi="Calibri" w:cs="Arial"/>
        </w:rPr>
        <w:fldChar w:fldCharType="separate"/>
      </w:r>
      <w:r w:rsidR="00F22D3A" w:rsidRPr="00561915">
        <w:rPr>
          <w:rFonts w:ascii="Calibri" w:hAnsi="Calibri" w:cs="Arial"/>
          <w:noProof/>
        </w:rPr>
        <w:t>(Lupfer et al., 2008)</w:t>
      </w:r>
      <w:r w:rsidR="00F22D3A">
        <w:rPr>
          <w:rFonts w:ascii="Calibri" w:hAnsi="Calibri" w:cs="Arial"/>
        </w:rPr>
        <w:fldChar w:fldCharType="end"/>
      </w:r>
      <w:r w:rsidR="00F22D3A">
        <w:rPr>
          <w:rFonts w:ascii="Calibri" w:hAnsi="Calibri" w:cs="Arial"/>
        </w:rPr>
        <w:t xml:space="preserve"> has led to adoption of multi-PPMO</w:t>
      </w:r>
      <w:r w:rsidR="005F1F3D">
        <w:rPr>
          <w:rFonts w:ascii="Calibri" w:hAnsi="Calibri" w:cs="Arial"/>
        </w:rPr>
        <w:t xml:space="preserve"> strate</w:t>
      </w:r>
      <w:r w:rsidR="00D15A72">
        <w:rPr>
          <w:rFonts w:ascii="Calibri" w:hAnsi="Calibri" w:cs="Arial"/>
        </w:rPr>
        <w:t>g</w:t>
      </w:r>
      <w:r w:rsidR="005F1F3D">
        <w:rPr>
          <w:rFonts w:ascii="Calibri" w:hAnsi="Calibri" w:cs="Arial"/>
        </w:rPr>
        <w:t>ies</w:t>
      </w:r>
      <w:r w:rsidR="00F22D3A">
        <w:rPr>
          <w:rFonts w:ascii="Calibri" w:hAnsi="Calibri" w:cs="Arial"/>
        </w:rPr>
        <w:t xml:space="preserve"> and </w:t>
      </w:r>
      <w:r w:rsidR="005F1F3D">
        <w:rPr>
          <w:rFonts w:ascii="Calibri" w:hAnsi="Calibri" w:cs="Arial"/>
        </w:rPr>
        <w:t xml:space="preserve">complex </w:t>
      </w:r>
      <w:r w:rsidR="00F22D3A">
        <w:rPr>
          <w:rFonts w:ascii="Calibri" w:hAnsi="Calibri" w:cs="Arial"/>
        </w:rPr>
        <w:t xml:space="preserve">dosing </w:t>
      </w:r>
      <w:r w:rsidR="005F1F3D">
        <w:rPr>
          <w:rFonts w:ascii="Calibri" w:hAnsi="Calibri" w:cs="Arial"/>
        </w:rPr>
        <w:t>regim</w:t>
      </w:r>
      <w:r w:rsidR="00F22D3A">
        <w:rPr>
          <w:rFonts w:ascii="Calibri" w:hAnsi="Calibri" w:cs="Arial"/>
        </w:rPr>
        <w:t xml:space="preserve">es </w:t>
      </w:r>
      <w:r w:rsidR="00F22D3A">
        <w:rPr>
          <w:rFonts w:ascii="Calibri" w:hAnsi="Calibri" w:cs="Arial"/>
        </w:rPr>
        <w:fldChar w:fldCharType="begin" w:fldLock="1"/>
      </w:r>
      <w:r w:rsidR="00C8187C">
        <w:rPr>
          <w:rFonts w:ascii="Calibri" w:hAnsi="Calibri" w:cs="Arial"/>
        </w:rPr>
        <w:instrText>ADDIN CSL_CITATION { "citationItems" : [ { "id" : "ITEM-1", "itemData" : { "DOI" : "10.3390/v4112806", "ISSN" : "1999-4915", "PMID" : "23202506", "abstract" : "There are no currently approved treatments for filovirus infections. In this study we report the discovery process which led to the development of antisense Phosphorodiamidate Morpholino Oligomers (PMOs) AVI-6002 (composed of AVI-7357 and AVI-7539) and AVI-6003 (composed of AVI-7287 and AVI-7288) targeting Ebola virus and Marburg virus respectively. The discovery process involved identification of optimal transcript binding sites for PMO based RNA-therapeutics followed by screening for effective viral gene target in mouse and guinea pig models utilizing adapted viral isolates. An evolution of chemical modifications were tested, beginning with simple Phosphorodiamidate Morpholino Oligomers (PMO) transitioning to cell penetrating peptide conjugated PMOs (PPMO) and ending with PMOplus containing a limited number of positively charged linkages in the PMO structure. The initial lead compounds were combinations of two agents targeting separate genes. In the final analysis, a single agent for treatment of each virus was selected, AVI-7537 targeting the VP24 gene of Ebola virus and AVI-7288 targeting NP of Marburg virus, and are now progressing into late stage clinical development as the optimal therapeutic candidates.", "author" : [ { "dropping-particle" : "", "family" : "Iversen", "given" : "Patrick L", "non-dropping-particle" : "", "parse-names" : false, "suffix" : "" }, { "dropping-particle" : "", "family" : "Warren", "given" : "Travis K", "non-dropping-particle" : "", "parse-names" : false, "suffix" : "" }, { "dropping-particle" : "", "family" : "Wells", "given" : "Jay B", "non-dropping-particle" : "", "parse-names" : false, "suffix" : "" }, { "dropping-particle" : "", "family" : "Garza", "given" : "Nicole L", "non-dropping-particle" : "", "parse-names" : false, "suffix" : "" }, { "dropping-particle" : "V", "family" : "Mourich", "given" : "Dan", "non-dropping-particle" : "", "parse-names" : false, "suffix" : "" }, { "dropping-particle" : "", "family" : "Welch", "given" : "Lisa S", "non-dropping-particle" : "", "parse-names" : false, "suffix" : "" }, { "dropping-particle" : "", "family" : "Panchal", "given" : "Rekha G", "non-dropping-particle" : "", "parse-names" : false, "suffix" : "" }, { "dropping-particle" : "", "family" : "Bavari", "given" : "Sina", "non-dropping-particle" : "", "parse-names" : false, "suffix" : "" } ], "container-title" : "Viruses", "id" : "ITEM-1", "issue" : "11", "issued" : { "date-parts" : [ [ "2012", "11" ] ] }, "page" : "2806-30", "title" : "Discovery and early development of AVI-7537 and AVI-7288 for the treatment of Ebola virus and Marburg virus infections.", "type" : "article-journal", "volume" : "4" }, "uris" : [ "http://www.mendeley.com/documents/?uuid=fa337d9e-fa12-4f6f-a7d8-b2d7d8aa12de" ] } ], "mendeley" : { "formattedCitation" : "(Patrick L Iversen et al., 2012)", "plainTextFormattedCitation" : "(Patrick L Iversen et al., 2012)", "previouslyFormattedCitation" : "(Patrick L Iversen et al., 2012)" }, "properties" : { "noteIndex" : 0 }, "schema" : "https://github.com/citation-style-language/schema/raw/master/csl-citation.json" }</w:instrText>
      </w:r>
      <w:r w:rsidR="00F22D3A">
        <w:rPr>
          <w:rFonts w:ascii="Calibri" w:hAnsi="Calibri" w:cs="Arial"/>
        </w:rPr>
        <w:fldChar w:fldCharType="separate"/>
      </w:r>
      <w:r w:rsidR="002A25D9" w:rsidRPr="002A25D9">
        <w:rPr>
          <w:rFonts w:ascii="Calibri" w:hAnsi="Calibri" w:cs="Arial"/>
          <w:noProof/>
        </w:rPr>
        <w:t>(Patrick L Iversen et al., 2012)</w:t>
      </w:r>
      <w:r w:rsidR="00F22D3A">
        <w:rPr>
          <w:rFonts w:ascii="Calibri" w:hAnsi="Calibri" w:cs="Arial"/>
        </w:rPr>
        <w:fldChar w:fldCharType="end"/>
      </w:r>
      <w:r w:rsidR="00F22D3A">
        <w:rPr>
          <w:rFonts w:ascii="Calibri" w:hAnsi="Calibri" w:cs="Arial"/>
        </w:rPr>
        <w:t xml:space="preserve">. </w:t>
      </w:r>
      <w:r>
        <w:rPr>
          <w:rFonts w:ascii="Calibri" w:hAnsi="Calibri" w:cs="Arial"/>
        </w:rPr>
        <w:t xml:space="preserve">PPMOs </w:t>
      </w:r>
      <w:r w:rsidR="00F22D3A">
        <w:rPr>
          <w:rFonts w:ascii="Calibri" w:hAnsi="Calibri" w:cs="Arial"/>
        </w:rPr>
        <w:t xml:space="preserve">might </w:t>
      </w:r>
      <w:r>
        <w:rPr>
          <w:rFonts w:ascii="Calibri" w:hAnsi="Calibri" w:cs="Arial"/>
        </w:rPr>
        <w:t xml:space="preserve">also </w:t>
      </w:r>
      <w:r w:rsidR="00F22D3A">
        <w:rPr>
          <w:rFonts w:ascii="Calibri" w:hAnsi="Calibri" w:cs="Arial"/>
        </w:rPr>
        <w:t>be active against bacteria</w:t>
      </w:r>
      <w:r w:rsidR="005F1F3D">
        <w:rPr>
          <w:rFonts w:ascii="Calibri" w:hAnsi="Calibri" w:cs="Arial"/>
        </w:rPr>
        <w:t xml:space="preserve">, </w:t>
      </w:r>
      <w:r w:rsidR="00551275">
        <w:rPr>
          <w:rFonts w:ascii="Calibri" w:hAnsi="Calibri" w:cs="Arial"/>
        </w:rPr>
        <w:t>since</w:t>
      </w:r>
      <w:r w:rsidR="00F22D3A">
        <w:rPr>
          <w:rFonts w:ascii="Calibri" w:hAnsi="Calibri" w:cs="Arial"/>
        </w:rPr>
        <w:t xml:space="preserve"> a</w:t>
      </w:r>
      <w:r w:rsidR="009565BC">
        <w:rPr>
          <w:rFonts w:ascii="Calibri" w:hAnsi="Calibri" w:cs="Arial"/>
        </w:rPr>
        <w:t xml:space="preserve"> single, </w:t>
      </w:r>
      <w:r w:rsidR="00551275">
        <w:rPr>
          <w:rFonts w:ascii="Calibri" w:hAnsi="Calibri" w:cs="Arial"/>
        </w:rPr>
        <w:t>intranasal,</w:t>
      </w:r>
      <w:r w:rsidR="005F7075">
        <w:rPr>
          <w:rFonts w:ascii="Calibri" w:hAnsi="Calibri" w:cs="Arial"/>
        </w:rPr>
        <w:t xml:space="preserve"> </w:t>
      </w:r>
      <w:r>
        <w:rPr>
          <w:rFonts w:ascii="Calibri" w:hAnsi="Calibri" w:cs="Arial"/>
        </w:rPr>
        <w:t>0.1 mg dose of PPMO in mice</w:t>
      </w:r>
      <w:r w:rsidR="005F7075">
        <w:rPr>
          <w:rFonts w:ascii="Calibri" w:hAnsi="Calibri" w:cs="Arial"/>
        </w:rPr>
        <w:t xml:space="preserve"> </w:t>
      </w:r>
      <w:r w:rsidR="00503884">
        <w:rPr>
          <w:rFonts w:ascii="Calibri" w:hAnsi="Calibri" w:cs="Arial"/>
        </w:rPr>
        <w:t xml:space="preserve">administered </w:t>
      </w:r>
      <w:r w:rsidR="00551275">
        <w:rPr>
          <w:rFonts w:ascii="Calibri" w:hAnsi="Calibri" w:cs="Arial"/>
        </w:rPr>
        <w:t xml:space="preserve">within 5 min post-infection </w:t>
      </w:r>
      <w:r w:rsidR="005F7075">
        <w:rPr>
          <w:rFonts w:ascii="Calibri" w:hAnsi="Calibri" w:cs="Arial"/>
        </w:rPr>
        <w:t>was</w:t>
      </w:r>
      <w:r w:rsidR="00F22D3A">
        <w:rPr>
          <w:rFonts w:ascii="Calibri" w:hAnsi="Calibri" w:cs="Arial"/>
        </w:rPr>
        <w:t xml:space="preserve"> shown to be </w:t>
      </w:r>
      <w:r>
        <w:rPr>
          <w:rFonts w:ascii="Calibri" w:hAnsi="Calibri" w:cs="Arial"/>
        </w:rPr>
        <w:t>protective against respiratory challenge with multidrug resistant</w:t>
      </w:r>
      <w:r>
        <w:rPr>
          <w:rFonts w:ascii="Calibri" w:hAnsi="Calibri" w:cs="Arial"/>
          <w:i/>
        </w:rPr>
        <w:t xml:space="preserve"> Acinetobacter</w:t>
      </w:r>
      <w:r w:rsidR="009565BC">
        <w:rPr>
          <w:rFonts w:ascii="Calibri" w:hAnsi="Calibri" w:cs="Arial"/>
          <w:i/>
        </w:rPr>
        <w:t xml:space="preserve"> </w:t>
      </w:r>
      <w:r w:rsidR="009565BC">
        <w:rPr>
          <w:rFonts w:ascii="Calibri" w:hAnsi="Calibri" w:cs="Arial"/>
        </w:rPr>
        <w:t>by targeting bacterial transcripts</w:t>
      </w:r>
      <w:r w:rsidR="00F22D3A">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"10.1093/infdis/jit460", "ISSN" : "1537-6613", "PMID" : "24130069", "abstract" : "BACKGROUND: Peptide-conjugated phosphorodiamidate morpholino oligomers (PPMOs) are synthetic DNA/RNA analogues that silence expression of specific genes. We studied whether PPMOs targeted to essential genes in Acinetobacter lwoffii and Acinetobacter baumannii are active in vitro and in vivo.\n\nMETHODS: PPMOs were evaluated in vitro using minimum inhibitory concentration (MIC) and viability assays, and in vivo using murine pulmonary infection models with intranasal PPMO treatment.\n\nRESULTS: MICs of PPMOs ranged from 0.1 to 64 \u00b5M (approximately 0.6-38 \u00b5g/mL). The most effective PPMO tested was (RXR)4-AcpP, which is targeted to acpP. (RXR)4-AcpP reduced viability of A. lwoffii and A. baumannii by &gt;10(3) colony-forming units/mL at 5-8 times MIC. Mice treated with \u22650.25 mg/kg of (RXR)4-AcpP survived longer and had less inflammation and bacterial lung burden than mice treated with a scrambled-sequence PPMO or phosphate-buffered saline. Treatment could be delayed after infection and still increase survival.\n\nCONCLUSIONS: PPMOs targeted to essential genes of A. lwoffii and A. baumannii were bactericidal and had MICs in a clinically relevant range. (RXR)4-AcpP increased survival of mice infected with A. lwoffii or A. baumannii, even when initial treatment was delayed after infection. PPMOs could be a viable therapeutic approach in dealing with multidrug-resistant Acinetobacter species.", "author" : [ { "dropping-particle" : "", "family" : "Geller", "given" : "Bruce L", "non-dropping-particle" : "", "parse-names" : false, "suffix" : "" }, { "dropping-particle" : "", "family" : "Marshall-Batty", "given" : "Kimberly", "non-dropping-particle" : "", "parse-names" : false, "suffix" : "" }, { "dropping-particle" : "", "family" : "Schnell", "given" : "Frederick J", "non-dropping-particle" : "", "parse-names" : false, "suffix" : "" }, { "dropping-particle" : "", "family" : "McKnight", "given" : "Mattie M", "non-dropping-particle" : "", "parse-names" : false, "suffix" : "" }, { "dropping-particle" : "", "family" : "Iversen", "given" : "Patrick L", "non-dropping-particle" : "", "parse-names" : false, "suffix" : "" }, { "dropping-particle" : "", "family" : "Greenberg", "given" : "David E", "non-dropping-particle" : "", "parse-names" : false, "suffix" : "" } ], "container-title" : "The Journal of infectious diseases", "id" : "ITEM-1", "issue" : "10", "issued" : { "date-parts" : [ [ "2013", "11", "15" ] ] }, "page" : "1553-60", "title" : "Gene-silencing antisense oligomers inhibit acinetobacter growth in vitro and in vivo.", "type" : "article-journal", "volume" : "208" }, "uris" : [ "http://www.mendeley.com/documents/?uuid=b00201cb-b557-4740-a94b-3e424612bd09" ] } ], "mendeley" : { "formattedCitation" : "(Geller et al., 2013)", "plainTextFormattedCitation" : "(Geller et al., 2013)", "previouslyFormattedCitation" : "(Geller et al., 2013)" }, "properties" : { "noteIndex" : 0 }, "schema" : "https://github.com/citation-style-language/schema/raw/master/csl-citation.json" }</w:instrText>
      </w:r>
      <w:r>
        <w:rPr>
          <w:rFonts w:ascii="Calibri" w:hAnsi="Calibri" w:cs="Arial"/>
        </w:rPr>
        <w:fldChar w:fldCharType="separate"/>
      </w:r>
      <w:r w:rsidRPr="000366C8">
        <w:rPr>
          <w:rFonts w:ascii="Calibri" w:hAnsi="Calibri" w:cs="Arial"/>
          <w:noProof/>
        </w:rPr>
        <w:t>(Geller et al., 2013)</w:t>
      </w:r>
      <w:r>
        <w:rPr>
          <w:rFonts w:ascii="Calibri" w:hAnsi="Calibri" w:cs="Arial"/>
        </w:rPr>
        <w:fldChar w:fldCharType="end"/>
      </w:r>
      <w:r>
        <w:rPr>
          <w:rFonts w:ascii="Calibri" w:hAnsi="Calibri" w:cs="Arial"/>
        </w:rPr>
        <w:t xml:space="preserve">. However, at least some of these activities are class-level bacteriostatic effects from the </w:t>
      </w:r>
      <w:r w:rsidR="00DF128F">
        <w:rPr>
          <w:rFonts w:ascii="Calibri" w:hAnsi="Calibri" w:cs="Arial"/>
        </w:rPr>
        <w:t xml:space="preserve">covalently attached </w:t>
      </w:r>
      <w:r w:rsidR="00B817C5">
        <w:rPr>
          <w:rFonts w:ascii="Calibri" w:hAnsi="Calibri" w:cs="Arial"/>
        </w:rPr>
        <w:t>CPPs</w:t>
      </w:r>
      <w:r w:rsidR="00DF128F">
        <w:rPr>
          <w:rFonts w:ascii="Calibri" w:hAnsi="Calibri" w:cs="Arial"/>
        </w:rPr>
        <w:t xml:space="preserve"> that were employed as the delivery vehicle </w:t>
      </w:r>
      <w:r>
        <w:rPr>
          <w:rFonts w:ascii="Calibri" w:hAnsi="Calibri" w:cs="Arial"/>
        </w:rPr>
        <w:fldChar w:fldCharType="begin" w:fldLock="1"/>
      </w:r>
      <w:r>
        <w:rPr>
          <w:rFonts w:ascii="Calibri" w:hAnsi="Calibri" w:cs="Arial"/>
        </w:rPr>
        <w:instrText>ADDIN CSL_CITATION { "citationItems" : [ { "id" : "ITEM-1", "itemData" : { "DOI" : "10.1073/pnas.1306911110", "ISSN" : "1091-6490", "PMID" : "23650357", "abstract" : "A cell-penetrating peptide (CPP)-morpholino oligonucleotide (MO) conjugate (PMO) that has an antibiotic effect in culture had some contaminating CPPs in earlier preparations. The mixed conjugate had gene-specific and gene-nonspecific effects. An improved purification procedure separates the PMO from the free CPP and MO. The gene-specific effects are a result of the PMO, and the nonspecific effects are a result of the unlinked, unreacted CPP. The PMO and the CPP can be mixed together, as has been shown previously in earlier experiments, and have a combined effect as an antibiotic. Kinetic analysis of these effects confirm this observation. The effect of the CPP is bacteriostatic. The effect of the PMO appears to be bacteriocidal. An assay for mutations that would alter the ability of these agents to affect bacterial viability is negative.", "author" : [ { "dropping-particle" : "", "family" : "Wesolowski", "given" : "Donna", "non-dropping-particle" : "", "parse-names" : false, "suffix" : "" }, { "dropping-particle" : "", "family" : "Alonso", "given" : "Dulce", "non-dropping-particle" : "", "parse-names" : false, "suffix" : "" }, { "dropping-particle" : "", "family" : "Altman", "given" : "Sidney", "non-dropping-particle" : "", "parse-names" : false, "suffix" : "" } ], "container-title" : "Proceedings of the National Academy of Sciences of the United States of America", "id" : "ITEM-1", "issue" : "21", "issued" : { "date-parts" : [ [ "2013", "5", "21" ] ] }, "page" : "8686-9", "title" : "Combined effect of a peptide-morpholino oligonucleotide conjugate and a cell-penetrating peptide as an antibiotic.", "type" : "article-journal", "volume" : "110" }, "uris" : [ "http://www.mendeley.com/documents/?uuid=7cf4862c-fccc-4e87-822f-03f9cea2bd96" ] } ], "mendeley" : { "formattedCitation" : "(Wesolowski, Alonso, &amp; Altman, 2013)", "plainTextFormattedCitation" : "(Wesolowski, Alonso, &amp; Altman, 2013)", "previouslyFormattedCitation" : "(Wesolowski, Alonso, &amp; Altman, 2013)" }, "properties" : { "noteIndex" : 0 }, "schema" : "https://github.com/citation-style-language/schema/raw/master/csl-citation.json" }</w:instrText>
      </w:r>
      <w:r>
        <w:rPr>
          <w:rFonts w:ascii="Calibri" w:hAnsi="Calibri" w:cs="Arial"/>
        </w:rPr>
        <w:fldChar w:fldCharType="separate"/>
      </w:r>
      <w:r w:rsidRPr="00377BCA">
        <w:rPr>
          <w:rFonts w:ascii="Calibri" w:hAnsi="Calibri" w:cs="Arial"/>
          <w:noProof/>
        </w:rPr>
        <w:t>(Wesolowski, Alonso, &amp; Altman, 2013)</w:t>
      </w:r>
      <w:r>
        <w:rPr>
          <w:rFonts w:ascii="Calibri" w:hAnsi="Calibri" w:cs="Arial"/>
        </w:rPr>
        <w:fldChar w:fldCharType="end"/>
      </w:r>
      <w:r w:rsidR="008132B4">
        <w:rPr>
          <w:rFonts w:ascii="Calibri" w:hAnsi="Calibri" w:cs="Arial"/>
        </w:rPr>
        <w:t xml:space="preserve">. In addition, </w:t>
      </w:r>
      <w:r>
        <w:rPr>
          <w:rFonts w:ascii="Calibri" w:hAnsi="Calibri" w:cs="Arial"/>
        </w:rPr>
        <w:t>PMO</w:t>
      </w:r>
      <w:r w:rsidR="001C45D6">
        <w:rPr>
          <w:rFonts w:ascii="Calibri" w:hAnsi="Calibri" w:cs="Arial"/>
        </w:rPr>
        <w:t xml:space="preserve">s </w:t>
      </w:r>
      <w:r w:rsidR="008132B4">
        <w:rPr>
          <w:rFonts w:ascii="Calibri" w:hAnsi="Calibri" w:cs="Arial"/>
        </w:rPr>
        <w:t xml:space="preserve">also demonstrate </w:t>
      </w:r>
      <w:r>
        <w:rPr>
          <w:rFonts w:ascii="Calibri" w:hAnsi="Calibri" w:cs="Arial"/>
        </w:rPr>
        <w:t xml:space="preserve">both antibacterial and antimalarial </w:t>
      </w:r>
      <w:r w:rsidR="008132B4">
        <w:rPr>
          <w:rFonts w:ascii="Calibri" w:hAnsi="Calibri" w:cs="Arial"/>
        </w:rPr>
        <w:t xml:space="preserve">activities </w:t>
      </w:r>
      <w:r>
        <w:rPr>
          <w:rFonts w:ascii="Calibri" w:hAnsi="Calibri" w:cs="Arial"/>
        </w:rPr>
        <w:fldChar w:fldCharType="begin" w:fldLock="1"/>
      </w:r>
      <w:r>
        <w:rPr>
          <w:rFonts w:ascii="Calibri" w:hAnsi="Calibri" w:cs="Arial"/>
        </w:rPr>
        <w:instrText>ADDIN CSL_CITATION { "citationItems" : [ { "id" : "ITEM-1", "itemData" : { "DOI" : "10.1073/pnas.1203516109", "ISSN" : "1091-6490", "PMID" : "22474358", "abstract" : "Unique peptide-morpholino oligomer (PMO) conjugates have been designed to bind and promote the cleavage of specific mRNA as a tool to inhibit gene function and parasite growth. The new conjugates were validated using the P. falciparum gyrase mRNA as a target (PfGyrA). Assays in vitro demonstrated a selective degradation of the PfGyrA mRNA directed by the external guide sequences, which are morpholino oligomers in the conjugates. Fluorescence microscopy revealed that labeled conjugates are delivered into Plasmodium-infected erythrocytes during all intraerythrocytic stages of parasite development. Consistent with the expression of PfGyrA in all stages of parasite development, proliferation assays showed that these conjugates have potent antimalarial activity, blocking early development, maturation, and replication of the parasite. The conjugates were equally effective against drug sensitive and resistant P. falciparum strains. The potency, selectivity, and predicted safety of PMO conjugates make this approach attractive for the development of a unique class of target-specific antimalarials and for large-scale functional analysis of the malarial genome.", "author" : [ { "dropping-particle" : "", "family" : "Augagneur", "given" : "Yoann", "non-dropping-particle" : "", "parse-names" : false, "suffix" : "" }, { "dropping-particle" : "", "family" : "Wesolowski", "given" : "Donna", "non-dropping-particle" : "", "parse-names" : false, "suffix" : "" }, { "dropping-particle" : "", "family" : "Tae", "given" : "Hyun Seop", "non-dropping-particle" : "", "parse-names" : false, "suffix" : "" }, { "dropping-particle" : "", "family" : "Altman", "given" : "Sidney", "non-dropping-particle" : "", "parse-names" : false, "suffix" : "" }, { "dropping-particle" : "", "family" : "Mamoun", "given" : "Choukri", "non-dropping-particle" : "Ben", "parse-names" : false, "suffix" : "" } ], "container-title" : "Proceedings of the National Academy of Sciences of the United States of America", "id" : "ITEM-1", "issue" : "16", "issued" : { "date-parts" : [ [ "2012", "4", "17" ] ] }, "page" : "6235-40", "title" : "Gene selective mRNA cleavage inhibits the development of Plasmodium falciparum.", "type" : "article-journal", "volume" : "109" }, "uris" : [ "http://www.mendeley.com/documents/?uuid=5767a489-023d-41fb-a368-e8b3c47e4cc7" ] } ], "mendeley" : { "formattedCitation" : "(Augagneur, Wesolowski, Tae, Altman, &amp; Ben Mamoun, 2012)", "plainTextFormattedCitation" : "(Augagneur, Wesolowski, Tae, Altman, &amp; Ben Mamoun, 2012)", "previouslyFormattedCitation" : "(Augagneur, Wesolowski, Tae, Altman, &amp; Ben Mamoun, 2012)" }, "properties" : { "noteIndex" : 0 }, "schema" : "https://github.com/citation-style-language/schema/raw/master/csl-citation.json" }</w:instrText>
      </w:r>
      <w:r>
        <w:rPr>
          <w:rFonts w:ascii="Calibri" w:hAnsi="Calibri" w:cs="Arial"/>
        </w:rPr>
        <w:fldChar w:fldCharType="separate"/>
      </w:r>
      <w:r w:rsidRPr="00377BCA">
        <w:rPr>
          <w:rFonts w:ascii="Calibri" w:hAnsi="Calibri" w:cs="Arial"/>
          <w:noProof/>
        </w:rPr>
        <w:t>(Augagneur, Wesolowski, Tae, Altman, &amp; Ben Mamoun, 2012)</w:t>
      </w:r>
      <w:r>
        <w:rPr>
          <w:rFonts w:ascii="Calibri" w:hAnsi="Calibri" w:cs="Arial"/>
        </w:rPr>
        <w:fldChar w:fldCharType="end"/>
      </w:r>
      <w:r w:rsidR="008132B4">
        <w:rPr>
          <w:rFonts w:ascii="Calibri" w:hAnsi="Calibri" w:cs="Arial"/>
        </w:rPr>
        <w:t xml:space="preserve">, a finding that </w:t>
      </w:r>
      <w:r w:rsidR="00B817C5">
        <w:rPr>
          <w:rFonts w:ascii="Calibri" w:hAnsi="Calibri" w:cs="Arial"/>
        </w:rPr>
        <w:t xml:space="preserve">further </w:t>
      </w:r>
      <w:r w:rsidR="008132B4">
        <w:rPr>
          <w:rFonts w:ascii="Calibri" w:hAnsi="Calibri" w:cs="Arial"/>
        </w:rPr>
        <w:t xml:space="preserve">complicates the separation of </w:t>
      </w:r>
      <w:r>
        <w:rPr>
          <w:rFonts w:ascii="Calibri" w:hAnsi="Calibri" w:cs="Arial"/>
        </w:rPr>
        <w:t xml:space="preserve">gene specific from off-target effects </w:t>
      </w:r>
      <w:r>
        <w:rPr>
          <w:rFonts w:ascii="Calibri" w:hAnsi="Calibri" w:cs="Arial"/>
        </w:rPr>
        <w:fldChar w:fldCharType="begin" w:fldLock="1"/>
      </w:r>
      <w:r>
        <w:rPr>
          <w:rFonts w:ascii="Calibri" w:hAnsi="Calibri" w:cs="Arial"/>
        </w:rPr>
        <w:instrText>ADDIN CSL_CITATION { "citationItems" : [ { "id" : "ITEM-1", "itemData" : { "DOI" : "10.1242/dev.001115", "ISSN" : "0950-1991", "PMID" : "18403413", "abstract" : "One of the most significant problems facing developmental biologists who do not work on an organism with well-developed genetics - and even for some who do - is how to inhibit the action of a gene of interest during development so as to learn about its normal biological function. A widely adopted approach is to use antisense technologies, and especially morpholino antisense oligonucleotides. In this article, we review the use of such reagents and present examples of how they have provided insights into developmental mechanisms. We also discuss how the use of morpholinos can lead to misleading results, including off-target effects, and we suggest controls that will allow researchers to interpret morpholino experiments correctly.", "author" : [ { "dropping-particle" : "", "family" : "Eisen", "given" : "Judith S", "non-dropping-particle" : "", "parse-names" : false, "suffix" : "" }, { "dropping-particle" : "", "family" : "Smith", "given" : "James C", "non-dropping-particle" : "", "parse-names" : false, "suffix" : "" } ], "container-title" : "Development (Cambridge, England)", "id" : "ITEM-1", "issue" : "10", "issued" : { "date-parts" : [ [ "2008", "5", "15" ] ] }, "page" : "1735-43", "title" : "Controlling morpholino experiments: don't stop making antisense.", "type" : "article-journal", "volume" : "135" }, "uris" : [ "http://www.mendeley.com/documents/?uuid=79881dec-a181-4a92-9d37-6241ebf6a2ee" ] } ], "mendeley" : { "formattedCitation" : "(Eisen &amp; Smith, 2008)", "plainTextFormattedCitation" : "(Eisen &amp; Smith, 2008)", "previouslyFormattedCitation" : "(Eisen &amp; Smith, 2008)" }, "properties" : { "noteIndex" : 0 }, "schema" : "https://github.com/citation-style-language/schema/raw/master/csl-citation.json" }</w:instrText>
      </w:r>
      <w:r>
        <w:rPr>
          <w:rFonts w:ascii="Calibri" w:hAnsi="Calibri" w:cs="Arial"/>
        </w:rPr>
        <w:fldChar w:fldCharType="separate"/>
      </w:r>
      <w:r w:rsidRPr="00377BCA">
        <w:rPr>
          <w:rFonts w:ascii="Calibri" w:hAnsi="Calibri" w:cs="Arial"/>
          <w:noProof/>
        </w:rPr>
        <w:t>(Eisen &amp; Smith, 2008)</w:t>
      </w:r>
      <w:r>
        <w:rPr>
          <w:rFonts w:ascii="Calibri" w:hAnsi="Calibri" w:cs="Arial"/>
        </w:rPr>
        <w:fldChar w:fldCharType="end"/>
      </w:r>
      <w:r w:rsidR="008132B4">
        <w:rPr>
          <w:rFonts w:ascii="Calibri" w:hAnsi="Calibri" w:cs="Arial"/>
        </w:rPr>
        <w:t xml:space="preserve">. </w:t>
      </w:r>
      <w:r>
        <w:rPr>
          <w:rFonts w:ascii="Calibri" w:hAnsi="Calibri" w:cs="Arial"/>
        </w:rPr>
        <w:t xml:space="preserve">PPMOs </w:t>
      </w:r>
      <w:r w:rsidR="00B817C5">
        <w:rPr>
          <w:rFonts w:ascii="Calibri" w:hAnsi="Calibri" w:cs="Arial"/>
        </w:rPr>
        <w:t xml:space="preserve">have been </w:t>
      </w:r>
      <w:r w:rsidR="008132B4">
        <w:rPr>
          <w:rFonts w:ascii="Calibri" w:hAnsi="Calibri" w:cs="Arial"/>
        </w:rPr>
        <w:t>also</w:t>
      </w:r>
      <w:r w:rsidR="00B817C5">
        <w:rPr>
          <w:rFonts w:ascii="Calibri" w:hAnsi="Calibri" w:cs="Arial"/>
        </w:rPr>
        <w:t xml:space="preserve"> proposed</w:t>
      </w:r>
      <w:r>
        <w:rPr>
          <w:rFonts w:ascii="Calibri" w:hAnsi="Calibri" w:cs="Arial"/>
        </w:rPr>
        <w:t xml:space="preserve"> as inhibitors </w:t>
      </w:r>
      <w:r>
        <w:rPr>
          <w:rFonts w:ascii="Calibri" w:hAnsi="Calibri" w:cs="Arial"/>
        </w:rPr>
        <w:fldChar w:fldCharType="begin" w:fldLock="1"/>
      </w:r>
      <w:r>
        <w:rPr>
          <w:rFonts w:ascii="Calibri" w:hAnsi="Calibri" w:cs="Arial"/>
        </w:rPr>
        <w:instrText>ADDIN CSL_CITATION { "citationItems" : [ { "id" : "ITEM-1", "itemData" : { "DOI" : "10.1074/jbc.M114.602383", "ISSN" : "1083-351X", "PMID" : "25118289", "abstract" : "IL-6/Stat3 is associated with the regulation of transcription of key cellular regulatory genes (microRNAs) during different types of liver injury. This study evaluated the role of IL-6/Stat3 in regulating miRNA and miR-21 in alcoholic liver disease. By microarray, we identified that ethanol feeding significantly up-regulated 0.8% of known microRNAs in mouse liver compared with controls, including miR-21. Similarly, the treatment of normal human hepatocytes (N-Heps) and hepatic stellate cells (HSCs) with ethanol and IL-6 significantly increased miR-21 expression. Overexpression of miR-21 decreased ethanol-induced apoptosis in both N-Heps and HSCs. The expression level of miR-21 was significantly increased after Stat3 activation in N-Heps and HSCs, in support of the concept that the 5'-promoter region of miR-21 is regulated by Stat3. Using real time PCR, we confirmed that miR-21 activation is associated with ethanol-linked Stat3 binding of the miR-21 promoter. A combination of bioinformatics, PCR array, dual-luciferase reporter assay, and Western blot analysis revealed that Fas ligand (TNF superfamily, member 6) (FASLG) and death receptor 5 (DR5) are the direct targets of miR-21. Furthermore, inhibition of miR-21 by specific Vivo-Morpholino and knock-out of IL-6 in ethanol-treated mice also increased the expression of DR5 and FASLG in vivo during alcoholic liver injury. The identification of miR-21 as an important regulator of hepatic cell survival, transformation, and remodeling in vitro, as well as its upstream modulators and downstream targets, will provide insight into the involvement of altered miRNA expression in contributing to alcoholic liver disease progression and testing novel therapeutic approaches for human alcoholic liver diseases.", "author" : [ { "dropping-particle" : "", "family" : "Francis", "given" : "Heather", "non-dropping-particle" : "", "parse-names" : false, "suffix" : "" }, { "dropping-particle" : "", "family" : "McDaniel", "given" : "Kelly", "non-dropping-particle" : "", "parse-names" : false, "suffix" : "" }, { "dropping-particle" : "", "family" : "Han", "given" : "Yuyan", "non-dropping-particle" : "", "parse-names" : false, "suffix" : "" }, { "dropping-particle" : "", "family" : "Liu", "given" : "Xiuping", "non-dropping-particle" : "", "parse-names" : false, "suffix" : "" }, { "dropping-particle" : "", "family" : "Kennedy", "given" : "Lindsey", "non-dropping-particle" : "", "parse-names" : false, "suffix" : "" }, { "dropping-particle" : "", "family" : "Yang", "given" : "Fuquan", "non-dropping-particle" : "", "parse-names" : false, "suffix" : "" }, { "dropping-particle" : "", "family" : "McCarra", "given" : "Jennifer", "non-dropping-particle" : "", "parse-names" : false, "suffix" : "" }, { "dropping-particle" : "", "family" : "Zhou", "given" : "Tianhao", "non-dropping-particle" : "", "parse-names" : false, "suffix" : "" }, { "dropping-particle" : "", "family" : "Glaser", "given" : "Shannon", "non-dropping-particle" : "", "parse-names" : false, "suffix" : "" }, { "dropping-particle" : "", "family" : "Venter", "given" : "Julie", "non-dropping-particle" : "", "parse-names" : false, "suffix" : "" }, { "dropping-particle" : "", "family" : "Huang", "given" : "Li", "non-dropping-particle" : "", "parse-names" : false, "suffix" : "" }, { "dropping-particle" : "", "family" : "Levine", "given" : "Phillip", "non-dropping-particle" : "", "parse-names" : false, "suffix" : "" }, { "dropping-particle" : "", "family" : "Lai", "given" : "Jia-Ming", "non-dropping-particle" : "", "parse-names" : false, "suffix" : "" }, { "dropping-particle" : "", "family" : "Liu", "given" : "Chang-Gong", "non-dropping-particle" : "", "parse-names" : false, "suffix" : "" }, { "dropping-particle" : "", "family" : "Alpini", "given" : "Gianfranco", "non-dropping-particle" : "", "parse-names" : false, "suffix" : "" }, { "dropping-particle" : "", "family" : "Meng", "given" : "Fanyin", "non-dropping-particle" : "", "parse-names" : false, "suffix" : "" } ], "container-title" : "The Journal of biological chemistry", "id" : "ITEM-1", "issue" : "40", "issued" : { "date-parts" : [ [ "2014", "10", "3" ] ] }, "page" : "27526-39", "title" : "Regulation of the extrinsic apoptotic pathway by microRNA-21 in alcoholic liver injury.", "type" : "article-journal", "volume" : "289" }, "uris" : [ "http://www.mendeley.com/documents/?uuid=6547248b-560a-494b-a4d4-a2388af612aa" ] } ], "mendeley" : { "formattedCitation" : "(Francis et al., 2014)", "plainTextFormattedCitation" : "(Francis et al., 2014)", "previouslyFormattedCitation" : "(Francis et al., 2014)" }, "properties" : { "noteIndex" : 0 }, "schema" : "https://github.com/citation-style-language/schema/raw/master/csl-citation.json" }</w:instrText>
      </w:r>
      <w:r>
        <w:rPr>
          <w:rFonts w:ascii="Calibri" w:hAnsi="Calibri" w:cs="Arial"/>
        </w:rPr>
        <w:fldChar w:fldCharType="separate"/>
      </w:r>
      <w:r w:rsidRPr="00F23884">
        <w:rPr>
          <w:rFonts w:ascii="Calibri" w:hAnsi="Calibri" w:cs="Arial"/>
          <w:noProof/>
        </w:rPr>
        <w:t>(Francis et al., 2014)</w:t>
      </w:r>
      <w:r>
        <w:rPr>
          <w:rFonts w:ascii="Calibri" w:hAnsi="Calibri" w:cs="Arial"/>
        </w:rPr>
        <w:fldChar w:fldCharType="end"/>
      </w:r>
      <w:r>
        <w:rPr>
          <w:rFonts w:ascii="Calibri" w:hAnsi="Calibri" w:cs="Arial"/>
        </w:rPr>
        <w:t xml:space="preserve"> </w:t>
      </w:r>
      <w:r w:rsidR="00787897">
        <w:rPr>
          <w:rFonts w:ascii="Calibri" w:hAnsi="Calibri" w:cs="Arial"/>
        </w:rPr>
        <w:t>of endogenous mediators of RNAi, miRNA</w:t>
      </w:r>
      <w:r w:rsidR="00AD1D91">
        <w:rPr>
          <w:rFonts w:ascii="Calibri" w:hAnsi="Calibri" w:cs="Arial"/>
        </w:rPr>
        <w:t>s,</w:t>
      </w:r>
      <w:r w:rsidR="00787897">
        <w:rPr>
          <w:rFonts w:ascii="Calibri" w:hAnsi="Calibri" w:cs="Arial"/>
        </w:rPr>
        <w:t xml:space="preserve"> </w:t>
      </w:r>
      <w:r w:rsidR="00503884">
        <w:rPr>
          <w:rFonts w:ascii="Calibri" w:hAnsi="Calibri" w:cs="Arial"/>
        </w:rPr>
        <w:t>as well as protectors of</w:t>
      </w:r>
      <w:r>
        <w:rPr>
          <w:rFonts w:ascii="Calibri" w:hAnsi="Calibri" w:cs="Arial"/>
        </w:rPr>
        <w:t xml:space="preserve"> miRNA </w:t>
      </w:r>
      <w:r w:rsidR="00503884">
        <w:rPr>
          <w:rFonts w:ascii="Calibri" w:hAnsi="Calibri" w:cs="Arial"/>
        </w:rPr>
        <w:t>binding sites</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"10.1038/nprot.2011.423", "ISSN" : "1750-2799", "PMID" : "22134127", "abstract" : "MicroRNAs (miRNAs) regulate gene expression by pairing with complementary sequences in the 3' untranslated regions (UTRs) of transcripts. Although the molecular mechanism underlying miRNA biogenesis and activity is becoming better understood, determining the physiological role of the interaction of an miRNA with its target remains a challenge. A number of methods have been developed to inhibit individual miRNAs, but it can be difficult to determine which specific targets are responsible for any observed phenotypes. To address this problem, we use target protector (TP) morpholinos that interfere with a single miRNA-mRNA pair by binding specifically to the miRNA target sequence in the 3' UTR. In this protocol, we detail the steps for identifying miRNA targets, validating their regulation and using TPs to interrogate their function in zebrafish. Depending on the biological context, this set of experiments can be completed in 6-8 weeks.", "author" : [ { "dropping-particle" : "", "family" : "Staton", "given" : "Alison A", "non-dropping-particle" : "", "parse-names" : false, "suffix" : "" }, { "dropping-particle" : "", "family" : "Giraldez", "given" : "Antonio J", "non-dropping-particle" : "", "parse-names" : false, "suffix" : "" } ], "container-title" : "Nature protocols", "id" : "ITEM-1", "issue" : "12", "issued" : { "date-parts" : [ [ "2011", "12" ] ] }, "page" : "2035-49", "title" : "Use of target protector morpholinos to analyze the physiological roles of specific miRNA-mRNA pairs in vivo.", "type" : "article-journal", "volume" : "6" }, "uris" : [ "http://www.mendeley.com/documents/?uuid=9ac3355b-0992-4cef-98c7-5dedd1429203" ] } ], "mendeley" : { "formattedCitation" : "(Staton &amp; Giraldez, 2011)", "plainTextFormattedCitation" : "(Staton &amp; Giraldez, 2011)", "previouslyFormattedCitation" : "(Staton &amp; Giraldez, 2011)" }, "properties" : { "noteIndex" : 0 }, "schema" : "https://github.com/citation-style-language/schema/raw/master/csl-citation.json" }</w:instrText>
      </w:r>
      <w:r>
        <w:rPr>
          <w:rFonts w:ascii="Calibri" w:hAnsi="Calibri" w:cs="Arial"/>
        </w:rPr>
        <w:fldChar w:fldCharType="separate"/>
      </w:r>
      <w:r w:rsidRPr="00F23884">
        <w:rPr>
          <w:rFonts w:ascii="Calibri" w:hAnsi="Calibri" w:cs="Arial"/>
          <w:noProof/>
        </w:rPr>
        <w:t>(Staton &amp; Giraldez, 2011)</w:t>
      </w:r>
      <w:r>
        <w:rPr>
          <w:rFonts w:ascii="Calibri" w:hAnsi="Calibri" w:cs="Arial"/>
        </w:rPr>
        <w:fldChar w:fldCharType="end"/>
      </w:r>
      <w:r>
        <w:rPr>
          <w:rFonts w:ascii="Calibri" w:hAnsi="Calibri" w:cs="Arial"/>
        </w:rPr>
        <w:t>. More recently, additional backbone modification of the PPMO chemistry has been sought in the so-</w:t>
      </w:r>
      <w:r w:rsidRPr="00776840">
        <w:rPr>
          <w:rFonts w:ascii="Calibri" w:hAnsi="Calibri" w:cs="Arial"/>
        </w:rPr>
        <w:t>called PMO</w:t>
      </w:r>
      <w:r w:rsidRPr="00776840">
        <w:rPr>
          <w:rFonts w:ascii="Calibri" w:hAnsi="Calibri" w:cs="Arial"/>
          <w:i/>
        </w:rPr>
        <w:t xml:space="preserve">plus </w:t>
      </w:r>
      <w:r w:rsidRPr="00776840">
        <w:rPr>
          <w:rFonts w:ascii="Calibri" w:hAnsi="Calibri" w:cs="Arial"/>
        </w:rPr>
        <w:t>structure</w:t>
      </w:r>
      <w:r w:rsidR="00B817C5">
        <w:rPr>
          <w:rFonts w:ascii="Calibri" w:hAnsi="Calibri" w:cs="Arial"/>
        </w:rPr>
        <w:t xml:space="preserve"> (Fig. </w:t>
      </w:r>
      <w:r w:rsidR="00C5768B">
        <w:rPr>
          <w:rFonts w:ascii="Calibri" w:hAnsi="Calibri" w:cs="Arial"/>
        </w:rPr>
        <w:t>3</w:t>
      </w:r>
      <w:r w:rsidR="00C53CDB">
        <w:rPr>
          <w:rFonts w:ascii="Calibri" w:hAnsi="Calibri" w:cs="Arial"/>
        </w:rPr>
        <w:t>A</w:t>
      </w:r>
      <w:r w:rsidR="00B817C5">
        <w:rPr>
          <w:rFonts w:ascii="Calibri" w:hAnsi="Calibri" w:cs="Arial"/>
        </w:rPr>
        <w:t>).</w:t>
      </w:r>
      <w:r w:rsidRPr="00776840">
        <w:rPr>
          <w:rFonts w:ascii="Calibri" w:hAnsi="Calibri" w:cs="Arial"/>
        </w:rPr>
        <w:t xml:space="preserve"> </w:t>
      </w:r>
      <w:r w:rsidR="00B817C5">
        <w:rPr>
          <w:rFonts w:ascii="Calibri" w:hAnsi="Calibri" w:cs="Arial"/>
        </w:rPr>
        <w:t>This</w:t>
      </w:r>
      <w:r w:rsidRPr="00776840">
        <w:rPr>
          <w:rFonts w:ascii="Calibri" w:hAnsi="Calibri" w:cs="Arial"/>
        </w:rPr>
        <w:t xml:space="preserve"> has </w:t>
      </w:r>
      <w:r w:rsidRPr="00776840">
        <w:rPr>
          <w:rFonts w:ascii="Calibri" w:hAnsi="Calibri" w:cs="Arial"/>
        </w:rPr>
        <w:lastRenderedPageBreak/>
        <w:t xml:space="preserve">been evaluated </w:t>
      </w:r>
      <w:r w:rsidR="00B817C5">
        <w:rPr>
          <w:rFonts w:ascii="Calibri" w:hAnsi="Calibri" w:cs="Arial"/>
        </w:rPr>
        <w:t xml:space="preserve">clinically at </w:t>
      </w:r>
      <w:r w:rsidRPr="00776840">
        <w:rPr>
          <w:rFonts w:ascii="Calibri" w:hAnsi="Calibri" w:cs="Arial"/>
        </w:rPr>
        <w:t xml:space="preserve">phase I </w:t>
      </w:r>
      <w:r w:rsidR="00B817C5">
        <w:rPr>
          <w:rFonts w:ascii="Calibri" w:hAnsi="Calibri" w:cs="Arial"/>
        </w:rPr>
        <w:t xml:space="preserve">against lethal filovirus infectious disease (Marburg and Ebola virus), with </w:t>
      </w:r>
      <w:r w:rsidR="00503884">
        <w:rPr>
          <w:rFonts w:ascii="Calibri" w:hAnsi="Calibri" w:cs="Arial"/>
        </w:rPr>
        <w:t>efforts</w:t>
      </w:r>
      <w:r w:rsidR="00B817C5">
        <w:rPr>
          <w:rFonts w:ascii="Calibri" w:hAnsi="Calibri" w:cs="Arial"/>
        </w:rPr>
        <w:t xml:space="preserve"> in non-human primates being encouraging with regards to protective capacity </w:t>
      </w:r>
      <w:r w:rsidRPr="00776840">
        <w:rPr>
          <w:rFonts w:ascii="Calibri" w:hAnsi="Calibri" w:cs="Arial"/>
        </w:rPr>
        <w:fldChar w:fldCharType="begin" w:fldLock="1"/>
      </w:r>
      <w:r w:rsidR="00C8187C">
        <w:rPr>
          <w:rFonts w:ascii="Calibri" w:hAnsi="Calibri" w:cs="Arial"/>
        </w:rPr>
        <w:instrText>ADDIN CSL_CITATION { "citationItems" : [ { "id" : "ITEM-1", "itemData" : { "DOI" : "10.3390/v4112806", "ISSN" : "1999-4915", "PMID" : "23202506", "abstract" : "There are no currently approved treatments for filovirus infections. In this study we report the discovery process which led to the development of antisense Phosphorodiamidate Morpholino Oligomers (PMOs) AVI-6002 (composed of AVI-7357 and AVI-7539) and AVI-6003 (composed of AVI-7287 and AVI-7288) targeting Ebola virus and Marburg virus respectively. The discovery process involved identification of optimal transcript binding sites for PMO based RNA-therapeutics followed by screening for effective viral gene target in mouse and guinea pig models utilizing adapted viral isolates. An evolution of chemical modifications were tested, beginning with simple Phosphorodiamidate Morpholino Oligomers (PMO) transitioning to cell penetrating peptide conjugated PMOs (PPMO) and ending with PMOplus containing a limited number of positively charged linkages in the PMO structure. The initial lead compounds were combinations of two agents targeting separate genes. In the final analysis, a single agent for treatment of each virus was selected, AVI-7537 targeting the VP24 gene of Ebola virus and AVI-7288 targeting NP of Marburg virus, and are now progressing into late stage clinical development as the optimal therapeutic candidates.", "author" : [ { "dropping-particle" : "", "family" : "Iversen", "given" : "Patrick L", "non-dropping-particle" : "", "parse-names" : false, "suffix" : "" }, { "dropping-particle" : "", "family" : "Warren", "given" : "Travis K", "non-dropping-particle" : "", "parse-names" : false, "suffix" : "" }, { "dropping-particle" : "", "family" : "Wells", "given" : "Jay B", "non-dropping-particle" : "", "parse-names" : false, "suffix" : "" }, { "dropping-particle" : "", "family" : "Garza", "given" : "Nicole L", "non-dropping-particle" : "", "parse-names" : false, "suffix" : "" }, { "dropping-particle" : "V", "family" : "Mourich", "given" : "Dan", "non-dropping-particle" : "", "parse-names" : false, "suffix" : "" }, { "dropping-particle" : "", "family" : "Welch", "given" : "Lisa S", "non-dropping-particle" : "", "parse-names" : false, "suffix" : "" }, { "dropping-particle" : "", "family" : "Panchal", "given" : "Rekha G", "non-dropping-particle" : "", "parse-names" : false, "suffix" : "" }, { "dropping-particle" : "", "family" : "Bavari", "given" : "Sina", "non-dropping-particle" : "", "parse-names" : false, "suffix" : "" } ], "container-title" : "Viruses", "id" : "ITEM-1", "issue" : "11", "issued" : { "date-parts" : [ [ "2012", "11" ] ] }, "page" : "2806-30", "title" : "Discovery and early development of AVI-7537 and AVI-7288 for the treatment of Ebola virus and Marburg virus infections.", "type" : "article-journal", "volume" : "4" }, "uris" : [ "http://www.mendeley.com/documents/?uuid=fa337d9e-fa12-4f6f-a7d8-b2d7d8aa12de" ] }, { "id" : "ITEM-2", "itemData" : { "DOI" : "10.1038/nm.2202", "ISSN" : "1546-170X", "PMID" : "20729866", "abstract" : "Currently, no vaccines or therapeutics are licensed to counter Ebola or Marburg viruses, highly pathogenic filoviruses that are causative agents of viral hemorrhagic fever. Here we show that administration of positively charged phosphorodiamidate morpholino oligomers (PMOplus), delivered by various dosing strategies initiated 30-60 min after infection, protects&gt;60% of rhesus monkeys against lethal Zaire Ebola virus (ZEBOV) and 100% of cynomolgus monkeys against Lake Victoria Marburg virus (MARV) infection. PMOplus may be useful for treating these and other highly pathogenic viruses in humans.", "author" : [ { "dropping-particle" : "", "family" : "Warren", "given" : "Travis K", "non-dropping-particle" : "", "parse-names" : false, "suffix" : "" }, { "dropping-particle" : "", "family" : "Warfield", "given" : "Kelly L", "non-dropping-particle" : "", "parse-names" : false, "suffix" : "" }, { "dropping-particle" : "", "family" : "Wells", "given" : "Jay", "non-dropping-particle" : "", "parse-names" : false, "suffix" : "" }, { "dropping-particle" : "", "family" : "Swenson", "given" : "Dana L", "non-dropping-particle" : "", "parse-names" : false, "suffix" : "" }, { "dropping-particle" : "", "family" : "Donner", "given" : "Kelly S", "non-dropping-particle" : "", "parse-names" : false, "suffix" : "" }, { "dropping-particle" : "", "family" : "Tongeren", "given" : "Sean A", "non-dropping-particle" : "Van", "parse-names" : false, "suffix" : "" }, { "dropping-particle" : "", "family" : "Garza", "given" : "Nicole L", "non-dropping-particle" : "", "parse-names" : false, "suffix" : "" }, { "dropping-particle" : "", "family" : "Dong", "given" : "Lian", "non-dropping-particle" : "", "parse-names" : false, "suffix" : "" }, { "dropping-particle" : "V", "family" : "Mourich", "given" : "Dan", "non-dropping-particle" : "", "parse-names" : false, "suffix" : "" }, { "dropping-particle" : "", "family" : "Crumley", "given" : "Stacy", "non-dropping-particle" : "", "parse-names" : false, "suffix" : "" }, { "dropping-particle" : "", "family" : "Nichols", "given" : "Donald K", "non-dropping-particle" : "", "parse-names" : false, "suffix" : "" }, { "dropping-particle" : "", "family" : "Iversen", "given" : "Patrick L", "non-dropping-particle" : "", "parse-names" : false, "suffix" : "" }, { "dropping-particle" : "", "family" : "Bavari", "given" : "Sina", "non-dropping-particle" : "", "parse-names" : false, "suffix" : "" } ], "container-title" : "Nature medicine", "id" : "ITEM-2", "issue" : "9", "issued" : { "date-parts" : [ [ "2010", "9" ] ] }, "page" : "991-4", "publisher" : "Nature Publishing Group, a division of Macmillan Publishers Limited. All Rights Reserved.", "title" : "Advanced antisense therapies for postexposure protection against lethal filovirus infections.", "title-short" : "Nat Med", "type" : "article-journal", "volume" : "16" }, "uris" : [ "http://www.mendeley.com/documents/?uuid=87d53009-974d-42b8-b4a9-0848076b1f19" ] }, { "id" : "ITEM-3", "itemData" : { "DOI" : "10.1128/AAC.03442-14", "ISSN" : "1098-6596", "PMID" : "25155593", "abstract" : "Two identical single-ascending-dose studies evaluated the safety and pharmacokinetics (PK) of AVI-6002 and AVI-6003, two experimental combinations of phosphorodiamidate morpholino oligomers with positive charges (PMOplus) that target viral mRNA encoding Ebola virus and Marburg virus proteins, respectively. Both AVI-6002 and AVI-6003 were found to suppress disease in virus-infected nonhuman primates in previous studies. AVI-6002 (a combination of AVI-7537 and AVI-7539) or AVI-6003 (a combination of AVI-7287 and AVI-7288) were administered as sequential intravenous (i.v.) infusions of a 1:1 fixed dose ratio of the two subcomponents. In each study, 30 healthy male and female subjects between 18 and 50 years of age were enrolled in six-dose escalation cohorts of five subjects each and received a single i.v. infusion of active study drug (0.005, 0.05, 0.5, 1.5, 3, and 4.5 mg/kg per component) or placebo in a 4:1 ratio. Both AVI-6002 and AVI-6003 were safe and well tolerated at the doses studied. A maximum tolerated dose was not observed in either study. The four chemically similar PMOplus components exhibited generally similar PK profiles. The mean peak plasma concentration and area under the concentration-time curve values of the four components exhibited dose-proportional PK. The estimated plasma half-life of all four components was 2 to 5 h. The safety of the two combinations and the PK of the four components were similar, regardless of the target RNA sequence.", "author" : [ { "dropping-particle" : "", "family" : "Heald", "given" : "Alison E", "non-dropping-particle" : "", "parse-names" : false, "suffix" : "" }, { "dropping-particle" : "", "family" : "Iversen", "given" : "Patrick L", "non-dropping-particle" : "", "parse-names" : false, "suffix" : "" }, { "dropping-particle" : "", "family" : "Saoud", "given" : "Jay B", "non-dropping-particle" : "", "parse-names" : false, "suffix" : "" }, { "dropping-particle" : "", "family" : "Sazani", "given" : "Peter", "non-dropping-particle" : "", "parse-names" : false, "suffix" : "" }, { "dropping-particle" : "", "family" : "Charleston", "given" : "Jay S", "non-dropping-particle" : "", "parse-names" : false, "suffix" : "" }, { "dropping-particle" : "", "family" : "Axtelle", "given" : "Tim", "non-dropping-particle" : "", "parse-names" : false, "suffix" : "" }, { "dropping-particle" : "", "family" : "Wong", "given" : "Michael", "non-dropping-particle" : "", "parse-names" : false, "suffix" : "" }, { "dropping-particle" : "", "family" : "Smith", "given" : "William B", "non-dropping-particle" : "", "parse-names" : false, "suffix" : "" }, { "dropping-particle" : "", "family" : "Vutikullird", "given" : "Apinya", "non-dropping-particle" : "", "parse-names" : false, "suffix" : "" }, { "dropping-particle" : "", "family" : "Kaye", "given" : "Edward", "non-dropping-particle" : "", "parse-names" : false, "suffix" : "" } ], "container-title" : "Antimicrobial agents and chemotherapy", "id" : "ITEM-3", "issue" : "11", "issued" : { "date-parts" : [ [ "2014", "11" ] ] }, "page" : "6639-47", "title" : "Safety and pharmacokinetic profiles of phosphorodiamidate morpholino oligomers with activity against ebola virus and marburg virus: results of two single-ascending-dose studies.", "type" : "article-journal", "volume" : "58" }, "uris" : [ "http://www.mendeley.com/documents/?uuid=cf5159e5-335b-407d-b5fe-bab933a46186" ] }, { "id" : "ITEM-4", "itemData" : { "DOI" : "10.1128/mBio.02344-14", "ISSN" : "2150-7511", "PMID" : "25670780", "abstract" : "UNLABELLED: Ebola viruses (EBOV) cause severe disease in humans and nonhuman primates with high mortality rates and continue to emerge in new geographic locations, including several countries in West Africa, the site of a large ongoing outbreak. Phosphorodiamidate morpholino oligomers (PMOs) are synthetic antisense molecules that are able to target mRNAs in a sequence-specific fashion and suppress translation through steric hindrance. We previously showed that the use of PMOs targeting a combination of VP35 and VP24 protected rhesus monkeys from lethal EBOV infection. Surprisingly, the present study revealed that a PMOplus compound targeting VP24 alone was sufficient to confer protection from lethal EBOV infection but that a PMOplus targeting VP35 alone resulted in no protection. This study further substantiates recent data demonstrating that VP24 may be a key virulence factor encoded by EBOV and suggests that VP24 is a promising target for the development of effective anti-EBOV countermeasures.\n\nIMPORTANCE: Several West African countries are currently being ravaged by an outbreak of Ebola virus (EBOV) that has become a major epidemic affecting not only these African countries but also Europe and the United States. A better understanding of the mechanism of virulence of EBOV is important for the development of effective treatments, as no licensed treatments or vaccines for EBOV disease are currently available. This study of phosphorodiamidate morpholino oligomers (PMOs) targeting the mRNAs of two different EBOV proteins, alone and in combination, demonstrated that targeting a single protein was effective at conferring a significant survival benefit in an EBOV lethal primate model. Future development of PMOs with efficacy against EBOV will be simplified if only one PMO is required instead of a combination, particularly in terms of regulatory approval.", "author" : [ { "dropping-particle" : "", "family" : "Warren", "given" : "Travis K", "non-dropping-particle" : "", "parse-names" : false, "suffix" : "" }, { "dropping-particle" : "", "family" : "Whitehouse", "given" : "Chris A", "non-dropping-particle" : "", "parse-names" : false, "suffix" : "" }, { "dropping-particle" : "", "family" : "Wells", "given" : "Jay", "non-dropping-particle" : "", "parse-names" : false, "suffix" : "" }, { "dropping-particle" : "", "family" : "Welch", "given" : "Lisa", "non-dropping-particle" : "", "parse-names" : false, "suffix" : "" }, { "dropping-particle" : "", "family" : "Heald", "given" : "Alison E", "non-dropping-particle" : "", "parse-names" : false, "suffix" : "" }, { "dropping-particle" : "", "family" : "Charleston", "given" : "Jay S", "non-dropping-particle" : "", "parse-names" : false, "suffix" : "" }, { "dropping-particle" : "", "family" : "Sazani", "given" : "Pete", "non-dropping-particle" : "", "parse-names" : false, "suffix" : "" }, { "dropping-particle" : "", "family" : "Reid", "given" : "St Patrick", "non-dropping-particle" : "", "parse-names" : false, "suffix" : "" }, { "dropping-particle" : "", "family" : "Iversen", "given" : "Patrick L", "non-dropping-particle" : "", "parse-names" : false, "suffix" : "" }, { "dropping-particle" : "", "family" : "Bavari", "given" : "Sina", "non-dropping-particle" : "", "parse-names" : false, "suffix" : "" } ], "container-title" : "mBio", "id" : "ITEM-4", "issue" : "1", "issued" : { "date-parts" : [ [ "2015", "1" ] ] }, "title" : "A single phosphorodiamidate morpholino oligomer targeting VP24 protects rhesus monkeys against lethal Ebola virus infection.", "type" : "article-journal", "volume" : "6" }, "uris" : [ "http://www.mendeley.com/documents/?uuid=e7054542-70eb-4393-8516-b78b384d39d8" ] } ], "mendeley" : { "formattedCitation" : "(Heald et al., 2014; Patrick L Iversen et al., 2012; Warren et al., 2010, 2015)", "plainTextFormattedCitation" : "(Heald et al., 2014; Patrick L Iversen et al., 2012; Warren et al., 2010, 2015)", "previouslyFormattedCitation" : "(Heald et al., 2014; Patrick L Iversen et al., 2012; Warren et al., 2010, 2015)" }, "properties" : { "noteIndex" : 0 }, "schema" : "https://github.com/citation-style-language/schema/raw/master/csl-citation.json" }</w:instrText>
      </w:r>
      <w:r w:rsidRPr="00776840">
        <w:rPr>
          <w:rFonts w:ascii="Calibri" w:hAnsi="Calibri" w:cs="Arial"/>
        </w:rPr>
        <w:fldChar w:fldCharType="separate"/>
      </w:r>
      <w:r w:rsidR="002A25D9" w:rsidRPr="002A25D9">
        <w:rPr>
          <w:rFonts w:ascii="Calibri" w:hAnsi="Calibri" w:cs="Arial"/>
          <w:noProof/>
        </w:rPr>
        <w:t>(Heald et al., 2014; Patrick L Iversen et al., 2012; Warren et al., 2010, 2015)</w:t>
      </w:r>
      <w:r w:rsidRPr="00776840">
        <w:rPr>
          <w:rFonts w:ascii="Calibri" w:hAnsi="Calibri" w:cs="Arial"/>
        </w:rPr>
        <w:fldChar w:fldCharType="end"/>
      </w:r>
      <w:r w:rsidR="00C53CDB">
        <w:rPr>
          <w:rFonts w:ascii="Calibri" w:hAnsi="Calibri" w:cs="Arial"/>
        </w:rPr>
        <w:t>.</w:t>
      </w:r>
      <w:r>
        <w:rPr>
          <w:rFonts w:ascii="Calibri" w:hAnsi="Calibri" w:cs="Arial"/>
        </w:rPr>
        <w:t xml:space="preserve"> </w:t>
      </w:r>
      <w:r w:rsidR="00FE4AA4">
        <w:rPr>
          <w:rFonts w:ascii="Calibri" w:hAnsi="Calibri" w:cs="Arial"/>
        </w:rPr>
        <w:t>H</w:t>
      </w:r>
      <w:r w:rsidR="005F7075">
        <w:rPr>
          <w:rFonts w:ascii="Calibri" w:hAnsi="Calibri" w:cs="Arial"/>
        </w:rPr>
        <w:t>owever,</w:t>
      </w:r>
      <w:r w:rsidR="00FE4AA4">
        <w:rPr>
          <w:rFonts w:ascii="Calibri" w:hAnsi="Calibri" w:cs="Arial"/>
        </w:rPr>
        <w:t xml:space="preserve"> published data lack confirmation of the </w:t>
      </w:r>
      <w:r w:rsidR="00551275">
        <w:rPr>
          <w:rFonts w:ascii="Calibri" w:hAnsi="Calibri" w:cs="Arial"/>
        </w:rPr>
        <w:t>mechanism of action (</w:t>
      </w:r>
      <w:r w:rsidR="00FE4AA4">
        <w:rPr>
          <w:rFonts w:ascii="Calibri" w:hAnsi="Calibri" w:cs="Arial"/>
        </w:rPr>
        <w:t>MOA</w:t>
      </w:r>
      <w:r w:rsidR="00551275">
        <w:rPr>
          <w:rFonts w:ascii="Calibri" w:hAnsi="Calibri" w:cs="Arial"/>
        </w:rPr>
        <w:t>)</w:t>
      </w:r>
      <w:r w:rsidR="00FE4AA4">
        <w:rPr>
          <w:rFonts w:ascii="Calibri" w:hAnsi="Calibri" w:cs="Arial"/>
        </w:rPr>
        <w:t xml:space="preserve"> of</w:t>
      </w:r>
      <w:r w:rsidR="00B817C5">
        <w:rPr>
          <w:rFonts w:ascii="Calibri" w:hAnsi="Calibri" w:cs="Arial"/>
        </w:rPr>
        <w:t xml:space="preserve"> PMO</w:t>
      </w:r>
      <w:r w:rsidR="00B817C5">
        <w:rPr>
          <w:rFonts w:ascii="Calibri" w:hAnsi="Calibri" w:cs="Arial"/>
          <w:i/>
        </w:rPr>
        <w:t xml:space="preserve">plus </w:t>
      </w:r>
      <w:r w:rsidR="00B817C5">
        <w:rPr>
          <w:rFonts w:ascii="Calibri" w:hAnsi="Calibri" w:cs="Arial"/>
        </w:rPr>
        <w:t>chemistr</w:t>
      </w:r>
      <w:r w:rsidR="00FE4AA4">
        <w:rPr>
          <w:rFonts w:ascii="Calibri" w:hAnsi="Calibri" w:cs="Arial"/>
        </w:rPr>
        <w:t>ies. Their utility</w:t>
      </w:r>
      <w:r w:rsidR="00B817C5">
        <w:rPr>
          <w:rFonts w:ascii="Calibri" w:hAnsi="Calibri" w:cs="Arial"/>
        </w:rPr>
        <w:t xml:space="preserve"> </w:t>
      </w:r>
      <w:r w:rsidR="005F7075">
        <w:rPr>
          <w:rFonts w:ascii="Calibri" w:hAnsi="Calibri" w:cs="Arial"/>
        </w:rPr>
        <w:t xml:space="preserve">in </w:t>
      </w:r>
      <w:r w:rsidR="00FE4AA4">
        <w:rPr>
          <w:rFonts w:ascii="Calibri" w:hAnsi="Calibri" w:cs="Arial"/>
        </w:rPr>
        <w:t xml:space="preserve">topical administration to </w:t>
      </w:r>
      <w:r w:rsidR="005F7075">
        <w:rPr>
          <w:rFonts w:ascii="Calibri" w:hAnsi="Calibri" w:cs="Arial"/>
        </w:rPr>
        <w:t>the lung remains unknown</w:t>
      </w:r>
      <w:r w:rsidRPr="00776840">
        <w:rPr>
          <w:rFonts w:ascii="Calibri" w:hAnsi="Calibri" w:cs="Arial"/>
        </w:rPr>
        <w:t xml:space="preserve">. </w:t>
      </w:r>
    </w:p>
    <w:p w14:paraId="21CEE4BA" w14:textId="77777777" w:rsidR="008B0557" w:rsidRPr="00991F43" w:rsidRDefault="008B0557" w:rsidP="005837A4">
      <w:pPr>
        <w:spacing w:line="480" w:lineRule="auto"/>
        <w:jc w:val="both"/>
        <w:rPr>
          <w:rFonts w:ascii="Calibri" w:hAnsi="Calibri" w:cs="Arial"/>
        </w:rPr>
      </w:pPr>
    </w:p>
    <w:p w14:paraId="0CAA31C6" w14:textId="0741D4D2" w:rsidR="00BE65D6" w:rsidRDefault="000172A4" w:rsidP="005837A4">
      <w:pPr>
        <w:spacing w:line="480" w:lineRule="auto"/>
        <w:jc w:val="both"/>
        <w:rPr>
          <w:rFonts w:ascii="Calibri" w:hAnsi="Calibri" w:cs="Arial"/>
        </w:rPr>
      </w:pPr>
      <w:r>
        <w:rPr>
          <w:rFonts w:ascii="Calibri" w:hAnsi="Calibri" w:cs="Arial"/>
        </w:rPr>
        <w:t xml:space="preserve">As with PMOs, PNAs also </w:t>
      </w:r>
      <w:r w:rsidR="00DF46EC">
        <w:rPr>
          <w:rFonts w:ascii="Calibri" w:hAnsi="Calibri" w:cs="Arial"/>
        </w:rPr>
        <w:t xml:space="preserve">demonstrated </w:t>
      </w:r>
      <w:r>
        <w:rPr>
          <w:rFonts w:ascii="Calibri" w:hAnsi="Calibri" w:cs="Arial"/>
        </w:rPr>
        <w:t>enhan</w:t>
      </w:r>
      <w:r w:rsidR="00DF46EC">
        <w:rPr>
          <w:rFonts w:ascii="Calibri" w:hAnsi="Calibri" w:cs="Arial"/>
        </w:rPr>
        <w:t>ce</w:t>
      </w:r>
      <w:r w:rsidR="005F7075">
        <w:rPr>
          <w:rFonts w:ascii="Calibri" w:hAnsi="Calibri" w:cs="Arial"/>
        </w:rPr>
        <w:t>d</w:t>
      </w:r>
      <w:r w:rsidR="00DF46EC">
        <w:rPr>
          <w:rFonts w:ascii="Calibri" w:hAnsi="Calibri" w:cs="Arial"/>
        </w:rPr>
        <w:t xml:space="preserve"> delivery</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"10.3390/ijms9071276", "ISSN" : "1422-0067", "PMID" : "19325804", "abstract" : "Despite the fact that non-viral nucleic acid delivery systems are generally considered to be less efficient than viral vectors, they have gained much interest in recent years due to their superior safety profile compared to their viral counterpart. Among these synthetic vectors are cationic polymers, branched dendrimers, cationic liposomes and cell-penetrating peptides (CPPs). The latter represent an assortment of fairly unrelated sequences essentially characterised by a high content of basic amino acids and a length of 10-30 residues. CPPs are capable of mediating the cellular uptake of hydrophilic macromolecules like peptides and nucleic acids (e.g. siRNAs, aptamers and antisense-oligonucleotides), which are internalised by cells at a very low rate when applied alone. Up to now, numerous sequences have been reported to show cell-penetrating properties and many of them have been used to successfully transport a variety of different cargos into mammalian cells. In recent years, it has become apparent that endocytosis is a major route of internalisation even though the mechanisms underlying the cellular translocation of CPPs are poorly understood and still subject to controversial discussions. In this review, we will summarise the latest developments in peptide-based cellular delivery of nucleic acid cargos. We will discuss different mechanisms of entry, the intracellular fate of the cargo, correlation studies of uptake versus biological activity of the cargo as well as technical problems and pitfalls.", "author" : [ { "dropping-particle" : "", "family" : "Veldhoen", "given" : "Sandra", "non-dropping-particle" : "", "parse-names" : false, "suffix" : "" }, { "dropping-particle" : "", "family" : "Laufer", "given" : "Sandra D", "non-dropping-particle" : "", "parse-names" : false, "suffix" : "" }, { "dropping-particle" : "", "family" : "Restle", "given" : "Tobias", "non-dropping-particle" : "", "parse-names" : false, "suffix" : "" } ], "container-title" : "International journal of molecular sciences", "id" : "ITEM-1", "issue" : "7", "issued" : { "date-parts" : [ [ "2008", "6" ] ] }, "page" : "1276-320", "title" : "Recent developments in peptide-based nucleic acid delivery.", "type" : "article-journal", "volume" : "9" }, "uris" : [ "http://www.mendeley.com/documents/?uuid=069a39e4-c532-4e99-9315-fbe1671fbff7" ] } ], "mendeley" : { "formattedCitation" : "(Veldhoen, Laufer, &amp; Restle, 2008)", "plainTextFormattedCitation" : "(Veldhoen, Laufer, &amp; Restle, 2008)", "previouslyFormattedCitation" : "(Veldhoen, Laufer, &amp; Restle, 2008)" }, "properties" : { "noteIndex" : 0 }, "schema" : "https://github.com/citation-style-language/schema/raw/master/csl-citation.json" }</w:instrText>
      </w:r>
      <w:r>
        <w:rPr>
          <w:rFonts w:ascii="Calibri" w:hAnsi="Calibri" w:cs="Arial"/>
        </w:rPr>
        <w:fldChar w:fldCharType="separate"/>
      </w:r>
      <w:r w:rsidRPr="00E2062D">
        <w:rPr>
          <w:rFonts w:ascii="Calibri" w:hAnsi="Calibri" w:cs="Arial"/>
          <w:noProof/>
        </w:rPr>
        <w:t>(Veldhoen, Laufer, &amp; Restle, 2008)</w:t>
      </w:r>
      <w:r>
        <w:rPr>
          <w:rFonts w:ascii="Calibri" w:hAnsi="Calibri" w:cs="Arial"/>
        </w:rPr>
        <w:fldChar w:fldCharType="end"/>
      </w:r>
      <w:r w:rsidR="00DF46EC">
        <w:rPr>
          <w:rFonts w:ascii="Calibri" w:hAnsi="Calibri" w:cs="Arial"/>
        </w:rPr>
        <w:t xml:space="preserve"> </w:t>
      </w:r>
      <w:r w:rsidR="008132B4">
        <w:rPr>
          <w:rFonts w:ascii="Calibri" w:hAnsi="Calibri" w:cs="Arial"/>
        </w:rPr>
        <w:t xml:space="preserve">when conjugated to </w:t>
      </w:r>
      <w:r>
        <w:rPr>
          <w:rFonts w:ascii="Calibri" w:hAnsi="Calibri" w:cs="Arial"/>
        </w:rPr>
        <w:t xml:space="preserve">simple </w:t>
      </w:r>
      <w:r>
        <w:rPr>
          <w:rFonts w:ascii="Calibri" w:hAnsi="Calibri" w:cs="Arial"/>
        </w:rPr>
        <w:fldChar w:fldCharType="begin" w:fldLock="1"/>
      </w:r>
      <w:r>
        <w:rPr>
          <w:rFonts w:ascii="Calibri" w:hAnsi="Calibri" w:cs="Arial"/>
        </w:rPr>
        <w:instrText>ADDIN CSL_CITATION { "citationItems" : [ { "id" : "ITEM-1", "itemData" : { "DOI" : "10.1038/nbt759", "ISSN" : "1087-0156", "PMID" : "12426578", "abstract" : "Systemically injected 2'-O-methoxyethyl (2'-O-MOE)-phosphorothioate and PNA-4K oligomers (peptide nucleic acid with four lysines linked at the C terminus) exhibited sequence-specific antisense activity in a number of mouse organs. Morpholino oligomers were less effective, whereas PNA oligomers with only one lysine (PNA-1K) were completely inactive. The latter result indicates that the four-lysine tail is essential for the antisense activity of PNA oligomers in vivo. These results were obtained in a transgenic mouse model designed as a positive readout test for activity, delivery, and distribution of antisense oligomers. In this model, the expressed gene (EGFP-654) encoding enhanced green fluorescence protein (EGFP) is interrupted by an aberrantly spliced mutated intron of the human beta-globin gene. Aberrant splicing of this intron prevented expression of EGFP-654 in all tissues, whereas in tissues and organs that took up a splice site-targeted antisense oligomer, correct splicing was restored and EGFP-654 expression upregulated. The sequence-specific ability of PNA-4K and the 2'-O-MOE oligomers to upregulate EGFP-654 provides strong evidence that systemically delivered, chemically modified oligonucleotides affect gene expression by sequence-specific true antisense activity, validating their application as potential therapeutics.", "author" : [ { "dropping-particle" : "", "family" : "Sazani", "given" : "Peter", "non-dropping-particle" : "", "parse-names" : false, "suffix" : "" }, { "dropping-particle" : "", "family" : "Gemignani", "given" : "Federica", "non-dropping-particle" : "", "parse-names" : false, "suffix" : "" }, { "dropping-particle" : "", "family" : "Kang", "given" : "Shin-Hong", "non-dropping-particle" : "", "parse-names" : false, "suffix" : "" }, { "dropping-particle" : "", "family" : "Maier", "given" : "Martin A", "non-dropping-particle" : "", "parse-names" : false, "suffix" : "" }, { "dropping-particle" : "", "family" : "Manoharan", "given" : "Muthiah", "non-dropping-particle" : "", "parse-names" : false, "suffix" : "" }, { "dropping-particle" : "", "family" : "Persmark", "given" : "Magnus", "non-dropping-particle" : "", "parse-names" : false, "suffix" : "" }, { "dropping-particle" : "", "family" : "Bortner", "given" : "Donna", "non-dropping-particle" : "", "parse-names" : false, "suffix" : "" }, { "dropping-particle" : "", "family" : "Kole", "given" : "Ryszard", "non-dropping-particle" : "", "parse-names" : false, "suffix" : "" } ], "container-title" : "Nature biotechnology", "id" : "ITEM-1", "issue" : "12", "issued" : { "date-parts" : [ [ "2002", "12" ] ] }, "page" : "1228-33", "title" : "Systemically delivered antisense oligomers upregulate gene expression in mouse tissues.", "type" : "article-journal", "volume" : "20" }, "uris" : [ "http://www.mendeley.com/documents/?uuid=f5f5eb1a-f710-4b60-868e-0beacd6bdfbe" ] }, { "id" : "ITEM-2", "itemData" : { "DOI" : "10.1016/j.jhep.2004.10.010", "ISSN" : "0168-8278", "PMID" : "15664242", "abstract" : "BACKGROUND/AIMS: Peptide nucleic acids (PNAs) appear as promising new antisense agents, that have not yet been examined as hepatitis B virus (HBV) inhibitors. Our aim was to study the ability of PNAs targeting the duck HBV (DHBV) encapsidation signal epsilon to inhibit reverse transcription (RT) and to compare their efficacy with phosphorothioate oligodeoxynucleotides (S-ODNs).\n\nMETHODS: The effect of two partly overlapping PNAs targeting epsilon and of analogous S-ODNs was tested in cell-free transcription and translation system for DHBV RT expression. In addition their antiviral effect was investigated in primary duck hepatocytes (PDH).\n\nRESULTS: Both PNAs reproducibly inhibited DHBV RT in a dose-dependent manner with IC(50) of 10nM, whereas up to 600-fold higher concentration of S-ODNs was required for similar inhibition. The PNA targeting the bulge and upper stem of epsilon appeared as more efficient RT inhibitor than the PNA targeting only the bulge. Importantly, the inhibition was highly sequence-specific since double-mismatched PNA had no effect on the RT reaction. Moreover, in PDH the PNA coupled to Arg(7) cationic delivery peptide decreased DHBV replication.\n\nCONCLUSIONS: We provide the first evidence that PNAs targeting the bulge and upper stem of epsilon can efficiently and in a sequence-specific manner inhibit DHBV RT.", "author" : [ { "dropping-particle" : "", "family" : "Robaczewska", "given" : "Magdalena", "non-dropping-particle" : "", "parse-names" : false, "suffix" : "" }, { "dropping-particle" : "", "family" : "Narayan", "given" : "Ramamurthy", "non-dropping-particle" : "", "parse-names" : false, "suffix" : "" }, { "dropping-particle" : "", "family" : "Seigneres", "given" : "Beatrice", "non-dropping-particle" : "", "parse-names" : false, "suffix" : "" }, { "dropping-particle" : "", "family" : "Schorr", "given" : "Olivier", "non-dropping-particle" : "", "parse-names" : false, "suffix" : "" }, { "dropping-particle" : "", "family" : "Thermet", "given" : "Alexandre", "non-dropping-particle" : "", "parse-names" : false, "suffix" : "" }, { "dropping-particle" : "", "family" : "Podhajska", "given" : "Anna J", "non-dropping-particle" : "", "parse-names" : false, "suffix" : "" }, { "dropping-particle" : "", "family" : "Trepo", "given" : "Christian", "non-dropping-particle" : "", "parse-names" : false, "suffix" : "" }, { "dropping-particle" : "", "family" : "Zoulim", "given" : "Fabien", "non-dropping-particle" : "", "parse-names" : false, "suffix" : "" }, { "dropping-particle" : "", "family" : "Nielsen", "given" : "Peter E", "non-dropping-particle" : "", "parse-names" : false, "suffix" : "" }, { "dropping-particle" : "", "family" : "Cova", "given" : "Lucyna", "non-dropping-particle" : "", "parse-names" : false, "suffix" : "" } ], "container-title" : "Journal of hepatology", "id" : "ITEM-2", "issue" : "2", "issued" : { "date-parts" : [ [ "2005", "2" ] ] }, "page" : "180-7", "title" : "Sequence-specific inhibition of duck hepatitis B virus reverse transcription by peptide nucleic acids (PNA).", "type" : "article-journal", "volume" : "42" }, "uris" : [ "http://www.mendeley.com/documents/?uuid=045cb1fe-56fa-435c-8834-8bdfdd71b7d4" ] } ], "mendeley" : { "formattedCitation" : "(Robaczewska et al., 2005; Sazani et al., 2002)", "plainTextFormattedCitation" : "(Robaczewska et al., 2005; Sazani et al., 2002)", "previouslyFormattedCitation" : "(Robaczewska et al., 2005; Sazani et al., 2002)" }, "properties" : { "noteIndex" : 0 }, "schema" : "https://github.com/citation-style-language/schema/raw/master/csl-citation.json" }</w:instrText>
      </w:r>
      <w:r>
        <w:rPr>
          <w:rFonts w:ascii="Calibri" w:hAnsi="Calibri" w:cs="Arial"/>
        </w:rPr>
        <w:fldChar w:fldCharType="separate"/>
      </w:r>
      <w:r w:rsidRPr="00BC7C66">
        <w:rPr>
          <w:rFonts w:ascii="Calibri" w:hAnsi="Calibri" w:cs="Arial"/>
          <w:noProof/>
        </w:rPr>
        <w:t>(Robaczewska et al., 2005; Sazani et al., 2002)</w:t>
      </w:r>
      <w:r>
        <w:rPr>
          <w:rFonts w:ascii="Calibri" w:hAnsi="Calibri" w:cs="Arial"/>
        </w:rPr>
        <w:fldChar w:fldCharType="end"/>
      </w:r>
      <w:r>
        <w:rPr>
          <w:rFonts w:ascii="Calibri" w:hAnsi="Calibri" w:cs="Arial"/>
        </w:rPr>
        <w:t xml:space="preserve"> and complex </w:t>
      </w:r>
      <w:r>
        <w:rPr>
          <w:rFonts w:ascii="Calibri" w:hAnsi="Calibri" w:cs="Arial"/>
        </w:rPr>
        <w:fldChar w:fldCharType="begin" w:fldLock="1"/>
      </w:r>
      <w:r>
        <w:rPr>
          <w:rFonts w:ascii="Calibri" w:hAnsi="Calibri" w:cs="Arial"/>
        </w:rPr>
        <w:instrText>ADDIN CSL_CITATION { "citationItems" : [ { "id" : "ITEM-1", "itemData" : { "DOI" : "10.1371/journal.pone.0104999", "ISSN" : "1932-6203", "PMID" : "25127364", "abstract" : "Peptide nucleic acids (PNAs) are very attractive antisense and antigene agents, but these molecules are not passively taken into cells. Here, using a functional cell assay and fluorescent-based methods, we investigated cell uptake and antisense activity of a tridecamer PNA that targets the HIV-1 polypurine tract sequence delivered using the arginine-rich (R/W)9 peptide (RRWWRRWRR). At micromolar concentrations, without use of any transfection agents, almost 80% inhibition of the target gene expression was obtained with the conjugate in the presence of the endosomolytic agent chloroquine. We show that chloroquine not only induced escape from endosomes but also enhanced the cellular uptake of the conjugate. Mechanistic studies revealed that (R/W)9-PNA conjugates were internalized via pinocytosis. Replacement of arginines with lysines reduced the uptake of the conjugate by six-fold, resulting in the abolition of intracellular target inhibition. Our results show that the arginines play a crucial role in the conjugate uptake and antisense activity. To determine whether specificity of the interactions of arginines with cell surface proteoglycans result in the internalization, we used flow cytometry to examine uptake of arginine- and lysine-rich conjugates in wild-type CHO-K1 and proteoglycan-deficient A745 cells. The uptake of both conjugates was decreased by four fold in CHO-745 cells; therefore proteoglycans promote internalization of cationic peptides, irrespective of the chemical nature of their positive charges. Our results show that arginine-rich cell-penetrating peptides, especially (R/W)9, are a promising tool for PNA internalization.", "author" : [ { "dropping-particle" : "", "family" : "Cordier", "given" : "C\u00e9line", "non-dropping-particle" : "", "parse-names" : false, "suffix" : "" }, { "dropping-particle" : "", "family" : "Boutimah", "given" : "Fatima", "non-dropping-particle" : "", "parse-names" : false, "suffix" : "" }, { "dropping-particle" : "", "family" : "Bourdeloux", "given" : "Mathilde", "non-dropping-particle" : "", "parse-names" : false, "suffix" : "" }, { "dropping-particle" : "", "family" : "Dupuy", "given" : "Florian", "non-dropping-particle" : "", "parse-names" : false, "suffix" : "" }, { "dropping-particle" : "", "family" : "Met", "given" : "Elisabeth", "non-dropping-particle" : "", "parse-names" : false, "suffix" : "" }, { "dropping-particle" : "", "family" : "Alberti", "given" : "Patrizia", "non-dropping-particle" : "", "parse-names" : false, "suffix" : "" }, { "dropping-particle" : "", "family" : "Loll", "given" : "Fran\u00e7ois", "non-dropping-particle" : "", "parse-names" : false, "suffix" : "" }, { "dropping-particle" : "", "family" : "Chassaing", "given" : "G\u00e9rard", "non-dropping-particle" : "", "parse-names" : false, "suffix" : "" }, { "dropping-particle" : "", "family" : "Burlina", "given" : "Fabienne", "non-dropping-particle" : "", "parse-names" : false, "suffix" : "" }, { "dropping-particle" : "", "family" : "Saison-Behmoaras", "given" : "Tula Ester", "non-dropping-particle" : "", "parse-names" : false, "suffix" : "" } ], "container-title" : "PloS one", "id" : "ITEM-1", "issue" : "8", "issued" : { "date-parts" : [ [ "2014", "1" ] ] }, "page" : "e104999", "title" : "Delivery of antisense peptide nucleic acids to cells by conjugation with small arginine-rich cell-penetrating peptide (R/W)9.", "type" : "article-journal", "volume" : "9" }, "uris" : [ "http://www.mendeley.com/documents/?uuid=93e582db-eabb-4dea-9470-0e413e07cc9e" ] } ], "mendeley" : { "formattedCitation" : "(Cordier et al., 2014)", "plainTextFormattedCitation" : "(Cordier et al., 2014)", "previouslyFormattedCitation" : "(Cordier et al., 2014)" }, "properties" : { "noteIndex" : 0 }, "schema" : "https://github.com/citation-style-language/schema/raw/master/csl-citation.json" }</w:instrText>
      </w:r>
      <w:r>
        <w:rPr>
          <w:rFonts w:ascii="Calibri" w:hAnsi="Calibri" w:cs="Arial"/>
        </w:rPr>
        <w:fldChar w:fldCharType="separate"/>
      </w:r>
      <w:r w:rsidRPr="00991F43">
        <w:rPr>
          <w:rFonts w:ascii="Calibri" w:hAnsi="Calibri" w:cs="Arial"/>
          <w:noProof/>
        </w:rPr>
        <w:t>(Cordier et al., 2014)</w:t>
      </w:r>
      <w:r>
        <w:rPr>
          <w:rFonts w:ascii="Calibri" w:hAnsi="Calibri" w:cs="Arial"/>
        </w:rPr>
        <w:fldChar w:fldCharType="end"/>
      </w:r>
      <w:r>
        <w:rPr>
          <w:rFonts w:ascii="Calibri" w:hAnsi="Calibri" w:cs="Arial"/>
        </w:rPr>
        <w:t xml:space="preserve"> CPP peptides</w:t>
      </w:r>
      <w:r w:rsidR="00801B34">
        <w:rPr>
          <w:rFonts w:ascii="Calibri" w:hAnsi="Calibri" w:cs="Arial"/>
        </w:rPr>
        <w:t>. This</w:t>
      </w:r>
      <w:r>
        <w:rPr>
          <w:rFonts w:ascii="Calibri" w:hAnsi="Calibri" w:cs="Arial"/>
        </w:rPr>
        <w:t xml:space="preserve"> includ</w:t>
      </w:r>
      <w:r w:rsidR="00801B34">
        <w:rPr>
          <w:rFonts w:ascii="Calibri" w:hAnsi="Calibri" w:cs="Arial"/>
        </w:rPr>
        <w:t>es CPPs</w:t>
      </w:r>
      <w:r>
        <w:rPr>
          <w:rFonts w:ascii="Calibri" w:hAnsi="Calibri" w:cs="Arial"/>
        </w:rPr>
        <w:t xml:space="preserve"> used for PMOs </w:t>
      </w:r>
      <w:r>
        <w:rPr>
          <w:rFonts w:ascii="Calibri" w:hAnsi="Calibri" w:cs="Arial"/>
        </w:rPr>
        <w:fldChar w:fldCharType="begin" w:fldLock="1"/>
      </w:r>
      <w:r>
        <w:rPr>
          <w:rFonts w:ascii="Calibri" w:hAnsi="Calibri" w:cs="Arial"/>
        </w:rPr>
        <w:instrText>ADDIN CSL_CITATION { "citationItems" : [ { "id" : "ITEM-1", "itemData" : { "DOI" : "10.1016/j.bmc.2015.10.020", "ISSN" : "1464-3391", "PMID" : "26602085", "abstract" : "Pseudomonas aeruginosa is one of the most common and clinically important pathogens because of its resistance to a wide variety of antibiotics. A number of treatments of P. aeruginosa have been developed, but there is still no definitive one. Antisense drugs have a great potential to treat multidrug-resistant P. aeruginosa because this technology, in principle, can inhibit the expression of any essential genes. Nucleic Acid Ther.2012, 22, 323 reported that peptide nucleic acid (PNA) antisenses conjugated to the carrier peptide (RXR)4 and targeted to ftsZ and acpP (essential genes) had antibacterial activity in P. aeruginosa. However, growth inhibition was also found with peptide-PNA antisense conjugates of mismatched sequences (negative controls), and hence there remains a possibility for considerable enhancement of basal level activity due to the general toxicity. To assess the true potential of peptide-PNA conjugates, we measured sequence-dependent knockdown of the (RXR)4-PNA conjugates by using a scrambled sequence as a negative control. In addition, we evaluated (RXR)4-PNA antisenses against three other essential genes (lepB, lptD and mraY) and a non-essential gene (PA1303), and confirmed that multiple sequences targeting only the essential genes showed antimicrobial activity in P. aeruginosa PAO1 cells. We also conducted a rescue experiment and confirmed that the antimicrobial activity of anti-mraY antisenses was an on-target effect, not due to general toxicity. These findings indicate that the (RXR)4-PNA antisense should be a useful tool for target validation of a specific gene and could be a therapeutic platform capable of targeting a variety of genes in P. aeruginosa.", "author" : [ { "dropping-particle" : "", "family" : "Maekawa", "given" : "Kazuhiko", "non-dropping-particle" : "", "parse-names" : false, "suffix" : "" }, { "dropping-particle" : "", "family" : "Azuma", "given" : "Motoki", "non-dropping-particle" : "", "parse-names" : false, "suffix" : "" }, { "dropping-particle" : "", "family" : "Okuno", "given" : "Yousuke", "non-dropping-particle" : "", "parse-names" : false, "suffix" : "" }, { "dropping-particle" : "", "family" : "Tsukamoto", "given" : "Tasuku", "non-dropping-particle" : "", "parse-names" : false, "suffix" : "" }, { "dropping-particle" : "", "family" : "Nishiguchi", "given" : "Kenzo", "non-dropping-particle" : "", "parse-names" : false, "suffix" : "" }, { "dropping-particle" : "", "family" : "Setsukinai", "given" : "Ken-Ichi", "non-dropping-particle" : "", "parse-names" : false, "suffix" : "" }, { "dropping-particle" : "", "family" : "Maki", "given" : "Hideki", "non-dropping-particle" : "", "parse-names" : false, "suffix" : "" }, { "dropping-particle" : "", "family" : "Numata", "given" : "Yoshito", "non-dropping-particle" : "", "parse-names" : false, "suffix" : "" }, { "dropping-particle" : "", "family" : "Takemoto", "given" : "Hiroshi", "non-dropping-particle" : "", "parse-names" : false, "suffix" : "" }, { "dropping-particle" : "", "family" : "Rokushima", "given" : "Masatomo", "non-dropping-particle" : "", "parse-names" : false, "suffix" : "" } ], "container-title" : "Bioorganic &amp; medicinal chemistry", "id" : "ITEM-1", "issue" : "22", "issued" : { "date-parts" : [ [ "2015", "10", "22" ] ] }, "page" : "7234-7239", "title" : "Antisense peptide nucleic acid-peptide conjugates for functional analyses of genes in Pseudomonas aeruginosa.", "type" : "article-journal", "volume" : "23" }, "uris" : [ "http://www.mendeley.com/documents/?uuid=13c4f0c8-4e7b-4946-a084-b1a3773a7a8a" ] } ], "mendeley" : { "formattedCitation" : "(Maekawa et al., 2015)", "plainTextFormattedCitation" : "(Maekawa et al., 2015)", "previouslyFormattedCitation" : "(Maekawa et al., 2015)" }, "properties" : { "noteIndex" : 0 }, "schema" : "https://github.com/citation-style-language/schema/raw/master/csl-citation.json" }</w:instrText>
      </w:r>
      <w:r>
        <w:rPr>
          <w:rFonts w:ascii="Calibri" w:hAnsi="Calibri" w:cs="Arial"/>
        </w:rPr>
        <w:fldChar w:fldCharType="separate"/>
      </w:r>
      <w:r w:rsidRPr="00560AE0">
        <w:rPr>
          <w:rFonts w:ascii="Calibri" w:hAnsi="Calibri" w:cs="Arial"/>
          <w:noProof/>
        </w:rPr>
        <w:t>(Maekawa et al., 2015)</w:t>
      </w:r>
      <w:r>
        <w:rPr>
          <w:rFonts w:ascii="Calibri" w:hAnsi="Calibri" w:cs="Arial"/>
        </w:rPr>
        <w:fldChar w:fldCharType="end"/>
      </w:r>
      <w:r w:rsidR="00503884">
        <w:rPr>
          <w:rFonts w:ascii="Calibri" w:hAnsi="Calibri" w:cs="Arial"/>
        </w:rPr>
        <w:t>,</w:t>
      </w:r>
      <w:r w:rsidR="00801B34">
        <w:rPr>
          <w:rFonts w:ascii="Calibri" w:hAnsi="Calibri" w:cs="Arial"/>
        </w:rPr>
        <w:t xml:space="preserve"> extends to natural</w:t>
      </w:r>
      <w:r>
        <w:rPr>
          <w:rFonts w:ascii="Calibri" w:hAnsi="Calibri" w:cs="Arial"/>
        </w:rPr>
        <w:t xml:space="preserve"> protein transduction domains </w:t>
      </w:r>
      <w:r w:rsidR="00BE65D6">
        <w:rPr>
          <w:rFonts w:ascii="Calibri" w:hAnsi="Calibri" w:cs="Arial"/>
        </w:rPr>
        <w:fldChar w:fldCharType="begin" w:fldLock="1"/>
      </w:r>
      <w:r w:rsidR="00F7354A">
        <w:rPr>
          <w:rFonts w:ascii="Calibri" w:hAnsi="Calibri" w:cs="Arial"/>
        </w:rPr>
        <w:instrText>ADDIN CSL_CITATION { "citationItems" : [ { "id" : "ITEM-1", "itemData" : { "DOI" : "10.1261/rna.844108", "ISSN" : "1469-9001", "PMID" : "18073344", "abstract" : "MicroRNAs are small noncoding RNAs that regulate many cellular processes in a post-transcriptional mode. MicroRNA knockdown by antisense oligonucleotides is a useful strategy to explore microRNA functionality and as potential therapeutics. MicroRNA-122 (miR-122) is a liver-specific microRNA, the main function of which has been linked with lipid metabolism and liver homeostasis. Here, we show that lipofection of an antisense oligonucleotide based on a Locked Nucleic Acids (LNA)/2'-O-methyl mixmer or electroporation of a Peptide Nucleic Acid (PNA) oligomer is effective at blocking miR-122 activity in human and rat liver cells. These oligonucleotide analogs, evaluated for the first time in microRNA inhibition, are more effective than standard 2'-O-methyl oligonucleotides in binding and inhibiting microRNA action. We also show that microRNA inhibition can be achieved without the need for transfection or electroporation of the human or rat cell lines, by conjugation of an antisense PNA to the cell-penetrating peptide R6-Penetratin, or merely by linkage to just four Lys residues, highlighting the potential of PNA for future therapeutic applications as well as for studying microRNA function.", "author" : [ { "dropping-particle" : "", "family" : "Fabani", "given" : "Martin M", "non-dropping-particle" : "", "parse-names" : false, "suffix" : "" }, { "dropping-particle" : "", "family" : "Gait", "given" : "Michael J", "non-dropping-particle" : "", "parse-names" : false, "suffix" : "" } ], "container-title" : "RNA (New York, N.Y.)", "id" : "ITEM-1", "issue" : "2", "issued" : { "date-parts" : [ [ "2008", "2" ] ] }, "page" : "336-46", "title" : "miR-122 targeting with LNA/2'-O-methyl oligonucleotide mixmers, peptide nucleic acids (PNA), and PNA-peptide conjugates.", "type" : "article-journal", "volume" : "14" }, "uris" : [ "http://www.mendeley.com/documents/?uuid=69558a2d-6b47-41ff-8115-0ffdc4c3552e" ] }, { "id" : "ITEM-2", "itemData" : { "DOI" : "10.1007/s10059-009-0134-8", "ISSN" : "0219-1032", "PMID" : "19812898", "abstract" : "MiRNAs are non-coding RNAs that play a role in the regulation of major processes. The inhibition of miRNAs using antisense oligonucleotides (ASOs) is a unique and effective technique for the characterization and subsequent therapeutic targeting of miRNA function. Recent advances in ASO chemistry have been used to increase both the resistance to nucleases and the target affinity and specificity of these ASOs.Peptide nucleic acids (PNAs) are artificial oligonucleotides constructed on a peptide-like backbone. PNAs have a stronger affinity and greater specificity to DNA or RNA than natural nucleic acids and are resistant to nucleases, which is an essential characteristic for a miRNA inhibitor that will be exposed to serum and cellular nucleases.For increasing cell penetration, PNAs were conjugated with cell penetrating peptides (CPPs) at N-terminal. Among the tested CPPs, Tat-modified peptide-conjugated PNAs have most effective function for miRNA inhibition. PNA-based ASO was more effective miRNA inhibitor than other DNA-based ASOs and did not show cytotoxicity at concentration up to 1,000 nM. The effects of PNA-based ASOs were shown to persist for 9 days. Also, PNA-based ASOs showed considerable stability at storage temperature. These results suggest that PNA-based ASOs are more effective ASOs of miRNA than DNA-based ASOs and PNA-based ASO technology, compared with other technologies used to inhibit miRNA activity can be an effective tool for investigating miRNA functions.", "author" : [ { "dropping-particle" : "", "family" : "Oh", "given" : "Su Young", "non-dropping-particle" : "", "parse-names" : false, "suffix" : "" }, { "dropping-particle" : "", "family" : "Ju", "given" : "YeongSoon", "non-dropping-particle" : "", "parse-names" : false, "suffix" : "" }, { "dropping-particle" : "", "family" : "Park", "given" : "Heekyung", "non-dropping-particle" : "", "parse-names" : false, "suffix" : "" } ], "container-title" : "Molecules and cells", "id" : "ITEM-2", "issue" : "4", "issued" : { "date-parts" : [ [ "2009", "10", "31" ] ] }, "page" : "341-5", "title" : "A highly effective and long-lasting inhibition of miRNAs with PNA-based antisense oligonucleotides.", "type" : "article-journal", "volume" : "28" }, "uris" : [ "http://www.mendeley.com/documents/?uuid=e9e0b1aa-2985-4be9-a378-83522c1eccb2" ] } ], "mendeley" : { "formattedCitation" : "(Fabani &amp; Gait, 2008; Oh, Ju, &amp; Park, 2009)", "plainTextFormattedCitation" : "(Fabani &amp; Gait, 2008; Oh, Ju, &amp; Park, 2009)", "previouslyFormattedCitation" : "(Fabani &amp; Gait, 2008; Oh, Ju, &amp; Park, 2009)" }, "properties" : { "noteIndex" : 0 }, "schema" : "https://github.com/citation-style-language/schema/raw/master/csl-citation.json" }</w:instrText>
      </w:r>
      <w:r w:rsidR="00BE65D6">
        <w:rPr>
          <w:rFonts w:ascii="Calibri" w:hAnsi="Calibri" w:cs="Arial"/>
        </w:rPr>
        <w:fldChar w:fldCharType="separate"/>
      </w:r>
      <w:r w:rsidR="00BE65D6" w:rsidRPr="00BE65D6">
        <w:rPr>
          <w:rFonts w:ascii="Calibri" w:hAnsi="Calibri" w:cs="Arial"/>
          <w:noProof/>
        </w:rPr>
        <w:t>(Fabani &amp; Gait, 2008; Oh, Ju, &amp; Park, 2009)</w:t>
      </w:r>
      <w:r w:rsidR="00BE65D6">
        <w:rPr>
          <w:rFonts w:ascii="Calibri" w:hAnsi="Calibri" w:cs="Arial"/>
        </w:rPr>
        <w:fldChar w:fldCharType="end"/>
      </w:r>
      <w:r w:rsidR="00186357">
        <w:rPr>
          <w:rFonts w:ascii="Calibri" w:hAnsi="Calibri" w:cs="Arial"/>
        </w:rPr>
        <w:t xml:space="preserve"> </w:t>
      </w:r>
      <w:r w:rsidR="00570092">
        <w:rPr>
          <w:rFonts w:ascii="Calibri" w:hAnsi="Calibri" w:cs="Arial"/>
        </w:rPr>
        <w:t>and small molecule compounds such as</w:t>
      </w:r>
      <w:r>
        <w:rPr>
          <w:rFonts w:ascii="Calibri" w:hAnsi="Calibri" w:cs="Arial"/>
        </w:rPr>
        <w:t xml:space="preserve"> triphenylphosphonium </w:t>
      </w:r>
      <w:r>
        <w:rPr>
          <w:rFonts w:ascii="Calibri" w:hAnsi="Calibri" w:cs="Arial"/>
        </w:rPr>
        <w:fldChar w:fldCharType="begin" w:fldLock="1"/>
      </w:r>
      <w:r>
        <w:rPr>
          <w:rFonts w:ascii="Calibri" w:hAnsi="Calibri" w:cs="Arial"/>
        </w:rPr>
        <w:instrText>ADDIN CSL_CITATION { "citationItems" : [ { "id" : "ITEM-1", "itemData" : { "DOI" : "10.1089/oli.2008.0126", "ISSN" : "1557-8526", "PMID" : "18707540", "abstract" : "With the aim of developing a general and straightforward procedure for the intracellular delivery of naked peptide nucleic acids (PNAs), we designed an intracellularly biodegradable triphenylphosphonium (TPP) cation based transporter system. In this system, TPP is linked, via a biolabile disulfide bridge, to an activated mercaptoethoxycarbonyl moiety, allowing its direct coupling to the N-terminal extremity of a free PNA through a carbamate bond. We found that such TPP-PNA-carbamate conjugates were highly stable in a cell culture medium containing fetal calf serum. In a glutathione-containing medium mimicking the cytosol, the conjugates were rapidly degraded into an unstable intermediate, which spontaneously decomposed, releasing the free PNA. Using a fluorescence-labeled PNA-TPP conjugate, we demonstrated that conjugates were taken up by cells. Efficient cellular uptake and release of the PNA into the cytosol was further confirmed by the anti-HIV activity measured for the TPP-conjugate of a 16-mer PNA targeting the TAR region of the HIV-1 genome. This conjugate exhibited an IC(50) value of 1 microM, while the free 16-mer PNA did not inhibit replication of HIV in the same cellular test.", "author" : [ { "dropping-particle" : "", "family" : "Mehiri", "given" : "Mohamed", "non-dropping-particle" : "", "parse-names" : false, "suffix" : "" }, { "dropping-particle" : "", "family" : "Upert", "given" : "Gregory", "non-dropping-particle" : "", "parse-names" : false, "suffix" : "" }, { "dropping-particle" : "", "family" : "Tripathi", "given" : "Snehlata", "non-dropping-particle" : "", "parse-names" : false, "suffix" : "" }, { "dropping-particle" : "", "family" : "Giorgio", "given" : "Audrey", "non-dropping-particle" : "Di", "parse-names" : false, "suffix" : "" }, { "dropping-particle" : "", "family" : "Condom", "given" : "Roger", "non-dropping-particle" : "", "parse-names" : false, "suffix" : "" }, { "dropping-particle" : "", "family" : "Pandey", "given" : "Virendra N", "non-dropping-particle" : "", "parse-names" : false, "suffix" : "" }, { "dropping-particle" : "", "family" : "Patino", "given" : "Nadia", "non-dropping-particle" : "", "parse-names" : false, "suffix" : "" } ], "container-title" : "Oligonucleotides", "id" : "ITEM-1", "issue" : "3", "issued" : { "date-parts" : [ [ "2008", "9" ] ] }, "page" : "245-56", "title" : "An efficient biodelivery system for antisense polyamide nucleic acid (PNA).", "type" : "article-journal", "volume" : "18" }, "uris" : [ "http://www.mendeley.com/documents/?uuid=73844e6b-81e7-4238-8697-b81310b038f9" ] } ], "mendeley" : { "formattedCitation" : "(Mehiri et al., 2008)", "plainTextFormattedCitation" : "(Mehiri et al., 2008)", "previouslyFormattedCitation" : "(Mehiri et al., 2008)" }, "properties" : { "noteIndex" : 0 }, "schema" : "https://github.com/citation-style-language/schema/raw/master/csl-citation.json" }</w:instrText>
      </w:r>
      <w:r>
        <w:rPr>
          <w:rFonts w:ascii="Calibri" w:hAnsi="Calibri" w:cs="Arial"/>
        </w:rPr>
        <w:fldChar w:fldCharType="separate"/>
      </w:r>
      <w:r w:rsidRPr="00E2062D">
        <w:rPr>
          <w:rFonts w:ascii="Calibri" w:hAnsi="Calibri" w:cs="Arial"/>
          <w:noProof/>
        </w:rPr>
        <w:t>(Mehiri et al., 2008)</w:t>
      </w:r>
      <w:r>
        <w:rPr>
          <w:rFonts w:ascii="Calibri" w:hAnsi="Calibri" w:cs="Arial"/>
        </w:rPr>
        <w:fldChar w:fldCharType="end"/>
      </w:r>
      <w:r>
        <w:rPr>
          <w:rFonts w:ascii="Calibri" w:hAnsi="Calibri" w:cs="Arial"/>
        </w:rPr>
        <w:t xml:space="preserve"> or flavin </w:t>
      </w:r>
      <w:r>
        <w:rPr>
          <w:rFonts w:ascii="Calibri" w:hAnsi="Calibri" w:cs="Arial"/>
        </w:rPr>
        <w:fldChar w:fldCharType="begin" w:fldLock="1"/>
      </w:r>
      <w:r>
        <w:rPr>
          <w:rFonts w:ascii="Calibri" w:hAnsi="Calibri" w:cs="Arial"/>
        </w:rPr>
        <w:instrText>ADDIN CSL_CITATION { "citationItems" : [ { "id" : "ITEM-1", "itemData" : { "DOI" : "10.1002/cbic.201200505", "ISSN" : "1439-7633", "PMID" : "23129496", "abstract" : "Oligonucleotides and their analogues, such as peptide nucleic acids (PNAs), can be used in chemical strategies to artificially control gene expression. Inefficient cellular uptake and inappropriate cellular localization still remain obstacles in biological applications, however, especially for PNAs. Here we demonstrate that conjugation of PNAs to flavin resulted in efficient internalization into cells through an endocytic pathway. The flavin-PNAs exhibited antisense activity in the sub-micromolar range, in the context of a treatment facilitating endosomal escape. Increased endosomal release of flavin conjugates into the cytoplasm and/or nucleus was shown by chloroquine treatment and also--when the flavin-PNA was conjugated to rhodamine, a mild photosensitizer--upon light irradiation. In conclusion, an isoalloxazine moiety can be used as a carrier and attached to a cargo biomolecule, here a PNA, for internalization and functional cytoplasmic/nuclear delivery. Our findings could be useful for further design of PNAs and other oligonucleotide analogues as potent antisense agents.", "author" : [ { "dropping-particle" : "", "family" : "Marlin", "given" : "Fanny", "non-dropping-particle" : "", "parse-names" : false, "suffix" : "" }, { "dropping-particle" : "", "family" : "Simon", "given" : "Philippe", "non-dropping-particle" : "", "parse-names" : false, "suffix" : "" }, { "dropping-particle" : "", "family" : "Bonneau", "given" : "St\u00e9phanie", "non-dropping-particle" : "", "parse-names" : false, "suffix" : "" }, { "dropping-particle" : "", "family" : "Alberti", "given" : "Patrizia", "non-dropping-particle" : "", "parse-names" : false, "suffix" : "" }, { "dropping-particle" : "", "family" : "Cordier", "given" : "C\u00e9line", "non-dropping-particle" : "", "parse-names" : false, "suffix" : "" }, { "dropping-particle" : "", "family" : "Boix", "given" : "Charlotte", "non-dropping-particle" : "", "parse-names" : false, "suffix" : "" }, { "dropping-particle" : "", "family" : "Perrouault", "given" : "Lo\u00efc", "non-dropping-particle" : "", "parse-names" : false, "suffix" : "" }, { "dropping-particle" : "", "family" : "Fossey", "given" : "Aur\u00e9lie", "non-dropping-particle" : "", "parse-names" : false, "suffix" : "" }, { "dropping-particle" : "", "family" : "Saison-Behmoaras", "given" : "Tula", "non-dropping-particle" : "", "parse-names" : false, "suffix" : "" }, { "dropping-particle" : "", "family" : "Fontecave", "given" : "Marc", "non-dropping-particle" : "", "parse-names" : false, "suffix" : "" }, { "dropping-particle" : "", "family" : "Giovannangeli", "given" : "Carine", "non-dropping-particle" : "", "parse-names" : false, "suffix" : "" } ], "container-title" : "Chembiochem : a European journal of chemical biology", "id" : "ITEM-1", "issue" : "17", "issued" : { "date-parts" : [ [ "2012", "11", "26" ] ] }, "page" : "2593-8", "title" : "Flavin conjugates for delivery of peptide nucleic acids.", "type" : "article-journal", "volume" : "13" }, "uris" : [ "http://www.mendeley.com/documents/?uuid=ad1d7661-717b-4012-90f3-ebcd284b4802" ] } ], "mendeley" : { "formattedCitation" : "(Marlin et al., 2012)", "plainTextFormattedCitation" : "(Marlin et al., 2012)", "previouslyFormattedCitation" : "(Marlin et al., 2012)" }, "properties" : { "noteIndex" : 0 }, "schema" : "https://github.com/citation-style-language/schema/raw/master/csl-citation.json" }</w:instrText>
      </w:r>
      <w:r>
        <w:rPr>
          <w:rFonts w:ascii="Calibri" w:hAnsi="Calibri" w:cs="Arial"/>
        </w:rPr>
        <w:fldChar w:fldCharType="separate"/>
      </w:r>
      <w:r w:rsidRPr="00842050">
        <w:rPr>
          <w:rFonts w:ascii="Calibri" w:hAnsi="Calibri" w:cs="Arial"/>
          <w:noProof/>
        </w:rPr>
        <w:t>(Marlin et al., 2012)</w:t>
      </w:r>
      <w:r>
        <w:rPr>
          <w:rFonts w:ascii="Calibri" w:hAnsi="Calibri" w:cs="Arial"/>
        </w:rPr>
        <w:fldChar w:fldCharType="end"/>
      </w:r>
      <w:r>
        <w:rPr>
          <w:rFonts w:ascii="Calibri" w:hAnsi="Calibri" w:cs="Arial"/>
        </w:rPr>
        <w:t xml:space="preserve">. Yet others have also proposed backbone modification with fluorine </w:t>
      </w:r>
      <w:r>
        <w:rPr>
          <w:rFonts w:ascii="Calibri" w:hAnsi="Calibri" w:cs="Arial"/>
        </w:rPr>
        <w:fldChar w:fldCharType="begin" w:fldLock="1"/>
      </w:r>
      <w:r>
        <w:rPr>
          <w:rFonts w:ascii="Calibri" w:hAnsi="Calibri" w:cs="Arial"/>
        </w:rPr>
        <w:instrText>ADDIN CSL_CITATION { "citationItems" : [ { "id" : "ITEM-1", "itemData" : { "DOI" : "10.1021/acs.joc.5b01614", "ISSN" : "1520-6904", "PMID" : "26322827", "abstract" : "Fluorous PNA analogues possessing fluorine as inherent part of aminopropylglycine (apg) backbone (\u03b3-CF2-apg PNA) have been synthesized and evaluated for biophysical and cell penetrating properties. These form duplexes of higher thermal stability with cRNA than cDNA, although destabilized compared to duplexes of standard aeg-PNA. Cellular uptake of the fluorinated \u03b3-CF2-apg PNAs in NIH 3T3 and HeLa cells was 2-3-fold higher compared to that of nonfluorinated apg PNA, with NIH 3T3 cells showing better permeability compared to HeLa cells. The backbone fluorinated PNAs, which are first in this class, when combined with other chemical modifications may have potential for future PNA-based antisense agents.", "author" : [ { "dropping-particle" : "", "family" : "Ellipilli", "given" : "Satheesh", "non-dropping-particle" : "", "parse-names" : false, "suffix" : "" }, { "dropping-particle" : "", "family" : "Ganesh", "given" : "Krishna N", "non-dropping-particle" : "", "parse-names" : false, "suffix" : "" } ], "container-title" : "The Journal of organic chemistry", "id" : "ITEM-1", "issue" : "18", "issued" : { "date-parts" : [ [ "2015", "9", "18" ] ] }, "language" : "EN", "page" : "9185-91", "publisher" : "American Chemical Society", "title" : "Fluorous Peptide Nucleic Acids: PNA Analogues with Fluorine in Backbone (\u03b3-CF2-apg-PNA) Enhance Cellular Uptake.", "type" : "article-journal", "volume" : "80" }, "uris" : [ "http://www.mendeley.com/documents/?uuid=93a2cfba-fb4e-419d-8d67-a5da1fe4424f" ] } ], "mendeley" : { "formattedCitation" : "(Ellipilli &amp; Ganesh, 2015)", "plainTextFormattedCitation" : "(Ellipilli &amp; Ganesh, 2015)", "previouslyFormattedCitation" : "(Ellipilli &amp; Ganesh, 2015)" }, "properties" : { "noteIndex" : 0 }, "schema" : "https://github.com/citation-style-language/schema/raw/master/csl-citation.json" }</w:instrText>
      </w:r>
      <w:r>
        <w:rPr>
          <w:rFonts w:ascii="Calibri" w:hAnsi="Calibri" w:cs="Arial"/>
        </w:rPr>
        <w:fldChar w:fldCharType="separate"/>
      </w:r>
      <w:r w:rsidRPr="00991F43">
        <w:rPr>
          <w:rFonts w:ascii="Calibri" w:hAnsi="Calibri" w:cs="Arial"/>
          <w:noProof/>
        </w:rPr>
        <w:t>(Ellipilli &amp; Ganesh, 2015)</w:t>
      </w:r>
      <w:r>
        <w:rPr>
          <w:rFonts w:ascii="Calibri" w:hAnsi="Calibri" w:cs="Arial"/>
        </w:rPr>
        <w:fldChar w:fldCharType="end"/>
      </w:r>
      <w:r>
        <w:rPr>
          <w:rFonts w:ascii="Calibri" w:hAnsi="Calibri" w:cs="Arial"/>
        </w:rPr>
        <w:t xml:space="preserve"> or guanidine </w:t>
      </w:r>
      <w:r>
        <w:rPr>
          <w:rFonts w:ascii="Calibri" w:hAnsi="Calibri" w:cs="Arial"/>
        </w:rPr>
        <w:fldChar w:fldCharType="begin" w:fldLock="1"/>
      </w:r>
      <w:r>
        <w:rPr>
          <w:rFonts w:ascii="Calibri" w:hAnsi="Calibri" w:cs="Arial"/>
        </w:rPr>
        <w:instrText>ADDIN CSL_CITATION { "citationItems" : [ { "id" : "ITEM-1", "itemData" : { "DOI" : "10.1021/ja063383v", "ISSN" : "0002-7863", "PMID" : "17165763", "abstract" : "Establishing a general and effective method for regulating gene expression in mammalian systems is important for many aspects of biological and biomedical research. Herein we report the antisense activities of a cell-permeable, guanidine-based peptide nucleic acid (PNA) called GPNA. We show that a GPNA oligomer designed to bind to the transcriptional start-site of human E-cadherin gene induces potent and sequence-specific antisense effects and is less toxic to the cells than the corresponding PNA-polyarginine conjugate. GPNA confers its silencing effect by blocking protein translation. The findings reported in this study provide a molecular framework for designing the next generation cell-permeable nucleic acid mimics for regulating gene expression in live cells and intact organisms.", "author" : [ { "dropping-particle" : "", "family" : "Dragulescu-Andrasi", "given" : "Anca", "non-dropping-particle" : "", "parse-names" : false, "suffix" : "" }, { "dropping-particle" : "", "family" : "Rapireddy", "given" : "Srinivas", "non-dropping-particle" : "", "parse-names" : false, "suffix" : "" }, { "dropping-particle" : "", "family" : "He", "given" : "Gaofei", "non-dropping-particle" : "", "parse-names" : false, "suffix" : "" }, { "dropping-particle" : "", "family" : "Bhattacharya", "given" : "Birendra", "non-dropping-particle" : "", "parse-names" : false, "suffix" : "" }, { "dropping-particle" : "", "family" : "Hyldig-Nielsen", "given" : "Jens J", "non-dropping-particle" : "", "parse-names" : false, "suffix" : "" }, { "dropping-particle" : "", "family" : "Zon", "given" : "Gerald", "non-dropping-particle" : "", "parse-names" : false, "suffix" : "" }, { "dropping-particle" : "", "family" : "Ly", "given" : "Danith H", "non-dropping-particle" : "", "parse-names" : false, "suffix" : "" } ], "container-title" : "Journal of the American Chemical Society", "id" : "ITEM-1", "issue" : "50", "issued" : { "date-parts" : [ [ "2006", "12", "20" ] ] }, "page" : "16104-12", "publisher" : "American Chemical Society", "title" : "Cell-permeable peptide nucleic acid designed to bind to the 5'-untranslated region of E-cadherin transcript induces potent and sequence-specific antisense effects.", "type" : "article-journal", "volume" : "128" }, "uris" : [ "http://www.mendeley.com/documents/?uuid=b9f032e8-5436-43b2-83ba-771002b966e6" ] } ], "mendeley" : { "formattedCitation" : "(Dragulescu-Andrasi et al., 2006)", "plainTextFormattedCitation" : "(Dragulescu-Andrasi et al., 2006)", "previouslyFormattedCitation" : "(Dragulescu-Andrasi et al., 2006)" }, "properties" : { "noteIndex" : 0 }, "schema" : "https://github.com/citation-style-language/schema/raw/master/csl-citation.json" }</w:instrText>
      </w:r>
      <w:r>
        <w:rPr>
          <w:rFonts w:ascii="Calibri" w:hAnsi="Calibri" w:cs="Arial"/>
        </w:rPr>
        <w:fldChar w:fldCharType="separate"/>
      </w:r>
      <w:r w:rsidRPr="00E2062D">
        <w:rPr>
          <w:rFonts w:ascii="Calibri" w:hAnsi="Calibri" w:cs="Arial"/>
          <w:noProof/>
        </w:rPr>
        <w:t>(Dragulescu-Andrasi et al., 2006)</w:t>
      </w:r>
      <w:r>
        <w:rPr>
          <w:rFonts w:ascii="Calibri" w:hAnsi="Calibri" w:cs="Arial"/>
        </w:rPr>
        <w:fldChar w:fldCharType="end"/>
      </w:r>
      <w:r>
        <w:rPr>
          <w:rFonts w:ascii="Calibri" w:hAnsi="Calibri" w:cs="Arial"/>
        </w:rPr>
        <w:t xml:space="preserve"> as alternatives to peptide conjugation. With respect to the lung, activity for PNAs has been evidenced only after intraperitoneal injection with CPP-PNAs; however, daily dosing is required </w:t>
      </w:r>
      <w:r w:rsidR="00BE65D6">
        <w:rPr>
          <w:rFonts w:ascii="Calibri" w:hAnsi="Calibri" w:cs="Arial"/>
        </w:rPr>
        <w:t xml:space="preserve">with PNA ASOs, </w:t>
      </w:r>
      <w:r>
        <w:rPr>
          <w:rFonts w:ascii="Calibri" w:hAnsi="Calibri" w:cs="Arial"/>
        </w:rPr>
        <w:t>where</w:t>
      </w:r>
      <w:r w:rsidR="008132B4">
        <w:rPr>
          <w:rFonts w:ascii="Calibri" w:hAnsi="Calibri" w:cs="Arial"/>
        </w:rPr>
        <w:t>as</w:t>
      </w:r>
      <w:r>
        <w:rPr>
          <w:rFonts w:ascii="Calibri" w:hAnsi="Calibri" w:cs="Arial"/>
        </w:rPr>
        <w:t xml:space="preserve"> phosphorothioate </w:t>
      </w:r>
      <w:r w:rsidR="008132B4">
        <w:rPr>
          <w:rFonts w:ascii="Calibri" w:hAnsi="Calibri" w:cs="Arial"/>
        </w:rPr>
        <w:t>ASO</w:t>
      </w:r>
      <w:r w:rsidR="00BE65D6">
        <w:rPr>
          <w:rFonts w:ascii="Calibri" w:hAnsi="Calibri" w:cs="Arial"/>
        </w:rPr>
        <w:t>s</w:t>
      </w:r>
      <w:r w:rsidR="008132B4">
        <w:rPr>
          <w:rFonts w:ascii="Calibri" w:hAnsi="Calibri" w:cs="Arial"/>
        </w:rPr>
        <w:t xml:space="preserve"> </w:t>
      </w:r>
      <w:r>
        <w:rPr>
          <w:rFonts w:ascii="Calibri" w:hAnsi="Calibri" w:cs="Arial"/>
        </w:rPr>
        <w:t xml:space="preserve">are </w:t>
      </w:r>
      <w:r w:rsidR="00BE65D6">
        <w:rPr>
          <w:rFonts w:ascii="Calibri" w:hAnsi="Calibri" w:cs="Arial"/>
        </w:rPr>
        <w:t xml:space="preserve">compatible with weekly </w:t>
      </w:r>
      <w:r>
        <w:rPr>
          <w:rFonts w:ascii="Calibri" w:hAnsi="Calibri" w:cs="Arial"/>
        </w:rPr>
        <w:t>dos</w:t>
      </w:r>
      <w:r w:rsidR="00BE65D6">
        <w:rPr>
          <w:rFonts w:ascii="Calibri" w:hAnsi="Calibri" w:cs="Arial"/>
        </w:rPr>
        <w:t>ing</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"10.1038/nbt759", "ISSN" : "1087-0156", "PMID" : "12426578", "abstract" : "Systemically injected 2'-O-methoxyethyl (2'-O-MOE)-phosphorothioate and PNA-4K oligomers (peptide nucleic acid with four lysines linked at the C terminus) exhibited sequence-specific antisense activity in a number of mouse organs. Morpholino oligomers were less effective, whereas PNA oligomers with only one lysine (PNA-1K) were completely inactive. The latter result indicates that the four-lysine tail is essential for the antisense activity of PNA oligomers in vivo. These results were obtained in a transgenic mouse model designed as a positive readout test for activity, delivery, and distribution of antisense oligomers. In this model, the expressed gene (EGFP-654) encoding enhanced green fluorescence protein (EGFP) is interrupted by an aberrantly spliced mutated intron of the human beta-globin gene. Aberrant splicing of this intron prevented expression of EGFP-654 in all tissues, whereas in tissues and organs that took up a splice site-targeted antisense oligomer, correct splicing was restored and EGFP-654 expression upregulated. The sequence-specific ability of PNA-4K and the 2'-O-MOE oligomers to upregulate EGFP-654 provides strong evidence that systemically delivered, chemically modified oligonucleotides affect gene expression by sequence-specific true antisense activity, validating their application as potential therapeutics.", "author" : [ { "dropping-particle" : "", "family" : "Sazani", "given" : "Peter", "non-dropping-particle" : "", "parse-names" : false, "suffix" : "" }, { "dropping-particle" : "", "family" : "Gemignani", "given" : "Federica", "non-dropping-particle" : "", "parse-names" : false, "suffix" : "" }, { "dropping-particle" : "", "family" : "Kang", "given" : "Shin-Hong", "non-dropping-particle" : "", "parse-names" : false, "suffix" : "" }, { "dropping-particle" : "", "family" : "Maier", "given" : "Martin A", "non-dropping-particle" : "", "parse-names" : false, "suffix" : "" }, { "dropping-particle" : "", "family" : "Manoharan", "given" : "Muthiah", "non-dropping-particle" : "", "parse-names" : false, "suffix" : "" }, { "dropping-particle" : "", "family" : "Persmark", "given" : "Magnus", "non-dropping-particle" : "", "parse-names" : false, "suffix" : "" }, { "dropping-particle" : "", "family" : "Bortner", "given" : "Donna", "non-dropping-particle" : "", "parse-names" : false, "suffix" : "" }, { "dropping-particle" : "", "family" : "Kole", "given" : "Ryszard", "non-dropping-particle" : "", "parse-names" : false, "suffix" : "" } ], "container-title" : "Nature biotechnology", "id" : "ITEM-1", "issue" : "12", "issued" : { "date-parts" : [ [ "2002", "12" ] ] }, "page" : "1228-33", "title" : "Systemically delivered antisense oligomers upregulate gene expression in mouse tissues.", "type" : "article-journal", "volume" : "20" }, "uris" : [ "http://www.mendeley.com/documents/?uuid=f5f5eb1a-f710-4b60-868e-0beacd6bdfbe" ] } ], "mendeley" : { "formattedCitation" : "(Sazani et al., 2002)", "plainTextFormattedCitation" : "(Sazani et al., 2002)", "previouslyFormattedCitation" : "(Sazani et al., 2002)" }, "properties" : { "noteIndex" : 0 }, "schema" : "https://github.com/citation-style-language/schema/raw/master/csl-citation.json" }</w:instrText>
      </w:r>
      <w:r>
        <w:rPr>
          <w:rFonts w:ascii="Calibri" w:hAnsi="Calibri" w:cs="Arial"/>
        </w:rPr>
        <w:fldChar w:fldCharType="separate"/>
      </w:r>
      <w:r w:rsidRPr="00BC7C66">
        <w:rPr>
          <w:rFonts w:ascii="Calibri" w:hAnsi="Calibri" w:cs="Arial"/>
          <w:noProof/>
        </w:rPr>
        <w:t>(Sazani et al., 2002)</w:t>
      </w:r>
      <w:r>
        <w:rPr>
          <w:rFonts w:ascii="Calibri" w:hAnsi="Calibri" w:cs="Arial"/>
        </w:rPr>
        <w:fldChar w:fldCharType="end"/>
      </w:r>
      <w:r>
        <w:rPr>
          <w:rFonts w:ascii="Calibri" w:hAnsi="Calibri" w:cs="Arial"/>
        </w:rPr>
        <w:t xml:space="preserve">. </w:t>
      </w:r>
    </w:p>
    <w:p w14:paraId="215C56B1" w14:textId="77777777" w:rsidR="00830A0C" w:rsidRDefault="00830A0C" w:rsidP="005837A4">
      <w:pPr>
        <w:spacing w:line="480" w:lineRule="auto"/>
        <w:jc w:val="both"/>
        <w:rPr>
          <w:rFonts w:ascii="Calibri" w:hAnsi="Calibri" w:cs="Arial"/>
        </w:rPr>
      </w:pPr>
    </w:p>
    <w:p w14:paraId="2E080DE6" w14:textId="57953476" w:rsidR="000172A4" w:rsidRDefault="000172A4" w:rsidP="005837A4">
      <w:pPr>
        <w:spacing w:line="480" w:lineRule="auto"/>
        <w:jc w:val="both"/>
        <w:rPr>
          <w:rFonts w:ascii="Calibri" w:hAnsi="Calibri" w:cs="Arial"/>
        </w:rPr>
      </w:pPr>
      <w:r>
        <w:rPr>
          <w:rFonts w:ascii="Calibri" w:hAnsi="Calibri" w:cs="Arial"/>
        </w:rPr>
        <w:t>Although</w:t>
      </w:r>
      <w:r w:rsidR="005F7075">
        <w:rPr>
          <w:rFonts w:ascii="Calibri" w:hAnsi="Calibri" w:cs="Arial"/>
        </w:rPr>
        <w:t xml:space="preserve"> PNA</w:t>
      </w:r>
      <w:r w:rsidR="00BE65D6">
        <w:rPr>
          <w:rFonts w:ascii="Calibri" w:hAnsi="Calibri" w:cs="Arial"/>
        </w:rPr>
        <w:t xml:space="preserve"> ASO efficacy has</w:t>
      </w:r>
      <w:r w:rsidR="005F7075">
        <w:rPr>
          <w:rFonts w:ascii="Calibri" w:hAnsi="Calibri" w:cs="Arial"/>
        </w:rPr>
        <w:t xml:space="preserve"> been</w:t>
      </w:r>
      <w:r>
        <w:rPr>
          <w:rFonts w:ascii="Calibri" w:hAnsi="Calibri" w:cs="Arial"/>
        </w:rPr>
        <w:t xml:space="preserve"> evaluated </w:t>
      </w:r>
      <w:r w:rsidR="00BE65D6">
        <w:rPr>
          <w:rFonts w:ascii="Calibri" w:hAnsi="Calibri" w:cs="Arial"/>
        </w:rPr>
        <w:t xml:space="preserve">in various </w:t>
      </w:r>
      <w:r>
        <w:rPr>
          <w:rFonts w:ascii="Calibri" w:hAnsi="Calibri" w:cs="Arial"/>
        </w:rPr>
        <w:t>rodent models</w:t>
      </w:r>
      <w:r w:rsidR="00C37E7B">
        <w:rPr>
          <w:rFonts w:ascii="Calibri" w:hAnsi="Calibri" w:cs="Arial"/>
        </w:rPr>
        <w:t xml:space="preserve"> of systemic disease</w:t>
      </w:r>
      <w:r>
        <w:rPr>
          <w:rFonts w:ascii="Calibri" w:hAnsi="Calibri" w:cs="Arial"/>
        </w:rPr>
        <w:t xml:space="preserve"> </w:t>
      </w:r>
      <w:r>
        <w:rPr>
          <w:rFonts w:ascii="Calibri" w:hAnsi="Calibri" w:cs="Arial"/>
        </w:rPr>
        <w:fldChar w:fldCharType="begin" w:fldLock="1"/>
      </w:r>
      <w:r w:rsidR="00F7354A">
        <w:rPr>
          <w:rFonts w:ascii="Calibri" w:hAnsi="Calibri" w:cs="Arial"/>
        </w:rPr>
        <w:instrText>ADDIN CSL_CITATION { "citationItems" : [ { "id" : "ITEM-1", "itemData" : { "DOI" : "10.1002/jnr.20191", "ISSN" : "0360-4012", "PMID" : "15264227", "abstract" : "Glutamate excitotoxicity is strongly implicated as a major contributing factor in motor neuron degeneration in amyotrophic lateral sclerosis (ALS). Excitotoxicity results from elevated intracellular calcium ion (Ca(2+)) levels, which in turn recruit cell death signaling pathways. Recent evidence suggests that alpha-amino-3-hydroxy-5-methyl-4-isoxazole propionic acid (AMPA) receptor subunit (GluR) stoichiometry is a dominant factor leading to excess Ca(2+) loading in neurodegeneration. In particular, the Ca(2+) permeable glutamate receptor subunit 3 (GluR3) has been implicated in several neurologic conditions such as bipolar disorder and epilepsy. Recent proteomic analysis within our group on the copper zinc superoxide dismutase (SOD1)(G93A) transgenic mouse model of familial ALS (FALS) reveals a potentially deleterious upregulation of GluR3 in spinal cord compared to that in wild-type littermates. Based on this finding we designed a 12mer antisense peptide nucleic acid (PNA) directed against GluR3. This sequence significantly reduced levels of GluR3 protein and protected neuroblastoma x spinal cord (NSC-34) cells against death induced by the AMPA receptor-specific agonist (S)-5-fluorowillardiine. We subsequently treated SOD1(G93A) mice thrice weekly with intraperitoneal injections of the antisense PNA (2.5 mg/kg) commencing at postnatal day 50. Mice treated with the antisense sequence had significantly extended survival compared to mice injected with a nonsense sequence. Western blot analysis, however, did not reveal a significant reduction in GluR3 protein levels in whole extracts of the lumbar spinal cord. These results suggest that interference with the GluR3 component of the AMPA receptor assembly may be a novel strategy for controlling excitotoxic destruction of motor neurons and may lead to new therapeutic opportunities for the treatment of human ALS.", "author" : [ { "dropping-particle" : "", "family" : "Rembach", "given" : "Alan", "non-dropping-particle" : "", "parse-names" : false, "suffix" : "" }, { "dropping-particle" : "", "family" : "Turner", "given" : "Bradley J", "non-dropping-particle" : "", "parse-names" : false, "suffix" : "" }, { "dropping-particle" : "", "family" : "Bruce", "given" : "Stephen", "non-dropping-particle" : "", "parse-names" : false, "suffix" : "" }, { "dropping-particle" : "", "family" : "Cheah", "given" : "Irwin K", "non-dropping-particle" : "", "parse-names" : false, "suffix" : "" }, { "dropping-particle" : "", "family" : "Scott", "given" : "Rachel L", "non-dropping-particle" : "", "parse-names" : false, "suffix" : "" }, { "dropping-particle" : "", "family" : "Lopes", "given" : "Elizabeth C", "non-dropping-particle" : "", "parse-names" : false, "suffix" : "" }, { "dropping-particle" : "", "family" : "Zagami", "given" : "Chrissandra J", "non-dropping-particle" : "", "parse-names" : false, "suffix" : "" }, { "dropping-particle" : "", "family" : "Beart", "given" : "Philip M", "non-dropping-particle" : "", "parse-names" : false, "suffix" : "" }, { "dropping-particle" : "", "family" : "Cheung", "given" : "Nam S", "non-dropping-particle" : "", "parse-names" : false, "suffix" : "" }, { "dropping-particle" : "", "family" : "Langford", "given" : "Steven J", "non-dropping-particle" : "", "parse-names" : false, "suffix" : "" }, { "dropping-particle" : "", "family" : "Cheema", "given" : "Surindar S", "non-dropping-particle" : "", "parse-names" : false, "suffix" : "" } ], "container-title" : "Journal of neuroscience research", "id" : "ITEM-1", "issue" : "4", "issued" : { "date-parts" : [ [ "2004", "8", "15" ] ] }, "page" : "573-82", "title" : "Antisense peptide nucleic acid targeting GluR3 delays disease onset and progression in the SOD1 G93A mouse model of familial ALS.", "type" : "article-journal", "volume" : "77" }, "uris" : [ "http://www.mendeley.com/documents/?uuid=7ea18646-24ec-4835-a77f-892e0a2a507e" ] }, { "id" : "ITEM-2", "itemData" : { "DOI" : "10.1038/mtna.2015.41", "ISSN" : "2162-2531", "PMID" : "26623939", "abstract" : "Peptide nucleic acid (PNA) is a synthetic DNA mimic that has shown potential for discovery of novel splice switching antisense drugs. However, in vivo cellular delivery has been a limiting factor for development, and only few successful studies have been reported. As a possible modality for improvement of in vivo cellular availability, we have investigated the effect of electrotransfer upon intramuscular (i.m.) PNA administration in vivo. Antisense PNA targeting exon 23 of the murine dystrophin gene was administered by i.m. injection to the tibialis anterior (TA) muscle of normal NMRI and dystrophic mdx mice with or without electroporation. At low, single PNA doses (1.5, 3, or 10 \u00b5g/TA), electroporation augmented the antisense exon skipping induced by an unmodified PNA by twofold to fourfold in healthy mouse muscle with optimized electric parameters, measured after 7 days. The PNA splice switching was detected at the RNA level up to 4 weeks after a single-dose treatment. In dystrophic muscles of the MDX mouse, electroporation increased the number of dystrophin-positive fibers about 2.5-fold at 2 weeks after a single PNA administration compared to injection only. In conclusion, we find that electroporation can enhance PNA antisense effects in muscle tissue.", "author" : [ { "dropping-particle" : "", "family" : "Brolin", "given" : "Camilla", "non-dropping-particle" : "", "parse-names" : false, "suffix" : "" }, { "dropping-particle" : "", "family" : "Shiraishi", "given" : "Takehiko", "non-dropping-particle" : "", "parse-names" : false, "suffix" : "" }, { "dropping-particle" : "", "family" : "Hojman", "given" : "Pernille", "non-dropping-particle" : "", "parse-names" : false, "suffix" : "" }, { "dropping-particle" : "", "family" : "Krag", "given" : "Thomas O", "non-dropping-particle" : "", "parse-names" : false, "suffix" : "" }, { "dropping-particle" : "", "family" : "Nielsen", "given" : "Peter E", "non-dropping-particle" : "", "parse-names" : false, "suffix" : "" }, { "dropping-particle" : "", "family" : "Gehl", "given" : "Julie", "non-dropping-particle" : "", "parse-names" : false, "suffix" : "" } ], "container-title" : "Molecular therapy. Nucleic acids", "id" : "ITEM-2", "issued" : { "date-parts" : [ [ "2015", "1", "1" ] ] }, "page" : "e267", "publisher" : "Official journal of the American Society of Gene &amp; Cell Therapy", "title" : "Electroporation Enhanced Effect of Dystrophin Splice Switching PNA Oligomers in Normal and Dystrophic Muscle.", "title-short" : "Mol Ther Nucleic Acids", "type" : "article-journal", "volume" : "4" }, "uris" : [ "http://www.mendeley.com/documents/?uuid=3757a032-76eb-47a2-96d3-2df78bde010f" ] }, { "id" : "ITEM-3", "itemData" : { "DOI" : "10.1016/j.jhep.2004.10.010", "ISSN" : "0168-8278", "PMID" : "15664242", "abstract" : "BACKGROUND/AIMS: Peptide nucleic acids (PNAs) appear as promising new antisense agents, that have not yet been examined as hepatitis B virus (HBV) inhibitors. Our aim was to study the ability of PNAs targeting the duck HBV (DHBV) encapsidation signal epsilon to inhibit reverse transcription (RT) and to compare their efficacy with phosphorothioate oligodeoxynucleotides (S-ODNs).\n\nMETHODS: The effect of two partly overlapping PNAs targeting epsilon and of analogous S-ODNs was tested in cell-free transcription and translation system for DHBV RT expression. In addition their antiviral effect was investigated in primary duck hepatocytes (PDH).\n\nRESULTS: Both PNAs reproducibly inhibited DHBV RT in a dose-dependent manner with IC(50) of 10nM, whereas up to 600-fold higher concentration of S-ODNs was required for similar inhibition. The PNA targeting the bulge and upper stem of epsilon appeared as more efficient RT inhibitor than the PNA targeting only the bulge. Importantly, the inhibition was highly sequence-specific since double-mismatched PNA had no effect on the RT reaction. Moreover, in PDH the PNA coupled to Arg(7) cationic delivery peptide decreased DHBV replication.\n\nCONCLUSIONS: We provide the first evidence that PNAs targeting the bulge and upper stem of epsilon can efficiently and in a sequence-specific manner inhibit DHBV RT.", "author" : [ { "dropping-particle" : "", "family" : "Robaczewska", "given" : "Magdalena", "non-dropping-particle" : "", "parse-names" : false, "suffix" : "" }, { "dropping-particle" : "", "family" : "Narayan", "given" : "Ramamurthy", "non-dropping-particle" : "", "parse-names" : false, "suffix" : "" }, { "dropping-particle" : "", "family" : "Seigneres", "given" : "Beatrice", "non-dropping-particle" : "", "parse-names" : false, "suffix" : "" }, { "dropping-particle" : "", "family" : "Schorr", "given" : "Olivier", "non-dropping-particle" : "", "parse-names" : false, "suffix" : "" }, { "dropping-particle" : "", "family" : "Thermet", "given" : "Alexandre", "non-dropping-particle" : "", "parse-names" : false, "suffix" : "" }, { "dropping-particle" : "", "family" : "Podhajska", "given" : "Anna J", "non-dropping-particle" : "", "parse-names" : false, "suffix" : "" }, { "dropping-particle" : "", "family" : "Trepo", "given" : "Christian", "non-dropping-particle" : "", "parse-names" : false, "suffix" : "" }, { "dropping-particle" : "", "family" : "Zoulim", "given" : "Fabien", "non-dropping-particle" : "", "parse-names" : false, "suffix" : "" }, { "dropping-particle" : "", "family" : "Nielsen", "given" : "Peter E", "non-dropping-particle" : "", "parse-names" : false, "suffix" : "" }, { "dropping-particle" : "", "family" : "Cova", "given" : "Lucyna", "non-dropping-particle" : "", "parse-names" : false, "suffix" : "" } ], "container-title" : "Journal of hepatology", "id" : "ITEM-3", "issue" : "2", "issued" : { "date-parts" : [ [ "2005", "2" ] ] }, "page" : "180-7", "title" : "Sequence-specific inhibition of duck hepatitis B virus reverse transcription by peptide nucleic acids (PNA).", "type" : "article-journal", "volume" : "42" }, "uris" : [ "http://www.mendeley.com/documents/?uuid=045cb1fe-56fa-435c-8834-8bdfdd71b7d4" ] }, { "id" : "ITEM-4", "itemData" : { "DOI" : "10.1261/rna.844108", "ISSN" : "1469-9001", "PMID" : "18073344", "abstract" : "MicroRNAs are small noncoding RNAs that regulate many cellular processes in a post-transcriptional mode. MicroRNA knockdown by antisense oligonucleotides is a useful strategy to explore microRNA functionality and as potential therapeutics. MicroRNA-122 (miR-122) is a liver-specific microRNA, the main function of which has been linked with lipid metabolism and liver homeostasis. Here, we show that lipofection of an antisense oligonucleotide based on a Locked Nucleic Acids (LNA)/2'-O-methyl mixmer or electroporation of a Peptide Nucleic Acid (PNA) oligomer is effective at blocking miR-122 activity in human and rat liver cells. These oligonucleotide analogs, evaluated for the first time in microRNA inhibition, are more effective than standard 2'-O-methyl oligonucleotides in binding and inhibiting microRNA action. We also show that microRNA inhibition can be achieved without the need for transfection or electroporation of the human or rat cell lines, by conjugation of an antisense PNA to the cell-penetrating peptide R6-Penetratin, or merely by linkage to just four Lys residues, highlighting the potential of PNA for future therapeutic applications as well as for studying microRNA function.", "author" : [ { "dropping-particle" : "", "family" : "Fabani", "given" : "Martin M", "non-dropping-particle" : "", "parse-names" : false, "suffix" : "" }, { "dropping-particle" : "", "family" : "Gait", "given" : "Michael J", "non-dropping-particle" : "", "parse-names" : false, "suffix" : "" } ], "container-title" : "RNA (New York, N.Y.)", "id" : "ITEM-4", "issue" : "2", "issued" : { "date-parts" : [ [ "2008", "2" ] ] }, "page" : "336-46", "title" : "miR-122 targeting with LNA/2'-O-methyl oligonucleotide mixmers, peptide nucleic acids (PNA), and PNA-peptide conjugates.", "type" : "article-journal", "volume" : "14" }, "uris" : [ "http://www.mendeley.com/documents/?uuid=69558a2d-6b47-41ff-8115-0ffdc4c3552e" ] }, { "id" : "ITEM-5", "itemData" : { "DOI" : "10.1038/mtna.2015.27", "ISSN" : "2162-2531", "PMID" : "26440599", "abstract" : "Antisense oligonucleotide (AO)-mediated exon-skipping therapeutics shows great promise for Duchenne muscular dystrophy (DMD) patients. However, recent failure with drisapersen, an AO candidate drug in phase 3 trial, highlights the importance of exploring other effective AO chemistries for DMD. Previously, we demonstrated the appreciable biological activity of peptide nucleic acid (PNA) AOs in restoring dystrophin expression in dystrophin-deficient mdx mice intramuscularly. Here, we further explore the systemic potential and feasibility of PNA AOs in mediating exon skipping in mdx mice as a comprehensive systemic evaluation remains lacking. Systemic delivery of PNA AOs resulted in therapeutic level of dystrophin expression in body-wide peripheral muscles and improved dystrophic pathology in mdx mice without any detectable toxicity. Up to 40% of dystrophin restoration was achieved in gastrocnemius, to a less extent with other skeletal muscles, with no dystrophin in heart. Notably, comparable systemic activity was obtained between PNA AOs and phosphorodiamidate morpholino oligomer, a DMD AO chemistry in phase 3 clinical trial, under an identical dosing regimen. Overall, our data demonstrate that PNA is viable for DMD exon-skipping therapeutics with 20 mer showing the best combination of activity, solubility, and safety and further modifications to increase PNA aqueous solubility can enable longer, more effective therapeutics without the associated toxicity.", "author" : [ { "dropping-particle" : "", "family" : "Gao", "given" : "Xianjun", "non-dropping-particle" : "", "parse-names" : false, "suffix" : "" }, { "dropping-particle" : "", "family" : "Shen", "given" : "Xiaoyong", "non-dropping-particle" : "", "parse-names" : false, "suffix" : "" }, { "dropping-particle" : "", "family" : "Dong", "given" : "Xue", "non-dropping-particle" : "", "parse-names" : false, "suffix" : "" }, { "dropping-particle" : "", "family" : "Ran", "given" : "Ning", "non-dropping-particle" : "", "parse-names" : false, "suffix" : "" }, { "dropping-particle" : "", "family" : "Han", "given" : "Gang", "non-dropping-particle" : "", "parse-names" : false, "suffix" : "" }, { "dropping-particle" : "", "family" : "Cao", "given" : "Limin", "non-dropping-particle" : "", "parse-names" : false, "suffix" : "" }, { "dropping-particle" : "", "family" : "Gu", "given" : "Ben", "non-dropping-particle" : "", "parse-names" : false, "suffix" : "" }, { "dropping-particle" : "", "family" : "Yin", "given" : "HaiFang", "non-dropping-particle" : "", "parse-names" : false, "suffix" : "" } ], "container-title" : "Molecular therapy. Nucleic acids", "id" : "ITEM-5", "issued" : { "date-parts" : [ [ "2015", "1", "6" ] ] }, "page" : "e255", "publisher" : "Official journal of the American Society of Gene &amp; Cell Therapy", "title" : "Peptide Nucleic Acid Promotes Systemic Dystrophin Expression and Functional Rescue in Dystrophin-deficient mdx Mice.", "title-short" : "Mol Ther Nucleic Acids", "type" : "article-journal", "volume" : "4" }, "uris" : [ "http://www.mendeley.com/documents/?uuid=4557db6c-d705-4112-8ad0-283230e8df07" ] } ], "mendeley" : { "formattedCitation" : "(Brolin et al., 2015; Fabani &amp; Gait, 2008; Gao et al., 2015; Rembach et al., 2004; Robaczewska et al., 2005)", "plainTextFormattedCitation" : "(Brolin et al., 2015; Fabani &amp; Gait, 2008; Gao et al., 2015; Rembach et al., 2004; Robaczewska et al., 2005)", "previouslyFormattedCitation" : "(Brolin et al., 2015; Fabani &amp; Gait, 2008; Gao et al., 2015; Rembach et al., 2004; Robaczewska et al., 2005)" }, "properties" : { "noteIndex" : 0 }, "schema" : "https://github.com/citation-style-language/schema/raw/master/csl-citation.json" }</w:instrText>
      </w:r>
      <w:r>
        <w:rPr>
          <w:rFonts w:ascii="Calibri" w:hAnsi="Calibri" w:cs="Arial"/>
        </w:rPr>
        <w:fldChar w:fldCharType="separate"/>
      </w:r>
      <w:r w:rsidR="00BE65D6" w:rsidRPr="00BE65D6">
        <w:rPr>
          <w:rFonts w:ascii="Calibri" w:hAnsi="Calibri" w:cs="Arial"/>
          <w:noProof/>
        </w:rPr>
        <w:t>(Brolin et al., 2015; Fabani &amp; Gait, 2008; Gao et al., 2015; Rembach et al., 2004; Robaczewska et al., 2005)</w:t>
      </w:r>
      <w:r>
        <w:rPr>
          <w:rFonts w:ascii="Calibri" w:hAnsi="Calibri" w:cs="Arial"/>
        </w:rPr>
        <w:fldChar w:fldCharType="end"/>
      </w:r>
      <w:r>
        <w:rPr>
          <w:rFonts w:ascii="Calibri" w:hAnsi="Calibri" w:cs="Arial"/>
        </w:rPr>
        <w:t>,</w:t>
      </w:r>
      <w:r w:rsidR="00BE65D6">
        <w:rPr>
          <w:rFonts w:ascii="Calibri" w:hAnsi="Calibri" w:cs="Arial"/>
        </w:rPr>
        <w:t xml:space="preserve"> there are no reports examining </w:t>
      </w:r>
      <w:r w:rsidR="00C37E7B">
        <w:rPr>
          <w:rFonts w:ascii="Calibri" w:hAnsi="Calibri" w:cs="Arial"/>
        </w:rPr>
        <w:t>PNA ASO</w:t>
      </w:r>
      <w:r w:rsidR="00BE65D6">
        <w:rPr>
          <w:rFonts w:ascii="Calibri" w:hAnsi="Calibri" w:cs="Arial"/>
        </w:rPr>
        <w:t xml:space="preserve"> utility after</w:t>
      </w:r>
      <w:r>
        <w:rPr>
          <w:rFonts w:ascii="Calibri" w:hAnsi="Calibri" w:cs="Arial"/>
        </w:rPr>
        <w:t xml:space="preserve"> topical administration</w:t>
      </w:r>
      <w:r w:rsidR="00BE65D6">
        <w:rPr>
          <w:rFonts w:ascii="Calibri" w:hAnsi="Calibri" w:cs="Arial"/>
        </w:rPr>
        <w:t xml:space="preserve"> </w:t>
      </w:r>
      <w:r w:rsidR="00C37E7B">
        <w:rPr>
          <w:rFonts w:ascii="Calibri" w:hAnsi="Calibri" w:cs="Arial"/>
        </w:rPr>
        <w:t xml:space="preserve">to the lung </w:t>
      </w:r>
      <w:r w:rsidR="00BE65D6">
        <w:rPr>
          <w:rFonts w:ascii="Calibri" w:hAnsi="Calibri" w:cs="Arial"/>
        </w:rPr>
        <w:t xml:space="preserve">in the absence of </w:t>
      </w:r>
      <w:r w:rsidR="00C37E7B">
        <w:rPr>
          <w:rFonts w:ascii="Calibri" w:hAnsi="Calibri" w:cs="Arial"/>
        </w:rPr>
        <w:t xml:space="preserve">any </w:t>
      </w:r>
      <w:r w:rsidR="00BE65D6">
        <w:rPr>
          <w:rFonts w:ascii="Calibri" w:hAnsi="Calibri" w:cs="Arial"/>
        </w:rPr>
        <w:t>delivery modifications. This would suggest PNA ASO might not be well suited for topical dosing</w:t>
      </w:r>
      <w:r w:rsidR="00C37E7B">
        <w:rPr>
          <w:rFonts w:ascii="Calibri" w:hAnsi="Calibri" w:cs="Arial"/>
        </w:rPr>
        <w:t xml:space="preserve"> to the airways</w:t>
      </w:r>
      <w:r w:rsidR="00BE65D6">
        <w:rPr>
          <w:rFonts w:ascii="Calibri" w:hAnsi="Calibri" w:cs="Arial"/>
        </w:rPr>
        <w:t>.</w:t>
      </w:r>
      <w:r>
        <w:rPr>
          <w:rFonts w:ascii="Calibri" w:hAnsi="Calibri" w:cs="Arial"/>
        </w:rPr>
        <w:t xml:space="preserve"> </w:t>
      </w:r>
      <w:r w:rsidR="00BE65D6">
        <w:rPr>
          <w:rFonts w:ascii="Calibri" w:hAnsi="Calibri" w:cs="Arial"/>
        </w:rPr>
        <w:t xml:space="preserve">Tellingly, whereas Ahn </w:t>
      </w:r>
      <w:r w:rsidR="00BE65D6">
        <w:rPr>
          <w:rFonts w:ascii="Calibri" w:hAnsi="Calibri" w:cs="Arial"/>
          <w:i/>
        </w:rPr>
        <w:t xml:space="preserve">et al. </w:t>
      </w:r>
      <w:r w:rsidR="00BE65D6">
        <w:rPr>
          <w:rFonts w:ascii="Calibri" w:hAnsi="Calibri" w:cs="Arial"/>
        </w:rPr>
        <w:t xml:space="preserve">proposed </w:t>
      </w:r>
      <w:r w:rsidR="00C37E7B">
        <w:rPr>
          <w:rFonts w:ascii="Calibri" w:hAnsi="Calibri" w:cs="Arial"/>
        </w:rPr>
        <w:t xml:space="preserve">topical </w:t>
      </w:r>
      <w:r w:rsidR="00BE65D6">
        <w:rPr>
          <w:rFonts w:ascii="Calibri" w:hAnsi="Calibri" w:cs="Arial"/>
        </w:rPr>
        <w:t>PNA ASO</w:t>
      </w:r>
      <w:r w:rsidR="00C37E7B">
        <w:rPr>
          <w:rFonts w:ascii="Calibri" w:hAnsi="Calibri" w:cs="Arial"/>
        </w:rPr>
        <w:t xml:space="preserve"> dosing</w:t>
      </w:r>
      <w:r w:rsidR="00BE65D6">
        <w:rPr>
          <w:rFonts w:ascii="Calibri" w:hAnsi="Calibri" w:cs="Arial"/>
        </w:rPr>
        <w:t xml:space="preserve"> </w:t>
      </w:r>
      <w:r w:rsidR="005F7075">
        <w:rPr>
          <w:rFonts w:ascii="Calibri" w:hAnsi="Calibri" w:cs="Arial"/>
        </w:rPr>
        <w:t xml:space="preserve">against respiratory viruses </w:t>
      </w:r>
      <w:r>
        <w:rPr>
          <w:rFonts w:ascii="Calibri" w:hAnsi="Calibri" w:cs="Arial"/>
        </w:rPr>
        <w:fldChar w:fldCharType="begin" w:fldLock="1"/>
      </w:r>
      <w:r>
        <w:rPr>
          <w:rFonts w:ascii="Calibri" w:hAnsi="Calibri" w:cs="Arial"/>
        </w:rPr>
        <w:instrText>ADDIN CSL_CITATION { "citationItems" : [ { "id" : "ITEM-1", "itemData" : { "DOI" : "10.1016/j.antiviral.2011.04.009", "ISSN" : "1872-9096", "PMID" : "21549154", "abstract" : "The programmed -1 ribosomal frameshifting (-1 PRF) utilized by eukaryotic RNA viruses plays a crucial role for the controlled, limited synthesis of viral RNA replicase polyproteins required for genome replication. The viral RNA replicase polyproteins of severe acute respiratory syndrome coronavirus (SARS-CoV) are encoded by the two overlapping open reading frames 1a and 1b, which are connected by a -1 PRF signal. We evaluated the antiviral effects of antisense peptide nucleic acids (PNAs) targeting a highly conserved RNA sequence on the - PRF signal. The ribosomal frameshifting was inhibited by the PNA, which bound sequence-specifically a pseudoknot structure in the -1 PRF signal, in cell lines as assessed using a dual luciferase-based reporter plasmid containing the -1 PRF signal. Treatment of cells, which were transfected with a SARS-CoV-replicon expressing firefly luciferase, with the PNA fused to a cell-penetrating peptide (CPP) resulted in suppression of the replication of the SARS-CoV replicon, with a 50% inhibitory concentration of 4.4\u03bcM. There was no induction of type I interferon responses by PNA treatment, suggesting that the effect of PNA is not due to innate immune responses. Our results demonstrate that -1 PRF, critical for SARS-CoV viral replication, can be inhibited by CPP-PNA, providing an effective antisense strategy for blocking -1 PRF signals.", "author" : [ { "dropping-particle" : "", "family" : "Ahn", "given" : "Dae-Gyun", "non-dropping-particle" : "", "parse-names" : false, "suffix" : "" }, { "dropping-particle" : "", "family" : "Lee", "given" : "Wooseong", "non-dropping-particle" : "", "parse-names" : false, "suffix" : "" }, { "dropping-particle" : "", "family" : "Choi", "given" : "Jin-Kyu", "non-dropping-particle" : "", "parse-names" : false, "suffix" : "" }, { "dropping-particle" : "", "family" : "Kim", "given" : "Seong-Jun", "non-dropping-particle" : "", "parse-names" : false, "suffix" : "" }, { "dropping-particle" : "", "family" : "Plant", "given" : "Ewan P", "non-dropping-particle" : "", "parse-names" : false, "suffix" : "" }, { "dropping-particle" : "", "family" : "Almaz\u00e1n", "given" : "Fernando", "non-dropping-particle" : "", "parse-names" : false, "suffix" : "" }, { "dropping-particle" : "", "family" : "Taylor", "given" : "Deborah R", "non-dropping-particle" : "", "parse-names" : false, "suffix" : "" }, { "dropping-particle" : "", "family" : "Enjuanes", "given" : "Luis", "non-dropping-particle" : "", "parse-names" : false, "suffix" : "" }, { "dropping-particle" : "", "family" : "Oh", "given" : "Jong-Won", "non-dropping-particle" : "", "parse-names" : false, "suffix" : "" } ], "container-title" : "Antiviral research", "id" : "ITEM-1", "issue" : "1", "issued" : { "date-parts" : [ [ "2011", "7" ] ] }, "page" : "1-10", "title" : "Interference of ribosomal frameshifting by antisense peptide nucleic acids suppresses SARS coronavirus replication.", "type" : "article-journal", "volume" : "91" }, "uris" : [ "http://www.mendeley.com/documents/?uuid=84ecee17-5d98-4726-8494-e1cd4c261109" ] } ], "mendeley" : { "formattedCitation" : "(Ahn et al., 2011)", "plainTextFormattedCitation" : "(Ahn et al., 2011)", "previouslyFormattedCitation" : "(Ahn et al., 2011)" }, "properties" : { "noteIndex" : 0 }, "schema" : "https://github.com/citation-style-language/schema/raw/master/csl-citation.json" }</w:instrText>
      </w:r>
      <w:r>
        <w:rPr>
          <w:rFonts w:ascii="Calibri" w:hAnsi="Calibri" w:cs="Arial"/>
        </w:rPr>
        <w:fldChar w:fldCharType="separate"/>
      </w:r>
      <w:r w:rsidRPr="0000313A">
        <w:rPr>
          <w:rFonts w:ascii="Calibri" w:hAnsi="Calibri" w:cs="Arial"/>
          <w:noProof/>
        </w:rPr>
        <w:t>(Ahn et al., 2011)</w:t>
      </w:r>
      <w:r>
        <w:rPr>
          <w:rFonts w:ascii="Calibri" w:hAnsi="Calibri" w:cs="Arial"/>
        </w:rPr>
        <w:fldChar w:fldCharType="end"/>
      </w:r>
      <w:r>
        <w:rPr>
          <w:rFonts w:ascii="Calibri" w:hAnsi="Calibri" w:cs="Arial"/>
        </w:rPr>
        <w:t xml:space="preserve">, at least </w:t>
      </w:r>
      <w:r>
        <w:rPr>
          <w:rFonts w:ascii="Calibri" w:hAnsi="Calibri" w:cs="Arial"/>
        </w:rPr>
        <w:lastRenderedPageBreak/>
        <w:t xml:space="preserve">one group has reported </w:t>
      </w:r>
      <w:r w:rsidR="005F7075">
        <w:rPr>
          <w:rFonts w:ascii="Calibri" w:hAnsi="Calibri" w:cs="Arial"/>
        </w:rPr>
        <w:t>that</w:t>
      </w:r>
      <w:r w:rsidR="00BE65D6">
        <w:rPr>
          <w:rFonts w:ascii="Calibri" w:hAnsi="Calibri" w:cs="Arial"/>
        </w:rPr>
        <w:t xml:space="preserve"> a highly complex </w:t>
      </w:r>
      <w:r w:rsidR="00C37E7B">
        <w:rPr>
          <w:rFonts w:ascii="Calibri" w:hAnsi="Calibri" w:cs="Arial"/>
        </w:rPr>
        <w:t xml:space="preserve">microparticle </w:t>
      </w:r>
      <w:r w:rsidR="00BE65D6">
        <w:rPr>
          <w:rFonts w:ascii="Calibri" w:hAnsi="Calibri" w:cs="Arial"/>
        </w:rPr>
        <w:t xml:space="preserve">formulation is </w:t>
      </w:r>
      <w:r w:rsidR="00C37E7B">
        <w:rPr>
          <w:rFonts w:ascii="Calibri" w:hAnsi="Calibri" w:cs="Arial"/>
        </w:rPr>
        <w:t>necessary</w:t>
      </w:r>
      <w:r w:rsidR="00BE65D6">
        <w:rPr>
          <w:rFonts w:ascii="Calibri" w:hAnsi="Calibri" w:cs="Arial"/>
        </w:rPr>
        <w:t xml:space="preserve"> </w:t>
      </w:r>
      <w:r w:rsidR="005F7075">
        <w:rPr>
          <w:rFonts w:ascii="Calibri" w:hAnsi="Calibri" w:cs="Arial"/>
        </w:rPr>
        <w:t>to achiev</w:t>
      </w:r>
      <w:r w:rsidR="00BE65D6">
        <w:rPr>
          <w:rFonts w:ascii="Calibri" w:hAnsi="Calibri" w:cs="Arial"/>
        </w:rPr>
        <w:t>e any degree of</w:t>
      </w:r>
      <w:r w:rsidR="005F7075">
        <w:rPr>
          <w:rFonts w:ascii="Calibri" w:hAnsi="Calibri" w:cs="Arial"/>
        </w:rPr>
        <w:t xml:space="preserve"> efficacy</w:t>
      </w:r>
      <w:r w:rsidR="00C37E7B">
        <w:rPr>
          <w:rFonts w:ascii="Calibri" w:hAnsi="Calibri" w:cs="Arial"/>
        </w:rPr>
        <w:t>.</w:t>
      </w:r>
      <w:r w:rsidR="00BE65D6">
        <w:rPr>
          <w:rFonts w:ascii="Calibri" w:hAnsi="Calibri" w:cs="Arial"/>
        </w:rPr>
        <w:t xml:space="preserve"> Thus,</w:t>
      </w:r>
      <w:r w:rsidR="00AD305A">
        <w:rPr>
          <w:rFonts w:ascii="Calibri" w:hAnsi="Calibri" w:cs="Arial"/>
        </w:rPr>
        <w:t xml:space="preserve"> </w:t>
      </w:r>
      <w:r w:rsidR="00B06314">
        <w:rPr>
          <w:rFonts w:ascii="Calibri" w:hAnsi="Calibri" w:cs="Arial"/>
        </w:rPr>
        <w:t>the proposed solution</w:t>
      </w:r>
      <w:r w:rsidR="00BE65D6">
        <w:rPr>
          <w:rFonts w:ascii="Calibri" w:hAnsi="Calibri" w:cs="Arial"/>
        </w:rPr>
        <w:t xml:space="preserve"> is a </w:t>
      </w:r>
      <w:r w:rsidR="00C37E7B">
        <w:rPr>
          <w:rFonts w:ascii="Calibri" w:hAnsi="Calibri" w:cs="Arial"/>
        </w:rPr>
        <w:t>quaternary</w:t>
      </w:r>
      <w:r w:rsidR="00BE65D6">
        <w:rPr>
          <w:rFonts w:ascii="Calibri" w:hAnsi="Calibri" w:cs="Arial"/>
        </w:rPr>
        <w:t xml:space="preserve"> </w:t>
      </w:r>
      <w:r w:rsidR="00C37E7B">
        <w:rPr>
          <w:rFonts w:ascii="Calibri" w:hAnsi="Calibri" w:cs="Arial"/>
        </w:rPr>
        <w:t>system</w:t>
      </w:r>
      <w:r>
        <w:rPr>
          <w:rFonts w:ascii="Calibri" w:hAnsi="Calibri" w:cs="Arial"/>
        </w:rPr>
        <w:t xml:space="preserve"> consist</w:t>
      </w:r>
      <w:r w:rsidR="00BE65D6">
        <w:rPr>
          <w:rFonts w:ascii="Calibri" w:hAnsi="Calibri" w:cs="Arial"/>
        </w:rPr>
        <w:t>ing</w:t>
      </w:r>
      <w:r>
        <w:rPr>
          <w:rFonts w:ascii="Calibri" w:hAnsi="Calibri" w:cs="Arial"/>
        </w:rPr>
        <w:t xml:space="preserve"> of two polymer blends</w:t>
      </w:r>
      <w:r w:rsidR="00C37E7B">
        <w:rPr>
          <w:rFonts w:ascii="Calibri" w:hAnsi="Calibri" w:cs="Arial"/>
        </w:rPr>
        <w:t>,</w:t>
      </w:r>
      <w:r>
        <w:rPr>
          <w:rFonts w:ascii="Calibri" w:hAnsi="Calibri" w:cs="Arial"/>
        </w:rPr>
        <w:t xml:space="preserve"> </w:t>
      </w:r>
      <w:r w:rsidR="00B06314">
        <w:rPr>
          <w:rFonts w:ascii="Calibri" w:hAnsi="Calibri" w:cs="Arial"/>
        </w:rPr>
        <w:t>CPPs</w:t>
      </w:r>
      <w:r w:rsidR="00160062">
        <w:rPr>
          <w:rFonts w:ascii="Calibri" w:hAnsi="Calibri" w:cs="Arial"/>
        </w:rPr>
        <w:t>,</w:t>
      </w:r>
      <w:r w:rsidR="00B06314">
        <w:rPr>
          <w:rFonts w:ascii="Calibri" w:hAnsi="Calibri" w:cs="Arial"/>
        </w:rPr>
        <w:t xml:space="preserve"> </w:t>
      </w:r>
      <w:r w:rsidR="00C37E7B">
        <w:rPr>
          <w:rFonts w:ascii="Calibri" w:hAnsi="Calibri" w:cs="Arial"/>
        </w:rPr>
        <w:t>and the</w:t>
      </w:r>
      <w:r w:rsidR="00B06314">
        <w:rPr>
          <w:rFonts w:ascii="Calibri" w:hAnsi="Calibri" w:cs="Arial"/>
        </w:rPr>
        <w:t xml:space="preserve"> bioactive PNA</w:t>
      </w:r>
      <w:r w:rsidR="00AD305A">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"10.1002/adhm.201400355", "ISSN" : "2192-2659", "PMID" : "25156908", "abstract" : "Surface-modified poly(lactic-co-glycolic acid) (PLGA)/poly(\u03b2-aminoester)(PBAE)nanoparticles (NPs) have shown great promise in gene delivery. In this work, the pulmonary cellular uptake of these NPs is evaluated and surface-modified PLGA/PBAE NPs are shown to achieve higher cellular association and gene editing than traditional NPs composed of PLGA or PLGA/PBAE blends alone.", "author" : [ { "dropping-particle" : "", "family" : "Fields", "given" : "Rachel J", "non-dropping-particle" : "", "parse-names" : false, "suffix" : "" }, { "dropping-particle" : "", "family" : "Quijano", "given" : "Elias", "non-dropping-particle" : "", "parse-names" : false, "suffix" : "" }, { "dropping-particle" : "", "family" : "McNeer", "given" : "Nicole Ali", "non-dropping-particle" : "", "parse-names" : false, "suffix" : "" }, { "dropping-particle" : "", "family" : "Caputo", "given" : "Christina", "non-dropping-particle" : "", "parse-names" : false, "suffix" : "" }, { "dropping-particle" : "", "family" : "Bahal", "given" : "Raman", "non-dropping-particle" : "", "parse-names" : false, "suffix" : "" }, { "dropping-particle" : "", "family" : "Anandalingam", "given" : "Kavi", "non-dropping-particle" : "", "parse-names" : false, "suffix" : "" }, { "dropping-particle" : "", "family" : "Egan", "given" : "Marie E", "non-dropping-particle" : "", "parse-names" : false, "suffix" : "" }, { "dropping-particle" : "", "family" : "Glazer", "given" : "Peter M", "non-dropping-particle" : "", "parse-names" : false, "suffix" : "" }, { "dropping-particle" : "", "family" : "Saltzman", "given" : "W Mark", "non-dropping-particle" : "", "parse-names" : false, "suffix" : "" } ], "container-title" : "Advanced healthcare materials", "id" : "ITEM-1", "issue" : "3", "issued" : { "date-parts" : [ [ "2015", "2", "18" ] ] }, "page" : "361-6", "title" : "Modified poly(lactic-co-glycolic acid) nanoparticles for enhanced cellular uptake and gene editing in the lung.", "type" : "article-journal", "volume" : "4" }, "uris" : [ "http://www.mendeley.com/documents/?uuid=fae47d37-2854-42a0-a108-a0bbd8390fcd" ] } ], "mendeley" : { "formattedCitation" : "(Fields et al., 2015)", "plainTextFormattedCitation" : "(Fields et al., 2015)", "previouslyFormattedCitation" : "(Fields et al., 2015)" }, "properties" : { "noteIndex" : 0 }, "schema" : "https://github.com/citation-style-language/schema/raw/master/csl-citation.json" }</w:instrText>
      </w:r>
      <w:r>
        <w:rPr>
          <w:rFonts w:ascii="Calibri" w:hAnsi="Calibri" w:cs="Arial"/>
        </w:rPr>
        <w:fldChar w:fldCharType="separate"/>
      </w:r>
      <w:r w:rsidRPr="002237A0">
        <w:rPr>
          <w:rFonts w:ascii="Calibri" w:hAnsi="Calibri" w:cs="Arial"/>
          <w:noProof/>
        </w:rPr>
        <w:t>(Fields et al., 2015)</w:t>
      </w:r>
      <w:r>
        <w:rPr>
          <w:rFonts w:ascii="Calibri" w:hAnsi="Calibri" w:cs="Arial"/>
        </w:rPr>
        <w:fldChar w:fldCharType="end"/>
      </w:r>
      <w:r>
        <w:rPr>
          <w:rFonts w:ascii="Calibri" w:hAnsi="Calibri" w:cs="Arial"/>
        </w:rPr>
        <w:t xml:space="preserve">. </w:t>
      </w:r>
      <w:r w:rsidR="00C37E7B">
        <w:rPr>
          <w:rFonts w:ascii="Calibri" w:hAnsi="Calibri" w:cs="Arial"/>
        </w:rPr>
        <w:t>Such approaches bear considerable development and chemistry manufacturing control costs that challenge commercial viability even within orphan disease indications. Unfortunately,</w:t>
      </w:r>
      <w:r>
        <w:rPr>
          <w:rFonts w:ascii="Calibri" w:hAnsi="Calibri" w:cs="Arial"/>
        </w:rPr>
        <w:t xml:space="preserve"> </w:t>
      </w:r>
      <w:r w:rsidR="00C37E7B">
        <w:rPr>
          <w:rFonts w:ascii="Calibri" w:hAnsi="Calibri" w:cs="Arial"/>
        </w:rPr>
        <w:t xml:space="preserve">evaluation of this solution in </w:t>
      </w:r>
      <w:r>
        <w:rPr>
          <w:rFonts w:ascii="Calibri" w:hAnsi="Calibri" w:cs="Arial"/>
        </w:rPr>
        <w:t xml:space="preserve">a rodent CF model </w:t>
      </w:r>
      <w:r>
        <w:rPr>
          <w:rFonts w:ascii="Calibri" w:hAnsi="Calibri" w:cs="Arial"/>
        </w:rPr>
        <w:fldChar w:fldCharType="begin" w:fldLock="1"/>
      </w:r>
      <w:r>
        <w:rPr>
          <w:rFonts w:ascii="Calibri" w:hAnsi="Calibri" w:cs="Arial"/>
        </w:rPr>
        <w:instrText>ADDIN CSL_CITATION { "citationItems" : [ { "id" : "ITEM-1", "itemData" : { "DOI" : "10.1038/ncomms7952", "ISSN" : "2041-1723", "PMID" : "25914116", "abstract" : "Cystic fibrosis (CF) is a lethal genetic disorder most commonly caused by the F508del mutation in the cystic fibrosis transmembrane conductance regulator (CFTR) gene. It is not readily amenable to gene therapy because of its systemic nature and challenges including in vivo gene delivery and transient gene expression. Here we use triplex-forming peptide nucleic acids and donor DNA in biodegradable polymer nanoparticles to correct F508del. We confirm modification with sequencing and a functional chloride efflux assay. In vitro correction of chloride efflux occurs in up to 25% of human cells. Deep-sequencing reveals negligible off-target effects in partially homologous sites. Intranasal delivery of nanoparticles in CF mice produces changes in the nasal epithelium potential difference assay, consistent with corrected CFTR function. Also, gene correction is detected in the nasal and lung tissue. This work represents facile genome engineering in vivo with oligonucleotides using a nanoparticle system to achieve clinically relevant levels of gene editing without off-target effects.", "author" : [ { "dropping-particle" : "", "family" : "McNeer", "given" : "Nicole Ali", "non-dropping-particle" : "", "parse-names" : false, "suffix" : "" }, { "dropping-particle" : "", "family" : "Anandalingam", "given" : "Kavitha", "non-dropping-particle" : "", "parse-names" : false, "suffix" : "" }, { "dropping-particle" : "", "family" : "Fields", "given" : "Rachel J", "non-dropping-particle" : "", "parse-names" : false, "suffix" : "" }, { "dropping-particle" : "", "family" : "Caputo", "given" : "Christina", "non-dropping-particle" : "", "parse-names" : false, "suffix" : "" }, { "dropping-particle" : "", "family" : "Kopic", "given" : "Sascha", "non-dropping-particle" : "", "parse-names" : false, "suffix" : "" }, { "dropping-particle" : "", "family" : "Gupta", "given" : "Anisha", "non-dropping-particle" : "", "parse-names" : false, "suffix" : "" }, { "dropping-particle" : "", "family" : "Quijano", "given" : "Elias", "non-dropping-particle" : "", "parse-names" : false, "suffix" : "" }, { "dropping-particle" : "", "family" : "Polikoff", "given" : "Lee", "non-dropping-particle" : "", "parse-names" : false, "suffix" : "" }, { "dropping-particle" : "", "family" : "Kong", "given" : "Yong", "non-dropping-particle" : "", "parse-names" : false, "suffix" : "" }, { "dropping-particle" : "", "family" : "Bahal", "given" : "Raman", "non-dropping-particle" : "", "parse-names" : false, "suffix" : "" }, { "dropping-particle" : "", "family" : "Geibel", "given" : "John P", "non-dropping-particle" : "", "parse-names" : false, "suffix" : "" }, { "dropping-particle" : "", "family" : "Glazer", "given" : "Peter M", "non-dropping-particle" : "", "parse-names" : false, "suffix" : "" }, { "dropping-particle" : "", "family" : "Saltzman", "given" : "W Mark", "non-dropping-particle" : "", "parse-names" : false, "suffix" : "" }, { "dropping-particle" : "", "family" : "Egan", "given" : "Marie E", "non-dropping-particle" : "", "parse-names" : false, "suffix" : "" } ], "container-title" : "Nature communications", "id" : "ITEM-1", "issued" : { "date-parts" : [ [ "2015", "1" ] ] }, "page" : "6952", "title" : "Nanoparticles that deliver triplex-forming peptide nucleic acid molecules correct F508del CFTR in airway epithelium.", "type" : "article-journal", "volume" : "6" }, "uris" : [ "http://www.mendeley.com/documents/?uuid=4b802ecd-b66f-424e-85ae-10d36aadd783" ] } ], "mendeley" : { "formattedCitation" : "(McNeer et al., 2015)", "plainTextFormattedCitation" : "(McNeer et al., 2015)", "previouslyFormattedCitation" : "(McNeer et al., 2015)" }, "properties" : { "noteIndex" : 0 }, "schema" : "https://github.com/citation-style-language/schema/raw/master/csl-citation.json" }</w:instrText>
      </w:r>
      <w:r>
        <w:rPr>
          <w:rFonts w:ascii="Calibri" w:hAnsi="Calibri" w:cs="Arial"/>
        </w:rPr>
        <w:fldChar w:fldCharType="separate"/>
      </w:r>
      <w:r w:rsidRPr="002237A0">
        <w:rPr>
          <w:rFonts w:ascii="Calibri" w:hAnsi="Calibri" w:cs="Arial"/>
          <w:noProof/>
        </w:rPr>
        <w:t>(McNeer et al., 2015)</w:t>
      </w:r>
      <w:r>
        <w:rPr>
          <w:rFonts w:ascii="Calibri" w:hAnsi="Calibri" w:cs="Arial"/>
        </w:rPr>
        <w:fldChar w:fldCharType="end"/>
      </w:r>
      <w:r>
        <w:rPr>
          <w:rFonts w:ascii="Calibri" w:hAnsi="Calibri" w:cs="Arial"/>
        </w:rPr>
        <w:t xml:space="preserve">, </w:t>
      </w:r>
      <w:r w:rsidR="003E04DA">
        <w:rPr>
          <w:rFonts w:ascii="Calibri" w:hAnsi="Calibri" w:cs="Arial"/>
        </w:rPr>
        <w:t>exhibited</w:t>
      </w:r>
      <w:r>
        <w:rPr>
          <w:rFonts w:ascii="Calibri" w:hAnsi="Calibri" w:cs="Arial"/>
        </w:rPr>
        <w:t xml:space="preserve"> modest effects. Thus, activity was reported in &lt;0.4% of alveolar epithelia and &lt;1% of macrophages despite particle deposition in both the small and large airways and association with 50-90% of lung cells </w:t>
      </w:r>
      <w:r>
        <w:rPr>
          <w:rFonts w:ascii="Calibri" w:hAnsi="Calibri" w:cs="Arial"/>
        </w:rPr>
        <w:fldChar w:fldCharType="begin" w:fldLock="1"/>
      </w:r>
      <w:r>
        <w:rPr>
          <w:rFonts w:ascii="Calibri" w:hAnsi="Calibri" w:cs="Arial"/>
        </w:rPr>
        <w:instrText>ADDIN CSL_CITATION { "citationItems" : [ { "id" : "ITEM-1", "itemData" : { "DOI" : "10.1002/adhm.201400355", "ISSN" : "2192-2659", "PMID" : "25156908", "abstract" : "Surface-modified poly(lactic-co-glycolic acid) (PLGA)/poly(\u03b2-aminoester)(PBAE)nanoparticles (NPs) have shown great promise in gene delivery. In this work, the pulmonary cellular uptake of these NPs is evaluated and surface-modified PLGA/PBAE NPs are shown to achieve higher cellular association and gene editing than traditional NPs composed of PLGA or PLGA/PBAE blends alone.", "author" : [ { "dropping-particle" : "", "family" : "Fields", "given" : "Rachel J", "non-dropping-particle" : "", "parse-names" : false, "suffix" : "" }, { "dropping-particle" : "", "family" : "Quijano", "given" : "Elias", "non-dropping-particle" : "", "parse-names" : false, "suffix" : "" }, { "dropping-particle" : "", "family" : "McNeer", "given" : "Nicole Ali", "non-dropping-particle" : "", "parse-names" : false, "suffix" : "" }, { "dropping-particle" : "", "family" : "Caputo", "given" : "Christina", "non-dropping-particle" : "", "parse-names" : false, "suffix" : "" }, { "dropping-particle" : "", "family" : "Bahal", "given" : "Raman", "non-dropping-particle" : "", "parse-names" : false, "suffix" : "" }, { "dropping-particle" : "", "family" : "Anandalingam", "given" : "Kavi", "non-dropping-particle" : "", "parse-names" : false, "suffix" : "" }, { "dropping-particle" : "", "family" : "Egan", "given" : "Marie E", "non-dropping-particle" : "", "parse-names" : false, "suffix" : "" }, { "dropping-particle" : "", "family" : "Glazer", "given" : "Peter M", "non-dropping-particle" : "", "parse-names" : false, "suffix" : "" }, { "dropping-particle" : "", "family" : "Saltzman", "given" : "W Mark", "non-dropping-particle" : "", "parse-names" : false, "suffix" : "" } ], "container-title" : "Advanced healthcare materials", "id" : "ITEM-1", "issue" : "3", "issued" : { "date-parts" : [ [ "2015", "2", "18" ] ] }, "page" : "361-6", "title" : "Modified poly(lactic-co-glycolic acid) nanoparticles for enhanced cellular uptake and gene editing in the lung.", "type" : "article-journal", "volume" : "4" }, "uris" : [ "http://www.mendeley.com/documents/?uuid=fae47d37-2854-42a0-a108-a0bbd8390fcd" ] } ], "mendeley" : { "formattedCitation" : "(Fields et al., 2015)", "plainTextFormattedCitation" : "(Fields et al., 2015)", "previouslyFormattedCitation" : "(Fields et al., 2015)" }, "properties" : { "noteIndex" : 0 }, "schema" : "https://github.com/citation-style-language/schema/raw/master/csl-citation.json" }</w:instrText>
      </w:r>
      <w:r>
        <w:rPr>
          <w:rFonts w:ascii="Calibri" w:hAnsi="Calibri" w:cs="Arial"/>
        </w:rPr>
        <w:fldChar w:fldCharType="separate"/>
      </w:r>
      <w:r w:rsidRPr="00F62FF5">
        <w:rPr>
          <w:rFonts w:ascii="Calibri" w:hAnsi="Calibri" w:cs="Arial"/>
          <w:noProof/>
        </w:rPr>
        <w:t>(Fields et al., 2015)</w:t>
      </w:r>
      <w:r>
        <w:rPr>
          <w:rFonts w:ascii="Calibri" w:hAnsi="Calibri" w:cs="Arial"/>
        </w:rPr>
        <w:fldChar w:fldCharType="end"/>
      </w:r>
      <w:r>
        <w:rPr>
          <w:rFonts w:ascii="Calibri" w:hAnsi="Calibri" w:cs="Arial"/>
        </w:rPr>
        <w:t xml:space="preserve">. </w:t>
      </w:r>
      <w:r w:rsidR="00186357">
        <w:rPr>
          <w:rFonts w:ascii="Calibri" w:hAnsi="Calibri" w:cs="Arial"/>
        </w:rPr>
        <w:t>T</w:t>
      </w:r>
      <w:r w:rsidR="00C37E7B">
        <w:rPr>
          <w:rFonts w:ascii="Calibri" w:hAnsi="Calibri" w:cs="Arial"/>
        </w:rPr>
        <w:t>here remain</w:t>
      </w:r>
      <w:r w:rsidR="00D15A72">
        <w:rPr>
          <w:rFonts w:ascii="Calibri" w:hAnsi="Calibri" w:cs="Arial"/>
        </w:rPr>
        <w:t>, therefore,</w:t>
      </w:r>
      <w:r w:rsidR="00C37E7B">
        <w:rPr>
          <w:rFonts w:ascii="Calibri" w:hAnsi="Calibri" w:cs="Arial"/>
        </w:rPr>
        <w:t xml:space="preserve"> considerable </w:t>
      </w:r>
      <w:r w:rsidR="00ED2E67">
        <w:rPr>
          <w:rFonts w:ascii="Calibri" w:hAnsi="Calibri" w:cs="Arial"/>
        </w:rPr>
        <w:t>challenges</w:t>
      </w:r>
      <w:r w:rsidR="00C37E7B">
        <w:rPr>
          <w:rFonts w:ascii="Calibri" w:hAnsi="Calibri" w:cs="Arial"/>
        </w:rPr>
        <w:t xml:space="preserve"> to </w:t>
      </w:r>
      <w:r w:rsidR="00ED2E67">
        <w:rPr>
          <w:rFonts w:ascii="Calibri" w:hAnsi="Calibri" w:cs="Arial"/>
        </w:rPr>
        <w:t>progressing</w:t>
      </w:r>
      <w:r w:rsidR="00C37E7B">
        <w:rPr>
          <w:rFonts w:ascii="Calibri" w:hAnsi="Calibri" w:cs="Arial"/>
        </w:rPr>
        <w:t xml:space="preserve"> </w:t>
      </w:r>
      <w:r w:rsidR="00503884">
        <w:rPr>
          <w:rFonts w:ascii="Calibri" w:hAnsi="Calibri" w:cs="Arial"/>
        </w:rPr>
        <w:t xml:space="preserve">PNA chemistries </w:t>
      </w:r>
      <w:r w:rsidR="00D15A72">
        <w:rPr>
          <w:rFonts w:ascii="Calibri" w:hAnsi="Calibri" w:cs="Arial"/>
        </w:rPr>
        <w:t xml:space="preserve">in the clinic </w:t>
      </w:r>
      <w:r w:rsidR="00ED2E67">
        <w:rPr>
          <w:rFonts w:ascii="Calibri" w:hAnsi="Calibri" w:cs="Arial"/>
        </w:rPr>
        <w:t>for lung disease.</w:t>
      </w:r>
      <w:r w:rsidR="00C37E7B">
        <w:rPr>
          <w:rFonts w:ascii="Calibri" w:hAnsi="Calibri" w:cs="Arial"/>
        </w:rPr>
        <w:t xml:space="preserve"> </w:t>
      </w:r>
    </w:p>
    <w:p w14:paraId="566B3D5C" w14:textId="77777777" w:rsidR="00D40877" w:rsidRDefault="00D40877" w:rsidP="005837A4">
      <w:pPr>
        <w:spacing w:line="480" w:lineRule="auto"/>
        <w:jc w:val="both"/>
        <w:rPr>
          <w:rFonts w:ascii="Calibri" w:hAnsi="Calibri" w:cs="Arial"/>
        </w:rPr>
      </w:pPr>
    </w:p>
    <w:p w14:paraId="48D92666" w14:textId="77777777" w:rsidR="000172A4" w:rsidRDefault="000172A4" w:rsidP="005837A4">
      <w:pPr>
        <w:spacing w:line="480" w:lineRule="auto"/>
        <w:jc w:val="both"/>
        <w:rPr>
          <w:rFonts w:ascii="Calibri" w:hAnsi="Calibri" w:cs="Arial"/>
        </w:rPr>
      </w:pPr>
    </w:p>
    <w:p w14:paraId="4DA2FCBB" w14:textId="1E13195D" w:rsidR="000172A4" w:rsidRPr="004C40DB" w:rsidRDefault="00787897" w:rsidP="005837A4">
      <w:pPr>
        <w:pStyle w:val="Heading3"/>
      </w:pPr>
      <w:r w:rsidRPr="004C40DB">
        <w:t>2.1.3</w:t>
      </w:r>
      <w:r w:rsidR="004C40DB">
        <w:tab/>
      </w:r>
      <w:r w:rsidR="000172A4" w:rsidRPr="004C40DB">
        <w:t xml:space="preserve">Third generation </w:t>
      </w:r>
      <w:r w:rsidR="00F9350D" w:rsidRPr="004C40DB">
        <w:t>Antisense</w:t>
      </w:r>
      <w:r w:rsidR="00366466">
        <w:t>.</w:t>
      </w:r>
    </w:p>
    <w:p w14:paraId="61E4EBD9" w14:textId="7B4A6BF1" w:rsidR="00605941" w:rsidRDefault="000172A4" w:rsidP="005837A4">
      <w:pPr>
        <w:spacing w:line="480" w:lineRule="auto"/>
        <w:jc w:val="both"/>
        <w:rPr>
          <w:rFonts w:ascii="Calibri" w:hAnsi="Calibri" w:cs="Arial"/>
        </w:rPr>
      </w:pPr>
      <w:r>
        <w:rPr>
          <w:rFonts w:ascii="Calibri" w:hAnsi="Calibri" w:cs="Arial"/>
        </w:rPr>
        <w:t>More recently, 3</w:t>
      </w:r>
      <w:r w:rsidRPr="00AD46A2">
        <w:rPr>
          <w:rFonts w:ascii="Calibri" w:hAnsi="Calibri" w:cs="Arial"/>
          <w:vertAlign w:val="superscript"/>
        </w:rPr>
        <w:t>rd</w:t>
      </w:r>
      <w:r w:rsidR="00F9350D">
        <w:rPr>
          <w:rFonts w:ascii="Calibri" w:hAnsi="Calibri" w:cs="Arial"/>
        </w:rPr>
        <w:t xml:space="preserve"> generation antisense</w:t>
      </w:r>
      <w:r>
        <w:rPr>
          <w:rFonts w:ascii="Calibri" w:hAnsi="Calibri" w:cs="Arial"/>
        </w:rPr>
        <w:t xml:space="preserve"> have been developed that make use of 2’-5’ bridging groups (Fig. </w:t>
      </w:r>
      <w:r w:rsidR="00C5768B">
        <w:rPr>
          <w:rFonts w:ascii="Calibri" w:hAnsi="Calibri" w:cs="Arial"/>
        </w:rPr>
        <w:t>3</w:t>
      </w:r>
      <w:r>
        <w:rPr>
          <w:rFonts w:ascii="Calibri" w:hAnsi="Calibri" w:cs="Arial"/>
        </w:rPr>
        <w:t>B)</w:t>
      </w:r>
      <w:r w:rsidR="00503884">
        <w:rPr>
          <w:rFonts w:ascii="Calibri" w:hAnsi="Calibri" w:cs="Arial"/>
        </w:rPr>
        <w:t xml:space="preserve"> to form so-called bi-cylcic nucleoside analogues.</w:t>
      </w:r>
      <w:r w:rsidR="00FA0778">
        <w:rPr>
          <w:rFonts w:ascii="Calibri" w:hAnsi="Calibri" w:cs="Arial"/>
        </w:rPr>
        <w:t xml:space="preserve"> </w:t>
      </w:r>
      <w:r w:rsidR="00503884">
        <w:rPr>
          <w:rFonts w:ascii="Calibri" w:hAnsi="Calibri" w:cs="Arial"/>
        </w:rPr>
        <w:t xml:space="preserve">These chemistries </w:t>
      </w:r>
      <w:r w:rsidR="00FA0778">
        <w:rPr>
          <w:rFonts w:ascii="Calibri" w:hAnsi="Calibri" w:cs="Arial"/>
        </w:rPr>
        <w:t xml:space="preserve">result in greatly increased </w:t>
      </w:r>
      <w:r w:rsidR="00F9350D">
        <w:rPr>
          <w:rFonts w:ascii="Calibri" w:hAnsi="Calibri" w:cs="Arial"/>
        </w:rPr>
        <w:t xml:space="preserve">stability in biological fluids, as well as </w:t>
      </w:r>
      <w:r w:rsidR="00571E36">
        <w:rPr>
          <w:rFonts w:ascii="Calibri" w:hAnsi="Calibri" w:cs="Arial"/>
        </w:rPr>
        <w:t xml:space="preserve">higher </w:t>
      </w:r>
      <w:r w:rsidR="00FA0778">
        <w:rPr>
          <w:rFonts w:ascii="Calibri" w:hAnsi="Calibri" w:cs="Arial"/>
        </w:rPr>
        <w:t>affinity for their</w:t>
      </w:r>
      <w:r w:rsidR="00571E36">
        <w:rPr>
          <w:rFonts w:ascii="Calibri" w:hAnsi="Calibri" w:cs="Arial"/>
        </w:rPr>
        <w:t xml:space="preserve"> molecular</w:t>
      </w:r>
      <w:r w:rsidR="00FA0778">
        <w:rPr>
          <w:rFonts w:ascii="Calibri" w:hAnsi="Calibri" w:cs="Arial"/>
        </w:rPr>
        <w:t xml:space="preserve"> targets. This increased affinity</w:t>
      </w:r>
      <w:r w:rsidR="00503884">
        <w:rPr>
          <w:rFonts w:ascii="Calibri" w:hAnsi="Calibri" w:cs="Arial"/>
        </w:rPr>
        <w:t xml:space="preserve"> has driven</w:t>
      </w:r>
      <w:r w:rsidR="00F9350D">
        <w:rPr>
          <w:rFonts w:ascii="Calibri" w:hAnsi="Calibri" w:cs="Arial"/>
        </w:rPr>
        <w:t xml:space="preserve"> the</w:t>
      </w:r>
      <w:r w:rsidR="00571E36">
        <w:rPr>
          <w:rFonts w:ascii="Calibri" w:hAnsi="Calibri" w:cs="Arial"/>
        </w:rPr>
        <w:t xml:space="preserve"> development of</w:t>
      </w:r>
      <w:r w:rsidR="00F9350D">
        <w:rPr>
          <w:rFonts w:ascii="Calibri" w:hAnsi="Calibri" w:cs="Arial"/>
        </w:rPr>
        <w:t xml:space="preserve"> </w:t>
      </w:r>
      <w:r w:rsidR="00571E36">
        <w:rPr>
          <w:rFonts w:ascii="Calibri" w:hAnsi="Calibri" w:cs="Arial"/>
        </w:rPr>
        <w:t>shorter</w:t>
      </w:r>
      <w:r w:rsidR="00F9350D">
        <w:rPr>
          <w:rFonts w:ascii="Calibri" w:hAnsi="Calibri" w:cs="Arial"/>
        </w:rPr>
        <w:t xml:space="preserve"> antisense</w:t>
      </w:r>
      <w:r w:rsidR="00503884">
        <w:rPr>
          <w:rFonts w:ascii="Calibri" w:hAnsi="Calibri" w:cs="Arial"/>
        </w:rPr>
        <w:t>, with enhanced</w:t>
      </w:r>
      <w:r w:rsidR="00FA0778">
        <w:rPr>
          <w:rFonts w:ascii="Calibri" w:hAnsi="Calibri" w:cs="Arial"/>
        </w:rPr>
        <w:t xml:space="preserve"> delivery (as a result of their smaller size) and more adv</w:t>
      </w:r>
      <w:r>
        <w:rPr>
          <w:rFonts w:ascii="Calibri" w:hAnsi="Calibri" w:cs="Arial"/>
        </w:rPr>
        <w:t>antageous pharmacokinetic and pharmacodynamic</w:t>
      </w:r>
      <w:r w:rsidR="00FA0778">
        <w:rPr>
          <w:rFonts w:ascii="Calibri" w:hAnsi="Calibri" w:cs="Arial"/>
        </w:rPr>
        <w:t xml:space="preserve"> properties</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"10.1517/14712598.2013.774366", "ISSN" : "1744-7682", "PMID" : "23451977", "abstract" : "INTRODUCTION: Therapeutic gene silencing is a huge promise for the treatment of a variety of diseases. The translation of this widely used scientific technique toward clinical application has been hindered by insufficient ADME properties of antisense and siRNA oligonucleotides. Despite reasonable therapeutic response after local administration, reaching adequate concentrations at the site of action after systemic application is still a major hurdle and this has resulted in poor efficiency in preclinical and clinical situations.\n\nAREAS COVERED: This review focuses on the influence on the ADME parameters of chemical modifications already tested in clinical trials, such as phosphorothioates (PSs), 2'-modified agents, including locked nucleic acids (LNA) and phosphorodiamidate morpholino oligomers (PMO). The dominating PS backbone modification, while conferring adequate nuclease resistance and improving biodistribution, has been shown to be involved in unspecific protein binding and off-target effects on apoptosis pathways. PS-free antisense agents such as PMO generally show poorer pharmacokinetic characteristics.\n\nEXPERT OPINION: In terms of pharmacokinetics and cell membrane permeation, there is currently no efficient alternative to PS, although doubts about long-term toxicity of this class still remain. Consequently, improved structural modifications or galenic formulations are deemed necessary to create entities with higher efficiency and lower toxicity.", "author" : [ { "dropping-particle" : "", "family" : "Dirin", "given" : "Mehrdad", "non-dropping-particle" : "", "parse-names" : false, "suffix" : "" }, { "dropping-particle" : "", "family" : "Winkler", "given" : "Johannes", "non-dropping-particle" : "", "parse-names" : false, "suffix" : "" } ], "container-title" : "Expert opinion on biological therapy", "id" : "ITEM-1", "issue" : "6", "issued" : { "date-parts" : [ [ "2013", "6" ] ] }, "page" : "875-88", "title" : "Influence of diverse chemical modifications on the ADME characteristics and toxicology of antisense oligonucleotides.", "type" : "article-journal", "volume" : "13" }, "uris" : [ "http://www.mendeley.com/documents/?uuid=8e8555fc-cc92-4409-81c2-095c1ec3799b" ] }, { "id" : "ITEM-2", "itemData" : { "DOI" : "10.1016/j.addr.2015.01.008", "ISSN" : "1872-8294", "PMID" : "25666165", "abstract" : "Pharmacokinetic properties of oligonucleotides are largely driven by chemistry of the backbone and thus are sequence independent within a chemical class. Tissue bioavailability (% of administered dose) is assisted by plasma protein binding that limits glomerular filtration and ultimate urinary excretion of oligonucleotides. The substitution of one non-bridging oxygen with the more hydrophobic sulfur atom (phosphorothioate) increases both plasma stability and plasma protein binding and thus, ultimately, tissue bioavailability. Additional modifications of the sugar at the 2' position, increase RNA binding affinity and significantly increase potency, tissue half-life and prolong RNA inhibitory activity. Oligonucleotides modified in this manner consistently exhibit the highest tissue bioavailability (&gt;90%). Systemic biodistribution is broad, and organs typically with highest concentrations are liver and kidney followed by bone marrow, adipocytes, and lymph nodes. Cell uptake is predominantly mediated by endocytosis. Both size and charge for most oligonucleotides prevents distribution across the blood brain barrier. However, modified single-strand oligonucleotides administered by intrathecal injection into the CSF distribute broadly in the CNS. The majority of intracellular oligonucleotide distribution following systemic or local administration occurs rapidly in just a few hours following administration and is facilitated by rapid endocytotic uptake mechanisms. Further understanding of the intracellular trafficking of oligonucleotides may provide further enhancements in design and ultimate potency of antisense oligonucleotides in the future.", "author" : [ { "dropping-particle" : "", "family" : "Geary", "given" : "Richard S", "non-dropping-particle" : "", "parse-names" : false, "suffix" : "" }, { "dropping-particle" : "", "family" : "Norris", "given" : "Daniel", "non-dropping-particle" : "", "parse-names" : false, "suffix" : "" }, { "dropping-particle" : "", "family" : "Yu", "given" : "Rosie", "non-dropping-particle" : "", "parse-names" : false, "suffix" : "" }, { "dropping-particle" : "", "family" : "Bennett", "given" : "C Frank", "non-dropping-particle" : "", "parse-names" : false, "suffix" : "" } ], "container-title" : "Advanced drug delivery reviews", "id" : "ITEM-2", "issued" : { "date-parts" : [ [ "2015", "6", "29" ] ] }, "page" : "46-51", "title" : "Pharmacokinetics, biodistribution and cell uptake of antisense oligonucleotides.", "type" : "article-journal", "volume" : "87" }, "uris" : [ "http://www.mendeley.com/documents/?uuid=17492814-0861-4202-b7dd-7fc6cb16851d" ] } ], "mendeley" : { "formattedCitation" : "(Dirin &amp; Winkler, 2013; Geary, Norris, Yu, &amp; Bennett, 2015)", "plainTextFormattedCitation" : "(Dirin &amp; Winkler, 2013; Geary, Norris, Yu, &amp; Bennett, 2015)", "previouslyFormattedCitation" : "(Dirin &amp; Winkler, 2013; Geary, Norris, Yu, &amp; Bennett, 2015)" }, "properties" : { "noteIndex" : 0 }, "schema" : "https://github.com/citation-style-language/schema/raw/master/csl-citation.json" }</w:instrText>
      </w:r>
      <w:r>
        <w:rPr>
          <w:rFonts w:ascii="Calibri" w:hAnsi="Calibri" w:cs="Arial"/>
        </w:rPr>
        <w:fldChar w:fldCharType="separate"/>
      </w:r>
      <w:r w:rsidRPr="007644C5">
        <w:rPr>
          <w:rFonts w:ascii="Calibri" w:hAnsi="Calibri" w:cs="Arial"/>
          <w:noProof/>
        </w:rPr>
        <w:t>(Dirin &amp; Winkler, 2013; Geary, Norris, Yu, &amp; Bennett, 2015)</w:t>
      </w:r>
      <w:r>
        <w:rPr>
          <w:rFonts w:ascii="Calibri" w:hAnsi="Calibri" w:cs="Arial"/>
        </w:rPr>
        <w:fldChar w:fldCharType="end"/>
      </w:r>
      <w:r w:rsidR="00F9350D">
        <w:rPr>
          <w:rFonts w:ascii="Calibri" w:hAnsi="Calibri" w:cs="Arial"/>
        </w:rPr>
        <w:t>. These antisense</w:t>
      </w:r>
      <w:r w:rsidR="00FA0778">
        <w:rPr>
          <w:rFonts w:ascii="Calibri" w:hAnsi="Calibri" w:cs="Arial"/>
        </w:rPr>
        <w:t xml:space="preserve"> are also </w:t>
      </w:r>
      <w:r>
        <w:rPr>
          <w:rFonts w:ascii="Calibri" w:hAnsi="Calibri" w:cs="Arial"/>
        </w:rPr>
        <w:t xml:space="preserve">short enough to target </w:t>
      </w:r>
      <w:r w:rsidR="00FA0778">
        <w:rPr>
          <w:rFonts w:ascii="Calibri" w:hAnsi="Calibri" w:cs="Arial"/>
        </w:rPr>
        <w:t>miRNAs</w:t>
      </w:r>
      <w:r>
        <w:rPr>
          <w:rFonts w:ascii="Calibri" w:hAnsi="Calibri" w:cs="Arial"/>
        </w:rPr>
        <w:t xml:space="preserve"> (anti-miRs) </w:t>
      </w:r>
      <w:r>
        <w:rPr>
          <w:rFonts w:ascii="Calibri" w:hAnsi="Calibri" w:cs="Arial"/>
        </w:rPr>
        <w:fldChar w:fldCharType="begin" w:fldLock="1"/>
      </w:r>
      <w:r w:rsidR="00353305">
        <w:rPr>
          <w:rFonts w:ascii="Calibri" w:hAnsi="Calibri" w:cs="Arial"/>
        </w:rPr>
        <w:instrText>ADDIN CSL_CITATION { "citationItems" : [ { "id" : "ITEM-1", "itemData" : { "DOI" : "10.1038/nature06783", "ISSN" : "1476-4687", "PMID" : "18368051", "abstract" : "microRNAs (miRNAs) are small regulatory RNAs that are important in development and disease and therefore represent a potential new class of targets for therapeutic intervention. Despite recent progress in silencing of miRNAs in rodents, the development of effective and safe approaches for sequence-specific antagonism of miRNAs in vivo remains a significant scientific and therapeutic challenge. Moreover, there are no reports of miRNA antagonism in primates. Here we show that the simple systemic delivery of a unconjugated, PBS-formulated locked-nucleic-acid-modified oligonucleotide (LNA-antimiR) effectively antagonizes the liver-expressed miR-122 in non-human primates. Acute administration by intravenous injections of 3 or 10 mg kg(-1) LNA-antimiR to African green monkeys resulted in uptake of the LNA-antimiR in the cytoplasm of primate hepatocytes and formation of stable heteroduplexes between the LNA-antimiR and miR-122. This was accompanied by depletion of mature miR-122 and dose-dependent lowering of plasma cholesterol. Efficient silencing of miR-122 was achieved in primates by three doses of 10 mg kg(-1) LNA-antimiR, leading to a long-lasting and reversible decrease in total plasma cholesterol without any evidence for LNA-associated toxicities or histopathological changes in the study animals. Our findings demonstrate the utility of systemically administered LNA-antimiRs in exploring miRNA function in rodents and primates, and support the potential of these compounds as a new class of therapeutics for disease-associated miRNAs.", "author" : [ { "dropping-particle" : "", "family" : "Elm\u00e9n", "given" : "Joacim", "non-dropping-particle" : "", "parse-names" : false, "suffix" : "" }, { "dropping-particle" : "", "family" : "Lindow", "given" : "Morten", "non-dropping-particle" : "", "parse-names" : false, "suffix" : "" }, { "dropping-particle" : "", "family" : "Sch\u00fctz", "given" : "Sylvia", "non-dropping-particle" : "", "parse-names" : false, "suffix" : "" }, { "dropping-particle" : "", "family" : "Lawrence", "given" : "Matthew", "non-dropping-particle" : "", "parse-names" : false, "suffix" : "" }, { "dropping-particle" : "", "family" : "Petri", "given" : "Andreas", "non-dropping-particle" : "", "parse-names" : false, "suffix" : "" }, { "dropping-particle" : "", "family" : "Obad", "given" : "Susanna", "non-dropping-particle" : "", "parse-names" : false, "suffix" : "" }, { "dropping-particle" : "", "family" : "Lindholm", "given" : "Marie", "non-dropping-particle" : "", "parse-names" : false, "suffix" : "" }, { "dropping-particle" : "", "family" : "Hedtj\u00e4rn", "given" : "Maj", "non-dropping-particle" : "", "parse-names" : false, "suffix" : "" }, { "dropping-particle" : "", "family" : "Hansen", "given" : "Henrik Frydenlund", "non-dropping-particle" : "", "parse-names" : false, "suffix" : "" }, { "dropping-particle" : "", "family" : "Berger", "given" : "Urs", "non-dropping-particle" : "", "parse-names" : false, "suffix" : "" }, { "dropping-particle" : "", "family" : "Gullans", "given" : "Steven", "non-dropping-particle" : "", "parse-names" : false, "suffix" : "" }, { "dropping-particle" : "", "family" : "Kearney", "given" : "Phil", "non-dropping-particle" : "", "parse-names" : false, "suffix" : "" }, { "dropping-particle" : "", "family" : "Sarnow", "given" : "Peter", "non-dropping-particle" : "", "parse-names" : false, "suffix" : "" }, { "dropping-particle" : "", "family" : "Straarup", "given" : "Ellen Marie", "non-dropping-particle" : "", "parse-names" : false, "suffix" : "" }, { "dropping-particle" : "", "family" : "Kauppinen", "given" : "Sakari", "non-dropping-particle" : "", "parse-names" : false, "suffix" : "" } ], "container-title" : "Nature", "id" : "ITEM-1", "issue" : "7189", "issued" : { "date-parts" : [ [ "2008", "4", "17" ] ] }, "page" : "896-9", "title" : "LNA-mediated microRNA silencing in non-human primates.", "type" : "article-journal", "volume" : "452" }, "uris" : [ "http://www.mendeley.com/documents/?uuid=b4c59cab-93d6-498f-a3a6-56bd3d173357" ] } ], "mendeley" : { "formattedCitation" : "(Elm\u00e9n, Lindow, Sch\u00fctz, et al., 2008)", "plainTextFormattedCitation" : "(Elm\u00e9n, Lindow, Sch\u00fctz, et al., 2008)", "previouslyFormattedCitation" : "(Elm\u00e9n, Lindow, Sch\u00fctz, et al., 2008)" }, "properties" : { "noteIndex" : 0 }, "schema" : "https://github.com/citation-style-language/schema/raw/master/csl-citation.json" }</w:instrText>
      </w:r>
      <w:r>
        <w:rPr>
          <w:rFonts w:ascii="Calibri" w:hAnsi="Calibri" w:cs="Arial"/>
        </w:rPr>
        <w:fldChar w:fldCharType="separate"/>
      </w:r>
      <w:r w:rsidR="0011158C" w:rsidRPr="0011158C">
        <w:rPr>
          <w:rFonts w:ascii="Calibri" w:hAnsi="Calibri" w:cs="Arial"/>
          <w:noProof/>
        </w:rPr>
        <w:t>(Elmén, Lindow, Schütz, et al., 2008)</w:t>
      </w:r>
      <w:r>
        <w:rPr>
          <w:rFonts w:ascii="Calibri" w:hAnsi="Calibri" w:cs="Arial"/>
        </w:rPr>
        <w:fldChar w:fldCharType="end"/>
      </w:r>
      <w:r>
        <w:rPr>
          <w:rFonts w:ascii="Calibri" w:hAnsi="Calibri" w:cs="Arial"/>
        </w:rPr>
        <w:t xml:space="preserve"> and directly inhibit </w:t>
      </w:r>
      <w:r w:rsidR="00E1380A">
        <w:rPr>
          <w:rFonts w:ascii="Calibri" w:hAnsi="Calibri" w:cs="Arial"/>
        </w:rPr>
        <w:t xml:space="preserve">the </w:t>
      </w:r>
      <w:r>
        <w:rPr>
          <w:rFonts w:ascii="Calibri" w:hAnsi="Calibri" w:cs="Arial"/>
        </w:rPr>
        <w:t>function</w:t>
      </w:r>
      <w:r w:rsidR="00E1380A">
        <w:rPr>
          <w:rFonts w:ascii="Calibri" w:hAnsi="Calibri" w:cs="Arial"/>
        </w:rPr>
        <w:t xml:space="preserve"> of the miRNA and siRNA induced silencing complex (RISC)</w:t>
      </w:r>
      <w:r>
        <w:rPr>
          <w:rFonts w:ascii="Calibri" w:hAnsi="Calibri" w:cs="Arial"/>
        </w:rPr>
        <w:t xml:space="preserve"> by preventing engagement</w:t>
      </w:r>
      <w:r w:rsidR="00E1380A">
        <w:rPr>
          <w:rFonts w:ascii="Calibri" w:hAnsi="Calibri" w:cs="Arial"/>
        </w:rPr>
        <w:t xml:space="preserve"> of RISC with it’s RNA targets</w:t>
      </w:r>
      <w:r>
        <w:rPr>
          <w:rFonts w:ascii="Calibri" w:hAnsi="Calibri" w:cs="Arial"/>
        </w:rPr>
        <w:t xml:space="preserve">. The first 2’-5’ modification to be described </w:t>
      </w:r>
      <w:r w:rsidR="00503884">
        <w:rPr>
          <w:rFonts w:ascii="Calibri" w:hAnsi="Calibri" w:cs="Arial"/>
        </w:rPr>
        <w:t>was</w:t>
      </w:r>
      <w:r w:rsidR="00FA0778">
        <w:rPr>
          <w:rFonts w:ascii="Calibri" w:hAnsi="Calibri" w:cs="Arial"/>
        </w:rPr>
        <w:t xml:space="preserve"> </w:t>
      </w:r>
      <w:r>
        <w:rPr>
          <w:rFonts w:ascii="Calibri" w:hAnsi="Calibri" w:cs="Arial"/>
        </w:rPr>
        <w:t xml:space="preserve">‘locked’ nucleic acid (LNA) </w:t>
      </w:r>
      <w:r>
        <w:rPr>
          <w:rFonts w:ascii="Calibri" w:hAnsi="Calibri" w:cs="Arial"/>
        </w:rPr>
        <w:fldChar w:fldCharType="begin" w:fldLock="1"/>
      </w:r>
      <w:r>
        <w:rPr>
          <w:rFonts w:ascii="Calibri" w:hAnsi="Calibri" w:cs="Arial"/>
        </w:rPr>
        <w:instrText>ADDIN CSL_CITATION { "citationItems" : [ { "id" : "ITEM-1", "itemData" : { "DOI" : "10.1021/ar980051p", "ISSN" : "0001-4842", "author" : [ { "dropping-particle" : "", "family" : "Wengel", "given" : "Jesper", "non-dropping-particle" : "", "parse-names" : false, "suffix" : "" } ], "container-title" : "Accounts of Chemical Research", "id" : "ITEM-1", "issue" : "4", "issued" : { "date-parts" : [ [ "1999", "4" ] ] }, "page" : "301-310", "publisher" : "American Chemical Society", "title" : "Synthesis of 3\u2018- C - and 4\u2018- C -Branched Oligodeoxynucleotides and the Development of Locked Nucleic Acid (LNA)", "type" : "article-journal", "volume" : "32" }, "uris" : [ "http://www.mendeley.com/documents/?uuid=e24e7b64-c72c-4264-b814-47559ff6c047" ] } ], "mendeley" : { "formattedCitation" : "(Wengel, 1999)", "plainTextFormattedCitation" : "(Wengel, 1999)", "previouslyFormattedCitation" : "(Wengel, 1999)" }, "properties" : { "noteIndex" : 0 }, "schema" : "https://github.com/citation-style-language/schema/raw/master/csl-citation.json" }</w:instrText>
      </w:r>
      <w:r>
        <w:rPr>
          <w:rFonts w:ascii="Calibri" w:hAnsi="Calibri" w:cs="Arial"/>
        </w:rPr>
        <w:fldChar w:fldCharType="separate"/>
      </w:r>
      <w:r w:rsidRPr="004E3E8C">
        <w:rPr>
          <w:rFonts w:ascii="Calibri" w:hAnsi="Calibri" w:cs="Arial"/>
          <w:noProof/>
        </w:rPr>
        <w:t>(Wengel, 1999)</w:t>
      </w:r>
      <w:r>
        <w:rPr>
          <w:rFonts w:ascii="Calibri" w:hAnsi="Calibri" w:cs="Arial"/>
        </w:rPr>
        <w:fldChar w:fldCharType="end"/>
      </w:r>
      <w:r>
        <w:rPr>
          <w:rFonts w:ascii="Calibri" w:hAnsi="Calibri" w:cs="Arial"/>
        </w:rPr>
        <w:t xml:space="preserve"> although other structures (e.g. 2’-4’ bridges) with similar performance metrics have </w:t>
      </w:r>
      <w:r>
        <w:rPr>
          <w:rFonts w:ascii="Calibri" w:hAnsi="Calibri" w:cs="Arial"/>
        </w:rPr>
        <w:lastRenderedPageBreak/>
        <w:t xml:space="preserve">been developed </w:t>
      </w:r>
      <w:r>
        <w:rPr>
          <w:rFonts w:ascii="Calibri" w:hAnsi="Calibri" w:cs="Arial"/>
        </w:rPr>
        <w:fldChar w:fldCharType="begin" w:fldLock="1"/>
      </w:r>
      <w:r>
        <w:rPr>
          <w:rFonts w:ascii="Calibri" w:hAnsi="Calibri" w:cs="Arial"/>
        </w:rPr>
        <w:instrText>ADDIN CSL_CITATION { "citationItems" : [ { "id" : "ITEM-1", "itemData" : { "DOI" : "10.1021/jm801294h", "ISSN" : "1520-4804", "PMID" : "19086780", "abstract" : "The potency of second generation antisense oligonucleotides (ASOs) in animals was increased 3- to 5 -fold (ED(50) approximately 2-5 mg/kg) without producing hepatotoxicity, by reducing ASO length (20-mer to 14-mer) and by employing novel nucleoside modifications that combine structural elements of 2'-O-methoxyethyl residues and locked nucleic acid. The ability to achieve this level of potency without any formulation agents is remarkable and likely to have a significant impact on the future design of ASOs as therapeutic agents.", "author" : [ { "dropping-particle" : "", "family" : "Seth", "given" : "Punit P", "non-dropping-particle" : "", "parse-names" : false, "suffix" : "" }, { "dropping-particle" : "", "family" : "Siwkowski", "given" : "Andrew", "non-dropping-particle" : "", "parse-names" : false, "suffix" : "" }, { "dropping-particle" : "", "family" : "Allerson", "given" : "Charles R", "non-dropping-particle" : "", "parse-names" : false, "suffix" : "" }, { "dropping-particle" : "", "family" : "Vasquez", "given" : "Guillermo", "non-dropping-particle" : "", "parse-names" : false, "suffix" : "" }, { "dropping-particle" : "", "family" : "Lee", "given" : "Sam", "non-dropping-particle" : "", "parse-names" : false, "suffix" : "" }, { "dropping-particle" : "", "family" : "Prakash", "given" : "Thazha P", "non-dropping-particle" : "", "parse-names" : false, "suffix" : "" }, { "dropping-particle" : "V", "family" : "Wancewicz", "given" : "Edward", "non-dropping-particle" : "", "parse-names" : false, "suffix" : "" }, { "dropping-particle" : "", "family" : "Witchell", "given" : "Donna", "non-dropping-particle" : "", "parse-names" : false, "suffix" : "" }, { "dropping-particle" : "", "family" : "Swayze", "given" : "Eric E", "non-dropping-particle" : "", "parse-names" : false, "suffix" : "" } ], "container-title" : "Journal of medicinal chemistry", "id" : "ITEM-1", "issue" : "1", "issued" : { "date-parts" : [ [ "2009", "1", "8" ] ] }, "page" : "10-3", "publisher" : "American Chemical Society", "title" : "Short antisense oligonucleotides with novel 2'-4' conformationaly restricted nucleoside analogues show improved potency without increased toxicity in animals.", "type" : "article-journal", "volume" : "52" }, "uris" : [ "http://www.mendeley.com/documents/?uuid=6a54f0e9-dd10-4362-b10a-b00b99fcc1d1" ] }, { "id" : "ITEM-2", "itemData" : { "DOI" : "10.1089/nat.2013.0422", "ISSN" : "2159-3345", "PMID" : "23692080", "abstract" : "ISIS 481464 is a constrained ethyl (cEt) modified phosphorothioate antisense oligonucleotide (ASO) targeting signal transducer and activator of transcription 3 (STAT3) studied in mice and monkey to support oncology clinical trials. Six-week toxicology studies were performed in mice and cynomolgus monkey (up to 70 and 30 mg/kg/week respectively). Reduction in STAT3 protein up to 90% of control was observed in monkey. Cynomolgus monkey was considered the most relevant species to human with respect to pharmacokinetic properties, but mice are useful in their relative sensitivity to the potential proinflammatory and hepatic effects of oligonucleotides. In monkeys, there was no impact on organ function at doses up to 30 mg/kg/week for 6 weeks. Minimal to slight proximal tubular epithelial cell degeneration and regeneration within the kidney was observed, which had no impact on renal function and showed reversibility at the end of the treatment-free period. Additionally, mild and transient activated partial thromboplastin time elevations and mild increases in complement Bb were observed at the higher doses by intravenous dosing only. In mice, the alterations at 70 mg/kg/week included spleen weight increase up to 1.4-fold relative to control, increases in alanine aminotransferase and aspartate aminotransferase up to 1.8-fold over control, interleukin-10 increases up to 3.7-fold, and monocyte chemoattractant protein-1 increase up to 1.9-fold over control. No significant clinical pathology or histopathology changes were seen in mice at 20 mg/kg/week or less. The toxicity profile of ISIS 481464 is consistent with effects observed with phosphorothioate ASOs containing 2'-O-methoxyethylribose modifications instead of cEt.", "author" : [ { "dropping-particle" : "", "family" : "Burel", "given" : "Sebastien A", "non-dropping-particle" : "", "parse-names" : false, "suffix" : "" }, { "dropping-particle" : "", "family" : "Han", "given" : "So-Ri", "non-dropping-particle" : "", "parse-names" : false, "suffix" : "" }, { "dropping-particle" : "", "family" : "Lee", "given" : "Hong-Soo", "non-dropping-particle" : "", "parse-names" : false, "suffix" : "" }, { "dropping-particle" : "", "family" : "Norris", "given" : "Daniel A", "non-dropping-particle" : "", "parse-names" : false, "suffix" : "" }, { "dropping-particle" : "", "family" : "Lee", "given" : "Byoung-Seok", "non-dropping-particle" : "", "parse-names" : false, "suffix" : "" }, { "dropping-particle" : "", "family" : "Machemer", "given" : "Todd", "non-dropping-particle" : "", "parse-names" : false, "suffix" : "" }, { "dropping-particle" : "", "family" : "Park", "given" : "Shin-Young", "non-dropping-particle" : "", "parse-names" : false, "suffix" : "" }, { "dropping-particle" : "", "family" : "Zhou", "given" : "Tianyuan", "non-dropping-particle" : "", "parse-names" : false, "suffix" : "" }, { "dropping-particle" : "", "family" : "He", "given" : "Guobin", "non-dropping-particle" : "", "parse-names" : false, "suffix" : "" }, { "dropping-particle" : "", "family" : "Kim", "given" : "Youngsoo", "non-dropping-particle" : "", "parse-names" : false, "suffix" : "" }, { "dropping-particle" : "", "family" : "MacLeod", "given" : "A Robert", "non-dropping-particle" : "", "parse-names" : false, "suffix" : "" }, { "dropping-particle" : "", "family" : "Monia", "given" : "Brett P", "non-dropping-particle" : "", "parse-names" : false, "suffix" : "" }, { "dropping-particle" : "", "family" : "Lio", "given" : "Shirley", "non-dropping-particle" : "", "parse-names" : false, "suffix" : "" }, { "dropping-particle" : "", "family" : "Kim", "given" : "Tae-Won", "non-dropping-particle" : "", "parse-names" : false, "suffix" : "" }, { "dropping-particle" : "", "family" : "Henry", "given" : "Scott P", "non-dropping-particle" : "", "parse-names" : false, "suffix" : "" } ], "container-title" : "Nucleic acid therapeutics", "id" : "ITEM-2", "issue" : "3", "issued" : { "date-parts" : [ [ "2013", "6" ] ] }, "page" : "213-27", "title" : "Preclinical evaluation of the toxicological effects of a novel constrained ethyl modified antisense compound targeting signal transducer and activator of transcription 3 in mice and cynomolgus monkeys.", "type" : "article-journal", "volume" : "23" }, "uris" : [ "http://www.mendeley.com/documents/?uuid=d0e94927-b4fb-4a82-ad82-9b3938f4f1df" ] } ], "mendeley" : { "formattedCitation" : "(Burel et al., 2013; Seth et al., 2009)", "plainTextFormattedCitation" : "(Burel et al., 2013; Seth et al., 2009)", "previouslyFormattedCitation" : "(Burel et al., 2013; Seth et al., 2009)" }, "properties" : { "noteIndex" : 0 }, "schema" : "https://github.com/citation-style-language/schema/raw/master/csl-citation.json" }</w:instrText>
      </w:r>
      <w:r>
        <w:rPr>
          <w:rFonts w:ascii="Calibri" w:hAnsi="Calibri" w:cs="Arial"/>
        </w:rPr>
        <w:fldChar w:fldCharType="separate"/>
      </w:r>
      <w:r w:rsidRPr="004E3E8C">
        <w:rPr>
          <w:rFonts w:ascii="Calibri" w:hAnsi="Calibri" w:cs="Arial"/>
          <w:noProof/>
        </w:rPr>
        <w:t>(Burel et al., 2013; Seth et al., 2009)</w:t>
      </w:r>
      <w:r>
        <w:rPr>
          <w:rFonts w:ascii="Calibri" w:hAnsi="Calibri" w:cs="Arial"/>
        </w:rPr>
        <w:fldChar w:fldCharType="end"/>
      </w:r>
      <w:r>
        <w:rPr>
          <w:rFonts w:ascii="Calibri" w:hAnsi="Calibri" w:cs="Arial"/>
        </w:rPr>
        <w:t xml:space="preserve">. To date, LNA remains the single </w:t>
      </w:r>
      <w:r w:rsidR="00503884">
        <w:rPr>
          <w:rFonts w:ascii="Calibri" w:hAnsi="Calibri" w:cs="Arial"/>
        </w:rPr>
        <w:t>bi-cyclic</w:t>
      </w:r>
      <w:r>
        <w:rPr>
          <w:rFonts w:ascii="Calibri" w:hAnsi="Calibri" w:cs="Arial"/>
        </w:rPr>
        <w:t xml:space="preserve"> </w:t>
      </w:r>
      <w:r w:rsidR="00503884">
        <w:rPr>
          <w:rFonts w:ascii="Calibri" w:hAnsi="Calibri" w:cs="Arial"/>
        </w:rPr>
        <w:t xml:space="preserve">nucleoside </w:t>
      </w:r>
      <w:r>
        <w:rPr>
          <w:rFonts w:ascii="Calibri" w:hAnsi="Calibri" w:cs="Arial"/>
        </w:rPr>
        <w:t>modification commercially availabl</w:t>
      </w:r>
      <w:r w:rsidR="00FA0778">
        <w:rPr>
          <w:rFonts w:ascii="Calibri" w:hAnsi="Calibri" w:cs="Arial"/>
        </w:rPr>
        <w:t>e for research use. Interesting</w:t>
      </w:r>
      <w:r w:rsidR="00571E36">
        <w:rPr>
          <w:rFonts w:ascii="Calibri" w:hAnsi="Calibri" w:cs="Arial"/>
        </w:rPr>
        <w:t>ly</w:t>
      </w:r>
      <w:r w:rsidR="00F9350D">
        <w:rPr>
          <w:rFonts w:ascii="Calibri" w:hAnsi="Calibri" w:cs="Arial"/>
        </w:rPr>
        <w:t>, short LNA antisense</w:t>
      </w:r>
      <w:r>
        <w:rPr>
          <w:rFonts w:ascii="Calibri" w:hAnsi="Calibri" w:cs="Arial"/>
        </w:rPr>
        <w:t xml:space="preserve"> enter cells </w:t>
      </w:r>
      <w:r>
        <w:rPr>
          <w:rFonts w:ascii="Calibri" w:hAnsi="Calibri" w:cs="Arial"/>
          <w:i/>
        </w:rPr>
        <w:t xml:space="preserve">in vitro </w:t>
      </w:r>
      <w:r>
        <w:rPr>
          <w:rFonts w:ascii="Calibri" w:hAnsi="Calibri" w:cs="Arial"/>
        </w:rPr>
        <w:t xml:space="preserve">without </w:t>
      </w:r>
      <w:r w:rsidR="00FA0778">
        <w:rPr>
          <w:rFonts w:ascii="Calibri" w:hAnsi="Calibri" w:cs="Arial"/>
        </w:rPr>
        <w:t>delivery systems i.e. in simple</w:t>
      </w:r>
      <w:r>
        <w:rPr>
          <w:rFonts w:ascii="Calibri" w:hAnsi="Calibri" w:cs="Arial"/>
        </w:rPr>
        <w:t xml:space="preserve"> ‘naked’ saline formulations </w:t>
      </w:r>
      <w:r>
        <w:rPr>
          <w:rFonts w:ascii="Calibri" w:hAnsi="Calibri" w:cs="Arial"/>
        </w:rPr>
        <w:fldChar w:fldCharType="begin" w:fldLock="1"/>
      </w:r>
      <w:r>
        <w:rPr>
          <w:rFonts w:ascii="Calibri" w:hAnsi="Calibri" w:cs="Arial"/>
        </w:rPr>
        <w:instrText>ADDIN CSL_CITATION { "citationItems" : [ { "id" : "ITEM-1", "itemData" : { "DOI" : "10.1093/nar/gkp841", "ISSN" : "1362-4962", "PMID" : "19854938", "abstract" : "For the past 15-20 years, the intracellular delivery and silencing activity of oligodeoxynucleotides have been essentially completely dependent on the use of a delivery technology (e.g. lipofection). We have developed a method (called 'gymnosis') that does not require the use of any transfection reagent or any additives to serum whatsoever, but rather takes advantage of the normal growth properties of cells in tissue culture in order to promote productive oligonucleotide uptake. This robust method permits the sequence-specific silencing of multiple targets in a large number of cell types in tissue culture, both at the protein and mRNA level, at concentrations in the low micromolar range. Optimum results were obtained with locked nucleic acid (LNA) phosphorothioate gap-mers. By appropriate manipulation of oligonucleotide dosing, this silencing can be continuously maintained with little or no toxicity for &gt;240 days. High levels of oligonucleotide in the cell nucleus are not a requirement for gene silencing, contrary to long accepted dogma. In addition, gymnotic delivery can efficiently deliver oligonucleotides to suspension cells that are known to be very difficult to transfect. Finally, the pattern of gene silencing of in vitro gymnotically delivered oligonucleotides correlates particularly well with in vivo silencing. The establishment of this link is of particular significance to those in the academic research and drug discovery and development communities.", "author" : [ { "dropping-particle" : "", "family" : "Stein", "given" : "C A", "non-dropping-particle" : "", "parse-names" : false, "suffix" : "" }, { "dropping-particle" : "", "family" : "Hansen", "given" : "J Bo", "non-dropping-particle" : "", "parse-names" : false, "suffix" : "" }, { "dropping-particle" : "", "family" : "Lai", "given" : "Johnathan", "non-dropping-particle" : "", "parse-names" : false, "suffix" : "" }, { "dropping-particle" : "", "family" : "Wu", "given" : "SiJian", "non-dropping-particle" : "", "parse-names" : false, "suffix" : "" }, { "dropping-particle" : "", "family" : "Voskresenskiy", "given" : "Anatoliy", "non-dropping-particle" : "", "parse-names" : false, "suffix" : "" }, { "dropping-particle" : "", "family" : "H\u00f8g", "given" : "Anja", "non-dropping-particle" : "", "parse-names" : false, "suffix" : "" }, { "dropping-particle" : "", "family" : "Worm", "given" : "Jesper", "non-dropping-particle" : "", "parse-names" : false, "suffix" : "" }, { "dropping-particle" : "", "family" : "Hedtj\u00e4rn", "given" : "Maj", "non-dropping-particle" : "", "parse-names" : false, "suffix" : "" }, { "dropping-particle" : "", "family" : "Souleimanian", "given" : "Naira", "non-dropping-particle" : "", "parse-names" : false, "suffix" : "" }, { "dropping-particle" : "", "family" : "Miller", "given" : "Paul", "non-dropping-particle" : "", "parse-names" : false, "suffix" : "" }, { "dropping-particle" : "", "family" : "Soifer", "given" : "Harris S", "non-dropping-particle" : "", "parse-names" : false, "suffix" : "" }, { "dropping-particle" : "", "family" : "Castanotto", "given" : "Daniella", "non-dropping-particle" : "", "parse-names" : false, "suffix" : "" }, { "dropping-particle" : "", "family" : "Benimetskaya", "given" : "Luba", "non-dropping-particle" : "", "parse-names" : false, "suffix" : "" }, { "dropping-particle" : "", "family" : "\u00d8rum", "given" : "Henrik", "non-dropping-particle" : "", "parse-names" : false, "suffix" : "" }, { "dropping-particle" : "", "family" : "Koch", "given" : "Troels", "non-dropping-particle" : "", "parse-names" : false, "suffix" : "" } ], "container-title" : "Nucleic acids research", "id" : "ITEM-1", "issue" : "1", "issued" : { "date-parts" : [ [ "2010", "1" ] ] }, "page" : "e3", "title" : "Efficient gene silencing by delivery of locked nucleic acid antisense oligonucleotides, unassisted by transfection reagents.", "type" : "article-journal", "volume" : "38" }, "uris" : [ "http://www.mendeley.com/documents/?uuid=5f969054-ba33-4c4f-a82a-5ede34ca1d6a" ] } ], "mendeley" : { "formattedCitation" : "(Stein et al., 2010)", "plainTextFormattedCitation" : "(Stein et al., 2010)", "previouslyFormattedCitation" : "(Stein et al., 2010)" }, "properties" : { "noteIndex" : 0 }, "schema" : "https://github.com/citation-style-language/schema/raw/master/csl-citation.json" }</w:instrText>
      </w:r>
      <w:r>
        <w:rPr>
          <w:rFonts w:ascii="Calibri" w:hAnsi="Calibri" w:cs="Arial"/>
        </w:rPr>
        <w:fldChar w:fldCharType="separate"/>
      </w:r>
      <w:r w:rsidRPr="00FC0AE4">
        <w:rPr>
          <w:rFonts w:ascii="Calibri" w:hAnsi="Calibri" w:cs="Arial"/>
          <w:noProof/>
        </w:rPr>
        <w:t>(Stein et al., 2010)</w:t>
      </w:r>
      <w:r>
        <w:rPr>
          <w:rFonts w:ascii="Calibri" w:hAnsi="Calibri" w:cs="Arial"/>
        </w:rPr>
        <w:fldChar w:fldCharType="end"/>
      </w:r>
      <w:r w:rsidR="00E1380A">
        <w:rPr>
          <w:rFonts w:ascii="Calibri" w:hAnsi="Calibri" w:cs="Arial"/>
        </w:rPr>
        <w:t>. The process has been</w:t>
      </w:r>
      <w:r>
        <w:rPr>
          <w:rFonts w:ascii="Calibri" w:hAnsi="Calibri" w:cs="Arial"/>
        </w:rPr>
        <w:t xml:space="preserve"> termed ‘gymnosis’ from the Greek word</w:t>
      </w:r>
      <w:r w:rsidR="00E1380A">
        <w:rPr>
          <w:rFonts w:ascii="Calibri" w:hAnsi="Calibri" w:cs="Arial"/>
        </w:rPr>
        <w:t xml:space="preserve"> for ‘naked’</w:t>
      </w:r>
      <w:r>
        <w:rPr>
          <w:rFonts w:ascii="Calibri" w:hAnsi="Calibri" w:cs="Arial"/>
        </w:rPr>
        <w:t xml:space="preserve"> </w:t>
      </w:r>
      <w:r w:rsidR="00E1380A">
        <w:rPr>
          <w:rFonts w:ascii="Calibri" w:hAnsi="Calibri" w:cs="Arial"/>
        </w:rPr>
        <w:t>(</w:t>
      </w:r>
      <w:r>
        <w:rPr>
          <w:rFonts w:ascii="Calibri" w:hAnsi="Calibri" w:cs="Arial"/>
        </w:rPr>
        <w:t>gymnos</w:t>
      </w:r>
      <w:r w:rsidR="00E1380A">
        <w:rPr>
          <w:rFonts w:ascii="Calibri" w:hAnsi="Calibri" w:cs="Arial"/>
        </w:rPr>
        <w:t xml:space="preserve">). This is </w:t>
      </w:r>
      <w:r w:rsidR="00FA0778">
        <w:rPr>
          <w:rFonts w:ascii="Calibri" w:hAnsi="Calibri" w:cs="Arial"/>
        </w:rPr>
        <w:t>an alternative and</w:t>
      </w:r>
      <w:r>
        <w:rPr>
          <w:rFonts w:ascii="Calibri" w:hAnsi="Calibri" w:cs="Arial"/>
        </w:rPr>
        <w:t xml:space="preserve"> more efficient </w:t>
      </w:r>
      <w:r w:rsidR="00E1380A">
        <w:rPr>
          <w:rFonts w:ascii="Calibri" w:hAnsi="Calibri" w:cs="Arial"/>
        </w:rPr>
        <w:t xml:space="preserve">mechanism </w:t>
      </w:r>
      <w:r>
        <w:rPr>
          <w:rFonts w:ascii="Calibri" w:hAnsi="Calibri" w:cs="Arial"/>
        </w:rPr>
        <w:t>to ‘free uptake’ previously described for 2</w:t>
      </w:r>
      <w:r w:rsidRPr="00FE57AD">
        <w:rPr>
          <w:rFonts w:ascii="Calibri" w:hAnsi="Calibri" w:cs="Arial"/>
          <w:vertAlign w:val="superscript"/>
        </w:rPr>
        <w:t>nd</w:t>
      </w:r>
      <w:r w:rsidR="00F9350D">
        <w:rPr>
          <w:rFonts w:ascii="Calibri" w:hAnsi="Calibri" w:cs="Arial"/>
        </w:rPr>
        <w:t xml:space="preserve"> generation antisense</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"ISSN" : "0027-8424", "PMID" : "2726730", "abstract" : "Addition of antisense oligonucleotides to cell cultures has been used to specifically inhibit gene expression. We have investigated the mechanism by which oligonucleotides enter living cells. These compounds are taken up by cells in a saturable, size-dependent manner compatible with receptor-mediated endocytosis. Polynucleotides of any length are competitive inhibitors of oligomer transport, providing they possess a 5'-phosphate moiety. Using oligo(dT)-cellulose for affinity purification, we have identified an 80-kDa surface protein that may mediate transport. Knowledge of the oligonucleotide transport mechanism should facilitate the design of more effective synthetic antisense oligomers as potential clinical agents.", "author" : [ { "dropping-particle" : "", "family" : "Loke", "given" : "S L", "non-dropping-particle" : "", "parse-names" : false, "suffix" : "" }, { "dropping-particle" : "", "family" : "Stein", "given" : "C A", "non-dropping-particle" : "", "parse-names" : false, "suffix" : "" }, { "dropping-particle" : "", "family" : "Zhang", "given" : "X H", "non-dropping-particle" : "", "parse-names" : false, "suffix" : "" }, { "dropping-particle" : "", "family" : "Mori", "given" : "K", "non-dropping-particle" : "", "parse-names" : false, "suffix" : "" }, { "dropping-particle" : "", "family" : "Nakanishi", "given" : "M", "non-dropping-particle" : "", "parse-names" : false, "suffix" : "" }, { "dropping-particle" : "", "family" : "Subasinghe", "given" : "C", "non-dropping-particle" : "", "parse-names" : false, "suffix" : "" }, { "dropping-particle" : "", "family" : "Cohen", "given" : "J S", "non-dropping-particle" : "", "parse-names" : false, "suffix" : "" }, { "dropping-particle" : "", "family" : "Neckers", "given" : "L M", "non-dropping-particle" : "", "parse-names" : false, "suffix" : "" } ], "container-title" : "Proceedings of the National Academy of Sciences of the United States of America", "id" : "ITEM-1", "issue" : "10", "issued" : { "date-parts" : [ [ "1989", "5" ] ] }, "page" : "3474-8", "title" : "Characterization of oligonucleotide transport into living cells.", "type" : "article-journal", "volume" : "86" }, "uris" : [ "http://www.mendeley.com/documents/?uuid=445cf64c-68af-4874-a708-f132ca03366c" ] } ], "mendeley" : { "formattedCitation" : "(Loke et al., 1989)", "plainTextFormattedCitation" : "(Loke et al., 1989)", "previouslyFormattedCitation" : "(Loke et al., 1989)" }, "properties" : { "noteIndex" : 0 }, "schema" : "https://github.com/citation-style-language/schema/raw/master/csl-citation.json" }</w:instrText>
      </w:r>
      <w:r>
        <w:rPr>
          <w:rFonts w:ascii="Calibri" w:hAnsi="Calibri" w:cs="Arial"/>
        </w:rPr>
        <w:fldChar w:fldCharType="separate"/>
      </w:r>
      <w:r w:rsidRPr="00D43449">
        <w:rPr>
          <w:rFonts w:ascii="Calibri" w:hAnsi="Calibri" w:cs="Arial"/>
          <w:noProof/>
        </w:rPr>
        <w:t>(Loke et al., 1989)</w:t>
      </w:r>
      <w:r>
        <w:rPr>
          <w:rFonts w:ascii="Calibri" w:hAnsi="Calibri" w:cs="Arial"/>
        </w:rPr>
        <w:fldChar w:fldCharType="end"/>
      </w:r>
      <w:r>
        <w:rPr>
          <w:rFonts w:ascii="Calibri" w:hAnsi="Calibri" w:cs="Arial"/>
        </w:rPr>
        <w:t xml:space="preserve">. Crucially, activity is principally </w:t>
      </w:r>
      <w:r w:rsidR="00F9350D">
        <w:rPr>
          <w:rFonts w:ascii="Calibri" w:hAnsi="Calibri" w:cs="Arial"/>
        </w:rPr>
        <w:t xml:space="preserve">elicited </w:t>
      </w:r>
      <w:r>
        <w:rPr>
          <w:rFonts w:ascii="Calibri" w:hAnsi="Calibri" w:cs="Arial"/>
        </w:rPr>
        <w:t>in the cytosol rather than the nucleus</w:t>
      </w:r>
      <w:r w:rsidR="00F9350D">
        <w:rPr>
          <w:rFonts w:ascii="Calibri" w:hAnsi="Calibri" w:cs="Arial"/>
        </w:rPr>
        <w:t>, and</w:t>
      </w:r>
      <w:r>
        <w:rPr>
          <w:rFonts w:ascii="Calibri" w:hAnsi="Calibri" w:cs="Arial"/>
        </w:rPr>
        <w:t xml:space="preserve"> possibly via nucleases other than RNase H </w:t>
      </w:r>
      <w:r>
        <w:rPr>
          <w:rFonts w:ascii="Calibri" w:hAnsi="Calibri" w:cs="Arial"/>
        </w:rPr>
        <w:fldChar w:fldCharType="begin" w:fldLock="1"/>
      </w:r>
      <w:r>
        <w:rPr>
          <w:rFonts w:ascii="Calibri" w:hAnsi="Calibri" w:cs="Arial"/>
        </w:rPr>
        <w:instrText>ADDIN CSL_CITATION { "citationItems" : [ { "id" : "ITEM-1", "itemData" : { "DOI" : "10.1093/nar/gkv964", "ISSN" : "1362-4962", "PMID" : "26433227", "abstract" : "Antisense oligonucleotides (ASOs) are known to trigger mRNA degradation in the nucleus via an RNase H-dependent mechanism. We have now identified a putative cytoplasmic mechanism through which ASO gapmers silence their targets when transfected or delivered gymnotically (i.e. in the absence of any transfection reagent). We have shown that the ASO gapmers can interact with the Ago-2 PAZ domain and can localize into GW-182 mRNA-degradation bodies (GW-bodies). The degradation products of the targeted mRNA, however, are not generated by Ago-2-directed cleavage. The apparent identification of a cytoplasmic pathway complements the previously known nuclear activity of ASOs and concurrently suggests that nuclear localization is not an absolute requirement for gene silencing.", "author" : [ { "dropping-particle" : "", "family" : "Castanotto", "given" : "Daniela", "non-dropping-particle" : "", "parse-names" : false, "suffix" : "" }, { "dropping-particle" : "", "family" : "Lin", "given" : "Min", "non-dropping-particle" : "", "parse-names" : false, "suffix" : "" }, { "dropping-particle" : "", "family" : "Kowolik", "given" : "Claudia", "non-dropping-particle" : "", "parse-names" : false, "suffix" : "" }, { "dropping-particle" : "", "family" : "Wang", "given" : "LiAnn", "non-dropping-particle" : "", "parse-names" : false, "suffix" : "" }, { "dropping-particle" : "", "family" : "Ren", "given" : "Xiao-Qin", "non-dropping-particle" : "", "parse-names" : false, "suffix" : "" }, { "dropping-particle" : "", "family" : "Soifer", "given" : "Harris S", "non-dropping-particle" : "", "parse-names" : false, "suffix" : "" }, { "dropping-particle" : "", "family" : "Koch", "given" : "Troels", "non-dropping-particle" : "", "parse-names" : false, "suffix" : "" }, { "dropping-particle" : "", "family" : "Hansen", "given" : "Bo Rode", "non-dropping-particle" : "", "parse-names" : false, "suffix" : "" }, { "dropping-particle" : "", "family" : "Oerum", "given" : "Henrik", "non-dropping-particle" : "", "parse-names" : false, "suffix" : "" }, { "dropping-particle" : "", "family" : "Armstrong", "given" : "Brian", "non-dropping-particle" : "", "parse-names" : false, "suffix" : "" }, { "dropping-particle" : "", "family" : "Wang", "given" : "Zhigang", "non-dropping-particle" : "", "parse-names" : false, "suffix" : "" }, { "dropping-particle" : "", "family" : "Bauer", "given" : "Paul", "non-dropping-particle" : "", "parse-names" : false, "suffix" : "" }, { "dropping-particle" : "", "family" : "Rossi", "given" : "John", "non-dropping-particle" : "", "parse-names" : false, "suffix" : "" }, { "dropping-particle" : "", "family" : "Stein", "given" : "C A", "non-dropping-particle" : "", "parse-names" : false, "suffix" : "" } ], "container-title" : "Nucleic acids research", "id" : "ITEM-1", "issue" : "19", "issued" : { "date-parts" : [ [ "2015", "10", "30" ] ] }, "page" : "9350-61", "title" : "A cytoplasmic pathway for gapmer antisense oligonucleotide-mediated gene silencing in mammalian cells.", "type" : "article-journal", "volume" : "43" }, "uris" : [ "http://www.mendeley.com/documents/?uuid=9b16a1eb-71a1-429f-8e34-4d6142ab72f7" ] } ], "mendeley" : { "formattedCitation" : "(Castanotto et al., 2015)", "plainTextFormattedCitation" : "(Castanotto et al., 2015)", "previouslyFormattedCitation" : "(Castanotto et al., 2015)" }, "properties" : { "noteIndex" : 0 }, "schema" : "https://github.com/citation-style-language/schema/raw/master/csl-citation.json" }</w:instrText>
      </w:r>
      <w:r>
        <w:rPr>
          <w:rFonts w:ascii="Calibri" w:hAnsi="Calibri" w:cs="Arial"/>
        </w:rPr>
        <w:fldChar w:fldCharType="separate"/>
      </w:r>
      <w:r w:rsidRPr="00D43449">
        <w:rPr>
          <w:rFonts w:ascii="Calibri" w:hAnsi="Calibri" w:cs="Arial"/>
          <w:noProof/>
        </w:rPr>
        <w:t>(Castanotto et al., 2015)</w:t>
      </w:r>
      <w:r>
        <w:rPr>
          <w:rFonts w:ascii="Calibri" w:hAnsi="Calibri" w:cs="Arial"/>
        </w:rPr>
        <w:fldChar w:fldCharType="end"/>
      </w:r>
      <w:r>
        <w:rPr>
          <w:rFonts w:ascii="Calibri" w:hAnsi="Calibri" w:cs="Arial"/>
        </w:rPr>
        <w:t xml:space="preserve">. It remains to be elucidated if this is a feature of </w:t>
      </w:r>
      <w:r w:rsidR="00186357">
        <w:rPr>
          <w:rFonts w:ascii="Calibri" w:hAnsi="Calibri" w:cs="Arial"/>
        </w:rPr>
        <w:t xml:space="preserve">all </w:t>
      </w:r>
      <w:r>
        <w:rPr>
          <w:rFonts w:ascii="Calibri" w:hAnsi="Calibri" w:cs="Arial"/>
        </w:rPr>
        <w:t>3</w:t>
      </w:r>
      <w:r w:rsidRPr="00510287">
        <w:rPr>
          <w:rFonts w:ascii="Calibri" w:hAnsi="Calibri" w:cs="Arial"/>
          <w:vertAlign w:val="superscript"/>
        </w:rPr>
        <w:t>rd</w:t>
      </w:r>
      <w:r>
        <w:rPr>
          <w:rFonts w:ascii="Calibri" w:hAnsi="Calibri" w:cs="Arial"/>
        </w:rPr>
        <w:t xml:space="preserve"> generation ASO, LNA-modified ASO alone, or an observation</w:t>
      </w:r>
      <w:r w:rsidR="00571E36">
        <w:rPr>
          <w:rFonts w:ascii="Calibri" w:hAnsi="Calibri" w:cs="Arial"/>
        </w:rPr>
        <w:t xml:space="preserve"> relevant to </w:t>
      </w:r>
      <w:r w:rsidR="00571E36">
        <w:rPr>
          <w:rFonts w:ascii="Calibri" w:hAnsi="Calibri" w:cs="Arial"/>
          <w:i/>
        </w:rPr>
        <w:t xml:space="preserve">in vitro </w:t>
      </w:r>
      <w:r w:rsidR="00571E36">
        <w:rPr>
          <w:rFonts w:ascii="Calibri" w:hAnsi="Calibri" w:cs="Arial"/>
        </w:rPr>
        <w:t>studies only</w:t>
      </w:r>
      <w:r>
        <w:rPr>
          <w:rFonts w:ascii="Calibri" w:hAnsi="Calibri" w:cs="Arial"/>
        </w:rPr>
        <w:t xml:space="preserve">. Nonetheless, </w:t>
      </w:r>
      <w:r w:rsidRPr="00984900">
        <w:rPr>
          <w:rFonts w:ascii="Calibri" w:hAnsi="Calibri" w:cs="Arial"/>
          <w:lang w:val="en-GB"/>
        </w:rPr>
        <w:t>2,2,7-trimethylguanosine cap</w:t>
      </w:r>
      <w:r>
        <w:rPr>
          <w:rFonts w:ascii="Calibri" w:hAnsi="Calibri" w:cs="Arial"/>
          <w:lang w:val="en-GB"/>
        </w:rPr>
        <w:t xml:space="preserve">s could enable nuclear </w:t>
      </w:r>
      <w:r w:rsidR="00F9350D">
        <w:rPr>
          <w:rFonts w:ascii="Calibri" w:hAnsi="Calibri" w:cs="Arial"/>
          <w:lang w:val="en-GB"/>
        </w:rPr>
        <w:t xml:space="preserve">targeting </w:t>
      </w:r>
      <w:r>
        <w:rPr>
          <w:rFonts w:ascii="Calibri" w:hAnsi="Calibri" w:cs="Arial"/>
          <w:lang w:val="en-GB"/>
        </w:rPr>
        <w:t>if necessary</w:t>
      </w:r>
      <w:r w:rsidR="00F9350D">
        <w:rPr>
          <w:rFonts w:ascii="Calibri" w:hAnsi="Calibri" w:cs="Arial"/>
          <w:lang w:val="en-GB"/>
        </w:rPr>
        <w:t xml:space="preserve"> </w:t>
      </w:r>
      <w:r w:rsidR="00F9350D">
        <w:rPr>
          <w:rFonts w:ascii="Calibri" w:hAnsi="Calibri" w:cs="Arial"/>
          <w:lang w:val="en-GB"/>
        </w:rPr>
        <w:fldChar w:fldCharType="begin" w:fldLock="1"/>
      </w:r>
      <w:r w:rsidR="00F9350D">
        <w:rPr>
          <w:rFonts w:ascii="Calibri" w:hAnsi="Calibri" w:cs="Arial"/>
          <w:lang w:val="en-GB"/>
        </w:rPr>
        <w:instrText>ADDIN CSL_CITATION { "citationItems" : [ { "id" : "ITEM-1", "itemData" : { "DOI" : "10.1093/nar/gkp048", "ISSN" : "1362-4962", "PMID" : "19208638", "abstract" : "Accessing the nucleus through the surrounding membrane poses one of the major obstacles for therapeutic molecules large enough to be excluded due to nuclear pore size limits. In some therapeutic applications the large size of some nucleic acids, like plasmid DNA, hampers their access to the nuclear compartment. However, also for small oligonucleotides, achieving higher nuclear concentrations could be of great benefit. We report on the synthesis and possible applications of a natural RNA 5'-end nuclear localization signal composed of a 2,2,7-trimethylguanosine cap (m(3)G-CAP). The cap is found in the small nuclear RNAs that are constitutive part of the small nuclear ribonucleoprotein complexes involved in nuclear splicing. We demonstrate the use of the m(3)G signal as an adaptor that can be attached to different oligonucleotides, thereby conferring nuclear targeting capabilities with capacity to transport large-size cargo molecules. The synthetic capping of oligos interfering with splicing may have immediate clinical applications.", "author" : [ { "dropping-particle" : "", "family" : "Moreno", "given" : "Pedro M D", "non-dropping-particle" : "", "parse-names" : false, "suffix" : "" }, { "dropping-particle" : "", "family" : "Wenska", "given" : "Malgorzata", "non-dropping-particle" : "", "parse-names" : false, "suffix" : "" }, { "dropping-particle" : "", "family" : "Lundin", "given" : "Karin E", "non-dropping-particle" : "", "parse-names" : false, "suffix" : "" }, { "dropping-particle" : "", "family" : "Wrange", "given" : "Orjan", "non-dropping-particle" : "", "parse-names" : false, "suffix" : "" }, { "dropping-particle" : "", "family" : "Str\u00f6mberg", "given" : "Roger", "non-dropping-particle" : "", "parse-names" : false, "suffix" : "" }, { "dropping-particle" : "", "family" : "Smith", "given" : "C I Edvard", "non-dropping-particle" : "", "parse-names" : false, "suffix" : "" } ], "container-title" : "Nucleic acids research", "id" : "ITEM-1", "issue" : "6", "issued" : { "date-parts" : [ [ "2009", "5" ] ] }, "page" : "1925-35", "title" : "A synthetic snRNA m3G-CAP enhances nuclear delivery of exogenous proteins and nucleic acids.", "type" : "article-journal", "volume" : "37" }, "uris" : [ "http://www.mendeley.com/documents/?uuid=9b113e76-f3a6-4444-9779-ecfa860c84fd" ] } ], "mendeley" : { "formattedCitation" : "(Moreno et al., 2009)", "plainTextFormattedCitation" : "(Moreno et al., 2009)", "previouslyFormattedCitation" : "(Moreno et al., 2009)" }, "properties" : { "noteIndex" : 0 }, "schema" : "https://github.com/citation-style-language/schema/raw/master/csl-citation.json" }</w:instrText>
      </w:r>
      <w:r w:rsidR="00F9350D">
        <w:rPr>
          <w:rFonts w:ascii="Calibri" w:hAnsi="Calibri" w:cs="Arial"/>
          <w:lang w:val="en-GB"/>
        </w:rPr>
        <w:fldChar w:fldCharType="separate"/>
      </w:r>
      <w:r w:rsidR="00F9350D" w:rsidRPr="00984900">
        <w:rPr>
          <w:rFonts w:ascii="Calibri" w:hAnsi="Calibri" w:cs="Arial"/>
          <w:noProof/>
          <w:lang w:val="en-GB"/>
        </w:rPr>
        <w:t>(Moreno et al., 2009)</w:t>
      </w:r>
      <w:r w:rsidR="00F9350D">
        <w:rPr>
          <w:rFonts w:ascii="Calibri" w:hAnsi="Calibri" w:cs="Arial"/>
          <w:lang w:val="en-GB"/>
        </w:rPr>
        <w:fldChar w:fldCharType="end"/>
      </w:r>
      <w:r>
        <w:rPr>
          <w:rFonts w:ascii="Calibri" w:hAnsi="Calibri" w:cs="Arial"/>
          <w:lang w:val="en-GB"/>
        </w:rPr>
        <w:t xml:space="preserve">. </w:t>
      </w:r>
      <w:r w:rsidR="0011158C" w:rsidRPr="0011158C">
        <w:rPr>
          <w:rFonts w:ascii="Calibri" w:hAnsi="Calibri" w:cs="Arial"/>
        </w:rPr>
        <w:t>P</w:t>
      </w:r>
      <w:r w:rsidR="0011158C">
        <w:rPr>
          <w:rFonts w:ascii="Calibri" w:hAnsi="Calibri" w:cs="Arial"/>
        </w:rPr>
        <w:t>resently, p</w:t>
      </w:r>
      <w:r w:rsidR="0011158C" w:rsidRPr="0034141D">
        <w:rPr>
          <w:rFonts w:ascii="Calibri" w:hAnsi="Calibri" w:cs="Arial"/>
        </w:rPr>
        <w:t xml:space="preserve">hosphorothioate LNA ASO have been shown to associate mainly with the liver and kidney </w:t>
      </w:r>
      <w:r w:rsidR="0011158C" w:rsidRPr="0034141D">
        <w:rPr>
          <w:rFonts w:ascii="Calibri" w:hAnsi="Calibri" w:cs="Arial"/>
        </w:rPr>
        <w:fldChar w:fldCharType="begin" w:fldLock="1"/>
      </w:r>
      <w:r w:rsidR="0011158C" w:rsidRPr="0034141D">
        <w:rPr>
          <w:rFonts w:ascii="Calibri" w:hAnsi="Calibri" w:cs="Arial"/>
        </w:rPr>
        <w:instrText>ADDIN CSL_CITATION { "citationItems" : [ { "id" : "ITEM-1", "itemData" : { "DOI" : "10.1093/nar/gkq457", "ISSN" : "1362-4962", "PMID" : "20615897", "abstract" : "The potency and specificity of locked nucleic acid (LNA) antisense oligonucleotides was investigated as a function of length and affinity. The oligonucleotides were designed to target apolipoprotein B (apoB) and were investigated both in vitro and in vivo. The high affinity of LNA enabled the design of short antisense oligonucleotides (12- to 13-mers) that possessed high affinity and increased potency both in vitro and in vivo compared to longer oligonucleotides. The short LNA oligonucleotides were more target specific, and they exhibited the same biodistribution and tissue half-life as longer oligonucleotides. Pharmacology studies in both mice and non-human primates were conducted with a 13-mer LNA oligonucleotide against apoB, and the data showed that repeated dosing of the 13-mer at 1-2 mg/kg/week was sufficient to provide a significant and long lasting lowering of non-high-density lipoprotein (non-HDL) cholesterol without increasing serum liver toxicity markers. The data presented here show that oligonucleotide length as a parameter needs to be considered in the design of antisense oligonucleotide and that potent short oligonucleotides with sufficient target affinity can be generated using the LNA chemistry. Conclusively, we present a 13-mer LNA oligonucleotide with therapeutic potential that produce beneficial cholesterol lowering effect in non-human primates.", "author" : [ { "dropping-particle" : "", "family" : "Straarup", "given" : "Ellen Marie", "non-dropping-particle" : "", "parse-names" : false, "suffix" : "" }, { "dropping-particle" : "", "family" : "Fisker", "given" : "Niels", "non-dropping-particle" : "", "parse-names" : false, "suffix" : "" }, { "dropping-particle" : "", "family" : "Hedtj\u00e4rn", "given" : "Maj", "non-dropping-particle" : "", "parse-names" : false, "suffix" : "" }, { "dropping-particle" : "", "family" : "Lindholm", "given" : "Marie W", "non-dropping-particle" : "", "parse-names" : false, "suffix" : "" }, { "dropping-particle" : "", "family" : "Rosenbohm", "given" : "Christoph", "non-dropping-particle" : "", "parse-names" : false, "suffix" : "" }, { "dropping-particle" : "", "family" : "Aarup", "given" : "Vibeke", "non-dropping-particle" : "", "parse-names" : false, "suffix" : "" }, { "dropping-particle" : "", "family" : "Hansen", "given" : "Henrik Frydenlund", "non-dropping-particle" : "", "parse-names" : false, "suffix" : "" }, { "dropping-particle" : "", "family" : "\u00d8rum", "given" : "Henrik", "non-dropping-particle" : "", "parse-names" : false, "suffix" : "" }, { "dropping-particle" : "", "family" : "Hansen", "given" : "Jens B Rode", "non-dropping-particle" : "", "parse-names" : false, "suffix" : "" }, { "dropping-particle" : "", "family" : "Koch", "given" : "Troels", "non-dropping-particle" : "", "parse-names" : false, "suffix" : "" } ], "container-title" : "Nucleic acids research", "id" : "ITEM-1", "issue" : "20", "issued" : { "date-parts" : [ [ "2010", "12" ] ] }, "page" : "7100-11", "title" : "Short locked nucleic acid antisense oligonucleotides potently reduce apolipoprotein B mRNA and serum cholesterol in mice and non-human primates.", "type" : "article-journal", "volume" : "38" }, "uris" : [ "http://www.mendeley.com/documents/?uuid=3816bfdf-28bd-47a7-a7d4-1051959108cd" ] } ], "mendeley" : { "formattedCitation" : "(Straarup et al., 2010)", "plainTextFormattedCitation" : "(Straarup et al., 2010)", "previouslyFormattedCitation" : "(Straarup et al., 2010)" }, "properties" : { "noteIndex" : 0 }, "schema" : "https://github.com/citation-style-language/schema/raw/master/csl-citation.json" }</w:instrText>
      </w:r>
      <w:r w:rsidR="0011158C" w:rsidRPr="0034141D">
        <w:rPr>
          <w:rFonts w:ascii="Calibri" w:hAnsi="Calibri" w:cs="Arial"/>
        </w:rPr>
        <w:fldChar w:fldCharType="separate"/>
      </w:r>
      <w:r w:rsidR="0011158C" w:rsidRPr="0034141D">
        <w:rPr>
          <w:rFonts w:ascii="Calibri" w:hAnsi="Calibri" w:cs="Arial"/>
          <w:noProof/>
        </w:rPr>
        <w:t>(Straarup et al., 2010)</w:t>
      </w:r>
      <w:r w:rsidR="0011158C" w:rsidRPr="0034141D">
        <w:rPr>
          <w:rFonts w:ascii="Calibri" w:hAnsi="Calibri" w:cs="Arial"/>
        </w:rPr>
        <w:fldChar w:fldCharType="end"/>
      </w:r>
      <w:r w:rsidR="0011158C" w:rsidRPr="0034141D">
        <w:rPr>
          <w:rFonts w:ascii="Calibri" w:hAnsi="Calibri" w:cs="Arial"/>
        </w:rPr>
        <w:t xml:space="preserve"> and </w:t>
      </w:r>
      <w:r w:rsidR="0011158C">
        <w:rPr>
          <w:rFonts w:ascii="Calibri" w:hAnsi="Calibri" w:cs="Arial"/>
        </w:rPr>
        <w:t xml:space="preserve">have been </w:t>
      </w:r>
      <w:r w:rsidR="0011158C" w:rsidRPr="0034141D">
        <w:rPr>
          <w:rFonts w:ascii="Calibri" w:hAnsi="Calibri" w:cs="Arial"/>
        </w:rPr>
        <w:t>suggested to bind onto the</w:t>
      </w:r>
      <w:r w:rsidR="0011158C">
        <w:rPr>
          <w:rFonts w:ascii="Calibri" w:hAnsi="Calibri" w:cs="Arial"/>
        </w:rPr>
        <w:t>ir</w:t>
      </w:r>
      <w:r w:rsidR="0011158C" w:rsidRPr="0034141D">
        <w:rPr>
          <w:rFonts w:ascii="Calibri" w:hAnsi="Calibri" w:cs="Arial"/>
        </w:rPr>
        <w:t xml:space="preserve"> intended pharmacological target to exert the expected MOA in up to phase IIb clinical studies </w:t>
      </w:r>
      <w:r w:rsidR="0011158C" w:rsidRPr="0034141D">
        <w:rPr>
          <w:rFonts w:ascii="Calibri" w:hAnsi="Calibri" w:cs="Arial"/>
        </w:rPr>
        <w:fldChar w:fldCharType="begin" w:fldLock="1"/>
      </w:r>
      <w:r w:rsidR="0011158C" w:rsidRPr="0034141D">
        <w:rPr>
          <w:rFonts w:ascii="Calibri" w:hAnsi="Calibri" w:cs="Arial"/>
        </w:rPr>
        <w:instrText>ADDIN CSL_CITATION { "citationItems" : [ { "id" : "ITEM-1", "itemData" : { "DOI" : "10.1016/j.antiviral.2014.08.015", "ISSN" : "1872-9096", "PMID" : "25218783", "abstract" : "BACKGROUND AND AIMS: MicroRNA-122 (miR-122) is an important host factor for hepatitis C virus (HCV) and promotes HCV RNA accumulation. Decreased intra-hepatic levels of miR-122 were observed in patients with hepatocellular carcinoma, suggesting a potential role of miR-122 in the development of HCC. Miravirsen targets miR-122 and resulted in a dose dependent and prolonged decrease of HCV RNA levels in chronic hepatitis C patients. The aim of this study was to establish the sustained virological response rate to peginterferon (P) and ribavirin (R) following miravirsen dosing and to assess long-term safety in patients treated with miravirsen.\n\nMETHODS: In this multicenter, retrospective follow-up study we included 36 treatment na\u00efve patients with chronic hepatitis C genotype 1 who received five weekly subcutaneous injections with miravirsen or placebo over a 29-day period in a phase 2a study. Patients were offered PR therapy 3weeks (3mg/kg group) or 6weeks (5 or 7mg/kg group) after completion of miravirsen or placebo dosing.\n\nRESULTS: PR therapy was started in 14/36 patients of whom 12 had received miravirsen. SVR was achieved in 7/12 patients previously dosed with miravirsen. All patients dosed with 7mg/kg miravirsen who were subsequently treated with PR achieved SVR. One patient had a prolonged undetectable HCV RNA period from week 14 to week 29 after baseline without subsequent antiviral therapy and relapsed thereafter. None of the patients treated with anti-miR-122 developed HCC or other liver-related complications.\n\nCONCLUSION: No long-term safety issues were observed among 27 miravirsen-treated patients. Targeting miR-122 may be an effective and safe treatment strategy for HCV infection and should be investigated in larger clinical trials.", "author" : [ { "dropping-particle" : "", "family" : "Ree", "given" : "Meike H", "non-dropping-particle" : "van der", "parse-names" : false, "suffix" : "" }, { "dropping-particle" : "", "family" : "Meer", "given" : "Adriaan J", "non-dropping-particle" : "van der", "parse-names" : false, "suffix" : "" }, { "dropping-particle" : "", "family" : "Bruijne", "given" : "Joep", "non-dropping-particle" : "de", "parse-names" : false, "suffix" : "" }, { "dropping-particle" : "", "family" : "Maan", "given" : "Raoel", "non-dropping-particle" : "", "parse-names" : false, "suffix" : "" }, { "dropping-particle" : "", "family" : "Vliet", "given" : "Andre", "non-dropping-particle" : "van", "parse-names" : false, "suffix" : "" }, { "dropping-particle" : "", "family" : "Welzel", "given" : "Tania M", "non-dropping-particle" : "", "parse-names" : false, "suffix" : "" }, { "dropping-particle" : "", "family" : "Zeuzem", "given" : "Stefan", "non-dropping-particle" : "", "parse-names" : false, "suffix" : "" }, { "dropping-particle" : "", "family" : "Lawitz", "given" : "Eric J", "non-dropping-particle" : "", "parse-names" : false, "suffix" : "" }, { "dropping-particle" : "", "family" : "Rodriguez-Torres", "given" : "Maribel", "non-dropping-particle" : "", "parse-names" : false, "suffix" : "" }, { "dropping-particle" : "", "family" : "Kupcova", "given" : "Viera", "non-dropping-particle" : "", "parse-names" : false, "suffix" : "" }, { "dropping-particle" : "", "family" : "Wiercinska-Drapalo", "given" : "Alcija", "non-dropping-particle" : "", "parse-names" : false, "suffix" : "" }, { "dropping-particle" : "", "family" : "Hodges", "given" : "Michael R", "non-dropping-particle" : "", "parse-names" : false, "suffix" : "" }, { "dropping-particle" : "", "family" : "Janssen", "given" : "Harry L A", "non-dropping-particle" : "", "parse-names" : false, "suffix" : "" }, { "dropping-particle" : "", "family" : "Reesink", "given" : "Hendrik W", "non-dropping-particle" : "", "parse-names" : false, "suffix" : "" } ], "container-title" : "Antiviral research", "id" : "ITEM-1", "issued" : { "date-parts" : [ [ "2014", "11" ] ] }, "page" : "53-9", "title" : "Long-term safety and efficacy of microRNA-targeted therapy in chronic hepatitis C patients.", "type" : "article-journal", "volume" : "111" }, "uris" : [ "http://www.mendeley.com/documents/?uuid=e605a424-3e59-490e-ba6c-e14155e90d6e" ] } ], "mendeley" : { "formattedCitation" : "(van der Ree et al., 2014)", "plainTextFormattedCitation" : "(van der Ree et al., 2014)", "previouslyFormattedCitation" : "(van der Ree et al., 2014)" }, "properties" : { "noteIndex" : 0 }, "schema" : "https://github.com/citation-style-language/schema/raw/master/csl-citation.json" }</w:instrText>
      </w:r>
      <w:r w:rsidR="0011158C" w:rsidRPr="0034141D">
        <w:rPr>
          <w:rFonts w:ascii="Calibri" w:hAnsi="Calibri" w:cs="Arial"/>
        </w:rPr>
        <w:fldChar w:fldCharType="separate"/>
      </w:r>
      <w:r w:rsidR="0011158C" w:rsidRPr="0034141D">
        <w:rPr>
          <w:rFonts w:ascii="Calibri" w:hAnsi="Calibri" w:cs="Arial"/>
          <w:noProof/>
        </w:rPr>
        <w:t>(van der Ree et al., 2014)</w:t>
      </w:r>
      <w:r w:rsidR="0011158C" w:rsidRPr="0034141D">
        <w:rPr>
          <w:rFonts w:ascii="Calibri" w:hAnsi="Calibri" w:cs="Arial"/>
        </w:rPr>
        <w:fldChar w:fldCharType="end"/>
      </w:r>
      <w:r w:rsidR="0011158C" w:rsidRPr="0034141D">
        <w:rPr>
          <w:rFonts w:ascii="Calibri" w:hAnsi="Calibri" w:cs="Arial"/>
        </w:rPr>
        <w:t xml:space="preserve">. </w:t>
      </w:r>
      <w:r w:rsidR="0011158C">
        <w:rPr>
          <w:rFonts w:ascii="Calibri" w:hAnsi="Calibri" w:cs="Arial"/>
        </w:rPr>
        <w:t xml:space="preserve">This has encouraged acquisition of the technology by Roche. </w:t>
      </w:r>
      <w:r w:rsidR="0011158C" w:rsidRPr="0034141D">
        <w:rPr>
          <w:rFonts w:ascii="Calibri" w:hAnsi="Calibri" w:cs="Arial"/>
        </w:rPr>
        <w:t xml:space="preserve">However, both precursors and mature miRNA might be targeted by this approach </w:t>
      </w:r>
      <w:r w:rsidR="0011158C" w:rsidRPr="0034141D">
        <w:rPr>
          <w:rFonts w:ascii="Calibri" w:hAnsi="Calibri" w:cs="Arial"/>
        </w:rPr>
        <w:fldChar w:fldCharType="begin" w:fldLock="1"/>
      </w:r>
      <w:r w:rsidR="0011158C" w:rsidRPr="0034141D">
        <w:rPr>
          <w:rFonts w:ascii="Calibri" w:hAnsi="Calibri" w:cs="Arial"/>
        </w:rPr>
        <w:instrText>ADDIN CSL_CITATION { "citationItems" : [ { "id" : "ITEM-1", "itemData" : { "DOI" : "10.1093/nar/gkt852", "ISSN" : "0305-1048", "PMID" : "24068553", "abstract" : "MicroRNAs (miRNAs) are short noncoding RNAs, which bind to messenger RNAs and regulate protein expression. The biosynthesis of miRNAs includes two precursors, a primary miRNA transcript (pri-miRNA) and a shorter pre-miRNA, both of which carry a common stem-loop bearing the mature miRNA. MiR-122 is a liver-specific miRNA with an important role in the life cycle of hepatitis C virus (HCV). It is the target of miravirsen (SPC3649), an antimiR drug candidate currently in clinical testing for treatment of HCV infections. Miravirsen is composed of locked nucleic acid (LNAs) ribonucleotides interspaced throughout a DNA phosphorothioate sequence complementary to mature miR-122. The LNA modifications endow the drug with high affinity for its target and provide resistance to nuclease degradation. While miravirsen is thought to work mainly by hybridizing to mature miR-122 and blocking its interaction with HCV RNA, its target sequence is also present in pri- and pre-miR-122. Using new in vitro and cellular assays specifically developed to discover ligands that suppress biogenesis of miR-122, we show that miravirsen binds to the stem-loop structure of pri- and pre-miR-122 with nanomolar affinity, and inhibits both Dicer- and Drosha-mediated processing of miR-122 precursors. This inhibition may contribute to the pharmacological activity of the drug in man.", "author" : [ { "dropping-particle" : "", "family" : "Gebert", "given" : "L. F. R.", "non-dropping-particle" : "", "parse-names" : false, "suffix" : "" }, { "dropping-particle" : "", "family" : "Rebhan", "given" : "M. A. E.", "non-dropping-particle" : "", "parse-names" : false, "suffix" : "" }, { "dropping-particle" : "", "family" : "Crivelli", "given" : "S. E. M.", "non-dropping-particle" : "", "parse-names" : false, "suffix" : "" }, { "dropping-particle" : "", "family" : "Denzler", "given" : "R.", "non-dropping-particle" : "", "parse-names" : false, "suffix" : "" }, { "dropping-particle" : "", "family" : "Stoffel", "given" : "M.", "non-dropping-particle" : "", "parse-names" : false, "suffix" : "" }, { "dropping-particle" : "", "family" : "Hall", "given" : "J.", "non-dropping-particle" : "", "parse-names" : false, "suffix" : "" } ], "container-title" : "Nucleic Acids Research", "id" : "ITEM-1", "issue" : "1", "issued" : { "date-parts" : [ [ "2013", "9", "24" ] ] }, "page" : "609-621", "title" : "Miravirsen (SPC3649) can inhibit the biogenesis of miR-122", "type" : "article-journal", "volume" : "42" }, "uris" : [ "http://www.mendeley.com/documents/?uuid=0d06f658-6204-4d8c-9b0e-e35a6db4df22" ] } ], "mendeley" : { "formattedCitation" : "(Gebert et al., 2013)", "plainTextFormattedCitation" : "(Gebert et al., 2013)", "previouslyFormattedCitation" : "(Gebert et al., 2013)" }, "properties" : { "noteIndex" : 0 }, "schema" : "https://github.com/citation-style-language/schema/raw/master/csl-citation.json" }</w:instrText>
      </w:r>
      <w:r w:rsidR="0011158C" w:rsidRPr="0034141D">
        <w:rPr>
          <w:rFonts w:ascii="Calibri" w:hAnsi="Calibri" w:cs="Arial"/>
        </w:rPr>
        <w:fldChar w:fldCharType="separate"/>
      </w:r>
      <w:r w:rsidR="0011158C" w:rsidRPr="0034141D">
        <w:rPr>
          <w:rFonts w:ascii="Calibri" w:hAnsi="Calibri" w:cs="Arial"/>
          <w:noProof/>
        </w:rPr>
        <w:t>(Gebert et al., 2013)</w:t>
      </w:r>
      <w:r w:rsidR="0011158C" w:rsidRPr="0034141D">
        <w:rPr>
          <w:rFonts w:ascii="Calibri" w:hAnsi="Calibri" w:cs="Arial"/>
        </w:rPr>
        <w:fldChar w:fldCharType="end"/>
      </w:r>
      <w:r w:rsidR="0011158C" w:rsidRPr="0034141D">
        <w:rPr>
          <w:rFonts w:ascii="Calibri" w:hAnsi="Calibri" w:cs="Arial"/>
        </w:rPr>
        <w:t xml:space="preserve"> and</w:t>
      </w:r>
      <w:r w:rsidR="00503884">
        <w:rPr>
          <w:rFonts w:ascii="Calibri" w:hAnsi="Calibri" w:cs="Arial"/>
        </w:rPr>
        <w:t>, more importantly,</w:t>
      </w:r>
      <w:r w:rsidR="0011158C" w:rsidRPr="0034141D">
        <w:rPr>
          <w:rFonts w:ascii="Calibri" w:hAnsi="Calibri" w:cs="Arial"/>
        </w:rPr>
        <w:t xml:space="preserve"> the methods used to evidence target engagement </w:t>
      </w:r>
      <w:r w:rsidR="0011158C" w:rsidRPr="0034141D">
        <w:rPr>
          <w:rFonts w:ascii="Calibri" w:hAnsi="Calibri" w:cs="Arial"/>
          <w:i/>
        </w:rPr>
        <w:t xml:space="preserve">in vivo </w:t>
      </w:r>
      <w:r w:rsidR="0011158C">
        <w:rPr>
          <w:rFonts w:ascii="Calibri" w:hAnsi="Calibri" w:cs="Arial"/>
          <w:i/>
        </w:rPr>
        <w:fldChar w:fldCharType="begin" w:fldLock="1"/>
      </w:r>
      <w:r w:rsidR="00353305">
        <w:rPr>
          <w:rFonts w:ascii="Calibri" w:hAnsi="Calibri" w:cs="Arial"/>
          <w:i/>
        </w:rPr>
        <w:instrText>ADDIN CSL_CITATION { "citationItems" : [ { "id" : "ITEM-1", "itemData" : { "DOI" : "10.1093/nar/gkm1113", "ISSN" : "1362-4962", "PMID" : "18158304", "abstract" : "MicroRNA-122 (miR-122) is an abundant liver-specific miRNA, implicated in fatty acid and cholesterol metabolism as well as hepatitis C viral replication. Here, we report that a systemically administered 16-nt, unconjugated LNA (locked nucleic acid)-antimiR oligonucleotide complementary to the 5' end of miR-122 leads to specific, dose-dependent silencing of miR-122 and shows no hepatotoxicity in mice. Antagonism of miR-122 is due to formation of stable heteroduplexes between the LNA-antimiR and miR-122 as detected by northern analysis. Fluorescence in situ hybridization demonstrated uptake of the LNA-antimiR in mouse liver cells, which was accompanied by markedly reduced hybridization signals for mature miR-122 in treated mice. Functional antagonism of miR-122 was inferred from a low cholesterol phenotype and de-repression within 24 h of 199 liver mRNAs showing significant enrichment for miR-122 seed matches in their 3' UTRs. Expression profiling extended to 3 weeks after the last LNA-antimiR dose revealed that most of the changes in liver gene expression were normalized to saline control levels coinciding with normalized miR-122 and plasma cholesterol levels. Combined, these data suggest that miRNA antagonists comprised of LNA are valuable tools for identifying miRNA targets in vivo and for studying the biological role of miRNAs and miRNA-associated gene-regulatory networks in a physiological context.", "author" : [ { "dropping-particle" : "", "family" : "Elm\u00e9n", "given" : "Joacim", "non-dropping-particle" : "", "parse-names" : false, "suffix" : "" }, { "dropping-particle" : "", "family" : "Lindow", "given" : "Morten", "non-dropping-particle" : "", "parse-names" : false, "suffix" : "" }, { "dropping-particle" : "", "family" : "Silahtaroglu", "given" : "Asli", "non-dropping-particle" : "", "parse-names" : false, "suffix" : "" }, { "dropping-particle" : "", "family" : "Bak", "given" : "Mads", "non-dropping-particle" : "", "parse-names" : false, "suffix" : "" }, { "dropping-particle" : "", "family" : "Christensen", "given" : "Mette", "non-dropping-particle" : "", "parse-names" : false, "suffix" : "" }, { "dropping-particle" : "", "family" : "Lind-Thomsen", "given" : "Allan", "non-dropping-particle" : "", "parse-names" : false, "suffix" : "" }, { "dropping-particle" : "", "family" : "Hedtj\u00e4rn", "given" : "Maj", "non-dropping-particle" : "", "parse-names" : false, "suffix" : "" }, { "dropping-particle" : "", "family" : "Hansen", "given" : "Jens Bo", "non-dropping-particle" : "", "parse-names" : false, "suffix" : "" }, { "dropping-particle" : "", "family" : "Hansen", "given" : "Henrik Frydenlund", "non-dropping-particle" : "", "parse-names" : false, "suffix" : "" }, { "dropping-particle" : "", "family" : "Straarup", "given" : "Ellen Marie", "non-dropping-particle" : "", "parse-names" : false, "suffix" : "" }, { "dropping-particle" : "", "family" : "McCullagh", "given" : "Keith", "non-dropping-particle" : "", "parse-names" : false, "suffix" : "" }, { "dropping-particle" : "", "family" : "Kearney", "given" : "Phil", "non-dropping-particle" : "", "parse-names" : false, "suffix" : "" }, { "dropping-particle" : "", "family" : "Kauppinen", "given" : "Sakari", "non-dropping-particle" : "", "parse-names" : false, "suffix" : "" } ], "container-title" : "Nucleic acids research", "id" : "ITEM-1", "issue" : "4", "issued" : { "date-parts" : [ [ "2008", "3" ] ] }, "page" : "1153-62", "title" : "Antagonism of microRNA-122 in mice by systemically administered LNA-antimiR leads to up-regulation of a large set of predicted target mRNAs in the liver.", "type" : "article-journal", "volume" : "36" }, "uris" : [ "http://www.mendeley.com/documents/?uuid=e168d27b-0e8f-46e8-9878-7848d9641a84" ] } ], "mendeley" : { "formattedCitation" : "(Elm\u00e9n, Lindow, Silahtaroglu, et al., 2008)", "plainTextFormattedCitation" : "(Elm\u00e9n, Lindow, Silahtaroglu, et al., 2008)", "previouslyFormattedCitation" : "(Elm\u00e9n, Lindow, Silahtaroglu, et al., 2008)" }, "properties" : { "noteIndex" : 0 }, "schema" : "https://github.com/citation-style-language/schema/raw/master/csl-citation.json" }</w:instrText>
      </w:r>
      <w:r w:rsidR="0011158C">
        <w:rPr>
          <w:rFonts w:ascii="Calibri" w:hAnsi="Calibri" w:cs="Arial"/>
          <w:i/>
        </w:rPr>
        <w:fldChar w:fldCharType="separate"/>
      </w:r>
      <w:r w:rsidR="0011158C" w:rsidRPr="0011158C">
        <w:rPr>
          <w:rFonts w:ascii="Calibri" w:hAnsi="Calibri" w:cs="Arial"/>
          <w:noProof/>
        </w:rPr>
        <w:t>(Elmén, Lindow, Silahtaroglu, et al., 2008)</w:t>
      </w:r>
      <w:r w:rsidR="0011158C">
        <w:rPr>
          <w:rFonts w:ascii="Calibri" w:hAnsi="Calibri" w:cs="Arial"/>
          <w:i/>
        </w:rPr>
        <w:fldChar w:fldCharType="end"/>
      </w:r>
      <w:r w:rsidR="0011158C">
        <w:rPr>
          <w:rFonts w:ascii="Calibri" w:hAnsi="Calibri" w:cs="Arial"/>
          <w:i/>
        </w:rPr>
        <w:t xml:space="preserve"> </w:t>
      </w:r>
      <w:r w:rsidR="0011158C" w:rsidRPr="0034141D">
        <w:rPr>
          <w:rFonts w:ascii="Calibri" w:hAnsi="Calibri" w:cs="Arial"/>
        </w:rPr>
        <w:t xml:space="preserve">could </w:t>
      </w:r>
      <w:r w:rsidR="00503884">
        <w:rPr>
          <w:rFonts w:ascii="Calibri" w:hAnsi="Calibri" w:cs="Arial"/>
        </w:rPr>
        <w:t xml:space="preserve">result to </w:t>
      </w:r>
      <w:r w:rsidR="0011158C" w:rsidRPr="0034141D">
        <w:rPr>
          <w:rFonts w:ascii="Calibri" w:hAnsi="Calibri" w:cs="Arial"/>
        </w:rPr>
        <w:t>artifacts of cell association carrying through tissue homogenization and high affinity nucleic acid purification</w:t>
      </w:r>
      <w:r w:rsidR="0011158C">
        <w:rPr>
          <w:rFonts w:ascii="Calibri" w:hAnsi="Calibri" w:cs="Arial"/>
        </w:rPr>
        <w:t xml:space="preserve">, </w:t>
      </w:r>
      <w:r w:rsidR="0011158C" w:rsidRPr="00D450D2">
        <w:rPr>
          <w:rFonts w:ascii="Calibri" w:hAnsi="Calibri" w:cs="Arial"/>
        </w:rPr>
        <w:t xml:space="preserve">rather than </w:t>
      </w:r>
      <w:r w:rsidR="0011158C">
        <w:rPr>
          <w:rFonts w:ascii="Calibri" w:hAnsi="Calibri" w:cs="Arial"/>
        </w:rPr>
        <w:t xml:space="preserve">true </w:t>
      </w:r>
      <w:r w:rsidR="0011158C" w:rsidRPr="00D450D2">
        <w:rPr>
          <w:rFonts w:ascii="Calibri" w:hAnsi="Calibri" w:cs="Arial"/>
        </w:rPr>
        <w:t>target association</w:t>
      </w:r>
      <w:r w:rsidR="00503884">
        <w:rPr>
          <w:rFonts w:ascii="Calibri" w:hAnsi="Calibri" w:cs="Arial"/>
        </w:rPr>
        <w:t xml:space="preserve"> in the cell, </w:t>
      </w:r>
      <w:r w:rsidR="00503884">
        <w:rPr>
          <w:rFonts w:ascii="Calibri" w:hAnsi="Calibri" w:cs="Arial"/>
          <w:i/>
        </w:rPr>
        <w:t>in vivo</w:t>
      </w:r>
      <w:r w:rsidR="0011158C">
        <w:rPr>
          <w:rFonts w:ascii="Calibri" w:hAnsi="Calibri" w:cs="Arial"/>
        </w:rPr>
        <w:t xml:space="preserve">. </w:t>
      </w:r>
    </w:p>
    <w:p w14:paraId="52B8F926" w14:textId="77777777" w:rsidR="00FA0778" w:rsidRPr="00FA0778" w:rsidRDefault="00FA0778" w:rsidP="005837A4">
      <w:pPr>
        <w:spacing w:line="480" w:lineRule="auto"/>
        <w:jc w:val="both"/>
        <w:rPr>
          <w:rFonts w:ascii="Calibri" w:hAnsi="Calibri" w:cs="Arial"/>
        </w:rPr>
      </w:pPr>
    </w:p>
    <w:p w14:paraId="3C70B8D4" w14:textId="36EC30A6" w:rsidR="006F6A97" w:rsidRPr="0034141D" w:rsidRDefault="00E1380A" w:rsidP="005837A4">
      <w:pPr>
        <w:pStyle w:val="Heading2"/>
      </w:pPr>
      <w:r>
        <w:t>2</w:t>
      </w:r>
      <w:r w:rsidRPr="0034141D">
        <w:t>.</w:t>
      </w:r>
      <w:r w:rsidR="000D0C5C">
        <w:t>2</w:t>
      </w:r>
      <w:r w:rsidR="004C40DB">
        <w:tab/>
      </w:r>
      <w:r w:rsidR="00F9350D" w:rsidRPr="0034141D">
        <w:t xml:space="preserve">Development of </w:t>
      </w:r>
      <w:r w:rsidR="004D59AB" w:rsidRPr="0034141D">
        <w:t>RNAi</w:t>
      </w:r>
      <w:r w:rsidR="00F9350D" w:rsidRPr="0034141D">
        <w:t>-based therapeutic</w:t>
      </w:r>
      <w:r w:rsidR="00571E36" w:rsidRPr="0034141D">
        <w:t>s</w:t>
      </w:r>
      <w:r w:rsidR="00366466">
        <w:t>.</w:t>
      </w:r>
    </w:p>
    <w:p w14:paraId="6E38C5C0" w14:textId="7F465A40" w:rsidR="00D277EF" w:rsidRPr="0034141D" w:rsidRDefault="004D59AB" w:rsidP="005837A4">
      <w:pPr>
        <w:spacing w:line="480" w:lineRule="auto"/>
        <w:jc w:val="both"/>
        <w:rPr>
          <w:rFonts w:ascii="Calibri" w:hAnsi="Calibri"/>
        </w:rPr>
      </w:pPr>
      <w:r w:rsidRPr="0034141D">
        <w:rPr>
          <w:rFonts w:ascii="Calibri" w:hAnsi="Calibri"/>
        </w:rPr>
        <w:t xml:space="preserve">Historically, RNAi therapeutics were </w:t>
      </w:r>
      <w:r>
        <w:rPr>
          <w:rFonts w:ascii="Calibri" w:hAnsi="Calibri"/>
        </w:rPr>
        <w:t xml:space="preserve">developed on the back of discovery </w:t>
      </w:r>
      <w:r>
        <w:rPr>
          <w:rFonts w:ascii="Calibri" w:hAnsi="Calibri" w:cs="Arial"/>
        </w:rPr>
        <w:t xml:space="preserve">that delivery of exogenous dsRNA sequences of 20-27 </w:t>
      </w:r>
      <w:r w:rsidR="00C90F01">
        <w:rPr>
          <w:rFonts w:ascii="Calibri" w:hAnsi="Calibri" w:cs="Arial"/>
        </w:rPr>
        <w:t>nt</w:t>
      </w:r>
      <w:r>
        <w:rPr>
          <w:rFonts w:ascii="Calibri" w:hAnsi="Calibri" w:cs="Arial"/>
        </w:rPr>
        <w:t xml:space="preserve"> length</w:t>
      </w:r>
      <w:r w:rsidR="00C90F01">
        <w:rPr>
          <w:rFonts w:ascii="Calibri" w:hAnsi="Calibri" w:cs="Arial"/>
        </w:rPr>
        <w:t xml:space="preserve"> or greater</w:t>
      </w:r>
      <w:r>
        <w:rPr>
          <w:rFonts w:ascii="Calibri" w:hAnsi="Calibri" w:cs="Arial"/>
        </w:rPr>
        <w:t>, that were fully complementary to</w:t>
      </w:r>
      <w:r w:rsidR="003049BE">
        <w:rPr>
          <w:rFonts w:ascii="Calibri" w:hAnsi="Calibri" w:cs="Arial"/>
        </w:rPr>
        <w:t xml:space="preserve"> practically any part of</w:t>
      </w:r>
      <w:r>
        <w:rPr>
          <w:rFonts w:ascii="Calibri" w:hAnsi="Calibri" w:cs="Arial"/>
        </w:rPr>
        <w:t xml:space="preserve"> target mRNAs, resulted in </w:t>
      </w:r>
      <w:r w:rsidR="00F55AEE">
        <w:rPr>
          <w:rFonts w:ascii="Calibri" w:hAnsi="Calibri" w:cs="Arial"/>
        </w:rPr>
        <w:t xml:space="preserve">target </w:t>
      </w:r>
      <w:r>
        <w:rPr>
          <w:rFonts w:ascii="Calibri" w:hAnsi="Calibri" w:cs="Arial"/>
        </w:rPr>
        <w:t xml:space="preserve">cleavage and subsequent </w:t>
      </w:r>
      <w:r>
        <w:rPr>
          <w:rFonts w:ascii="Calibri" w:hAnsi="Calibri" w:cs="Arial"/>
        </w:rPr>
        <w:lastRenderedPageBreak/>
        <w:t>degradation</w:t>
      </w:r>
      <w:r w:rsidR="00F55AEE">
        <w:rPr>
          <w:rFonts w:ascii="Calibri" w:hAnsi="Calibri" w:cs="Arial"/>
        </w:rPr>
        <w:t xml:space="preserve"> </w:t>
      </w:r>
      <w:r w:rsidR="00F7354A">
        <w:rPr>
          <w:rFonts w:ascii="Calibri" w:hAnsi="Calibri" w:cs="Arial"/>
        </w:rPr>
        <w:fldChar w:fldCharType="begin" w:fldLock="1"/>
      </w:r>
      <w:r w:rsidR="00FF0F26">
        <w:rPr>
          <w:rFonts w:ascii="Calibri" w:hAnsi="Calibri" w:cs="Arial"/>
        </w:rPr>
        <w:instrText>ADDIN CSL_CITATION { "citationItems" : [ { "id" : "ITEM-1", "itemData" : { "DOI" : "10.1038/35888", "ISSN" : "0028-0836", "PMID" : "9486653", "abstract" : "Experimental introduction of RNA into cells can be used in certain biological systems to interfere with the function of an endogenous gene. Such effects have been proposed to result from a simple antisense mechanism that depends on hybridization between the injected RNA and endogenous messenger RNA transcripts. RNA interference has been used in the nematode Caenorhabditis elegans to manipulate gene expression. Here we investigate the requirements for structure and delivery of the interfering RNA. To our surprise, we found that double-stranded RNA was substantially more effective at producing interference than was either strand individually. After injection into adult animals, purified single strands had at most a modest effect, whereas double-stranded mixtures caused potent and specific interference. The effects of this interference were evident in both the injected animals and their progeny. Only a few molecules of injected double-stranded RNA were required per affected cell, arguing against stochiometric interference with endogenous mRNA and suggesting that there could be a catalytic or amplification component in the interference process.", "author" : [ { "dropping-particle" : "", "family" : "Fire", "given" : "A", "non-dropping-particle" : "", "parse-names" : false, "suffix" : "" }, { "dropping-particle" : "", "family" : "Xu", "given" : "S", "non-dropping-particle" : "", "parse-names" : false, "suffix" : "" }, { "dropping-particle" : "", "family" : "Montgomery", "given" : "M K", "non-dropping-particle" : "", "parse-names" : false, "suffix" : "" }, { "dropping-particle" : "", "family" : "Kostas", "given" : "S A", "non-dropping-particle" : "", "parse-names" : false, "suffix" : "" }, { "dropping-particle" : "", "family" : "Driver", "given" : "S E", "non-dropping-particle" : "", "parse-names" : false, "suffix" : "" }, { "dropping-particle" : "", "family" : "Mello", "given" : "C C", "non-dropping-particle" : "", "parse-names" : false, "suffix" : "" } ], "container-title" : "Nature", "id" : "ITEM-1", "issue" : "6669", "issued" : { "date-parts" : [ [ "1998", "2", "19" ] ] }, "page" : "806-11", "title" : "Potent and specific genetic interference by double-stranded RNA in Caenorhabditis elegans.", "type" : "article-journal", "volume" : "391" }, "uris" : [ "http://www.mendeley.com/documents/?uuid=892cb858-145f-4b05-808b-a1b075d70729" ] } ], "mendeley" : { "formattedCitation" : "(Fire et al., 1998)", "plainTextFormattedCitation" : "(Fire et al., 1998)", "previouslyFormattedCitation" : "(Fire et al., 1998)" }, "properties" : { "noteIndex" : 0 }, "schema" : "https://github.com/citation-style-language/schema/raw/master/csl-citation.json" }</w:instrText>
      </w:r>
      <w:r w:rsidR="00F7354A">
        <w:rPr>
          <w:rFonts w:ascii="Calibri" w:hAnsi="Calibri" w:cs="Arial"/>
        </w:rPr>
        <w:fldChar w:fldCharType="separate"/>
      </w:r>
      <w:r w:rsidR="00F7354A" w:rsidRPr="00F7354A">
        <w:rPr>
          <w:rFonts w:ascii="Calibri" w:hAnsi="Calibri" w:cs="Arial"/>
          <w:noProof/>
        </w:rPr>
        <w:t>(Fire et al., 1998)</w:t>
      </w:r>
      <w:r w:rsidR="00F7354A">
        <w:rPr>
          <w:rFonts w:ascii="Calibri" w:hAnsi="Calibri" w:cs="Arial"/>
        </w:rPr>
        <w:fldChar w:fldCharType="end"/>
      </w:r>
      <w:r w:rsidR="00F55AEE">
        <w:rPr>
          <w:rFonts w:ascii="Calibri" w:hAnsi="Calibri" w:cs="Arial"/>
        </w:rPr>
        <w:t>.</w:t>
      </w:r>
      <w:r w:rsidR="00637989">
        <w:rPr>
          <w:rFonts w:ascii="Calibri" w:hAnsi="Calibri" w:cs="Arial"/>
        </w:rPr>
        <w:t xml:space="preserve"> In mammals, &gt;30 nt dsRNA were not thought to be useful in an RNAi manner as such molecules instigate antiviral responses </w:t>
      </w:r>
      <w:r w:rsidR="00637989">
        <w:rPr>
          <w:rFonts w:ascii="Calibri" w:hAnsi="Calibri" w:cs="Arial"/>
        </w:rPr>
        <w:fldChar w:fldCharType="begin" w:fldLock="1"/>
      </w:r>
      <w:r w:rsidR="00637989">
        <w:rPr>
          <w:rFonts w:ascii="Calibri" w:hAnsi="Calibri" w:cs="Arial"/>
        </w:rPr>
        <w:instrText>ADDIN CSL_CITATION { "citationItems" : [ { "id" : "ITEM-1", "itemData" : { "DOI" : "10.1021/bi9607259", "ISSN" : "0006-2960", "PMID" : "8756460", "abstract" : "The human double-stranded RNA- (dsRNA) activated protein kinase (PKR) has a dsRNA-binding domain (dsRBD) that contains two tandem copies of the dsRNA-binding motif (dsRBM). The minimal-length polypeptide required to bind dsRNA contains both dsRBMs, as determined by mobility-shift and filter-binding assays. Mobility-shift experiments indicate binding requires a minimum of 16 base pairs of dsRNA, while a minimal-length site for saturation of longer RNAs is 11 base pairs. Bulge defects in the helix disfavor binding, and single-stranded tails do not strongly influence the dsRNA length requirement. These polypeptides do not bind an RNA-DNA hybrid duplex or dsDNA as judged by either mobility-shift or competition experiments, suggesting 2'-OH contacts on both strands of the duplex stabilize binding. Related experiments on chimeric duplexes in which specific sets of 2'-OHs are substituted with 2'-H or 2'-OCH3 reveal that the 2'-OHs required for binding are located along the entire 11 basepair site. These results are supported by Fe(II) EDTA footprinting experiments that show protein-dependent protection of the minor groove of dsRNA. The dependence of dsRNA-protein binding on salt concentration suggests that only one ionic contact is made between the protein and dsRNA phosphate backbone and that at physiological salt concentrations 90% of the free energy of binding is nonelectrostatic. Thus, the specificity of PKR for dsRNA over RNA-DNA hybrids and dsDNA is largely due to molecular recognition of a network of 2'-OHs involving both strands of dsRNA and present along the entire 11 base-pair site.", "author" : [ { "dropping-particle" : "", "family" : "Bevilacqua", "given" : "P C", "non-dropping-particle" : "", "parse-names" : false, "suffix" : "" }, { "dropping-particle" : "", "family" : "Cech", "given" : "T R", "non-dropping-particle" : "", "parse-names" : false, "suffix" : "" } ], "container-title" : "Biochemistry", "id" : "ITEM-1", "issue" : "31", "issued" : { "date-parts" : [ [ "1996", "8", "6" ] ] }, "page" : "9983-94", "title" : "Minor-groove recognition of double-stranded RNA by the double-stranded RNA-binding domain from the RNA-activated protein kinase PKR.", "type" : "article-journal", "volume" : "35" }, "uris" : [ "http://www.mendeley.com/documents/?uuid=c823f0b0-ff0a-4d8e-921a-cdc43aba3913" ] } ], "mendeley" : { "formattedCitation" : "(Bevilacqua &amp; Cech, 1996)", "plainTextFormattedCitation" : "(Bevilacqua &amp; Cech, 1996)", "previouslyFormattedCitation" : "(Bevilacqua &amp; Cech, 1996)" }, "properties" : { "noteIndex" : 0 }, "schema" : "https://github.com/citation-style-language/schema/raw/master/csl-citation.json" }</w:instrText>
      </w:r>
      <w:r w:rsidR="00637989">
        <w:rPr>
          <w:rFonts w:ascii="Calibri" w:hAnsi="Calibri" w:cs="Arial"/>
        </w:rPr>
        <w:fldChar w:fldCharType="separate"/>
      </w:r>
      <w:r w:rsidR="00637989" w:rsidRPr="005F04E5">
        <w:rPr>
          <w:rFonts w:ascii="Calibri" w:hAnsi="Calibri" w:cs="Arial"/>
          <w:noProof/>
        </w:rPr>
        <w:t>(Bevilacqua &amp; Cech, 1996)</w:t>
      </w:r>
      <w:r w:rsidR="00637989">
        <w:rPr>
          <w:rFonts w:ascii="Calibri" w:hAnsi="Calibri" w:cs="Arial"/>
        </w:rPr>
        <w:fldChar w:fldCharType="end"/>
      </w:r>
      <w:r w:rsidR="00637989">
        <w:rPr>
          <w:rFonts w:ascii="Calibri" w:hAnsi="Calibri" w:cs="Arial"/>
        </w:rPr>
        <w:t xml:space="preserve">, </w:t>
      </w:r>
      <w:r w:rsidR="00637989" w:rsidRPr="00C4343E">
        <w:rPr>
          <w:rFonts w:ascii="Calibri" w:hAnsi="Calibri" w:cs="Arial"/>
        </w:rPr>
        <w:t>through Protein Kinase R</w:t>
      </w:r>
      <w:r w:rsidR="00637989">
        <w:rPr>
          <w:rFonts w:ascii="Calibri" w:hAnsi="Calibri" w:cs="Arial"/>
        </w:rPr>
        <w:t xml:space="preserve"> engagement </w:t>
      </w:r>
      <w:r w:rsidR="00637989">
        <w:rPr>
          <w:rFonts w:ascii="Calibri" w:hAnsi="Calibri" w:cs="Arial"/>
        </w:rPr>
        <w:fldChar w:fldCharType="begin" w:fldLock="1"/>
      </w:r>
      <w:r w:rsidR="00637989">
        <w:rPr>
          <w:rFonts w:ascii="Calibri" w:hAnsi="Calibri" w:cs="Arial"/>
        </w:rPr>
        <w:instrText>ADDIN CSL_CITATION { "citationItems" : [ { "id" : "ITEM-1", "itemData" : { "DOI" : "10.1038/ncb1038", "ISSN" : "1465-7392", "PMID" : "12942087", "abstract" : "RNA interference (RNAi) is a powerful tool used to manipulate gene expression or determine gene function. One technique of expressing the short double-stranded (ds) RNA intermediates required for interference in mammalian systems is the introduction of short-interfering (si) RNAs. Although RNAi strategies are reliant on a high degree of specificity, little attention has been given to the potential non-specific effects that might be induced. Here, we found that transfection of siRNAs results in interferon (IFN)-mediated activation of the Jak-Stat pathway and global upregulation of IFN-stimulated genes. This effect is mediated by the dsRNA-dependent protein kinase, PKR, which is activated by 21-base-pair (bp) siRNAs and required for upregulation of IFN-beta in response to siRNAs. In addition, we show by using cell lines deficient in specific components mediating IFN action that the RNAi mechanism itself is independent of the interferon system. Thus, siRNAs have broad and complicating effects beyond the selective silencing of target genes when introduced into cells. This is of critical importance, as siRNAs are currently being explored for their potential therapeutic use.", "author" : [ { "dropping-particle" : "", "family" : "Sledz", "given" : "Carol A", "non-dropping-particle" : "", "parse-names" : false, "suffix" : "" }, { "dropping-particle" : "", "family" : "Holko", "given" : "Michelle", "non-dropping-particle" : "", "parse-names" : false, "suffix" : "" }, { "dropping-particle" : "", "family" : "Veer", "given" : "Michael J", "non-dropping-particle" : "de", "parse-names" : false, "suffix" : "" }, { "dropping-particle" : "", "family" : "Silverman", "given" : "Robert H", "non-dropping-particle" : "", "parse-names" : false, "suffix" : "" }, { "dropping-particle" : "", "family" : "Williams", "given" : "Bryan R G", "non-dropping-particle" : "", "parse-names" : false, "suffix" : "" } ], "container-title" : "Nature cell biology", "id" : "ITEM-1", "issue" : "9", "issued" : { "date-parts" : [ [ "2003", "9" ] ] }, "page" : "834-9", "publisher" : "Nature Publishing Group", "title" : "Activation of the interferon system by short-interfering RNAs.", "title-short" : "Nat Cell Biol", "type" : "article-journal", "volume" : "5" }, "uris" : [ "http://www.mendeley.com/documents/?uuid=0bcc8425-ee68-46b9-9f60-2d4366494680" ] } ], "mendeley" : { "formattedCitation" : "(Sledz, Holko, de Veer, Silverman, &amp; Williams, 2003)", "plainTextFormattedCitation" : "(Sledz, Holko, de Veer, Silverman, &amp; Williams, 2003)", "previouslyFormattedCitation" : "(Sledz, Holko, de Veer, Silverman, &amp; Williams, 2003)" }, "properties" : { "noteIndex" : 0 }, "schema" : "https://github.com/citation-style-language/schema/raw/master/csl-citation.json" }</w:instrText>
      </w:r>
      <w:r w:rsidR="00637989">
        <w:rPr>
          <w:rFonts w:ascii="Calibri" w:hAnsi="Calibri" w:cs="Arial"/>
        </w:rPr>
        <w:fldChar w:fldCharType="separate"/>
      </w:r>
      <w:r w:rsidR="00637989" w:rsidRPr="00A148BF">
        <w:rPr>
          <w:rFonts w:ascii="Calibri" w:hAnsi="Calibri" w:cs="Arial"/>
          <w:noProof/>
        </w:rPr>
        <w:t>(Sledz, Holko, de Veer, Silverman, &amp; Williams, 2003)</w:t>
      </w:r>
      <w:r w:rsidR="00637989">
        <w:rPr>
          <w:rFonts w:ascii="Calibri" w:hAnsi="Calibri" w:cs="Arial"/>
        </w:rPr>
        <w:fldChar w:fldCharType="end"/>
      </w:r>
      <w:r w:rsidR="00637989">
        <w:rPr>
          <w:rFonts w:ascii="Calibri" w:hAnsi="Calibri" w:cs="Arial"/>
        </w:rPr>
        <w:t>.</w:t>
      </w:r>
      <w:r w:rsidR="00F55AEE">
        <w:rPr>
          <w:rFonts w:ascii="Calibri" w:hAnsi="Calibri" w:cs="Arial"/>
        </w:rPr>
        <w:t xml:space="preserve"> However,</w:t>
      </w:r>
      <w:r w:rsidR="00F7354A">
        <w:rPr>
          <w:rFonts w:ascii="Calibri" w:hAnsi="Calibri" w:cs="Arial"/>
        </w:rPr>
        <w:t xml:space="preserve"> present-day understanding of RNAi i</w:t>
      </w:r>
      <w:r w:rsidR="00D173D2">
        <w:rPr>
          <w:rFonts w:ascii="Calibri" w:hAnsi="Calibri" w:cs="Arial"/>
        </w:rPr>
        <w:t>nvolve</w:t>
      </w:r>
      <w:r w:rsidR="00F7354A">
        <w:rPr>
          <w:rFonts w:ascii="Calibri" w:hAnsi="Calibri" w:cs="Arial"/>
        </w:rPr>
        <w:t>s</w:t>
      </w:r>
      <w:r w:rsidR="00D173D2">
        <w:rPr>
          <w:rFonts w:ascii="Calibri" w:hAnsi="Calibri" w:cs="Arial"/>
        </w:rPr>
        <w:t xml:space="preserve"> a</w:t>
      </w:r>
      <w:r w:rsidR="00F7354A">
        <w:rPr>
          <w:rFonts w:ascii="Calibri" w:hAnsi="Calibri" w:cs="Arial"/>
        </w:rPr>
        <w:t xml:space="preserve"> considerably larger </w:t>
      </w:r>
      <w:r w:rsidR="00D173D2">
        <w:rPr>
          <w:rFonts w:ascii="Calibri" w:hAnsi="Calibri" w:cs="Arial"/>
        </w:rPr>
        <w:t xml:space="preserve">number of functions </w:t>
      </w:r>
      <w:r w:rsidR="00F7354A">
        <w:rPr>
          <w:rFonts w:ascii="Calibri" w:hAnsi="Calibri" w:cs="Arial"/>
        </w:rPr>
        <w:t xml:space="preserve">and encompasses </w:t>
      </w:r>
      <w:r w:rsidR="000D0C5C">
        <w:rPr>
          <w:rFonts w:ascii="Calibri" w:hAnsi="Calibri" w:cs="Arial"/>
        </w:rPr>
        <w:t xml:space="preserve">the </w:t>
      </w:r>
      <w:r w:rsidR="00F7354A">
        <w:rPr>
          <w:rFonts w:ascii="Calibri" w:hAnsi="Calibri" w:cs="Arial"/>
        </w:rPr>
        <w:t xml:space="preserve">endogenous </w:t>
      </w:r>
      <w:r w:rsidR="00EE16F9">
        <w:rPr>
          <w:rFonts w:ascii="Calibri" w:hAnsi="Calibri" w:cs="Arial"/>
        </w:rPr>
        <w:t xml:space="preserve">(miRNA) </w:t>
      </w:r>
      <w:r w:rsidR="00F7354A">
        <w:rPr>
          <w:rFonts w:ascii="Calibri" w:hAnsi="Calibri" w:cs="Arial"/>
        </w:rPr>
        <w:t xml:space="preserve">and exogenous </w:t>
      </w:r>
      <w:r w:rsidR="00EE16F9">
        <w:rPr>
          <w:rFonts w:ascii="Calibri" w:hAnsi="Calibri" w:cs="Arial"/>
        </w:rPr>
        <w:t xml:space="preserve">(siRNA) </w:t>
      </w:r>
      <w:r w:rsidR="00F7354A">
        <w:rPr>
          <w:rFonts w:ascii="Calibri" w:hAnsi="Calibri" w:cs="Arial"/>
        </w:rPr>
        <w:t xml:space="preserve">mediators of RNAi operating </w:t>
      </w:r>
      <w:r w:rsidR="00D173D2">
        <w:rPr>
          <w:rFonts w:ascii="Calibri" w:hAnsi="Calibri" w:cs="Arial"/>
        </w:rPr>
        <w:t>at the</w:t>
      </w:r>
      <w:r w:rsidR="00F7354A">
        <w:rPr>
          <w:rFonts w:ascii="Calibri" w:hAnsi="Calibri" w:cs="Arial"/>
        </w:rPr>
        <w:t xml:space="preserve"> transcriptional and post-transcriptional</w:t>
      </w:r>
      <w:r w:rsidR="00931D07">
        <w:rPr>
          <w:rFonts w:ascii="Calibri" w:hAnsi="Calibri" w:cs="Arial"/>
        </w:rPr>
        <w:t>/pre-translational</w:t>
      </w:r>
      <w:r w:rsidR="00F7354A">
        <w:rPr>
          <w:rFonts w:ascii="Calibri" w:hAnsi="Calibri" w:cs="Arial"/>
        </w:rPr>
        <w:t xml:space="preserve"> </w:t>
      </w:r>
      <w:r w:rsidR="00D173D2">
        <w:rPr>
          <w:rFonts w:ascii="Calibri" w:hAnsi="Calibri" w:cs="Arial"/>
        </w:rPr>
        <w:t>level</w:t>
      </w:r>
      <w:r w:rsidR="00DB473A">
        <w:rPr>
          <w:rFonts w:ascii="Calibri" w:hAnsi="Calibri" w:cs="Arial"/>
        </w:rPr>
        <w:t xml:space="preserve"> (Fig. 2D</w:t>
      </w:r>
      <w:r w:rsidR="00F7354A">
        <w:rPr>
          <w:rFonts w:ascii="Calibri" w:hAnsi="Calibri" w:cs="Arial"/>
        </w:rPr>
        <w:t xml:space="preserve">) </w:t>
      </w:r>
      <w:r w:rsidR="00F7354A">
        <w:rPr>
          <w:rFonts w:ascii="Calibri" w:hAnsi="Calibri" w:cs="Arial"/>
        </w:rPr>
        <w:fldChar w:fldCharType="begin" w:fldLock="1"/>
      </w:r>
      <w:r w:rsidR="00AC0940">
        <w:rPr>
          <w:rFonts w:ascii="Calibri" w:hAnsi="Calibri" w:cs="Arial"/>
        </w:rPr>
        <w:instrText>ADDIN CSL_CITATION { "citationItems" : [ { "id" : "ITEM-1", "itemData" : { "author" : [ { "dropping-particle" : "", "family" : "Moschos", "given" : "S A", "non-dropping-particle" : "", "parse-names" : false, "suffix" : "" } ], "chapter-number" : "7", "container-title" : "Biotherapeutics: Recent Developments using Chemical and Molecular Biology", "editor" : [ { "dropping-particle" : "", "family" : "Jones", "given" : "L", "non-dropping-particle" : "", "parse-names" : false, "suffix" : "" }, { "dropping-particle" : "", "family" : "McKnight", "given" : "A J", "non-dropping-particle" : "", "parse-names" : false, "suffix" : "" } ], "id" : "ITEM-1", "issued" : { "date-parts" : [ [ "2013" ] ] }, "page" : "176-223", "publisher" : "Royal Society of Chemistry Publishing", "publisher-place" : "London", "title" : "MicroRNA Biotherapeutics: Key Challenges from a Drug Development Perspective", "type" : "chapter" }, "uris" : [ "http://www.mendeley.com/documents/?uuid=762298b4-c5a5-4d8f-a8bf-0b40443e3804" ] }, { "id" : "ITEM-2", "itemData" : { "DOI" : "10.1016/j.molcel.2013.02.010", "ISSN" : "10972765", "PMID" : "23473599", "abstract" : "Epigenetic control of gene expression is a critical component of transcriptional regulation. Remarkably, the deposition of epigenetic modifications is often guided by noncoding RNAs. Although noncoding RNAs have been most often implicated in posttranscriptional gene silencing, these molecules are now emerging as critical regulators of gene expression and genomic stability at the transcriptional level. Here, we review recent efforts to understand the mechanisms by which RNA controls the expression or content of DNA. We discuss the role of both small RNAs and long noncoding RNAs in directing chromatin changes through histone modifications and DNA methylation. Furthermore, we highlight the function of RNA in mediating DNA cleavage during genome rearrangements and pathogen defense. In understanding the mechanisms of RNA control over DNA, the power of RNA may one day be harnessed to impact gene expression in a therapeutic setting.", "author" : [ { "dropping-particle" : "", "family" : "Sabin", "given" : "Leah\u00a0R.", "non-dropping-particle" : "", "parse-names" : false, "suffix" : "" }, { "dropping-particle" : "", "family" : "Del\u00e1s", "given" : "M.\u00a0Joaquina", "non-dropping-particle" : "", "parse-names" : false, "suffix" : "" }, { "dropping-particle" : "", "family" : "Hannon", "given" : "Gregory\u00a0J.", "non-dropping-particle" : "", "parse-names" : false, "suffix" : "" } ], "container-title" : "Molecular Cell", "id" : "ITEM-2", "issue" : "5", "issued" : { "date-parts" : [ [ "2013", "3", "7" ] ] }, "page" : "783-794", "title" : "Dogma Derailed: The Many Influences of RNA on the Genome", "type" : "article-journal", "volume" : "49" }, "uris" : [ "http://www.mendeley.com/documents/?uuid=225df819-7291-43ef-9290-aa3530662383" ] } ], "mendeley" : { "formattedCitation" : "(Moschos, 2013; Sabin et al., 2013)", "plainTextFormattedCitation" : "(Moschos, 2013; Sabin et al., 2013)", "previouslyFormattedCitation" : "(Moschos, 2013; Sabin et al., 2013)" }, "properties" : { "noteIndex" : 0 }, "schema" : "https://github.com/citation-style-language/schema/raw/master/csl-citation.json" }</w:instrText>
      </w:r>
      <w:r w:rsidR="00F7354A">
        <w:rPr>
          <w:rFonts w:ascii="Calibri" w:hAnsi="Calibri" w:cs="Arial"/>
        </w:rPr>
        <w:fldChar w:fldCharType="separate"/>
      </w:r>
      <w:r w:rsidR="00FF0F26" w:rsidRPr="00FF0F26">
        <w:rPr>
          <w:rFonts w:ascii="Calibri" w:hAnsi="Calibri" w:cs="Arial"/>
          <w:noProof/>
        </w:rPr>
        <w:t>(Moschos, 2013; Sabin et al., 2013)</w:t>
      </w:r>
      <w:r w:rsidR="00F7354A">
        <w:rPr>
          <w:rFonts w:ascii="Calibri" w:hAnsi="Calibri" w:cs="Arial"/>
        </w:rPr>
        <w:fldChar w:fldCharType="end"/>
      </w:r>
      <w:r w:rsidR="00F7354A">
        <w:rPr>
          <w:rFonts w:ascii="Calibri" w:hAnsi="Calibri" w:cs="Arial"/>
        </w:rPr>
        <w:t>.</w:t>
      </w:r>
      <w:r w:rsidR="00F55AEE">
        <w:rPr>
          <w:rFonts w:ascii="Calibri" w:hAnsi="Calibri" w:cs="Arial"/>
        </w:rPr>
        <w:t xml:space="preserve"> </w:t>
      </w:r>
      <w:r w:rsidR="00637989" w:rsidRPr="00637989">
        <w:rPr>
          <w:rFonts w:ascii="Calibri" w:hAnsi="Calibri" w:cs="Arial"/>
        </w:rPr>
        <w:t xml:space="preserve">Interestingly, endogenously expressed </w:t>
      </w:r>
      <w:r w:rsidR="00637989">
        <w:rPr>
          <w:rFonts w:ascii="Calibri" w:hAnsi="Calibri" w:cs="Arial"/>
        </w:rPr>
        <w:t xml:space="preserve">long (&gt;30 nt dsRNA-derived) </w:t>
      </w:r>
      <w:r w:rsidR="00637989" w:rsidRPr="00637989">
        <w:rPr>
          <w:rFonts w:ascii="Calibri" w:hAnsi="Calibri" w:cs="Arial"/>
        </w:rPr>
        <w:t xml:space="preserve">siRNAs are encountered in reproductive biology, in transposon control and in cancer, operating through DNA methylation </w:t>
      </w:r>
      <w:r w:rsidR="00637989" w:rsidRPr="00637989">
        <w:rPr>
          <w:rFonts w:ascii="Calibri" w:hAnsi="Calibri" w:cs="Arial"/>
        </w:rPr>
        <w:fldChar w:fldCharType="begin" w:fldLock="1"/>
      </w:r>
      <w:r w:rsidR="00637989" w:rsidRPr="00637989">
        <w:rPr>
          <w:rFonts w:ascii="Calibri" w:hAnsi="Calibri" w:cs="Arial"/>
        </w:rPr>
        <w:instrText>ADDIN CSL_CITATION { "citationItems" : [ { "id" : "ITEM-1", "itemData" : { "DOI" : "10.4161/epi.20706", "ISSN" : "1559-2308", "PMID" : "22647391", "abstract" : "Long interspersed nuclear element 1 (LINE-1) retrotransposons are mutagens that are capable of generating deleterious mutations by inserting themselves into genes and affecting gene function in the human genome. In normal cells, the activity of LINE-1 retrotransposon is mostly repressed, maintaining a stable genome structure. In contrast, cancer cells are characterized by aberrant expression of LINE-1 retrotransposons, which, in principle, have the potential to contribute to genomic instability. The mechanistic pathways that regulate LINE-1 expression remain unclear. Using deep-sequencing small RNA analysis, we identified a subset of differentially expressed endo-siRNAs that directly regulate LINE-1 expression. Detailed analyses suggest that these endo-siRNAs are significantly depleted in human breast cancer cells compared with normal breast cells. The overexpression of these endo-siRNAs in cancer cells markedly silences endogenous LINE-1 expression through increased DNA methylation of the LINE-1 5'-UTR promoter. The finding that endo-siRNAs can silence LINE-1 activity through DNA methylation suggests that a functional link exists between the expression of endo-siRNAs and LINE-1 retrotransposons in human cells.", "author" : [ { "dropping-particle" : "", "family" : "Chen", "given" : "Long", "non-dropping-particle" : "", "parse-names" : false, "suffix" : "" }, { "dropping-particle" : "", "family" : "Dahlstrom", "given" : "Jane E", "non-dropping-particle" : "", "parse-names" : false, "suffix" : "" }, { "dropping-particle" : "", "family" : "Lee", "given" : "Sung-Hun", "non-dropping-particle" : "", "parse-names" : false, "suffix" : "" }, { "dropping-particle" : "", "family" : "Rangasamy", "given" : "Danny", "non-dropping-particle" : "", "parse-names" : false, "suffix" : "" } ], "container-title" : "Epigenetics", "id" : "ITEM-1", "issue" : "7", "issued" : { "date-parts" : [ [ "2012", "7" ] ] }, "page" : "758-71", "title" : "Naturally occurring endo-siRNA silences LINE-1 retrotransposons in human cells through DNA methylation.", "type" : "article-journal", "volume" : "7" }, "uris" : [ "http://www.mendeley.com/documents/?uuid=b03026d9-7692-4310-9227-a5be85dfa135" ] }, { "id" : "ITEM-2", "itemData" : { "DOI" : "10.1038/nature06904", "ISSN" : "1476-4687", "PMID" : "18404147", "abstract" : "Pseudogenes populate the mammalian genome as remnants of artefactual incorporation of coding messenger RNAs into transposon pathways. Here we show that a subset of pseudogenes generates endogenous small interfering RNAs (endo-siRNAs) in mouse oocytes. These endo-siRNAs are often processed from double-stranded RNAs formed by hybridization of spliced transcripts from protein-coding genes to antisense transcripts from homologous pseudogenes. An inverted repeat pseudogene can also generate abundant small RNAs directly. A second class of endo-siRNAs may enforce repression of mobile genetic elements, acting together with Piwi-interacting RNAs. Loss of Dicer, a protein integral to small RNA production, increases expression of endo-siRNA targets, demonstrating their regulatory activity. Our findings indicate a function for pseudogenes in regulating gene expression by means of the RNA interference pathway and may, in part, explain the evolutionary pressure to conserve argonaute-mediated catalysis in mammals.", "author" : [ { "dropping-particle" : "", "family" : "Tam", "given" : "Oliver H", "non-dropping-particle" : "", "parse-names" : false, "suffix" : "" }, { "dropping-particle" : "", "family" : "Aravin", "given" : "Alexei A", "non-dropping-particle" : "", "parse-names" : false, "suffix" : "" }, { "dropping-particle" : "", "family" : "Stein", "given" : "Paula", "non-dropping-particle" : "", "parse-names" : false, "suffix" : "" }, { "dropping-particle" : "", "family" : "Girard", "given" : "Angelique", "non-dropping-particle" : "", "parse-names" : false, "suffix" : "" }, { "dropping-particle" : "", "family" : "Murchison", "given" : "Elizabeth P", "non-dropping-particle" : "", "parse-names" : false, "suffix" : "" }, { "dropping-particle" : "", "family" : "Cheloufi", "given" : "Sihem", "non-dropping-particle" : "", "parse-names" : false, "suffix" : "" }, { "dropping-particle" : "", "family" : "Hodges", "given" : "Emily", "non-dropping-particle" : "", "parse-names" : false, "suffix" : "" }, { "dropping-particle" : "", "family" : "Anger", "given" : "Martin", "non-dropping-particle" : "", "parse-names" : false, "suffix" : "" }, { "dropping-particle" : "", "family" : "Sachidanandam", "given" : "Ravi", "non-dropping-particle" : "", "parse-names" : false, "suffix" : "" }, { "dropping-particle" : "", "family" : "Schultz", "given" : "Richard M", "non-dropping-particle" : "", "parse-names" : false, "suffix" : "" }, { "dropping-particle" : "", "family" : "Hannon", "given" : "Gregory J", "non-dropping-particle" : "", "parse-names" : false, "suffix" : "" } ], "container-title" : "Nature", "id" : "ITEM-2", "issue" : "7194", "issued" : { "date-parts" : [ [ "2008", "5", "22" ] ] }, "page" : "534-8", "title" : "Pseudogene-derived small interfering RNAs regulate gene expression in mouse oocytes.", "type" : "article-journal", "volume" : "453" }, "uris" : [ "http://www.mendeley.com/documents/?uuid=ab978d04-3f03-4fe4-995f-759aa7236500" ] }, { "id" : "ITEM-3", "itemData" : { "DOI" : "10.1038/nature06908", "ISSN" : "1476-4687", "PMID" : "18404146", "abstract" : "RNA interference (RNAi) is a mechanism by which double-stranded RNAs (dsRNAs) suppress specific transcripts in a sequence-dependent manner. dsRNAs are processed by Dicer to 21-24-nucleotide small interfering RNAs (siRNAs) and then incorporated into the argonaute (Ago) proteins. Gene regulation by endogenous siRNAs has been observed only in organisms possessing RNA-dependent RNA polymerase (RdRP). In mammals, where no RdRP activity has been found, biogenesis and function of endogenous siRNAs remain largely unknown. Here we show, using mouse oocytes, that endogenous siRNAs are derived from naturally occurring dsRNAs and have roles in the regulation of gene expression. By means of deep sequencing, we identify a large number of both approximately 25-27-nucleotide Piwi-interacting RNAs (piRNAs) and approximately 21-nucleotide siRNAs corresponding to messenger RNAs or retrotransposons in growing oocytes. piRNAs are bound to Mili and have a role in the regulation of retrotransposons. siRNAs are exclusively mapped to retrotransposons or other genomic regions that produce transcripts capable of forming dsRNA structures. Inverted repeat structures, bidirectional transcription and antisense transcripts from various loci are sources of the dsRNAs. Some precursor transcripts of siRNAs are derived from expressed pseudogenes, indicating that one role of pseudogenes is to adjust the level of the founding source mRNA through RNAi. Loss of Dicer or Ago2 results in decreased levels of siRNAs and increased levels of retrotransposon and protein-coding transcripts complementary to the siRNAs. Thus, the RNAi pathway regulates both protein-coding transcripts and retrotransposons in mouse oocytes. Our results reveal a role for endogenous siRNAs in mammalian oocytes and show that organisms lacking RdRP activity can produce functional endogenous siRNAs from naturally occurring dsRNAs.", "author" : [ { "dropping-particle" : "", "family" : "Watanabe", "given" : "Toshiaki", "non-dropping-particle" : "", "parse-names" : false, "suffix" : "" }, { "dropping-particle" : "", "family" : "Totoki", "given" : "Yasushi", "non-dropping-particle" : "", "parse-names" : false, "suffix" : "" }, { "dropping-particle" : "", "family" : "Toyoda", "given" : "Atsushi", "non-dropping-particle" : "", "parse-names" : false, "suffix" : "" }, { "dropping-particle" : "", "family" : "Kaneda", "given" : "Masahiro", "non-dropping-particle" : "", "parse-names" : false, "suffix" : "" }, { "dropping-particle" : "", "family" : "Kuramochi-Miyagawa", "given" : "Satomi", "non-dropping-particle" : "", "parse-names" : false, "suffix" : "" }, { "dropping-particle" : "", "family" : "Obata", "given" : "Yayoi", "non-dropping-particle" : "", "parse-names" : false, "suffix" : "" }, { "dropping-particle" : "", "family" : "Chiba", "given" : "Hatsune", "non-dropping-particle" : "", "parse-names" : false, "suffix" : "" }, { "dropping-particle" : "", "family" : "Kohara", "given" : "Yuji", "non-dropping-particle" : "", "parse-names" : false, "suffix" : "" }, { "dropping-particle" : "", "family" : "Kono", "given" : "Tomohiro", "non-dropping-particle" : "", "parse-names" : false, "suffix" : "" }, { "dropping-particle" : "", "family" : "Nakano", "given" : "Toru", "non-dropping-particle" : "", "parse-names" : false, "suffix" : "" }, { "dropping-particle" : "", "family" : "Surani", "given" : "M Azim", "non-dropping-particle" : "", "parse-names" : false, "suffix" : "" }, { "dropping-particle" : "", "family" : "Sakaki", "given" : "Yoshiyuki", "non-dropping-particle" : "", "parse-names" : false, "suffix" : "" }, { "dropping-particle" : "", "family" : "Sasaki", "given" : "Hiroyuki", "non-dropping-particle" : "", "parse-names" : false, "suffix" : "" } ], "container-title" : "Nature", "id" : "ITEM-3", "issue" : "7194", "issued" : { "date-parts" : [ [ "2008", "5", "22" ] ] }, "page" : "539-43", "title" : "Endogenous siRNAs from naturally formed dsRNAs regulate transcripts in mouse oocytes.", "type" : "article-journal", "volume" : "453" }, "uris" : [ "http://www.mendeley.com/documents/?uuid=ae8e5d1b-581c-4141-b94c-7d9194aa29ea" ] }, { "id" : "ITEM-4", "itemData" : { "DOI" : "10.1186/1471-2164-15-19", "ISSN" : "1471-2164", "PMID" : "24410956", "abstract" : "BACKGROUND: Eukaryotic cells express a complex layer of noncoding RNAs. An intriguing family of regulatory RNAs includes transcripts from the opposite strand of protein coding genes, so called natural antisense transcripts (NATs). Here, we test the hypothesis that antisense transcription triggers RNA interference and gives rise to endogenous short RNAs (endo-siRNAs).\n\nRESULTS: We used cloned human embryonic kidney cells (HEK293) followed by short RNAseq to investigate the small genic RNA transcriptome. 378 genes gave rise to short RNA reads that mapped to exons of RefSeq genes. The length profile of short RNAs showed a broad peak of 20-24 nucleotides, indicative of endo-siRNAs. Collapsed reads mapped predominantly to the first and the last exon of genes (74%). RNAs reads were intersected with sequences occupied by RNAPII or bound to Argonaute (AGO1 by crosslinking, ligation, and sequencing of hybrids, CLASH). In the first exon, 94% of the reads correlated with RNAPII occupancy with an average density of 130 (relative units); this decreased to 65%/20 in middle exons and 54%/12 in the last exon. CLASH reads mapping to multi-exon genes showed little distribution bias with an average of about 5 CLASH reads overlapping with 60% of the endo-siRNA reads. However, endo-siRNAs (21-25 nt) intersecting with CLASH reads were enriched at the 5'end and decreased towards the 3'end.We then investigated the 378 genes with particular focus on features indicative for short RNA production; however, found that endo-siRNA numbers did not correlate with gene structures that favor convergent transcription. In contrast, our gene set was found notably over-represented in the NATsDB sense/antisense group as compared to non-overlapping and non-bidirectional groups. Moreover, read counts showed no correlation with the steady-state levels of the related mRNAs and the pattern of endo-siRNAs proved reproducible after an induced mutagenic insult.\n\nCONCLUSIONS: Our results suggest that antisense transcripts contribute to low levels of endo-siRNAs in fully differentiated human cells. A characteristic endo-siRNA footprint is being produced at sites of RNAPII transcription which is also related to AGO1. This endo-siRNA signature represents an intriguing finding and its reproducibility suggests that the production of endo-siRNAs is a regulated process with potential homoeostatic impact.", "author" : [ { "dropping-particle" : "", "family" : "Werner", "given" : "Andreas", "non-dropping-particle" : "", "parse-names" : false, "suffix" : "" }, { "dropping-particle" : "", "family" : "Cockell", "given" : "Simon", "non-dropping-particle" : "", "parse-names" : false, "suffix" : "" }, { "dropping-particle" : "", "family" : "Falconer", "given" : "Jane", "non-dropping-particle" : "", "parse-names" : false, "suffix" : "" }, { "dropping-particle" : "", "family" : "Carlile", "given" : "Mark", "non-dropping-particle" : "", "parse-names" : false, "suffix" : "" }, { "dropping-particle" : "", "family" : "Alnumeir", "given" : "Sammer", "non-dropping-particle" : "", "parse-names" : false, "suffix" : "" }, { "dropping-particle" : "", "family" : "Robinson", "given" : "John", "non-dropping-particle" : "", "parse-names" : false, "suffix" : "" } ], "container-title" : "BMC genomics", "id" : "ITEM-4", "issued" : { "date-parts" : [ [ "2014", "1" ] ] }, "page" : "19", "title" : "Contribution of natural antisense transcription to an endogenous siRNA signature in human cells.", "type" : "article-journal", "volume" : "15" }, "uris" : [ "http://www.mendeley.com/documents/?uuid=ec7c1b18-b328-42a2-b3c6-faaef4e7d1cc" ] }, { "id" : "ITEM-5", "itemData" : { "DOI" : "10.1073/pnas.1108567108", "ISSN" : "1091-6490", "PMID" : "21788498", "abstract" : "In mammals, endogenous siRNAs (endo-siRNAs) have only been reported in murine oocytes and embryonic stem cells. Here, we show that murine spermatogenic cells express numerous endo-siRNAs, which are likely to be derived from naturally occurring double-stranded RNA (dsRNA) precursors. The biogenesis of these testicular endo-siRNAs is DROSHA independent, but DICER dependent. These male germ cell endo-siRNAs can potentially target hundreds of transcripts or thousands of DNA regions in the genome. Overall, our work has unveiled another hidden layer of regulation imposed by small noncoding RNAs during male germ cell development.", "author" : [ { "dropping-particle" : "", "family" : "Song", "given" : "Rui", "non-dropping-particle" : "", "parse-names" : false, "suffix" : "" }, { "dropping-particle" : "", "family" : "Hennig", "given" : "Grant W", "non-dropping-particle" : "", "parse-names" : false, "suffix" : "" }, { "dropping-particle" : "", "family" : "Wu", "given" : "Qiuxia", "non-dropping-particle" : "", "parse-names" : false, "suffix" : "" }, { "dropping-particle" : "", "family" : "Jose", "given" : "Charlie", "non-dropping-particle" : "", "parse-names" : false, "suffix" : "" }, { "dropping-particle" : "", "family" : "Zheng", "given" : "Huili", "non-dropping-particle" : "", "parse-names" : false, "suffix" : "" }, { "dropping-particle" : "", "family" : "Yan", "given" : "Wei", "non-dropping-particle" : "", "parse-names" : false, "suffix" : "" } ], "container-title" : "Proceedings of the National Academy of Sciences of the United States of America", "id" : "ITEM-5", "issue" : "32", "issued" : { "date-parts" : [ [ "2011", "8", "9" ] ] }, "page" : "13159-64", "title" : "Male germ cells express abundant endogenous siRNAs.", "type" : "article-journal", "volume" : "108" }, "uris" : [ "http://www.mendeley.com/documents/?uuid=5b5f02fb-d1cf-435f-ab26-09b7773a68f1" ] } ], "mendeley" : { "formattedCitation" : "(L. Chen, Dahlstrom, Lee, &amp; Rangasamy, 2012; Song et al., 2011; Tam et al., 2008; T. Watanabe et al., 2008; Werner et al., 2014)", "plainTextFormattedCitation" : "(L. Chen, Dahlstrom, Lee, &amp; Rangasamy, 2012; Song et al., 2011; Tam et al., 2008; T. Watanabe et al., 2008; Werner et al., 2014)", "previouslyFormattedCitation" : "(L. Chen, Dahlstrom, Lee, &amp; Rangasamy, 2012; Song et al., 2011; Tam et al., 2008; T. Watanabe et al., 2008; Werner et al., 2014)" }, "properties" : { "noteIndex" : 0 }, "schema" : "https://github.com/citation-style-language/schema/raw/master/csl-citation.json" }</w:instrText>
      </w:r>
      <w:r w:rsidR="00637989" w:rsidRPr="00637989">
        <w:rPr>
          <w:rFonts w:ascii="Calibri" w:hAnsi="Calibri" w:cs="Arial"/>
        </w:rPr>
        <w:fldChar w:fldCharType="separate"/>
      </w:r>
      <w:r w:rsidR="00637989" w:rsidRPr="00637989">
        <w:rPr>
          <w:rFonts w:ascii="Calibri" w:hAnsi="Calibri" w:cs="Arial"/>
          <w:noProof/>
        </w:rPr>
        <w:t>(L. Chen, Dahlstrom, Lee, &amp; Rangasamy, 2012; Song et al., 2011; Tam et al., 2008; T. Watanabe et al., 2008; Werner et al., 2014)</w:t>
      </w:r>
      <w:r w:rsidR="00637989" w:rsidRPr="00637989">
        <w:rPr>
          <w:rFonts w:ascii="Calibri" w:hAnsi="Calibri" w:cs="Arial"/>
        </w:rPr>
        <w:fldChar w:fldCharType="end"/>
      </w:r>
      <w:r w:rsidR="00637989" w:rsidRPr="00637989">
        <w:rPr>
          <w:rFonts w:ascii="Calibri" w:hAnsi="Calibri" w:cs="Arial"/>
        </w:rPr>
        <w:t xml:space="preserve">- a largely overlooked area. </w:t>
      </w:r>
      <w:r w:rsidR="00C90F01">
        <w:rPr>
          <w:rFonts w:ascii="Calibri" w:hAnsi="Calibri" w:cs="Arial"/>
        </w:rPr>
        <w:t xml:space="preserve">The reader is thus encouraged to consider siRNA and miRNA function in the context of RISC bioactivity as opposed to the mechanism of RISC formation </w:t>
      </w:r>
      <w:r w:rsidR="001B57CD">
        <w:rPr>
          <w:rFonts w:ascii="Calibri" w:hAnsi="Calibri" w:cs="Arial"/>
        </w:rPr>
        <w:t>given that</w:t>
      </w:r>
      <w:r w:rsidR="00C90F01">
        <w:rPr>
          <w:rFonts w:ascii="Calibri" w:hAnsi="Calibri" w:cs="Arial"/>
        </w:rPr>
        <w:t>, overall, RISC functions are interchangeable for siRNA and miRNA.</w:t>
      </w:r>
    </w:p>
    <w:p w14:paraId="59B452D2" w14:textId="77777777" w:rsidR="00C07FEB" w:rsidRDefault="00C07FEB" w:rsidP="005837A4">
      <w:pPr>
        <w:spacing w:line="480" w:lineRule="auto"/>
        <w:jc w:val="both"/>
        <w:rPr>
          <w:rFonts w:ascii="Calibri" w:hAnsi="Calibri" w:cs="Arial"/>
        </w:rPr>
      </w:pPr>
    </w:p>
    <w:p w14:paraId="29E0D258" w14:textId="510B5E34" w:rsidR="00C07FEB" w:rsidRDefault="00B737A4" w:rsidP="005837A4">
      <w:pPr>
        <w:spacing w:line="480" w:lineRule="auto"/>
        <w:jc w:val="both"/>
        <w:rPr>
          <w:rFonts w:ascii="Calibri" w:hAnsi="Calibri" w:cs="Arial"/>
        </w:rPr>
      </w:pPr>
      <w:r w:rsidRPr="004D59AB">
        <w:rPr>
          <w:rFonts w:ascii="Calibri" w:hAnsi="Calibri" w:cs="Arial"/>
        </w:rPr>
        <w:t xml:space="preserve">The </w:t>
      </w:r>
      <w:r w:rsidR="004D59AB" w:rsidRPr="004D59AB">
        <w:rPr>
          <w:rFonts w:ascii="Calibri" w:hAnsi="Calibri" w:cs="Arial"/>
        </w:rPr>
        <w:t>minimal</w:t>
      </w:r>
      <w:r w:rsidR="00E1380A" w:rsidRPr="004D59AB">
        <w:rPr>
          <w:rFonts w:ascii="Calibri" w:hAnsi="Calibri" w:cs="Arial"/>
        </w:rPr>
        <w:t xml:space="preserve"> bioactive complex of RNAi, the RISC complex</w:t>
      </w:r>
      <w:r w:rsidR="00201A69">
        <w:rPr>
          <w:rFonts w:ascii="Calibri" w:hAnsi="Calibri" w:cs="Arial"/>
        </w:rPr>
        <w:t xml:space="preserve"> (Fig. </w:t>
      </w:r>
      <w:r w:rsidR="00DB473A">
        <w:rPr>
          <w:rFonts w:ascii="Calibri" w:hAnsi="Calibri" w:cs="Arial"/>
        </w:rPr>
        <w:t xml:space="preserve">2D, </w:t>
      </w:r>
      <w:r w:rsidR="00201A69">
        <w:rPr>
          <w:rFonts w:ascii="Calibri" w:hAnsi="Calibri" w:cs="Arial"/>
        </w:rPr>
        <w:t>5)</w:t>
      </w:r>
      <w:r w:rsidRPr="004D59AB">
        <w:rPr>
          <w:rFonts w:ascii="Calibri" w:hAnsi="Calibri" w:cs="Arial"/>
        </w:rPr>
        <w:t xml:space="preserve">, contains </w:t>
      </w:r>
      <w:r w:rsidR="004D59AB" w:rsidRPr="004D59AB">
        <w:rPr>
          <w:rFonts w:ascii="Calibri" w:hAnsi="Calibri" w:cs="Arial"/>
        </w:rPr>
        <w:t>one of four Argonaute proteins found in the mammalian genome, loaded with a short, ~21 nt long RNA strand of either endogenous (miRNA</w:t>
      </w:r>
      <w:r w:rsidR="00DB473A">
        <w:rPr>
          <w:rFonts w:ascii="Calibri" w:hAnsi="Calibri" w:cs="Arial"/>
        </w:rPr>
        <w:t>; Fig. 5A</w:t>
      </w:r>
      <w:r w:rsidR="004D59AB" w:rsidRPr="004D59AB">
        <w:rPr>
          <w:rFonts w:ascii="Calibri" w:hAnsi="Calibri" w:cs="Arial"/>
        </w:rPr>
        <w:t>)</w:t>
      </w:r>
      <w:r w:rsidR="004D59AB">
        <w:rPr>
          <w:rFonts w:ascii="Calibri" w:hAnsi="Calibri" w:cs="Arial"/>
        </w:rPr>
        <w:t xml:space="preserve"> or exogenous (siRNA) origin. RISC is often found </w:t>
      </w:r>
      <w:r>
        <w:rPr>
          <w:rFonts w:ascii="Calibri" w:hAnsi="Calibri" w:cs="Arial"/>
        </w:rPr>
        <w:t>in combination with multiple other regulatory proteins</w:t>
      </w:r>
      <w:r w:rsidR="004D59AB">
        <w:rPr>
          <w:rFonts w:ascii="Calibri" w:hAnsi="Calibri" w:cs="Arial"/>
        </w:rPr>
        <w:t xml:space="preserve"> and</w:t>
      </w:r>
      <w:r w:rsidR="00AE56C9" w:rsidRPr="00C4343E">
        <w:rPr>
          <w:rFonts w:ascii="Calibri" w:hAnsi="Calibri" w:cs="Arial"/>
        </w:rPr>
        <w:t xml:space="preserve"> </w:t>
      </w:r>
      <w:r w:rsidR="00FA4EDA">
        <w:rPr>
          <w:rFonts w:ascii="Calibri" w:hAnsi="Calibri" w:cs="Arial"/>
        </w:rPr>
        <w:t>uses</w:t>
      </w:r>
      <w:r w:rsidR="00AE56C9" w:rsidRPr="00C4343E">
        <w:rPr>
          <w:rFonts w:ascii="Calibri" w:hAnsi="Calibri" w:cs="Arial"/>
        </w:rPr>
        <w:t xml:space="preserve"> Watson-Crick base pairing</w:t>
      </w:r>
      <w:r w:rsidR="00FA4EDA">
        <w:rPr>
          <w:rFonts w:ascii="Calibri" w:hAnsi="Calibri" w:cs="Arial"/>
        </w:rPr>
        <w:t xml:space="preserve"> </w:t>
      </w:r>
      <w:r w:rsidR="004D59AB">
        <w:rPr>
          <w:rFonts w:ascii="Calibri" w:hAnsi="Calibri" w:cs="Arial"/>
        </w:rPr>
        <w:t xml:space="preserve">between the RISC-loaded RNA strand (referred to as the guide or antisense strand) and cellular RNAs </w:t>
      </w:r>
      <w:r w:rsidR="00FA4EDA">
        <w:rPr>
          <w:rFonts w:ascii="Calibri" w:hAnsi="Calibri" w:cs="Arial"/>
        </w:rPr>
        <w:t xml:space="preserve">to identify </w:t>
      </w:r>
      <w:r w:rsidR="002B331D">
        <w:rPr>
          <w:rFonts w:ascii="Calibri" w:hAnsi="Calibri" w:cs="Arial"/>
        </w:rPr>
        <w:t xml:space="preserve">RNA </w:t>
      </w:r>
      <w:r w:rsidR="00FA4EDA">
        <w:rPr>
          <w:rFonts w:ascii="Calibri" w:hAnsi="Calibri" w:cs="Arial"/>
        </w:rPr>
        <w:t>targets</w:t>
      </w:r>
      <w:r w:rsidR="002B331D">
        <w:rPr>
          <w:rFonts w:ascii="Calibri" w:hAnsi="Calibri" w:cs="Arial"/>
        </w:rPr>
        <w:t xml:space="preserve">. </w:t>
      </w:r>
      <w:r w:rsidR="004D59AB">
        <w:rPr>
          <w:rFonts w:ascii="Calibri" w:hAnsi="Calibri" w:cs="Arial"/>
        </w:rPr>
        <w:t>Target recognition relies on p</w:t>
      </w:r>
      <w:r w:rsidR="00AE56C9" w:rsidRPr="00C4343E">
        <w:rPr>
          <w:rFonts w:ascii="Calibri" w:hAnsi="Calibri" w:cs="Arial"/>
        </w:rPr>
        <w:t>artial complementarity</w:t>
      </w:r>
      <w:r w:rsidR="009C644C">
        <w:rPr>
          <w:rFonts w:ascii="Calibri" w:hAnsi="Calibri" w:cs="Arial"/>
        </w:rPr>
        <w:t>,</w:t>
      </w:r>
      <w:r w:rsidR="00AE56C9" w:rsidRPr="00C4343E">
        <w:rPr>
          <w:rFonts w:ascii="Calibri" w:hAnsi="Calibri" w:cs="Arial"/>
        </w:rPr>
        <w:t xml:space="preserve"> </w:t>
      </w:r>
      <w:r w:rsidR="009C644C" w:rsidRPr="00C4343E">
        <w:rPr>
          <w:rFonts w:ascii="Calibri" w:hAnsi="Calibri" w:cs="Arial"/>
        </w:rPr>
        <w:t>often only between bases 2-9 from the 5’ end of the guide strand</w:t>
      </w:r>
      <w:r w:rsidR="009C644C">
        <w:rPr>
          <w:rFonts w:ascii="Calibri" w:hAnsi="Calibri" w:cs="Arial"/>
        </w:rPr>
        <w:t xml:space="preserve"> (seed sequence)</w:t>
      </w:r>
      <w:r w:rsidR="00931D07">
        <w:rPr>
          <w:rFonts w:ascii="Calibri" w:hAnsi="Calibri" w:cs="Arial"/>
        </w:rPr>
        <w:t xml:space="preserve"> </w:t>
      </w:r>
      <w:r w:rsidR="00931D07">
        <w:rPr>
          <w:rFonts w:ascii="Calibri" w:hAnsi="Calibri" w:cs="Arial"/>
        </w:rPr>
        <w:fldChar w:fldCharType="begin" w:fldLock="1"/>
      </w:r>
      <w:r w:rsidR="00931D07">
        <w:rPr>
          <w:rFonts w:ascii="Calibri" w:hAnsi="Calibri" w:cs="Arial"/>
        </w:rPr>
        <w:instrText>ADDIN CSL_CITATION { "citationItems" : [ { "id" : "ITEM-1", "itemData" : { "ISSN" : "0092-8674", "PMID" : "14697198", "abstract" : "MicroRNAs (miRNAs) can play important gene regulatory roles in nematodes, insects, and plants by basepairing to mRNAs to specify posttranscriptional repression of these messages. However, the mRNAs regulated by vertebrate miRNAs are all unknown. Here we predict more than 400 regulatory target genes for the conserved vertebrate miRNAs by identifying mRNAs with conserved pairing to the 5' region of the miRNA and evaluating the number and quality of these complementary sites. Rigorous tests using shuffled miRNA controls supported a majority of these predictions, with the fraction of false positives estimated at 31% for targets identified in human, mouse, and rat and 22% for targets identified in pufferfish as well as mammals. Eleven predicted targets (out of 15 tested) were supported experimentally using a HeLa cell reporter system. The predicted regulatory targets of mammalian miRNAs were enriched for genes involved in transcriptional regulation but also encompassed an unexpectedly broad range of other functions.", "author" : [ { "dropping-particle" : "", "family" : "Lewis", "given" : "Benjamin P", "non-dropping-particle" : "", "parse-names" : false, "suffix" : "" }, { "dropping-particle" : "", "family" : "Shih", "given" : "I-hung", "non-dropping-particle" : "", "parse-names" : false, "suffix" : "" }, { "dropping-particle" : "", "family" : "Jones-Rhoades", "given" : "Matthew W", "non-dropping-particle" : "", "parse-names" : false, "suffix" : "" }, { "dropping-particle" : "", "family" : "Bartel", "given" : "David P", "non-dropping-particle" : "", "parse-names" : false, "suffix" : "" }, { "dropping-particle" : "", "family" : "Burge", "given" : "Christopher B", "non-dropping-particle" : "", "parse-names" : false, "suffix" : "" } ], "container-title" : "Cell", "id" : "ITEM-1", "issue" : "7", "issued" : { "date-parts" : [ [ "2003", "12", "26" ] ] }, "page" : "787-98", "title" : "Prediction of mammalian microRNA targets.", "type" : "article-journal", "volume" : "115" }, "uris" : [ "http://www.mendeley.com/documents/?uuid=06cd03c0-0c07-43f6-8193-419913be5132" ] } ], "mendeley" : { "formattedCitation" : "(Lewis, Shih, Jones-Rhoades, Bartel, &amp; Burge, 2003)", "plainTextFormattedCitation" : "(Lewis, Shih, Jones-Rhoades, Bartel, &amp; Burge, 2003)", "previouslyFormattedCitation" : "(Lewis, Shih, Jones-Rhoades, Bartel, &amp; Burge, 2003)" }, "properties" : { "noteIndex" : 0 }, "schema" : "https://github.com/citation-style-language/schema/raw/master/csl-citation.json" }</w:instrText>
      </w:r>
      <w:r w:rsidR="00931D07">
        <w:rPr>
          <w:rFonts w:ascii="Calibri" w:hAnsi="Calibri" w:cs="Arial"/>
        </w:rPr>
        <w:fldChar w:fldCharType="separate"/>
      </w:r>
      <w:r w:rsidR="00931D07" w:rsidRPr="00454FCA">
        <w:rPr>
          <w:rFonts w:ascii="Calibri" w:hAnsi="Calibri" w:cs="Arial"/>
          <w:noProof/>
        </w:rPr>
        <w:t>(Lewis, Shih, Jones-Rhoades, Bartel, &amp; Burge, 2003)</w:t>
      </w:r>
      <w:r w:rsidR="00931D07">
        <w:rPr>
          <w:rFonts w:ascii="Calibri" w:hAnsi="Calibri" w:cs="Arial"/>
        </w:rPr>
        <w:fldChar w:fldCharType="end"/>
      </w:r>
      <w:r w:rsidR="004D59AB">
        <w:rPr>
          <w:rFonts w:ascii="Calibri" w:hAnsi="Calibri" w:cs="Arial"/>
        </w:rPr>
        <w:t xml:space="preserve">. Where a transcript contains </w:t>
      </w:r>
      <w:r w:rsidR="000C633D">
        <w:rPr>
          <w:rFonts w:ascii="Calibri" w:hAnsi="Calibri" w:cs="Arial"/>
        </w:rPr>
        <w:t>a sequence complementary</w:t>
      </w:r>
      <w:r w:rsidR="004D59AB">
        <w:rPr>
          <w:rFonts w:ascii="Calibri" w:hAnsi="Calibri" w:cs="Arial"/>
        </w:rPr>
        <w:t xml:space="preserve"> to</w:t>
      </w:r>
      <w:r w:rsidR="000C633D">
        <w:rPr>
          <w:rFonts w:ascii="Calibri" w:hAnsi="Calibri" w:cs="Arial"/>
        </w:rPr>
        <w:t xml:space="preserve"> a</w:t>
      </w:r>
      <w:r w:rsidR="004D59AB">
        <w:rPr>
          <w:rFonts w:ascii="Calibri" w:hAnsi="Calibri" w:cs="Arial"/>
        </w:rPr>
        <w:t xml:space="preserve"> miRNA</w:t>
      </w:r>
      <w:r w:rsidR="000C633D">
        <w:rPr>
          <w:rFonts w:ascii="Calibri" w:hAnsi="Calibri" w:cs="Arial"/>
        </w:rPr>
        <w:t xml:space="preserve"> </w:t>
      </w:r>
      <w:r w:rsidR="004D59AB">
        <w:rPr>
          <w:rFonts w:ascii="Calibri" w:hAnsi="Calibri" w:cs="Arial"/>
        </w:rPr>
        <w:t>s</w:t>
      </w:r>
      <w:r w:rsidR="000C633D">
        <w:rPr>
          <w:rFonts w:ascii="Calibri" w:hAnsi="Calibri" w:cs="Arial"/>
        </w:rPr>
        <w:t>eed sequence</w:t>
      </w:r>
      <w:r w:rsidR="004D59AB">
        <w:rPr>
          <w:rFonts w:ascii="Calibri" w:hAnsi="Calibri" w:cs="Arial"/>
        </w:rPr>
        <w:t xml:space="preserve">, the binding site is often referred to as the </w:t>
      </w:r>
      <w:r w:rsidR="00347154">
        <w:rPr>
          <w:rFonts w:ascii="Calibri" w:hAnsi="Calibri" w:cs="Arial"/>
        </w:rPr>
        <w:t>miRNA response</w:t>
      </w:r>
      <w:r w:rsidR="004D59AB">
        <w:rPr>
          <w:rFonts w:ascii="Calibri" w:hAnsi="Calibri" w:cs="Arial"/>
        </w:rPr>
        <w:t xml:space="preserve"> (or recognition)</w:t>
      </w:r>
      <w:r w:rsidR="00347154">
        <w:rPr>
          <w:rFonts w:ascii="Calibri" w:hAnsi="Calibri" w:cs="Arial"/>
        </w:rPr>
        <w:t xml:space="preserve"> elemen</w:t>
      </w:r>
      <w:r w:rsidR="004D59AB">
        <w:rPr>
          <w:rFonts w:ascii="Calibri" w:hAnsi="Calibri" w:cs="Arial"/>
        </w:rPr>
        <w:t>t</w:t>
      </w:r>
      <w:r w:rsidR="00347154">
        <w:rPr>
          <w:rFonts w:ascii="Calibri" w:hAnsi="Calibri" w:cs="Arial"/>
        </w:rPr>
        <w:t xml:space="preserve"> (MRE) </w:t>
      </w:r>
      <w:r w:rsidR="00347154">
        <w:rPr>
          <w:rFonts w:ascii="Calibri" w:hAnsi="Calibri" w:cs="Arial"/>
        </w:rPr>
        <w:fldChar w:fldCharType="begin" w:fldLock="1"/>
      </w:r>
      <w:r w:rsidR="00F7354A">
        <w:rPr>
          <w:rFonts w:ascii="Calibri" w:hAnsi="Calibri" w:cs="Arial"/>
        </w:rPr>
        <w:instrText>ADDIN CSL_CITATION { "citationItems" : [ { "id" : "ITEM-1", "itemData" : { "DOI" : "10.1016/j.cell.2005.08.044", "ISBN" : "0092-8674 (Print)\r0092-8674 (Linking)", "PMID" : "16271386", "abstract" : "In the Drosophila and mammalian RNA interference pathways, siRNAs direct the protein Argonaute2 (Ago2) to cleave corresponding mRNA targets, silencing their expression. Ago2 is the catalytic component of the RNAi enzyme complex, RISC. For each siRNA duplex, only one strand, the guide, is assembled into the active RISC; the other strand, the passenger, is destroyed. An ATP-dependent helicase has been proposed first to separate the two siRNA strands, then the resulting single-stranded guide is thought to bind Ago2. Here, we show that Ago2 instead directly receives the double-stranded siRNA from the RISC assembly machinery. Ago2 then cleaves the siRNA passenger strand, thereby liberating the single-stranded guide. For siRNAs, virtually all RISC is assembled through this cleavage-assisted mechanism. In contrast, passenger-strand cleavage is not important for the incorporation of miRNAs that derive from mismatched duplexes.", "author" : [ { "dropping-particle" : "", "family" : "Matranga", "given" : "C", "non-dropping-particle" : "", "parse-names" : false, "suffix" : "" }, { "dropping-particle" : "", "family" : "Tomari", "given" : "Y", "non-dropping-particle" : "", "parse-names" : false, "suffix" : "" }, { "dropping-particle" : "", "family" : "Shin", "given" : "C", "non-dropping-particle" : "", "parse-names" : false, "suffix" : "" }, { "dropping-particle" : "", "family" : "Bartel", "given" : "D P", "non-dropping-particle" : "", "parse-names" : false, "suffix" : "" }, { "dropping-particle" : "", "family" : "Zamore", "given" : "P D", "non-dropping-particle" : "", "parse-names" : false, "suffix" : "" } ], "container-title" : "Cell", "edition" : "2005/11/08", "id" : "ITEM-1", "issue" : "4", "issued" : { "date-parts" : [ [ "2005" ] ] }, "language" : "eng", "note" : "Matranga, Christian\nTomari, Yukihide\nShin, Chanseok\nBartel, David P\nZamore, Phillip D\nGM62862/GM/NIGMS NIH HHS/\nGM65236/GM/NIGMS NIH HHS/\nGM67031/GM/NIGMS NIH HHS/\nCell. 2005 Nov 18;123(4):607-20. Epub 2005 Nov 3.", "page" : "607-620", "title" : "Passenger-strand cleavage facilitates assembly of siRNA into Ago2-containing RNAi enzyme complexes", "type" : "article-journal", "volume" : "123" }, "uris" : [ "http://www.mendeley.com/documents/?uuid=bbfc907d-1c64-49a6-a966-1c13e8ea1fb0" ] }, { "id" : "ITEM-2", "itemData" : { "DOI" : "10.1038/sj.embor.7400637", "ISBN" : "1469-221X (Print)\r1469-221X (Linking)", "PMID" : "16439995", "abstract" : "A crucial step in the RNA interference (RNAi) pathway involves the assembly of RISC, the RNA-induced silencing complex. RISC initially recognizes a double-stranded short interfering RNA (siRNA), but only one strand is finally retained in the functional ribonucleoprotein complex. The non-incorporated strand, or 'passenger' strand, is removed during the assembly process and most probably degraded thereafter. In this report, we show that the passenger strand is cleaved during the course of RISC assembly following the same rules established for the siRNA-guided cleavage of a target RNA. Chemical modifications impairing the cleavage of the passenger strand also impair the cleavage of a target RNA in vitro as well as the silencing of a reporter gene in vivo, suggesting that passenger strand removal is facilitated by its cleavage during RISC assembly. Interestingly, target RNA cleavage can be rescued if an otherwise non-cleavable passenger strand shows a nick at the scissile phosphodiester bond, which further indicates that the cleavage event per se is not essential.", "author" : [ { "dropping-particle" : "", "family" : "Leuschner", "given" : "P J", "non-dropping-particle" : "", "parse-names" : false, "suffix" : "" }, { "dropping-particle" : "", "family" : "Ameres", "given" : "S L", "non-dropping-particle" : "", "parse-names" : false, "suffix" : "" }, { "dropping-particle" : "", "family" : "Kueng", "given" : "S", "non-dropping-particle" : "", "parse-names" : false, "suffix" : "" }, { "dropping-particle" : "", "family" : "Martinez", "given" : "J", "non-dropping-particle" : "", "parse-names" : false, "suffix" : "" } ], "container-title" : "EMBO Rep", "edition" : "2006/01/28", "id" : "ITEM-2", "issue" : "3", "issued" : { "date-parts" : [ [ "2006" ] ] }, "language" : "eng", "note" : "Leuschner, Philipp J F\nAmeres, Stefan L\nKueng, Stephanie\nMartinez, Javier\nEngland\nEMBO Rep. 2006 Mar;7(3):314-20. Epub 2006 Jan 20.", "page" : "314-320", "title" : "Cleavage of the siRNA passenger strand during RISC assembly in human cells", "type" : "article-journal", "volume" : "7" }, "uris" : [ "http://www.mendeley.com/documents/?uuid=fc9a9f41-d36f-41cf-a262-6e0db785fe7f" ] } ], "mendeley" : { "formattedCitation" : "(Leuschner, Ameres, Kueng, &amp; Martinez, 2006; Matranga, Tomari, Shin, Bartel, &amp; Zamore, 2005)", "plainTextFormattedCitation" : "(Leuschner, Ameres, Kueng, &amp; Martinez, 2006; Matranga, Tomari, Shin, Bartel, &amp; Zamore, 2005)", "previouslyFormattedCitation" : "(Leuschner, Ameres, Kueng, &amp; Martinez, 2006; Matranga, Tomari, Shin, Bartel, &amp; Zamore, 2005)" }, "properties" : { "noteIndex" : 0 }, "schema" : "https://github.com/citation-style-language/schema/raw/master/csl-citation.json" }</w:instrText>
      </w:r>
      <w:r w:rsidR="00347154">
        <w:rPr>
          <w:rFonts w:ascii="Calibri" w:hAnsi="Calibri" w:cs="Arial"/>
        </w:rPr>
        <w:fldChar w:fldCharType="separate"/>
      </w:r>
      <w:r w:rsidR="00BE65D6" w:rsidRPr="00BE65D6">
        <w:rPr>
          <w:rFonts w:ascii="Calibri" w:hAnsi="Calibri" w:cs="Arial"/>
          <w:noProof/>
        </w:rPr>
        <w:t xml:space="preserve">(Leuschner, Ameres, Kueng, &amp; </w:t>
      </w:r>
      <w:r w:rsidR="00BE65D6" w:rsidRPr="00BE65D6">
        <w:rPr>
          <w:rFonts w:ascii="Calibri" w:hAnsi="Calibri" w:cs="Arial"/>
          <w:noProof/>
        </w:rPr>
        <w:lastRenderedPageBreak/>
        <w:t>Martinez, 2006; Matranga, Tomari, Shin, Bartel, &amp; Zamore, 2005)</w:t>
      </w:r>
      <w:r w:rsidR="00347154">
        <w:rPr>
          <w:rFonts w:ascii="Calibri" w:hAnsi="Calibri" w:cs="Arial"/>
        </w:rPr>
        <w:fldChar w:fldCharType="end"/>
      </w:r>
      <w:r w:rsidR="001C309E">
        <w:rPr>
          <w:rFonts w:ascii="Calibri" w:hAnsi="Calibri" w:cs="Arial"/>
        </w:rPr>
        <w:t>.</w:t>
      </w:r>
      <w:r w:rsidR="009C644C">
        <w:rPr>
          <w:rFonts w:ascii="Calibri" w:hAnsi="Calibri" w:cs="Arial"/>
        </w:rPr>
        <w:t xml:space="preserve"> </w:t>
      </w:r>
      <w:r w:rsidR="003049BE">
        <w:rPr>
          <w:rFonts w:ascii="Calibri" w:hAnsi="Calibri" w:cs="Arial"/>
        </w:rPr>
        <w:t xml:space="preserve">These are most commonly found within coding transcript 3’ untranslated regions (3’-UTR). </w:t>
      </w:r>
      <w:r w:rsidR="000C633D" w:rsidRPr="000C633D">
        <w:rPr>
          <w:rFonts w:ascii="Calibri" w:hAnsi="Calibri" w:cs="Arial"/>
        </w:rPr>
        <w:t xml:space="preserve">However, cases of target recognition that do not involve the seed sequence at all but involve base pairing at the central </w:t>
      </w:r>
      <w:r w:rsidR="000C633D" w:rsidRPr="000C633D">
        <w:rPr>
          <w:rFonts w:ascii="Calibri" w:hAnsi="Calibri" w:cs="Arial"/>
        </w:rPr>
        <w:fldChar w:fldCharType="begin" w:fldLock="1"/>
      </w:r>
      <w:r w:rsidR="000C633D" w:rsidRPr="000C633D">
        <w:rPr>
          <w:rFonts w:ascii="Calibri" w:hAnsi="Calibri" w:cs="Arial"/>
        </w:rPr>
        <w:instrText>ADDIN CSL_CITATION { "citationItems" : [ { "id" : "ITEM-1", "itemData" : { "DOI" : "10.1016/j.molcel.2010.06.005", "ISSN" : "1097-4164", "PMID" : "20620952", "abstract" : "Most metazoan microRNA (miRNA) target sites have perfect pairing to the seed region, located near the miRNA 5' end. Although pairing to the 3' region sometimes supplements seed matches or compensates for mismatches, pairing to the central region has been known to function only at rare sites that impart Argonaute-catalyzed mRNA cleavage. Here, we present \"centered sites,\" a class of miRNA target sites that lack both perfect seed pairing and 3'-compensatory pairing and instead have 11-12 contiguous Watson-Crick pairs to the center of the miRNA. Although centered sites can impart mRNA cleavage in vitro (in elevated Mg(2+)), in cells they repress protein output without consequential Argonaute-catalyzed cleavage. Our study also identified extensively paired sites that are cleavage substrates in cultured cells and human brain. This expanded repertoire of cleavage targets and the identification of the centered site type help explain why central regions of many miRNAs are evolutionarily conserved.", "author" : [ { "dropping-particle" : "", "family" : "Shin", "given" : "Chanseok", "non-dropping-particle" : "", "parse-names" : false, "suffix" : "" }, { "dropping-particle" : "", "family" : "Nam", "given" : "Jin-Wu", "non-dropping-particle" : "", "parse-names" : false, "suffix" : "" }, { "dropping-particle" : "", "family" : "Farh", "given" : "Kyle Kai-How", "non-dropping-particle" : "", "parse-names" : false, "suffix" : "" }, { "dropping-particle" : "", "family" : "Chiang", "given" : "H Rosaria", "non-dropping-particle" : "", "parse-names" : false, "suffix" : "" }, { "dropping-particle" : "", "family" : "Shkumatava", "given" : "Alena", "non-dropping-particle" : "", "parse-names" : false, "suffix" : "" }, { "dropping-particle" : "", "family" : "Bartel", "given" : "David P", "non-dropping-particle" : "", "parse-names" : false, "suffix" : "" } ], "container-title" : "Molecular cell", "id" : "ITEM-1", "issue" : "6", "issued" : { "date-parts" : [ [ "2010", "6", "25" ] ] }, "page" : "789-802", "title" : "Expanding the microRNA targeting code: functional sites with centered pairing.", "type" : "article-journal", "volume" : "38" }, "uris" : [ "http://www.mendeley.com/documents/?uuid=e2842f3a-6624-49dd-a239-da0e2167d930" ] } ], "mendeley" : { "formattedCitation" : "(Shin et al., 2010)", "plainTextFormattedCitation" : "(Shin et al., 2010)", "previouslyFormattedCitation" : "(Shin et al., 2010)" }, "properties" : { "noteIndex" : 0 }, "schema" : "https://github.com/citation-style-language/schema/raw/master/csl-citation.json" }</w:instrText>
      </w:r>
      <w:r w:rsidR="000C633D" w:rsidRPr="000C633D">
        <w:rPr>
          <w:rFonts w:ascii="Calibri" w:hAnsi="Calibri" w:cs="Arial"/>
        </w:rPr>
        <w:fldChar w:fldCharType="separate"/>
      </w:r>
      <w:r w:rsidR="000C633D" w:rsidRPr="000C633D">
        <w:rPr>
          <w:rFonts w:ascii="Calibri" w:hAnsi="Calibri" w:cs="Arial"/>
          <w:noProof/>
        </w:rPr>
        <w:t>(Shin et al., 2010)</w:t>
      </w:r>
      <w:r w:rsidR="000C633D" w:rsidRPr="000C633D">
        <w:rPr>
          <w:rFonts w:ascii="Calibri" w:hAnsi="Calibri" w:cs="Arial"/>
        </w:rPr>
        <w:fldChar w:fldCharType="end"/>
      </w:r>
      <w:r w:rsidR="000C633D" w:rsidRPr="000C633D">
        <w:rPr>
          <w:rFonts w:ascii="Calibri" w:hAnsi="Calibri" w:cs="Arial"/>
        </w:rPr>
        <w:t xml:space="preserve"> or 3’ end of the guide strand </w:t>
      </w:r>
      <w:r w:rsidR="001B57CD" w:rsidRPr="000C633D">
        <w:rPr>
          <w:rFonts w:ascii="Calibri" w:hAnsi="Calibri" w:cs="Arial"/>
        </w:rPr>
        <w:fldChar w:fldCharType="begin" w:fldLock="1"/>
      </w:r>
      <w:r w:rsidR="001B57CD" w:rsidRPr="000C633D">
        <w:rPr>
          <w:rFonts w:ascii="Calibri" w:hAnsi="Calibri" w:cs="Arial"/>
        </w:rPr>
        <w:instrText>ADDIN CSL_CITATION { "citationItems" : [ { "id" : "ITEM-1", "itemData" : { "DOI" : "10.1016/j.molcel.2010.06.005", "ISSN" : "1097-4164", "PMID" : "20620952", "abstract" : "Most metazoan microRNA (miRNA) target sites have perfect pairing to the seed region, located near the miRNA 5' end. Although pairing to the 3' region sometimes supplements seed matches or compensates for mismatches, pairing to the central region has been known to function only at rare sites that impart Argonaute-catalyzed mRNA cleavage. Here, we present \"centered sites,\" a class of miRNA target sites that lack both perfect seed pairing and 3'-compensatory pairing and instead have 11-12 contiguous Watson-Crick pairs to the center of the miRNA. Although centered sites can impart mRNA cleavage in vitro (in elevated Mg(2+)), in cells they repress protein output without consequential Argonaute-catalyzed cleavage. Our study also identified extensively paired sites that are cleavage substrates in cultured cells and human brain. This expanded repertoire of cleavage targets and the identification of the centered site type help explain why central regions of many miRNAs are evolutionarily conserved.", "author" : [ { "dropping-particle" : "", "family" : "Shin", "given" : "Chanseok", "non-dropping-particle" : "", "parse-names" : false, "suffix" : "" }, { "dropping-particle" : "", "family" : "Nam", "given" : "Jin-Wu", "non-dropping-particle" : "", "parse-names" : false, "suffix" : "" }, { "dropping-particle" : "", "family" : "Farh", "given" : "Kyle Kai-How", "non-dropping-particle" : "", "parse-names" : false, "suffix" : "" }, { "dropping-particle" : "", "family" : "Chiang", "given" : "H Rosaria", "non-dropping-particle" : "", "parse-names" : false, "suffix" : "" }, { "dropping-particle" : "", "family" : "Shkumatava", "given" : "Alena", "non-dropping-particle" : "", "parse-names" : false, "suffix" : "" }, { "dropping-particle" : "", "family" : "Bartel", "given" : "David P", "non-dropping-particle" : "", "parse-names" : false, "suffix" : "" } ], "container-title" : "Molecular cell", "id" : "ITEM-1", "issue" : "6", "issued" : { "date-parts" : [ [ "2010", "6", "25" ] ] }, "page" : "789-802", "title" : "Expanding the microRNA targeting code: functional sites with centered pairing.", "type" : "article-journal", "volume" : "38" }, "uris" : [ "http://www.mendeley.com/documents/?uuid=e2842f3a-6624-49dd-a239-da0e2167d930" ] }, { "id" : "ITEM-2", "itemData" : { "DOI" : "10.1038/nsmb.2230", "ISSN" : "1545-9985", "PMID" : "22343717", "abstract" : "MicroRNAs (miRNAs) regulate mRNA targets through perfect pairing with their seed region (positions 2-7). Recently, a precise genome-wide map of miRNA interaction sites in mouse brain was generated by high-throughput sequencing and analysis of clusters of ~50-nucleotide mRNA tags cross-linked to Argonaute (Ago HITS-CLIP). By analyzing Ago HITS-CLIP 'orphan clusters'-Ago binding regions from HITS-CLIP that cannot be explained by canonical seed matches-we have now identified an alternative binding mode used by miRNAs. Specifically, G-bulge sites (positions 5-6) are often bound and regulated by miR-124 in brain. More generally, bulged sites comprise \u226515% of all Ago-miRNA interactions in mouse brain and are evolutionarily conserved. We call position 6 the 'pivot' nucleotide and suggest a model in which a transitional 'nucleation bulge' leads to functional bulge mRNA-miRNA interactions, expanding the number of potential miRNA regulatory sites.", "author" : [ { "dropping-particle" : "", "family" : "Chi", "given" : "Sung Wook", "non-dropping-particle" : "", "parse-names" : false, "suffix" : "" }, { "dropping-particle" : "", "family" : "Hannon", "given" : "Gregory J", "non-dropping-particle" : "", "parse-names" : false, "suffix" : "" }, { "dropping-particle" : "", "family" : "Darnell", "given" : "Robert B", "non-dropping-particle" : "", "parse-names" : false, "suffix" : "" } ], "container-title" : "Nature structural &amp; molecular biology", "id" : "ITEM-2", "issue" : "3", "issued" : { "date-parts" : [ [ "2012", "3" ] ] }, "page" : "321-7", "title" : "An alternative mode of microRNA target recognition.", "type" : "article-journal", "volume" : "19" }, "uris" : [ "http://www.mendeley.com/documents/?uuid=e43a1e1a-602e-4a58-b130-e2b9fa9c5ad8" ] } ], "mendeley" : { "formattedCitation" : "(Sung Wook Chi, Hannon, &amp; Darnell, 2012; Shin et al., 2010)", "manualFormatting" : "(Sung Wook Chi, Hannon, &amp; Darnell, 2012)", "plainTextFormattedCitation" : "(Sung Wook Chi, Hannon, &amp; Darnell, 2012; Shin et al., 2010)", "previouslyFormattedCitation" : "(Sung Wook Chi, Hannon, &amp; Darnell, 2012; Shin et al., 2010)" }, "properties" : { "noteIndex" : 0 }, "schema" : "https://github.com/citation-style-language/schema/raw/master/csl-citation.json" }</w:instrText>
      </w:r>
      <w:r w:rsidR="001B57CD" w:rsidRPr="000C633D">
        <w:rPr>
          <w:rFonts w:ascii="Calibri" w:hAnsi="Calibri" w:cs="Arial"/>
        </w:rPr>
        <w:fldChar w:fldCharType="separate"/>
      </w:r>
      <w:r w:rsidR="001B57CD" w:rsidRPr="000C633D">
        <w:rPr>
          <w:rFonts w:ascii="Calibri" w:hAnsi="Calibri" w:cs="Arial"/>
          <w:noProof/>
        </w:rPr>
        <w:t>(Sung Wook Chi, Hannon, &amp; Darnell, 2012)</w:t>
      </w:r>
      <w:r w:rsidR="001B57CD" w:rsidRPr="000C633D">
        <w:rPr>
          <w:rFonts w:ascii="Calibri" w:hAnsi="Calibri" w:cs="Arial"/>
        </w:rPr>
        <w:fldChar w:fldCharType="end"/>
      </w:r>
      <w:r w:rsidR="001B57CD">
        <w:rPr>
          <w:rFonts w:ascii="Calibri" w:hAnsi="Calibri" w:cs="Arial"/>
        </w:rPr>
        <w:t xml:space="preserve"> </w:t>
      </w:r>
      <w:r w:rsidR="000C633D" w:rsidRPr="000C633D">
        <w:rPr>
          <w:rFonts w:ascii="Calibri" w:hAnsi="Calibri" w:cs="Arial"/>
        </w:rPr>
        <w:t>have been documented</w:t>
      </w:r>
      <w:r w:rsidR="000C633D">
        <w:rPr>
          <w:rFonts w:ascii="Calibri" w:hAnsi="Calibri" w:cs="Arial"/>
        </w:rPr>
        <w:t>. T</w:t>
      </w:r>
      <w:r w:rsidR="000C633D" w:rsidRPr="000C633D">
        <w:rPr>
          <w:rFonts w:ascii="Calibri" w:hAnsi="Calibri" w:cs="Arial"/>
        </w:rPr>
        <w:t xml:space="preserve">he rules of target recognition are not fully described, restricting </w:t>
      </w:r>
      <w:r w:rsidR="00591783">
        <w:rPr>
          <w:rFonts w:ascii="Calibri" w:hAnsi="Calibri" w:cs="Arial"/>
        </w:rPr>
        <w:t xml:space="preserve">the utility of </w:t>
      </w:r>
      <w:r w:rsidR="000C633D" w:rsidRPr="000C633D">
        <w:rPr>
          <w:rFonts w:ascii="Calibri" w:hAnsi="Calibri" w:cs="Arial"/>
        </w:rPr>
        <w:t>computational tar</w:t>
      </w:r>
      <w:r w:rsidR="00591783">
        <w:rPr>
          <w:rFonts w:ascii="Calibri" w:hAnsi="Calibri" w:cs="Arial"/>
        </w:rPr>
        <w:t>get prediction</w:t>
      </w:r>
      <w:r w:rsidR="001B57CD">
        <w:rPr>
          <w:rFonts w:ascii="Calibri" w:hAnsi="Calibri" w:cs="Arial"/>
        </w:rPr>
        <w:t xml:space="preserve">. </w:t>
      </w:r>
      <w:r w:rsidR="000C633D">
        <w:rPr>
          <w:rFonts w:ascii="Calibri" w:hAnsi="Calibri" w:cs="Arial"/>
        </w:rPr>
        <w:t xml:space="preserve">Furthermore, miRNA and siRNA are subject to 5’ and 3’ end modification </w:t>
      </w:r>
      <w:r w:rsidR="000C633D">
        <w:rPr>
          <w:rFonts w:ascii="Calibri" w:hAnsi="Calibri" w:cs="Arial"/>
        </w:rPr>
        <w:fldChar w:fldCharType="begin" w:fldLock="1"/>
      </w:r>
      <w:r w:rsidR="000C633D">
        <w:rPr>
          <w:rFonts w:ascii="Calibri" w:hAnsi="Calibri" w:cs="Arial"/>
        </w:rPr>
        <w:instrText>ADDIN CSL_CITATION { "citationItems" : [ { "id" : "ITEM-1", "itemData" : { "DOI" : "10.1073/pnas.0800334105", "ISSN" : "1091-6490", "PMID" : "18524951", "abstract" : "Small RNAs triggering RNA silencing are loaded onto Argonautes and then sequence-specifically guide them to target transcripts. Epitope-tagged human Argonautes (hAgo1, hAgo2, hAgo3, and hAgo4) are associated with siRNAs and miRNAs, but only epitope-tagged hAgo2 has been shown to have Slicer activity. Contrarily, how endogenous hAgos behave with respect to small RNA association and target RNA destruction has remained unclear. Here, we produced monoclonal antibodies for individual hAgos. High-throughput pyrosequencing revealed that immunopurified endogenous hAgo2 and hAgo3 associated mostly with miRNAs. Endogenous hAgo3 did not show Slicer function but localized in P-bodies, suggesting that hAgo3 endogenously expressed is, like hAgo2, involved in the miRNA pathway but antagonizes the RNAi activity of hAgo2. Sequence variations of miRNAs were found at both 5' and 3' ends, suggesting that multiple mature miRNAs containing different \"seed\" sequences can arise from one miRNA precursor. The hAgo antibodies we raised are valuable tools for ascertaining the functional behavior of endogenous Argonautes and miRNAs in RNA silencing.", "author" : [ { "dropping-particle" : "", "family" : "Azuma-Mukai", "given" : "Asuka", "non-dropping-particle" : "", "parse-names" : false, "suffix" : "" }, { "dropping-particle" : "", "family" : "Oguri", "given" : "Hideo", "non-dropping-particle" : "", "parse-names" : false, "suffix" : "" }, { "dropping-particle" : "", "family" : "Mituyama", "given" : "Toutai", "non-dropping-particle" : "", "parse-names" : false, "suffix" : "" }, { "dropping-particle" : "", "family" : "Qian", "given" : "Zhi Rong", "non-dropping-particle" : "", "parse-names" : false, "suffix" : "" }, { "dropping-particle" : "", "family" : "Asai", "given" : "Kiyoshi", "non-dropping-particle" : "", "parse-names" : false, "suffix" : "" }, { "dropping-particle" : "", "family" : "Siomi", "given" : "Haruhiko", "non-dropping-particle" : "", "parse-names" : false, "suffix" : "" }, { "dropping-particle" : "", "family" : "Siomi", "given" : "Mikiko C", "non-dropping-particle" : "", "parse-names" : false, "suffix" : "" } ], "container-title" : "Proceedings of the National Academy of Sciences of the United States of America", "id" : "ITEM-1", "issue" : "23", "issued" : { "date-parts" : [ [ "2008", "6", "10" ] ] }, "page" : "7964-9", "title" : "Characterization of endogenous human Argonautes and their miRNA partners in RNA silencing.", "type" : "article-journal", "volume" : "105" }, "uris" : [ "http://www.mendeley.com/documents/?uuid=ce88666b-5135-4251-b45a-def6ca380222" ] }, { "id" : "ITEM-2", "itemData" : { "ISSN" : "1555-8584", "PMID" : "21282978", "abstract" : "While several studies have focused on the relationship between individual miRNA loci or classes of small RNA with human Argonaute (AGO) proteins, a comprehensive, global analysis of the RNA content associating with different AGO proteins has yet to be performed. We have compared the content of deep sequenced RNA extracted from immunoprecipitation experiments with the AGO1, AGO2, and AGO3 proteins. Consistent with previous observations, sequence tags derived from miRNA loci globally associate in approximately equivalent amounts with AGO1, AGO2, and AGO3. Exceptions include miR-182, miR-222, and miR-223*, which could be coupled to processes targeting the loci for interaction with specific AGO proteins. A closer inspection of the data, however, supports the presence of an unusual sorting mechanism wherein a subset of miRNA loci give rise to distinct isomirs which preferentially associate with distinct AGO proteins in a significantly differential manner. We also identify the complete set of short RNA derived from non-miRNA sources including tRNA, snRNA, snoRNA, vRNA, and mRNA associating with the AGO proteins, many of which are predicted to play roles in post-transcriptional gene silencing. We also observe enrichment of tags mapping to promoter regions of genes, suggesting that a fraction of the recently-identified promoter-associated small RNAs in humans could function through interaction with AGO proteins. Finally, we observe antisense miRNA transcripts are frequently present in low copy numbers across a range of diverse miRNA loci and these transcripts appear to associate with AGO proteins.", "author" : [ { "dropping-particle" : "", "family" : "Burroughs", "given" : "Alexander Maxwell", "non-dropping-particle" : "", "parse-names" : false, "suffix" : "" }, { "dropping-particle" : "", "family" : "Ando", "given" : "Yoshinari", "non-dropping-particle" : "", "parse-names" : false, "suffix" : "" }, { "dropping-particle" : "", "family" : "Hoon", "given" : "Michiel Jan Laurens", "non-dropping-particle" : "de", "parse-names" : false, "suffix" : "" }, { "dropping-particle" : "", "family" : "Tomaru", "given" : "Yasuhiro", "non-dropping-particle" : "", "parse-names" : false, "suffix" : "" }, { "dropping-particle" : "", "family" : "Suzuki", "given" : "Harukazu", "non-dropping-particle" : "", "parse-names" : false, "suffix" : "" }, { "dropping-particle" : "", "family" : "Hayashizaki", "given" : "Yoshihide", "non-dropping-particle" : "", "parse-names" : false, "suffix" : "" }, { "dropping-particle" : "", "family" : "Daub", "given" : "Carsten Olivier", "non-dropping-particle" : "", "parse-names" : false, "suffix" : "" } ], "container-title" : "RNA biology", "id" : "ITEM-2", "issue" : "1", "issued" : { "date-parts" : [ [ "0", "1" ] ] }, "page" : "158-77", "title" : "Deep-sequencing of human Argonaute-associated small RNAs provides insight into miRNA sorting and reveals Argonaute association with RNA fragments of diverse origin.", "type" : "article-journal", "volume" : "8" }, "uris" : [ "http://www.mendeley.com/documents/?uuid=77c8030a-9334-43b6-99fe-eb5500cd8aab" ] } ], "mendeley" : { "formattedCitation" : "(Azuma-Mukai et al., 2008; Burroughs et al.)", "plainTextFormattedCitation" : "(Azuma-Mukai et al., 2008; Burroughs et al.)", "previouslyFormattedCitation" : "(Azuma-Mukai et al., 2008; Burroughs et al.)" }, "properties" : { "noteIndex" : 0 }, "schema" : "https://github.com/citation-style-language/schema/raw/master/csl-citation.json" }</w:instrText>
      </w:r>
      <w:r w:rsidR="000C633D">
        <w:rPr>
          <w:rFonts w:ascii="Calibri" w:hAnsi="Calibri" w:cs="Arial"/>
        </w:rPr>
        <w:fldChar w:fldCharType="separate"/>
      </w:r>
      <w:r w:rsidR="000C633D" w:rsidRPr="004C15F6">
        <w:rPr>
          <w:rFonts w:ascii="Calibri" w:hAnsi="Calibri" w:cs="Arial"/>
          <w:noProof/>
        </w:rPr>
        <w:t>(Azuma-Mukai et al., 2008; Burroughs et al.)</w:t>
      </w:r>
      <w:r w:rsidR="000C633D">
        <w:rPr>
          <w:rFonts w:ascii="Calibri" w:hAnsi="Calibri" w:cs="Arial"/>
        </w:rPr>
        <w:fldChar w:fldCharType="end"/>
      </w:r>
      <w:r w:rsidR="00E7686F">
        <w:rPr>
          <w:rFonts w:ascii="Calibri" w:hAnsi="Calibri" w:cs="Arial"/>
        </w:rPr>
        <w:t xml:space="preserve">, leading to the generation of so-called isomiRs </w:t>
      </w:r>
      <w:r w:rsidR="00E7686F">
        <w:rPr>
          <w:rFonts w:ascii="Calibri" w:hAnsi="Calibri" w:cs="Arial"/>
        </w:rPr>
        <w:fldChar w:fldCharType="begin" w:fldLock="1"/>
      </w:r>
      <w:r w:rsidR="00007E50">
        <w:rPr>
          <w:rFonts w:ascii="Calibri" w:hAnsi="Calibri" w:cs="Arial"/>
        </w:rPr>
        <w:instrText>ADDIN CSL_CITATION { "citationItems" : [ { "id" : "ITEM-1", "itemData" : { "DOI" : "10.1101/gr.7179508", "ISSN" : "1088-9051", "PMID" : "18285502", "abstract" : "MicroRNAs (miRNAs) are emerging as important, albeit poorly characterized, regulators of biological processes. Key to further elucidation of their roles is the generation of more complete lists of their numbers and expression changes in different cell states. Here, we report a new method for surveying the expression of small RNAs, including microRNAs, using Illumina sequencing technology. We also present a set of methods for annotating sequences deriving from known miRNAs, identifying variability in mature miRNA sequences, and identifying sequences belonging to previously unidentified miRNA genes. Application of this approach to RNA from human embryonic stem cells obtained before and after their differentiation into embryoid bodies revealed the sequences and expression levels of 334 known plus 104 novel miRNA genes. One hundred seventy-one known and 23 novel microRNA sequences exhibited significant expression differences between these two developmental states. Owing to the increased number of sequence reads, these libraries represent the deepest miRNA sampling to date, spanning nearly six orders of magnitude of expression. The predicted targets of those miRNAs enriched in either sample shared common features. Included among the high-ranked predicted gene targets are those implicated in differentiation, cell cycle control, programmed cell death, and transcriptional regulation.", "author" : [ { "dropping-particle" : "", "family" : "Morin", "given" : "Ryan D", "non-dropping-particle" : "", "parse-names" : false, "suffix" : "" }, { "dropping-particle" : "", "family" : "O'Connor", "given" : "Michael D", "non-dropping-particle" : "", "parse-names" : false, "suffix" : "" }, { "dropping-particle" : "", "family" : "Griffith", "given" : "Malachi", "non-dropping-particle" : "", "parse-names" : false, "suffix" : "" }, { "dropping-particle" : "", "family" : "Kuchenbauer", "given" : "Florian", "non-dropping-particle" : "", "parse-names" : false, "suffix" : "" }, { "dropping-particle" : "", "family" : "Delaney", "given" : "Allen", "non-dropping-particle" : "", "parse-names" : false, "suffix" : "" }, { "dropping-particle" : "", "family" : "Prabhu", "given" : "Anna-Liisa", "non-dropping-particle" : "", "parse-names" : false, "suffix" : "" }, { "dropping-particle" : "", "family" : "Zhao", "given" : "Yongjun", "non-dropping-particle" : "", "parse-names" : false, "suffix" : "" }, { "dropping-particle" : "", "family" : "McDonald", "given" : "Helen", "non-dropping-particle" : "", "parse-names" : false, "suffix" : "" }, { "dropping-particle" : "", "family" : "Zeng", "given" : "Thomas", "non-dropping-particle" : "", "parse-names" : false, "suffix" : "" }, { "dropping-particle" : "", "family" : "Hirst", "given" : "Martin", "non-dropping-particle" : "", "parse-names" : false, "suffix" : "" }, { "dropping-particle" : "", "family" : "Eaves", "given" : "Connie J", "non-dropping-particle" : "", "parse-names" : false, "suffix" : "" }, { "dropping-particle" : "", "family" : "Marra", "given" : "Marco A", "non-dropping-particle" : "", "parse-names" : false, "suffix" : "" } ], "container-title" : "Genome research", "id" : "ITEM-1", "issue" : "4", "issued" : { "date-parts" : [ [ "2008", "4", "1" ] ] }, "page" : "610-21", "title" : "Application of massively parallel sequencing to microRNA profiling and discovery in human embryonic stem cells.", "type" : "article-journal", "volume" : "18" }, "uris" : [ "http://www.mendeley.com/documents/?uuid=f736104a-4ae1-43e1-82d7-86e9a6c092cd" ] } ], "mendeley" : { "formattedCitation" : "(Morin et al., 2008)", "plainTextFormattedCitation" : "(Morin et al., 2008)", "previouslyFormattedCitation" : "(Morin et al., 2008)" }, "properties" : { "noteIndex" : 0 }, "schema" : "https://github.com/citation-style-language/schema/raw/master/csl-citation.json" }</w:instrText>
      </w:r>
      <w:r w:rsidR="00E7686F">
        <w:rPr>
          <w:rFonts w:ascii="Calibri" w:hAnsi="Calibri" w:cs="Arial"/>
        </w:rPr>
        <w:fldChar w:fldCharType="separate"/>
      </w:r>
      <w:r w:rsidR="00E7686F" w:rsidRPr="00E7686F">
        <w:rPr>
          <w:rFonts w:ascii="Calibri" w:hAnsi="Calibri" w:cs="Arial"/>
          <w:noProof/>
        </w:rPr>
        <w:t>(Morin et al., 2008)</w:t>
      </w:r>
      <w:r w:rsidR="00E7686F">
        <w:rPr>
          <w:rFonts w:ascii="Calibri" w:hAnsi="Calibri" w:cs="Arial"/>
        </w:rPr>
        <w:fldChar w:fldCharType="end"/>
      </w:r>
      <w:r w:rsidR="000C633D">
        <w:rPr>
          <w:rFonts w:ascii="Calibri" w:hAnsi="Calibri" w:cs="Arial"/>
        </w:rPr>
        <w:t xml:space="preserve">, which further complicates target prediction and validation. </w:t>
      </w:r>
      <w:r w:rsidR="001B57CD">
        <w:rPr>
          <w:rFonts w:ascii="Calibri" w:hAnsi="Calibri" w:cs="Arial"/>
        </w:rPr>
        <w:t xml:space="preserve">Central and 3’ interactions with transcripts remain understudied, as researchers focus on validating the low hanging fruit of computationally predicted MREs. </w:t>
      </w:r>
      <w:r w:rsidR="001B57CD" w:rsidRPr="000C633D">
        <w:rPr>
          <w:rFonts w:ascii="Calibri" w:hAnsi="Calibri" w:cs="Arial"/>
        </w:rPr>
        <w:t xml:space="preserve"> </w:t>
      </w:r>
    </w:p>
    <w:p w14:paraId="64EC14C5" w14:textId="77777777" w:rsidR="00C90F01" w:rsidRDefault="00C90F01" w:rsidP="005837A4">
      <w:pPr>
        <w:spacing w:line="480" w:lineRule="auto"/>
        <w:jc w:val="both"/>
        <w:rPr>
          <w:rFonts w:ascii="Calibri" w:hAnsi="Calibri" w:cs="Arial"/>
        </w:rPr>
      </w:pPr>
    </w:p>
    <w:p w14:paraId="29DB2975" w14:textId="5422D75C" w:rsidR="00C90F01" w:rsidRDefault="00347154" w:rsidP="005837A4">
      <w:pPr>
        <w:spacing w:line="480" w:lineRule="auto"/>
        <w:jc w:val="both"/>
        <w:rPr>
          <w:rFonts w:ascii="Calibri" w:hAnsi="Calibri" w:cs="Arial"/>
        </w:rPr>
      </w:pPr>
      <w:r w:rsidRPr="00C4343E">
        <w:rPr>
          <w:rFonts w:ascii="Calibri" w:hAnsi="Calibri" w:cs="Arial"/>
        </w:rPr>
        <w:t xml:space="preserve">Detailed descriptions of miRNA genomic organization and biogenesis can be found elsewhere </w:t>
      </w:r>
      <w:r w:rsidRPr="00C4343E">
        <w:rPr>
          <w:rFonts w:ascii="Calibri" w:hAnsi="Calibri" w:cs="Arial"/>
        </w:rPr>
        <w:fldChar w:fldCharType="begin" w:fldLock="1"/>
      </w:r>
      <w:r w:rsidRPr="00C4343E">
        <w:rPr>
          <w:rFonts w:ascii="Calibri" w:hAnsi="Calibri" w:cs="Arial"/>
        </w:rPr>
        <w:instrText>ADDIN CSL_CITATION { "citationItems" : [ { "id" : "ITEM-1", "itemData" : { "author" : [ { "dropping-particle" : "", "family" : "Moschos", "given" : "S A", "non-dropping-particle" : "", "parse-names" : false, "suffix" : "" } ], "chapter-number" : "7", "container-title" : "Biotherapeutics: Recent Developments using Chemical and Molecular Biology", "editor" : [ { "dropping-particle" : "", "family" : "Jones", "given" : "L", "non-dropping-particle" : "", "parse-names" : false, "suffix" : "" }, { "dropping-particle" : "", "family" : "McKnight", "given" : "A J", "non-dropping-particle" : "", "parse-names" : false, "suffix" : "" } ], "id" : "ITEM-1", "issued" : { "date-parts" : [ [ "2013" ] ] }, "page" : "176-223", "publisher" : "Royal Society of Chemistry Publishing", "publisher-place" : "London", "title" : "MicroRNA Biotherapeutics: Key Challenges from a Drug Development Perspective", "type" : "chapter" }, "uris" : [ "http://www.mendeley.com/documents/?uuid=762298b4-c5a5-4d8f-a8bf-0b40443e3804" ] } ], "mendeley" : { "formattedCitation" : "(Moschos, 2013)", "plainTextFormattedCitation" : "(Moschos, 2013)", "previouslyFormattedCitation" : "(Moschos, 2013)"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(Moschos, 2013)</w:t>
      </w:r>
      <w:r w:rsidRPr="00C4343E">
        <w:rPr>
          <w:rFonts w:ascii="Calibri" w:hAnsi="Calibri" w:cs="Arial"/>
        </w:rPr>
        <w:fldChar w:fldCharType="end"/>
      </w:r>
      <w:r>
        <w:rPr>
          <w:rFonts w:ascii="Calibri" w:hAnsi="Calibri" w:cs="Arial"/>
        </w:rPr>
        <w:t xml:space="preserve"> and are summarized in Figure 3</w:t>
      </w:r>
      <w:r w:rsidR="000C633D">
        <w:rPr>
          <w:rFonts w:ascii="Calibri" w:hAnsi="Calibri" w:cs="Arial"/>
        </w:rPr>
        <w:t>.</w:t>
      </w:r>
      <w:r w:rsidR="000D0C5C">
        <w:rPr>
          <w:rFonts w:ascii="Calibri" w:hAnsi="Calibri" w:cs="Arial"/>
        </w:rPr>
        <w:t xml:space="preserve"> </w:t>
      </w:r>
      <w:r w:rsidR="001B57CD">
        <w:rPr>
          <w:rFonts w:ascii="Calibri" w:hAnsi="Calibri" w:cs="Arial"/>
        </w:rPr>
        <w:t>The understanding of miRNA bioprocessing i</w:t>
      </w:r>
      <w:r w:rsidR="00C90F01">
        <w:rPr>
          <w:rFonts w:ascii="Calibri" w:hAnsi="Calibri" w:cs="Arial"/>
        </w:rPr>
        <w:t>n</w:t>
      </w:r>
      <w:r w:rsidR="000D0C5C">
        <w:rPr>
          <w:rFonts w:ascii="Calibri" w:hAnsi="Calibri" w:cs="Arial"/>
        </w:rPr>
        <w:t xml:space="preserve"> conjunction with viral and non-viral gene therapy approaches</w:t>
      </w:r>
      <w:r w:rsidR="001B57CD">
        <w:rPr>
          <w:rFonts w:ascii="Calibri" w:hAnsi="Calibri" w:cs="Arial"/>
        </w:rPr>
        <w:t xml:space="preserve"> has significantly advanced </w:t>
      </w:r>
      <w:r w:rsidR="000D0C5C">
        <w:rPr>
          <w:rFonts w:ascii="Calibri" w:hAnsi="Calibri" w:cs="Arial"/>
        </w:rPr>
        <w:t>miRNA and siRNA expression</w:t>
      </w:r>
      <w:r w:rsidR="00C90F01">
        <w:rPr>
          <w:rFonts w:ascii="Calibri" w:hAnsi="Calibri" w:cs="Arial"/>
        </w:rPr>
        <w:t xml:space="preserve"> engineer</w:t>
      </w:r>
      <w:r w:rsidR="001B57CD">
        <w:rPr>
          <w:rFonts w:ascii="Calibri" w:hAnsi="Calibri" w:cs="Arial"/>
        </w:rPr>
        <w:t>ing capability.</w:t>
      </w:r>
      <w:r w:rsidR="00C07FEB">
        <w:rPr>
          <w:rFonts w:ascii="Calibri" w:hAnsi="Calibri" w:cs="Arial"/>
        </w:rPr>
        <w:t xml:space="preserve"> Structurally, there are minimal differences in mature miRNA and synthetic siRNA structure (Fig. 2D), and siRNA-like synthetic miRNAs (miRNA mimics) are common tools in miRNA complementation / pharmacology studies </w:t>
      </w:r>
      <w:r w:rsidR="00C07FEB" w:rsidRPr="00C07FEB">
        <w:rPr>
          <w:rFonts w:ascii="Calibri" w:hAnsi="Calibri" w:cs="Arial"/>
        </w:rPr>
        <w:fldChar w:fldCharType="begin" w:fldLock="1"/>
      </w:r>
      <w:r w:rsidR="00C07FEB" w:rsidRPr="00C07FEB">
        <w:rPr>
          <w:rFonts w:ascii="Calibri" w:hAnsi="Calibri" w:cs="Arial"/>
        </w:rPr>
        <w:instrText>ADDIN CSL_CITATION { "citationItems" : [ { "id" : "ITEM-1", "itemData" : { "ISBN" : "0022-1767 (Print)\r0022-1767 (Linking)", "PMID" : "18390754", "abstract" : "Posttranscriptional regulation of gene expression by microRNAs (miRNAs) has been implicated in the regulation of chronic physiological and pathological responses. In this report, we demonstrate that changes in the expression of miRNAs can also regulate acute inflammatory responses in human lung alveolar epithelial cells. Thus, stimulation with IL-1beta results in a rapid time- and concentration-dependent increase in miRNA-146a and, to a lesser extent, miRNA-146b expression, although these increases were only observed at high IL-1beta concentration. Examination of miRNA function by overexpression and inhibition showed that increased miRNA-146a expression negatively regulated the release of the proinflammatory chemokines IL-8 and RANTES. Subsequent examination of the mechanism demonstrated that the action of miRNA-146a was mediated at the translational level and not through the down-regulation of proteins involved in the IL-1beta signaling pathway or chemokine transcription or secretion. Overall, these studies indicate that rapid increase in miRNA-146a expression provides a novel mechanism for the negative regulation of severe inflammation during the innate immune response.", "author" : [ { "dropping-particle" : "", "family" : "Perry", "given" : "M M", "non-dropping-particle" : "", "parse-names" : false, "suffix" : "" }, { "dropping-particle" : "", "family" : "Moschos", "given" : "S A", "non-dropping-particle" : "", "parse-names" : false, "suffix" : "" }, { "dropping-particle" : "", "family" : "Williams", "given" : "A E", "non-dropping-particle" : "", "parse-names" : false, "suffix" : "" }, { "dropping-particle" : "", "family" : "Shepherd", "given" : "N J", "non-dropping-particle" : "", "parse-names" : false, "suffix" : "" }, { "dropping-particle" : "", "family" : "Larner-Svensson", "given" : "H M", "non-dropping-particle" : "", "parse-names" : false, "suffix" : "" }, { "dropping-particle" : "", "family" : "Lindsay", "given" : "M A", "non-dropping-particle" : "", "parse-names" : false, "suffix" : "" } ], "container-title" : "J Immunol", "edition" : "2008/04/09", "id" : "ITEM-1", "issue" : "8", "issued" : { "date-parts" : [ [ "2008" ] ] }, "language" : "eng", "note" : "Perry, Mark M\nMoschos, Sterghios A\nWilliams, Andrew E\nShepherd, Neil J\nLarner-Svensson, Hanna M\nLindsay, Mark A\n076111/Wellcome Trust/United Kingdom\nBB/C508234/1/Biotechnology and Biological Sciences Research Council/United Kingdom\nBaltimore, Md. : 1950\nJ Immunol. 2008 Apr 15;180(8):5689-98.", "page" : "5689-5698", "title" : "Rapid changes in microRNA-146a expression negatively regulate the IL-1beta-induced inflammatory response in human lung alveolar epithelial cells", "type" : "article-journal", "volume" : "180" }, "uris" : [ "http://www.mendeley.com/documents/?uuid=cdc5180a-675c-420d-b469-ee5eadd923db" ] } ], "mendeley" : { "formattedCitation" : "(Perry et al., 2008)", "plainTextFormattedCitation" : "(Perry et al., 2008)", "previouslyFormattedCitation" : "(Perry et al., 2008)" }, "properties" : { "noteIndex" : 0 }, "schema" : "https://github.com/citation-style-language/schema/raw/master/csl-citation.json" }</w:instrText>
      </w:r>
      <w:r w:rsidR="00C07FEB" w:rsidRPr="00C07FEB">
        <w:rPr>
          <w:rFonts w:ascii="Calibri" w:hAnsi="Calibri" w:cs="Arial"/>
        </w:rPr>
        <w:fldChar w:fldCharType="separate"/>
      </w:r>
      <w:r w:rsidR="00C07FEB" w:rsidRPr="00C07FEB">
        <w:rPr>
          <w:rFonts w:ascii="Calibri" w:hAnsi="Calibri" w:cs="Arial"/>
          <w:noProof/>
        </w:rPr>
        <w:t>(Perry et al., 2008)</w:t>
      </w:r>
      <w:r w:rsidR="00C07FEB" w:rsidRPr="00C07FEB">
        <w:rPr>
          <w:rFonts w:ascii="Calibri" w:hAnsi="Calibri" w:cs="Arial"/>
        </w:rPr>
        <w:fldChar w:fldCharType="end"/>
      </w:r>
      <w:r w:rsidR="00C07FEB" w:rsidRPr="00C07FEB">
        <w:rPr>
          <w:rFonts w:ascii="Calibri" w:hAnsi="Calibri" w:cs="Arial"/>
        </w:rPr>
        <w:t xml:space="preserve">. Diverse chemical modifications have been described to direct RISC precursor strand loading </w:t>
      </w:r>
      <w:r w:rsidR="00C07FEB" w:rsidRPr="00C07FEB">
        <w:rPr>
          <w:rFonts w:ascii="Calibri" w:hAnsi="Calibri" w:cs="Arial"/>
        </w:rPr>
        <w:fldChar w:fldCharType="begin" w:fldLock="1"/>
      </w:r>
      <w:r w:rsidR="00C07FEB" w:rsidRPr="00C07FEB">
        <w:rPr>
          <w:rFonts w:ascii="Calibri" w:hAnsi="Calibri" w:cs="Arial"/>
        </w:rPr>
        <w:instrText>ADDIN CSL_CITATION { "citationItems" : [ { "id" : "ITEM-1", "itemData" : { "author" : [ { "dropping-particle" : "", "family" : "Moschos", "given" : "S A", "non-dropping-particle" : "", "parse-names" : false, "suffix" : "" } ], "chapter-number" : "7", "container-title" : "Biotherapeutics: Recent Developments using Chemical and Molecular Biology", "editor" : [ { "dropping-particle" : "", "family" : "Jones", "given" : "L", "non-dropping-particle" : "", "parse-names" : false, "suffix" : "" }, { "dropping-particle" : "", "family" : "McKnight", "given" : "A J", "non-dropping-particle" : "", "parse-names" : false, "suffix" : "" } ], "id" : "ITEM-1", "issued" : { "date-parts" : [ [ "2013" ] ] }, "page" : "176-223", "publisher" : "Royal Society of Chemistry Publishing", "publisher-place" : "London", "title" : "MicroRNA Biotherapeutics: Key Challenges from a Drug Development Perspective", "type" : "chapter" }, "uris" : [ "http://www.mendeley.com/documents/?uuid=762298b4-c5a5-4d8f-a8bf-0b40443e3804" ] } ], "mendeley" : { "formattedCitation" : "(Moschos, 2013)", "plainTextFormattedCitation" : "(Moschos, 2013)", "previouslyFormattedCitation" : "(Moschos, 2013)" }, "properties" : { "noteIndex" : 0 }, "schema" : "https://github.com/citation-style-language/schema/raw/master/csl-citation.json" }</w:instrText>
      </w:r>
      <w:r w:rsidR="00C07FEB" w:rsidRPr="00C07FEB">
        <w:rPr>
          <w:rFonts w:ascii="Calibri" w:hAnsi="Calibri" w:cs="Arial"/>
        </w:rPr>
        <w:fldChar w:fldCharType="separate"/>
      </w:r>
      <w:r w:rsidR="00C07FEB" w:rsidRPr="00C07FEB">
        <w:rPr>
          <w:rFonts w:ascii="Calibri" w:hAnsi="Calibri" w:cs="Arial"/>
          <w:noProof/>
        </w:rPr>
        <w:t>(Moschos, 2013)</w:t>
      </w:r>
      <w:r w:rsidR="00C07FEB" w:rsidRPr="00C07FEB">
        <w:rPr>
          <w:rFonts w:ascii="Calibri" w:hAnsi="Calibri" w:cs="Arial"/>
        </w:rPr>
        <w:fldChar w:fldCharType="end"/>
      </w:r>
      <w:r w:rsidR="00C07FEB" w:rsidRPr="00C07FEB">
        <w:rPr>
          <w:rFonts w:ascii="Calibri" w:hAnsi="Calibri" w:cs="Arial"/>
        </w:rPr>
        <w:t xml:space="preserve"> but there is no evidence to suggest AGO protein selection and RISC complex subcellular localization can be manipulated</w:t>
      </w:r>
      <w:r w:rsidR="001B57CD">
        <w:rPr>
          <w:rFonts w:ascii="Calibri" w:hAnsi="Calibri" w:cs="Arial"/>
        </w:rPr>
        <w:t xml:space="preserve"> presently</w:t>
      </w:r>
      <w:r w:rsidR="00C07FEB" w:rsidRPr="00C07FEB">
        <w:rPr>
          <w:rFonts w:ascii="Calibri" w:hAnsi="Calibri" w:cs="Arial"/>
        </w:rPr>
        <w:t xml:space="preserve"> </w:t>
      </w:r>
      <w:r w:rsidR="00C07FEB" w:rsidRPr="00C07FEB">
        <w:rPr>
          <w:rFonts w:ascii="Calibri" w:hAnsi="Calibri" w:cs="Arial"/>
        </w:rPr>
        <w:fldChar w:fldCharType="begin" w:fldLock="1"/>
      </w:r>
      <w:r w:rsidR="00C07FEB" w:rsidRPr="00C07FEB">
        <w:rPr>
          <w:rFonts w:ascii="Calibri" w:hAnsi="Calibri" w:cs="Arial"/>
        </w:rPr>
        <w:instrText>ADDIN CSL_CITATION { "citationItems" : [ { "id" : "ITEM-1", "itemData" : { "DOI" : "10.1093/nar/gkv937", "ISSN" : "1362-4962", "PMID" : "26384428", "abstract" : "Small RNA silencing is mediated by the effector RNA-induced silencing complex (RISC) that consists of an Argonaute protein (AGOs 1-4 in humans). A fundamental step during RISC assembly involves the separation of two strands of a small RNA duplex, whereby only the guide strand is retained to form the mature RISC, a process not well understood. Despite the widely accepted view that 'slicer-dependent unwinding' via passenger-strand cleavage is a prerequisite for the assembly of a highly complementary siRNA into the AGO2-RISC, here we show by careful re-examination that 'slicer-independent unwinding' plays a more significant role in human RISC maturation than previously appreciated, not only for a miRNA duplex, but, unexpectedly, for a highly complementary siRNA as well. We discovered that 'slicer-dependency' for the unwinding was affected primarily by certain parameters such as temperature and Mg(2+). We further validate these observations in non-slicer AGOs (1, 3 and 4) that can be programmed with siRNAs at the physiological temperature of humans, suggesting that slicer-independent mechanism is likely a common feature of human AGOs. Our results now clearly explain why both miRNA and siRNA are found in all four human AGOs, which is in striking contrast to the strict small-RNA sorting system in Drosophila.", "author" : [ { "dropping-particle" : "", "family" : "Park", "given" : "June Hyun", "non-dropping-particle" : "", "parse-names" : false, "suffix" : "" }, { "dropping-particle" : "", "family" : "Shin", "given" : "Chanseok", "non-dropping-particle" : "", "parse-names" : false, "suffix" : "" } ], "container-title" : "Nucleic acids research", "id" : "ITEM-1", "issue" : "19", "issued" : { "date-parts" : [ [ "2015", "10", "30" ] ] }, "page" : "9418-33", "title" : "Slicer-independent mechanism drives small-RNA strand separation during human RISC assembly.", "type" : "article-journal", "volume" : "43" }, "uris" : [ "http://www.mendeley.com/documents/?uuid=a41dd076-9a70-4c74-88b6-d15d7d553b6b" ] } ], "mendeley" : { "formattedCitation" : "(J. H. Park &amp; Shin, 2015)", "plainTextFormattedCitation" : "(J. H. Park &amp; Shin, 2015)", "previouslyFormattedCitation" : "(J. H. Park &amp; Shin, 2015)" }, "properties" : { "noteIndex" : 0 }, "schema" : "https://github.com/citation-style-language/schema/raw/master/csl-citation.json" }</w:instrText>
      </w:r>
      <w:r w:rsidR="00C07FEB" w:rsidRPr="00C07FEB">
        <w:rPr>
          <w:rFonts w:ascii="Calibri" w:hAnsi="Calibri" w:cs="Arial"/>
        </w:rPr>
        <w:fldChar w:fldCharType="separate"/>
      </w:r>
      <w:r w:rsidR="00C07FEB" w:rsidRPr="00C07FEB">
        <w:rPr>
          <w:rFonts w:ascii="Calibri" w:hAnsi="Calibri" w:cs="Arial"/>
          <w:noProof/>
        </w:rPr>
        <w:t>(J. H. Park &amp; Shin, 2015)</w:t>
      </w:r>
      <w:r w:rsidR="00C07FEB" w:rsidRPr="00C07FEB">
        <w:rPr>
          <w:rFonts w:ascii="Calibri" w:hAnsi="Calibri" w:cs="Arial"/>
        </w:rPr>
        <w:fldChar w:fldCharType="end"/>
      </w:r>
      <w:r w:rsidR="00C07FEB" w:rsidRPr="00C07FEB">
        <w:rPr>
          <w:rFonts w:ascii="Calibri" w:hAnsi="Calibri" w:cs="Arial"/>
        </w:rPr>
        <w:t>.</w:t>
      </w:r>
    </w:p>
    <w:p w14:paraId="1122B048" w14:textId="77777777" w:rsidR="00285238" w:rsidRDefault="00285238" w:rsidP="005837A4">
      <w:pPr>
        <w:spacing w:line="480" w:lineRule="auto"/>
        <w:jc w:val="both"/>
        <w:rPr>
          <w:rFonts w:ascii="Calibri" w:hAnsi="Calibri" w:cs="Arial"/>
        </w:rPr>
      </w:pPr>
    </w:p>
    <w:p w14:paraId="10340C66" w14:textId="2A3FF2F7" w:rsidR="00AE56C9" w:rsidRDefault="00AD1D91" w:rsidP="005837A4">
      <w:pPr>
        <w:spacing w:line="480" w:lineRule="auto"/>
        <w:jc w:val="both"/>
        <w:rPr>
          <w:rFonts w:ascii="Calibri" w:hAnsi="Calibri" w:cs="Arial"/>
        </w:rPr>
      </w:pPr>
      <w:r>
        <w:rPr>
          <w:rFonts w:ascii="Calibri" w:hAnsi="Calibri" w:cs="Arial"/>
        </w:rPr>
        <w:lastRenderedPageBreak/>
        <w:t>As with single stranded ASO,</w:t>
      </w:r>
      <w:r w:rsidR="002B331D">
        <w:rPr>
          <w:rFonts w:ascii="Calibri" w:hAnsi="Calibri" w:cs="Arial"/>
        </w:rPr>
        <w:t xml:space="preserve"> the major issues with </w:t>
      </w:r>
      <w:r>
        <w:rPr>
          <w:rFonts w:ascii="Calibri" w:hAnsi="Calibri" w:cs="Arial"/>
        </w:rPr>
        <w:t xml:space="preserve">the </w:t>
      </w:r>
      <w:r w:rsidR="002B331D">
        <w:rPr>
          <w:rFonts w:ascii="Calibri" w:hAnsi="Calibri" w:cs="Arial"/>
        </w:rPr>
        <w:t xml:space="preserve">development of </w:t>
      </w:r>
      <w:r w:rsidR="00DB73B3">
        <w:rPr>
          <w:rFonts w:ascii="Calibri" w:hAnsi="Calibri" w:cs="Arial"/>
        </w:rPr>
        <w:t>RNAi mediators (siRNA and miRNA)</w:t>
      </w:r>
      <w:r w:rsidR="002B331D">
        <w:rPr>
          <w:rFonts w:ascii="Calibri" w:hAnsi="Calibri" w:cs="Arial"/>
        </w:rPr>
        <w:t xml:space="preserve"> </w:t>
      </w:r>
      <w:r w:rsidR="00285238">
        <w:rPr>
          <w:rFonts w:ascii="Calibri" w:hAnsi="Calibri" w:cs="Arial"/>
        </w:rPr>
        <w:t>as therapeutics</w:t>
      </w:r>
      <w:r w:rsidR="00CD5B39">
        <w:rPr>
          <w:rFonts w:ascii="Calibri" w:hAnsi="Calibri" w:cs="Arial"/>
        </w:rPr>
        <w:t xml:space="preserve"> </w:t>
      </w:r>
      <w:r w:rsidR="002B331D">
        <w:rPr>
          <w:rFonts w:ascii="Calibri" w:hAnsi="Calibri" w:cs="Arial"/>
        </w:rPr>
        <w:t>has been delivery, stability, off-target action</w:t>
      </w:r>
      <w:r w:rsidR="00CD5B39">
        <w:rPr>
          <w:rFonts w:ascii="Calibri" w:hAnsi="Calibri" w:cs="Arial"/>
        </w:rPr>
        <w:t>s</w:t>
      </w:r>
      <w:r w:rsidR="002B331D">
        <w:rPr>
          <w:rFonts w:ascii="Calibri" w:hAnsi="Calibri" w:cs="Arial"/>
        </w:rPr>
        <w:t xml:space="preserve"> and induction of immunological responses.</w:t>
      </w:r>
      <w:r w:rsidR="00285238">
        <w:rPr>
          <w:rFonts w:ascii="Calibri" w:hAnsi="Calibri" w:cs="Arial"/>
        </w:rPr>
        <w:t xml:space="preserve"> </w:t>
      </w:r>
    </w:p>
    <w:p w14:paraId="073F9951" w14:textId="77777777" w:rsidR="000D6916" w:rsidRPr="00FA1813" w:rsidRDefault="000D6916" w:rsidP="005837A4">
      <w:pPr>
        <w:spacing w:line="480" w:lineRule="auto"/>
      </w:pPr>
    </w:p>
    <w:p w14:paraId="3BED018E" w14:textId="6CE05152" w:rsidR="0042635F" w:rsidRDefault="004C40DB" w:rsidP="005837A4">
      <w:pPr>
        <w:pStyle w:val="Heading3"/>
      </w:pPr>
      <w:r>
        <w:t>2.2.1</w:t>
      </w:r>
      <w:r>
        <w:tab/>
      </w:r>
      <w:r w:rsidR="0042635F" w:rsidRPr="0042635F">
        <w:t>Demonstrating On-Target Action of siRNAs</w:t>
      </w:r>
      <w:r w:rsidR="00366466">
        <w:t>.</w:t>
      </w:r>
    </w:p>
    <w:p w14:paraId="7258AB8B" w14:textId="77777777" w:rsidR="005B31A4" w:rsidRPr="0042635F" w:rsidRDefault="005B31A4" w:rsidP="005837A4">
      <w:pPr>
        <w:spacing w:line="480" w:lineRule="auto"/>
        <w:jc w:val="both"/>
        <w:rPr>
          <w:rFonts w:ascii="Calibri" w:hAnsi="Calibri" w:cs="Arial"/>
          <w:b/>
        </w:rPr>
      </w:pPr>
    </w:p>
    <w:p w14:paraId="29171CA3" w14:textId="5F578E59" w:rsidR="00AE56C9" w:rsidRDefault="00E06180" w:rsidP="005837A4">
      <w:pPr>
        <w:spacing w:line="480" w:lineRule="auto"/>
        <w:jc w:val="both"/>
        <w:rPr>
          <w:rFonts w:ascii="Calibri" w:hAnsi="Calibri" w:cs="Arial"/>
        </w:rPr>
      </w:pPr>
      <w:r>
        <w:rPr>
          <w:rFonts w:ascii="Calibri" w:hAnsi="Calibri" w:cs="Arial"/>
        </w:rPr>
        <w:t xml:space="preserve">Of the four human Ago proteins that form RISC, only </w:t>
      </w:r>
      <w:r w:rsidR="0042635F">
        <w:rPr>
          <w:rFonts w:ascii="Calibri" w:hAnsi="Calibri" w:cs="Arial"/>
        </w:rPr>
        <w:t>A</w:t>
      </w:r>
      <w:r w:rsidR="00C13B7D">
        <w:rPr>
          <w:rFonts w:ascii="Calibri" w:hAnsi="Calibri" w:cs="Arial"/>
        </w:rPr>
        <w:t>GO</w:t>
      </w:r>
      <w:r w:rsidR="0042635F">
        <w:rPr>
          <w:rFonts w:ascii="Calibri" w:hAnsi="Calibri" w:cs="Arial"/>
        </w:rPr>
        <w:t>2</w:t>
      </w:r>
      <w:r>
        <w:rPr>
          <w:rFonts w:ascii="Calibri" w:hAnsi="Calibri" w:cs="Arial"/>
        </w:rPr>
        <w:t xml:space="preserve"> possess an RNA endonuclease, or ‘slicer’ function, which allows for active target cleavage </w:t>
      </w:r>
      <w:r>
        <w:rPr>
          <w:rFonts w:ascii="Calibri" w:hAnsi="Calibri" w:cs="Arial"/>
        </w:rPr>
        <w:fldChar w:fldCharType="begin" w:fldLock="1"/>
      </w:r>
      <w:r>
        <w:rPr>
          <w:rFonts w:ascii="Calibri" w:hAnsi="Calibri" w:cs="Arial"/>
        </w:rPr>
        <w:instrText>ADDIN CSL_CITATION { "citationItems" : [ { "id" : "ITEM-1", "itemData" : { "DOI" : "10.1093/nar/gkm664", "ISSN" : "1362-4962", "PMID" : "17881374", "abstract" : "Short interfering RNA (siRNA) duplexes are currently being evaluated as antisense agents for gene silencing. Chemical modification of siRNAs is widely expected to be required for therapeutic applications in order to improve delivery, biostability and pharmacokinetic properties. Beyond potential improvements in the efficacy of oligoribonucleotides, chemical modification may also provide insight into the mechanism of mRNA downregulation mediated by the RNA-protein effector complexes (RNA-induced silencing complex or RISC). We have studied the in vitro activity in HeLa cells of siRNA duplexes against firefly luciferase with substitutions in the guide strand of U for the apolar ribo-2,4-difluorotoluyl nucleotide (rF) [Xia, J. et al. (2006) ACS Chem. Biol., 1, 176-183] as well as of C for rF. Whereas an internal rF:A pair adjacent to the Ago2 ('slicer' enzyme) cleavage site did not affect silencing relative to the native siRNA duplex, the rF:G pair and other mismatches such as A:G or A:A were not tolerated. The crystal structure at atomic resolution determined for an RNA dodecamer duplex with rF opposite G manifests only minor deviations between the geometries of rF:G and the native U:G wobble pair. This is in contrast to the previously found, significant deviations between the geometries of rF:A and U:A pairs. Comparison between the structures of the RNA duplex containing rF:G and a new structure of an RNA with A:G mismatches with the structures of standard Watson-Crick pairs in canonical duplex RNA leads to the conclusion that local widening of the duplex formed by the siRNA guide strand and the targeted region of mRNA is the most likely reason for the intolerance of human Ago2 (hAgo2), the RISC endonuclease, toward internal mismatch pairs involving native or chemically modified RNA. Contrary to the influence of shape, the thermodynamic stabilities of siRNA duplexes with single rF:A, A:A, G:A or C:A (instead of U:A) or rF:G pairs (instead of C:G) show no obvious correlation with their activities. However, incorporation of three rF:A pairs into an siRNA duplex leads to loss of activity. Our structural and stability data also shed light on the role of organic fluorine as a hydrogen bond acceptor. Accordingly, UV melting (T(M)) data, osmotic stress measurements, X-ray crystallography at atomic resolution and the results of semi-empirical calculations are all consistent with the existence of weak hydrogen bonds between fluorine and the H-N1(G) amino group in r\u2026", "author" : [ { "dropping-particle" : "", "family" : "Li", "given" : "Feng", "non-dropping-particle" : "", "parse-names" : false, "suffix" : "" }, { "dropping-particle" : "", "family" : "Pallan", "given" : "Pradeep S", "non-dropping-particle" : "", "parse-names" : false, "suffix" : "" }, { "dropping-particle" : "", "family" : "Maier", "given" : "Martin A", "non-dropping-particle" : "", "parse-names" : false, "suffix" : "" }, { "dropping-particle" : "", "family" : "Rajeev", "given" : "Kallanthottathil G", "non-dropping-particle" : "", "parse-names" : false, "suffix" : "" }, { "dropping-particle" : "", "family" : "Mathieu", "given" : "Steven L", "non-dropping-particle" : "", "parse-names" : false, "suffix" : "" }, { "dropping-particle" : "", "family" : "Kreutz", "given" : "Christoph", "non-dropping-particle" : "", "parse-names" : false, "suffix" : "" }, { "dropping-particle" : "", "family" : "Fan", "given" : "Yupeng", "non-dropping-particle" : "", "parse-names" : false, "suffix" : "" }, { "dropping-particle" : "", "family" : "Sanghvi", "given" : "Jayodita", "non-dropping-particle" : "", "parse-names" : false, "suffix" : "" }, { "dropping-particle" : "", "family" : "Micura", "given" : "Ronald", "non-dropping-particle" : "", "parse-names" : false, "suffix" : "" }, { "dropping-particle" : "", "family" : "Rozners", "given" : "Eriks", "non-dropping-particle" : "", "parse-names" : false, "suffix" : "" }, { "dropping-particle" : "", "family" : "Manoharan", "given" : "Muthiah", "non-dropping-particle" : "", "parse-names" : false, "suffix" : "" }, { "dropping-particle" : "", "family" : "Egli", "given" : "Martin", "non-dropping-particle" : "", "parse-names" : false, "suffix" : "" } ], "container-title" : "Nucleic acids research", "id" : "ITEM-1", "issue" : "19", "issued" : { "date-parts" : [ [ "2007", "1" ] ] }, "page" : "6424-38", "title" : "Crystal structure, stability and in vitro RNAi activity of oligoribonucleotides containing the ribo-difluorotoluyl nucleotide: insights into substrate requirements by the human RISC Ago2 enzyme.", "type" : "article-journal", "volume" : "35" }, "uris" : [ "http://www.mendeley.com/documents/?uuid=f64f2173-4d1f-4fd3-ae03-be3d8cc2d2d3" ] } ], "mendeley" : { "formattedCitation" : "(F. Li et al., 2007)", "plainTextFormattedCitation" : "(F. Li et al., 2007)", "previouslyFormattedCitation" : "(F. Li et al., 2007)" }, "properties" : { "noteIndex" : 0 }, "schema" : "https://github.com/citation-style-language/schema/raw/master/csl-citation.json" }</w:instrText>
      </w:r>
      <w:r>
        <w:rPr>
          <w:rFonts w:ascii="Calibri" w:hAnsi="Calibri" w:cs="Arial"/>
        </w:rPr>
        <w:fldChar w:fldCharType="separate"/>
      </w:r>
      <w:r w:rsidRPr="00D935BC">
        <w:rPr>
          <w:rFonts w:ascii="Calibri" w:hAnsi="Calibri" w:cs="Arial"/>
          <w:noProof/>
        </w:rPr>
        <w:t>(F. Li et al., 2007)</w:t>
      </w:r>
      <w:r>
        <w:rPr>
          <w:rFonts w:ascii="Calibri" w:hAnsi="Calibri" w:cs="Arial"/>
        </w:rPr>
        <w:fldChar w:fldCharType="end"/>
      </w:r>
      <w:r w:rsidRPr="00C4343E">
        <w:rPr>
          <w:rFonts w:ascii="Calibri" w:hAnsi="Calibri" w:cs="Arial"/>
        </w:rPr>
        <w:t xml:space="preserve">. </w:t>
      </w:r>
      <w:r>
        <w:rPr>
          <w:rFonts w:ascii="Calibri" w:hAnsi="Calibri" w:cs="Arial"/>
        </w:rPr>
        <w:t>Slicing</w:t>
      </w:r>
      <w:r w:rsidR="000D0C5C">
        <w:rPr>
          <w:rFonts w:ascii="Calibri" w:hAnsi="Calibri" w:cs="Arial"/>
        </w:rPr>
        <w:t xml:space="preserve"> of targets</w:t>
      </w:r>
      <w:r w:rsidR="0042635F">
        <w:rPr>
          <w:rFonts w:ascii="Calibri" w:hAnsi="Calibri" w:cs="Arial"/>
        </w:rPr>
        <w:t xml:space="preserve"> occurs </w:t>
      </w:r>
      <w:r w:rsidR="000D0C5C">
        <w:rPr>
          <w:rFonts w:ascii="Calibri" w:hAnsi="Calibri" w:cs="Arial"/>
        </w:rPr>
        <w:t>on the</w:t>
      </w:r>
      <w:r w:rsidR="003049BE">
        <w:rPr>
          <w:rFonts w:ascii="Calibri" w:hAnsi="Calibri" w:cs="Arial"/>
        </w:rPr>
        <w:t>ir</w:t>
      </w:r>
      <w:r w:rsidR="000D0C5C">
        <w:rPr>
          <w:rFonts w:ascii="Calibri" w:hAnsi="Calibri" w:cs="Arial"/>
        </w:rPr>
        <w:t xml:space="preserve"> phosphate backbone opposite </w:t>
      </w:r>
      <w:r w:rsidR="0042635F" w:rsidRPr="00C4343E">
        <w:rPr>
          <w:rFonts w:ascii="Calibri" w:hAnsi="Calibri" w:cs="Arial"/>
        </w:rPr>
        <w:t xml:space="preserve">positions 10-11 from the 5’ end of the guide strand </w:t>
      </w:r>
      <w:r w:rsidR="00CA4715">
        <w:rPr>
          <w:rFonts w:ascii="Calibri" w:hAnsi="Calibri" w:cs="Arial"/>
        </w:rPr>
        <w:fldChar w:fldCharType="begin" w:fldLock="1"/>
      </w:r>
      <w:r w:rsidR="00F7354A">
        <w:rPr>
          <w:rFonts w:ascii="Calibri" w:hAnsi="Calibri" w:cs="Arial"/>
        </w:rPr>
        <w:instrText>ADDIN CSL_CITATION { "citationItems" : [ { "id" : "ITEM-1", "itemData" : { "DOI" : "10.1016/j.cell.2005.08.044", "ISBN" : "0092-8674 (Print)\r0092-8674 (Linking)", "PMID" : "16271386", "abstract" : "In the Drosophila and mammalian RNA interference pathways, siRNAs direct the protein Argonaute2 (Ago2) to cleave corresponding mRNA targets, silencing their expression. Ago2 is the catalytic component of the RNAi enzyme complex, RISC. For each siRNA duplex, only one strand, the guide, is assembled into the active RISC; the other strand, the passenger, is destroyed. An ATP-dependent helicase has been proposed first to separate the two siRNA strands, then the resulting single-stranded guide is thought to bind Ago2. Here, we show that Ago2 instead directly receives the double-stranded siRNA from the RISC assembly machinery. Ago2 then cleaves the siRNA passenger strand, thereby liberating the single-stranded guide. For siRNAs, virtually all RISC is assembled through this cleavage-assisted mechanism. In contrast, passenger-strand cleavage is not important for the incorporation of miRNAs that derive from mismatched duplexes.", "author" : [ { "dropping-particle" : "", "family" : "Matranga", "given" : "C", "non-dropping-particle" : "", "parse-names" : false, "suffix" : "" }, { "dropping-particle" : "", "family" : "Tomari", "given" : "Y", "non-dropping-particle" : "", "parse-names" : false, "suffix" : "" }, { "dropping-particle" : "", "family" : "Shin", "given" : "C", "non-dropping-particle" : "", "parse-names" : false, "suffix" : "" }, { "dropping-particle" : "", "family" : "Bartel", "given" : "D P", "non-dropping-particle" : "", "parse-names" : false, "suffix" : "" }, { "dropping-particle" : "", "family" : "Zamore", "given" : "P D", "non-dropping-particle" : "", "parse-names" : false, "suffix" : "" } ], "container-title" : "Cell", "edition" : "2005/11/08", "id" : "ITEM-1", "issue" : "4", "issued" : { "date-parts" : [ [ "2005" ] ] }, "language" : "eng", "note" : "Matranga, Christian\nTomari, Yukihide\nShin, Chanseok\nBartel, David P\nZamore, Phillip D\nGM62862/GM/NIGMS NIH HHS/\nGM65236/GM/NIGMS NIH HHS/\nGM67031/GM/NIGMS NIH HHS/\nCell. 2005 Nov 18;123(4):607-20. Epub 2005 Nov 3.", "page" : "607-620", "title" : "Passenger-strand cleavage facilitates assembly of siRNA into Ago2-containing RNAi enzyme complexes", "type" : "article-journal", "volume" : "123" }, "uris" : [ "http://www.mendeley.com/documents/?uuid=bbfc907d-1c64-49a6-a966-1c13e8ea1fb0" ] }, { "id" : "ITEM-2", "itemData" : { "DOI" : "10.1038/sj.embor.7400637", "ISBN" : "1469-221X (Print)\r1469-221X (Linking)", "PMID" : "16439995", "abstract" : "A crucial step in the RNA interference (RNAi) pathway involves the assembly of RISC, the RNA-induced silencing complex. RISC initially recognizes a double-stranded short interfering RNA (siRNA), but only one strand is finally retained in the functional ribonucleoprotein complex. The non-incorporated strand, or 'passenger' strand, is removed during the assembly process and most probably degraded thereafter. In this report, we show that the passenger strand is cleaved during the course of RISC assembly following the same rules established for the siRNA-guided cleavage of a target RNA. Chemical modifications impairing the cleavage of the passenger strand also impair the cleavage of a target RNA in vitro as well as the silencing of a reporter gene in vivo, suggesting that passenger strand removal is facilitated by its cleavage during RISC assembly. Interestingly, target RNA cleavage can be rescued if an otherwise non-cleavable passenger strand shows a nick at the scissile phosphodiester bond, which further indicates that the cleavage event per se is not essential.", "author" : [ { "dropping-particle" : "", "family" : "Leuschner", "given" : "P J", "non-dropping-particle" : "", "parse-names" : false, "suffix" : "" }, { "dropping-particle" : "", "family" : "Ameres", "given" : "S L", "non-dropping-particle" : "", "parse-names" : false, "suffix" : "" }, { "dropping-particle" : "", "family" : "Kueng", "given" : "S", "non-dropping-particle" : "", "parse-names" : false, "suffix" : "" }, { "dropping-particle" : "", "family" : "Martinez", "given" : "J", "non-dropping-particle" : "", "parse-names" : false, "suffix" : "" } ], "container-title" : "EMBO Rep", "edition" : "2006/01/28", "id" : "ITEM-2", "issue" : "3", "issued" : { "date-parts" : [ [ "2006" ] ] }, "language" : "eng", "note" : "Leuschner, Philipp J F\nAmeres, Stefan L\nKueng, Stephanie\nMartinez, Javier\nEngland\nEMBO Rep. 2006 Mar;7(3):314-20. Epub 2006 Jan 20.", "page" : "314-320", "title" : "Cleavage of the siRNA passenger strand during RISC assembly in human cells", "type" : "article-journal", "volume" : "7" }, "uris" : [ "http://www.mendeley.com/documents/?uuid=fc9a9f41-d36f-41cf-a262-6e0db785fe7f" ] } ], "mendeley" : { "formattedCitation" : "(Leuschner et al., 2006; Matranga et al., 2005)", "plainTextFormattedCitation" : "(Leuschner et al., 2006; Matranga et al., 2005)", "previouslyFormattedCitation" : "(Leuschner et al., 2006; Matranga et al., 2005)" }, "properties" : { "noteIndex" : 0 }, "schema" : "https://github.com/citation-style-language/schema/raw/master/csl-citation.json" }</w:instrText>
      </w:r>
      <w:r w:rsidR="00CA4715">
        <w:rPr>
          <w:rFonts w:ascii="Calibri" w:hAnsi="Calibri" w:cs="Arial"/>
        </w:rPr>
        <w:fldChar w:fldCharType="separate"/>
      </w:r>
      <w:r w:rsidR="00BE65D6" w:rsidRPr="00BE65D6">
        <w:rPr>
          <w:rFonts w:ascii="Calibri" w:hAnsi="Calibri" w:cs="Arial"/>
          <w:noProof/>
        </w:rPr>
        <w:t>(Leuschner et al., 2006; Matranga et al., 2005)</w:t>
      </w:r>
      <w:r w:rsidR="00CA4715">
        <w:rPr>
          <w:rFonts w:ascii="Calibri" w:hAnsi="Calibri" w:cs="Arial"/>
        </w:rPr>
        <w:fldChar w:fldCharType="end"/>
      </w:r>
      <w:r>
        <w:rPr>
          <w:rFonts w:ascii="Calibri" w:hAnsi="Calibri" w:cs="Arial"/>
        </w:rPr>
        <w:t xml:space="preserve">, and has been shown to occur </w:t>
      </w:r>
      <w:r w:rsidRPr="00E06180">
        <w:rPr>
          <w:rFonts w:ascii="Calibri" w:hAnsi="Calibri" w:cs="Arial"/>
        </w:rPr>
        <w:t>both with miRNA and siRNA</w:t>
      </w:r>
      <w:r w:rsidR="003049BE">
        <w:rPr>
          <w:rFonts w:ascii="Calibri" w:hAnsi="Calibri" w:cs="Arial"/>
        </w:rPr>
        <w:t xml:space="preserve"> guide strands</w:t>
      </w:r>
      <w:r w:rsidRPr="00E06180">
        <w:rPr>
          <w:rFonts w:ascii="Calibri" w:hAnsi="Calibri" w:cs="Arial"/>
        </w:rPr>
        <w:t xml:space="preserve"> </w:t>
      </w:r>
      <w:r w:rsidRPr="00C13B7D">
        <w:rPr>
          <w:rFonts w:ascii="Calibri" w:hAnsi="Calibri"/>
        </w:rPr>
        <w:fldChar w:fldCharType="begin" w:fldLock="1"/>
      </w:r>
      <w:r w:rsidRPr="00C13B7D">
        <w:rPr>
          <w:rFonts w:ascii="Calibri" w:hAnsi="Calibri"/>
        </w:rPr>
        <w:instrText>ADDIN CSL_CITATION { "citationItems" : [ { "id" : "ITEM-1", "itemData" : { "DOI" : "10.1101/gad.1384005", "ISSN" : "0890-9369", "PMID" : "16357216", "abstract" : "RNA interference (RNAi) is mediated by RNA-induced silencing complexes (RISCs), which are guided by microRNAs (miRNAs) or short interfering RNAs (siRNAs) to cognate RNA targets. In humans, the catalytic engine of RISC is a ribonucleoprotein formed by the Argonaute2 (Ago2) protein and either miRNA (miRNP) or siRNA (siRNP). The Dicer nuclease produces mature miRNAs and siRNAs from pre-miRNAs and double-stranded RNA (dsRNA), respectively, and associates with Ago2. Here, we studied the assembly of human RISC by presenting pre-miRNA to immunopurified complexes that contain Ago2, Dicer, and TRBP. Mature miRNAs were produced in an ATP-independent manner and guided specific cleavage of cognate RNA targets in a pattern that is typical of RISC. This de novo formed RISC activity dissociated from Dicer. The asymmetry of the RISC loading process was fully recapitulated in this system, which, however, could not efficiently assemble RISC from siRNA duplexes. Our findings demonstrate that, in humans, a miRNA loading complex (miRLC) is formed by Ago2 and Dicer prior to their encounter with pre-miRNA. We suggest that the miRLC couples the processing of the pre-miRNA substrate to the unwinding of the product and that after loading of the mature miRNA to Ago2, the miRLC disassembles and the miRNP is released.", "author" : [ { "dropping-particle" : "", "family" : "Maniataki", "given" : "Elisavet", "non-dropping-particle" : "", "parse-names" : false, "suffix" : "" }, { "dropping-particle" : "", "family" : "Mourelatos", "given" : "Zissimos", "non-dropping-particle" : "", "parse-names" : false, "suffix" : "" } ], "container-title" : "Genes &amp; development", "id" : "ITEM-1", "issue" : "24", "issued" : { "date-parts" : [ [ "2005", "12", "15" ] ] }, "page" : "2979-90", "title" : "A human, ATP-independent, RISC assembly machine fueled by pre-miRNA.", "type" : "article-journal", "volume" : "19" }, "uris" : [ "http://www.mendeley.com/documents/?uuid=051ba6c9-3f4b-4e72-9ef5-aaf2245d178e" ] } ], "mendeley" : { "formattedCitation" : "(Maniataki &amp; Mourelatos, 2005)", "plainTextFormattedCitation" : "(Maniataki &amp; Mourelatos, 2005)", "previouslyFormattedCitation" : "(Maniataki &amp; Mourelatos, 2005)" }, "properties" : { "noteIndex" : 0 }, "schema" : "https://github.com/citation-style-language/schema/raw/master/csl-citation.json" }</w:instrText>
      </w:r>
      <w:r w:rsidRPr="00C13B7D">
        <w:rPr>
          <w:rFonts w:ascii="Calibri" w:hAnsi="Calibri"/>
        </w:rPr>
        <w:fldChar w:fldCharType="separate"/>
      </w:r>
      <w:r w:rsidRPr="00C13B7D">
        <w:rPr>
          <w:rFonts w:ascii="Calibri" w:hAnsi="Calibri"/>
          <w:noProof/>
        </w:rPr>
        <w:t>(Maniataki &amp; Mourelatos, 2005)</w:t>
      </w:r>
      <w:r w:rsidRPr="00C13B7D">
        <w:rPr>
          <w:rFonts w:ascii="Calibri" w:hAnsi="Calibri"/>
        </w:rPr>
        <w:fldChar w:fldCharType="end"/>
      </w:r>
      <w:r w:rsidRPr="00E06180">
        <w:rPr>
          <w:rFonts w:ascii="Calibri" w:hAnsi="Calibri"/>
        </w:rPr>
        <w:t>.</w:t>
      </w:r>
      <w:r w:rsidR="004633E1" w:rsidRPr="00C13B7D">
        <w:rPr>
          <w:rFonts w:ascii="Calibri" w:hAnsi="Calibri" w:cs="Arial"/>
        </w:rPr>
        <w:t xml:space="preserve"> </w:t>
      </w:r>
      <w:r w:rsidR="0042635F">
        <w:rPr>
          <w:rFonts w:ascii="Calibri" w:hAnsi="Calibri" w:cs="Arial"/>
        </w:rPr>
        <w:t>Crucially, d</w:t>
      </w:r>
      <w:r w:rsidR="00AE56C9" w:rsidRPr="00C4343E">
        <w:rPr>
          <w:rFonts w:ascii="Calibri" w:hAnsi="Calibri" w:cs="Arial"/>
        </w:rPr>
        <w:t xml:space="preserve">irect observation of this </w:t>
      </w:r>
      <w:r w:rsidR="0042635F">
        <w:rPr>
          <w:rFonts w:ascii="Calibri" w:hAnsi="Calibri" w:cs="Arial"/>
        </w:rPr>
        <w:t xml:space="preserve">cleavage </w:t>
      </w:r>
      <w:r w:rsidR="0057308B">
        <w:rPr>
          <w:rFonts w:ascii="Calibri" w:hAnsi="Calibri" w:cs="Arial"/>
        </w:rPr>
        <w:t>constitutes</w:t>
      </w:r>
      <w:r w:rsidR="00AE56C9" w:rsidRPr="00C4343E">
        <w:rPr>
          <w:rFonts w:ascii="Calibri" w:hAnsi="Calibri" w:cs="Arial"/>
        </w:rPr>
        <w:t xml:space="preserve"> biochemical evidence </w:t>
      </w:r>
      <w:r w:rsidR="0057308B">
        <w:rPr>
          <w:rFonts w:ascii="Calibri" w:hAnsi="Calibri" w:cs="Arial"/>
        </w:rPr>
        <w:t>of</w:t>
      </w:r>
      <w:r w:rsidR="00AE56C9" w:rsidRPr="00C4343E">
        <w:rPr>
          <w:rFonts w:ascii="Calibri" w:hAnsi="Calibri" w:cs="Arial"/>
        </w:rPr>
        <w:t xml:space="preserve"> a</w:t>
      </w:r>
      <w:r w:rsidR="0042635F">
        <w:rPr>
          <w:rFonts w:ascii="Calibri" w:hAnsi="Calibri" w:cs="Arial"/>
        </w:rPr>
        <w:t xml:space="preserve">n on-target, AGO2 RISC-mediated pathway and is </w:t>
      </w:r>
      <w:r w:rsidR="0057308B">
        <w:rPr>
          <w:rFonts w:ascii="Calibri" w:hAnsi="Calibri" w:cs="Arial"/>
        </w:rPr>
        <w:t xml:space="preserve">typically </w:t>
      </w:r>
      <w:r w:rsidR="0042635F">
        <w:rPr>
          <w:rFonts w:ascii="Calibri" w:hAnsi="Calibri" w:cs="Arial"/>
        </w:rPr>
        <w:t>determined using</w:t>
      </w:r>
      <w:r w:rsidR="00AE56C9" w:rsidRPr="00C4343E">
        <w:rPr>
          <w:rFonts w:ascii="Calibri" w:hAnsi="Calibri" w:cs="Arial"/>
        </w:rPr>
        <w:t xml:space="preserve"> 5’ rapid amplification of complementary DNA ends (5’-RACE</w:t>
      </w:r>
      <w:r w:rsidR="00CD7A79">
        <w:rPr>
          <w:rFonts w:ascii="Calibri" w:hAnsi="Calibri" w:cs="Arial"/>
        </w:rPr>
        <w:t>; qualitative</w:t>
      </w:r>
      <w:r w:rsidR="00AE56C9" w:rsidRPr="00C4343E">
        <w:rPr>
          <w:rFonts w:ascii="Calibri" w:hAnsi="Calibri" w:cs="Arial"/>
        </w:rPr>
        <w:t>)</w:t>
      </w:r>
      <w:r w:rsidR="00CD7A79">
        <w:rPr>
          <w:rFonts w:ascii="Calibri" w:hAnsi="Calibri" w:cs="Arial"/>
        </w:rPr>
        <w:t xml:space="preserve"> followed by Sanger sequencing</w:t>
      </w:r>
      <w:r w:rsidR="0057308B">
        <w:rPr>
          <w:rFonts w:ascii="Calibri" w:hAnsi="Calibri" w:cs="Arial"/>
        </w:rPr>
        <w:t xml:space="preserve"> </w:t>
      </w:r>
      <w:r w:rsidR="00B165B7">
        <w:rPr>
          <w:rFonts w:ascii="Calibri" w:hAnsi="Calibri" w:cs="Arial"/>
        </w:rPr>
        <w:fldChar w:fldCharType="begin" w:fldLock="1"/>
      </w:r>
      <w:r w:rsidR="00B165B7">
        <w:rPr>
          <w:rFonts w:ascii="Calibri" w:hAnsi="Calibri" w:cs="Arial"/>
        </w:rPr>
        <w:instrText>ADDIN CSL_CITATION { "citationItems" : [ { "id" : "ITEM-1", "itemData" : { "DOI" : "10.1038/nature03121", "ISSN" : "1476-4687", "PMID" : "15538359", "abstract" : "RNA interference (RNAi) holds considerable promise as a therapeutic approach to silence disease-causing genes, particularly those that encode so-called 'non-druggable' targets that are not amenable to conventional therapeutics such as small molecules, proteins, or monoclonal antibodies. The main obstacle to achieving in vivo gene silencing by RNAi technologies is delivery. Here we show that chemically modified short interfering RNAs (siRNAs) can silence an endogenous gene encoding apolipoprotein B (apoB) after intravenous injection in mice. Administration of chemically modified siRNAs resulted in silencing of the apoB messenger RNA in liver and jejunum, decreased plasma levels of apoB protein, and reduced total cholesterol. We also show that these siRNAs can silence human apoB in a transgenic mouse model. In our in vivo study, the mechanism of action for the siRNAs was proven to occur through RNAi-mediated mRNA degradation, and we determined that cleavage of the apoB mRNA occurred specifically at the predicted site. These findings demonstrate the therapeutic potential of siRNAs for the treatment of disease.", "author" : [ { "dropping-particle" : "", "family" : "Soutschek", "given" : "J\u00fcrgen", "non-dropping-particle" : "", "parse-names" : false, "suffix" : "" }, { "dropping-particle" : "", "family" : "Akinc", "given" : "Akin", "non-dropping-particle" : "", "parse-names" : false, "suffix" : "" }, { "dropping-particle" : "", "family" : "Bramlage", "given" : "Birgit", "non-dropping-particle" : "", "parse-names" : false, "suffix" : "" }, { "dropping-particle" : "", "family" : "Charisse", "given" : "Klaus", "non-dropping-particle" : "", "parse-names" : false, "suffix" : "" }, { "dropping-particle" : "", "family" : "Constien", "given" : "Rainer", "non-dropping-particle" : "", "parse-names" : false, "suffix" : "" }, { "dropping-particle" : "", "family" : "Donoghue", "given" : "Mary", "non-dropping-particle" : "", "parse-names" : false, "suffix" : "" }, { "dropping-particle" : "", "family" : "Elbashir", "given" : "Sayda", "non-dropping-particle" : "", "parse-names" : false, "suffix" : "" }, { "dropping-particle" : "", "family" : "Geick", "given" : "Anke", "non-dropping-particle" : "", "parse-names" : false, "suffix" : "" }, { "dropping-particle" : "", "family" : "Hadwiger", "given" : "Philipp", "non-dropping-particle" : "", "parse-names" : false, "suffix" : "" }, { "dropping-particle" : "", "family" : "Harborth", "given" : "Jens", "non-dropping-particle" : "", "parse-names" : false, "suffix" : "" }, { "dropping-particle" : "", "family" : "John", "given" : "Matthias", "non-dropping-particle" : "", "parse-names" : false, "suffix" : "" }, { "dropping-particle" : "", "family" : "Kesavan", "given" : "Venkitasamy", "non-dropping-particle" : "", "parse-names" : false, "suffix" : "" }, { "dropping-particle" : "", "family" : "Lavine", "given" : "Gary", "non-dropping-particle" : "", "parse-names" : false, "suffix" : "" }, { "dropping-particle" : "", "family" : "Pandey", "given" : "Rajendra K", "non-dropping-particle" : "", "parse-names" : false, "suffix" : "" }, { "dropping-particle" : "", "family" : "Racie", "given" : "Timothy", "non-dropping-particle" : "", "parse-names" : false, "suffix" : "" }, { "dropping-particle" : "", "family" : "Rajeev", "given" : "Kallanthottathil G", "non-dropping-particle" : "", "parse-names" : false, "suffix" : "" }, { "dropping-particle" : "", "family" : "R\u00f6hl", "given" : "Ingo", "non-dropping-particle" : "", "parse-names" : false, "suffix" : "" }, { "dropping-particle" : "", "family" : "Toudjarska", "given" : "Ivanka", "non-dropping-particle" : "", "parse-names" : false, "suffix" : "" }, { "dropping-particle" : "", "family" : "Wang", "given" : "Gang", "non-dropping-particle" : "", "parse-names" : false, "suffix" : "" }, { "dropping-particle" : "", "family" : "Wuschko", "given" : "Silvio", "non-dropping-particle" : "", "parse-names" : false, "suffix" : "" }, { "dropping-particle" : "", "family" : "Bumcrot", "given" : "David", "non-dropping-particle" : "", "parse-names" : false, "suffix" : "" }, { "dropping-particle" : "", "family" : "Koteliansky", "given" : "Victor", "non-dropping-particle" : "", "parse-names" : false, "suffix" : "" }, { "dropping-particle" : "", "family" : "Limmer", "given" : "Stefan", "non-dropping-particle" : "", "parse-names" : false, "suffix" : "" }, { "dropping-particle" : "", "family" : "Manoharan", "given" : "Muthiah", "non-dropping-particle" : "", "parse-names" : false, "suffix" : "" }, { "dropping-particle" : "", "family" : "Vornlocher", "given" : "Hans-Peter", "non-dropping-particle" : "", "parse-names" : false, "suffix" : "" } ], "container-title" : "Nature", "id" : "ITEM-1", "issue" : "7014", "issued" : { "date-parts" : [ [ "2004", "11", "11" ] ] }, "page" : "173-8", "title" : "Therapeutic silencing of an endogenous gene by systemic administration of modified siRNAs.", "type" : "article-journal", "volume" : "432" }, "uris" : [ "http://www.mendeley.com/documents/?uuid=73d99fb3-3172-4e24-970c-ac39f8e74cb8" ] } ], "mendeley" : { "formattedCitation" : "(Soutschek et al., 2004)", "plainTextFormattedCitation" : "(Soutschek et al., 2004)", "previouslyFormattedCitation" : "(Soutschek et al., 2004)" }, "properties" : { "noteIndex" : 0 }, "schema" : "https://github.com/citation-style-language/schema/raw/master/csl-citation.json" }</w:instrText>
      </w:r>
      <w:r w:rsidR="00B165B7">
        <w:rPr>
          <w:rFonts w:ascii="Calibri" w:hAnsi="Calibri" w:cs="Arial"/>
        </w:rPr>
        <w:fldChar w:fldCharType="separate"/>
      </w:r>
      <w:r w:rsidR="00B165B7" w:rsidRPr="00B165B7">
        <w:rPr>
          <w:rFonts w:ascii="Calibri" w:hAnsi="Calibri" w:cs="Arial"/>
          <w:noProof/>
        </w:rPr>
        <w:t>(Soutschek et al., 2004)</w:t>
      </w:r>
      <w:r w:rsidR="00B165B7">
        <w:rPr>
          <w:rFonts w:ascii="Calibri" w:hAnsi="Calibri" w:cs="Arial"/>
        </w:rPr>
        <w:fldChar w:fldCharType="end"/>
      </w:r>
      <w:r w:rsidR="00B165B7" w:rsidRPr="00C4343E">
        <w:rPr>
          <w:rFonts w:ascii="Calibri" w:hAnsi="Calibri" w:cs="Arial"/>
        </w:rPr>
        <w:t xml:space="preserve"> </w:t>
      </w:r>
      <w:r w:rsidR="00AE56C9" w:rsidRPr="00C4343E">
        <w:rPr>
          <w:rFonts w:ascii="Calibri" w:hAnsi="Calibri" w:cs="Arial"/>
        </w:rPr>
        <w:t xml:space="preserve">or next generation </w:t>
      </w:r>
      <w:r w:rsidR="004633E1" w:rsidRPr="00C4343E">
        <w:rPr>
          <w:rFonts w:ascii="Calibri" w:hAnsi="Calibri" w:cs="Arial"/>
        </w:rPr>
        <w:t xml:space="preserve">sequencing </w:t>
      </w:r>
      <w:r w:rsidR="00AE56C9" w:rsidRPr="00C4343E">
        <w:rPr>
          <w:rFonts w:ascii="Calibri" w:hAnsi="Calibri" w:cs="Arial"/>
        </w:rPr>
        <w:t>(RACE-Seq; semi-quantitative</w:t>
      </w:r>
      <w:r w:rsidR="00B165B7">
        <w:rPr>
          <w:rFonts w:ascii="Calibri" w:hAnsi="Calibri" w:cs="Arial"/>
        </w:rPr>
        <w:t xml:space="preserve"> </w:t>
      </w:r>
      <w:r w:rsidR="00B165B7">
        <w:rPr>
          <w:rFonts w:ascii="Calibri" w:hAnsi="Calibri" w:cs="Arial"/>
        </w:rPr>
        <w:fldChar w:fldCharType="begin" w:fldLock="1"/>
      </w:r>
      <w:r w:rsidR="00353BD8">
        <w:rPr>
          <w:rFonts w:ascii="Calibri" w:hAnsi="Calibri" w:cs="Arial"/>
        </w:rPr>
        <w:instrText>ADDIN CSL_CITATION { "citationItems" : [ { "id" : "ITEM-1", "itemData" : { "author" : [ { "dropping-particle" : "", "family" : "Denise", "given" : "H", "non-dropping-particle" : "", "parse-names" : false, "suffix" : "" }, { "dropping-particle" : "", "family" : "Moschos", "given" : "S A", "non-dropping-particle" : "", "parse-names" : false, "suffix" : "" }, { "dropping-particle" : "", "family" : "Sidders", "given" : "B", "non-dropping-particle" : "", "parse-names" : false, "suffix" : "" }, { "dropping-particle" : "", "family" : "Burden", "given" : "F", "non-dropping-particle" : "", "parse-names" : false, "suffix" : "" }, { "dropping-particle" : "", "family" : "Perkins", "given" : "H", "non-dropping-particle" : "", "parse-names" : false, "suffix" : "" }, { "dropping-particle" : "", "family" : "Carter", "given" : "N", "non-dropping-particle" : "", "parse-names" : false, "suffix" : "" }, { "dropping-particle" : "", "family" : "Stroud", "given" : "T", "non-dropping-particle" : "", "parse-names" : false, "suffix" : "" }, { "dropping-particle" : "", "family" : "Kennedy", "given" : "M", "non-dropping-particle" : "", "parse-names" : false, "suffix" : "" }, { "dropping-particle" : "", "family" : "Fancy", "given" : "S A", "non-dropping-particle" : "", "parse-names" : false, "suffix" : "" }, { "dropping-particle" : "", "family" : "Lapthorn", "given" : "C", "non-dropping-particle" : "", "parse-names" : false, "suffix" : "" }, { "dropping-particle" : "", "family" : "Lavender", "given" : "H", "non-dropping-particle" : "", "parse-names" : false, "suffix" : "" }, { "dropping-particle" : "", "family" : "Kinloch", "given" : "R", "non-dropping-particle" : "", "parse-names" : false, "suffix" : "" }, { "dropping-particle" : "", "family" : "Suhy", "given" : "D", "non-dropping-particle" : "", "parse-names" : false, "suffix" : "" }, { "dropping-particle" : "", "family" : "Corbau", "given" : "R", "non-dropping-particle" : "", "parse-names" : false, "suffix" : "" } ], "container-title" : "Molecular Therapy Nucleic Acids", "id" : "ITEM-1", "issued" : { "date-parts" : [ [ "2013" ] ] }, "title" : "Deep sequencing insights in therapeutic shRNA processing and siRNA target cleavage precision.", "type" : "article-journal", "volume" : "in press" }, "uris" : [ "http://www.mendeley.com/documents/?uuid=1fef6f5b-9df1-4ba0-b50a-f9d72555a4c3" ] } ], "mendeley" : { "formattedCitation" : "(Denise et al., 2013)", "plainTextFormattedCitation" : "(Denise et al., 2013)", "previouslyFormattedCitation" : "(Denise et al., 2013)" }, "properties" : { "noteIndex" : 0 }, "schema" : "https://github.com/citation-style-language/schema/raw/master/csl-citation.json" }</w:instrText>
      </w:r>
      <w:r w:rsidR="00B165B7">
        <w:rPr>
          <w:rFonts w:ascii="Calibri" w:hAnsi="Calibri" w:cs="Arial"/>
        </w:rPr>
        <w:fldChar w:fldCharType="separate"/>
      </w:r>
      <w:r w:rsidR="00B165B7" w:rsidRPr="00B165B7">
        <w:rPr>
          <w:rFonts w:ascii="Calibri" w:hAnsi="Calibri" w:cs="Arial"/>
          <w:noProof/>
        </w:rPr>
        <w:t>(Denise et al., 2013)</w:t>
      </w:r>
      <w:r w:rsidR="00B165B7">
        <w:rPr>
          <w:rFonts w:ascii="Calibri" w:hAnsi="Calibri" w:cs="Arial"/>
        </w:rPr>
        <w:fldChar w:fldCharType="end"/>
      </w:r>
      <w:r w:rsidR="004633E1">
        <w:rPr>
          <w:rFonts w:ascii="Calibri" w:hAnsi="Calibri" w:cs="Arial"/>
        </w:rPr>
        <w:t>)</w:t>
      </w:r>
      <w:r w:rsidR="00AE56C9" w:rsidRPr="00C4343E">
        <w:rPr>
          <w:rFonts w:ascii="Calibri" w:hAnsi="Calibri" w:cs="Arial"/>
        </w:rPr>
        <w:t xml:space="preserve">. </w:t>
      </w:r>
      <w:r w:rsidR="00D4489A">
        <w:rPr>
          <w:rFonts w:ascii="Calibri" w:hAnsi="Calibri" w:cs="Arial"/>
        </w:rPr>
        <w:t>Importantly, 5’-RACE is the golden st</w:t>
      </w:r>
      <w:r w:rsidR="00F13800">
        <w:rPr>
          <w:rFonts w:ascii="Calibri" w:hAnsi="Calibri" w:cs="Arial"/>
        </w:rPr>
        <w:t>andard method for confirming on-</w:t>
      </w:r>
      <w:r w:rsidR="00D4489A">
        <w:rPr>
          <w:rFonts w:ascii="Calibri" w:hAnsi="Calibri" w:cs="Arial"/>
        </w:rPr>
        <w:t>target AGO2 RISC activity,</w:t>
      </w:r>
      <w:r w:rsidR="00F13800">
        <w:rPr>
          <w:rFonts w:ascii="Calibri" w:hAnsi="Calibri" w:cs="Arial"/>
        </w:rPr>
        <w:t xml:space="preserve"> albeit</w:t>
      </w:r>
      <w:r w:rsidR="00D4489A">
        <w:rPr>
          <w:rFonts w:ascii="Calibri" w:hAnsi="Calibri" w:cs="Arial"/>
        </w:rPr>
        <w:t xml:space="preserve"> in a qualitative fashion. RACE-Seq can assess the cleavage precision of AGO2 RISC in a digital manner, but neither method can discern to what extent observed </w:t>
      </w:r>
      <w:r w:rsidR="00F13800">
        <w:rPr>
          <w:rFonts w:ascii="Calibri" w:hAnsi="Calibri" w:cs="Arial"/>
        </w:rPr>
        <w:t>outcomes,</w:t>
      </w:r>
      <w:r w:rsidR="00D4489A">
        <w:rPr>
          <w:rFonts w:ascii="Calibri" w:hAnsi="Calibri" w:cs="Arial"/>
        </w:rPr>
        <w:t xml:space="preserve"> such as</w:t>
      </w:r>
      <w:r w:rsidR="00F13800">
        <w:rPr>
          <w:rFonts w:ascii="Calibri" w:hAnsi="Calibri" w:cs="Arial"/>
        </w:rPr>
        <w:t xml:space="preserve"> overall</w:t>
      </w:r>
      <w:r w:rsidR="00D4489A">
        <w:rPr>
          <w:rFonts w:ascii="Calibri" w:hAnsi="Calibri" w:cs="Arial"/>
        </w:rPr>
        <w:t xml:space="preserve"> target </w:t>
      </w:r>
      <w:r w:rsidR="00F13800">
        <w:rPr>
          <w:rFonts w:ascii="Calibri" w:hAnsi="Calibri" w:cs="Arial"/>
        </w:rPr>
        <w:t>level changes at the transcript or protein level</w:t>
      </w:r>
      <w:r w:rsidR="0080250A">
        <w:rPr>
          <w:rFonts w:ascii="Calibri" w:hAnsi="Calibri" w:cs="Arial"/>
        </w:rPr>
        <w:t>,</w:t>
      </w:r>
      <w:r w:rsidR="00D4489A">
        <w:rPr>
          <w:rFonts w:ascii="Calibri" w:hAnsi="Calibri" w:cs="Arial"/>
        </w:rPr>
        <w:t xml:space="preserve"> are </w:t>
      </w:r>
      <w:r w:rsidR="009F0320">
        <w:rPr>
          <w:rFonts w:ascii="Calibri" w:hAnsi="Calibri" w:cs="Arial"/>
        </w:rPr>
        <w:t xml:space="preserve">exclusively </w:t>
      </w:r>
      <w:r w:rsidR="00D4489A">
        <w:rPr>
          <w:rFonts w:ascii="Calibri" w:hAnsi="Calibri" w:cs="Arial"/>
        </w:rPr>
        <w:t xml:space="preserve">on account of the expected MOA. </w:t>
      </w:r>
      <w:r w:rsidR="00B610E9">
        <w:rPr>
          <w:rFonts w:ascii="Calibri" w:hAnsi="Calibri" w:cs="Arial"/>
        </w:rPr>
        <w:t>Global</w:t>
      </w:r>
      <w:r w:rsidR="00AE56C9" w:rsidRPr="00C4343E">
        <w:rPr>
          <w:rFonts w:ascii="Calibri" w:hAnsi="Calibri" w:cs="Arial"/>
        </w:rPr>
        <w:t xml:space="preserve"> RNA-Seq </w:t>
      </w:r>
      <w:r w:rsidR="00353BD8">
        <w:rPr>
          <w:rFonts w:ascii="Calibri" w:hAnsi="Calibri" w:cs="Arial"/>
        </w:rPr>
        <w:fldChar w:fldCharType="begin" w:fldLock="1"/>
      </w:r>
      <w:r w:rsidR="00353BD8">
        <w:rPr>
          <w:rFonts w:ascii="Calibri" w:hAnsi="Calibri" w:cs="Arial"/>
        </w:rPr>
        <w:instrText>ADDIN CSL_CITATION { "citationItems" : [ { "id" : "ITEM-1", "itemData" : { "DOI" : "10.1158/2159-8290.CD-12-0429", "ISSN" : "2159-8290", "PMID" : "23358650", "abstract" : "UNLABELLED: RNA interference (RNAi) is a potent and specific mechanism for regulating gene expression. Harnessing RNAi to silence genes involved in disease holds promise for the development of a new class of therapeutics. Delivery is key to realizing the potential of RNAi, and lipid nanoparticles (LNP) have proved effective in delivery of siRNAs to the liver and to tumors in animals. To examine the activity and safety of LNP-formulated siRNAs in humans, we initiated a trial of ALN-VSP, an LNP formulation of siRNAs targeting VEGF and kinesin spindle protein (KSP), in patients with cancer. Here, we show detection of drug in tumor biopsies, siRNA-mediated mRNA cleavage in the liver, pharmacodynamics suggestive of target downregulation, and antitumor activity, including complete regression of liver metastases in endometrial cancer. In addition, we show that biweekly intravenous administration of ALN-VSP was safe and well tolerated. These data provide proof-of-concept for RNAi therapeutics in humans and form the basis for further development in cancer.\n\nSIGNIFICANCE: The fi ndings in this report show safety, pharmacokinetics, RNAi mechanism of action, and clinical activity with a novel fi rst-in-class LNP-formulated RNAi therapeutic in patients with cancer. The ability to harness RNAi to facilitate specifi c multitargeting, as well as increase the number of druggable targets, has important implications for future drug development in oncology.", "author" : [ { "dropping-particle" : "", "family" : "Tabernero", "given" : "Josep", "non-dropping-particle" : "", "parse-names" : false, "suffix" : "" }, { "dropping-particle" : "", "family" : "Shapiro", "given" : "Geoffrey I", "non-dropping-particle" : "", "parse-names" : false, "suffix" : "" }, { "dropping-particle" : "", "family" : "LoRusso", "given" : "Patricia M", "non-dropping-particle" : "", "parse-names" : false, "suffix" : "" }, { "dropping-particle" : "", "family" : "Cervantes", "given" : "Andres", "non-dropping-particle" : "", "parse-names" : false, "suffix" : "" }, { "dropping-particle" : "", "family" : "Schwartz", "given" : "Gary K", "non-dropping-particle" : "", "parse-names" : false, "suffix" : "" }, { "dropping-particle" : "", "family" : "Weiss", "given" : "Glen J", "non-dropping-particle" : "", "parse-names" : false, "suffix" : "" }, { "dropping-particle" : "", "family" : "Paz-Ares", "given" : "Luis", "non-dropping-particle" : "", "parse-names" : false, "suffix" : "" }, { "dropping-particle" : "", "family" : "Cho", "given" : "Daniel C", "non-dropping-particle" : "", "parse-names" : false, "suffix" : "" }, { "dropping-particle" : "", "family" : "Infante", "given" : "Jeffrey R", "non-dropping-particle" : "", "parse-names" : false, "suffix" : "" }, { "dropping-particle" : "", "family" : "Alsina", "given" : "Maria", "non-dropping-particle" : "", "parse-names" : false, "suffix" : "" }, { "dropping-particle" : "", "family" : "Gounder", "given" : "Mrinal M", "non-dropping-particle" : "", "parse-names" : false, "suffix" : "" }, { "dropping-particle" : "", "family" : "Falzone", "given" : "Rick", "non-dropping-particle" : "", "parse-names" : false, "suffix" : "" }, { "dropping-particle" : "", "family" : "Harrop", "given" : "Jamie", "non-dropping-particle" : "", "parse-names" : false, "suffix" : "" }, { "dropping-particle" : "", "family" : "White", "given" : "Amy C Seila", "non-dropping-particle" : "", "parse-names" : false, "suffix" : "" }, { "dropping-particle" : "", "family" : "Toudjarska", "given" : "Iva", "non-dropping-particle" : "", "parse-names" : false, "suffix" : "" }, { "dropping-particle" : "", "family" : "Bumcrot", "given" : "David", "non-dropping-particle" : "", "parse-names" : false, "suffix" : "" }, { "dropping-particle" : "", "family" : "Meyers", "given" : "Rachel E", "non-dropping-particle" : "", "parse-names" : false, "suffix" : "" }, { "dropping-particle" : "", "family" : "Hinkle", "given" : "Gregory", "non-dropping-particle" : "", "parse-names" : false, "suffix" : "" }, { "dropping-particle" : "", "family" : "Svrzikapa", "given" : "Nenad", "non-dropping-particle" : "", "parse-names" : false, "suffix" : "" }, { "dropping-particle" : "", "family" : "Hutabarat", "given" : "Renta M", "non-dropping-particle" : "", "parse-names" : false, "suffix" : "" }, { "dropping-particle" : "", "family" : "Clausen", "given" : "Valerie A", "non-dropping-particle" : "", "parse-names" : false, "suffix" : "" }, { "dropping-particle" : "", "family" : "Cehelsky", "given" : "Jeffrey", "non-dropping-particle" : "", "parse-names" : false, "suffix" : "" }, { "dropping-particle" : "V", "family" : "Nochur", "given" : "Saraswathy", "non-dropping-particle" : "", "parse-names" : false, "suffix" : "" }, { "dropping-particle" : "", "family" : "Gamba-Vitalo", "given" : "Christina", "non-dropping-particle" : "", "parse-names" : false, "suffix" : "" }, { "dropping-particle" : "", "family" : "Vaishnaw", "given" : "Akshay K", "non-dropping-particle" : "", "parse-names" : false, "suffix" : "" }, { "dropping-particle" : "", "family" : "Sah", "given" : "Dinah W Y", "non-dropping-particle" : "", "parse-names" : false, "suffix" : "" }, { "dropping-particle" : "", "family" : "Gollob", "given" : "Jared A", "non-dropping-particle" : "", "parse-names" : false, "suffix" : "" }, { "dropping-particle" : "", "family" : "Burris", "given" : "Howard A", "non-dropping-particle" : "", "parse-names" : false, "suffix" : "" } ], "container-title" : "Cancer discovery", "id" : "ITEM-1", "issue" : "4", "issued" : { "date-parts" : [ [ "2013", "4", "1" ] ] }, "language" : "en", "page" : "406-17", "publisher" : "American Association for Cancer Research", "title" : "First-in-humans trial of an RNA interference therapeutic targeting VEGF and KSP in cancer patients with liver involvement.", "type" : "article-journal", "volume" : "3" }, "uris" : [ "http://www.mendeley.com/documents/?uuid=e7d3397e-b32c-417d-99b2-0f5b24022952" ] } ], "mendeley" : { "formattedCitation" : "(Tabernero et al., 2013)", "plainTextFormattedCitation" : "(Tabernero et al., 2013)", "previouslyFormattedCitation" : "(Tabernero et al., 2013)" }, "properties" : { "noteIndex" : 0 }, "schema" : "https://github.com/citation-style-language/schema/raw/master/csl-citation.json" }</w:instrText>
      </w:r>
      <w:r w:rsidR="00353BD8">
        <w:rPr>
          <w:rFonts w:ascii="Calibri" w:hAnsi="Calibri" w:cs="Arial"/>
        </w:rPr>
        <w:fldChar w:fldCharType="separate"/>
      </w:r>
      <w:r w:rsidR="00353BD8" w:rsidRPr="00353BD8">
        <w:rPr>
          <w:rFonts w:ascii="Calibri" w:hAnsi="Calibri" w:cs="Arial"/>
          <w:noProof/>
        </w:rPr>
        <w:t>(Tabernero et al., 2013)</w:t>
      </w:r>
      <w:r w:rsidR="00353BD8">
        <w:rPr>
          <w:rFonts w:ascii="Calibri" w:hAnsi="Calibri" w:cs="Arial"/>
        </w:rPr>
        <w:fldChar w:fldCharType="end"/>
      </w:r>
      <w:r w:rsidR="00AE56C9" w:rsidRPr="00C4343E">
        <w:rPr>
          <w:rFonts w:ascii="Calibri" w:hAnsi="Calibri" w:cs="Arial"/>
        </w:rPr>
        <w:t xml:space="preserve"> </w:t>
      </w:r>
      <w:r w:rsidR="00B610E9" w:rsidRPr="00C4343E">
        <w:rPr>
          <w:rFonts w:ascii="Calibri" w:hAnsi="Calibri" w:cs="Arial"/>
        </w:rPr>
        <w:t xml:space="preserve">can report the relative extent of </w:t>
      </w:r>
      <w:r w:rsidR="00B610E9">
        <w:rPr>
          <w:rFonts w:ascii="Calibri" w:hAnsi="Calibri" w:cs="Arial"/>
        </w:rPr>
        <w:t xml:space="preserve">target cleavage (knockdown), assess effects on </w:t>
      </w:r>
      <w:r w:rsidR="00B610E9" w:rsidRPr="00C4343E">
        <w:rPr>
          <w:rFonts w:ascii="Calibri" w:hAnsi="Calibri" w:cs="Arial"/>
        </w:rPr>
        <w:t xml:space="preserve">other transcripts </w:t>
      </w:r>
      <w:r w:rsidR="00B610E9">
        <w:rPr>
          <w:rFonts w:ascii="Calibri" w:hAnsi="Calibri" w:cs="Arial"/>
        </w:rPr>
        <w:t>and</w:t>
      </w:r>
      <w:r w:rsidR="00B610E9" w:rsidRPr="00C4343E">
        <w:rPr>
          <w:rFonts w:ascii="Calibri" w:hAnsi="Calibri" w:cs="Arial"/>
        </w:rPr>
        <w:t xml:space="preserve"> </w:t>
      </w:r>
      <w:r w:rsidR="00CD7A79">
        <w:rPr>
          <w:rFonts w:ascii="Calibri" w:hAnsi="Calibri" w:cs="Arial"/>
        </w:rPr>
        <w:t xml:space="preserve">any impact on </w:t>
      </w:r>
      <w:r w:rsidR="00B610E9" w:rsidRPr="00C4343E">
        <w:rPr>
          <w:rFonts w:ascii="Calibri" w:hAnsi="Calibri" w:cs="Arial"/>
        </w:rPr>
        <w:t>splice variants</w:t>
      </w:r>
      <w:r w:rsidR="00F13800">
        <w:rPr>
          <w:rFonts w:ascii="Calibri" w:hAnsi="Calibri" w:cs="Arial"/>
        </w:rPr>
        <w:t xml:space="preserve">; if carried out to sufficient depth it may also report on AGO2 RISC cleavage precision, albeit with less sensitivity than </w:t>
      </w:r>
      <w:r w:rsidR="009F0320">
        <w:rPr>
          <w:rFonts w:ascii="Calibri" w:hAnsi="Calibri" w:cs="Arial"/>
        </w:rPr>
        <w:t xml:space="preserve">the targeted nature of </w:t>
      </w:r>
      <w:r w:rsidR="00F13800">
        <w:rPr>
          <w:rFonts w:ascii="Calibri" w:hAnsi="Calibri" w:cs="Arial"/>
        </w:rPr>
        <w:t>RACE-Seq</w:t>
      </w:r>
      <w:r w:rsidR="00B610E9">
        <w:rPr>
          <w:rFonts w:ascii="Calibri" w:hAnsi="Calibri" w:cs="Arial"/>
        </w:rPr>
        <w:t>.</w:t>
      </w:r>
      <w:r w:rsidR="00B610E9" w:rsidRPr="00C4343E">
        <w:rPr>
          <w:rFonts w:ascii="Calibri" w:hAnsi="Calibri" w:cs="Arial"/>
        </w:rPr>
        <w:t xml:space="preserve"> </w:t>
      </w:r>
      <w:r w:rsidR="000D0C5C">
        <w:rPr>
          <w:rFonts w:ascii="Calibri" w:hAnsi="Calibri" w:cs="Arial"/>
        </w:rPr>
        <w:t>It is important to note, however, that e</w:t>
      </w:r>
      <w:r w:rsidR="0057308B">
        <w:rPr>
          <w:rFonts w:ascii="Calibri" w:hAnsi="Calibri" w:cs="Arial"/>
        </w:rPr>
        <w:t xml:space="preserve">xperimental </w:t>
      </w:r>
      <w:r w:rsidR="00EF68C6">
        <w:rPr>
          <w:rFonts w:ascii="Calibri" w:hAnsi="Calibri" w:cs="Arial"/>
        </w:rPr>
        <w:fldChar w:fldCharType="begin" w:fldLock="1"/>
      </w:r>
      <w:r w:rsidR="00121A9C">
        <w:rPr>
          <w:rFonts w:ascii="Calibri" w:hAnsi="Calibri" w:cs="Arial"/>
        </w:rPr>
        <w:instrText>ADDIN CSL_CITATION { "citationItems" : [ { "id" : "ITEM-1", "itemData" : { "DOI" : "10.1186/1758-907X-3-4", "ISSN" : "1758-907X", "PMID" : "22647250", "abstract" : "BACKGROUND: The use of nucleic acid-modifying enzymes has driven the rapid advancement in molecular biology. Understanding their function is important for modifying or improving their activity. However, functional analysis usually relies upon low-throughput experiments. Here we present a method for functional analysis of nucleic acid-modifying enzymes using next generation sequencing.\n\nFINDINGS: We demonstrate that sequencing data of libraries generated by RNA ligases can reveal novel secondary structure preferences of these enzymes, which are used in small RNA cloning and library preparation for NGS. Using this knowledge we demonstrate that the cloning bias in small RNA libraries is RNA ligase-dependent. We developed a high definition (HD) protocol that reduces the RNA ligase-dependent cloning bias. The HD protocol doubled read coverage, is quantitative and found previously unidentified microRNAs. In addition, we show that microRNAs in miRBase are those preferred by the adapters of the main sequencing platform.\n\nCONCLUSIONS: Sequencing bias of small RNAs partially influenced which microRNAs have been studied in depth; therefore most previous small RNA profiling experiments should be re-evaluated. New microRNAs are likely to be found, which were selected against by existing adapters. Preference of currently used adapters towards known microRNAs suggests that the annotation of all existing small RNAs, including miRNAs, siRNAs and piRNAs, has been biased.", "author" : [ { "dropping-particle" : "", "family" : "Sorefan", "given" : "Karim", "non-dropping-particle" : "", "parse-names" : false, "suffix" : "" }, { "dropping-particle" : "", "family" : "Pais", "given" : "Helio", "non-dropping-particle" : "", "parse-names" : false, "suffix" : "" }, { "dropping-particle" : "", "family" : "Hall", "given" : "Adam E", "non-dropping-particle" : "", "parse-names" : false, "suffix" : "" }, { "dropping-particle" : "", "family" : "Kozomara", "given" : "Ana", "non-dropping-particle" : "", "parse-names" : false, "suffix" : "" }, { "dropping-particle" : "", "family" : "Griffiths-Jones", "given" : "Sam", "non-dropping-particle" : "", "parse-names" : false, "suffix" : "" }, { "dropping-particle" : "", "family" : "Moulton", "given" : "Vincent", "non-dropping-particle" : "", "parse-names" : false, "suffix" : "" }, { "dropping-particle" : "", "family" : "Dalmay", "given" : "Tamas", "non-dropping-particle" : "", "parse-names" : false, "suffix" : "" } ], "container-title" : "Silence", "id" : "ITEM-1", "issue" : "1", "issued" : { "date-parts" : [ [ "2012", "1" ] ] }, "page" : "4", "title" : "Reducing ligation bias of small RNAs in libraries for next generation sequencing.", "type" : "article-journal", "volume" : "3" }, "uris" : [ "http://www.mendeley.com/documents/?uuid=360b5379-63ed-466a-a79a-a47d4b4cde3e" ] }, { "id" : "ITEM-2", "itemData" : { "DOI" : "10.1093/nar/gkt1021", "ISSN" : "1362-4962", "PMID" : "24198247", "abstract" : "High-throughput RNA sequencing (RNA-seq) is considered a powerful tool for novel gene discovery and fine-tuned transcriptional profiling. The digital nature of RNA-seq is also believed to simplify meta-analysis and to reduce background noise associated with hybridization-based approaches. The development of multiplex sequencing enables efficient and economic parallel analysis of gene expression. In addition, RNA-seq is of particular value when low RNA expression or modest changes between samples are monitored. However, recent data uncovered severe bias in the sequencing of small non-protein coding RNA (small RNA-seq or sRNA-seq), such that the expression levels of some RNAs appeared to be artificially enhanced and others diminished or even undetectable. The use of different adapters and barcodes during ligation as well as complex RNA structures and modifications drastically influence cDNA synthesis efficacies and exemplify sources of bias in deep sequencing. In addition, variable specific RNA G/C-content is associated with unequal polymerase chain reaction amplification efficiencies. Given the central importance of RNA-seq to molecular biology and personalized medicine, we review recent findings that challenge small non-protein coding RNA-seq data and suggest approaches and precautions to overcome or minimize bias.", "author" : [ { "dropping-particle" : "", "family" : "Raabe", "given" : "Carsten A", "non-dropping-particle" : "", "parse-names" : false, "suffix" : "" }, { "dropping-particle" : "", "family" : "Tang", "given" : "Thean-Hock", "non-dropping-particle" : "", "parse-names" : false, "suffix" : "" }, { "dropping-particle" : "", "family" : "Brosius", "given" : "Juergen", "non-dropping-particle" : "", "parse-names" : false, "suffix" : "" }, { "dropping-particle" : "", "family" : "Rozhdestvensky", "given" : "Timofey S", "non-dropping-particle" : "", "parse-names" : false, "suffix" : "" } ], "container-title" : "Nucleic acids research", "id" : "ITEM-2", "issue" : "3", "issued" : { "date-parts" : [ [ "2014", "2" ] ] }, "page" : "1414-26", "title" : "Biases in small RNA deep sequencing data.", "type" : "article-journal", "volume" : "42" }, "uris" : [ "http://www.mendeley.com/documents/?uuid=5c7455e6-6aa9-4058-90e1-cf60570ab0fe" ] }, { "id" : "ITEM-3", "itemData" : { "DOI" : "10.1016/j.yexcr.2014.01.008", "ISSN" : "1090-2422", "PMID" : "24440557", "abstract" : "Next-generation sequencing (NGS) has caused a revolution in biology. NGS requires the preparation of libraries in which (fragments of) DNA or RNA molecules are fused with adapters followed by PCR amplification and sequencing. It is evident that robust library preparation methods that produce a representative, non-biased source of nucleic acid material from the genome under investigation are of crucial importance. Nevertheless, it has become clear that NGS libraries for all types of applications contain biases that compromise the quality of NGS datasets and can lead to their erroneous interpretation. A detailed knowledge of the nature of these biases will be essential for a careful interpretation of NGS data on the one hand and will help to find ways to improve library quality or to develop bioinformatics tools to compensate for the bias on the other hand. In this review we discuss the literature on bias in the most common NGS library preparation protocols, both for DNA sequencing (DNA-seq) as well as for RNA sequencing (RNA-seq). Strikingly, almost all steps of the various protocols have been reported to introduce bias, especially in the case of RNA-seq, which is technically more challenging than DNA-seq. For each type of bias we discuss methods for improvement with a view to providing some useful advice to the researcher who wishes to convert any kind of raw nucleic acid into an NGS library.", "author" : [ { "dropping-particle" : "", "family" : "Dijk", "given" : "Erwin L", "non-dropping-particle" : "van", "parse-names" : false, "suffix" : "" }, { "dropping-particle" : "", "family" : "Jaszczyszyn", "given" : "Yan", "non-dropping-particle" : "", "parse-names" : false, "suffix" : "" }, { "dropping-particle" : "", "family" : "Thermes", "given" : "Claude", "non-dropping-particle" : "", "parse-names" : false, "suffix" : "" } ], "container-title" : "Experimental cell research", "id" : "ITEM-3", "issue" : "1", "issued" : { "date-parts" : [ [ "2014", "3", "10" ] ] }, "page" : "12-20", "title" : "Library preparation methods for next-generation sequencing: tone down the bias.", "type" : "article-journal", "volume" : "322" }, "uris" : [ "http://www.mendeley.com/documents/?uuid=dfcf1e45-cfd0-4e28-abea-9ec7896061ee" ] } ], "mendeley" : { "formattedCitation" : "(Raabe, Tang, Brosius, &amp; Rozhdestvensky, 2014; Sorefan et al., 2012; van Dijk, Jaszczyszyn, &amp; Thermes, 2014)", "plainTextFormattedCitation" : "(Raabe, Tang, Brosius, &amp; Rozhdestvensky, 2014; Sorefan et al., 2012; van Dijk, Jaszczyszyn, &amp; Thermes, 2014)", "previouslyFormattedCitation" : "(Raabe, Tang, Brosius, &amp; Rozhdestvensky, 2014; Sorefan et al., 2012; van Dijk, Jaszczyszyn, &amp; Thermes, 2014)" }, "properties" : { "noteIndex" : 0 }, "schema" : "https://github.com/citation-style-language/schema/raw/master/csl-citation.json" }</w:instrText>
      </w:r>
      <w:r w:rsidR="00EF68C6">
        <w:rPr>
          <w:rFonts w:ascii="Calibri" w:hAnsi="Calibri" w:cs="Arial"/>
        </w:rPr>
        <w:fldChar w:fldCharType="separate"/>
      </w:r>
      <w:r w:rsidR="00EF68C6" w:rsidRPr="00EF68C6">
        <w:rPr>
          <w:rFonts w:ascii="Calibri" w:hAnsi="Calibri" w:cs="Arial"/>
          <w:noProof/>
        </w:rPr>
        <w:t xml:space="preserve">(Raabe, Tang, Brosius, &amp; </w:t>
      </w:r>
      <w:r w:rsidR="00EF68C6" w:rsidRPr="00EF68C6">
        <w:rPr>
          <w:rFonts w:ascii="Calibri" w:hAnsi="Calibri" w:cs="Arial"/>
          <w:noProof/>
        </w:rPr>
        <w:lastRenderedPageBreak/>
        <w:t>Rozhdestvensky, 2014; Sorefan et al., 2012; van Dijk, Jaszczyszyn, &amp; Thermes, 2014)</w:t>
      </w:r>
      <w:r w:rsidR="00EF68C6">
        <w:rPr>
          <w:rFonts w:ascii="Calibri" w:hAnsi="Calibri" w:cs="Arial"/>
        </w:rPr>
        <w:fldChar w:fldCharType="end"/>
      </w:r>
      <w:r w:rsidR="00E03DB9">
        <w:rPr>
          <w:rFonts w:ascii="Calibri" w:hAnsi="Calibri" w:cs="Arial"/>
        </w:rPr>
        <w:t xml:space="preserve"> and analytical </w:t>
      </w:r>
      <w:r w:rsidR="00EF68C6">
        <w:rPr>
          <w:rFonts w:ascii="Calibri" w:hAnsi="Calibri" w:cs="Arial"/>
        </w:rPr>
        <w:fldChar w:fldCharType="begin" w:fldLock="1"/>
      </w:r>
      <w:r w:rsidR="00EF68C6">
        <w:rPr>
          <w:rFonts w:ascii="Calibri" w:hAnsi="Calibri" w:cs="Arial"/>
        </w:rPr>
        <w:instrText>ADDIN CSL_CITATION { "citationItems" : [ { "id" : "ITEM-1", "itemData" : { "DOI" : "10.4137/EBO.S13099", "ISSN" : "1176-9343", "PMID" : "24277981", "abstract" : "In recent years, RNA-seq has become a very competitive alternative to microarrays. In RNA-seq experiments, the expected read count for a gene is proportional to its expression level multiplied by its transcript length. Even when two genes are expressed at the same level, differences in length will yield differing numbers of total reads. The characteristics of these RNA-seq experiments create a gene-level bias such that the proportion of significantly differentially expressed genes increases with the transcript length, whereas such bias is not present in microarray data. Gene-set analysis seeks to identify the gene sets that are enriched in the list of the identified significant genes. In the gene-set analysis of RNA-seq, the gene-level bias subsequently yields the gene-set-level bias that a gene set with genes of long length will be more likely to show up as enriched than will a gene set with genes of shorter length. Because gene expression is not related to its transcript length, any gene set containing long genes is not of biologically greater interest than gene sets with shorter genes. Accordingly the gene-set-level bias should be removed to accurately calculate the statistical significance of each gene-set enrichment in the RNA-seq. We present a new gene set analysis method of RNA-seq, called FDRseq, which can accurately calculate the statistical significance of a gene-set enrichment score by the grouped false-discovery rate. Numerical examples indicated that FDRseq is appropriate for controlling the transcript length bias in the gene-set analysis of RNA-seq data. To implement FDRseq, we developed the R program, which can be downloaded at no cost from http://home.mju.ac.kr/home/index.action?siteId=tyang.", "author" : [ { "dropping-particle" : "", "family" : "Yang", "given" : "Tae Young", "non-dropping-particle" : "", "parse-names" : false, "suffix" : "" }, { "dropping-particle" : "", "family" : "Jeong", "given" : "Seongmun", "non-dropping-particle" : "", "parse-names" : false, "suffix" : "" } ], "container-title" : "Evolutionary bioinformatics online", "id" : "ITEM-1", "issued" : { "date-parts" : [ [ "2013", "1" ] ] }, "page" : "467-78", "title" : "Grouped False-Discovery Rate for Removing the Gene-Set-Level Bias of RNA-seq.", "type" : "article-journal", "volume" : "9" }, "uris" : [ "http://www.mendeley.com/documents/?uuid=8e0de474-b705-4de1-b966-4e8c5c4f3312" ] }, { "id" : "ITEM-2", "itemData" : { "DOI" : "10.1093/nar/gkv696", "ISSN" : "1362-4962", "PMID" : "26160885", "abstract" : "Various biases affect high-throughput sequencing read counts. Contrary to the general assumption, we show that bias does not always cancel out when fold changes are computed and that bias affects more than 20% of genes that are called differentially regulated in RNA-seq experiments with drastic effects on subsequent biological interpretation. Here, we propose a novel approach to estimate fold changes. Our method is based on a probabilistic model that directly incorporates count ratios instead of read counts. It provides a theoretical foundation for pseudo-counts and can be used to estimate fold change credible intervals as well as normalization factors that outperform currently used normalization methods. We show that fold change estimates are significantly improved by our method by comparing RNA-seq derived fold changes to qPCR data from the MAQC/SEQC project as a reference and analyzing random barcoded sequencing data. Our software implementation is freely available from the project website http://www.bio.ifi.lmu.de/software/lfc.", "author" : [ { "dropping-particle" : "", "family" : "Erhard", "given" : "Florian", "non-dropping-particle" : "", "parse-names" : false, "suffix" : "" }, { "dropping-particle" : "", "family" : "Zimmer", "given" : "Ralf", "non-dropping-particle" : "", "parse-names" : false, "suffix" : "" } ], "container-title" : "Nucleic acids research", "id" : "ITEM-2", "issue" : "20", "issued" : { "date-parts" : [ [ "2015", "11", "16" ] ] }, "page" : "e136", "title" : "Count ratio model reveals bias affecting NGS fold changes.", "type" : "article-journal", "volume" : "43" }, "uris" : [ "http://www.mendeley.com/documents/?uuid=475db36f-bfb4-4690-a61d-2ba56b5c85a4" ] }, { "id" : "ITEM-3", "itemData" : { "DOI" : "10.1371/journal.pone.0140032", "ISSN" : "1932-6203", "PMID" : "26448625", "abstract" : "RNA-seq technology has become an important tool for quantifying the gene and transcript expression in transcriptome study. The two major difficulties for the gene and transcript expression quantification are the read mapping ambiguity and the overdispersion of the read distribution along reference sequence. Many approaches have been proposed to deal with these difficulties. A number of existing methods use Poisson distribution to model the read counts and this easily splits the counts into the contributions from multiple transcripts. Meanwhile, various solutions were put forward to account for the overdispersion in the Poisson models. By checking the similarities among the variation patterns of read counts for individual genes, we found that the count variation is exon-specific and has the conserved pattern across the samples for each individual gene. We introduce Gamma-distributed latent variables to model the read sequencing preference for each exon. These variables are embedded to the rate parameter of a Poisson model to account for the overdispersion of read distribution. The model is tractable since the Gamma priors can be integrated out in the maximum likelihood estimation. We evaluate the proposed approach, PGseq, using four real datasets and one simulated dataset, and compare its performance with other popular methods. Results show that PGseq presents competitive performance compared to other alternatives in terms of accuracy in the gene and transcript expression calculation and in the downstream differential expression analysis. Especially, we show the advantage of our method in the analysis of low expression.", "author" : [ { "dropping-particle" : "", "family" : "Liu", "given" : "Xuejun", "non-dropping-particle" : "", "parse-names" : false, "suffix" : "" }, { "dropping-particle" : "", "family" : "Zhang", "given" : "Li", "non-dropping-particle" : "", "parse-names" : false, "suffix" : "" }, { "dropping-particle" : "", "family" : "Chen", "given" : "Songcan", "non-dropping-particle" : "", "parse-names" : false, "suffix" : "" } ], "container-title" : "PLOS ONE", "editor" : [ { "dropping-particle" : "", "family" : "Asmann", "given" : "Yan W.", "non-dropping-particle" : "", "parse-names" : false, "suffix" : "" } ], "id" : "ITEM-3", "issue" : "10", "issued" : { "date-parts" : [ [ "2015", "10", "8" ] ] }, "page" : "e0140032", "title" : "Modeling Exon-Specific Bias Distribution Improves the Analysis of RNA-Seq Data", "type" : "article-journal", "volume" : "10" }, "uris" : [ "http://www.mendeley.com/documents/?uuid=ea464224-bb5e-4a2e-8b1b-1e9990e6d79f" ] } ], "mendeley" : { "formattedCitation" : "(Erhard &amp; Zimmer, 2015; X. Liu, Zhang, &amp; Chen, 2015; Yang &amp; Jeong, 2013)", "plainTextFormattedCitation" : "(Erhard &amp; Zimmer, 2015; X. Liu, Zhang, &amp; Chen, 2015; Yang &amp; Jeong, 2013)", "previouslyFormattedCitation" : "(Erhard &amp; Zimmer, 2015; X. Liu, Zhang, &amp; Chen, 2015; Yang &amp; Jeong, 2013)" }, "properties" : { "noteIndex" : 0 }, "schema" : "https://github.com/citation-style-language/schema/raw/master/csl-citation.json" }</w:instrText>
      </w:r>
      <w:r w:rsidR="00EF68C6">
        <w:rPr>
          <w:rFonts w:ascii="Calibri" w:hAnsi="Calibri" w:cs="Arial"/>
        </w:rPr>
        <w:fldChar w:fldCharType="separate"/>
      </w:r>
      <w:r w:rsidR="00EF68C6" w:rsidRPr="00EF68C6">
        <w:rPr>
          <w:rFonts w:ascii="Calibri" w:hAnsi="Calibri" w:cs="Arial"/>
          <w:noProof/>
        </w:rPr>
        <w:t>(Erhard &amp; Zimmer, 2015; X. Liu, Zhang, &amp; Chen, 2015; Yang &amp; Jeong, 2013)</w:t>
      </w:r>
      <w:r w:rsidR="00EF68C6">
        <w:rPr>
          <w:rFonts w:ascii="Calibri" w:hAnsi="Calibri" w:cs="Arial"/>
        </w:rPr>
        <w:fldChar w:fldCharType="end"/>
      </w:r>
      <w:r w:rsidR="00B610E9">
        <w:rPr>
          <w:rFonts w:ascii="Calibri" w:hAnsi="Calibri" w:cs="Arial"/>
        </w:rPr>
        <w:t xml:space="preserve"> bias in </w:t>
      </w:r>
      <w:r w:rsidR="00FA119C">
        <w:rPr>
          <w:rFonts w:ascii="Calibri" w:hAnsi="Calibri" w:cs="Arial"/>
        </w:rPr>
        <w:t>deep</w:t>
      </w:r>
      <w:r w:rsidR="00B610E9">
        <w:rPr>
          <w:rFonts w:ascii="Calibri" w:hAnsi="Calibri" w:cs="Arial"/>
        </w:rPr>
        <w:t xml:space="preserve"> sequencing</w:t>
      </w:r>
      <w:r w:rsidR="00EF68C6">
        <w:rPr>
          <w:rFonts w:ascii="Calibri" w:hAnsi="Calibri" w:cs="Arial"/>
        </w:rPr>
        <w:t xml:space="preserve"> </w:t>
      </w:r>
      <w:r w:rsidR="003F13DC">
        <w:rPr>
          <w:rFonts w:ascii="Calibri" w:hAnsi="Calibri" w:cs="Arial"/>
        </w:rPr>
        <w:t xml:space="preserve">may </w:t>
      </w:r>
      <w:r w:rsidR="00EF68C6">
        <w:rPr>
          <w:rFonts w:ascii="Calibri" w:hAnsi="Calibri" w:cs="Arial"/>
        </w:rPr>
        <w:t>sever</w:t>
      </w:r>
      <w:r w:rsidR="00C11DE9">
        <w:rPr>
          <w:rFonts w:ascii="Calibri" w:hAnsi="Calibri" w:cs="Arial"/>
        </w:rPr>
        <w:t>e</w:t>
      </w:r>
      <w:r w:rsidR="00EF68C6">
        <w:rPr>
          <w:rFonts w:ascii="Calibri" w:hAnsi="Calibri" w:cs="Arial"/>
        </w:rPr>
        <w:t xml:space="preserve">ly </w:t>
      </w:r>
      <w:r w:rsidR="003F13DC">
        <w:rPr>
          <w:rFonts w:ascii="Calibri" w:hAnsi="Calibri" w:cs="Arial"/>
        </w:rPr>
        <w:t>skew observations</w:t>
      </w:r>
      <w:r w:rsidR="00EF68C6">
        <w:rPr>
          <w:rFonts w:ascii="Calibri" w:hAnsi="Calibri" w:cs="Arial"/>
        </w:rPr>
        <w:t xml:space="preserve"> </w:t>
      </w:r>
      <w:r w:rsidR="00EF68C6">
        <w:rPr>
          <w:rFonts w:ascii="Calibri" w:hAnsi="Calibri" w:cs="Arial"/>
        </w:rPr>
        <w:fldChar w:fldCharType="begin" w:fldLock="1"/>
      </w:r>
      <w:r w:rsidR="00EF68C6">
        <w:rPr>
          <w:rFonts w:ascii="Calibri" w:hAnsi="Calibri" w:cs="Arial"/>
        </w:rPr>
        <w:instrText>ADDIN CSL_CITATION { "citationItems" : [ { "id" : "ITEM-1", "itemData" : { "DOI" : "10.1186/gb-2014-15-6-r86", "ISSN" : "1474-760X", "PMID" : "24981968", "abstract" : "BACKGROUND: RNA-seq is a powerful technique for identifying and quantifying transcription and splicing events, both known and novel. However, given its recent development and the proliferation of library construction methods, understanding the bias it introduces is incomplete but critical to realizing its value.\n\nRESULTS: We present a method, in vitro transcription sequencing (IVT-seq), for identifying and assessing the technical biases in RNA-seq library generation and sequencing at scale. We created a pool of over 1,000 in vitro transcribed RNAs from a full-length human cDNA library and sequenced them with polyA and total RNA-seq, the most common protocols. Because each cDNA is full length, and we show in vitro transcription is incredibly processive, each base in each transcript should be equivalently represented. However, with common RNA-seq applications and platforms, we find 50% of transcripts have more than two-fold and 10% have more than 10-fold differences in within-transcript sequence coverage. We also find greater than 6% of transcripts have regions of dramatically unpredictable sequencing coverage between samples, confounding accurate determination of their expression. We use a combination of experimental and computational approaches to show rRNA depletion is responsible for the most significant variability in coverage, and several sequence determinants also strongly influence representation.\n\nCONCLUSIONS: These results show the utility of IVT-seq for promoting better understanding of bias introduced by RNA-seq. We find rRNA depletion is responsible for substantial, unappreciated biases in coverage introduced during library preparation. These biases suggest exon-level expression analysis may be inadvisable, and we recommend caution when interpreting RNA-seq results.", "author" : [ { "dropping-particle" : "", "family" : "Lahens", "given" : "Nicholas F", "non-dropping-particle" : "", "parse-names" : false, "suffix" : "" }, { "dropping-particle" : "", "family" : "Kavakli", "given" : "Ibrahim Halil", "non-dropping-particle" : "", "parse-names" : false, "suffix" : "" }, { "dropping-particle" : "", "family" : "Zhang", "given" : "Ray", "non-dropping-particle" : "", "parse-names" : false, "suffix" : "" }, { "dropping-particle" : "", "family" : "Hayer", "given" : "Katharina", "non-dropping-particle" : "", "parse-names" : false, "suffix" : "" }, { "dropping-particle" : "", "family" : "Black", "given" : "Michael B", "non-dropping-particle" : "", "parse-names" : false, "suffix" : "" }, { "dropping-particle" : "", "family" : "Dueck", "given" : "Hannah", "non-dropping-particle" : "", "parse-names" : false, "suffix" : "" }, { "dropping-particle" : "", "family" : "Pizarro", "given" : "Angel", "non-dropping-particle" : "", "parse-names" : false, "suffix" : "" }, { "dropping-particle" : "", "family" : "Kim", "given" : "Junhyong", "non-dropping-particle" : "", "parse-names" : false, "suffix" : "" }, { "dropping-particle" : "", "family" : "Irizarry", "given" : "Rafael", "non-dropping-particle" : "", "parse-names" : false, "suffix" : "" }, { "dropping-particle" : "", "family" : "Thomas", "given" : "Russell S", "non-dropping-particle" : "", "parse-names" : false, "suffix" : "" }, { "dropping-particle" : "", "family" : "Grant", "given" : "Gregory R", "non-dropping-particle" : "", "parse-names" : false, "suffix" : "" }, { "dropping-particle" : "", "family" : "Hogenesch", "given" : "John B", "non-dropping-particle" : "", "parse-names" : false, "suffix" : "" } ], "container-title" : "Genome biology", "id" : "ITEM-1", "issue" : "6", "issued" : { "date-parts" : [ [ "2014", "1" ] ] }, "page" : "R86", "title" : "IVT-seq reveals extreme bias in RNA sequencing.", "type" : "article-journal", "volume" : "15" }, "uris" : [ "http://www.mendeley.com/documents/?uuid=bb05b314-a664-4028-9f86-e5925b518cf0" ] } ], "mendeley" : { "formattedCitation" : "(Lahens et al., 2014)", "plainTextFormattedCitation" : "(Lahens et al., 2014)", "previouslyFormattedCitation" : "(Lahens et al., 2014)" }, "properties" : { "noteIndex" : 0 }, "schema" : "https://github.com/citation-style-language/schema/raw/master/csl-citation.json" }</w:instrText>
      </w:r>
      <w:r w:rsidR="00EF68C6">
        <w:rPr>
          <w:rFonts w:ascii="Calibri" w:hAnsi="Calibri" w:cs="Arial"/>
        </w:rPr>
        <w:fldChar w:fldCharType="separate"/>
      </w:r>
      <w:r w:rsidR="00EF68C6" w:rsidRPr="00EF68C6">
        <w:rPr>
          <w:rFonts w:ascii="Calibri" w:hAnsi="Calibri" w:cs="Arial"/>
          <w:noProof/>
        </w:rPr>
        <w:t>(Lahens et al., 2014)</w:t>
      </w:r>
      <w:r w:rsidR="00EF68C6">
        <w:rPr>
          <w:rFonts w:ascii="Calibri" w:hAnsi="Calibri" w:cs="Arial"/>
        </w:rPr>
        <w:fldChar w:fldCharType="end"/>
      </w:r>
      <w:r w:rsidR="000D0C5C">
        <w:rPr>
          <w:rFonts w:ascii="Calibri" w:hAnsi="Calibri" w:cs="Arial"/>
        </w:rPr>
        <w:t>.</w:t>
      </w:r>
      <w:r w:rsidR="00B87F8E">
        <w:rPr>
          <w:rFonts w:ascii="Calibri" w:hAnsi="Calibri" w:cs="Arial"/>
        </w:rPr>
        <w:t xml:space="preserve"> </w:t>
      </w:r>
    </w:p>
    <w:p w14:paraId="4CEEF464" w14:textId="77777777" w:rsidR="003B3941" w:rsidRDefault="003B3941" w:rsidP="005837A4">
      <w:pPr>
        <w:spacing w:line="480" w:lineRule="auto"/>
        <w:jc w:val="both"/>
        <w:rPr>
          <w:rFonts w:ascii="Calibri" w:hAnsi="Calibri" w:cs="Arial"/>
        </w:rPr>
      </w:pPr>
    </w:p>
    <w:p w14:paraId="767B9559" w14:textId="5FD86A57" w:rsidR="003B3941" w:rsidRDefault="00A25217" w:rsidP="005837A4">
      <w:pPr>
        <w:pStyle w:val="Heading3"/>
      </w:pPr>
      <w:r>
        <w:t>2.2.2</w:t>
      </w:r>
      <w:r>
        <w:tab/>
      </w:r>
      <w:r w:rsidR="00285238">
        <w:t>Off-target actions of siRNA</w:t>
      </w:r>
      <w:r w:rsidR="00CD5B39">
        <w:t>s</w:t>
      </w:r>
      <w:r w:rsidR="000D0C5C">
        <w:t>, or</w:t>
      </w:r>
      <w:r w:rsidR="003049BE">
        <w:t xml:space="preserve"> documenting</w:t>
      </w:r>
      <w:r w:rsidR="000D0C5C">
        <w:t xml:space="preserve"> miRNA </w:t>
      </w:r>
      <w:r w:rsidR="003049BE">
        <w:t>bio</w:t>
      </w:r>
      <w:r w:rsidR="000D0C5C">
        <w:t>acti</w:t>
      </w:r>
      <w:r w:rsidR="003049BE">
        <w:t>vity</w:t>
      </w:r>
      <w:r w:rsidR="005C6E25">
        <w:t>.</w:t>
      </w:r>
    </w:p>
    <w:p w14:paraId="1D93499C" w14:textId="77777777" w:rsidR="00347154" w:rsidRPr="00347154" w:rsidRDefault="00347154" w:rsidP="005837A4">
      <w:pPr>
        <w:spacing w:line="480" w:lineRule="auto"/>
      </w:pPr>
    </w:p>
    <w:p w14:paraId="76B26E1B" w14:textId="04623D45" w:rsidR="00AE56C9" w:rsidRDefault="00CD5B39" w:rsidP="005837A4">
      <w:pPr>
        <w:spacing w:line="480" w:lineRule="auto"/>
        <w:jc w:val="both"/>
        <w:rPr>
          <w:rFonts w:ascii="Calibri" w:hAnsi="Calibri" w:cs="Arial"/>
        </w:rPr>
      </w:pPr>
      <w:r>
        <w:rPr>
          <w:rFonts w:ascii="Calibri" w:hAnsi="Calibri" w:cs="Arial"/>
        </w:rPr>
        <w:t xml:space="preserve">It is generally </w:t>
      </w:r>
      <w:r w:rsidR="000D0C5C">
        <w:rPr>
          <w:rFonts w:ascii="Calibri" w:hAnsi="Calibri" w:cs="Arial"/>
        </w:rPr>
        <w:t xml:space="preserve">accepted </w:t>
      </w:r>
      <w:r>
        <w:rPr>
          <w:rFonts w:ascii="Calibri" w:hAnsi="Calibri" w:cs="Arial"/>
        </w:rPr>
        <w:t>that the</w:t>
      </w:r>
      <w:r w:rsidR="003049BE">
        <w:rPr>
          <w:rFonts w:ascii="Calibri" w:hAnsi="Calibri" w:cs="Arial"/>
        </w:rPr>
        <w:t xml:space="preserve"> majority of</w:t>
      </w:r>
      <w:r>
        <w:rPr>
          <w:rFonts w:ascii="Calibri" w:hAnsi="Calibri" w:cs="Arial"/>
        </w:rPr>
        <w:t xml:space="preserve"> off-target actions of siRNAs are mediated through their ‘miRNA-like actions’ </w:t>
      </w:r>
      <w:r w:rsidR="0025225B">
        <w:rPr>
          <w:rFonts w:ascii="Calibri" w:hAnsi="Calibri" w:cs="Arial"/>
        </w:rPr>
        <w:t>i.e. RISC</w:t>
      </w:r>
      <w:r w:rsidR="00AE56C9" w:rsidRPr="00C4343E">
        <w:rPr>
          <w:rFonts w:ascii="Calibri" w:hAnsi="Calibri" w:cs="Arial"/>
        </w:rPr>
        <w:t xml:space="preserve"> dock</w:t>
      </w:r>
      <w:r w:rsidR="006F341F">
        <w:rPr>
          <w:rFonts w:ascii="Calibri" w:hAnsi="Calibri" w:cs="Arial"/>
        </w:rPr>
        <w:t>ing on</w:t>
      </w:r>
      <w:r w:rsidR="00FF0F26">
        <w:rPr>
          <w:rFonts w:ascii="Calibri" w:hAnsi="Calibri" w:cs="Arial"/>
        </w:rPr>
        <w:t xml:space="preserve">to the </w:t>
      </w:r>
      <w:r w:rsidR="003049BE">
        <w:rPr>
          <w:rFonts w:ascii="Calibri" w:hAnsi="Calibri" w:cs="Arial"/>
        </w:rPr>
        <w:t>3’-UTR</w:t>
      </w:r>
      <w:r w:rsidR="005C6E25">
        <w:rPr>
          <w:rFonts w:ascii="Calibri" w:hAnsi="Calibri" w:cs="Arial"/>
        </w:rPr>
        <w:t>s of other mRNAs</w:t>
      </w:r>
      <w:r>
        <w:rPr>
          <w:rFonts w:ascii="Calibri" w:hAnsi="Calibri" w:cs="Arial"/>
        </w:rPr>
        <w:t xml:space="preserve">, leading to </w:t>
      </w:r>
      <w:r w:rsidR="00FF0F26">
        <w:rPr>
          <w:rFonts w:ascii="Calibri" w:hAnsi="Calibri" w:cs="Arial"/>
        </w:rPr>
        <w:t xml:space="preserve">the </w:t>
      </w:r>
      <w:r w:rsidR="005C6E25">
        <w:rPr>
          <w:rFonts w:ascii="Calibri" w:hAnsi="Calibri" w:cs="Arial"/>
        </w:rPr>
        <w:t xml:space="preserve">unintentional </w:t>
      </w:r>
      <w:r>
        <w:rPr>
          <w:rFonts w:ascii="Calibri" w:hAnsi="Calibri" w:cs="Arial"/>
        </w:rPr>
        <w:t xml:space="preserve">inhibition of </w:t>
      </w:r>
      <w:r w:rsidR="005C6E25">
        <w:rPr>
          <w:rFonts w:ascii="Calibri" w:hAnsi="Calibri" w:cs="Arial"/>
        </w:rPr>
        <w:t xml:space="preserve">their </w:t>
      </w:r>
      <w:r w:rsidR="00AE56C9" w:rsidRPr="00C4343E">
        <w:rPr>
          <w:rFonts w:ascii="Calibri" w:hAnsi="Calibri" w:cs="Arial"/>
        </w:rPr>
        <w:t>translation</w:t>
      </w:r>
      <w:r w:rsidR="005C6E25">
        <w:rPr>
          <w:rFonts w:ascii="Calibri" w:hAnsi="Calibri" w:cs="Arial"/>
        </w:rPr>
        <w:t xml:space="preserve"> </w:t>
      </w:r>
      <w:r w:rsidR="00353BD8">
        <w:rPr>
          <w:rFonts w:ascii="Calibri" w:hAnsi="Calibri" w:cs="Arial"/>
        </w:rPr>
        <w:fldChar w:fldCharType="begin" w:fldLock="1"/>
      </w:r>
      <w:r w:rsidR="00AD776D">
        <w:rPr>
          <w:rFonts w:ascii="Calibri" w:hAnsi="Calibri" w:cs="Arial"/>
        </w:rPr>
        <w:instrText>ADDIN CSL_CITATION { "citationItems" : [ { "id" : "ITEM-1", "itemData" : { "DOI" : "10.1038/ncb1274", "ISSN" : "1465-7392", "PMID" : "15937477", "abstract" : "Small RNAs, including small interfering RNAs (siRNAs) and microRNAs (miRNAs) can silence target genes through several different effector mechanisms. Whereas siRNA-directed mRNA cleavage is increasingly understood, the mechanisms by which miRNAs repress protein synthesis are obscure. Recent studies have revealed the existence of specific cytoplasmic foci, referred to herein as processing bodies (P-bodies), which contain untranslated mRNAs and can serve as sites of mRNA degradation. Here we demonstrate that Argonaute proteins--the signature components of the RNA interference (RNAi) effector complex, RISC--localize to mammalian P-bodies. Moreover, reporter mRNAs that are targeted for translational repression by endogenous or exogenous miRNAs become concentrated in P-bodies in a miRNA-dependent manner. These results provide a link between miRNA function and mammalian P-bodies and suggest that translation repression by RISC delivers mRNAs to P-bodies, either as a cause or as a consequence of inhibiting protein synthesis.", "author" : [ { "dropping-particle" : "", "family" : "Liu", "given" : "Jidong", "non-dropping-particle" : "", "parse-names" : false, "suffix" : "" }, { "dropping-particle" : "", "family" : "Valencia-Sanchez", "given" : "Marco Antonio", "non-dropping-particle" : "", "parse-names" : false, "suffix" : "" }, { "dropping-particle" : "", "family" : "Hannon", "given" : "Gregory J", "non-dropping-particle" : "", "parse-names" : false, "suffix" : "" }, { "dropping-particle" : "", "family" : "Parker", "given" : "Roy", "non-dropping-particle" : "", "parse-names" : false, "suffix" : "" } ], "container-title" : "Nature cell biology", "id" : "ITEM-1", "issue" : "7", "issued" : { "date-parts" : [ [ "2005", "7" ] ] }, "page" : "719-23", "title" : "MicroRNA-dependent localization of targeted mRNAs to mammalian P-bodies.", "type" : "article-journal", "volume" : "7" }, "uris" : [ "http://www.mendeley.com/documents/?uuid=6de9ad54-2f92-4c21-8c23-d637860dc00f" ] }, { "id" : "ITEM-2", "itemData" : { "DOI" : "10.1016/j.molcel.2007.02.011", "ISSN" : "1097-2765", "PMID" : "17349952", "abstract" : "Recent results indicate that many untranslating mRNAs in somatic eukaryotic cells assemble into related mRNPs that accumulate in specific cytoplasmic foci referred to as P bodies. Transcripts associated with P body components can either be degraded or return to translation. Moreover, P bodies are also biochemically and functionally related to some maternal and neuronal mRNA granules. This suggests an emerging model of cytoplasmic mRNA function in which the rates of translation and degradation of mRNAs are influenced by a dynamic equilibrium between polysomes and the mRNPs seen in P bodies. Moreover, some mRNA-specific regulatory factors, including miRNAs and RISC, appear to repress translation and promote decay by recruiting P body components to individual mRNAs.", "author" : [ { "dropping-particle" : "", "family" : "Parker", "given" : "Roy", "non-dropping-particle" : "", "parse-names" : false, "suffix" : "" }, { "dropping-particle" : "", "family" : "Sheth", "given" : "Ujwal", "non-dropping-particle" : "", "parse-names" : false, "suffix" : "" } ], "container-title" : "Molecular cell", "id" : "ITEM-2", "issue" : "5", "issued" : { "date-parts" : [ [ "2007", "3", "9" ] ] }, "page" : "635-46", "title" : "P bodies and the control of mRNA translation and degradation.", "type" : "article-journal", "volume" : "25" }, "uris" : [ "http://www.mendeley.com/documents/?uuid=645cd5e5-33bb-4096-9c12-d60eb3f93683" ] }, { "id" : "ITEM-3", "itemData" : { "DOI" : "10.1038/nrg2290", "ISSN" : "1471-0064", "PMID" : "18197166", "abstract" : "MicroRNAs constitute a large family of small, approximately 21-nucleotide-long, non-coding RNAs that have emerged as key post-transcriptional regulators of gene expression in metazoans and plants. In mammals, microRNAs are predicted to control the activity of approximately 30% of all protein-coding genes, and have been shown to participate in the regulation of almost every cellular process investigated so far. By base pairing to mRNAs, microRNAs mediate translational repression or mRNA degradation. This Review summarizes the current understanding of the mechanistic aspects of microRNA-induced repression of translation and discusses some of the controversies regarding different modes of microRNA function.", "author" : [ { "dropping-particle" : "", "family" : "Filipowicz", "given" : "Witold", "non-dropping-particle" : "", "parse-names" : false, "suffix" : "" }, { "dropping-particle" : "", "family" : "Bhattacharyya", "given" : "Suvendra N", "non-dropping-particle" : "", "parse-names" : false, "suffix" : "" }, { "dropping-particle" : "", "family" : "Sonenberg", "given" : "Nahum", "non-dropping-particle" : "", "parse-names" : false, "suffix" : "" } ], "container-title" : "Nature reviews. Genetics", "id" : "ITEM-3", "issue" : "2", "issued" : { "date-parts" : [ [ "2008", "2" ] ] }, "page" : "102-14", "title" : "Mechanisms of post-transcriptional regulation by microRNAs: are the answers in sight?", "type" : "article-journal", "volume" : "9" }, "uris" : [ "http://www.mendeley.com/documents/?uuid=659a8ada-7307-4655-94b0-42d67d86d838" ] } ], "mendeley" : { "formattedCitation" : "(Filipowicz, Bhattacharyya, &amp; Sonenberg, 2008; Jidong Liu, Valencia-Sanchez, Hannon, &amp; Parker, 2005; R. Parker &amp; Sheth, 2007)", "plainTextFormattedCitation" : "(Filipowicz, Bhattacharyya, &amp; Sonenberg, 2008; Jidong Liu, Valencia-Sanchez, Hannon, &amp; Parker, 2005; R. Parker &amp; Sheth, 2007)", "previouslyFormattedCitation" : "(Filipowicz, Bhattacharyya, &amp; Sonenberg, 2008; Jidong Liu, Valencia-Sanchez, Hannon, &amp; Parker, 2005; R. Parker &amp; Sheth, 2007)" }, "properties" : { "noteIndex" : 0 }, "schema" : "https://github.com/citation-style-language/schema/raw/master/csl-citation.json" }</w:instrText>
      </w:r>
      <w:r w:rsidR="00353BD8">
        <w:rPr>
          <w:rFonts w:ascii="Calibri" w:hAnsi="Calibri" w:cs="Arial"/>
        </w:rPr>
        <w:fldChar w:fldCharType="separate"/>
      </w:r>
      <w:r w:rsidR="00401434" w:rsidRPr="00401434">
        <w:rPr>
          <w:rFonts w:ascii="Calibri" w:hAnsi="Calibri" w:cs="Arial"/>
          <w:noProof/>
        </w:rPr>
        <w:t>(Filipowicz, Bhattacharyya, &amp; Sonenberg, 2008; Jidong Liu, Valencia-Sanchez, Hannon, &amp; Parker, 2005; R. Parker &amp; Sheth, 2007)</w:t>
      </w:r>
      <w:r w:rsidR="00353BD8">
        <w:rPr>
          <w:rFonts w:ascii="Calibri" w:hAnsi="Calibri" w:cs="Arial"/>
        </w:rPr>
        <w:fldChar w:fldCharType="end"/>
      </w:r>
      <w:r w:rsidR="0025225B">
        <w:rPr>
          <w:rFonts w:ascii="Calibri" w:hAnsi="Calibri" w:cs="Arial"/>
        </w:rPr>
        <w:t>.</w:t>
      </w:r>
      <w:r w:rsidR="006F341F">
        <w:rPr>
          <w:rFonts w:ascii="Calibri" w:hAnsi="Calibri" w:cs="Arial"/>
        </w:rPr>
        <w:t xml:space="preserve"> </w:t>
      </w:r>
      <w:r w:rsidR="005C6E25">
        <w:rPr>
          <w:rFonts w:ascii="Calibri" w:hAnsi="Calibri" w:cs="Arial"/>
        </w:rPr>
        <w:t>However, translational inhibition (as opposed to catalytic target cleavage) occurs also when siRNA forms RISC with AGOs 1, 3 and 4 which</w:t>
      </w:r>
      <w:r w:rsidR="00FF0F26">
        <w:rPr>
          <w:rFonts w:ascii="Calibri" w:hAnsi="Calibri" w:cs="Arial"/>
        </w:rPr>
        <w:t xml:space="preserve"> all</w:t>
      </w:r>
      <w:r w:rsidR="005C6E25">
        <w:rPr>
          <w:rFonts w:ascii="Calibri" w:hAnsi="Calibri" w:cs="Arial"/>
        </w:rPr>
        <w:t xml:space="preserve"> lack the slicer function. </w:t>
      </w:r>
      <w:r w:rsidR="00AE56C9" w:rsidRPr="00C4343E">
        <w:rPr>
          <w:rFonts w:ascii="Calibri" w:hAnsi="Calibri" w:cs="Arial"/>
        </w:rPr>
        <w:t xml:space="preserve">Non-slicer RISC </w:t>
      </w:r>
      <w:r w:rsidR="00FA119C">
        <w:rPr>
          <w:rFonts w:ascii="Calibri" w:hAnsi="Calibri" w:cs="Arial"/>
        </w:rPr>
        <w:t>docking in</w:t>
      </w:r>
      <w:r w:rsidR="00CF4B6A">
        <w:rPr>
          <w:rFonts w:ascii="Calibri" w:hAnsi="Calibri" w:cs="Arial"/>
        </w:rPr>
        <w:t xml:space="preserve"> </w:t>
      </w:r>
      <w:r w:rsidR="00AE56C9" w:rsidRPr="00C4343E">
        <w:rPr>
          <w:rFonts w:ascii="Calibri" w:hAnsi="Calibri" w:cs="Arial"/>
        </w:rPr>
        <w:t xml:space="preserve">coding regions </w:t>
      </w:r>
      <w:r w:rsidR="008560A4">
        <w:rPr>
          <w:rFonts w:ascii="Calibri" w:hAnsi="Calibri" w:cs="Arial"/>
        </w:rPr>
        <w:fldChar w:fldCharType="begin" w:fldLock="1"/>
      </w:r>
      <w:r w:rsidR="008C4EB2">
        <w:rPr>
          <w:rFonts w:ascii="Calibri" w:hAnsi="Calibri" w:cs="Arial"/>
        </w:rPr>
        <w:instrText>ADDIN CSL_CITATION { "citationItems" : [ { "id" : "ITEM-1", "itemData" : { "DOI" : "10.1261/rna.646007", "ISSN" : "1355-8382", "PMID" : "17720879", "abstract" : "Argonaute (Ago) proteins bind to microRNA (miRNAs) and short interfering RNAs (siRNAs) and form the core components of effector complexes that mediate miRNA and siRNA function. Currently, there is a paucity of reliable antibodies against mammalian Ago proteins, thus precluding studies of endogenous Ago proteins from tissues. Here we report the development of 2A8, a novel anti-Ago monoclonal antibody that recognizes human and mouse Ago proteins and efficiently immunoprecipitates miRNAs. We report the characterization of 2A8 and its use to clone miRNAs from human brain and from preparations of human polymorphonuclear leukocytes (neutrophils), which revealed a prevalent miRNA with unusual features.", "author" : [ { "dropping-particle" : "", "family" : "Nelson", "given" : "Peter T", "non-dropping-particle" : "", "parse-names" : false, "suffix" : "" }, { "dropping-particle" : "", "family" : "Planell-Saguer", "given" : "Mariangels", "non-dropping-particle" : "De", "parse-names" : false, "suffix" : "" }, { "dropping-particle" : "", "family" : "Lamprinaki", "given" : "Stella", "non-dropping-particle" : "", "parse-names" : false, "suffix" : "" }, { "dropping-particle" : "", "family" : "Kiriakidou", "given" : "Marianthi", "non-dropping-particle" : "", "parse-names" : false, "suffix" : "" }, { "dropping-particle" : "", "family" : "Zhang", "given" : "Paul", "non-dropping-particle" : "", "parse-names" : false, "suffix" : "" }, { "dropping-particle" : "", "family" : "O'Doherty", "given" : "Una", "non-dropping-particle" : "", "parse-names" : false, "suffix" : "" }, { "dropping-particle" : "", "family" : "Mourelatos", "given" : "Zissimos", "non-dropping-particle" : "", "parse-names" : false, "suffix" : "" } ], "container-title" : "RNA (New York, N.Y.)", "id" : "ITEM-1", "issue" : "10", "issued" : { "date-parts" : [ [ "2007", "10" ] ] }, "page" : "1787-92", "title" : "A novel monoclonal antibody against human Argonaute proteins reveals unexpected characteristics of miRNAs in human blood cells.", "type" : "article-journal", "volume" : "13" }, "uris" : [ "http://www.mendeley.com/documents/?uuid=36da502e-5c02-461e-abe3-7e90a360e5dd" ] }, { "id" : "ITEM-2", "itemData" : { "DOI" : "10.1038/nature08170", "ISBN" : "1476-4687 (Electronic)\r0028-0836 (Linking)", "PMID" : "19536157", "abstract" : "MicroRNAs (miRNAs) have critical roles in the regulation of gene expression; however, as miRNA activity requires base pairing with only 6-8 nucleotides of messenger RNA, predicting target mRNAs is a major challenge. Recently, high-throughput sequencing of RNAs isolated by crosslinking immunoprecipitation (HITS-CLIP) has identified functional protein-RNA interaction sites. Here we use HITS-CLIP to covalently crosslink native argonaute (Ago, also called Eif2c) protein-RNA complexes in mouse brain. This produced two simultaneous data sets-Ago-miRNA and Ago-mRNA binding sites-that were combined with bioinformatic analysis to identify interaction sites between miRNA and target mRNA. We validated genome-wide interaction maps for miR-124, and generated additional maps for the 20 most abundant miRNAs present in P13 mouse brain. Ago HITS-CLIP provides a general platform for exploring the specificity and range of miRNA action in vivo, and identifies precise sequences for targeting clinically relevant miRNA-mRNA interactions.", "author" : [ { "dropping-particle" : "", "family" : "Chi", "given" : "S W", "non-dropping-particle" : "", "parse-names" : false, "suffix" : "" }, { "dropping-particle" : "", "family" : "Zang", "given" : "J B", "non-dropping-particle" : "", "parse-names" : false, "suffix" : "" }, { "dropping-particle" : "", "family" : "Mele", "given" : "A", "non-dropping-particle" : "", "parse-names" : false, "suffix" : "" }, { "dropping-particle" : "", "family" : "Darnell", "given" : "R B", "non-dropping-particle" : "", "parse-names" : false, "suffix" : "" } ], "container-title" : "Nature", "edition" : "2009/06/19", "id" : "ITEM-2", "issue" : "7254", "issued" : { "date-parts" : [ [ "2009" ] ] }, "language" : "eng", "note" : "Chi, Sung Wook\nZang, Julie B\nMele, Aldo\nDarnell, Robert B\nR01 NS034389-14/NS/NINDS NIH HHS/\nHoward Hughes Medical Institute/\nEngland\nNature. 2009 Jul 23;460(7254):479-86. Epub 2009 Jun 17.", "page" : "479-486", "title" : "Argonaute HITS-CLIP decodes microRNA-mRNA interaction maps", "type" : "article-journal", "volume" : "460" }, "uris" : [ "http://www.mendeley.com/documents/?uuid=32124e25-da8e-40ba-9967-1efd56eeaa7e" ] } ], "mendeley" : { "formattedCitation" : "(S W Chi, Zang, Mele, &amp; Darnell, 2009; Nelson et al., 2007)", "plainTextFormattedCitation" : "(S W Chi, Zang, Mele, &amp; Darnell, 2009; Nelson et al., 2007)", "previouslyFormattedCitation" : "(S W Chi, Zang, Mele, &amp; Darnell, 2009; Nelson et al., 2007)" }, "properties" : { "noteIndex" : 0 }, "schema" : "https://github.com/citation-style-language/schema/raw/master/csl-citation.json" }</w:instrText>
      </w:r>
      <w:r w:rsidR="008560A4">
        <w:rPr>
          <w:rFonts w:ascii="Calibri" w:hAnsi="Calibri" w:cs="Arial"/>
        </w:rPr>
        <w:fldChar w:fldCharType="separate"/>
      </w:r>
      <w:r w:rsidR="008560A4" w:rsidRPr="008560A4">
        <w:rPr>
          <w:rFonts w:ascii="Calibri" w:hAnsi="Calibri" w:cs="Arial"/>
          <w:noProof/>
        </w:rPr>
        <w:t>(S W Chi, Zang, Mele, &amp; Darnell, 2009; Nelson et al., 2007)</w:t>
      </w:r>
      <w:r w:rsidR="008560A4">
        <w:rPr>
          <w:rFonts w:ascii="Calibri" w:hAnsi="Calibri" w:cs="Arial"/>
        </w:rPr>
        <w:fldChar w:fldCharType="end"/>
      </w:r>
      <w:r w:rsidR="008C4EB2">
        <w:rPr>
          <w:rFonts w:ascii="Calibri" w:hAnsi="Calibri" w:cs="Arial"/>
        </w:rPr>
        <w:t xml:space="preserve"> </w:t>
      </w:r>
      <w:r w:rsidR="006F341F">
        <w:rPr>
          <w:rFonts w:ascii="Calibri" w:hAnsi="Calibri" w:cs="Arial"/>
        </w:rPr>
        <w:t>may also</w:t>
      </w:r>
      <w:r w:rsidR="00AE56C9" w:rsidRPr="00C4343E">
        <w:rPr>
          <w:rFonts w:ascii="Calibri" w:hAnsi="Calibri" w:cs="Arial"/>
        </w:rPr>
        <w:t xml:space="preserve"> lead to translational r</w:t>
      </w:r>
      <w:r w:rsidR="008C4EB2">
        <w:rPr>
          <w:rFonts w:ascii="Calibri" w:hAnsi="Calibri" w:cs="Arial"/>
        </w:rPr>
        <w:t xml:space="preserve">epression </w:t>
      </w:r>
      <w:r w:rsidR="008C4EB2">
        <w:rPr>
          <w:rFonts w:ascii="Calibri" w:hAnsi="Calibri" w:cs="Arial"/>
        </w:rPr>
        <w:fldChar w:fldCharType="begin" w:fldLock="1"/>
      </w:r>
      <w:r w:rsidR="008C4EB2">
        <w:rPr>
          <w:rFonts w:ascii="Calibri" w:hAnsi="Calibri" w:cs="Arial"/>
        </w:rPr>
        <w:instrText>ADDIN CSL_CITATION { "citationItems" : [ { "id" : "ITEM-1", "itemData" : { "DOI" : "10.1371/journal.pone.0018067", "ISSN" : "1932-6203", "PMID" : "21445367", "abstract" : "Animal miRNAs are a large class of small regulatory RNAs that are known to directly and negatively regulate the expression of a large fraction of all protein encoding genes. The identification and characterization of miRNA targets is thus a fundamental problem in biology. miRNAs regulate target genes by binding to 3' untranslated regions (3'UTRs) of target mRNAs, and multiple binding sites for the same miRNA in 3'UTRs can strongly enhance the degree of regulation. Recent experiments have demonstrated that a large fraction of miRNA binding sites reside in coding sequences. Overall, miRNA binding sites in coding regions were shown to mediate smaller regulation than 3'UTR binding. However, possible interactions between target sites in coding sequences and 3'UTRs have not been studied. Using transcriptomics and proteomics data of ten miRNA mis-expression experiments as well as transcriptome-wide experimentally identified miRNA target sites, we found that mRNA and protein expression of genes containing target sites both in coding regions and 3'UTRs were in general mildly but significantly more regulated than those containing target sites in 3'UTRs only. These effects were stronger for conserved target sites of length 7-8 nt in coding regions compared to non-conserved sites. Combined with our other finding that miRNA target sites in coding regions are under negative selection, our results shed light on the functional importance of miRNA targeting in coding regions.", "author" : [ { "dropping-particle" : "", "family" : "Fang", "given" : "Zhuo", "non-dropping-particle" : "", "parse-names" : false, "suffix" : "" }, { "dropping-particle" : "", "family" : "Rajewsky", "given" : "Nikolaus", "non-dropping-particle" : "", "parse-names" : false, "suffix" : "" } ], "container-title" : "PloS one", "id" : "ITEM-1", "issue" : "3", "issued" : { "date-parts" : [ [ "2011", "1" ] ] }, "page" : "e18067", "title" : "The impact of miRNA target sites in coding sequences and in 3'UTRs.", "type" : "article-journal", "volume" : "6" }, "uris" : [ "http://www.mendeley.com/documents/?uuid=f3fb86f4-87b8-4954-b72e-c7c5e938efc2" ] }, { "id" : "ITEM-2", "itemData" : { "DOI" : "10.1038/nature07299", "ISSN" : "1476-4687", "PMID" : "18806776", "abstract" : "MicroRNAs (miRNAs) are short RNAs that direct messenger RNA degradation or disrupt mRNA translation in a sequence-dependent manner. For more than a decade, attempts to study the interaction of miRNAs with their targets were confined to the 3' untranslated regions of mRNAs, fuelling an underlying assumption that these regions are the principal recipients of miRNA activity. Here we focus on the mouse Nanog, Oct4 (also known as Pou5f1) and Sox2 genes and demonstrate the existence of many naturally occurring miRNA targets in their amino acid coding sequence (CDS). Some of the mouse targets analysed do not contain the miRNA seed, whereas others span exon-exon junctions or are not conserved in the human and rhesus genomes. miR-134, miR-296 and miR-470, upregulated on retinoic-acid-induced differentiation of mouse embryonic stem cells, target the CDS of each transcription factor in various combinations, leading to transcriptional and morphological changes characteristic of differentiating mouse embryonic stem cells, and resulting in a new phenotype. Silent mutations at the predicted targets abolish miRNA activity, prevent the downregulation of the corresponding genes and delay the induced phenotype. Our findings demonstrate the abundance of CDS-located miRNA targets, some of which can be species-specific, and support an augmented model whereby animal miRNAs exercise their control on mRNAs through targets that can reside beyond the 3' untranslated region.", "author" : [ { "dropping-particle" : "", "family" : "Tay", "given" : "Yvonne", "non-dropping-particle" : "", "parse-names" : false, "suffix" : "" }, { "dropping-particle" : "", "family" : "Zhang", "given" : "Jinqiu", "non-dropping-particle" : "", "parse-names" : false, "suffix" : "" }, { "dropping-particle" : "", "family" : "Thomson", "given" : "Andrew M", "non-dropping-particle" : "", "parse-names" : false, "suffix" : "" }, { "dropping-particle" : "", "family" : "Lim", "given" : "Bing", "non-dropping-particle" : "", "parse-names" : false, "suffix" : "" }, { "dropping-particle" : "", "family" : "Rigoutsos", "given" : "Isidore", "non-dropping-particle" : "", "parse-names" : false, "suffix" : "" } ], "container-title" : "Nature", "id" : "ITEM-2", "issue" : "7216", "issued" : { "date-parts" : [ [ "2008", "10", "23" ] ] }, "page" : "1124-8", "title" : "MicroRNAs to Nanog, Oct4 and Sox2 coding regions modulate embryonic stem cell differentiation.", "type" : "article-journal", "volume" : "455" }, "uris" : [ "http://www.mendeley.com/documents/?uuid=d0191ed8-a701-4aa9-ab69-aa724f68516a" ] }, { "id" : "ITEM-3", "itemData" : { "DOI" : "10.1101/gr.121210.111", "ISSN" : "1549-5469", "PMID" : "21685129", "abstract" : "MicroRNAs (miRNAs) regulate numerous biological processes by base-pairing with target messenger RNAs (mRNAs), primarily through sites in 3' untranslated regions (UTRs), to direct the repression of these targets. Although miRNAs have sometimes been observed to target genes through sites in open reading frames (ORFs), large-scale studies have shown such targeting to be generally less effective than 3' UTR targeting. Here, we show that several miRNAs each target significant groups of genes through multiple sites within their coding regions. This ORF targeting, which mediates both predictable and effective repression, arises from highly repeated sequences containing miRNA target sites. We show that such sequence repeats largely arise through evolutionary duplications and occur particularly frequently within families of paralogous C(2)H(2) zinc-finger genes, suggesting the potential for their coordinated regulation. Examples of ORFs targeted by miR-181 include both the well-known tumor suppressor RB1 and RBAK, encoding a C(2)H(2) zinc-finger protein and transcriptional binding partner of RB1. Our results indicate a function for repeat-rich coding sequences in mediating post-transcriptional regulation and reveal circumstances in which miRNA-mediated repression through ORF sites can be reliably predicted.", "author" : [ { "dropping-particle" : "", "family" : "Schnall-Levin", "given" : "Michael", "non-dropping-particle" : "", "parse-names" : false, "suffix" : "" }, { "dropping-particle" : "", "family" : "Rissland", "given" : "Olivia S", "non-dropping-particle" : "", "parse-names" : false, "suffix" : "" }, { "dropping-particle" : "", "family" : "Johnston", "given" : "Wendy K", "non-dropping-particle" : "", "parse-names" : false, "suffix" : "" }, { "dropping-particle" : "", "family" : "Perrimon", "given" : "Norbert", "non-dropping-particle" : "", "parse-names" : false, "suffix" : "" }, { "dropping-particle" : "", "family" : "Bartel", "given" : "David P", "non-dropping-particle" : "", "parse-names" : false, "suffix" : "" }, { "dropping-particle" : "", "family" : "Berger", "given" : "Bonnie", "non-dropping-particle" : "", "parse-names" : false, "suffix" : "" } ], "container-title" : "Genome research", "id" : "ITEM-3", "issue" : "9", "issued" : { "date-parts" : [ [ "2011", "9" ] ] }, "page" : "1395-403", "title" : "Unusually effective microRNA targeting within repeat-rich coding regions of mammalian mRNAs.", "type" : "article-journal", "volume" : "21" }, "uris" : [ "http://www.mendeley.com/documents/?uuid=57b45fdd-283d-4cde-9038-810f637e60af" ] } ], "mendeley" : { "formattedCitation" : "(Fang &amp; Rajewsky, 2011; Schnall-Levin et al., 2011; Tay, Zhang, Thomson, Lim, &amp; Rigoutsos, 2008)", "plainTextFormattedCitation" : "(Fang &amp; Rajewsky, 2011; Schnall-Levin et al., 2011; Tay, Zhang, Thomson, Lim, &amp; Rigoutsos, 2008)", "previouslyFormattedCitation" : "(Fang &amp; Rajewsky, 2011; Schnall-Levin et al., 2011; Tay, Zhang, Thomson, Lim, &amp; Rigoutsos, 2008)" }, "properties" : { "noteIndex" : 0 }, "schema" : "https://github.com/citation-style-language/schema/raw/master/csl-citation.json" }</w:instrText>
      </w:r>
      <w:r w:rsidR="008C4EB2">
        <w:rPr>
          <w:rFonts w:ascii="Calibri" w:hAnsi="Calibri" w:cs="Arial"/>
        </w:rPr>
        <w:fldChar w:fldCharType="separate"/>
      </w:r>
      <w:r w:rsidR="008C4EB2" w:rsidRPr="008C4EB2">
        <w:rPr>
          <w:rFonts w:ascii="Calibri" w:hAnsi="Calibri" w:cs="Arial"/>
          <w:noProof/>
        </w:rPr>
        <w:t>(Fang &amp; Rajewsky, 2011; Schnall-Levin et al., 2011; Tay, Zhang, Thomson, Lim, &amp; Rigoutsos, 2008)</w:t>
      </w:r>
      <w:r w:rsidR="008C4EB2">
        <w:rPr>
          <w:rFonts w:ascii="Calibri" w:hAnsi="Calibri" w:cs="Arial"/>
        </w:rPr>
        <w:fldChar w:fldCharType="end"/>
      </w:r>
      <w:r w:rsidR="0025225B" w:rsidRPr="0025225B">
        <w:rPr>
          <w:rFonts w:ascii="Calibri" w:hAnsi="Calibri" w:cs="Arial"/>
        </w:rPr>
        <w:t xml:space="preserve"> </w:t>
      </w:r>
      <w:r w:rsidR="0025225B">
        <w:rPr>
          <w:rFonts w:ascii="Calibri" w:hAnsi="Calibri" w:cs="Arial"/>
        </w:rPr>
        <w:t>whilst</w:t>
      </w:r>
      <w:r w:rsidR="0025225B" w:rsidRPr="00C4343E">
        <w:rPr>
          <w:rFonts w:ascii="Calibri" w:hAnsi="Calibri" w:cs="Arial"/>
        </w:rPr>
        <w:t xml:space="preserve"> </w:t>
      </w:r>
      <w:r w:rsidR="0025225B">
        <w:rPr>
          <w:rFonts w:ascii="Calibri" w:hAnsi="Calibri" w:cs="Arial"/>
        </w:rPr>
        <w:t>docking on the</w:t>
      </w:r>
      <w:r w:rsidR="0025225B" w:rsidRPr="00C4343E">
        <w:rPr>
          <w:rFonts w:ascii="Calibri" w:hAnsi="Calibri" w:cs="Arial"/>
        </w:rPr>
        <w:t xml:space="preserve"> 5’ </w:t>
      </w:r>
      <w:r w:rsidR="0025225B">
        <w:rPr>
          <w:rFonts w:ascii="Calibri" w:hAnsi="Calibri" w:cs="Arial"/>
        </w:rPr>
        <w:t>UTR</w:t>
      </w:r>
      <w:r w:rsidR="0025225B" w:rsidRPr="00C4343E">
        <w:rPr>
          <w:rFonts w:ascii="Calibri" w:hAnsi="Calibri" w:cs="Arial"/>
        </w:rPr>
        <w:t xml:space="preserve"> may lead t</w:t>
      </w:r>
      <w:r w:rsidR="0025225B">
        <w:rPr>
          <w:rFonts w:ascii="Calibri" w:hAnsi="Calibri" w:cs="Arial"/>
        </w:rPr>
        <w:t xml:space="preserve">o up-regulation of translation </w:t>
      </w:r>
      <w:r w:rsidR="0025225B">
        <w:rPr>
          <w:rFonts w:ascii="Calibri" w:hAnsi="Calibri" w:cs="Arial"/>
        </w:rPr>
        <w:fldChar w:fldCharType="begin" w:fldLock="1"/>
      </w:r>
      <w:r w:rsidR="0025225B">
        <w:rPr>
          <w:rFonts w:ascii="Calibri" w:hAnsi="Calibri" w:cs="Arial"/>
        </w:rPr>
        <w:instrText>ADDIN CSL_CITATION { "citationItems" : [ { "id" : "ITEM-1", "itemData" : { "DOI" : "10.1016/j.molcel.2008.05.001", "ISSN" : "1097-4164", "PMID" : "18498749", "abstract" : "MicroRNAs (miRNAs) are small RNAs that function as posttranscriptional regulators of gene expression. miRNAs affect a variety of signaling pathways, and impaired miRNA regulation may contribute to the development of cancer and other diseases. Here we show that miRNA miR-10a interacts with the 5' untranslated region of mRNAs encoding ribosomal proteins to enhance their translation. miR-10a alleviates translational repression of the ribosomal protein mRNAs during amino acid starvation and is required for their translational induction following anisomycin treatment or overexpression of RAS. We show that miR-10a binds immediately downstream of the regulatory 5'TOP motif and that the 5'TOP regulatory complex and miR-10a are functionally interconnected. The results show that miR-10a may positively control global protein synthesis via the stimulation of ribosomal protein mRNA translation and ribosome biogenesis and hereby affect the ability of cells to undergo transformation.", "author" : [ { "dropping-particle" : "", "family" : "\u00d8rom", "given" : "Ulf Andersson", "non-dropping-particle" : "", "parse-names" : false, "suffix" : "" }, { "dropping-particle" : "", "family" : "Nielsen", "given" : "Finn Cilius", "non-dropping-particle" : "", "parse-names" : false, "suffix" : "" }, { "dropping-particle" : "", "family" : "Lund", "given" : "Anders H", "non-dropping-particle" : "", "parse-names" : false, "suffix" : "" } ], "container-title" : "Molecular cell", "id" : "ITEM-1", "issue" : "4", "issued" : { "date-parts" : [ [ "2008", "5", "23" ] ] }, "page" : "460-71", "title" : "MicroRNA-10a binds the 5'UTR of ribosomal protein mRNAs and enhances their translation.", "type" : "article-journal", "volume" : "30" }, "uris" : [ "http://www.mendeley.com/documents/?uuid=dd971d28-567d-478b-851e-6f048dddbf47" ] } ], "mendeley" : { "formattedCitation" : "(\u00d8rom, Nielsen, &amp; Lund, 2008)", "plainTextFormattedCitation" : "(\u00d8rom, Nielsen, &amp; Lund, 2008)", "previouslyFormattedCitation" : "(\u00d8rom, Nielsen, &amp; Lund, 2008)" }, "properties" : { "noteIndex" : 0 }, "schema" : "https://github.com/citation-style-language/schema/raw/master/csl-citation.json" }</w:instrText>
      </w:r>
      <w:r w:rsidR="0025225B">
        <w:rPr>
          <w:rFonts w:ascii="Calibri" w:hAnsi="Calibri" w:cs="Arial"/>
        </w:rPr>
        <w:fldChar w:fldCharType="separate"/>
      </w:r>
      <w:r w:rsidR="0025225B" w:rsidRPr="008560A4">
        <w:rPr>
          <w:rFonts w:ascii="Calibri" w:hAnsi="Calibri" w:cs="Arial"/>
          <w:noProof/>
        </w:rPr>
        <w:t>(Ørom, Nielsen, &amp; Lund, 2008)</w:t>
      </w:r>
      <w:r w:rsidR="0025225B">
        <w:rPr>
          <w:rFonts w:ascii="Calibri" w:hAnsi="Calibri" w:cs="Arial"/>
        </w:rPr>
        <w:fldChar w:fldCharType="end"/>
      </w:r>
      <w:r w:rsidR="0025225B">
        <w:rPr>
          <w:rFonts w:ascii="Calibri" w:hAnsi="Calibri" w:cs="Arial"/>
        </w:rPr>
        <w:t xml:space="preserve"> (Fig. 2D)</w:t>
      </w:r>
      <w:r w:rsidR="0025225B" w:rsidRPr="00C4343E">
        <w:rPr>
          <w:rFonts w:ascii="Calibri" w:hAnsi="Calibri" w:cs="Arial"/>
        </w:rPr>
        <w:t>.</w:t>
      </w:r>
      <w:r w:rsidR="00AE56C9" w:rsidRPr="00C4343E">
        <w:rPr>
          <w:rFonts w:ascii="Calibri" w:hAnsi="Calibri" w:cs="Arial"/>
        </w:rPr>
        <w:t xml:space="preserve"> </w:t>
      </w:r>
      <w:r w:rsidR="006F341F">
        <w:rPr>
          <w:rFonts w:ascii="Calibri" w:hAnsi="Calibri" w:cs="Arial"/>
        </w:rPr>
        <w:t xml:space="preserve">These </w:t>
      </w:r>
      <w:r w:rsidR="00804AFF">
        <w:rPr>
          <w:rFonts w:ascii="Calibri" w:hAnsi="Calibri" w:cs="Arial"/>
        </w:rPr>
        <w:t>mechanism</w:t>
      </w:r>
      <w:r w:rsidR="00FF0F26">
        <w:rPr>
          <w:rFonts w:ascii="Calibri" w:hAnsi="Calibri" w:cs="Arial"/>
        </w:rPr>
        <w:t>s</w:t>
      </w:r>
      <w:r w:rsidR="00804AFF">
        <w:rPr>
          <w:rFonts w:ascii="Calibri" w:hAnsi="Calibri" w:cs="Arial"/>
        </w:rPr>
        <w:t xml:space="preserve"> can be assessed by determining siRNA</w:t>
      </w:r>
      <w:r w:rsidR="00FA119C">
        <w:rPr>
          <w:rFonts w:ascii="Calibri" w:hAnsi="Calibri" w:cs="Arial"/>
        </w:rPr>
        <w:t xml:space="preserve"> guide strand</w:t>
      </w:r>
      <w:r w:rsidR="00AE56C9" w:rsidRPr="00C4343E">
        <w:rPr>
          <w:rFonts w:ascii="Calibri" w:hAnsi="Calibri" w:cs="Arial"/>
        </w:rPr>
        <w:t xml:space="preserve"> </w:t>
      </w:r>
      <w:r w:rsidR="00804AFF">
        <w:rPr>
          <w:rFonts w:ascii="Calibri" w:hAnsi="Calibri" w:cs="Arial"/>
        </w:rPr>
        <w:t xml:space="preserve">interactions with mRNAs through </w:t>
      </w:r>
      <w:r w:rsidR="004F2FBE">
        <w:rPr>
          <w:rFonts w:ascii="Calibri" w:hAnsi="Calibri" w:cs="Arial"/>
        </w:rPr>
        <w:t xml:space="preserve">cross-linking and </w:t>
      </w:r>
      <w:r w:rsidR="00AE56C9" w:rsidRPr="00C4343E">
        <w:rPr>
          <w:rFonts w:ascii="Calibri" w:hAnsi="Calibri" w:cs="Arial"/>
        </w:rPr>
        <w:t>immunoprecipitation followed by next genera</w:t>
      </w:r>
      <w:r w:rsidR="008C4EB2">
        <w:rPr>
          <w:rFonts w:ascii="Calibri" w:hAnsi="Calibri" w:cs="Arial"/>
        </w:rPr>
        <w:t xml:space="preserve">tion sequencing (CLIP-Seq) </w:t>
      </w:r>
      <w:r w:rsidR="008C4EB2">
        <w:rPr>
          <w:rFonts w:ascii="Calibri" w:hAnsi="Calibri" w:cs="Arial"/>
        </w:rPr>
        <w:fldChar w:fldCharType="begin" w:fldLock="1"/>
      </w:r>
      <w:r w:rsidR="008C4EB2">
        <w:rPr>
          <w:rFonts w:ascii="Calibri" w:hAnsi="Calibri" w:cs="Arial"/>
        </w:rPr>
        <w:instrText>ADDIN CSL_CITATION { "citationItems" : [ { "id" : "ITEM-1", "itemData" : { "DOI" : "10.1038/nature08170", "ISBN" : "1476-4687 (Electronic)\r0028-0836 (Linking)", "PMID" : "19536157", "abstract" : "MicroRNAs (miRNAs) have critical roles in the regulation of gene expression; however, as miRNA activity requires base pairing with only 6-8 nucleotides of messenger RNA, predicting target mRNAs is a major challenge. Recently, high-throughput sequencing of RNAs isolated by crosslinking immunoprecipitation (HITS-CLIP) has identified functional protein-RNA interaction sites. Here we use HITS-CLIP to covalently crosslink native argonaute (Ago, also called Eif2c) protein-RNA complexes in mouse brain. This produced two simultaneous data sets-Ago-miRNA and Ago-mRNA binding sites-that were combined with bioinformatic analysis to identify interaction sites between miRNA and target mRNA. We validated genome-wide interaction maps for miR-124, and generated additional maps for the 20 most abundant miRNAs present in P13 mouse brain. Ago HITS-CLIP provides a general platform for exploring the specificity and range of miRNA action in vivo, and identifies precise sequences for targeting clinically relevant miRNA-mRNA interactions.", "author" : [ { "dropping-particle" : "", "family" : "Chi", "given" : "S W", "non-dropping-particle" : "", "parse-names" : false, "suffix" : "" }, { "dropping-particle" : "", "family" : "Zang", "given" : "J B", "non-dropping-particle" : "", "parse-names" : false, "suffix" : "" }, { "dropping-particle" : "", "family" : "Mele", "given" : "A", "non-dropping-particle" : "", "parse-names" : false, "suffix" : "" }, { "dropping-particle" : "", "family" : "Darnell", "given" : "R B", "non-dropping-particle" : "", "parse-names" : false, "suffix" : "" } ], "container-title" : "Nature", "edition" : "2009/06/19", "id" : "ITEM-1", "issue" : "7254", "issued" : { "date-parts" : [ [ "2009" ] ] }, "language" : "eng", "note" : "Chi, Sung Wook\nZang, Julie B\nMele, Aldo\nDarnell, Robert B\nR01 NS034389-14/NS/NINDS NIH HHS/\nHoward Hughes Medical Institute/\nEngland\nNature. 2009 Jul 23;460(7254):479-86. Epub 2009 Jun 17.", "page" : "479-486", "title" : "Argonaute HITS-CLIP decodes microRNA-mRNA interaction maps", "type" : "article-journal", "volume" : "460" }, "uris" : [ "http://www.mendeley.com/documents/?uuid=32124e25-da8e-40ba-9967-1efd56eeaa7e" ] } ], "mendeley" : { "formattedCitation" : "(S W Chi et al., 2009)", "plainTextFormattedCitation" : "(S W Chi et al., 2009)", "previouslyFormattedCitation" : "(S W Chi et al., 2009)" }, "properties" : { "noteIndex" : 0 }, "schema" : "https://github.com/citation-style-language/schema/raw/master/csl-citation.json" }</w:instrText>
      </w:r>
      <w:r w:rsidR="008C4EB2">
        <w:rPr>
          <w:rFonts w:ascii="Calibri" w:hAnsi="Calibri" w:cs="Arial"/>
        </w:rPr>
        <w:fldChar w:fldCharType="separate"/>
      </w:r>
      <w:r w:rsidR="008C4EB2" w:rsidRPr="008C4EB2">
        <w:rPr>
          <w:rFonts w:ascii="Calibri" w:hAnsi="Calibri" w:cs="Arial"/>
          <w:noProof/>
        </w:rPr>
        <w:t>(S W Chi et al., 2009)</w:t>
      </w:r>
      <w:r w:rsidR="008C4EB2">
        <w:rPr>
          <w:rFonts w:ascii="Calibri" w:hAnsi="Calibri" w:cs="Arial"/>
        </w:rPr>
        <w:fldChar w:fldCharType="end"/>
      </w:r>
      <w:r w:rsidR="00AE56C9" w:rsidRPr="00C4343E">
        <w:rPr>
          <w:rFonts w:ascii="Calibri" w:hAnsi="Calibri" w:cs="Arial"/>
        </w:rPr>
        <w:t xml:space="preserve">. </w:t>
      </w:r>
      <w:r w:rsidR="00FF0F26" w:rsidRPr="00C4343E">
        <w:rPr>
          <w:rFonts w:ascii="Calibri" w:hAnsi="Calibri" w:cs="Arial"/>
        </w:rPr>
        <w:t xml:space="preserve">Notably, </w:t>
      </w:r>
      <w:r w:rsidR="00FF0F26">
        <w:rPr>
          <w:rFonts w:ascii="Calibri" w:hAnsi="Calibri" w:cs="Arial"/>
        </w:rPr>
        <w:t>this</w:t>
      </w:r>
      <w:r w:rsidR="00FF0F26" w:rsidRPr="00C4343E">
        <w:rPr>
          <w:rFonts w:ascii="Calibri" w:hAnsi="Calibri" w:cs="Arial"/>
        </w:rPr>
        <w:t xml:space="preserve"> </w:t>
      </w:r>
      <w:r w:rsidR="00FF0F26">
        <w:rPr>
          <w:rFonts w:ascii="Calibri" w:hAnsi="Calibri" w:cs="Arial"/>
        </w:rPr>
        <w:t xml:space="preserve">only reports target </w:t>
      </w:r>
      <w:r w:rsidR="00FF0F26" w:rsidRPr="00C4343E">
        <w:rPr>
          <w:rFonts w:ascii="Calibri" w:hAnsi="Calibri" w:cs="Arial"/>
        </w:rPr>
        <w:t>presence and/or enrichment across the entire gamut of RNAs pulled down through the assay</w:t>
      </w:r>
      <w:r w:rsidR="00FF0F26">
        <w:rPr>
          <w:rFonts w:ascii="Calibri" w:hAnsi="Calibri" w:cs="Arial"/>
        </w:rPr>
        <w:t xml:space="preserve"> and requires multiple processing (protease, nuclease) steps. </w:t>
      </w:r>
      <w:r w:rsidR="00FF0F26" w:rsidRPr="00C4343E">
        <w:rPr>
          <w:rFonts w:ascii="Calibri" w:hAnsi="Calibri" w:cs="Arial"/>
        </w:rPr>
        <w:t xml:space="preserve">To date, a method </w:t>
      </w:r>
      <w:r w:rsidR="00FF0F26">
        <w:rPr>
          <w:rFonts w:ascii="Calibri" w:hAnsi="Calibri" w:cs="Arial"/>
        </w:rPr>
        <w:t xml:space="preserve">offering direct MOA evidence remains to be developed. Importantly, reporter constructs </w:t>
      </w:r>
      <w:r w:rsidR="00FF0F26">
        <w:rPr>
          <w:rFonts w:ascii="Calibri" w:hAnsi="Calibri" w:cs="Arial"/>
        </w:rPr>
        <w:fldChar w:fldCharType="begin" w:fldLock="1"/>
      </w:r>
      <w:r w:rsidR="00FF0F26">
        <w:rPr>
          <w:rFonts w:ascii="Calibri" w:hAnsi="Calibri" w:cs="Arial"/>
        </w:rPr>
        <w:instrText>ADDIN CSL_CITATION { "citationItems" : [ { "id" : "ITEM-1", "itemData" : { "DOI" : "10.1371/journal.pone.0030933", "ISBN" : "1932-6203 (Electronic)\r1932-6203 (Linking)", "PMID" : "22319597", "abstract" : "microRNAs (miRNAs) are critical to heart development and disease. Emerging research indicates that regulated precursor processing can give rise to an unexpected diversity of miRNA variants. We subjected small RNA from murine HL-1 cardiomyocyte cells to next generation sequencing to investigate the relevance of such diversity to cardiac biology. approximately 40 million tags were mapped to known miRNA hairpin sequences as deposited in miRBase version 16, calling 403 generic miRNAs as appreciably expressed. Hairpin arm bias broadly agreed with miRBase annotation, although 44 miR* were unexpectedly abundant (&gt;20% of tags); conversely, 33 -5p/-3p annotated hairpins were asymmetrically expressed. Overall, variability was infrequent at the 5' start but common at the 3' end of miRNAs (5.2% and 52.3% of tags, respectively). Nevertheless, 105 miRNAs showed marked 5' isomiR expression (&gt;20% of tags). Among these was miR-133a, a miRNA with important cardiac functions, and we demonstrated differential mRNA targeting by two of its prevalent 5' isomiRs. Analyses of miRNA termini and base-pairing patterns around Drosha and Dicer cleavage regions confirmed the known bias towards uridine at the 5' most position of miRNAs, as well as supporting the thermodynamic asymmetry rule for miRNA strand selection and a role for local structural distortions in fine tuning miRNA processing. We further recorded appreciable expression of 5 novel miR*, 38 extreme variants and 8 antisense miRNAs. Analysis of genome-mapped tags revealed 147 novel candidate miRNAs. In summary, we revealed pronounced sequence diversity among cardiomyocyte miRNAs, knowledge of which will underpin future research into the mechanisms involved in miRNA biogenesis and, importantly, cardiac function, disease and therapy.", "author" : [ { "dropping-particle" : "", "family" : "Humphreys", "given" : "D T", "non-dropping-particle" : "", "parse-names" : false, "suffix" : "" }, { "dropping-particle" : "", "family" : "Hynes", "given" : "C J", "non-dropping-particle" : "", "parse-names" : false, "suffix" : "" }, { "dropping-particle" : "", "family" : "Patel", "given" : "H R", "non-dropping-particle" : "", "parse-names" : false, "suffix" : "" }, { "dropping-particle" : "", "family" : "Wei", "given" : "G H", "non-dropping-particle" : "", "parse-names" : false, "suffix" : "" }, { "dropping-particle" : "", "family" : "Cannon", "given" : "L", "non-dropping-particle" : "", "parse-names" : false, "suffix" : "" }, { "dropping-particle" : "", "family" : "Fatkin", "given" : "D", "non-dropping-particle" : "", "parse-names" : false, "suffix" : "" }, { "dropping-particle" : "", "family" : "Suter", "given" : "C M", "non-dropping-particle" : "", "parse-names" : false, "suffix" : "" }, { "dropping-particle" : "", "family" : "Clancy", "given" : "J L", "non-dropping-particle" : "", "parse-names" : false, "suffix" : "" }, { "dropping-particle" : "", "family" : "Preiss", "given" : "T", "non-dropping-particle" : "", "parse-names" : false, "suffix" : "" } ], "container-title" : "PLoS One", "edition" : "2012/02/10", "id" : "ITEM-1", "issue" : "2", "issued" : { "date-parts" : [ [ "2012" ] ] }, "language" : "eng", "note" : "Humphreys, David T\nHynes, Carly J\nPatel, Hardip R\nWei, Grace H\nCannon, Leah\nFatkin, Diane\nSuter, Catherine M\nClancy, Jennifer L\nPreiss, Thomas\nPLoS One. 2012;7(2):e30933. doi: 10.1371/journal.pone.0030933. Epub 2012 Feb 3.", "page" : "e30933", "title" : "Complexity of murine cardiomyocyte miRNA biogenesis, sequence variant expression and function", "type" : "article-journal", "volume" : "7" }, "uris" : [ "http://www.mendeley.com/documents/?uuid=a3456138-11a1-4035-80e1-c11132539747" ] } ], "mendeley" : { "formattedCitation" : "(Humphreys et al., 2012)", "plainTextFormattedCitation" : "(Humphreys et al., 2012)", "previouslyFormattedCitation" : "(Humphreys et al., 2012)" }, "properties" : { "noteIndex" : 0 }, "schema" : "https://github.com/citation-style-language/schema/raw/master/csl-citation.json" }</w:instrText>
      </w:r>
      <w:r w:rsidR="00FF0F26">
        <w:rPr>
          <w:rFonts w:ascii="Calibri" w:hAnsi="Calibri" w:cs="Arial"/>
        </w:rPr>
        <w:fldChar w:fldCharType="separate"/>
      </w:r>
      <w:r w:rsidR="00FF0F26" w:rsidRPr="008C4EB2">
        <w:rPr>
          <w:rFonts w:ascii="Calibri" w:hAnsi="Calibri" w:cs="Arial"/>
          <w:noProof/>
        </w:rPr>
        <w:t>(Humphreys et al., 2012)</w:t>
      </w:r>
      <w:r w:rsidR="00FF0F26">
        <w:rPr>
          <w:rFonts w:ascii="Calibri" w:hAnsi="Calibri" w:cs="Arial"/>
        </w:rPr>
        <w:fldChar w:fldCharType="end"/>
      </w:r>
      <w:r w:rsidR="00FF0F26">
        <w:rPr>
          <w:rFonts w:ascii="Calibri" w:hAnsi="Calibri" w:cs="Arial"/>
        </w:rPr>
        <w:t xml:space="preserve"> disregard</w:t>
      </w:r>
      <w:r w:rsidR="00FF0F26" w:rsidRPr="00C4343E">
        <w:rPr>
          <w:rFonts w:ascii="Calibri" w:hAnsi="Calibri" w:cs="Arial"/>
        </w:rPr>
        <w:t xml:space="preserve"> </w:t>
      </w:r>
      <w:r w:rsidR="00FF0F26">
        <w:rPr>
          <w:rFonts w:ascii="Calibri" w:hAnsi="Calibri" w:cs="Arial"/>
        </w:rPr>
        <w:t xml:space="preserve">target transcript </w:t>
      </w:r>
      <w:r w:rsidR="00FF0F26" w:rsidRPr="00C4343E">
        <w:rPr>
          <w:rFonts w:ascii="Calibri" w:hAnsi="Calibri" w:cs="Arial"/>
        </w:rPr>
        <w:t>secondary and tertiary structure</w:t>
      </w:r>
      <w:r w:rsidR="00FF0F26">
        <w:rPr>
          <w:rFonts w:ascii="Calibri" w:hAnsi="Calibri" w:cs="Arial"/>
        </w:rPr>
        <w:t xml:space="preserve">s and </w:t>
      </w:r>
      <w:r w:rsidR="00FF0F26" w:rsidRPr="00C4343E">
        <w:rPr>
          <w:rFonts w:ascii="Calibri" w:hAnsi="Calibri" w:cs="Arial"/>
        </w:rPr>
        <w:t>can be</w:t>
      </w:r>
      <w:r w:rsidR="00FF0F26">
        <w:rPr>
          <w:rFonts w:ascii="Calibri" w:hAnsi="Calibri" w:cs="Arial"/>
        </w:rPr>
        <w:t xml:space="preserve"> </w:t>
      </w:r>
      <w:r w:rsidR="00FF0F26" w:rsidRPr="00C4343E">
        <w:rPr>
          <w:rFonts w:ascii="Calibri" w:hAnsi="Calibri" w:cs="Arial"/>
        </w:rPr>
        <w:t>misleading</w:t>
      </w:r>
      <w:r w:rsidR="00FF0F26">
        <w:rPr>
          <w:rFonts w:ascii="Calibri" w:hAnsi="Calibri" w:cs="Arial"/>
        </w:rPr>
        <w:t>, as demonstrated through</w:t>
      </w:r>
      <w:r w:rsidR="00F90B92">
        <w:rPr>
          <w:rFonts w:ascii="Calibri" w:hAnsi="Calibri" w:cs="Arial"/>
        </w:rPr>
        <w:t xml:space="preserve"> extensive</w:t>
      </w:r>
      <w:r w:rsidR="00FF0F26">
        <w:rPr>
          <w:rFonts w:ascii="Calibri" w:hAnsi="Calibri" w:cs="Arial"/>
        </w:rPr>
        <w:t xml:space="preserve"> virological research </w:t>
      </w:r>
      <w:r w:rsidR="00FF0F26" w:rsidRPr="00C4343E">
        <w:rPr>
          <w:rFonts w:ascii="Calibri" w:hAnsi="Calibri" w:cs="Arial"/>
        </w:rPr>
        <w:fldChar w:fldCharType="begin" w:fldLock="1"/>
      </w:r>
      <w:r w:rsidR="00FF0F26" w:rsidRPr="00C4343E">
        <w:rPr>
          <w:rFonts w:ascii="Calibri" w:hAnsi="Calibri" w:cs="Arial"/>
        </w:rPr>
        <w:instrText>ADDIN CSL_CITATION { "citationItems" : [ { "id" : "ITEM-1", "itemData" : { "DOI" : "10.1186/1742-4690-7-52", "ISSN" : "1742-4690", "PMID" : "20529316", "abstract" : "BACKGROUND: RNA interference (RNAi) is an evolutionary conserved gene silencing mechanism that mediates the sequence-specific breakdown of target mRNAs. RNAi can be used to inhibit HIV-1 replication by targeting the viral RNA genome. However, the error-prone replication machinery of HIV-1 can generate RNAi-resistant variants with specific mutations in the target sequence. For durable inhibition of HIV-1 replication the emergence of such escape viruses must be controlled. Here we present a strategy that anticipates HIV-1 escape by designing 2nd generation short hairpin RNAs (shRNAs) that form a complete match with the viral escape sequences.\n\nRESULTS: To block the two favorite viral escape routes observed when the HIV-1 integrase gene sequence is targeted, the original shRNA inhibitor was combined with two 2nd generation shRNAs in a single lentiviral expression vector. We demonstrate in long-term viral challenge experiments that the two dominant viral escape routes were effectively blocked. Eventually, virus breakthrough did however occur, but HIV-1 evolution was skewed and forced to use new escape routes.\n\nCONCLUSION: These results demonstrate the power of the 2nd generation RNAi concept. Popular viral escape routes are blocked by the 2nd generation RNAi strategy. As a consequence viral evolution was skewed leading to new escape routes. These results are of importance for a deeper understanding of HIV-1 evolution under RNAi pressure.", "author" : [ { "dropping-particle" : "", "family" : "Schopman", "given" : "Nick C T", "non-dropping-particle" : "", "parse-names" : false, "suffix" : "" }, { "dropping-particle" : "", "family" : "Brake", "given" : "Olivier", "non-dropping-particle" : "ter", "parse-names" : false, "suffix" : "" }, { "dropping-particle" : "", "family" : "Berkhout", "given" : "Ben", "non-dropping-particle" : "", "parse-names" : false, "suffix" : "" } ], "container-title" : "Retrovirology", "id" : "ITEM-1", "issued" : { "date-parts" : [ [ "2010", "1" ] ] }, "page" : "52", "title" : "Anticipating and blocking HIV-1 escape by second generation antiviral shRNAs.", "type" : "article-journal", "volume" : "7" }, "uris" : [ "http://www.mendeley.com/documents/?uuid=f5cdd750-ef74-4e99-9daa-e4a968377f98" ] } ], "mendeley" : { "formattedCitation" : "(Schopman, ter Brake, &amp; Berkhout, 2010)", "plainTextFormattedCitation" : "(Schopman, ter Brake, &amp; Berkhout, 2010)", "previouslyFormattedCitation" : "(Schopman, ter Brake, &amp; Berkhout, 2010)" }, "properties" : { "noteIndex" : 0 }, "schema" : "https://github.com/citation-style-language/schema/raw/master/csl-citation.json" }</w:instrText>
      </w:r>
      <w:r w:rsidR="00FF0F26" w:rsidRPr="00C4343E">
        <w:rPr>
          <w:rFonts w:ascii="Calibri" w:hAnsi="Calibri" w:cs="Arial"/>
        </w:rPr>
        <w:fldChar w:fldCharType="separate"/>
      </w:r>
      <w:r w:rsidR="00FF0F26" w:rsidRPr="00C4343E">
        <w:rPr>
          <w:rFonts w:ascii="Calibri" w:hAnsi="Calibri" w:cs="Arial"/>
          <w:noProof/>
        </w:rPr>
        <w:t>(Schopman, ter Brake, &amp; Berkhout, 2010)</w:t>
      </w:r>
      <w:r w:rsidR="00FF0F26" w:rsidRPr="00C4343E">
        <w:rPr>
          <w:rFonts w:ascii="Calibri" w:hAnsi="Calibri" w:cs="Arial"/>
        </w:rPr>
        <w:fldChar w:fldCharType="end"/>
      </w:r>
      <w:r w:rsidR="00FF0F26">
        <w:rPr>
          <w:rFonts w:ascii="Calibri" w:hAnsi="Calibri" w:cs="Arial"/>
        </w:rPr>
        <w:t>.</w:t>
      </w:r>
      <w:r w:rsidR="00F90B92">
        <w:rPr>
          <w:rFonts w:ascii="Calibri" w:hAnsi="Calibri" w:cs="Arial"/>
        </w:rPr>
        <w:t xml:space="preserve"> Thus, single point </w:t>
      </w:r>
      <w:r w:rsidR="00F90B92">
        <w:rPr>
          <w:rFonts w:ascii="Calibri" w:hAnsi="Calibri" w:cs="Arial"/>
        </w:rPr>
        <w:lastRenderedPageBreak/>
        <w:t>mutations outside MRE / RISC binding sites are adequate to enable virus escape against RNAi mediators.</w:t>
      </w:r>
      <w:r w:rsidR="00AC1B41">
        <w:rPr>
          <w:rFonts w:ascii="Calibri" w:hAnsi="Calibri" w:cs="Arial"/>
        </w:rPr>
        <w:t xml:space="preserve"> Analogous phenomena have been reported for antisense </w:t>
      </w:r>
      <w:r w:rsidR="00AC1B41">
        <w:rPr>
          <w:rFonts w:ascii="Calibri" w:hAnsi="Calibri" w:cs="Arial"/>
        </w:rPr>
        <w:fldChar w:fldCharType="begin" w:fldLock="1"/>
      </w:r>
      <w:r w:rsidR="00AC1B41">
        <w:rPr>
          <w:rFonts w:ascii="Calibri" w:hAnsi="Calibri" w:cs="Arial"/>
        </w:rPr>
        <w:instrText>ADDIN CSL_CITATION { "citationItems" : [ { "id" : "ITEM-1", "itemData" : { "DOI" : "10.3390/v4112806", "ISSN" : "1999-4915", "PMID" : "23202506", "abstract" : "There are no currently approved treatments for filovirus infections. In this study we report the discovery process which led to the development of antisense Phosphorodiamidate Morpholino Oligomers (PMOs) AVI-6002 (composed of AVI-7357 and AVI-7539) and AVI-6003 (composed of AVI-7287 and AVI-7288) targeting Ebola virus and Marburg virus respectively. The discovery process involved identification of optimal transcript binding sites for PMO based RNA-therapeutics followed by screening for effective viral gene target in mouse and guinea pig models utilizing adapted viral isolates. An evolution of chemical modifications were tested, beginning with simple Phosphorodiamidate Morpholino Oligomers (PMO) transitioning to cell penetrating peptide conjugated PMOs (PPMO) and ending with PMOplus containing a limited number of positively charged linkages in the PMO structure. The initial lead compounds were combinations of two agents targeting separate genes. In the final analysis, a single agent for treatment of each virus was selected, AVI-7537 targeting the VP24 gene of Ebola virus and AVI-7288 targeting NP of Marburg virus, and are now progressing into late stage clinical development as the optimal therapeutic candidates.", "author" : [ { "dropping-particle" : "", "family" : "Iversen", "given" : "Patrick L", "non-dropping-particle" : "", "parse-names" : false, "suffix" : "" }, { "dropping-particle" : "", "family" : "Warren", "given" : "Travis K", "non-dropping-particle" : "", "parse-names" : false, "suffix" : "" }, { "dropping-particle" : "", "family" : "Wells", "given" : "Jay B", "non-dropping-particle" : "", "parse-names" : false, "suffix" : "" }, { "dropping-particle" : "", "family" : "Garza", "given" : "Nicole L", "non-dropping-particle" : "", "parse-names" : false, "suffix" : "" }, { "dropping-particle" : "V", "family" : "Mourich", "given" : "Dan", "non-dropping-particle" : "", "parse-names" : false, "suffix" : "" }, { "dropping-particle" : "", "family" : "Welch", "given" : "Lisa S", "non-dropping-particle" : "", "parse-names" : false, "suffix" : "" }, { "dropping-particle" : "", "family" : "Panchal", "given" : "Rekha G", "non-dropping-particle" : "", "parse-names" : false, "suffix" : "" }, { "dropping-particle" : "", "family" : "Bavari", "given" : "Sina", "non-dropping-particle" : "", "parse-names" : false, "suffix" : "" } ], "container-title" : "Viruses", "id" : "ITEM-1", "issue" : "11", "issued" : { "date-parts" : [ [ "2012", "11" ] ] }, "page" : "2806-30", "title" : "Discovery and early development of AVI-7537 and AVI-7288 for the treatment of Ebola virus and Marburg virus infections.", "type" : "article-journal", "volume" : "4" }, "uris" : [ "http://www.mendeley.com/documents/?uuid=fa337d9e-fa12-4f6f-a7d8-b2d7d8aa12de" ] } ], "mendeley" : { "formattedCitation" : "(Patrick L Iversen et al., 2012)", "plainTextFormattedCitation" : "(Patrick L Iversen et al., 2012)", "previouslyFormattedCitation" : "(Patrick L Iversen et al., 2012)" }, "properties" : { "noteIndex" : 0 }, "schema" : "https://github.com/citation-style-language/schema/raw/master/csl-citation.json" }</w:instrText>
      </w:r>
      <w:r w:rsidR="00AC1B41">
        <w:rPr>
          <w:rFonts w:ascii="Calibri" w:hAnsi="Calibri" w:cs="Arial"/>
        </w:rPr>
        <w:fldChar w:fldCharType="separate"/>
      </w:r>
      <w:r w:rsidR="00AC1B41" w:rsidRPr="002A25D9">
        <w:rPr>
          <w:rFonts w:ascii="Calibri" w:hAnsi="Calibri" w:cs="Arial"/>
          <w:noProof/>
        </w:rPr>
        <w:t>(Patrick L Iversen et al., 2012)</w:t>
      </w:r>
      <w:r w:rsidR="00AC1B41">
        <w:rPr>
          <w:rFonts w:ascii="Calibri" w:hAnsi="Calibri" w:cs="Arial"/>
        </w:rPr>
        <w:fldChar w:fldCharType="end"/>
      </w:r>
      <w:r w:rsidR="00AC1B41">
        <w:rPr>
          <w:rFonts w:ascii="Calibri" w:hAnsi="Calibri" w:cs="Arial"/>
        </w:rPr>
        <w:t>.</w:t>
      </w:r>
    </w:p>
    <w:p w14:paraId="49B12505" w14:textId="77777777" w:rsidR="003B3941" w:rsidRDefault="003B3941" w:rsidP="005837A4">
      <w:pPr>
        <w:spacing w:line="480" w:lineRule="auto"/>
        <w:jc w:val="both"/>
        <w:rPr>
          <w:rFonts w:ascii="Calibri" w:hAnsi="Calibri" w:cs="Arial"/>
        </w:rPr>
      </w:pPr>
    </w:p>
    <w:p w14:paraId="3636FA4B" w14:textId="3588D473" w:rsidR="00AE56C9" w:rsidRDefault="00F5515E" w:rsidP="005837A4">
      <w:pPr>
        <w:spacing w:line="480" w:lineRule="auto"/>
        <w:jc w:val="both"/>
        <w:rPr>
          <w:rFonts w:ascii="Calibri" w:hAnsi="Calibri" w:cs="Arial"/>
        </w:rPr>
      </w:pPr>
      <w:r>
        <w:rPr>
          <w:rFonts w:ascii="Calibri" w:hAnsi="Calibri" w:cs="Arial"/>
        </w:rPr>
        <w:t>It</w:t>
      </w:r>
      <w:r w:rsidR="00AE56C9" w:rsidRPr="00C4343E">
        <w:rPr>
          <w:rFonts w:ascii="Calibri" w:hAnsi="Calibri" w:cs="Arial"/>
        </w:rPr>
        <w:t xml:space="preserve"> is now </w:t>
      </w:r>
      <w:r w:rsidR="00804AFF">
        <w:rPr>
          <w:rFonts w:ascii="Calibri" w:hAnsi="Calibri" w:cs="Arial"/>
        </w:rPr>
        <w:t>also well established</w:t>
      </w:r>
      <w:r w:rsidR="00AE56C9" w:rsidRPr="00C4343E">
        <w:rPr>
          <w:rFonts w:ascii="Calibri" w:hAnsi="Calibri" w:cs="Arial"/>
        </w:rPr>
        <w:t xml:space="preserve"> </w:t>
      </w:r>
      <w:r w:rsidR="007755D0">
        <w:rPr>
          <w:rFonts w:ascii="Calibri" w:hAnsi="Calibri" w:cs="Arial"/>
        </w:rPr>
        <w:fldChar w:fldCharType="begin" w:fldLock="1"/>
      </w:r>
      <w:r w:rsidR="00FA4EDA">
        <w:rPr>
          <w:rFonts w:ascii="Calibri" w:hAnsi="Calibri" w:cs="Arial"/>
        </w:rPr>
        <w:instrText>ADDIN CSL_CITATION { "citationItems" : [ { "id" : "ITEM-1", "itemData" : { "DOI" : "10.1016/j.molcel.2013.02.010", "ISSN" : "10972765", "PMID" : "23473599", "abstract" : "Epigenetic control of gene expression is a critical component of transcriptional regulation. Remarkably, the deposition of epigenetic modifications is often guided by noncoding RNAs. Although noncoding RNAs have been most often implicated in posttranscriptional gene silencing, these molecules are now emerging as critical regulators of gene expression and genomic stability at the transcriptional level. Here, we review recent efforts to understand the mechanisms by which RNA controls the expression or content of DNA. We discuss the role of both small RNAs and long noncoding RNAs in directing chromatin changes through histone modifications and DNA methylation. Furthermore, we highlight the function of RNA in mediating DNA cleavage during genome rearrangements and pathogen defense. In understanding the mechanisms of RNA control over DNA, the power of RNA may one day be harnessed to impact gene expression in a therapeutic setting.", "author" : [ { "dropping-particle" : "", "family" : "Sabin", "given" : "Leah\u00a0R.", "non-dropping-particle" : "", "parse-names" : false, "suffix" : "" }, { "dropping-particle" : "", "family" : "Del\u00e1s", "given" : "M.\u00a0Joaquina", "non-dropping-particle" : "", "parse-names" : false, "suffix" : "" }, { "dropping-particle" : "", "family" : "Hannon", "given" : "Gregory\u00a0J.", "non-dropping-particle" : "", "parse-names" : false, "suffix" : "" } ], "container-title" : "Molecular Cell", "id" : "ITEM-1", "issue" : "5", "issued" : { "date-parts" : [ [ "2013", "3", "7" ] ] }, "page" : "783-794", "title" : "Dogma Derailed: The Many Influences of RNA on the Genome", "type" : "article-journal", "volume" : "49" }, "uris" : [ "http://www.mendeley.com/documents/?uuid=225df819-7291-43ef-9290-aa3530662383" ] } ], "mendeley" : { "formattedCitation" : "(Sabin et al., 2013)", "plainTextFormattedCitation" : "(Sabin et al., 2013)", "previouslyFormattedCitation" : "(Sabin et al., 2013)" }, "properties" : { "noteIndex" : 0 }, "schema" : "https://github.com/citation-style-language/schema/raw/master/csl-citation.json" }</w:instrText>
      </w:r>
      <w:r w:rsidR="007755D0">
        <w:rPr>
          <w:rFonts w:ascii="Calibri" w:hAnsi="Calibri" w:cs="Arial"/>
        </w:rPr>
        <w:fldChar w:fldCharType="separate"/>
      </w:r>
      <w:r w:rsidR="00FA4EDA" w:rsidRPr="00FA4EDA">
        <w:rPr>
          <w:rFonts w:ascii="Calibri" w:hAnsi="Calibri" w:cs="Arial"/>
          <w:noProof/>
        </w:rPr>
        <w:t>(Sabin et al., 2013)</w:t>
      </w:r>
      <w:r w:rsidR="007755D0">
        <w:rPr>
          <w:rFonts w:ascii="Calibri" w:hAnsi="Calibri" w:cs="Arial"/>
        </w:rPr>
        <w:fldChar w:fldCharType="end"/>
      </w:r>
      <w:r>
        <w:rPr>
          <w:rFonts w:ascii="Calibri" w:hAnsi="Calibri" w:cs="Arial"/>
        </w:rPr>
        <w:t xml:space="preserve"> </w:t>
      </w:r>
      <w:r w:rsidR="00AE56C9" w:rsidRPr="00C4343E">
        <w:rPr>
          <w:rFonts w:ascii="Calibri" w:hAnsi="Calibri" w:cs="Arial"/>
        </w:rPr>
        <w:t>that</w:t>
      </w:r>
      <w:r>
        <w:rPr>
          <w:rFonts w:ascii="Calibri" w:hAnsi="Calibri" w:cs="Arial"/>
        </w:rPr>
        <w:t xml:space="preserve"> mature</w:t>
      </w:r>
      <w:r w:rsidR="00AE56C9" w:rsidRPr="00C4343E">
        <w:rPr>
          <w:rFonts w:ascii="Calibri" w:hAnsi="Calibri" w:cs="Arial"/>
        </w:rPr>
        <w:t xml:space="preserve"> RISC </w:t>
      </w:r>
      <w:r>
        <w:rPr>
          <w:rFonts w:ascii="Calibri" w:hAnsi="Calibri" w:cs="Arial"/>
        </w:rPr>
        <w:t>may</w:t>
      </w:r>
      <w:r w:rsidR="00AE56C9" w:rsidRPr="00C4343E">
        <w:rPr>
          <w:rFonts w:ascii="Calibri" w:hAnsi="Calibri" w:cs="Arial"/>
        </w:rPr>
        <w:t xml:space="preserve"> translocate back into the nucleus</w:t>
      </w:r>
      <w:r w:rsidR="00140CEE">
        <w:rPr>
          <w:rFonts w:ascii="Calibri" w:hAnsi="Calibri" w:cs="Arial"/>
        </w:rPr>
        <w:t xml:space="preserve"> </w:t>
      </w:r>
      <w:r w:rsidR="00FF0F26">
        <w:rPr>
          <w:rFonts w:ascii="Calibri" w:hAnsi="Calibri" w:cs="Arial"/>
        </w:rPr>
        <w:fldChar w:fldCharType="begin" w:fldLock="1"/>
      </w:r>
      <w:r w:rsidR="00AC0940">
        <w:rPr>
          <w:rFonts w:ascii="Calibri" w:hAnsi="Calibri" w:cs="Arial"/>
        </w:rPr>
        <w:instrText>ADDIN CSL_CITATION { "citationItems" : [ { "id" : "ITEM-1", "itemData" : { "DOI" : "10.1093/nar/gkn693", "ISSN" : "1362-4962", "PMID" : "18842624", "abstract" : "Studies of RNA interference (RNAi) provide evidence that in addition to the well-characterized cytoplasmic mechanisms, nuclear mechanisms also exist. The mechanism by which the nuclear RNA-induced silencing complex (RISC) is formed in mammalian cells, as well as the relationship between the RNA silencing pathways in nuclear and cytoplasmic compartments is still unknown. Here we show by applying fluorescence correlation and cross-correlation spectroscopy (FCS/FCCS) in vivo that two distinct RISC exist: a large approximately 3 MDa complex in the cytoplasm and a 20-fold smaller complex of approximately 158 kDa in the nucleus. We further show that nuclear RISC, consisting only of Ago2 and a short RNA, is loaded in the cytoplasm and imported into the nucleus. The loaded RISC accumulates in the nucleus depending on the presence of a target, based on an miRNA-like interaction with impaired cleavage of the cognate RNA. Together, these results suggest a new RISC shuttling mechanism between nucleus and cytoplasm ensuring concomitant gene regulation by small RNAs in both compartments.", "author" : [ { "dropping-particle" : "", "family" : "Ohrt", "given" : "Thomas", "non-dropping-particle" : "", "parse-names" : false, "suffix" : "" }, { "dropping-particle" : "", "family" : "M\u00fctze", "given" : "J\u00f6rg", "non-dropping-particle" : "", "parse-names" : false, "suffix" : "" }, { "dropping-particle" : "", "family" : "Staroske", "given" : "Wolfgang", "non-dropping-particle" : "", "parse-names" : false, "suffix" : "" }, { "dropping-particle" : "", "family" : "Weinmann", "given" : "Lasse", "non-dropping-particle" : "", "parse-names" : false, "suffix" : "" }, { "dropping-particle" : "", "family" : "H\u00f6ck", "given" : "Julia", "non-dropping-particle" : "", "parse-names" : false, "suffix" : "" }, { "dropping-particle" : "", "family" : "Crell", "given" : "Karin", "non-dropping-particle" : "", "parse-names" : false, "suffix" : "" }, { "dropping-particle" : "", "family" : "Meister", "given" : "Gunter", "non-dropping-particle" : "", "parse-names" : false, "suffix" : "" }, { "dropping-particle" : "", "family" : "Schwille", "given" : "Petra", "non-dropping-particle" : "", "parse-names" : false, "suffix" : "" } ], "container-title" : "Nucleic acids research", "id" : "ITEM-1", "issue" : "20", "issued" : { "date-parts" : [ [ "2008", "11" ] ] }, "page" : "6439-49", "title" : "Fluorescence correlation spectroscopy and fluorescence cross-correlation spectroscopy reveal the cytoplasmic origination of loaded nuclear RISC in vivo in human cells.", "type" : "article-journal", "volume" : "36" }, "uris" : [ "http://www.mendeley.com/documents/?uuid=19180cdf-23db-4498-877c-2a6156cb80c8" ] }, { "id" : "ITEM-2", "itemData" : { "DOI" : "10.1016/j.cell.2008.12.023", "ISSN" : "1097-4172", "PMID" : "19167051", "abstract" : "Small regulatory RNAs including small interfering RNAs (siRNAs) and microRNAs (miRNAs) guide Argonaute (Ago) proteins to specific target RNAs leading to mRNA destabilization or translational repression. Here, we report the identification of Importin 8 (Imp8) as a component of miRNA-guided regulatory pathways. We show that Imp8 interacts with Ago proteins and localizes to cytoplasmic processing bodies (P bodies), structures involved in RNA metabolism. Furthermore, we detect Ago2 in the nucleus of HeLa cells, and knockdown of Imp8 reduces the nuclear Ago2 pool. Using immunoprecipitations of Ago2-associated mRNAs followed by microarray analysis, we further demonstrate that Imp8 is required for the recruitment of Ago protein complexes to a large set of Ago2-associated target mRNAs, allowing for efficient and specific gene silencing. Therefore, we provide evidence that Imp8 is required for cytoplasmic miRNA-guided gene silencing and affects nuclear localization of Ago proteins.", "author" : [ { "dropping-particle" : "", "family" : "Weinmann", "given" : "Lasse", "non-dropping-particle" : "", "parse-names" : false, "suffix" : "" }, { "dropping-particle" : "", "family" : "H\u00f6ck", "given" : "Julia", "non-dropping-particle" : "", "parse-names" : false, "suffix" : "" }, { "dropping-particle" : "", "family" : "Ivacevic", "given" : "Tomi", "non-dropping-particle" : "", "parse-names" : false, "suffix" : "" }, { "dropping-particle" : "", "family" : "Ohrt", "given" : "Thomas", "non-dropping-particle" : "", "parse-names" : false, "suffix" : "" }, { "dropping-particle" : "", "family" : "M\u00fctze", "given" : "J\u00f6rg", "non-dropping-particle" : "", "parse-names" : false, "suffix" : "" }, { "dropping-particle" : "", "family" : "Schwille", "given" : "Petra", "non-dropping-particle" : "", "parse-names" : false, "suffix" : "" }, { "dropping-particle" : "", "family" : "Kremmer", "given" : "Elisabeth", "non-dropping-particle" : "", "parse-names" : false, "suffix" : "" }, { "dropping-particle" : "", "family" : "Benes", "given" : "Vladimir", "non-dropping-particle" : "", "parse-names" : false, "suffix" : "" }, { "dropping-particle" : "", "family" : "Urlaub", "given" : "Henning", "non-dropping-particle" : "", "parse-names" : false, "suffix" : "" }, { "dropping-particle" : "", "family" : "Meister", "given" : "Gunter", "non-dropping-particle" : "", "parse-names" : false, "suffix" : "" } ], "container-title" : "Cell", "id" : "ITEM-2", "issue" : "3", "issued" : { "date-parts" : [ [ "2009", "2", "6" ] ] }, "page" : "496-507", "title" : "Importin 8 is a gene silencing factor that targets argonaute proteins to distinct mRNAs.", "type" : "article-journal", "volume" : "136" }, "uris" : [ "http://www.mendeley.com/documents/?uuid=bad6787b-e613-4e24-8509-c92170a8ea30" ] }, { "id" : "ITEM-3", "itemData" : { "DOI" : "10.1073/pnas.0912384106", "ISSN" : "1091-6490", "PMID" : "19955415", "abstract" : "Drosha-processed microRNAs (miRNAs) have been shown to be exported from the nucleus to the cytoplasm by Exportin 5, where they are processed a second time to generate mature miRNAs. In this work we show that miRNAs also use CRM1 for nuclear-cytoplasmic shuttling. Inhibition of CRM1 by Leptomycin B results in nuclear accumulation of miRNA guide sequences. Nuclear to cytoplasmic transport can be actively competed by synthetic small interfering RNAs, indicating that this pathway is shared by different classes of processed small RNAs. We also find that CRM1 coimmunoprecipitates with Ago-1, Ago-2, Topo2alpha, EzH2, and Mta, consistent with a role of Argonautes and small RNAs in chromatin remodeling.", "author" : [ { "dropping-particle" : "", "family" : "Castanotto", "given" : "Daniela", "non-dropping-particle" : "", "parse-names" : false, "suffix" : "" }, { "dropping-particle" : "", "family" : "Lingeman", "given" : "Robert", "non-dropping-particle" : "", "parse-names" : false, "suffix" : "" }, { "dropping-particle" : "", "family" : "Riggs", "given" : "Arthur D", "non-dropping-particle" : "", "parse-names" : false, "suffix" : "" }, { "dropping-particle" : "", "family" : "Rossi", "given" : "John J", "non-dropping-particle" : "", "parse-names" : false, "suffix" : "" } ], "container-title" : "Proceedings of the National Academy of Sciences of the United States of America", "id" : "ITEM-3", "issue" : "51", "issued" : { "date-parts" : [ [ "2009", "12", "22" ] ] }, "page" : "21655-9", "title" : "CRM1 mediates nuclear-cytoplasmic shuttling of mature microRNAs.", "type" : "article-journal", "volume" : "106" }, "uris" : [ "http://www.mendeley.com/documents/?uuid=ac2793f8-a00e-46d1-a77d-9a3ac1631636" ] }, { "id" : "ITEM-4", "itemData" : { "ISSN" : "1873-4316", "PMID" : "19619125", "abstract" : "The binding of superquencher molecular beacon (SQMB) probes to human single-stranded cellular miRNA-122 targets was detected in various single live cells with femtosecond laser microscopy. For delivery of the SQMB-probes, 3D-nanoprocessing of single cells with sub-15 femtosecond 85 MHz near-infrared laser pulses was applied. Transient nanopores were formed by focusing the laser beam for some milliseconds on the membrane of a single cell in order to import of SQMB-probes into the cells. In single cells of the human liver cell lines Huh-7D12 and IHH that expressed miRNA-122, we measured target binding in the cytoplasm by two-photon fluorescence imaging. We found increased fluorescence with time in a nonlinear manner up to the point where steady state saturation was reached. We also studied the intracellular distribution of target SQMB and provide for the first time strong experimental evidence that cytoplasmic miRNA travels into the cell nucleus. To interpret nonlinear binding, a number of individual miRNA-122 positive cells (Huh-7D12 and IHH) and negative control cells, human VA13 fibroblasts and Caco-2 cells were analyzed. Our experimental data are consistent with the cytoplasmic assembly of nuclear miRNA and provide further mechanistic insight in the regulatory function of miRNAs in cellular physiology. An open issue in the regulation of gene expression by miRNA is whether miRNA can activate gene expression in addition to the well-known inhibitory effect. A first step for such a regulatory role could be the travelling of miRNA-RISC into the nucleus.", "author" : [ { "dropping-particle" : "", "family" : "F\u00f6ldes-Papp", "given" : "Zeno", "non-dropping-particle" : "", "parse-names" : false, "suffix" : "" }, { "dropping-particle" : "", "family" : "K\u00f6nig", "given" : "Karsten", "non-dropping-particle" : "", "parse-names" : false, "suffix" : "" }, { "dropping-particle" : "", "family" : "Studier", "given" : "Hauke", "non-dropping-particle" : "", "parse-names" : false, "suffix" : "" }, { "dropping-particle" : "", "family" : "B\u00fcckle", "given" : "Reiner", "non-dropping-particle" : "", "parse-names" : false, "suffix" : "" }, { "dropping-particle" : "", "family" : "Breunig", "given" : "H Georg", "non-dropping-particle" : "", "parse-names" : false, "suffix" : "" }, { "dropping-particle" : "", "family" : "Uchugonova", "given" : "Aisada", "non-dropping-particle" : "", "parse-names" : false, "suffix" : "" }, { "dropping-particle" : "", "family" : "Kostner", "given" : "Gerhard M", "non-dropping-particle" : "", "parse-names" : false, "suffix" : "" } ], "container-title" : "Current pharmaceutical biotechnology", "id" : "ITEM-4", "issue" : "6", "issued" : { "date-parts" : [ [ "2009", "9" ] ] }, "page" : "569-78", "title" : "Trafficking of mature miRNA-122 into the nucleus of live liver cells.", "type" : "article-journal", "volume" : "10" }, "uris" : [ "http://www.mendeley.com/documents/?uuid=15494ebb-98b8-45d2-9a83-6d76b7b1db91" ] }, { "id" : "ITEM-5", "itemData" : { "DOI" : "10.1073/pnas.0609466103", "ISSN" : "0027-8424", "PMID" : "17135348", "abstract" : "MicroRNAs are small, approximately 21- to 24-nt RNAs that have been found to regulate gene expression. miR-206 is a microRNA that is expressed at high levels in Drosophila, zebrafish, and mouse skeletal muscle and is thought to be involved in the attainment and/or maintenance of the differentiated state. We used locked nucleic acid probes for in situ hybridization analysis of the intracellular localization of miR-206 during differentiation of rat myogenic cells. Like most microRNAs, which are presumed to suppress translation of target mRNAs, we found that miR-206 occupies a cytoplasmic location in cultured myoblasts and differentiated myotubes and that its level increases in myotubes over the course of differentiation, consistent with previous findings in muscle tissue in vivo. However, to our surprise, we also observed miR-206 to be concentrated in nucleoli. A probe designed to be complementary to the precursor forms of miR-206 gave no nucleolar signal. We characterized the intracellular localization of miR-206 at higher spatial resolution and found that a substantial fraction colocalizes with 28S rRNA in both the cytoplasm and the nucleolus. miR-206 is not concentrated in either the fibrillar centers of the nucleolus or the dense fibrillar component, where ribosomal RNA transcription and early processing occur, but rather is localized in the granular component, the region of the nucleolus where final ribosome assembly takes place. These results suggest that miR-206 may associate both with nascent ribosomes in the nucleolus and with exported, functional ribosomes in the cytoplasm.", "author" : [ { "dropping-particle" : "", "family" : "Politz", "given" : "Joan C Ritland", "non-dropping-particle" : "", "parse-names" : false, "suffix" : "" }, { "dropping-particle" : "", "family" : "Zhang", "given" : "Fan", "non-dropping-particle" : "", "parse-names" : false, "suffix" : "" }, { "dropping-particle" : "", "family" : "Pederson", "given" : "Thoru", "non-dropping-particle" : "", "parse-names" : false, "suffix" : "" } ], "container-title" : "Proceedings of the National Academy of Sciences of the United States of America", "id" : "ITEM-5", "issue" : "50", "issued" : { "date-parts" : [ [ "2006", "12", "12" ] ] }, "page" : "18957-62", "title" : "MicroRNA-206 colocalizes with ribosome-rich regions in both the nucleolus and cytoplasm of rat myogenic cells.", "type" : "article-journal", "volume" : "103" }, "uris" : [ "http://www.mendeley.com/documents/?uuid=27b36f08-cf88-4f10-a08a-4b8110ba0988" ] }, { "id" : "ITEM-6", "itemData" : { "DOI" : "10.1007/s10577-007-1190-6", "ISSN" : "0967-3849", "PMID" : "18204908", "abstract" : "During mammalian meiosis, transcriptional silencing of the XY bivalent is a necessary event where defects may lead to infertility in males. While not well understood, the mechanism of meiotic gene silencing is believed to be RNA-dependent. In this study, we investigated the types and localization of non-coding RNAs in the meiotic nucleus of the male mouse using a microarray screen with different cell isolates as well as FISH. We report that the dense body, a component of the murine spermatocyte sex body similar to that of a dense body in Chinese hamster spermatocytes, is DNA-negative but rich in proteins and RNA including miRNAs (micro RNAs) and piRNAs (PIWI associated small RNAs), or their precursors. Selective miRNAs and piRNAs localize to chromosome cores, telomeres and the sex body of spermatocytes. These RNAs have not previously been detected in meiotic nuclei. These RNAs appear to associate with the nucleolus of the Sertoli cells as well as with the dense body. While in MIWI-null male mice the nucleolar signal from miRNA and piRNA probes in Sertoli cells is largely diminished, a differential regulation must exist in meiotic nuclei since the localization of these two components appears to be unaffected in the null animal.", "author" : [ { "dropping-particle" : "", "family" : "Marcon", "given" : "E", "non-dropping-particle" : "", "parse-names" : false, "suffix" : "" }, { "dropping-particle" : "", "family" : "Babak", "given" : "T", "non-dropping-particle" : "", "parse-names" : false, "suffix" : "" }, { "dropping-particle" : "", "family" : "Chua", "given" : "G", "non-dropping-particle" : "", "parse-names" : false, "suffix" : "" }, { "dropping-particle" : "", "family" : "Hughes", "given" : "T", "non-dropping-particle" : "", "parse-names" : false, "suffix" : "" }, { "dropping-particle" : "", "family" : "Moens", "given" : "P B", "non-dropping-particle" : "", "parse-names" : false, "suffix" : "" } ], "container-title" : "Chromosome research : an international journal on the molecular, supramolecular and evolutionary aspects of chromosome biology", "id" : "ITEM-6", "issue" : "2", "issued" : { "date-parts" : [ [ "2008", "1" ] ] }, "page" : "243-60", "title" : "miRNA and piRNA localization in the male mammalian meiotic nucleus.", "type" : "article-journal", "volume" : "16" }, "uris" : [ "http://www.mendeley.com/documents/?uuid=c72f8d14-5bdf-4233-92dc-19e6d1e93b5a" ] }, { "id" : "ITEM-7", "itemData" : { "DOI" : "10.1016/j.fob.2014.04.010", "ISSN" : "2211-5463", "PMID" : "24918059", "abstract" : "Micro RNAs (miRNA) are non-coding RNAs expressed in the cytoplasm as their mature, 21-22-nucleotide short forms. More recently, mature miRNAs have also been detected in the nucleus, raising the possibility that their spatial distribution may be more complex than anticipated. Here we undertook comprehensive systematic analyses of miRNA distribution in several subcellular compartments of human cancer cells. In particular, we focused on the potential presence of miRNAs in the nucleolus, which contains an abundance of small non-coding RNAs. We employed two miRNA expression array platforms and small RNA deep sequencing of small RNAs isolated from cells, nuclei, cytoplasm and the nucleoli. We developed an assay to compare RNAs of isolated nucleoli before and after denaturation and used Northern hybridization to verify the presence of miRNAs in the subcellular compartments. Consistently, we found more than 10 miRNAs associated with the nucleolar preparations. Several miRNAs had greater relative abundance in the nucleolus compared to the other compartments. The nucleolar presence of miRNAs was independent of Dicer and the main activity of the nucleolus, RNA polymerase I transcription, but was dependent on CRM1 previously associated with nucleolar trafficking of small nucleolar RNAs. These results highlight the complexity of miRNA spatial arrangement and regulation.", "author" : [ { "dropping-particle" : "", "family" : "Bai", "given" : "Baoyan", "non-dropping-particle" : "", "parse-names" : false, "suffix" : "" }, { "dropping-particle" : "", "family" : "Liu", "given" : "Hester", "non-dropping-particle" : "", "parse-names" : false, "suffix" : "" }, { "dropping-particle" : "", "family" : "Laiho", "given" : "Marikki", "non-dropping-particle" : "", "parse-names" : false, "suffix" : "" } ], "container-title" : "FEBS open bio", "id" : "ITEM-7", "issued" : { "date-parts" : [ [ "2014", "1" ] ] }, "page" : "441-9", "title" : "Small RNA expression and deep sequencing analyses of the nucleolus reveal the presence of nucleolus-associated microRNAs.", "type" : "article-journal", "volume" : "4" }, "uris" : [ "http://www.mendeley.com/documents/?uuid=fcb5e034-b169-46da-b303-bac27378e00c" ] } ], "mendeley" : { "formattedCitation" : "(Bai, Liu, &amp; Laiho, 2014; Castanotto, Lingeman, Riggs, &amp; Rossi, 2009; F\u00f6ldes-Papp et al., 2009; Marcon, Babak, Chua, Hughes, &amp; Moens, 2008; Ohrt et al., 2008; Politz, Zhang, &amp; Pederson, 2006; Weinmann et al., 2009)", "plainTextFormattedCitation" : "(Bai, Liu, &amp; Laiho, 2014; Castanotto, Lingeman, Riggs, &amp; Rossi, 2009; F\u00f6ldes-Papp et al., 2009; Marcon, Babak, Chua, Hughes, &amp; Moens, 2008; Ohrt et al., 2008; Politz, Zhang, &amp; Pederson, 2006; Weinmann et al., 2009)", "previouslyFormattedCitation" : "(Bai, Liu, &amp; Laiho, 2014; Castanotto, Lingeman, Riggs, &amp; Rossi, 2009; F\u00f6ldes-Papp et al., 2009; Marcon, Babak, Chua, Hughes, &amp; Moens, 2008; Ohrt et al., 2008; Politz, Zhang, &amp; Pederson, 2006; Weinmann et al., 2009)" }, "properties" : { "noteIndex" : 0 }, "schema" : "https://github.com/citation-style-language/schema/raw/master/csl-citation.json" }</w:instrText>
      </w:r>
      <w:r w:rsidR="00FF0F26">
        <w:rPr>
          <w:rFonts w:ascii="Calibri" w:hAnsi="Calibri" w:cs="Arial"/>
        </w:rPr>
        <w:fldChar w:fldCharType="separate"/>
      </w:r>
      <w:r w:rsidR="00FF0F26" w:rsidRPr="00FF0F26">
        <w:rPr>
          <w:rFonts w:ascii="Calibri" w:hAnsi="Calibri" w:cs="Arial"/>
          <w:noProof/>
        </w:rPr>
        <w:t>(Bai, Liu, &amp; Laiho, 2014; Castanotto, Lingeman, Riggs, &amp; Rossi, 2009; Földes-Papp et al., 2009; Marcon, Babak, Chua, Hughes, &amp; Moens, 2008; Ohrt et al., 2008; Politz, Zhang, &amp; Pederson, 2006; Weinmann et al., 2009)</w:t>
      </w:r>
      <w:r w:rsidR="00FF0F26">
        <w:rPr>
          <w:rFonts w:ascii="Calibri" w:hAnsi="Calibri" w:cs="Arial"/>
        </w:rPr>
        <w:fldChar w:fldCharType="end"/>
      </w:r>
      <w:r w:rsidR="00FF0F26">
        <w:rPr>
          <w:rFonts w:ascii="Calibri" w:hAnsi="Calibri" w:cs="Arial"/>
        </w:rPr>
        <w:t xml:space="preserve">. Functional </w:t>
      </w:r>
      <w:r>
        <w:rPr>
          <w:rFonts w:ascii="Calibri" w:hAnsi="Calibri" w:cs="Arial"/>
        </w:rPr>
        <w:t>studies have</w:t>
      </w:r>
      <w:r w:rsidR="00AE56C9" w:rsidRPr="007755D0">
        <w:rPr>
          <w:rFonts w:ascii="Calibri" w:hAnsi="Calibri" w:cs="Arial"/>
        </w:rPr>
        <w:t xml:space="preserve"> </w:t>
      </w:r>
      <w:r w:rsidR="00804AFF">
        <w:rPr>
          <w:rFonts w:ascii="Calibri" w:hAnsi="Calibri" w:cs="Arial"/>
        </w:rPr>
        <w:t xml:space="preserve">shown that this can produce </w:t>
      </w:r>
      <w:r w:rsidR="00AE56C9" w:rsidRPr="008240DA">
        <w:rPr>
          <w:rFonts w:ascii="Calibri" w:hAnsi="Calibri" w:cs="Arial"/>
        </w:rPr>
        <w:t xml:space="preserve">transcriptional activation </w:t>
      </w:r>
      <w:r w:rsidR="0041550D">
        <w:rPr>
          <w:rFonts w:ascii="Calibri" w:hAnsi="Calibri" w:cs="Arial"/>
        </w:rPr>
        <w:t xml:space="preserve">(RNA activation) </w:t>
      </w:r>
      <w:r w:rsidR="00AD776D">
        <w:rPr>
          <w:rFonts w:ascii="Calibri" w:hAnsi="Calibri" w:cs="Arial"/>
        </w:rPr>
        <w:fldChar w:fldCharType="begin" w:fldLock="1"/>
      </w:r>
      <w:r w:rsidR="002A25D9">
        <w:rPr>
          <w:rFonts w:ascii="Calibri" w:hAnsi="Calibri" w:cs="Arial"/>
        </w:rPr>
        <w:instrText>ADDIN CSL_CITATION { "citationItems" : [ { "id" : "ITEM-1", "itemData" : { "DOI" : "10.1073/pnas.0607015103", "ISSN" : "0027-8424", "PMID" : "17085592", "abstract" : "Recent studies have shown that small noncoding RNAs, such as microRNAs and siRNAs, regulate gene expression at multiple levels including chromatin architecture, transcription, RNA editing, RNA stability, and translation. Each form of RNA-dependent regulation has been generally found to silence homologous sequences and collectively called RNAi. To further study the regulatory role of small RNAs at the transcriptional level, we designed and synthesized 21-nt dsRNAs targeting selected promoter regions of human genes E-cadherin, p21(WAF1/CIP1) (p21), and VEGF. Surprisingly, transfection of these dsRNAs into human cell lines caused long-lasting and sequence-specific induction of targeted genes. dsRNA mutation studies reveal that the 5' end of the antisense strand, or \"seed\" sequence, is critical for activity. Mechanistically, the dsRNA-induced gene activation requires the Argonaute 2 (Ago2) protein and is associated with a loss of lysine-9 methylation on histone 3 at dsRNA-target sites. In conclusion, we have identified several dsRNAs that activate gene expression by targeting noncoding regulatory regions in gene promoters. These findings reveal a more diverse role for small RNA molecules in the regulation of gene expression than previously recognized and identify a potential therapeutic use for dsRNA in targeted gene activation.", "author" : [ { "dropping-particle" : "", "family" : "Li", "given" : "Long-Cheng", "non-dropping-particle" : "", "parse-names" : false, "suffix" : "" }, { "dropping-particle" : "", "family" : "Okino", "given" : "Steven T", "non-dropping-particle" : "", "parse-names" : false, "suffix" : "" }, { "dropping-particle" : "", "family" : "Zhao", "given" : "Hong", "non-dropping-particle" : "", "parse-names" : false, "suffix" : "" }, { "dropping-particle" : "", "family" : "Pookot", "given" : "Deepa", "non-dropping-particle" : "", "parse-names" : false, "suffix" : "" }, { "dropping-particle" : "", "family" : "Place", "given" : "Robert F", "non-dropping-particle" : "", "parse-names" : false, "suffix" : "" }, { "dropping-particle" : "", "family" : "Urakami", "given" : "Shinji", "non-dropping-particle" : "", "parse-names" : false, "suffix" : "" }, { "dropping-particle" : "", "family" : "Enokida", "given" : "Hideki", "non-dropping-particle" : "", "parse-names" : false, "suffix" : "" }, { "dropping-particle" : "", "family" : "Dahiya", "given" : "Rajvir", "non-dropping-particle" : "", "parse-names" : false, "suffix" : "" } ], "container-title" : "Proceedings of the National Academy of Sciences of the United States of America", "id" : "ITEM-1", "issue" : "46", "issued" : { "date-parts" : [ [ "2006", "11", "14" ] ] }, "page" : "17337-42", "title" : "Small dsRNAs induce transcriptional activation in human cells.", "type" : "article-journal", "volume" : "103" }, "uris" : [ "http://www.mendeley.com/documents/?uuid=41672a3f-cb8c-429f-bf84-68a425e3d43c" ] }, { "id" : "ITEM-2", "itemData" : { "DOI" : "10.1073/pnas.0707594105", "ISSN" : "1091-6490", "PMID" : "18227514", "abstract" : "Recent studies have shown that microRNA (miRNA) regulates gene expression by repressing translation or directing sequence-specific degradation of complementary mRNA. Here, we report new evidence in which miRNA may also function to induce gene expression. By scanning gene promoters in silico for sequences complementary to known miRNAs, we identified a putative miR-373 target site in the promoter of E-cadherin. Transfection of miR-373 and its precursor hairpin RNA (pre-miR-373) into PC-3 cells readily induced E-cadherin expression. Knockdown experiments confirmed that induction of E-cadherin by pre-miR-373 required the miRNA maturation protein Dicer. Further analysis revealed that cold-shock domain-containing protein C2 (CSDC2), which possesses a putative miR-373 target site within its promoter, was also readily induced in response to miR-373 and pre-miR-373. Furthermore, enrichment of RNA polymerase II was detected at both E-cadherin and CSDC2 promoters after miR-373 transfection. Mismatch mutations to miR-373 indicated that gene induction was specific to the miR-373 sequence. Transfection of promoter-specific dsRNAs revealed that the concurrent induction of E-cadherin and CSDC2 by miR-373 required the miRNA target sites in both promoters. In conclusion, we have identified a miRNA that targets promoter sequences and induces gene expression. These findings reveal a new mode by which miRNAs may regulate gene expression.", "author" : [ { "dropping-particle" : "", "family" : "Place", "given" : "Robert F", "non-dropping-particle" : "", "parse-names" : false, "suffix" : "" }, { "dropping-particle" : "", "family" : "Li", "given" : "Long-Cheng", "non-dropping-particle" : "", "parse-names" : false, "suffix" : "" }, { "dropping-particle" : "", "family" : "Pookot", "given" : "Deepa", "non-dropping-particle" : "", "parse-names" : false, "suffix" : "" }, { "dropping-particle" : "", "family" : "Noonan", "given" : "Emily J", "non-dropping-particle" : "", "parse-names" : false, "suffix" : "" }, { "dropping-particle" : "", "family" : "Dahiya", "given" : "Rajvir", "non-dropping-particle" : "", "parse-names" : false, "suffix" : "" } ], "container-title" : "Proceedings of the National Academy of Sciences of the United States of America", "id" : "ITEM-2", "issue" : "5", "issued" : { "date-parts" : [ [ "2008", "2", "5" ] ] }, "page" : "1608-13", "title" : "MicroRNA-373 induces expression of genes with complementary promoter sequences.", "type" : "article-journal", "volume" : "105" }, "uris" : [ "http://www.mendeley.com/documents/?uuid=c434e1e5-e689-4128-a0c4-42b713ebe0a8" ] }, { "id" : "ITEM-3", "itemData" : { "DOI" : "10.1038/nsmb.1444", "ISSN" : "1545-9985", "PMID" : "18604220", "abstract" : "Agents that activate expression of specific genes to probe cellular pathways or alleviate disease would go beyond existing approaches for controlling gene expression. Duplex RNAs complementary to promoter regions can repress or activate gene expression. The mechanism of these promoter-directed antigene RNAs (agRNAs) has been obscure. Other work has revealed noncoding transcripts that overlap mRNAs. The function of these noncoding transcripts is also not understood. Here we link these two sets of enigmatic results. We find that antisense transcripts are the target for agRNAs that activate or repress expression of progesterone receptor (PR). agRNAs recruit Argonaute proteins to PR antisense transcripts and shift localization of the heterogeneous nuclear ribonucleoprotein-k, RNA polymerase II and heterochromatin protein 1 gamma. Our data demonstrate that antisense transcripts have a central role in recognition of the PR promoter by both activating and inhibitory agRNAs.", "author" : [ { "dropping-particle" : "", "family" : "Schwartz", "given" : "Jacob C", "non-dropping-particle" : "", "parse-names" : false, "suffix" : "" }, { "dropping-particle" : "", "family" : "Younger", "given" : "Scott T", "non-dropping-particle" : "", "parse-names" : false, "suffix" : "" }, { "dropping-particle" : "", "family" : "Nguyen", "given" : "Ngoc-Bich", "non-dropping-particle" : "", "parse-names" : false, "suffix" : "" }, { "dropping-particle" : "", "family" : "Hardy", "given" : "Daniel B", "non-dropping-particle" : "", "parse-names" : false, "suffix" : "" }, { "dropping-particle" : "", "family" : "Monia", "given" : "Brett P", "non-dropping-particle" : "", "parse-names" : false, "suffix" : "" }, { "dropping-particle" : "", "family" : "Corey", "given" : "David R", "non-dropping-particle" : "", "parse-names" : false, "suffix" : "" }, { "dropping-particle" : "", "family" : "Janowski", "given" : "Bethany A", "non-dropping-particle" : "", "parse-names" : false, "suffix" : "" } ], "container-title" : "Nature structural &amp; molecular biology", "id" : "ITEM-3", "issue" : "8", "issued" : { "date-parts" : [ [ "2008", "8" ] ] }, "page" : "842-8", "title" : "Antisense transcripts are targets for activating small RNAs.", "type" : "article-journal", "volume" : "15" }, "uris" : [ "http://www.mendeley.com/documents/?uuid=9569595d-a4af-4737-84d9-866fd90d9057" ] }, { "id" : "ITEM-4", "itemData" : { "DOI" : "10.1261/rna.045633.114", "ISSN" : "1469-9001", "PMID" : "25336585", "abstract" : "The TATA box represents one of the most prevalent core promoters where the pre-initiation complexes (PICs) for gene transcription are assembled. This assembly is crucial for transcription initiation and well regulated. Here we show that some cellular microRNAs (miRNAs) are associated with RNA polymerase II (Pol II) and TATA box-binding protein (TBP) in human peripheral blood mononuclear cells (PBMCs). Among them, let-7i sequence specifically binds to the TATA-box motif of interleukin-2 (IL-2) gene and elevates IL-2 mRNA and protein production in CD4(+) T-lymphocytes in vitro and in vivo. Through direct interaction with the TATA-box motif, let-7i facilitates the PIC assembly and transcription initiation of IL-2 promoter. Several other cellular miRNAs, such as mir-138, mir-92a or mir-181d, also enhance the promoter activities via binding to the TATA-box motifs of insulin, calcitonin or c-myc, respectively. In agreement with the finding that an HIV-1-encoded miRNA could enhance viral replication through targeting the viral promoter TATA-box motif, our data demonstrate that the interaction with core transcription machinery is a novel mechanism for miRNAs to regulate gene expression.", "author" : [ { "dropping-particle" : "", "family" : "Zhang", "given" : "Yijun", "non-dropping-particle" : "", "parse-names" : false, "suffix" : "" }, { "dropping-particle" : "", "family" : "Fan", "given" : "Miaomiao", "non-dropping-particle" : "", "parse-names" : false, "suffix" : "" }, { "dropping-particle" : "", "family" : "Zhang", "given" : "Xue", "non-dropping-particle" : "", "parse-names" : false, "suffix" : "" }, { "dropping-particle" : "", "family" : "Huang", "given" : "Feng", "non-dropping-particle" : "", "parse-names" : false, "suffix" : "" }, { "dropping-particle" : "", "family" : "Wu", "given" : "Kang", "non-dropping-particle" : "", "parse-names" : false, "suffix" : "" }, { "dropping-particle" : "", "family" : "Zhang", "given" : "Junsong", "non-dropping-particle" : "", "parse-names" : false, "suffix" : "" }, { "dropping-particle" : "", "family" : "Liu", "given" : "Jun", "non-dropping-particle" : "", "parse-names" : false, "suffix" : "" }, { "dropping-particle" : "", "family" : "Huang", "given" : "Zhuoqiong", "non-dropping-particle" : "", "parse-names" : false, "suffix" : "" }, { "dropping-particle" : "", "family" : "Luo", "given" : "Haihua", "non-dropping-particle" : "", "parse-names" : false, "suffix" : "" }, { "dropping-particle" : "", "family" : "Tao", "given" : "Liang", "non-dropping-particle" : "", "parse-names" : false, "suffix" : "" }, { "dropping-particle" : "", "family" : "Zhang", "given" : "Hui", "non-dropping-particle" : "", "parse-names" : false, "suffix" : "" } ], "container-title" : "RNA (New York, N.Y.)", "id" : "ITEM-4", "issue" : "12", "issued" : { "date-parts" : [ [ "2014", "12" ] ] }, "page" : "1878-89", "title" : "Cellular microRNAs up-regulate transcription via interaction with promoter TATA-box motifs.", "type" : "article-journal", "volume" : "20" }, "uris" : [ "http://www.mendeley.com/documents/?uuid=53831265-cfc5-4c3f-bae9-4be93194a6a8" ] }, { "id" : "ITEM-5", "itemData" : { "DOI" : "10.1093/nar/gkt777", "ISSN" : "1362-4962", "PMID" : "23999091", "abstract" : "Although many long non-coding RNAs (lncRNAs) have been discovered, their function and their association with RNAi factors in the nucleus have remained obscure. Here, we identify RNA transcripts that overlap the cyclooxygenase-2 (COX-2) promoter and contain two adjacent binding sites for an endogenous miRNA, miR-589. We find that miR-589 binds the promoter RNA and activates COX-2 transcription. In addition to miR-589, fully complementary duplex RNAs that target the COX-2 promoter transcript activate COX-2 transcription. Activation by small RNA requires RNAi factors argonaute-2 (AGO2) and GW182, but does not require AGO2-mediated cleavage of the promoter RNA. Instead, the promoter RNA functions as a scaffold. Binding of AGO2 protein/small RNA complexes to the promoter RNA triggers gene activation. Gene looping allows interactions between the promoters of COX-2 and phospholipase A2 (PLA2G4A), an adjacent pro-inflammatory pathway gene that produces arachidonic acid, the substrate for COX-2 protein. miR-589 and fully complementary small RNAs regulate both COX-2 and PLA2G4A gene expression, revealing an unexpected connection between key steps of the eicosanoid signaling pathway. The work demonstrates the potential for RNA to coordinate locus-dependent assembly of related genes to form functional operons through cis-looping.", "author" : [ { "dropping-particle" : "", "family" : "Matsui", "given" : "Masayuki", "non-dropping-particle" : "", "parse-names" : false, "suffix" : "" }, { "dropping-particle" : "", "family" : "Chu", "given" : "Yongjun", "non-dropping-particle" : "", "parse-names" : false, "suffix" : "" }, { "dropping-particle" : "", "family" : "Zhang", "given" : "Huiying", "non-dropping-particle" : "", "parse-names" : false, "suffix" : "" }, { "dropping-particle" : "", "family" : "Gagnon", "given" : "Keith T", "non-dropping-particle" : "", "parse-names" : false, "suffix" : "" }, { "dropping-particle" : "", "family" : "Shaikh", "given" : "Sarfraz", "non-dropping-particle" : "", "parse-names" : false, "suffix" : "" }, { "dropping-particle" : "", "family" : "Kuchimanchi", "given" : "Satya", "non-dropping-particle" : "", "parse-names" : false, "suffix" : "" }, { "dropping-particle" : "", "family" : "Manoharan", "given" : "Muthiah", "non-dropping-particle" : "", "parse-names" : false, "suffix" : "" }, { "dropping-particle" : "", "family" : "Corey", "given" : "David R", "non-dropping-particle" : "", "parse-names" : false, "suffix" : "" }, { "dropping-particle" : "", "family" : "Janowski", "given" : "Bethany A", "non-dropping-particle" : "", "parse-names" : false, "suffix" : "" } ], "container-title" : "Nucleic acids research", "id" : "ITEM-5", "issue" : "22", "issued" : { "date-parts" : [ [ "2013", "12" ] ] }, "page" : "10086-109", "title" : "Promoter RNA links transcriptional regulation of inflammatory pathway genes.", "type" : "article-journal", "volume" : "41" }, "uris" : [ "http://www.mendeley.com/documents/?uuid=d3031a6a-a1e9-4e47-9a64-9d6694b6ba0f" ] } ], "mendeley" : { "formattedCitation" : "(L.-C. Li et al., 2006; Matsui, Chu, et al., 2013; Place, Li, Pookot, Noonan, &amp; Dahiya, 2008; Schwartz et al., 2008; Y. Zhang et al., 2014)", "plainTextFormattedCitation" : "(L.-C. Li et al., 2006; Matsui, Chu, et al., 2013; Place, Li, Pookot, Noonan, &amp; Dahiya, 2008; Schwartz et al., 2008; Y. Zhang et al., 2014)", "previouslyFormattedCitation" : "(L.-C. Li et al., 2006; Matsui, Chu, et al., 2013; Place, Li, Pookot, Noonan, &amp; Dahiya, 2008; Schwartz et al., 2008; Y. Zhang et al., 2014)" }, "properties" : { "noteIndex" : 0 }, "schema" : "https://github.com/citation-style-language/schema/raw/master/csl-citation.json" }</w:instrText>
      </w:r>
      <w:r w:rsidR="00AD776D">
        <w:rPr>
          <w:rFonts w:ascii="Calibri" w:hAnsi="Calibri" w:cs="Arial"/>
        </w:rPr>
        <w:fldChar w:fldCharType="separate"/>
      </w:r>
      <w:r w:rsidR="00AC0940" w:rsidRPr="00AC0940">
        <w:rPr>
          <w:rFonts w:ascii="Calibri" w:hAnsi="Calibri" w:cs="Arial"/>
          <w:noProof/>
        </w:rPr>
        <w:t>(L.-C. Li et al., 2006; Matsui, Chu, et al., 2013; Place, Li, Pookot, Noonan, &amp; Dahiya, 2008; Schwartz et al., 2008; Y. Zhang et al., 2014)</w:t>
      </w:r>
      <w:r w:rsidR="00AD776D">
        <w:rPr>
          <w:rFonts w:ascii="Calibri" w:hAnsi="Calibri" w:cs="Arial"/>
        </w:rPr>
        <w:fldChar w:fldCharType="end"/>
      </w:r>
      <w:r w:rsidR="00D935BC">
        <w:rPr>
          <w:rFonts w:ascii="Calibri" w:hAnsi="Calibri" w:cs="Arial"/>
        </w:rPr>
        <w:t xml:space="preserve"> </w:t>
      </w:r>
      <w:r w:rsidR="00AE56C9" w:rsidRPr="008240DA">
        <w:rPr>
          <w:rFonts w:ascii="Calibri" w:hAnsi="Calibri" w:cs="Arial"/>
        </w:rPr>
        <w:t>and repression</w:t>
      </w:r>
      <w:r w:rsidR="008240DA" w:rsidRPr="008240DA">
        <w:rPr>
          <w:rFonts w:ascii="Calibri" w:hAnsi="Calibri" w:cs="Arial"/>
        </w:rPr>
        <w:t xml:space="preserve"> </w:t>
      </w:r>
      <w:r w:rsidR="00D935BC">
        <w:rPr>
          <w:rFonts w:ascii="Calibri" w:hAnsi="Calibri" w:cs="Arial"/>
        </w:rPr>
        <w:fldChar w:fldCharType="begin" w:fldLock="1"/>
      </w:r>
      <w:r w:rsidR="00D935BC">
        <w:rPr>
          <w:rFonts w:ascii="Calibri" w:hAnsi="Calibri" w:cs="Arial"/>
        </w:rPr>
        <w:instrText>ADDIN CSL_CITATION { "citationItems" : [ { "id" : "ITEM-1", "itemData" : { "DOI" : "10.1073/pnas.0808830105", "ISSN" : "1091-6490", "PMID" : "18852463", "abstract" : "MicroRNAs (miRNAs) regulate gene expression at the posttranscriptional level in the cytoplasm, but recent findings suggest additional roles for miRNAs in the nucleus. To address whether miRNAs might transcriptionally silence gene expression, we searched for miRNA target sites proximal to known gene transcription start sites in the human genome. One conserved miRNA, miR-320, is encoded within the promoter region of the cell cycle gene POLR3D in the antisense orientation. We provide evidence of a cis-regulatory role for miR-320 in transcriptional silencing of POLR3D expression. miR-320 directs the association of RNA interference (RNAi) protein Argonaute-1 (AGO1), Polycomb group (PcG) component EZH2, and tri-methyl histone H3 lysine 27 (H3K27me3) with the POLR3D promoter. Our results suggest the existence of an epigenetic mechanism of miRNA-directed transcriptional gene silencing (TGS) in mammalian cells.", "author" : [ { "dropping-particle" : "", "family" : "Kim", "given" : "Daniel H", "non-dropping-particle" : "", "parse-names" : false, "suffix" : "" }, { "dropping-particle" : "", "family" : "Saetrom", "given" : "P\u00e5l", "non-dropping-particle" : "", "parse-names" : false, "suffix" : "" }, { "dropping-particle" : "", "family" : "Sn\u00f8ve", "given" : "Ola", "non-dropping-particle" : "", "parse-names" : false, "suffix" : "" }, { "dropping-particle" : "", "family" : "Rossi", "given" : "John J", "non-dropping-particle" : "", "parse-names" : false, "suffix" : "" } ], "container-title" : "Proceedings of the National Academy of Sciences of the United States of America", "id" : "ITEM-1", "issue" : "42", "issued" : { "date-parts" : [ [ "2008", "10", "21" ] ] }, "page" : "16230-5", "title" : "MicroRNA-directed transcriptional gene silencing in mammalian cells.", "type" : "article-journal", "volume" : "105" }, "uris" : [ "http://www.mendeley.com/documents/?uuid=4267c5cc-bf58-48af-9508-ff1960da2057" ] }, { "id" : "ITEM-2", "itemData" : { "DOI" : "10.1093/nar/gkr891", "ISSN" : "1362-4962", "PMID" : "22064859", "abstract" : "Mammalian RNAi machinery facilitating transcriptional gene silencing (TGS) is the RNA-induced transcriptional gene silencing-like (RITS-like) complex, comprising of Argonaute (Ago) and small interfering RNA (siRNA) components. We have previously demonstrated promoter-targeted siRNA induce TGS in human immunodeficiency virus type-1 (HIV-1) and simian immunodeficiency virus (SIV), which profoundly suppresses retrovirus replication via heterochromatin formation and histone methylation. Here, we examine subcellular co-localization of Ago proteins with promoter-targeted siRNAs during TGS of SIV and HIV-1 infection. Analysis of retrovirus-infected cells revealed Ago1 co-localized with siRNA in the nucleus, while Ago2 co-localized with siRNA in the inner nuclear envelope. Mismatched and scrambled siRNAs were observed in the cytoplasm, indicating sequence specificity. This is the first report directly visualizing nuclear compartment distribution of Ago-associated siRNA and further reveals a novel nuclear trafficking mechanism for RITS-like components involving the actin cytoskeleton. These results establish a model for elucidating mammalian TGS and suggest a fundamental mechanism underlying nuclear delivery of RITS-like components.", "author" : [ { "dropping-particle" : "", "family" : "Ahlenstiel", "given" : "Chantelle L", "non-dropping-particle" : "", "parse-names" : false, "suffix" : "" }, { "dropping-particle" : "", "family" : "Lim", "given" : "Heidi G W", "non-dropping-particle" : "", "parse-names" : false, "suffix" : "" }, { "dropping-particle" : "", "family" : "Cooper", "given" : "David A", "non-dropping-particle" : "", "parse-names" : false, "suffix" : "" }, { "dropping-particle" : "", "family" : "Ishida", "given" : "Takaomi", "non-dropping-particle" : "", "parse-names" : false, "suffix" : "" }, { "dropping-particle" : "", "family" : "Kelleher", "given" : "Anthony D", "non-dropping-particle" : "", "parse-names" : false, "suffix" : "" }, { "dropping-particle" : "", "family" : "Suzuki", "given" : "Kazuo", "non-dropping-particle" : "", "parse-names" : false, "suffix" : "" } ], "container-title" : "Nucleic acids research", "id" : "ITEM-2", "issue" : "4", "issued" : { "date-parts" : [ [ "2012", "2" ] ] }, "page" : "1579-95", "title" : "Direct evidence of nuclear Argonaute distribution during transcriptional silencing links the actin cytoskeleton to nuclear RNAi machinery in human cells.", "type" : "article-journal", "volume" : "40" }, "uris" : [ "http://www.mendeley.com/documents/?uuid=f2ae6422-35fb-4fab-9e2c-7760e0362965" ] }, { "id" : "ITEM-3", "itemData" : { "DOI" : "10.1093/nar/gkr155", "ISSN" : "1362-4962", "PMID" : "21427083", "abstract" : "Synthetic small duplex RNAs that are fully complementary to gene promoters can silence transcription in mammalian cells. microRNAs (miRNAs) are endogenous small regulatory RNAs that sequence specifically regulate gene expression. We have developed a computational method to identify potential miRNA target sites within gene promoters. Ten candidate miRNAs predicted to target the human progesterone receptor (PR) gene promoter were tested for their ability to modulate gene expression. Several miRNA mimics inhibited PR gene expression and miR-423-5p, which targets a highly conserved region of the PR promoter, was chosen for detailed analysis. Chromatin immunoprecipitation revealed that the miR-423-5p mimic decreased RNA polymerase II occupancy and increased histone H3 lysine 9 dimethylation (H3K9me2) at the PR promoter, indicative of chromatin-level silencing. Transcriptional silencing was transient, independent of DNA methylation, and associated with recruitment of Argonaute 2 (AGO2) to a non-coding RNA (ncRNA) transcript that overlaps the PR gene promoter. The miR-423-5p mimic also silenced expression of immunoglobulin superfamily member 1 (IGSF1), an additional gene with a predicted target site within its promoter. While additional investigations of endogenous miRNA function will be necessary, these observations suggest that recognition of gene promoters by miRNAs may be a natural and general mechanism for regulating gene transcription.", "author" : [ { "dropping-particle" : "", "family" : "Younger", "given" : "Scott T", "non-dropping-particle" : "", "parse-names" : false, "suffix" : "" }, { "dropping-particle" : "", "family" : "Corey", "given" : "David R", "non-dropping-particle" : "", "parse-names" : false, "suffix" : "" } ], "container-title" : "Nucleic acids research", "id" : "ITEM-3", "issue" : "13", "issued" : { "date-parts" : [ [ "2011", "7" ] ] }, "page" : "5682-91", "title" : "Transcriptional gene silencing in mammalian cells by miRNA mimics that target gene promoters.", "type" : "article-journal", "volume" : "39" }, "uris" : [ "http://www.mendeley.com/documents/?uuid=bef07418-83c5-4761-97ac-b36cbd9438a3" ] } ], "mendeley" : { "formattedCitation" : "(Ahlenstiel et al., 2012; Kim, Saetrom, Sn\u00f8ve, &amp; Rossi, 2008; Younger &amp; Corey, 2011)", "plainTextFormattedCitation" : "(Ahlenstiel et al., 2012; Kim, Saetrom, Sn\u00f8ve, &amp; Rossi, 2008; Younger &amp; Corey, 2011)", "previouslyFormattedCitation" : "(Ahlenstiel et al., 2012; Kim, Saetrom, Sn\u00f8ve, &amp; Rossi, 2008; Younger &amp; Corey, 2011)" }, "properties" : { "noteIndex" : 0 }, "schema" : "https://github.com/citation-style-language/schema/raw/master/csl-citation.json" }</w:instrText>
      </w:r>
      <w:r w:rsidR="00D935BC">
        <w:rPr>
          <w:rFonts w:ascii="Calibri" w:hAnsi="Calibri" w:cs="Arial"/>
        </w:rPr>
        <w:fldChar w:fldCharType="separate"/>
      </w:r>
      <w:r w:rsidR="00D935BC" w:rsidRPr="00D935BC">
        <w:rPr>
          <w:rFonts w:ascii="Calibri" w:hAnsi="Calibri" w:cs="Arial"/>
          <w:noProof/>
        </w:rPr>
        <w:t>(Ahlenstiel et al., 2012; Kim, Saetrom, Snøve, &amp; Rossi, 2008; Younger &amp; Corey, 2011)</w:t>
      </w:r>
      <w:r w:rsidR="00D935BC">
        <w:rPr>
          <w:rFonts w:ascii="Calibri" w:hAnsi="Calibri" w:cs="Arial"/>
        </w:rPr>
        <w:fldChar w:fldCharType="end"/>
      </w:r>
      <w:r w:rsidR="00D935BC">
        <w:rPr>
          <w:rFonts w:ascii="Calibri" w:hAnsi="Calibri" w:cs="Arial"/>
        </w:rPr>
        <w:t xml:space="preserve">, </w:t>
      </w:r>
      <w:r w:rsidR="00804AFF">
        <w:rPr>
          <w:rFonts w:ascii="Calibri" w:hAnsi="Calibri" w:cs="Arial"/>
        </w:rPr>
        <w:t xml:space="preserve">epigenetic </w:t>
      </w:r>
      <w:r w:rsidR="00AE56C9" w:rsidRPr="008240DA">
        <w:rPr>
          <w:rFonts w:ascii="Calibri" w:hAnsi="Calibri" w:cs="Arial"/>
        </w:rPr>
        <w:t>remodeling</w:t>
      </w:r>
      <w:r w:rsidR="008240DA">
        <w:rPr>
          <w:rFonts w:ascii="Calibri" w:hAnsi="Calibri" w:cs="Arial"/>
        </w:rPr>
        <w:t xml:space="preserve"> </w:t>
      </w:r>
      <w:r w:rsidR="00401434">
        <w:rPr>
          <w:rFonts w:ascii="Calibri" w:hAnsi="Calibri" w:cs="Arial"/>
        </w:rPr>
        <w:fldChar w:fldCharType="begin" w:fldLock="1"/>
      </w:r>
      <w:r w:rsidR="00401434">
        <w:rPr>
          <w:rFonts w:ascii="Calibri" w:hAnsi="Calibri" w:cs="Arial"/>
        </w:rPr>
        <w:instrText>ADDIN CSL_CITATION { "citationItems" : [ { "id" : "ITEM-1", "itemData" : { "DOI" : "10.1073/pnas.0808830105", "ISSN" : "1091-6490", "PMID" : "18852463", "abstract" : "MicroRNAs (miRNAs) regulate gene expression at the posttranscriptional level in the cytoplasm, but recent findings suggest additional roles for miRNAs in the nucleus. To address whether miRNAs might transcriptionally silence gene expression, we searched for miRNA target sites proximal to known gene transcription start sites in the human genome. One conserved miRNA, miR-320, is encoded within the promoter region of the cell cycle gene POLR3D in the antisense orientation. We provide evidence of a cis-regulatory role for miR-320 in transcriptional silencing of POLR3D expression. miR-320 directs the association of RNA interference (RNAi) protein Argonaute-1 (AGO1), Polycomb group (PcG) component EZH2, and tri-methyl histone H3 lysine 27 (H3K27me3) with the POLR3D promoter. Our results suggest the existence of an epigenetic mechanism of miRNA-directed transcriptional gene silencing (TGS) in mammalian cells.", "author" : [ { "dropping-particle" : "", "family" : "Kim", "given" : "Daniel H", "non-dropping-particle" : "", "parse-names" : false, "suffix" : "" }, { "dropping-particle" : "", "family" : "Saetrom", "given" : "P\u00e5l", "non-dropping-particle" : "", "parse-names" : false, "suffix" : "" }, { "dropping-particle" : "", "family" : "Sn\u00f8ve", "given" : "Ola", "non-dropping-particle" : "", "parse-names" : false, "suffix" : "" }, { "dropping-particle" : "", "family" : "Rossi", "given" : "John J", "non-dropping-particle" : "", "parse-names" : false, "suffix" : "" } ], "container-title" : "Proceedings of the National Academy of Sciences of the United States of America", "id" : "ITEM-1", "issue" : "42", "issued" : { "date-parts" : [ [ "2008", "10", "21" ] ] }, "page" : "16230-5", "title" : "MicroRNA-directed transcriptional gene silencing in mammalian cells.", "type" : "article-journal", "volume" : "105" }, "uris" : [ "http://www.mendeley.com/documents/?uuid=4267c5cc-bf58-48af-9508-ff1960da2057" ] }, { "id" : "ITEM-2", "itemData" : { "DOI" : "10.1093/nar/gkr891", "ISSN" : "1362-4962", "PMID" : "22064859", "abstract" : "Mammalian RNAi machinery facilitating transcriptional gene silencing (TGS) is the RNA-induced transcriptional gene silencing-like (RITS-like) complex, comprising of Argonaute (Ago) and small interfering RNA (siRNA) components. We have previously demonstrated promoter-targeted siRNA induce TGS in human immunodeficiency virus type-1 (HIV-1) and simian immunodeficiency virus (SIV), which profoundly suppresses retrovirus replication via heterochromatin formation and histone methylation. Here, we examine subcellular co-localization of Ago proteins with promoter-targeted siRNAs during TGS of SIV and HIV-1 infection. Analysis of retrovirus-infected cells revealed Ago1 co-localized with siRNA in the nucleus, while Ago2 co-localized with siRNA in the inner nuclear envelope. Mismatched and scrambled siRNAs were observed in the cytoplasm, indicating sequence specificity. This is the first report directly visualizing nuclear compartment distribution of Ago-associated siRNA and further reveals a novel nuclear trafficking mechanism for RITS-like components involving the actin cytoskeleton. These results establish a model for elucidating mammalian TGS and suggest a fundamental mechanism underlying nuclear delivery of RITS-like components.", "author" : [ { "dropping-particle" : "", "family" : "Ahlenstiel", "given" : "Chantelle L", "non-dropping-particle" : "", "parse-names" : false, "suffix" : "" }, { "dropping-particle" : "", "family" : "Lim", "given" : "Heidi G W", "non-dropping-particle" : "", "parse-names" : false, "suffix" : "" }, { "dropping-particle" : "", "family" : "Cooper", "given" : "David A", "non-dropping-particle" : "", "parse-names" : false, "suffix" : "" }, { "dropping-particle" : "", "family" : "Ishida", "given" : "Takaomi", "non-dropping-particle" : "", "parse-names" : false, "suffix" : "" }, { "dropping-particle" : "", "family" : "Kelleher", "given" : "Anthony D", "non-dropping-particle" : "", "parse-names" : false, "suffix" : "" }, { "dropping-particle" : "", "family" : "Suzuki", "given" : "Kazuo", "non-dropping-particle" : "", "parse-names" : false, "suffix" : "" } ], "container-title" : "Nucleic acids research", "id" : "ITEM-2", "issue" : "4", "issued" : { "date-parts" : [ [ "2012", "2" ] ] }, "page" : "1579-95", "title" : "Direct evidence of nuclear Argonaute distribution during transcriptional silencing links the actin cytoskeleton to nuclear RNAi machinery in human cells.", "type" : "article-journal", "volume" : "40" }, "uris" : [ "http://www.mendeley.com/documents/?uuid=f2ae6422-35fb-4fab-9e2c-7760e0362965" ] }, { "id" : "ITEM-3", "itemData" : { "DOI" : "10.1093/nar/gkr155", "ISSN" : "1362-4962", "PMID" : "21427083", "abstract" : "Synthetic small duplex RNAs that are fully complementary to gene promoters can silence transcription in mammalian cells. microRNAs (miRNAs) are endogenous small regulatory RNAs that sequence specifically regulate gene expression. We have developed a computational method to identify potential miRNA target sites within gene promoters. Ten candidate miRNAs predicted to target the human progesterone receptor (PR) gene promoter were tested for their ability to modulate gene expression. Several miRNA mimics inhibited PR gene expression and miR-423-5p, which targets a highly conserved region of the PR promoter, was chosen for detailed analysis. Chromatin immunoprecipitation revealed that the miR-423-5p mimic decreased RNA polymerase II occupancy and increased histone H3 lysine 9 dimethylation (H3K9me2) at the PR promoter, indicative of chromatin-level silencing. Transcriptional silencing was transient, independent of DNA methylation, and associated with recruitment of Argonaute 2 (AGO2) to a non-coding RNA (ncRNA) transcript that overlaps the PR gene promoter. The miR-423-5p mimic also silenced expression of immunoglobulin superfamily member 1 (IGSF1), an additional gene with a predicted target site within its promoter. While additional investigations of endogenous miRNA function will be necessary, these observations suggest that recognition of gene promoters by miRNAs may be a natural and general mechanism for regulating gene transcription.", "author" : [ { "dropping-particle" : "", "family" : "Younger", "given" : "Scott T", "non-dropping-particle" : "", "parse-names" : false, "suffix" : "" }, { "dropping-particle" : "", "family" : "Corey", "given" : "David R", "non-dropping-particle" : "", "parse-names" : false, "suffix" : "" } ], "container-title" : "Nucleic acids research", "id" : "ITEM-3", "issue" : "13", "issued" : { "date-parts" : [ [ "2011", "7" ] ] }, "page" : "5682-91", "title" : "Transcriptional gene silencing in mammalian cells by miRNA mimics that target gene promoters.", "type" : "article-journal", "volume" : "39" }, "uris" : [ "http://www.mendeley.com/documents/?uuid=bef07418-83c5-4761-97ac-b36cbd9438a3" ] }, { "id" : "ITEM-4", "itemData" : { "DOI" : "10.1073/pnas.0607015103", "ISSN" : "0027-8424", "PMID" : "17085592", "abstract" : "Recent studies have shown that small noncoding RNAs, such as microRNAs and siRNAs, regulate gene expression at multiple levels including chromatin architecture, transcription, RNA editing, RNA stability, and translation. Each form of RNA-dependent regulation has been generally found to silence homologous sequences and collectively called RNAi. To further study the regulatory role of small RNAs at the transcriptional level, we designed and synthesized 21-nt dsRNAs targeting selected promoter regions of human genes E-cadherin, p21(WAF1/CIP1) (p21), and VEGF. Surprisingly, transfection of these dsRNAs into human cell lines caused long-lasting and sequence-specific induction of targeted genes. dsRNA mutation studies reveal that the 5' end of the antisense strand, or \"seed\" sequence, is critical for activity. Mechanistically, the dsRNA-induced gene activation requires the Argonaute 2 (Ago2) protein and is associated with a loss of lysine-9 methylation on histone 3 at dsRNA-target sites. In conclusion, we have identified several dsRNAs that activate gene expression by targeting noncoding regulatory regions in gene promoters. These findings reveal a more diverse role for small RNA molecules in the regulation of gene expression than previously recognized and identify a potential therapeutic use for dsRNA in targeted gene activation.", "author" : [ { "dropping-particle" : "", "family" : "Li", "given" : "Long-Cheng", "non-dropping-particle" : "", "parse-names" : false, "suffix" : "" }, { "dropping-particle" : "", "family" : "Okino", "given" : "Steven T", "non-dropping-particle" : "", "parse-names" : false, "suffix" : "" }, { "dropping-particle" : "", "family" : "Zhao", "given" : "Hong", "non-dropping-particle" : "", "parse-names" : false, "suffix" : "" }, { "dropping-particle" : "", "family" : "Pookot", "given" : "Deepa", "non-dropping-particle" : "", "parse-names" : false, "suffix" : "" }, { "dropping-particle" : "", "family" : "Place", "given" : "Robert F", "non-dropping-particle" : "", "parse-names" : false, "suffix" : "" }, { "dropping-particle" : "", "family" : "Urakami", "given" : "Shinji", "non-dropping-particle" : "", "parse-names" : false, "suffix" : "" }, { "dropping-particle" : "", "family" : "Enokida", "given" : "Hideki", "non-dropping-particle" : "", "parse-names" : false, "suffix" : "" }, { "dropping-particle" : "", "family" : "Dahiya", "given" : "Rajvir", "non-dropping-particle" : "", "parse-names" : false, "suffix" : "" } ], "container-title" : "Proceedings of the National Academy of Sciences of the United States of America", "id" : "ITEM-4", "issue" : "46", "issued" : { "date-parts" : [ [ "2006", "11", "14" ] ] }, "page" : "17337-42", "title" : "Small dsRNAs induce transcriptional activation in human cells.", "type" : "article-journal", "volume" : "103" }, "uris" : [ "http://www.mendeley.com/documents/?uuid=41672a3f-cb8c-429f-bf84-68a425e3d43c" ] }, { "id" : "ITEM-5", "itemData" : { "DOI" : "10.1371/journal.pgen.1000258", "ISSN" : "1553-7404", "PMID" : "19008947", "abstract" : "Small RNAs targeted to gene promoters in human cells have been shown to modulate both transcriptional gene suppression and activation. However, the mechanism involved in transcriptional activation has remained poorly defined, and an endogenous RNA trigger for transcriptional gene silencing has yet to be identified. Described here is an explanation for siRNA-directed transcriptional gene activation, as well as a role for non-coding antisense RNAs as effector molecules driving transcriptional gene silencing. Transcriptional activation of p21 gene expression was determined to be the result of Argonaute 2-dependent, post-transcriptional silencing of a p21-specific antisense transcript, which functions in Argonaute 1-mediated transcriptional control of p21 mRNA expression. The data presented here suggest that in human cells, bidirectional transcription is an endogenous gene regulatory mechanism whereby an antisense RNA directs epigenetic regulatory complexes to a sense promoter, resulting in RNA-directed epigenetic gene regulation. The observations presented here support the notion that epigenetic silencing of tumor suppressor genes, such as p21, may be the result of an imbalance in bidirectional transcription levels. This imbalance allows the unchecked antisense RNA to direct silent state epigenetic marks to the sense promoter, resulting in stable transcriptional gene silencing.", "author" : [ { "dropping-particle" : "V.", "family" : "Morris", "given" : "Kevin", "non-dropping-particle" : "", "parse-names" : false, "suffix" : "" }, { "dropping-particle" : "", "family" : "Santoso", "given" : "Sharon", "non-dropping-particle" : "", "parse-names" : false, "suffix" : "" }, { "dropping-particle" : "", "family" : "Turner", "given" : "Anne-Marie", "non-dropping-particle" : "", "parse-names" : false, "suffix" : "" }, { "dropping-particle" : "", "family" : "Pastori", "given" : "Chiara", "non-dropping-particle" : "", "parse-names" : false, "suffix" : "" }, { "dropping-particle" : "", "family" : "Hawkins", "given" : "Peter G.", "non-dropping-particle" : "", "parse-names" : false, "suffix" : "" } ], "container-title" : "PLoS Genetics", "editor" : [ { "dropping-particle" : "", "family" : "McManus", "given" : "Michael T.", "non-dropping-particle" : "", "parse-names" : false, "suffix" : "" } ], "id" : "ITEM-5", "issue" : "11", "issued" : { "date-parts" : [ [ "2008", "11", "14" ] ] }, "page" : "e1000258", "title" : "Bidirectional Transcription Directs Both Transcriptional Gene Activation and Suppression in Human Cells", "type" : "article-journal", "volume" : "4" }, "uris" : [ "http://www.mendeley.com/documents/?uuid=bb48fc58-94e3-4b64-b8fb-4fb9afb0e714" ] }, { "id" : "ITEM-6", "itemData" : { "DOI" : "10.4161/cc.21468", "ISSN" : "1551-4005", "PMID" : "22895111", "abstract" : "Advances in the understanding of the epigenetic events underlying the regulation of developmental genes expression and cell lineage commitment are revealing novel regulatory networks. These also involve distinct components of the epigenetic pathways, including chromatin histone modification, DNA methylation, repression by polycomb complexes and microRNAs. Changes in chromatin structure, DNA methylation status and microRNA expression levels represent flexible, reversible and heritable mechanisms for the maintenance of stem cell states and cell fate decisions. We recently provided novel evidence showing that microRNAs, besides determining the post-transcriptional gene silencing of their targets, also bind to evolutionarily conserved complementary genomic seed-matches present on target gene promoters. At these sites, microRNAs can function as a critical interface between chromatin remodeling complexes and the genome for transcriptional gene silencing. Here, we discuss our novel findings supporting a role of the transcriptional chromatin targeting by polycomb-microRNA complexes in lineage fate determination of human hematopoietic cells.", "author" : [ { "dropping-particle" : "", "family" : "Zardo", "given" : "Giuseppe", "non-dropping-particle" : "", "parse-names" : false, "suffix" : "" }, { "dropping-particle" : "", "family" : "Ciolfi", "given" : "Alberto", "non-dropping-particle" : "", "parse-names" : false, "suffix" : "" }, { "dropping-particle" : "", "family" : "Vian", "given" : "Laura", "non-dropping-particle" : "", "parse-names" : false, "suffix" : "" }, { "dropping-particle" : "", "family" : "Billi", "given" : "Monia", "non-dropping-particle" : "", "parse-names" : false, "suffix" : "" }, { "dropping-particle" : "", "family" : "Racanicchi", "given" : "Serena", "non-dropping-particle" : "", "parse-names" : false, "suffix" : "" }, { "dropping-particle" : "", "family" : "Grignani", "given" : "Francesco", "non-dropping-particle" : "", "parse-names" : false, "suffix" : "" }, { "dropping-particle" : "", "family" : "Nervi", "given" : "Clara", "non-dropping-particle" : "", "parse-names" : false, "suffix" : "" } ], "container-title" : "Cell cycle (Georgetown, Tex.)", "id" : "ITEM-6", "issue" : "19", "issued" : { "date-parts" : [ [ "2012", "10", "1" ] ] }, "page" : "3543-9", "title" : "Transcriptional targeting by microRNA-polycomb complexes: a novel route in cell fate determination.", "type" : "article-journal", "volume" : "11" }, "uris" : [ "http://www.mendeley.com/documents/?uuid=89ca5323-0485-4391-80fb-66c8c5f37ae4" ] } ], "mendeley" : { "formattedCitation" : "(Ahlenstiel et al., 2012; Kim et al., 2008; L.-C. Li et al., 2006; Morris, Santoso, Turner, Pastori, &amp; Hawkins, 2008; Younger &amp; Corey, 2011; Zardo et al., 2012)", "plainTextFormattedCitation" : "(Ahlenstiel et al., 2012; Kim et al., 2008; L.-C. Li et al., 2006; Morris, Santoso, Turner, Pastori, &amp; Hawkins, 2008; Younger &amp; Corey, 2011; Zardo et al., 2012)", "previouslyFormattedCitation" : "(Ahlenstiel et al., 2012; Kim et al., 2008; L.-C. Li et al., 2006; Morris, Santoso, Turner, Pastori, &amp; Hawkins, 2008; Younger &amp; Corey, 2011; Zardo et al., 2012)" }, "properties" : { "noteIndex" : 0 }, "schema" : "https://github.com/citation-style-language/schema/raw/master/csl-citation.json" }</w:instrText>
      </w:r>
      <w:r w:rsidR="00401434">
        <w:rPr>
          <w:rFonts w:ascii="Calibri" w:hAnsi="Calibri" w:cs="Arial"/>
        </w:rPr>
        <w:fldChar w:fldCharType="separate"/>
      </w:r>
      <w:r w:rsidR="00401434" w:rsidRPr="00401434">
        <w:rPr>
          <w:rFonts w:ascii="Calibri" w:hAnsi="Calibri" w:cs="Arial"/>
          <w:noProof/>
        </w:rPr>
        <w:t>(Ahlenstiel et al., 2012; Kim et al., 2008; L.-C. Li et al., 2006; Morris, Santoso, Turner, Pastori, &amp; Hawkins, 2008; Younger &amp; Corey, 2011; Zardo et al., 2012)</w:t>
      </w:r>
      <w:r w:rsidR="00401434">
        <w:rPr>
          <w:rFonts w:ascii="Calibri" w:hAnsi="Calibri" w:cs="Arial"/>
        </w:rPr>
        <w:fldChar w:fldCharType="end"/>
      </w:r>
      <w:r w:rsidR="004C0E07">
        <w:rPr>
          <w:rFonts w:ascii="Calibri" w:hAnsi="Calibri" w:cs="Arial"/>
        </w:rPr>
        <w:t xml:space="preserve">, </w:t>
      </w:r>
      <w:r w:rsidR="00401434">
        <w:rPr>
          <w:rFonts w:ascii="Calibri" w:hAnsi="Calibri" w:cs="Arial"/>
        </w:rPr>
        <w:t>miRNA precursor maturation</w:t>
      </w:r>
      <w:r w:rsidR="0041550D">
        <w:rPr>
          <w:rFonts w:ascii="Calibri" w:hAnsi="Calibri" w:cs="Arial"/>
        </w:rPr>
        <w:t xml:space="preserve"> </w:t>
      </w:r>
      <w:r>
        <w:rPr>
          <w:rFonts w:ascii="Calibri" w:hAnsi="Calibri" w:cs="Arial"/>
        </w:rPr>
        <w:t xml:space="preserve">control </w:t>
      </w:r>
      <w:r w:rsidR="0041550D">
        <w:rPr>
          <w:rFonts w:ascii="Calibri" w:hAnsi="Calibri" w:cs="Arial"/>
        </w:rPr>
        <w:fldChar w:fldCharType="begin" w:fldLock="1"/>
      </w:r>
      <w:r w:rsidR="0041550D">
        <w:rPr>
          <w:rFonts w:ascii="Calibri" w:hAnsi="Calibri" w:cs="Arial"/>
        </w:rPr>
        <w:instrText>ADDIN CSL_CITATION { "citationItems" : [ { "id" : "ITEM-1", "itemData" : { "DOI" : "10.1038/cr.2011.137", "ISSN" : "1748-7838", "PMID" : "21862971", "abstract" : "MicroRNAs (miRNAs) are endogenous noncoding RNAs (\u223c22 nt) that regulate target gene expression at the post-transcriptional level in the cytoplasm. Recent discoveries of the presence of miRNAs and miRNA function-required argonaute family proteins in the cell nucleus have prompted us to hypothesize that miRNAs may also have regulatory functions in the cell nucleus. In this study, we demonstrate that mouse miR-709 is predominantly located in the nucleus of various cell types and that its nuclear localization pattern rapidly changes upon apoptotic stimuli. In the cell nucleus, miR-709 directly binds to a 19-nt miR-709 recognition element on pri-miR-15a/16-1 and prevents its processing into pre-miR-15a/16-1, leading to a suppression of miR-15a/16-1 maturation. Furthermore, nuclear miR-709 participates in the regulation of cell apoptosis through the miR-15a/16-1 pathway. In summary, the present study provides the first evidence that one miRNA can control the biogenesis of other miRNAs by directly targeting their primary transcripts in the nucleus.", "author" : [ { "dropping-particle" : "", "family" : "Tang", "given" : "Rui", "non-dropping-particle" : "", "parse-names" : false, "suffix" : "" }, { "dropping-particle" : "", "family" : "Li", "given" : "Limin", "non-dropping-particle" : "", "parse-names" : false, "suffix" : "" }, { "dropping-particle" : "", "family" : "Zhu", "given" : "Dihan", "non-dropping-particle" : "", "parse-names" : false, "suffix" : "" }, { "dropping-particle" : "", "family" : "Hou", "given" : "Dongxia", "non-dropping-particle" : "", "parse-names" : false, "suffix" : "" }, { "dropping-particle" : "", "family" : "Cao", "given" : "Ting", "non-dropping-particle" : "", "parse-names" : false, "suffix" : "" }, { "dropping-particle" : "", "family" : "Gu", "given" : "Hongwei", "non-dropping-particle" : "", "parse-names" : false, "suffix" : "" }, { "dropping-particle" : "", "family" : "Zhang", "given" : "Jing", "non-dropping-particle" : "", "parse-names" : false, "suffix" : "" }, { "dropping-particle" : "", "family" : "Chen", "given" : "Junyuan", "non-dropping-particle" : "", "parse-names" : false, "suffix" : "" }, { "dropping-particle" : "", "family" : "Zhang", "given" : "Chen-Yu", "non-dropping-particle" : "", "parse-names" : false, "suffix" : "" }, { "dropping-particle" : "", "family" : "Zen", "given" : "Ke", "non-dropping-particle" : "", "parse-names" : false, "suffix" : "" } ], "container-title" : "Cell research", "id" : "ITEM-1", "issue" : "3", "issued" : { "date-parts" : [ [ "2012", "3" ] ] }, "page" : "504-15", "title" : "Mouse miRNA-709 directly regulates miRNA-15a/16-1 biogenesis at the posttranscriptional level in the nucleus: evidence for a microRNA hierarchy system.", "type" : "article-journal", "volume" : "22" }, "uris" : [ "http://www.mendeley.com/documents/?uuid=47f14e04-905e-4869-a80d-bf2165d49629" ] } ], "mendeley" : { "formattedCitation" : "(Tang et al., 2012)", "plainTextFormattedCitation" : "(Tang et al., 2012)", "previouslyFormattedCitation" : "(Tang et al., 2012)" }, "properties" : { "noteIndex" : 0 }, "schema" : "https://github.com/citation-style-language/schema/raw/master/csl-citation.json" }</w:instrText>
      </w:r>
      <w:r w:rsidR="0041550D">
        <w:rPr>
          <w:rFonts w:ascii="Calibri" w:hAnsi="Calibri" w:cs="Arial"/>
        </w:rPr>
        <w:fldChar w:fldCharType="separate"/>
      </w:r>
      <w:r w:rsidR="0041550D" w:rsidRPr="0041550D">
        <w:rPr>
          <w:rFonts w:ascii="Calibri" w:hAnsi="Calibri" w:cs="Arial"/>
          <w:noProof/>
        </w:rPr>
        <w:t>(Tang et al., 2012)</w:t>
      </w:r>
      <w:r w:rsidR="0041550D">
        <w:rPr>
          <w:rFonts w:ascii="Calibri" w:hAnsi="Calibri" w:cs="Arial"/>
        </w:rPr>
        <w:fldChar w:fldCharType="end"/>
      </w:r>
      <w:r w:rsidR="00401434">
        <w:rPr>
          <w:rFonts w:ascii="Calibri" w:hAnsi="Calibri" w:cs="Arial"/>
        </w:rPr>
        <w:t>,</w:t>
      </w:r>
      <w:r w:rsidR="0041550D">
        <w:rPr>
          <w:rFonts w:ascii="Calibri" w:hAnsi="Calibri" w:cs="Arial"/>
        </w:rPr>
        <w:t xml:space="preserve"> </w:t>
      </w:r>
      <w:r>
        <w:rPr>
          <w:rFonts w:ascii="Calibri" w:hAnsi="Calibri" w:cs="Arial"/>
        </w:rPr>
        <w:t xml:space="preserve">as well as splice switching </w:t>
      </w:r>
      <w:r w:rsidR="007755D0">
        <w:rPr>
          <w:rFonts w:ascii="Calibri" w:hAnsi="Calibri" w:cs="Arial"/>
        </w:rPr>
        <w:fldChar w:fldCharType="begin" w:fldLock="1"/>
      </w:r>
      <w:r w:rsidR="007755D0">
        <w:rPr>
          <w:rFonts w:ascii="Calibri" w:hAnsi="Calibri" w:cs="Arial"/>
        </w:rPr>
        <w:instrText>ADDIN CSL_CITATION { "citationItems" : [ { "id" : "ITEM-1", "itemData" : { "DOI" : "10.1093/nar/gkr780", "ISSN" : "1362-4962", "PMID" : "21948593", "abstract" : "Double-stranded RNAs are powerful agents for silencing gene expression in the cytoplasm of mammalian cells. The potential for duplex RNAs to control expression in the nucleus has received less attention. Here, we investigate the ability of small RNAs to redirect splicing. We identify RNAs targeting an aberrant splice site that restore splicing and production of functional protein. RNAs can target sequences within exons or introns and affect the inclusion of exons within SMN2 and dystrophin, genes responsible for spinal muscular atrophy and Duchenne muscular dystrophy, respectively. Duplex RNAs recruit argonaute 2 (AGO2) to pre-mRNA transcripts and altered splicing requires AGO2 expression. AGO2 promotes transcript cleavage in the cytoplasm, but recruitment of AGO2 to pre-mRNAs does not reduce transcript levels, exposing a difference between cytoplasmic and nuclear pathways. Involvement of AGO2 in splicing, a classical nuclear process, reinforces the conclusion from studies of RNA-mediated transcriptional silencing that RNAi pathways can be adapted to function in the mammalian nucleus. These data provide a new strategy for controlling splicing and expand the reach of small RNAs within the nucleus of mammalian cells.", "author" : [ { "dropping-particle" : "", "family" : "Liu", "given" : "Jing", "non-dropping-particle" : "", "parse-names" : false, "suffix" : "" }, { "dropping-particle" : "", "family" : "Hu", "given" : "Jiaxin", "non-dropping-particle" : "", "parse-names" : false, "suffix" : "" }, { "dropping-particle" : "", "family" : "Corey", "given" : "David R", "non-dropping-particle" : "", "parse-names" : false, "suffix" : "" } ], "container-title" : "Nucleic acids research", "id" : "ITEM-1", "issue" : "3", "issued" : { "date-parts" : [ [ "2012", "2" ] ] }, "page" : "1240-50", "title" : "Expanding the action of duplex RNAs into the nucleus: redirecting alternative splicing.", "type" : "article-journal", "volume" : "40" }, "uris" : [ "http://www.mendeley.com/documents/?uuid=fb0a6454-e1e4-472b-9518-95a576cbc260" ] }, { "id" : "ITEM-2", "itemData" : { "DOI" : "10.1038/nsmb.1620", "ISSN" : "1545-9985", "PMID" : "19543290", "abstract" : "When targeting promoter regions, small interfering RNAs (siRNAs) trigger a previously proposed pathway known as transcriptional gene silencing by promoting heterochromatin formation. Here we show that siRNAs targeting intronic or exonic sequences close to an alternative exon regulate the splicing of that exon. The effect occurred in hepatoma and HeLa cells with siRNA antisense strands designed to enter the silencing pathway, suggesting hybridization with nascent pre-mRNA. Unexpectedly, in HeLa cells the sense strands were also effective, suggesting that an endogenous antisense transcript, detectable in HeLa but not in hepatoma cells, acts as a target. The effect depends on Argonaute-1 and is counterbalanced by factors favoring chromatin opening or transcriptional elongation. The increase in heterochromatin marks (dimethylation at Lys9 and trimethylation at Lys27 of histone H3) at the target site, the need for the heterochromatin-associated protein HP1alpha and the reduction in RNA polymerase II processivity suggest a mechanism involving the kinetic coupling of transcription and alternative splicing.", "author" : [ { "dropping-particle" : "", "family" : "All\u00f3", "given" : "Mariano", "non-dropping-particle" : "", "parse-names" : false, "suffix" : "" }, { "dropping-particle" : "", "family" : "Buggiano", "given" : "Valeria", "non-dropping-particle" : "", "parse-names" : false, "suffix" : "" }, { "dropping-particle" : "", "family" : "Fededa", "given" : "Juan P", "non-dropping-particle" : "", "parse-names" : false, "suffix" : "" }, { "dropping-particle" : "", "family" : "Petrillo", "given" : "Ezequiel", "non-dropping-particle" : "", "parse-names" : false, "suffix" : "" }, { "dropping-particle" : "", "family" : "Schor", "given" : "Ignacio", "non-dropping-particle" : "", "parse-names" : false, "suffix" : "" }, { "dropping-particle" : "", "family" : "la Mata", "given" : "Manuel", "non-dropping-particle" : "de", "parse-names" : false, "suffix" : "" }, { "dropping-particle" : "", "family" : "Agirre", "given" : "Eneritz", "non-dropping-particle" : "", "parse-names" : false, "suffix" : "" }, { "dropping-particle" : "", "family" : "Plass", "given" : "Mireya", "non-dropping-particle" : "", "parse-names" : false, "suffix" : "" }, { "dropping-particle" : "", "family" : "Eyras", "given" : "Eduardo", "non-dropping-particle" : "", "parse-names" : false, "suffix" : "" }, { "dropping-particle" : "", "family" : "Elela", "given" : "Sherif Abou", "non-dropping-particle" : "", "parse-names" : false, "suffix" : "" }, { "dropping-particle" : "", "family" : "Klinck", "given" : "Roscoe", "non-dropping-particle" : "", "parse-names" : false, "suffix" : "" }, { "dropping-particle" : "", "family" : "Chabot", "given" : "Benoit", "non-dropping-particle" : "", "parse-names" : false, "suffix" : "" }, { "dropping-particle" : "", "family" : "Kornblihtt", "given" : "Alberto R", "non-dropping-particle" : "", "parse-names" : false, "suffix" : "" } ], "container-title" : "Nature structural &amp; molecular biology", "id" : "ITEM-2", "issue" : "7", "issued" : { "date-parts" : [ [ "2009", "7" ] ] }, "page" : "717-24", "title" : "Control of alternative splicing through siRNA-mediated transcriptional gene silencing.", "type" : "article-journal", "volume" : "16" }, "uris" : [ "http://www.mendeley.com/documents/?uuid=0a1913ff-8132-407a-80b1-9a12c6dbb887" ] }, { "id" : "ITEM-3", "itemData" : { "DOI" : "10.1038/nsmb.2373", "ISSN" : "1545-9985", "PMID" : "22961379", "abstract" : "Argonaute proteins play a major part in transcriptional gene silencing in many organisms, but their role in the nucleus of somatic mammalian cells remains elusive. Here, we have immunopurified human Argonaute-1 and Argonaute-2 (AGO1 and AGO2) chromatin-embedded proteins and found them associated with chromatin modifiers and, notably, with splicing factors. Using the CD44 gene as a model, we show that AGO1 and AGO2 facilitate spliceosome recruitment and modulate RNA polymerase II elongation rate, thereby affecting alternative splicing. Proper AGO1 and AGO2 recruitment to CD44 transcribed regions required the endonuclease Dicer and the chromobox protein HP1\u03b3, and resulted in increased histone H3 lysine 9 methylation on variant exons. Our data thus uncover a new model for the regulation of alternative splicing, in which Argonaute proteins couple RNA polymerase II elongation to chromatin modification.", "author" : [ { "dropping-particle" : "", "family" : "Ameyar-Zazoua", "given" : "Maya", "non-dropping-particle" : "", "parse-names" : false, "suffix" : "" }, { "dropping-particle" : "", "family" : "Rachez", "given" : "Christophe", "non-dropping-particle" : "", "parse-names" : false, "suffix" : "" }, { "dropping-particle" : "", "family" : "Souidi", "given" : "Mouloud", "non-dropping-particle" : "", "parse-names" : false, "suffix" : "" }, { "dropping-particle" : "", "family" : "Robin", "given" : "Philippe", "non-dropping-particle" : "", "parse-names" : false, "suffix" : "" }, { "dropping-particle" : "", "family" : "Fritsch", "given" : "Lauriane", "non-dropping-particle" : "", "parse-names" : false, "suffix" : "" }, { "dropping-particle" : "", "family" : "Young", "given" : "Robert", "non-dropping-particle" : "", "parse-names" : false, "suffix" : "" }, { "dropping-particle" : "", "family" : "Morozova", "given" : "Nadya", "non-dropping-particle" : "", "parse-names" : false, "suffix" : "" }, { "dropping-particle" : "", "family" : "Fenouil", "given" : "Romain", "non-dropping-particle" : "", "parse-names" : false, "suffix" : "" }, { "dropping-particle" : "", "family" : "Descostes", "given" : "Nicolas", "non-dropping-particle" : "", "parse-names" : false, "suffix" : "" }, { "dropping-particle" : "", "family" : "Andrau", "given" : "Jean-Christophe", "non-dropping-particle" : "", "parse-names" : false, "suffix" : "" }, { "dropping-particle" : "", "family" : "Mathieu", "given" : "Jacques", "non-dropping-particle" : "", "parse-names" : false, "suffix" : "" }, { "dropping-particle" : "", "family" : "Hamiche", "given" : "Ali", "non-dropping-particle" : "", "parse-names" : false, "suffix" : "" }, { "dropping-particle" : "", "family" : "Ait-Si-Ali", "given" : "Slimane", "non-dropping-particle" : "", "parse-names" : false, "suffix" : "" }, { "dropping-particle" : "", "family" : "Muchardt", "given" : "Christian", "non-dropping-particle" : "", "parse-names" : false, "suffix" : "" }, { "dropping-particle" : "", "family" : "Batsch\u00e9", "given" : "Eric", "non-dropping-particle" : "", "parse-names" : false, "suffix" : "" }, { "dropping-particle" : "", "family" : "Harel-Bellan", "given" : "Annick", "non-dropping-particle" : "", "parse-names" : false, "suffix" : "" } ], "container-title" : "Nature structural &amp; molecular biology", "id" : "ITEM-3", "issue" : "10", "issued" : { "date-parts" : [ [ "2012", "10" ] ] }, "page" : "998-1004", "title" : "Argonaute proteins couple chromatin silencing to alternative splicing.", "type" : "article-journal", "volume" : "19" }, "uris" : [ "http://www.mendeley.com/documents/?uuid=ee6b28bf-026f-4c7a-8b45-73918712ab4c" ] } ], "mendeley" : { "formattedCitation" : "(All\u00f3 et al., 2009; Ameyar-Zazoua et al., 2012; Jing Liu, Hu, &amp; Corey, 2012)", "plainTextFormattedCitation" : "(All\u00f3 et al., 2009; Ameyar-Zazoua et al., 2012; Jing Liu, Hu, &amp; Corey, 2012)", "previouslyFormattedCitation" : "(All\u00f3 et al., 2009; Ameyar-Zazoua et al., 2012; Jing Liu, Hu, &amp; Corey, 2012)" }, "properties" : { "noteIndex" : 0 }, "schema" : "https://github.com/citation-style-language/schema/raw/master/csl-citation.json" }</w:instrText>
      </w:r>
      <w:r w:rsidR="007755D0">
        <w:rPr>
          <w:rFonts w:ascii="Calibri" w:hAnsi="Calibri" w:cs="Arial"/>
        </w:rPr>
        <w:fldChar w:fldCharType="separate"/>
      </w:r>
      <w:r w:rsidR="007755D0" w:rsidRPr="007755D0">
        <w:rPr>
          <w:rFonts w:ascii="Calibri" w:hAnsi="Calibri" w:cs="Arial"/>
          <w:noProof/>
        </w:rPr>
        <w:t>(Alló et al., 2009; Ameyar-Zazoua et al., 2012; Jing Liu, Hu, &amp; Corey, 2012)</w:t>
      </w:r>
      <w:r w:rsidR="007755D0">
        <w:rPr>
          <w:rFonts w:ascii="Calibri" w:hAnsi="Calibri" w:cs="Arial"/>
        </w:rPr>
        <w:fldChar w:fldCharType="end"/>
      </w:r>
      <w:r w:rsidR="007755D0">
        <w:rPr>
          <w:rFonts w:ascii="Calibri" w:hAnsi="Calibri" w:cs="Arial"/>
        </w:rPr>
        <w:t xml:space="preserve">. </w:t>
      </w:r>
      <w:r>
        <w:rPr>
          <w:rFonts w:ascii="Calibri" w:hAnsi="Calibri" w:cs="Arial"/>
        </w:rPr>
        <w:t>Most of these</w:t>
      </w:r>
      <w:r w:rsidR="00AE56C9" w:rsidRPr="008240DA">
        <w:rPr>
          <w:rFonts w:ascii="Calibri" w:hAnsi="Calibri" w:cs="Arial"/>
        </w:rPr>
        <w:t xml:space="preserve"> functions </w:t>
      </w:r>
      <w:r>
        <w:rPr>
          <w:rFonts w:ascii="Calibri" w:hAnsi="Calibri" w:cs="Arial"/>
        </w:rPr>
        <w:t xml:space="preserve">involve </w:t>
      </w:r>
      <w:r w:rsidR="00AE56C9" w:rsidRPr="008240DA">
        <w:rPr>
          <w:rFonts w:ascii="Calibri" w:hAnsi="Calibri" w:cs="Arial"/>
        </w:rPr>
        <w:t xml:space="preserve">AGO1 </w:t>
      </w:r>
      <w:r w:rsidR="008240DA">
        <w:rPr>
          <w:rFonts w:ascii="Calibri" w:hAnsi="Calibri" w:cs="Arial"/>
        </w:rPr>
        <w:fldChar w:fldCharType="begin" w:fldLock="1"/>
      </w:r>
      <w:r w:rsidR="0041550D">
        <w:rPr>
          <w:rFonts w:ascii="Calibri" w:hAnsi="Calibri" w:cs="Arial"/>
        </w:rPr>
        <w:instrText>ADDIN CSL_CITATION { "citationItems" : [ { "id" : "ITEM-1", "itemData" : { "DOI" : "10.1073/pnas.0808830105", "ISSN" : "1091-6490", "PMID" : "18852463", "abstract" : "MicroRNAs (miRNAs) regulate gene expression at the posttranscriptional level in the cytoplasm, but recent findings suggest additional roles for miRNAs in the nucleus. To address whether miRNAs might transcriptionally silence gene expression, we searched for miRNA target sites proximal to known gene transcription start sites in the human genome. One conserved miRNA, miR-320, is encoded within the promoter region of the cell cycle gene POLR3D in the antisense orientation. We provide evidence of a cis-regulatory role for miR-320 in transcriptional silencing of POLR3D expression. miR-320 directs the association of RNA interference (RNAi) protein Argonaute-1 (AGO1), Polycomb group (PcG) component EZH2, and tri-methyl histone H3 lysine 27 (H3K27me3) with the POLR3D promoter. Our results suggest the existence of an epigenetic mechanism of miRNA-directed transcriptional gene silencing (TGS) in mammalian cells.", "author" : [ { "dropping-particle" : "", "family" : "Kim", "given" : "Daniel H", "non-dropping-particle" : "", "parse-names" : false, "suffix" : "" }, { "dropping-particle" : "", "family" : "Saetrom", "given" : "P\u00e5l", "non-dropping-particle" : "", "parse-names" : false, "suffix" : "" }, { "dropping-particle" : "", "family" : "Sn\u00f8ve", "given" : "Ola", "non-dropping-particle" : "", "parse-names" : false, "suffix" : "" }, { "dropping-particle" : "", "family" : "Rossi", "given" : "John J", "non-dropping-particle" : "", "parse-names" : false, "suffix" : "" } ], "container-title" : "Proceedings of the National Academy of Sciences of the United States of America", "id" : "ITEM-1", "issue" : "42", "issued" : { "date-parts" : [ [ "2008", "10", "21" ] ] }, "page" : "16230-5", "title" : "MicroRNA-directed transcriptional gene silencing in mammalian cells.", "type" : "article-journal", "volume" : "105" }, "uris" : [ "http://www.mendeley.com/documents/?uuid=4267c5cc-bf58-48af-9508-ff1960da2057" ] } ], "mendeley" : { "formattedCitation" : "(Kim et al., 2008)", "plainTextFormattedCitation" : "(Kim et al., 2008)", "previouslyFormattedCitation" : "(Kim et al., 2008)" }, "properties" : { "noteIndex" : 0 }, "schema" : "https://github.com/citation-style-language/schema/raw/master/csl-citation.json" }</w:instrText>
      </w:r>
      <w:r w:rsidR="008240DA">
        <w:rPr>
          <w:rFonts w:ascii="Calibri" w:hAnsi="Calibri" w:cs="Arial"/>
        </w:rPr>
        <w:fldChar w:fldCharType="separate"/>
      </w:r>
      <w:r w:rsidR="008240DA" w:rsidRPr="008240DA">
        <w:rPr>
          <w:rFonts w:ascii="Calibri" w:hAnsi="Calibri" w:cs="Arial"/>
          <w:noProof/>
        </w:rPr>
        <w:t>(Kim et al., 2008)</w:t>
      </w:r>
      <w:r w:rsidR="008240DA">
        <w:rPr>
          <w:rFonts w:ascii="Calibri" w:hAnsi="Calibri" w:cs="Arial"/>
        </w:rPr>
        <w:fldChar w:fldCharType="end"/>
      </w:r>
      <w:r w:rsidR="00D935BC">
        <w:rPr>
          <w:rFonts w:ascii="Calibri" w:hAnsi="Calibri" w:cs="Arial"/>
        </w:rPr>
        <w:t xml:space="preserve">, but may also include AGO2 </w:t>
      </w:r>
      <w:r w:rsidR="00401434">
        <w:rPr>
          <w:rFonts w:ascii="Calibri" w:hAnsi="Calibri" w:cs="Arial"/>
        </w:rPr>
        <w:fldChar w:fldCharType="begin" w:fldLock="1"/>
      </w:r>
      <w:r w:rsidR="00401434">
        <w:rPr>
          <w:rFonts w:ascii="Calibri" w:hAnsi="Calibri" w:cs="Arial"/>
        </w:rPr>
        <w:instrText>ADDIN CSL_CITATION { "citationItems" : [ { "id" : "ITEM-1", "itemData" : { "DOI" : "10.1093/nar/gkn693", "ISSN" : "1362-4962", "PMID" : "18842624", "abstract" : "Studies of RNA interference (RNAi) provide evidence that in addition to the well-characterized cytoplasmic mechanisms, nuclear mechanisms also exist. The mechanism by which the nuclear RNA-induced silencing complex (RISC) is formed in mammalian cells, as well as the relationship between the RNA silencing pathways in nuclear and cytoplasmic compartments is still unknown. Here we show by applying fluorescence correlation and cross-correlation spectroscopy (FCS/FCCS) in vivo that two distinct RISC exist: a large approximately 3 MDa complex in the cytoplasm and a 20-fold smaller complex of approximately 158 kDa in the nucleus. We further show that nuclear RISC, consisting only of Ago2 and a short RNA, is loaded in the cytoplasm and imported into the nucleus. The loaded RISC accumulates in the nucleus depending on the presence of a target, based on an miRNA-like interaction with impaired cleavage of the cognate RNA. Together, these results suggest a new RISC shuttling mechanism between nucleus and cytoplasm ensuring concomitant gene regulation by small RNAs in both compartments.", "author" : [ { "dropping-particle" : "", "family" : "Ohrt", "given" : "Thomas", "non-dropping-particle" : "", "parse-names" : false, "suffix" : "" }, { "dropping-particle" : "", "family" : "M\u00fctze", "given" : "J\u00f6rg", "non-dropping-particle" : "", "parse-names" : false, "suffix" : "" }, { "dropping-particle" : "", "family" : "Staroske", "given" : "Wolfgang", "non-dropping-particle" : "", "parse-names" : false, "suffix" : "" }, { "dropping-particle" : "", "family" : "Weinmann", "given" : "Lasse", "non-dropping-particle" : "", "parse-names" : false, "suffix" : "" }, { "dropping-particle" : "", "family" : "H\u00f6ck", "given" : "Julia", "non-dropping-particle" : "", "parse-names" : false, "suffix" : "" }, { "dropping-particle" : "", "family" : "Crell", "given" : "Karin", "non-dropping-particle" : "", "parse-names" : false, "suffix" : "" }, { "dropping-particle" : "", "family" : "Meister", "given" : "Gunter", "non-dropping-particle" : "", "parse-names" : false, "suffix" : "" }, { "dropping-particle" : "", "family" : "Schwille", "given" : "Petra", "non-dropping-particle" : "", "parse-names" : false, "suffix" : "" } ], "container-title" : "Nucleic acids research", "id" : "ITEM-1", "issue" : "20", "issued" : { "date-parts" : [ [ "2008", "11" ] ] }, "page" : "6439-49", "title" : "Fluorescence correlation spectroscopy and fluorescence cross-correlation spectroscopy reveal the cytoplasmic origination of loaded nuclear RISC in vivo in human cells.", "type" : "article-journal", "volume" : "36" }, "uris" : [ "http://www.mendeley.com/documents/?uuid=19180cdf-23db-4498-877c-2a6156cb80c8" ] }, { "id" : "ITEM-2", "itemData" : { "DOI" : "10.1093/nar/gkv705", "ISSN" : "1362-4962", "PMID" : "26170235", "abstract" : "MicroRNAs (miRNAs) guide Argonaute (Ago) proteins to distinct target mRNAs leading to translational repression and mRNA decay. Ago proteins interact with a member of the GW protein family, referred to as TNRC6A-C in mammals, which coordinate downstream gene-silencing processes. The cytoplasmic functions of TNRC6 and Ago proteins are reasonably well established. Both protein families are found in the nucleus as well. Their detailed nuclear functions, however, remain elusive. Furthermore, it is not clear which import routes Ago and TNRC6 proteins take into the nucleus. Using different nuclear transport assays, we find that Ago as well as TNRC6 proteins shuttle between the cytoplasm and the nucleus. While import receptors might function redundantly to transport Ago2, we demonstrate that TNRC6 proteins are imported by the Importin-\u03b2 pathway. Finally, we show that nuclear localization of both Ago2 and TNRC6 proteins can depend on each other suggesting actively balanced cytoplasmic Ago - TNRC6 levels.", "author" : [ { "dropping-particle" : "", "family" : "Schraivogel", "given" : "Daniel", "non-dropping-particle" : "", "parse-names" : false, "suffix" : "" }, { "dropping-particle" : "", "family" : "Schindler", "given" : "Susann G", "non-dropping-particle" : "", "parse-names" : false, "suffix" : "" }, { "dropping-particle" : "", "family" : "Danner", "given" : "Johannes", "non-dropping-particle" : "", "parse-names" : false, "suffix" : "" }, { "dropping-particle" : "", "family" : "Kremmer", "given" : "Elisabeth", "non-dropping-particle" : "", "parse-names" : false, "suffix" : "" }, { "dropping-particle" : "", "family" : "Pfaff", "given" : "Janina", "non-dropping-particle" : "", "parse-names" : false, "suffix" : "" }, { "dropping-particle" : "", "family" : "Hannus", "given" : "Stefan", "non-dropping-particle" : "", "parse-names" : false, "suffix" : "" }, { "dropping-particle" : "", "family" : "Depping", "given" : "Reinhard", "non-dropping-particle" : "", "parse-names" : false, "suffix" : "" }, { "dropping-particle" : "", "family" : "Meister", "given" : "Gunter", "non-dropping-particle" : "", "parse-names" : false, "suffix" : "" } ], "container-title" : "Nucleic acids research", "id" : "ITEM-2", "issue" : "15", "issued" : { "date-parts" : [ [ "2015", "9", "3" ] ] }, "page" : "7447-61", "title" : "Importin-\u03b2 facilitates nuclear import of human GW proteins and balances cytoplasmic gene silencing protein levels.", "type" : "article-journal", "volume" : "43" }, "uris" : [ "http://www.mendeley.com/documents/?uuid=0fad97f3-678e-4d9e-b29d-0bd6e1d0526e" ] } ], "mendeley" : { "formattedCitation" : "(Ohrt et al., 2008; Schraivogel et al., 2015)", "plainTextFormattedCitation" : "(Ohrt et al., 2008; Schraivogel et al., 2015)", "previouslyFormattedCitation" : "(Ohrt et al., 2008; Schraivogel et al., 2015)" }, "properties" : { "noteIndex" : 0 }, "schema" : "https://github.com/citation-style-language/schema/raw/master/csl-citation.json" }</w:instrText>
      </w:r>
      <w:r w:rsidR="00401434">
        <w:rPr>
          <w:rFonts w:ascii="Calibri" w:hAnsi="Calibri" w:cs="Arial"/>
        </w:rPr>
        <w:fldChar w:fldCharType="separate"/>
      </w:r>
      <w:r w:rsidR="00401434" w:rsidRPr="00401434">
        <w:rPr>
          <w:rFonts w:ascii="Calibri" w:hAnsi="Calibri" w:cs="Arial"/>
          <w:noProof/>
        </w:rPr>
        <w:t>(Ohrt et al., 2008; Schraivogel et al., 2015)</w:t>
      </w:r>
      <w:r w:rsidR="00401434">
        <w:rPr>
          <w:rFonts w:ascii="Calibri" w:hAnsi="Calibri" w:cs="Arial"/>
        </w:rPr>
        <w:fldChar w:fldCharType="end"/>
      </w:r>
      <w:r w:rsidR="00401434">
        <w:rPr>
          <w:rFonts w:ascii="Calibri" w:hAnsi="Calibri" w:cs="Arial"/>
        </w:rPr>
        <w:t xml:space="preserve"> in a slicer-positive </w:t>
      </w:r>
      <w:r w:rsidR="00AD776D">
        <w:rPr>
          <w:rFonts w:ascii="Calibri" w:hAnsi="Calibri" w:cs="Arial"/>
        </w:rPr>
        <w:fldChar w:fldCharType="begin" w:fldLock="1"/>
      </w:r>
      <w:r w:rsidR="00AD776D">
        <w:rPr>
          <w:rFonts w:ascii="Calibri" w:hAnsi="Calibri" w:cs="Arial"/>
        </w:rPr>
        <w:instrText>ADDIN CSL_CITATION { "citationItems" : [ { "id" : "ITEM-1", "itemData" : { "DOI" : "10.1016/j.celrep.2013.12.013", "ISSN" : "2211-1247", "PMID" : "24388755", "abstract" : "RNAi is widely appreciated as a powerful regulator of mRNA translation in the cytoplasm of mammalian cells. However, the presence and activity of RNAi factors in the mammalian nucleus has been the subject of considerable debate. Here, we show that Argonaute-2 (Ago2) and RNAi factors Dicer, TRBP, and TRNC6A/GW182 are in the human nucleus and associate together in multiprotein complexes. Small RNAs can silence nuclear RNA and guide site-specific\u00a0cleavage of the targeted RNA, demonstrating that RNAi can function in the human nucleus. Nuclear Dicer is active and miRNAs are bound to nuclear Ago2, consistent with the existence of nuclear miRNA pathways. Notably, we do not detect loading of duplex small RNAs in nuclear extracts and known loading factors are absent. These results extend RNAi into the mammalian nucleus and suggest that regulation of RNAi via small RNA loading of Ago2 differs between the cytoplasm and the nucleus.", "author" : [ { "dropping-particle" : "", "family" : "Gagnon", "given" : "Keith T", "non-dropping-particle" : "", "parse-names" : false, "suffix" : "" }, { "dropping-particle" : "", "family" : "Li", "given" : "Liande", "non-dropping-particle" : "", "parse-names" : false, "suffix" : "" }, { "dropping-particle" : "", "family" : "Chu", "given" : "Yongjun", "non-dropping-particle" : "", "parse-names" : false, "suffix" : "" }, { "dropping-particle" : "", "family" : "Janowski", "given" : "Bethany A", "non-dropping-particle" : "", "parse-names" : false, "suffix" : "" }, { "dropping-particle" : "", "family" : "Corey", "given" : "David R", "non-dropping-particle" : "", "parse-names" : false, "suffix" : "" } ], "container-title" : "Cell reports", "id" : "ITEM-1", "issue" : "1", "issued" : { "date-parts" : [ [ "2014", "1", "16" ] ] }, "page" : "211-21", "title" : "RNAi factors are present and active in human cell nuclei.", "type" : "article-journal", "volume" : "6" }, "uris" : [ "http://www.mendeley.com/documents/?uuid=3ff3f905-c190-4043-930c-002d9a67cab0" ] } ], "mendeley" : { "formattedCitation" : "(Gagnon, Li, Chu, Janowski, &amp; Corey, 2014)", "plainTextFormattedCitation" : "(Gagnon, Li, Chu, Janowski, &amp; Corey, 2014)", "previouslyFormattedCitation" : "(Gagnon, Li, Chu, Janowski, &amp; Corey, 2014)" }, "properties" : { "noteIndex" : 0 }, "schema" : "https://github.com/citation-style-language/schema/raw/master/csl-citation.json" }</w:instrText>
      </w:r>
      <w:r w:rsidR="00AD776D">
        <w:rPr>
          <w:rFonts w:ascii="Calibri" w:hAnsi="Calibri" w:cs="Arial"/>
        </w:rPr>
        <w:fldChar w:fldCharType="separate"/>
      </w:r>
      <w:r w:rsidR="00AD776D" w:rsidRPr="00401434">
        <w:rPr>
          <w:rFonts w:ascii="Calibri" w:hAnsi="Calibri" w:cs="Arial"/>
          <w:noProof/>
        </w:rPr>
        <w:t>(Gagnon, Li, Chu, Janowski, &amp; Corey, 2014)</w:t>
      </w:r>
      <w:r w:rsidR="00AD776D">
        <w:rPr>
          <w:rFonts w:ascii="Calibri" w:hAnsi="Calibri" w:cs="Arial"/>
        </w:rPr>
        <w:fldChar w:fldCharType="end"/>
      </w:r>
      <w:r w:rsidR="00AD776D">
        <w:rPr>
          <w:rFonts w:ascii="Calibri" w:hAnsi="Calibri" w:cs="Arial"/>
        </w:rPr>
        <w:t xml:space="preserve"> or negative </w:t>
      </w:r>
      <w:r w:rsidR="00AD776D">
        <w:rPr>
          <w:rFonts w:ascii="Calibri" w:hAnsi="Calibri" w:cs="Arial"/>
        </w:rPr>
        <w:fldChar w:fldCharType="begin" w:fldLock="1"/>
      </w:r>
      <w:r w:rsidR="00AF7825">
        <w:rPr>
          <w:rFonts w:ascii="Calibri" w:hAnsi="Calibri" w:cs="Arial"/>
        </w:rPr>
        <w:instrText>ADDIN CSL_CITATION { "citationItems" : [ { "id" : "ITEM-1", "itemData" : { "DOI" : "10.1093/nar/gkt777", "ISSN" : "1362-4962", "PMID" : "23999091", "abstract" : "Although many long non-coding RNAs (lncRNAs) have been discovered, their function and their association with RNAi factors in the nucleus have remained obscure. Here, we identify RNA transcripts that overlap the cyclooxygenase-2 (COX-2) promoter and contain two adjacent binding sites for an endogenous miRNA, miR-589. We find that miR-589 binds the promoter RNA and activates COX-2 transcription. In addition to miR-589, fully complementary duplex RNAs that target the COX-2 promoter transcript activate COX-2 transcription. Activation by small RNA requires RNAi factors argonaute-2 (AGO2) and GW182, but does not require AGO2-mediated cleavage of the promoter RNA. Instead, the promoter RNA functions as a scaffold. Binding of AGO2 protein/small RNA complexes to the promoter RNA triggers gene activation. Gene looping allows interactions between the promoters of COX-2 and phospholipase A2 (PLA2G4A), an adjacent pro-inflammatory pathway gene that produces arachidonic acid, the substrate for COX-2 protein. miR-589 and fully complementary small RNAs regulate both COX-2 and PLA2G4A gene expression, revealing an unexpected connection between key steps of the eicosanoid signaling pathway. The work demonstrates the potential for RNA to coordinate locus-dependent assembly of related genes to form functional operons through cis-looping.", "author" : [ { "dropping-particle" : "", "family" : "Matsui", "given" : "Masayuki", "non-dropping-particle" : "", "parse-names" : false, "suffix" : "" }, { "dropping-particle" : "", "family" : "Chu", "given" : "Yongjun", "non-dropping-particle" : "", "parse-names" : false, "suffix" : "" }, { "dropping-particle" : "", "family" : "Zhang", "given" : "Huiying", "non-dropping-particle" : "", "parse-names" : false, "suffix" : "" }, { "dropping-particle" : "", "family" : "Gagnon", "given" : "Keith T", "non-dropping-particle" : "", "parse-names" : false, "suffix" : "" }, { "dropping-particle" : "", "family" : "Shaikh", "given" : "Sarfraz", "non-dropping-particle" : "", "parse-names" : false, "suffix" : "" }, { "dropping-particle" : "", "family" : "Kuchimanchi", "given" : "Satya", "non-dropping-particle" : "", "parse-names" : false, "suffix" : "" }, { "dropping-particle" : "", "family" : "Manoharan", "given" : "Muthiah", "non-dropping-particle" : "", "parse-names" : false, "suffix" : "" }, { "dropping-particle" : "", "family" : "Corey", "given" : "David R", "non-dropping-particle" : "", "parse-names" : false, "suffix" : "" }, { "dropping-particle" : "", "family" : "Janowski", "given" : "Bethany A", "non-dropping-particle" : "", "parse-names" : false, "suffix" : "" } ], "container-title" : "Nucleic acids research", "id" : "ITEM-1", "issue" : "22", "issued" : { "date-parts" : [ [ "2013", "12" ] ] }, "page" : "10086-109", "title" : "Promoter RNA links transcriptional regulation of inflammatory pathway genes.", "type" : "article-journal", "volume" : "41" }, "uris" : [ "http://www.mendeley.com/documents/?uuid=d3031a6a-a1e9-4e47-9a64-9d6694b6ba0f" ] } ], "mendeley" : { "formattedCitation" : "(Matsui, Chu, et al., 2013)", "plainTextFormattedCitation" : "(Matsui, Chu, et al., 2013)", "previouslyFormattedCitation" : "(Matsui, Chu, et al., 2013)" }, "properties" : { "noteIndex" : 0 }, "schema" : "https://github.com/citation-style-language/schema/raw/master/csl-citation.json" }</w:instrText>
      </w:r>
      <w:r w:rsidR="00AD776D">
        <w:rPr>
          <w:rFonts w:ascii="Calibri" w:hAnsi="Calibri" w:cs="Arial"/>
        </w:rPr>
        <w:fldChar w:fldCharType="separate"/>
      </w:r>
      <w:r w:rsidR="00AD776D" w:rsidRPr="00AD776D">
        <w:rPr>
          <w:rFonts w:ascii="Calibri" w:hAnsi="Calibri" w:cs="Arial"/>
          <w:noProof/>
        </w:rPr>
        <w:t>(Matsui, Chu, et al., 2013)</w:t>
      </w:r>
      <w:r w:rsidR="00AD776D">
        <w:rPr>
          <w:rFonts w:ascii="Calibri" w:hAnsi="Calibri" w:cs="Arial"/>
        </w:rPr>
        <w:fldChar w:fldCharType="end"/>
      </w:r>
      <w:r w:rsidR="00AD776D">
        <w:rPr>
          <w:rFonts w:ascii="Calibri" w:hAnsi="Calibri" w:cs="Arial"/>
        </w:rPr>
        <w:t xml:space="preserve"> </w:t>
      </w:r>
      <w:r>
        <w:rPr>
          <w:rFonts w:ascii="Calibri" w:hAnsi="Calibri" w:cs="Arial"/>
        </w:rPr>
        <w:t>fashion</w:t>
      </w:r>
      <w:r w:rsidR="007755D0">
        <w:rPr>
          <w:rFonts w:ascii="Calibri" w:hAnsi="Calibri" w:cs="Arial"/>
        </w:rPr>
        <w:t xml:space="preserve">. </w:t>
      </w:r>
      <w:r>
        <w:rPr>
          <w:rFonts w:ascii="Calibri" w:hAnsi="Calibri" w:cs="Arial"/>
        </w:rPr>
        <w:t xml:space="preserve">Functional partners of nuclear RISC include </w:t>
      </w:r>
      <w:r w:rsidR="00401434">
        <w:rPr>
          <w:rFonts w:ascii="Calibri" w:hAnsi="Calibri" w:cs="Arial"/>
        </w:rPr>
        <w:t xml:space="preserve">transcriptional proteins </w:t>
      </w:r>
      <w:r w:rsidR="00AD776D">
        <w:rPr>
          <w:rFonts w:ascii="Calibri" w:hAnsi="Calibri" w:cs="Arial"/>
        </w:rPr>
        <w:fldChar w:fldCharType="begin" w:fldLock="1"/>
      </w:r>
      <w:r w:rsidR="002A25D9">
        <w:rPr>
          <w:rFonts w:ascii="Calibri" w:hAnsi="Calibri" w:cs="Arial"/>
        </w:rPr>
        <w:instrText>ADDIN CSL_CITATION { "citationItems" : [ { "id" : "ITEM-1", "itemData" : { "DOI" : "10.1261/rna.045633.114", "ISSN" : "1469-9001", "PMID" : "25336585", "abstract" : "The TATA box represents one of the most prevalent core promoters where the pre-initiation complexes (PICs) for gene transcription are assembled. This assembly is crucial for transcription initiation and well regulated. Here we show that some cellular microRNAs (miRNAs) are associated with RNA polymerase II (Pol II) and TATA box-binding protein (TBP) in human peripheral blood mononuclear cells (PBMCs). Among them, let-7i sequence specifically binds to the TATA-box motif of interleukin-2 (IL-2) gene and elevates IL-2 mRNA and protein production in CD4(+) T-lymphocytes in vitro and in vivo. Through direct interaction with the TATA-box motif, let-7i facilitates the PIC assembly and transcription initiation of IL-2 promoter. Several other cellular miRNAs, such as mir-138, mir-92a or mir-181d, also enhance the promoter activities via binding to the TATA-box motifs of insulin, calcitonin or c-myc, respectively. In agreement with the finding that an HIV-1-encoded miRNA could enhance viral replication through targeting the viral promoter TATA-box motif, our data demonstrate that the interaction with core transcription machinery is a novel mechanism for miRNAs to regulate gene expression.", "author" : [ { "dropping-particle" : "", "family" : "Zhang", "given" : "Yijun", "non-dropping-particle" : "", "parse-names" : false, "suffix" : "" }, { "dropping-particle" : "", "family" : "Fan", "given" : "Miaomiao", "non-dropping-particle" : "", "parse-names" : false, "suffix" : "" }, { "dropping-particle" : "", "family" : "Zhang", "given" : "Xue", "non-dropping-particle" : "", "parse-names" : false, "suffix" : "" }, { "dropping-particle" : "", "family" : "Huang", "given" : "Feng", "non-dropping-particle" : "", "parse-names" : false, "suffix" : "" }, { "dropping-particle" : "", "family" : "Wu", "given" : "Kang", "non-dropping-particle" : "", "parse-names" : false, "suffix" : "" }, { "dropping-particle" : "", "family" : "Zhang", "given" : "Junsong", "non-dropping-particle" : "", "parse-names" : false, "suffix" : "" }, { "dropping-particle" : "", "family" : "Liu", "given" : "Jun", "non-dropping-particle" : "", "parse-names" : false, "suffix" : "" }, { "dropping-particle" : "", "family" : "Huang", "given" : "Zhuoqiong", "non-dropping-particle" : "", "parse-names" : false, "suffix" : "" }, { "dropping-particle" : "", "family" : "Luo", "given" : "Haihua", "non-dropping-particle" : "", "parse-names" : false, "suffix" : "" }, { "dropping-particle" : "", "family" : "Tao", "given" : "Liang", "non-dropping-particle" : "", "parse-names" : false, "suffix" : "" }, { "dropping-particle" : "", "family" : "Zhang", "given" : "Hui", "non-dropping-particle" : "", "parse-names" : false, "suffix" : "" } ], "container-title" : "RNA (New York, N.Y.)", "id" : "ITEM-1", "issue" : "12", "issued" : { "date-parts" : [ [ "2014", "12" ] ] }, "page" : "1878-89", "title" : "Cellular microRNAs up-regulate transcription via interaction with promoter TATA-box motifs.", "type" : "article-journal", "volume" : "20" }, "uris" : [ "http://www.mendeley.com/documents/?uuid=53831265-cfc5-4c3f-bae9-4be93194a6a8" ] }, { "id" : "ITEM-2", "itemData" : { "DOI" : "10.1093/nar/gkt777", "ISSN" : "1362-4962", "PMID" : "23999091", "abstract" : "Although many long non-coding RNAs (lncRNAs) have been discovered, their function and their association with RNAi factors in the nucleus have remained obscure. Here, we identify RNA transcripts that overlap the cyclooxygenase-2 (COX-2) promoter and contain two adjacent binding sites for an endogenous miRNA, miR-589. We find that miR-589 binds the promoter RNA and activates COX-2 transcription. In addition to miR-589, fully complementary duplex RNAs that target the COX-2 promoter transcript activate COX-2 transcription. Activation by small RNA requires RNAi factors argonaute-2 (AGO2) and GW182, but does not require AGO2-mediated cleavage of the promoter RNA. Instead, the promoter RNA functions as a scaffold. Binding of AGO2 protein/small RNA complexes to the promoter RNA triggers gene activation. Gene looping allows interactions between the promoters of COX-2 and phospholipase A2 (PLA2G4A), an adjacent pro-inflammatory pathway gene that produces arachidonic acid, the substrate for COX-2 protein. miR-589 and fully complementary small RNAs regulate both COX-2 and PLA2G4A gene expression, revealing an unexpected connection between key steps of the eicosanoid signaling pathway. The work demonstrates the potential for RNA to coordinate locus-dependent assembly of related genes to form functional operons through cis-looping.", "author" : [ { "dropping-particle" : "", "family" : "Matsui", "given" : "Masayuki", "non-dropping-particle" : "", "parse-names" : false, "suffix" : "" }, { "dropping-particle" : "", "family" : "Chu", "given" : "Yongjun", "non-dropping-particle" : "", "parse-names" : false, "suffix" : "" }, { "dropping-particle" : "", "family" : "Zhang", "given" : "Huiying", "non-dropping-particle" : "", "parse-names" : false, "suffix" : "" }, { "dropping-particle" : "", "family" : "Gagnon", "given" : "Keith T", "non-dropping-particle" : "", "parse-names" : false, "suffix" : "" }, { "dropping-particle" : "", "family" : "Shaikh", "given" : "Sarfraz", "non-dropping-particle" : "", "parse-names" : false, "suffix" : "" }, { "dropping-particle" : "", "family" : "Kuchimanchi", "given" : "Satya", "non-dropping-particle" : "", "parse-names" : false, "suffix" : "" }, { "dropping-particle" : "", "family" : "Manoharan", "given" : "Muthiah", "non-dropping-particle" : "", "parse-names" : false, "suffix" : "" }, { "dropping-particle" : "", "family" : "Corey", "given" : "David R", "non-dropping-particle" : "", "parse-names" : false, "suffix" : "" }, { "dropping-particle" : "", "family" : "Janowski", "given" : "Bethany A", "non-dropping-particle" : "", "parse-names" : false, "suffix" : "" } ], "container-title" : "Nucleic acids research", "id" : "ITEM-2", "issue" : "22", "issued" : { "date-parts" : [ [ "2013", "12" ] ] }, "page" : "10086-109", "title" : "Promoter RNA links transcriptional regulation of inflammatory pathway genes.", "type" : "article-journal", "volume" : "41" }, "uris" : [ "http://www.mendeley.com/documents/?uuid=d3031a6a-a1e9-4e47-9a64-9d6694b6ba0f" ] } ], "mendeley" : { "formattedCitation" : "(Matsui, Chu, et al., 2013; Y. Zhang et al., 2014)", "plainTextFormattedCitation" : "(Matsui, Chu, et al., 2013; Y. Zhang et al., 2014)", "previouslyFormattedCitation" : "(Matsui, Chu, et al., 2013; Y. Zhang et al., 2014)" }, "properties" : { "noteIndex" : 0 }, "schema" : "https://github.com/citation-style-language/schema/raw/master/csl-citation.json" }</w:instrText>
      </w:r>
      <w:r w:rsidR="00AD776D">
        <w:rPr>
          <w:rFonts w:ascii="Calibri" w:hAnsi="Calibri" w:cs="Arial"/>
        </w:rPr>
        <w:fldChar w:fldCharType="separate"/>
      </w:r>
      <w:r w:rsidR="00AC0940" w:rsidRPr="00AC0940">
        <w:rPr>
          <w:rFonts w:ascii="Calibri" w:hAnsi="Calibri" w:cs="Arial"/>
          <w:noProof/>
        </w:rPr>
        <w:t>(Matsui, Chu, et al., 2013; Y. Zhang et al., 2014)</w:t>
      </w:r>
      <w:r w:rsidR="00AD776D">
        <w:rPr>
          <w:rFonts w:ascii="Calibri" w:hAnsi="Calibri" w:cs="Arial"/>
        </w:rPr>
        <w:fldChar w:fldCharType="end"/>
      </w:r>
      <w:r w:rsidR="00401434">
        <w:rPr>
          <w:rFonts w:ascii="Calibri" w:hAnsi="Calibri" w:cs="Arial"/>
        </w:rPr>
        <w:t>,</w:t>
      </w:r>
      <w:r w:rsidR="00AE56C9" w:rsidRPr="008240DA">
        <w:rPr>
          <w:rFonts w:ascii="Calibri" w:hAnsi="Calibri" w:cs="Arial"/>
        </w:rPr>
        <w:t xml:space="preserve"> promoter-associated an</w:t>
      </w:r>
      <w:r w:rsidR="00FA119C">
        <w:rPr>
          <w:rFonts w:ascii="Calibri" w:hAnsi="Calibri" w:cs="Arial"/>
        </w:rPr>
        <w:t>d natural antisense transcripts</w:t>
      </w:r>
      <w:r w:rsidR="00D83624" w:rsidRPr="00D83624">
        <w:rPr>
          <w:rFonts w:ascii="Calibri" w:hAnsi="Calibri" w:cs="Arial"/>
        </w:rPr>
        <w:t xml:space="preserve"> </w:t>
      </w:r>
      <w:r w:rsidR="007755D0">
        <w:rPr>
          <w:rFonts w:ascii="Calibri" w:hAnsi="Calibri" w:cs="Arial"/>
        </w:rPr>
        <w:fldChar w:fldCharType="begin" w:fldLock="1"/>
      </w:r>
      <w:r w:rsidR="00A71DD1">
        <w:rPr>
          <w:rFonts w:ascii="Calibri" w:hAnsi="Calibri" w:cs="Arial"/>
        </w:rPr>
        <w:instrText>ADDIN CSL_CITATION { "citationItems" : [ { "id" : "ITEM-1", "itemData" : { "DOI" : "10.1371/journal.pgen.1000258", "ISSN" : "1553-7404", "PMID" : "19008947", "abstract" : "Small RNAs targeted to gene promoters in human cells have been shown to modulate both transcriptional gene suppression and activation. However, the mechanism involved in transcriptional activation has remained poorly defined, and an endogenous RNA trigger for transcriptional gene silencing has yet to be identified. Described here is an explanation for siRNA-directed transcriptional gene activation, as well as a role for non-coding antisense RNAs as effector molecules driving transcriptional gene silencing. Transcriptional activation of p21 gene expression was determined to be the result of Argonaute 2-dependent, post-transcriptional silencing of a p21-specific antisense transcript, which functions in Argonaute 1-mediated transcriptional control of p21 mRNA expression. The data presented here suggest that in human cells, bidirectional transcription is an endogenous gene regulatory mechanism whereby an antisense RNA directs epigenetic regulatory complexes to a sense promoter, resulting in RNA-directed epigenetic gene regulation. The observations presented here support the notion that epigenetic silencing of tumor suppressor genes, such as p21, may be the result of an imbalance in bidirectional transcription levels. This imbalance allows the unchecked antisense RNA to direct silent state epigenetic marks to the sense promoter, resulting in stable transcriptional gene silencing.", "author" : [ { "dropping-particle" : "V.", "family" : "Morris", "given" : "Kevin", "non-dropping-particle" : "", "parse-names" : false, "suffix" : "" }, { "dropping-particle" : "", "family" : "Santoso", "given" : "Sharon", "non-dropping-particle" : "", "parse-names" : false, "suffix" : "" }, { "dropping-particle" : "", "family" : "Turner", "given" : "Anne-Marie", "non-dropping-particle" : "", "parse-names" : false, "suffix" : "" }, { "dropping-particle" : "", "family" : "Pastori", "given" : "Chiara", "non-dropping-particle" : "", "parse-names" : false, "suffix" : "" }, { "dropping-particle" : "", "family" : "Hawkins", "given" : "Peter G.", "non-dropping-particle" : "", "parse-names" : false, "suffix" : "" } ], "container-title" : "PLoS Genetics", "editor" : [ { "dropping-particle" : "", "family" : "McManus", "given" : "Michael T.", "non-dropping-particle" : "", "parse-names" : false, "suffix" : "" } ], "id" : "ITEM-1", "issue" : "11", "issued" : { "date-parts" : [ [ "2008", "11", "14" ] ] }, "page" : "e1000258", "title" : "Bidirectional Transcription Directs Both Transcriptional Gene Activation and Suppression in Human Cells", "type" : "article-journal", "volume" : "4" }, "uris" : [ "http://www.mendeley.com/documents/?uuid=bb48fc58-94e3-4b64-b8fb-4fb9afb0e714" ] }, { "id" : "ITEM-2", "itemData" : { "DOI" : "10.1038/nsmb.1444", "ISSN" : "1545-9985", "PMID" : "18604220", "abstract" : "Agents that activate expression of specific genes to probe cellular pathways or alleviate disease would go beyond existing approaches for controlling gene expression. Duplex RNAs complementary to promoter regions can repress or activate gene expression. The mechanism of these promoter-directed antigene RNAs (agRNAs) has been obscure. Other work has revealed noncoding transcripts that overlap mRNAs. The function of these noncoding transcripts is also not understood. Here we link these two sets of enigmatic results. We find that antisense transcripts are the target for agRNAs that activate or repress expression of progesterone receptor (PR). agRNAs recruit Argonaute proteins to PR antisense transcripts and shift localization of the heterogeneous nuclear ribonucleoprotein-k, RNA polymerase II and heterochromatin protein 1 gamma. Our data demonstrate that antisense transcripts have a central role in recognition of the PR promoter by both activating and inhibitory agRNAs.", "author" : [ { "dropping-particle" : "", "family" : "Schwartz", "given" : "Jacob C", "non-dropping-particle" : "", "parse-names" : false, "suffix" : "" }, { "dropping-particle" : "", "family" : "Younger", "given" : "Scott T", "non-dropping-particle" : "", "parse-names" : false, "suffix" : "" }, { "dropping-particle" : "", "family" : "Nguyen", "given" : "Ngoc-Bich", "non-dropping-particle" : "", "parse-names" : false, "suffix" : "" }, { "dropping-particle" : "", "family" : "Hardy", "given" : "Daniel B", "non-dropping-particle" : "", "parse-names" : false, "suffix" : "" }, { "dropping-particle" : "", "family" : "Monia", "given" : "Brett P", "non-dropping-particle" : "", "parse-names" : false, "suffix" : "" }, { "dropping-particle" : "", "family" : "Corey", "given" : "David R", "non-dropping-particle" : "", "parse-names" : false, "suffix" : "" }, { "dropping-particle" : "", "family" : "Janowski", "given" : "Bethany A", "non-dropping-particle" : "", "parse-names" : false, "suffix" : "" } ], "container-title" : "Nature structural &amp; molecular biology", "id" : "ITEM-2", "issue" : "8", "issued" : { "date-parts" : [ [ "2008", "8" ] ] }, "page" : "842-8", "title" : "Antisense transcripts are targets for activating small RNAs.", "type" : "article-journal", "volume" : "15" }, "uris" : [ "http://www.mendeley.com/documents/?uuid=9569595d-a4af-4737-84d9-866fd90d9057" ] }, { "id" : "ITEM-3", "itemData" : { "DOI" : "10.1093/nar/gkt777", "ISSN" : "1362-4962", "PMID" : "23999091", "abstract" : "Although many long non-coding RNAs (lncRNAs) have been discovered, their function and their association with RNAi factors in the nucleus have remained obscure. Here, we identify RNA transcripts that overlap the cyclooxygenase-2 (COX-2) promoter and contain two adjacent binding sites for an endogenous miRNA, miR-589. We find that miR-589 binds the promoter RNA and activates COX-2 transcription. In addition to miR-589, fully complementary duplex RNAs that target the COX-2 promoter transcript activate COX-2 transcription. Activation by small RNA requires RNAi factors argonaute-2 (AGO2) and GW182, but does not require AGO2-mediated cleavage of the promoter RNA. Instead, the promoter RNA functions as a scaffold. Binding of AGO2 protein/small RNA complexes to the promoter RNA triggers gene activation. Gene looping allows interactions between the promoters of COX-2 and phospholipase A2 (PLA2G4A), an adjacent pro-inflammatory pathway gene that produces arachidonic acid, the substrate for COX-2 protein. miR-589 and fully complementary small RNAs regulate both COX-2 and PLA2G4A gene expression, revealing an unexpected connection between key steps of the eicosanoid signaling pathway. The work demonstrates the potential for RNA to coordinate locus-dependent assembly of related genes to form functional operons through cis-looping.", "author" : [ { "dropping-particle" : "", "family" : "Matsui", "given" : "Masayuki", "non-dropping-particle" : "", "parse-names" : false, "suffix" : "" }, { "dropping-particle" : "", "family" : "Chu", "given" : "Yongjun", "non-dropping-particle" : "", "parse-names" : false, "suffix" : "" }, { "dropping-particle" : "", "family" : "Zhang", "given" : "Huiying", "non-dropping-particle" : "", "parse-names" : false, "suffix" : "" }, { "dropping-particle" : "", "family" : "Gagnon", "given" : "Keith T", "non-dropping-particle" : "", "parse-names" : false, "suffix" : "" }, { "dropping-particle" : "", "family" : "Shaikh", "given" : "Sarfraz", "non-dropping-particle" : "", "parse-names" : false, "suffix" : "" }, { "dropping-particle" : "", "family" : "Kuchimanchi", "given" : "Satya", "non-dropping-particle" : "", "parse-names" : false, "suffix" : "" }, { "dropping-particle" : "", "family" : "Manoharan", "given" : "Muthiah", "non-dropping-particle" : "", "parse-names" : false, "suffix" : "" }, { "dropping-particle" : "", "family" : "Corey", "given" : "David R", "non-dropping-particle" : "", "parse-names" : false, "suffix" : "" }, { "dropping-particle" : "", "family" : "Janowski", "given" : "Bethany A", "non-dropping-particle" : "", "parse-names" : false, "suffix" : "" } ], "container-title" : "Nucleic acids research", "id" : "ITEM-3", "issue" : "22", "issued" : { "date-parts" : [ [ "2013", "12" ] ] }, "page" : "10086-109", "title" : "Promoter RNA links transcriptional regulation of inflammatory pathway genes.", "type" : "article-journal", "volume" : "41" }, "uris" : [ "http://www.mendeley.com/documents/?uuid=d3031a6a-a1e9-4e47-9a64-9d6694b6ba0f" ] } ], "mendeley" : { "formattedCitation" : "(Matsui, Chu, et al., 2013; Morris et al., 2008; Schwartz et al., 2008)", "plainTextFormattedCitation" : "(Matsui, Chu, et al., 2013; Morris et al., 2008; Schwartz et al., 2008)", "previouslyFormattedCitation" : "(Matsui, Chu, et al., 2013; Morris et al., 2008; Schwartz et al., 2008)" }, "properties" : { "noteIndex" : 0 }, "schema" : "https://github.com/citation-style-language/schema/raw/master/csl-citation.json" }</w:instrText>
      </w:r>
      <w:r w:rsidR="007755D0">
        <w:rPr>
          <w:rFonts w:ascii="Calibri" w:hAnsi="Calibri" w:cs="Arial"/>
        </w:rPr>
        <w:fldChar w:fldCharType="separate"/>
      </w:r>
      <w:r w:rsidR="007755D0" w:rsidRPr="007755D0">
        <w:rPr>
          <w:rFonts w:ascii="Calibri" w:hAnsi="Calibri" w:cs="Arial"/>
          <w:noProof/>
        </w:rPr>
        <w:t>(Matsui, Chu, et al., 2013; Morris et al., 2008; Schwartz et al., 2008)</w:t>
      </w:r>
      <w:r w:rsidR="007755D0">
        <w:rPr>
          <w:rFonts w:ascii="Calibri" w:hAnsi="Calibri" w:cs="Arial"/>
        </w:rPr>
        <w:fldChar w:fldCharType="end"/>
      </w:r>
      <w:r w:rsidR="00AE56C9" w:rsidRPr="008240DA">
        <w:rPr>
          <w:rFonts w:ascii="Calibri" w:hAnsi="Calibri" w:cs="Arial"/>
        </w:rPr>
        <w:t xml:space="preserve"> o</w:t>
      </w:r>
      <w:r w:rsidR="00D935BC">
        <w:rPr>
          <w:rFonts w:ascii="Calibri" w:hAnsi="Calibri" w:cs="Arial"/>
        </w:rPr>
        <w:t>r intergenic ncRNA</w:t>
      </w:r>
      <w:r w:rsidR="00AD776D">
        <w:rPr>
          <w:rFonts w:ascii="Calibri" w:hAnsi="Calibri" w:cs="Arial"/>
        </w:rPr>
        <w:t xml:space="preserve"> </w:t>
      </w:r>
      <w:r w:rsidR="00AD776D">
        <w:rPr>
          <w:rFonts w:ascii="Calibri" w:hAnsi="Calibri" w:cs="Arial"/>
        </w:rPr>
        <w:fldChar w:fldCharType="begin" w:fldLock="1"/>
      </w:r>
      <w:r w:rsidR="00AF7825">
        <w:rPr>
          <w:rFonts w:ascii="Calibri" w:hAnsi="Calibri" w:cs="Arial"/>
        </w:rPr>
        <w:instrText>ADDIN CSL_CITATION { "citationItems" : [ { "id" : "ITEM-1", "itemData" : { "DOI" : "10.1021/cb300490j", "ISSN" : "1554-8937", "PMID" : "23082936", "abstract" : "RNAi using single-strand RNA would provide new options for therapeutic development and for investigating critical questions of mechanism. Using chemically modified single-strands, we test the hypothesis that single-stranded RNAs can engage the RNAi pathway and silence gene transcription. We find that a chemically modified single-stranded silencing RNA (ss-siRNA) designed to be complementary to a long noncoding RNA (lncRNA) requires argonaute protein, functions through the RNAi pathway, and inhibits gene transcription. These data expand the use of single-stranded RNA to cell nuclei.", "author" : [ { "dropping-particle" : "", "family" : "Matsui", "given" : "Masayuki", "non-dropping-particle" : "", "parse-names" : false, "suffix" : "" }, { "dropping-particle" : "", "family" : "Prakash", "given" : "Thazha P", "non-dropping-particle" : "", "parse-names" : false, "suffix" : "" }, { "dropping-particle" : "", "family" : "Corey", "given" : "David R", "non-dropping-particle" : "", "parse-names" : false, "suffix" : "" } ], "container-title" : "ACS chemical biology", "id" : "ITEM-1", "issue" : "1", "issued" : { "date-parts" : [ [ "2013", "1", "18" ] ] }, "language" : "en", "page" : "122-6", "publisher" : "NIH Public Access", "title" : "Transcriptional silencing by single-stranded RNAs targeting a noncoding RNA that overlaps a gene promoter.", "type" : "article-journal", "volume" : "8" }, "uris" : [ "http://www.mendeley.com/documents/?uuid=faccc1cf-60e9-4b21-94b7-333bb51f37a6" ] } ], "mendeley" : { "formattedCitation" : "(Matsui, Prakash, &amp; Corey, 2013)", "plainTextFormattedCitation" : "(Matsui, Prakash, &amp; Corey, 2013)", "previouslyFormattedCitation" : "(Matsui, Prakash, &amp; Corey, 2013)" }, "properties" : { "noteIndex" : 0 }, "schema" : "https://github.com/citation-style-language/schema/raw/master/csl-citation.json" }</w:instrText>
      </w:r>
      <w:r w:rsidR="00AD776D">
        <w:rPr>
          <w:rFonts w:ascii="Calibri" w:hAnsi="Calibri" w:cs="Arial"/>
        </w:rPr>
        <w:fldChar w:fldCharType="separate"/>
      </w:r>
      <w:r w:rsidR="00AD776D" w:rsidRPr="00AD776D">
        <w:rPr>
          <w:rFonts w:ascii="Calibri" w:hAnsi="Calibri" w:cs="Arial"/>
          <w:noProof/>
        </w:rPr>
        <w:t>(Matsui, Prakash, &amp; Corey, 2013)</w:t>
      </w:r>
      <w:r w:rsidR="00AD776D">
        <w:rPr>
          <w:rFonts w:ascii="Calibri" w:hAnsi="Calibri" w:cs="Arial"/>
        </w:rPr>
        <w:fldChar w:fldCharType="end"/>
      </w:r>
      <w:r w:rsidR="00D935BC">
        <w:rPr>
          <w:rFonts w:ascii="Calibri" w:hAnsi="Calibri" w:cs="Arial"/>
        </w:rPr>
        <w:t xml:space="preserve">. </w:t>
      </w:r>
      <w:r>
        <w:rPr>
          <w:rFonts w:ascii="Calibri" w:hAnsi="Calibri" w:cs="Arial"/>
        </w:rPr>
        <w:t>Interestingly</w:t>
      </w:r>
      <w:r w:rsidR="00AF7825">
        <w:rPr>
          <w:rFonts w:ascii="Calibri" w:hAnsi="Calibri" w:cs="Arial"/>
        </w:rPr>
        <w:t xml:space="preserve">, some </w:t>
      </w:r>
      <w:r w:rsidR="00FA119C">
        <w:rPr>
          <w:rFonts w:ascii="Calibri" w:hAnsi="Calibri" w:cs="Arial"/>
        </w:rPr>
        <w:t>functions</w:t>
      </w:r>
      <w:r w:rsidR="00AF7825">
        <w:rPr>
          <w:rFonts w:ascii="Calibri" w:hAnsi="Calibri" w:cs="Arial"/>
        </w:rPr>
        <w:t xml:space="preserve"> appear to integrate </w:t>
      </w:r>
      <w:r w:rsidR="00FA119C">
        <w:rPr>
          <w:rFonts w:ascii="Calibri" w:hAnsi="Calibri" w:cs="Arial"/>
        </w:rPr>
        <w:t xml:space="preserve">the </w:t>
      </w:r>
      <w:r w:rsidR="00AF7825">
        <w:rPr>
          <w:rFonts w:ascii="Calibri" w:hAnsi="Calibri" w:cs="Arial"/>
        </w:rPr>
        <w:t xml:space="preserve">spliceosome, RNA polymerase elongation and chromatin remodeling </w:t>
      </w:r>
      <w:r w:rsidR="00AF7825">
        <w:rPr>
          <w:rFonts w:ascii="Calibri" w:hAnsi="Calibri" w:cs="Arial"/>
        </w:rPr>
        <w:fldChar w:fldCharType="begin" w:fldLock="1"/>
      </w:r>
      <w:r w:rsidR="008E4EFA">
        <w:rPr>
          <w:rFonts w:ascii="Calibri" w:hAnsi="Calibri" w:cs="Arial"/>
        </w:rPr>
        <w:instrText>ADDIN CSL_CITATION { "citationItems" : [ { "id" : "ITEM-1", "itemData" : { "DOI" : "10.1038/nsmb.2373", "ISSN" : "1545-9985", "PMID" : "22961379", "abstract" : "Argonaute proteins play a major part in transcriptional gene silencing in many organisms, but their role in the nucleus of somatic mammalian cells remains elusive. Here, we have immunopurified human Argonaute-1 and Argonaute-2 (AGO1 and AGO2) chromatin-embedded proteins and found them associated with chromatin modifiers and, notably, with splicing factors. Using the CD44 gene as a model, we show that AGO1 and AGO2 facilitate spliceosome recruitment and modulate RNA polymerase II elongation rate, thereby affecting alternative splicing. Proper AGO1 and AGO2 recruitment to CD44 transcribed regions required the endonuclease Dicer and the chromobox protein HP1\u03b3, and resulted in increased histone H3 lysine 9 methylation on variant exons. Our data thus uncover a new model for the regulation of alternative splicing, in which Argonaute proteins couple RNA polymerase II elongation to chromatin modification.", "author" : [ { "dropping-particle" : "", "family" : "Ameyar-Zazoua", "given" : "Maya", "non-dropping-particle" : "", "parse-names" : false, "suffix" : "" }, { "dropping-particle" : "", "family" : "Rachez", "given" : "Christophe", "non-dropping-particle" : "", "parse-names" : false, "suffix" : "" }, { "dropping-particle" : "", "family" : "Souidi", "given" : "Mouloud", "non-dropping-particle" : "", "parse-names" : false, "suffix" : "" }, { "dropping-particle" : "", "family" : "Robin", "given" : "Philippe", "non-dropping-particle" : "", "parse-names" : false, "suffix" : "" }, { "dropping-particle" : "", "family" : "Fritsch", "given" : "Lauriane", "non-dropping-particle" : "", "parse-names" : false, "suffix" : "" }, { "dropping-particle" : "", "family" : "Young", "given" : "Robert", "non-dropping-particle" : "", "parse-names" : false, "suffix" : "" }, { "dropping-particle" : "", "family" : "Morozova", "given" : "Nadya", "non-dropping-particle" : "", "parse-names" : false, "suffix" : "" }, { "dropping-particle" : "", "family" : "Fenouil", "given" : "Romain", "non-dropping-particle" : "", "parse-names" : false, "suffix" : "" }, { "dropping-particle" : "", "family" : "Descostes", "given" : "Nicolas", "non-dropping-particle" : "", "parse-names" : false, "suffix" : "" }, { "dropping-particle" : "", "family" : "Andrau", "given" : "Jean-Christophe", "non-dropping-particle" : "", "parse-names" : false, "suffix" : "" }, { "dropping-particle" : "", "family" : "Mathieu", "given" : "Jacques", "non-dropping-particle" : "", "parse-names" : false, "suffix" : "" }, { "dropping-particle" : "", "family" : "Hamiche", "given" : "Ali", "non-dropping-particle" : "", "parse-names" : false, "suffix" : "" }, { "dropping-particle" : "", "family" : "Ait-Si-Ali", "given" : "Slimane", "non-dropping-particle" : "", "parse-names" : false, "suffix" : "" }, { "dropping-particle" : "", "family" : "Muchardt", "given" : "Christian", "non-dropping-particle" : "", "parse-names" : false, "suffix" : "" }, { "dropping-particle" : "", "family" : "Batsch\u00e9", "given" : "Eric", "non-dropping-particle" : "", "parse-names" : false, "suffix" : "" }, { "dropping-particle" : "", "family" : "Harel-Bellan", "given" : "Annick", "non-dropping-particle" : "", "parse-names" : false, "suffix" : "" } ], "container-title" : "Nature structural &amp; molecular biology", "id" : "ITEM-1", "issue" : "10", "issued" : { "date-parts" : [ [ "2012", "10" ] ] }, "page" : "998-1004", "title" : "Argonaute proteins couple chromatin silencing to alternative splicing.", "type" : "article-journal", "volume" : "19" }, "uris" : [ "http://www.mendeley.com/documents/?uuid=ee6b28bf-026f-4c7a-8b45-73918712ab4c" ] } ], "mendeley" : { "formattedCitation" : "(Ameyar-Zazoua et al., 2012)", "plainTextFormattedCitation" : "(Ameyar-Zazoua et al., 2012)", "previouslyFormattedCitation" : "(Ameyar-Zazoua et al., 2012)" }, "properties" : { "noteIndex" : 0 }, "schema" : "https://github.com/citation-style-language/schema/raw/master/csl-citation.json" }</w:instrText>
      </w:r>
      <w:r w:rsidR="00AF7825">
        <w:rPr>
          <w:rFonts w:ascii="Calibri" w:hAnsi="Calibri" w:cs="Arial"/>
        </w:rPr>
        <w:fldChar w:fldCharType="separate"/>
      </w:r>
      <w:r w:rsidR="00AF7825" w:rsidRPr="00AF7825">
        <w:rPr>
          <w:rFonts w:ascii="Calibri" w:hAnsi="Calibri" w:cs="Arial"/>
          <w:noProof/>
        </w:rPr>
        <w:t>(Ameyar-Zazoua et al., 2012)</w:t>
      </w:r>
      <w:r w:rsidR="00AF7825">
        <w:rPr>
          <w:rFonts w:ascii="Calibri" w:hAnsi="Calibri" w:cs="Arial"/>
        </w:rPr>
        <w:fldChar w:fldCharType="end"/>
      </w:r>
      <w:r w:rsidR="008E4EFA">
        <w:rPr>
          <w:rFonts w:ascii="Calibri" w:hAnsi="Calibri" w:cs="Arial"/>
        </w:rPr>
        <w:t xml:space="preserve">, and </w:t>
      </w:r>
      <w:r>
        <w:rPr>
          <w:rFonts w:ascii="Calibri" w:hAnsi="Calibri" w:cs="Arial"/>
        </w:rPr>
        <w:t>even</w:t>
      </w:r>
      <w:r w:rsidR="008E4EFA">
        <w:rPr>
          <w:rFonts w:ascii="Calibri" w:hAnsi="Calibri" w:cs="Arial"/>
        </w:rPr>
        <w:t xml:space="preserve"> participate in </w:t>
      </w:r>
      <w:r>
        <w:rPr>
          <w:rFonts w:ascii="Calibri" w:hAnsi="Calibri" w:cs="Arial"/>
        </w:rPr>
        <w:t>ds</w:t>
      </w:r>
      <w:r w:rsidR="008E4EFA">
        <w:rPr>
          <w:rFonts w:ascii="Calibri" w:hAnsi="Calibri" w:cs="Arial"/>
        </w:rPr>
        <w:t xml:space="preserve">DNA break repair </w:t>
      </w:r>
      <w:r w:rsidR="008E4EFA">
        <w:rPr>
          <w:rFonts w:ascii="Calibri" w:hAnsi="Calibri" w:cs="Arial"/>
        </w:rPr>
        <w:fldChar w:fldCharType="begin" w:fldLock="1"/>
      </w:r>
      <w:r w:rsidR="008E4EFA">
        <w:rPr>
          <w:rFonts w:ascii="Calibri" w:hAnsi="Calibri" w:cs="Arial"/>
        </w:rPr>
        <w:instrText>ADDIN CSL_CITATION { "citationItems" : [ { "id" : "ITEM-1", "itemData" : { "DOI" : "10.1016/j.cell.2012.03.002", "ISSN" : "1097-4172", "PMID" : "22445173", "abstract" : "Eukaryotes have evolved complex mechanisms to repair DNA double-strand breaks (DSBs) through coordinated actions of protein sensors, transducers, and effectors. Here we show that \u223c21-nucleotide small RNAs are produced from the sequences in the vicinity of DSB sites in Arabidopsis and in human cells. We refer to these as diRNAs for DSB-induced small RNAs. In Arabidopsis, the biogenesis of diRNAs requires the PI3 kinase ATR, RNA polymerase IV (Pol IV), and Dicer-like proteins. Mutations in these proteins as well as in Pol V cause significant reduction in DSB repair efficiency. In Arabidopsis, diRNAs are recruited by Argonaute 2 (AGO2) to mediate DSB repair. Knock down of Dicer or Ago2 in human cells reduces DSB repair. Our findings reveal a conserved function for small RNAs in the DSB repair pathway. We propose that diRNAs may function as guide molecules directing chromatin modifications or the recruitment of protein complexes to DSB sites to facilitate repair.", "author" : [ { "dropping-particle" : "", "family" : "Wei", "given" : "Wei", "non-dropping-particle" : "", "parse-names" : false, "suffix" : "" }, { "dropping-particle" : "", "family" : "Ba", "given" : "Zhaoqing", "non-dropping-particle" : "", "parse-names" : false, "suffix" : "" }, { "dropping-particle" : "", "family" : "Gao", "given" : "Min", "non-dropping-particle" : "", "parse-names" : false, "suffix" : "" }, { "dropping-particle" : "", "family" : "Wu", "given" : "Yang", "non-dropping-particle" : "", "parse-names" : false, "suffix" : "" }, { "dropping-particle" : "", "family" : "Ma", "given" : "Yanting", "non-dropping-particle" : "", "parse-names" : false, "suffix" : "" }, { "dropping-particle" : "", "family" : "Amiard", "given" : "Simon", "non-dropping-particle" : "", "parse-names" : false, "suffix" : "" }, { "dropping-particle" : "", "family" : "White", "given" : "Charles I", "non-dropping-particle" : "", "parse-names" : false, "suffix" : "" }, { "dropping-particle" : "", "family" : "Rendtlew Danielsen", "given" : "Jannie Michaela", "non-dropping-particle" : "", "parse-names" : false, "suffix" : "" }, { "dropping-particle" : "", "family" : "Yang", "given" : "Yun-Gui", "non-dropping-particle" : "", "parse-names" : false, "suffix" : "" }, { "dropping-particle" : "", "family" : "Qi", "given" : "Yijun", "non-dropping-particle" : "", "parse-names" : false, "suffix" : "" } ], "container-title" : "Cell", "id" : "ITEM-1", "issue" : "1", "issued" : { "date-parts" : [ [ "2012", "3", "30" ] ] }, "language" : "English", "page" : "101-12", "publisher" : "Elsevier", "title" : "A role for small RNAs in DNA double-strand break repair.", "type" : "article-journal", "volume" : "149" }, "uris" : [ "http://www.mendeley.com/documents/?uuid=86944930-f81b-47a7-8b55-48a784361eb6" ] } ], "mendeley" : { "formattedCitation" : "(Wei et al., 2012)", "plainTextFormattedCitation" : "(Wei et al., 2012)", "previouslyFormattedCitation" : "(Wei et al., 2012)" }, "properties" : { "noteIndex" : 0 }, "schema" : "https://github.com/citation-style-language/schema/raw/master/csl-citation.json" }</w:instrText>
      </w:r>
      <w:r w:rsidR="008E4EFA">
        <w:rPr>
          <w:rFonts w:ascii="Calibri" w:hAnsi="Calibri" w:cs="Arial"/>
        </w:rPr>
        <w:fldChar w:fldCharType="separate"/>
      </w:r>
      <w:r w:rsidR="008E4EFA" w:rsidRPr="008E4EFA">
        <w:rPr>
          <w:rFonts w:ascii="Calibri" w:hAnsi="Calibri" w:cs="Arial"/>
          <w:noProof/>
        </w:rPr>
        <w:t>(Wei et al., 2012)</w:t>
      </w:r>
      <w:r w:rsidR="008E4EFA">
        <w:rPr>
          <w:rFonts w:ascii="Calibri" w:hAnsi="Calibri" w:cs="Arial"/>
        </w:rPr>
        <w:fldChar w:fldCharType="end"/>
      </w:r>
      <w:r w:rsidR="00FA119C">
        <w:rPr>
          <w:rFonts w:ascii="Calibri" w:hAnsi="Calibri" w:cs="Arial"/>
        </w:rPr>
        <w:t>.</w:t>
      </w:r>
      <w:r w:rsidR="008E4EFA">
        <w:rPr>
          <w:rFonts w:ascii="Calibri" w:hAnsi="Calibri" w:cs="Arial"/>
        </w:rPr>
        <w:t xml:space="preserve"> </w:t>
      </w:r>
    </w:p>
    <w:p w14:paraId="1C45B7FA" w14:textId="77777777" w:rsidR="00F90B92" w:rsidRDefault="00F90B92" w:rsidP="005837A4">
      <w:pPr>
        <w:spacing w:line="480" w:lineRule="auto"/>
        <w:jc w:val="both"/>
        <w:rPr>
          <w:rFonts w:ascii="Calibri" w:hAnsi="Calibri" w:cs="Arial"/>
        </w:rPr>
      </w:pPr>
    </w:p>
    <w:p w14:paraId="5F99E18F" w14:textId="47D53C29" w:rsidR="00F90B92" w:rsidRPr="00C4343E" w:rsidRDefault="00F90B92" w:rsidP="005837A4">
      <w:pPr>
        <w:spacing w:line="480" w:lineRule="auto"/>
        <w:jc w:val="both"/>
        <w:rPr>
          <w:rFonts w:ascii="Calibri" w:hAnsi="Calibri" w:cs="Arial"/>
        </w:rPr>
      </w:pPr>
      <w:r>
        <w:rPr>
          <w:rFonts w:ascii="Calibri" w:hAnsi="Calibri" w:cs="Arial"/>
        </w:rPr>
        <w:t>Beyond these functions, viruses have also been shown to encode RNAi mediators and manipulate RNAi homeostasis. Thus, RISC can be used to prevent</w:t>
      </w:r>
      <w:r w:rsidRPr="003B3941">
        <w:rPr>
          <w:rFonts w:ascii="Calibri" w:hAnsi="Calibri" w:cs="Arial"/>
        </w:rPr>
        <w:t xml:space="preserve"> 5’-3’ exonuclease cleavage </w:t>
      </w:r>
      <w:r w:rsidRPr="003B3941">
        <w:rPr>
          <w:rFonts w:ascii="Calibri" w:hAnsi="Calibri" w:cs="Arial"/>
        </w:rPr>
        <w:fldChar w:fldCharType="begin" w:fldLock="1"/>
      </w:r>
      <w:r w:rsidRPr="003B3941">
        <w:rPr>
          <w:rFonts w:ascii="Calibri" w:hAnsi="Calibri" w:cs="Arial"/>
        </w:rPr>
        <w:instrText>ADDIN CSL_CITATION { "citationItems" : [ { "id" : "ITEM-1", "itemData" : { "DOI" : "10.1128/JVI.03631-14", "ISSN" : "1098-5514", "PMID" : "25855736", "abstract" : "UNLABELLED: miR-122 is a liver-specific microRNA (miRNA) that binds to two sites (S1 and S2) on the 5' untranslated region (UTR) of the hepatitis C virus (HCV) genome and promotes the viral life cycle. It positively affects viral RNA stability, translation, and replication, but the mechanism is not well understood. To unravel the roles of miR-122 binding at each site alone or in combination, we employed miR-122 binding site mutant viral RNAs, Hep3B cells (which lack detectable miR-122), and complementation with wild-type miR-122, an miR-122 with the matching mutation, or both. We found that miR-122 binding at either site alone increased replication equally, while binding at both sites had a cooperative effect. Xrn1 depletion rescued miR-122-unbound full-length RNA replication to detectable levels but not to miR-122-bound levels, confirming that miR-122 protects HCV RNA from Xrn1, a cytoplasmic 5'-to-3' exoribonuclease, but also has additional functions. In cells depleted of Xrn1, replication levels of S1-bound HCV RNA were slightly higher than S2-bound RNA levels, suggesting that both sites contribute, but their contributions may be unequal when the need for protection from Xrn1 is reduced. miR-122 binding at S1 or S2 also increased translation equally, but the effect was abolished by Xrn1 knockdown, suggesting that the influence of miR-122 on HCV translation reflects protection from Xrn1 degradation. Our results show that occupation of each miR-122 binding site contributes equally and cooperatively to HCV replication but suggest somewhat unequal contributions of each site to Xrn1 protection and additional functions of miR-122.\n\nIMPORTANCE: The functions of miR-122 in the promotion of the HCV life cycle are not fully understood. Here, we show that binding of miR-122 to each of the two binding sites in the HCV 5' UTR contributes equally to HCV replication and that binding to both sites can function cooperatively. This suggests that active Ago2-miR-122 complexes assemble at each site and can cooperatively promote the association and/or function of adjacent complexes, similar to what has been proposed for translation suppression by adjacent miRNA binding sites. We also confirm a role for miR-122 in protection from Xrn1 and provide evidence that miR-122 has additional functions in the HCV life cycle unrelated to Xrn1. Finally, we show that each binding site may contribute unequally to Xrn1 protection and other miR-122 functions.", "author" : [ { "dropping-particle" : "", "family" : "Thibault", "given" : "Patricia A", "non-dropping-particle" : "", "parse-names" : false, "suffix" : "" }, { "dropping-particle" : "", "family" : "Huys", "given" : "Adam", "non-dropping-particle" : "", "parse-names" : false, "suffix" : "" }, { "dropping-particle" : "", "family" : "Amador-Ca\u00f1izares", "given" : "Yalena", "non-dropping-particle" : "", "parse-names" : false, "suffix" : "" }, { "dropping-particle" : "", "family" : "Gailius", "given" : "Julie E", "non-dropping-particle" : "", "parse-names" : false, "suffix" : "" }, { "dropping-particle" : "", "family" : "Pinel", "given" : "Dayna E", "non-dropping-particle" : "", "parse-names" : false, "suffix" : "" }, { "dropping-particle" : "", "family" : "Wilson", "given" : "Joyce A", "non-dropping-particle" : "", "parse-names" : false, "suffix" : "" } ], "container-title" : "Journal of virology", "id" : "ITEM-1", "issue" : "12", "issued" : { "date-parts" : [ [ "2015", "6" ] ] }, "page" : "6294-311", "title" : "Regulation of Hepatitis C Virus Genome Replication by Xrn1 and MicroRNA-122 Binding to Individual Sites in the 5' Untranslated Region.", "type" : "article-journal", "volume" : "89" }, "uris" : [ "http://www.mendeley.com/documents/?uuid=42a18404-b9c7-425d-b465-d39ca5a0711c" ] }, { "id" : "ITEM-2", "itemData" : { "DOI" : "10.1016/j.chom.2014.07.006", "ISSN" : "1934-6069", "PMID" : "25121753", "abstract" : "The abundant, liver-specific microRNA miR-122 forms extensive base-pairing interactions with the 5' noncoding region of the hepatitis C virus (HCV) RNA genome, protecting the viral RNA from degradation. We discovered that the 5'-3' exoribonuclease Xrn2, which plays a crucial role in the transcription termination of RNA polymerase II, modulates HCV RNA abundance in the cytoplasm, but is counteracted by miR-122-mediated protection. Specifically, Xrn2 depletion results in increased accumulation of\u00a0viral RNA, while Xrn2 overexpression diminishes viral RNA abundance. Depletion of Xrn2 did not alter\u00a0translation or replication rates of HCV RNA, but affected viral RNA stability. Importantly, during sequestration of miR-122, Xrn2 depletion restored HCV RNA abundance, arguing that Xrn2 depletion eliminates the miR-122 requirement for viral RNA stability. Thus, Xrn2 has a cytoplasmic, antiviral function against HCV that is counteracted by HCV's subversion of miR-122 to form a protective oligomeric complex at the 5' end of the viral genome.", "author" : [ { "dropping-particle" : "", "family" : "Sedano", "given" : "Cecilia D", "non-dropping-particle" : "", "parse-names" : false, "suffix" : "" }, { "dropping-particle" : "", "family" : "Sarnow", "given" : "Peter", "non-dropping-particle" : "", "parse-names" : false, "suffix" : "" } ], "container-title" : "Cell host &amp; microbe", "id" : "ITEM-2", "issue" : "2", "issued" : { "date-parts" : [ [ "2014", "8", "13" ] ] }, "page" : "257-64", "title" : "Hepatitis C virus subverts liver-specific miR-122 to protect the viral genome from exoribonuclease Xrn2.", "type" : "article-journal", "volume" : "16" }, "uris" : [ "http://www.mendeley.com/documents/?uuid=ecb2f2f6-78e1-4771-9e12-2a048c463e63" ] } ], "mendeley" : { "formattedCitation" : "(Sedano &amp; Sarnow, 2014; Thibault et al., 2015)", "plainTextFormattedCitation" : "(Sedano &amp; Sarnow, 2014; Thibault et al., 2015)", "previouslyFormattedCitation" : "(Sedano &amp; Sarnow, 2014; Thibault et al., 2015)" }, "properties" : { "noteIndex" : 0 }, "schema" : "https://github.com/citation-style-language/schema/raw/master/csl-citation.json" }</w:instrText>
      </w:r>
      <w:r w:rsidRPr="003B3941">
        <w:rPr>
          <w:rFonts w:ascii="Calibri" w:hAnsi="Calibri" w:cs="Arial"/>
        </w:rPr>
        <w:fldChar w:fldCharType="separate"/>
      </w:r>
      <w:r w:rsidRPr="003B3941">
        <w:rPr>
          <w:rFonts w:ascii="Calibri" w:hAnsi="Calibri" w:cs="Arial"/>
          <w:noProof/>
        </w:rPr>
        <w:t>(Sedano &amp; Sarnow, 2014; Thibault et al., 2015)</w:t>
      </w:r>
      <w:r w:rsidRPr="003B3941">
        <w:rPr>
          <w:rFonts w:ascii="Calibri" w:hAnsi="Calibri" w:cs="Arial"/>
        </w:rPr>
        <w:fldChar w:fldCharType="end"/>
      </w:r>
      <w:r w:rsidRPr="003B3941">
        <w:rPr>
          <w:rFonts w:ascii="Calibri" w:hAnsi="Calibri" w:cs="Arial"/>
        </w:rPr>
        <w:t xml:space="preserve"> </w:t>
      </w:r>
      <w:r>
        <w:rPr>
          <w:rFonts w:ascii="Calibri" w:hAnsi="Calibri" w:cs="Arial"/>
        </w:rPr>
        <w:t>of RNA viral genomes, promote virus</w:t>
      </w:r>
      <w:r w:rsidRPr="003B3941">
        <w:rPr>
          <w:rFonts w:ascii="Calibri" w:hAnsi="Calibri" w:cs="Arial"/>
        </w:rPr>
        <w:t xml:space="preserve"> replication </w:t>
      </w:r>
      <w:r w:rsidRPr="003B3941">
        <w:rPr>
          <w:rFonts w:ascii="Calibri" w:hAnsi="Calibri" w:cs="Arial"/>
        </w:rPr>
        <w:fldChar w:fldCharType="begin" w:fldLock="1"/>
      </w:r>
      <w:r w:rsidRPr="003B3941">
        <w:rPr>
          <w:rFonts w:ascii="Calibri" w:hAnsi="Calibri" w:cs="Arial"/>
        </w:rPr>
        <w:instrText>ADDIN CSL_CITATION { "citationItems" : [ { "id" : "ITEM-1", "itemData" : { "DOI" : "10.1074/mcp.M115.050344", "ISSN" : "1535-9484", "PMID" : "26330540", "abstract" : "Heterogeneous ribonucleoprotein K (hnRNP K) binds to the 5' untranslated region of the hepatitis C virus (HCV) and is required for HCV RNA replication. The hnRNP K binding site on HCV RNA overlaps with the sequence recognized by the liver-specific microRNA, miR-122. A proteome chip containing ~17,000 unique human proteins probed with miR-122 identified hnRNP K as one of the strong binding proteins. In vitro kinetic study showed hnRNP K binds miR-122 with a nanomolar dissociation constant, in which the short pyrimidine-rich residues in the central and 3' portion of the miR-122 were required for hnRNP K binding. In liver hepatocytes, miR-122 formed a co-precipitable complex with hnRNP K. High throughput Illumina DNA sequencing of the RNAs precipitated with hnRNP K was enriched for mature miR-122. SiRNA knockdown of hnRNP K in human hepatocytes reduced the levels of miR-122. These results show that hnRNP K is a cellular protein that binds and affects the accumulation of miR-122. Its ability to also bind HCV RNA near the miR-122 binding site suggests a role for miR-122 recognition of HCV RNA.", "author" : [ { "dropping-particle" : "", "family" : "Fan", "given" : "Baochang", "non-dropping-particle" : "", "parse-names" : false, "suffix" : "" }, { "dropping-particle" : "", "family" : "Sutandy", "given" : "F X Reymond", "non-dropping-particle" : "", "parse-names" : false, "suffix" : "" }, { "dropping-particle" : "", "family" : "Syu", "given" : "Guan-Da", "non-dropping-particle" : "", "parse-names" : false, "suffix" : "" }, { "dropping-particle" : "", "family" : "Middleton", "given" : "Stefani", "non-dropping-particle" : "", "parse-names" : false, "suffix" : "" }, { "dropping-particle" : "", "family" : "Yi", "given" : "Guanghui", "non-dropping-particle" : "", "parse-names" : false, "suffix" : "" }, { "dropping-particle" : "", "family" : "Lu", "given" : "Kuan-Yi", "non-dropping-particle" : "", "parse-names" : false, "suffix" : "" }, { "dropping-particle" : "", "family" : "Chen", "given" : "Chien-Sheng", "non-dropping-particle" : "", "parse-names" : false, "suffix" : "" }, { "dropping-particle" : "", "family" : "Kao", "given" : "C Cheng", "non-dropping-particle" : "", "parse-names" : false, "suffix" : "" } ], "container-title" : "Molecular &amp; cellular proteomics : MCP", "id" : "ITEM-1", "issued" : { "date-parts" : [ [ "2015", "9", "1" ] ] }, "title" : "Heterogeneous ribonucleoprotein K (hnRNP K) binds miR-122, a mature liver-specific microRNA required for hepatitis C virus replication.", "type" : "article-journal" }, "uris" : [ "http://www.mendeley.com/documents/?uuid=8391b257-c5aa-401a-9f06-45848dcc6cda" ] } ], "mendeley" : { "formattedCitation" : "(Fan et al., 2015)", "plainTextFormattedCitation" : "(Fan et al., 2015)", "previouslyFormattedCitation" : "(Fan et al., 2015)" }, "properties" : { "noteIndex" : 0 }, "schema" : "https://github.com/citation-style-language/schema/raw/master/csl-citation.json" }</w:instrText>
      </w:r>
      <w:r w:rsidRPr="003B3941">
        <w:rPr>
          <w:rFonts w:ascii="Calibri" w:hAnsi="Calibri" w:cs="Arial"/>
        </w:rPr>
        <w:fldChar w:fldCharType="separate"/>
      </w:r>
      <w:r w:rsidRPr="003B3941">
        <w:rPr>
          <w:rFonts w:ascii="Calibri" w:hAnsi="Calibri" w:cs="Arial"/>
          <w:noProof/>
        </w:rPr>
        <w:t>(Fan et al., 2015)</w:t>
      </w:r>
      <w:r w:rsidRPr="003B3941">
        <w:rPr>
          <w:rFonts w:ascii="Calibri" w:hAnsi="Calibri" w:cs="Arial"/>
        </w:rPr>
        <w:fldChar w:fldCharType="end"/>
      </w:r>
      <w:r>
        <w:rPr>
          <w:rFonts w:ascii="Calibri" w:hAnsi="Calibri" w:cs="Arial"/>
        </w:rPr>
        <w:t>, regulate</w:t>
      </w:r>
      <w:r w:rsidRPr="003B3941">
        <w:rPr>
          <w:rFonts w:ascii="Calibri" w:hAnsi="Calibri" w:cs="Arial"/>
        </w:rPr>
        <w:t xml:space="preserve"> viral polyprotein translation </w:t>
      </w:r>
      <w:r w:rsidRPr="003B3941">
        <w:rPr>
          <w:rFonts w:ascii="Calibri" w:hAnsi="Calibri" w:cs="Arial"/>
        </w:rPr>
        <w:fldChar w:fldCharType="begin" w:fldLock="1"/>
      </w:r>
      <w:r w:rsidRPr="003B3941">
        <w:rPr>
          <w:rFonts w:ascii="Calibri" w:hAnsi="Calibri" w:cs="Arial"/>
        </w:rPr>
        <w:instrText>ADDIN CSL_CITATION { "citationItems" : [ { "id" : "ITEM-1", "itemData" : { "DOI" : "10.1016/j.chom.2014.12.014", "ISSN" : "1934-6069", "PMID" : "25662750", "abstract" : "The liver-specific microRNA, miR-122, stabilizes hepatitis C virus (HCV) RNA genomes by recruiting host argonaute 2 (AGO2) to the 5' end and preventing decay mediated by exonuclease Xrn1. However, HCV replication requires miR-122 in Xrn1-depleted cells, indicating additional functions. We show that miR-122 enhances HCV RNA levels by altering the fraction of HCV genomes available for RNA synthesis. Exogenous miR-122 increases viral RNA and protein levels in Xrn1-depleted cells, with enhanced RNA synthesis occurring before heightened protein synthesis. Inhibiting protein translation with puromycin blocks miR-122-mediated increases in RNA synthesis, but independently enhances RNA synthesis by releasing ribosomes from viral genomes. Additionally, miR-122 reduces the fraction of viral genomes engaged in protein translation. Depleting AGO2 or\u00a0PCBP2, which binds HCV RNA in competition with\u00a0miR-122 and promotes translation, eliminates miR-122 stimulation of RNA synthesis. Thus, by displacing PCBP2, miR-122 reduces HCV genomes engaged in translation while increasing the fraction available for RNA synthesis.", "author" : [ { "dropping-particle" : "", "family" : "Masaki", "given" : "Takahiro", "non-dropping-particle" : "", "parse-names" : false, "suffix" : "" }, { "dropping-particle" : "", "family" : "Arend", "given" : "Kyle C", "non-dropping-particle" : "", "parse-names" : false, "suffix" : "" }, { "dropping-particle" : "", "family" : "Li", "given" : "You", "non-dropping-particle" : "", "parse-names" : false, "suffix" : "" }, { "dropping-particle" : "", "family" : "Yamane", "given" : "Daisuke", "non-dropping-particle" : "", "parse-names" : false, "suffix" : "" }, { "dropping-particle" : "", "family" : "McGivern", "given" : "David R", "non-dropping-particle" : "", "parse-names" : false, "suffix" : "" }, { "dropping-particle" : "", "family" : "Kato", "given" : "Takanobu", "non-dropping-particle" : "", "parse-names" : false, "suffix" : "" }, { "dropping-particle" : "", "family" : "Wakita", "given" : "Takaji", "non-dropping-particle" : "", "parse-names" : false, "suffix" : "" }, { "dropping-particle" : "", "family" : "Moorman", "given" : "Nathaniel J", "non-dropping-particle" : "", "parse-names" : false, "suffix" : "" }, { "dropping-particle" : "", "family" : "Lemon", "given" : "Stanley M", "non-dropping-particle" : "", "parse-names" : false, "suffix" : "" } ], "container-title" : "Cell host &amp; microbe", "id" : "ITEM-1", "issue" : "2", "issued" : { "date-parts" : [ [ "2015", "2", "11" ] ] }, "page" : "217-28", "title" : "miR-122 stimulates hepatitis C virus RNA synthesis by altering the balance of viral RNAs engaged in replication versus translation.", "type" : "article-journal", "volume" : "17" }, "uris" : [ "http://www.mendeley.com/documents/?uuid=68ba7957-8628-4644-b804-777bcd8d2e7f" ] } ], "mendeley" : { "formattedCitation" : "(Masaki et al., 2015)", "plainTextFormattedCitation" : "(Masaki et al., 2015)", "previouslyFormattedCitation" : "(Masaki et al., 2015)" }, "properties" : { "noteIndex" : 0 }, "schema" : "https://github.com/citation-style-language/schema/raw/master/csl-citation.json" }</w:instrText>
      </w:r>
      <w:r w:rsidRPr="003B3941">
        <w:rPr>
          <w:rFonts w:ascii="Calibri" w:hAnsi="Calibri" w:cs="Arial"/>
        </w:rPr>
        <w:fldChar w:fldCharType="separate"/>
      </w:r>
      <w:r w:rsidRPr="003B3941">
        <w:rPr>
          <w:rFonts w:ascii="Calibri" w:hAnsi="Calibri" w:cs="Arial"/>
          <w:noProof/>
        </w:rPr>
        <w:t>(Masaki et al., 2015)</w:t>
      </w:r>
      <w:r w:rsidRPr="003B3941">
        <w:rPr>
          <w:rFonts w:ascii="Calibri" w:hAnsi="Calibri" w:cs="Arial"/>
        </w:rPr>
        <w:fldChar w:fldCharType="end"/>
      </w:r>
      <w:r w:rsidRPr="003B3941">
        <w:rPr>
          <w:rFonts w:ascii="Calibri" w:hAnsi="Calibri" w:cs="Arial"/>
        </w:rPr>
        <w:t xml:space="preserve"> and </w:t>
      </w:r>
      <w:r>
        <w:rPr>
          <w:rFonts w:ascii="Calibri" w:hAnsi="Calibri" w:cs="Arial"/>
        </w:rPr>
        <w:t xml:space="preserve">organize the </w:t>
      </w:r>
      <w:r w:rsidRPr="003B3941">
        <w:rPr>
          <w:rFonts w:ascii="Calibri" w:hAnsi="Calibri" w:cs="Arial"/>
        </w:rPr>
        <w:t>viral genome structur</w:t>
      </w:r>
      <w:r>
        <w:rPr>
          <w:rFonts w:ascii="Calibri" w:hAnsi="Calibri" w:cs="Arial"/>
        </w:rPr>
        <w:t xml:space="preserve">e </w:t>
      </w:r>
      <w:r w:rsidRPr="003B3941">
        <w:rPr>
          <w:rFonts w:ascii="Calibri" w:hAnsi="Calibri" w:cs="Arial"/>
        </w:rPr>
        <w:fldChar w:fldCharType="begin" w:fldLock="1"/>
      </w:r>
      <w:r w:rsidRPr="003B3941">
        <w:rPr>
          <w:rFonts w:ascii="Calibri" w:hAnsi="Calibri" w:cs="Arial"/>
        </w:rPr>
        <w:instrText>ADDIN CSL_CITATION { "citationItems" : [ { "id" : "ITEM-1", "itemData" : { "DOI" : "10.1016/j.chom.2014.12.014", "ISSN" : "1934-6069", "PMID" : "25662750", "abstract" : "The liver-specific microRNA, miR-122, stabilizes hepatitis C virus (HCV) RNA genomes by recruiting host argonaute 2 (AGO2) to the 5' end and preventing decay mediated by exonuclease Xrn1. However, HCV replication requires miR-122 in Xrn1-depleted cells, indicating additional functions. We show that miR-122 enhances HCV RNA levels by altering the fraction of HCV genomes available for RNA synthesis. Exogenous miR-122 increases viral RNA and protein levels in Xrn1-depleted cells, with enhanced RNA synthesis occurring before heightened protein synthesis. Inhibiting protein translation with puromycin blocks miR-122-mediated increases in RNA synthesis, but independently enhances RNA synthesis by releasing ribosomes from viral genomes. Additionally, miR-122 reduces the fraction of viral genomes engaged in protein translation. Depleting AGO2 or\u00a0PCBP2, which binds HCV RNA in competition with\u00a0miR-122 and promotes translation, eliminates miR-122 stimulation of RNA synthesis. Thus, by displacing PCBP2, miR-122 reduces HCV genomes engaged in translation while increasing the fraction available for RNA synthesis.", "author" : [ { "dropping-particle" : "", "family" : "Masaki", "given" : "Takahiro", "non-dropping-particle" : "", "parse-names" : false, "suffix" : "" }, { "dropping-particle" : "", "family" : "Arend", "given" : "Kyle C", "non-dropping-particle" : "", "parse-names" : false, "suffix" : "" }, { "dropping-particle" : "", "family" : "Li", "given" : "You", "non-dropping-particle" : "", "parse-names" : false, "suffix" : "" }, { "dropping-particle" : "", "family" : "Yamane", "given" : "Daisuke", "non-dropping-particle" : "", "parse-names" : false, "suffix" : "" }, { "dropping-particle" : "", "family" : "McGivern", "given" : "David R", "non-dropping-particle" : "", "parse-names" : false, "suffix" : "" }, { "dropping-particle" : "", "family" : "Kato", "given" : "Takanobu", "non-dropping-particle" : "", "parse-names" : false, "suffix" : "" }, { "dropping-particle" : "", "family" : "Wakita", "given" : "Takaji", "non-dropping-particle" : "", "parse-names" : false, "suffix" : "" }, { "dropping-particle" : "", "family" : "Moorman", "given" : "Nathaniel J", "non-dropping-particle" : "", "parse-names" : false, "suffix" : "" }, { "dropping-particle" : "", "family" : "Lemon", "given" : "Stanley M", "non-dropping-particle" : "", "parse-names" : false, "suffix" : "" } ], "container-title" : "Cell host &amp; microbe", "id" : "ITEM-1", "issue" : "2", "issued" : { "date-parts" : [ [ "2015", "2", "11" ] ] }, "page" : "217-28", "title" : "miR-122 stimulates hepatitis C virus RNA synthesis by altering the balance of viral RNAs engaged in replication versus translation.", "type" : "article-journal", "volume" : "17" }, "uris" : [ "http://www.mendeley.com/documents/?uuid=68ba7957-8628-4644-b804-777bcd8d2e7f" ] }, { "id" : "ITEM-2", "itemData" : { "DOI" : "10.1093/nar/gkt075", "ISSN" : "1362-4962", "PMID" : "23416544", "abstract" : "MicroRNAs (miRNAs) typically downregulate protein expression from target mRNAs through limited base-pairing interactions between the 5' 'seed' region of the miRNA and the mRNA 3' untranslated region (3'UTR). In contrast to this established mode of action, the liver-specific human miR-122 binds at two sites within the hepatitis C viral (HCV) 5'UTR, leading to increased production of infectious virions. We show here that two copies of miR-122 interact with the HCV 5'UTR at partially overlapping positions near the 5' end of the viral transcript to form a stable ternary complex. Both miR-122 binding sites involve extensive base pairing outside of the seed sequence; yet, they have substantially different interaction affinities. Structural probing reveals changes in the architecture of the HCV 5'UTR that occur on interaction with miR-122. In contrast to previous reports, however, results using both the recombinant cytoplasmic exonuclease Xrn1 and liver cell extracts show that miR-122-mediated protection of the HCV RNA from degradation does not correlate with stimulation of viral propagation in vivo. Thus, the miR-122:HCV ternary complex likely functions at other steps critical to the viral life cycle.", "author" : [ { "dropping-particle" : "", "family" : "Mortimer", "given" : "Stefanie A", "non-dropping-particle" : "", "parse-names" : false, "suffix" : "" }, { "dropping-particle" : "", "family" : "Doudna", "given" : "Jennifer A", "non-dropping-particle" : "", "parse-names" : false, "suffix" : "" } ], "container-title" : "Nucleic acids research", "id" : "ITEM-2", "issue" : "7", "issued" : { "date-parts" : [ [ "2013", "4" ] ] }, "page" : "4230-40", "title" : "Unconventional miR-122 binding stabilizes the HCV genome by forming a trimolecular RNA structure.", "type" : "article-journal", "volume" : "41" }, "uris" : [ "http://www.mendeley.com/documents/?uuid=3054909c-b8e6-4fc0-8c72-6ad5da3e1f11" ] }, { "id" : "ITEM-3", "itemData" : { "DOI" : "10.1128/JVI.05843-11", "ISSN" : "1098-5514", "PMID" : "21917968", "abstract" : "The liver-specific microRNA miR-122 is required for efficient hepatitis C virus (HCV) RNA replication both in cell culture and in vivo. In addition, nonhepatic cells have been rendered more efficient at supporting this stage of the HCV life cycle by miR-122 expression. This study investigated how miR-122 influences HCV replication in the miR-122-deficient HepG2 cell line. Expression of this microRNA in HepG2 cells permitted efficient HCV RNA replication and infectious virion production. When a missing HCV receptor is also expressed, these cells efficiently support viral entry and thus the entire HCV life cycle.", "author" : [ { "dropping-particle" : "", "family" : "Narbus", "given" : "Christopher M", "non-dropping-particle" : "", "parse-names" : false, "suffix" : "" }, { "dropping-particle" : "", "family" : "Israelow", "given" : "Benjamin", "non-dropping-particle" : "", "parse-names" : false, "suffix" : "" }, { "dropping-particle" : "", "family" : "Sourisseau", "given" : "Marion", "non-dropping-particle" : "", "parse-names" : false, "suffix" : "" }, { "dropping-particle" : "", "family" : "Michta", "given" : "Maria L", "non-dropping-particle" : "", "parse-names" : false, "suffix" : "" }, { "dropping-particle" : "", "family" : "Hopcraft", "given" : "Sharon E", "non-dropping-particle" : "", "parse-names" : false, "suffix" : "" }, { "dropping-particle" : "", "family" : "Zeiner", "given" : "Gusti M", "non-dropping-particle" : "", "parse-names" : false, "suffix" : "" }, { "dropping-particle" : "", "family" : "Evans", "given" : "Matthew J", "non-dropping-particle" : "", "parse-names" : false, "suffix" : "" } ], "container-title" : "Journal of virology", "id" : "ITEM-3", "issue" : "22", "issued" : { "date-parts" : [ [ "2011", "11" ] ] }, "page" : "12087-92", "title" : "HepG2 cells expressing microRNA miR-122 support the entire hepatitis C virus life cycle.", "type" : "article-journal", "volume" : "85" }, "uris" : [ "http://www.mendeley.com/documents/?uuid=4188347d-b6f7-4868-bd97-49e5bbd987a2" ] } ], "mendeley" : { "formattedCitation" : "(Masaki et al., 2015; Mortimer &amp; Doudna, 2013; Narbus et al., 2011)", "plainTextFormattedCitation" : "(Masaki et al., 2015; Mortimer &amp; Doudna, 2013; Narbus et al., 2011)", "previouslyFormattedCitation" : "(Masaki et al., 2015; Mortimer &amp; Doudna, 2013; Narbus et al., 2011)" }, "properties" : { "noteIndex" : 0 }, "schema" : "https://github.com/citation-style-language/schema/raw/master/csl-citation.json" }</w:instrText>
      </w:r>
      <w:r w:rsidRPr="003B3941">
        <w:rPr>
          <w:rFonts w:ascii="Calibri" w:hAnsi="Calibri" w:cs="Arial"/>
        </w:rPr>
        <w:fldChar w:fldCharType="separate"/>
      </w:r>
      <w:r w:rsidRPr="003B3941">
        <w:rPr>
          <w:rFonts w:ascii="Calibri" w:hAnsi="Calibri" w:cs="Arial"/>
          <w:noProof/>
        </w:rPr>
        <w:t>(Masaki et al., 2015; Mortimer &amp; Doudna, 2013; Narbus et al., 2011)</w:t>
      </w:r>
      <w:r w:rsidRPr="003B3941">
        <w:rPr>
          <w:rFonts w:ascii="Calibri" w:hAnsi="Calibri" w:cs="Arial"/>
        </w:rPr>
        <w:fldChar w:fldCharType="end"/>
      </w:r>
      <w:r w:rsidRPr="003B3941">
        <w:rPr>
          <w:rFonts w:ascii="Calibri" w:hAnsi="Calibri" w:cs="Arial"/>
        </w:rPr>
        <w:t xml:space="preserve">. </w:t>
      </w:r>
      <w:r w:rsidR="00D173D2">
        <w:rPr>
          <w:rFonts w:ascii="Calibri" w:hAnsi="Calibri" w:cs="Arial"/>
        </w:rPr>
        <w:t xml:space="preserve">Whether some of these functions are also relevant to endogenous transcripts remains to be determined. </w:t>
      </w:r>
      <w:r w:rsidRPr="003B3941">
        <w:rPr>
          <w:rFonts w:ascii="Calibri" w:hAnsi="Calibri" w:cs="Arial"/>
        </w:rPr>
        <w:t xml:space="preserve">Importantly, </w:t>
      </w:r>
      <w:r>
        <w:rPr>
          <w:rFonts w:ascii="Calibri" w:hAnsi="Calibri" w:cs="Arial"/>
        </w:rPr>
        <w:t xml:space="preserve">as with HIV </w:t>
      </w:r>
      <w:r>
        <w:rPr>
          <w:rFonts w:ascii="Calibri" w:hAnsi="Calibri" w:cs="Arial"/>
          <w:i/>
        </w:rPr>
        <w:t>in vitro</w:t>
      </w:r>
      <w:r w:rsidRPr="003B3941">
        <w:rPr>
          <w:rFonts w:ascii="Calibri" w:hAnsi="Calibri" w:cs="Arial"/>
        </w:rPr>
        <w:t xml:space="preserve"> </w:t>
      </w:r>
      <w:r w:rsidRPr="003B3941">
        <w:rPr>
          <w:rFonts w:ascii="Calibri" w:hAnsi="Calibri" w:cs="Arial"/>
        </w:rPr>
        <w:fldChar w:fldCharType="begin" w:fldLock="1"/>
      </w:r>
      <w:r w:rsidRPr="003B3941">
        <w:rPr>
          <w:rFonts w:ascii="Calibri" w:hAnsi="Calibri" w:cs="Arial"/>
        </w:rPr>
        <w:instrText>ADDIN CSL_CITATION { "citationItems" : [ { "id" : "ITEM-1", "itemData" : { "DOI" : "10.1186/1742-4690-7-52", "ISSN" : "1742-4690", "PMID" : "20529316", "abstract" : "BACKGROUND: RNA interference (RNAi) is an evolutionary conserved gene silencing mechanism that mediates the sequence-specific breakdown of target mRNAs. RNAi can be used to inhibit HIV-1 replication by targeting the viral RNA genome. However, the error-prone replication machinery of HIV-1 can generate RNAi-resistant variants with specific mutations in the target sequence. For durable inhibition of HIV-1 replication the emergence of such escape viruses must be controlled. Here we present a strategy that anticipates HIV-1 escape by designing 2nd generation short hairpin RNAs (shRNAs) that form a complete match with the viral escape sequences.\n\nRESULTS: To block the two favorite viral escape routes observed when the HIV-1 integrase gene sequence is targeted, the original shRNA inhibitor was combined with two 2nd generation shRNAs in a single lentiviral expression vector. We demonstrate in long-term viral challenge experiments that the two dominant viral escape routes were effectively blocked. Eventually, virus breakthrough did however occur, but HIV-1 evolution was skewed and forced to use new escape routes.\n\nCONCLUSION: These results demonstrate the power of the 2nd generation RNAi concept. Popular viral escape routes are blocked by the 2nd generation RNAi strategy. As a consequence viral evolution was skewed leading to new escape routes. These results are of importance for a deeper understanding of HIV-1 evolution under RNAi pressure.", "author" : [ { "dropping-particle" : "", "family" : "Schopman", "given" : "Nick C T", "non-dropping-particle" : "", "parse-names" : false, "suffix" : "" }, { "dropping-particle" : "", "family" : "Brake", "given" : "Olivier", "non-dropping-particle" : "ter", "parse-names" : false, "suffix" : "" }, { "dropping-particle" : "", "family" : "Berkhout", "given" : "Ben", "non-dropping-particle" : "", "parse-names" : false, "suffix" : "" } ], "container-title" : "Retrovirology", "id" : "ITEM-1", "issued" : { "date-parts" : [ [ "2010", "1" ] ] }, "page" : "52", "title" : "Anticipating and blocking HIV-1 escape by second generation antiviral shRNAs.", "type" : "article-journal", "volume" : "7" }, "uris" : [ "http://www.mendeley.com/documents/?uuid=f5cdd750-ef74-4e99-9daa-e4a968377f98" ] } ], "mendeley" : { "formattedCitation" : "(Schopman et al., 2010)", "plainTextFormattedCitation" : "(Schopman et al., 2010)", "previouslyFormattedCitation" : "(Schopman et al., 2010)" }, "properties" : { "noteIndex" : 0 }, "schema" : "https://github.com/citation-style-language/schema/raw/master/csl-citation.json" }</w:instrText>
      </w:r>
      <w:r w:rsidRPr="003B3941">
        <w:rPr>
          <w:rFonts w:ascii="Calibri" w:hAnsi="Calibri" w:cs="Arial"/>
        </w:rPr>
        <w:fldChar w:fldCharType="separate"/>
      </w:r>
      <w:r w:rsidRPr="003B3941">
        <w:rPr>
          <w:rFonts w:ascii="Calibri" w:hAnsi="Calibri" w:cs="Arial"/>
          <w:noProof/>
        </w:rPr>
        <w:t>(Schopman et al., 2010)</w:t>
      </w:r>
      <w:r w:rsidRPr="003B3941">
        <w:rPr>
          <w:rFonts w:ascii="Calibri" w:hAnsi="Calibri" w:cs="Arial"/>
        </w:rPr>
        <w:fldChar w:fldCharType="end"/>
      </w:r>
      <w:r>
        <w:rPr>
          <w:rFonts w:ascii="Calibri" w:hAnsi="Calibri" w:cs="Arial"/>
        </w:rPr>
        <w:t xml:space="preserve">, </w:t>
      </w:r>
      <w:r w:rsidRPr="003B3941">
        <w:rPr>
          <w:rFonts w:ascii="Calibri" w:hAnsi="Calibri" w:cs="Arial"/>
        </w:rPr>
        <w:t xml:space="preserve">clinical </w:t>
      </w:r>
      <w:r>
        <w:rPr>
          <w:rFonts w:ascii="Calibri" w:hAnsi="Calibri" w:cs="Arial"/>
        </w:rPr>
        <w:t>studies have</w:t>
      </w:r>
      <w:r w:rsidRPr="003B3941">
        <w:rPr>
          <w:rFonts w:ascii="Calibri" w:hAnsi="Calibri" w:cs="Arial"/>
        </w:rPr>
        <w:t xml:space="preserve"> evidenced mutations ex</w:t>
      </w:r>
      <w:r>
        <w:rPr>
          <w:rFonts w:ascii="Calibri" w:hAnsi="Calibri" w:cs="Arial"/>
        </w:rPr>
        <w:t>ternal to the RISC binding sites may alter</w:t>
      </w:r>
      <w:r w:rsidRPr="003B3941">
        <w:rPr>
          <w:rFonts w:ascii="Calibri" w:hAnsi="Calibri" w:cs="Arial"/>
        </w:rPr>
        <w:t xml:space="preserve"> </w:t>
      </w:r>
      <w:r>
        <w:rPr>
          <w:rFonts w:ascii="Calibri" w:hAnsi="Calibri" w:cs="Arial"/>
        </w:rPr>
        <w:t xml:space="preserve">RISC </w:t>
      </w:r>
      <w:r w:rsidRPr="003B3941">
        <w:rPr>
          <w:rFonts w:ascii="Calibri" w:hAnsi="Calibri" w:cs="Arial"/>
        </w:rPr>
        <w:t xml:space="preserve">binding capability </w:t>
      </w:r>
      <w:r w:rsidRPr="003B3941">
        <w:rPr>
          <w:rFonts w:ascii="Calibri" w:hAnsi="Calibri" w:cs="Arial"/>
        </w:rPr>
        <w:fldChar w:fldCharType="begin" w:fldLock="1"/>
      </w:r>
      <w:r w:rsidRPr="003B3941">
        <w:rPr>
          <w:rFonts w:ascii="Calibri" w:hAnsi="Calibri" w:cs="Arial"/>
        </w:rPr>
        <w:instrText>ADDIN CSL_CITATION { "citationItems" : [ { "id" : "ITEM-1", "itemData" : { "DOI" : "10.1038/ncomms6408", "ISSN" : "2041-1723", "PMID" : "25403145", "abstract" : "Hepatitis C virus (HCV) replication is dependent on a liver-specific microRNA (miRNA), miR-122. A recent clinical trial reported that transient inhibition of miR-122 reduced viral titres in HCV-infected patients. Here we set out to better understand how miR-122 inhibition influences HCV replication over time. Unexpectedly, we observed the emergence of an HCV variant that is resistant to miR-122 knockdown. Next-generation sequencing revealed that this was due to a single nucleotide change at position 28 (G28A) of the HCV genome, which falls between the two miR-122 seed-binding sites. Naturally occurring HCV isolates encoding G28A are similarly resistant to miR-122 inhibition, indicating that subtle differences in viral sequence, even outside the seed-binding site, greatly influence HCV's miR-122 concentration requirement. In addition, we found that HCV itself reduces miR-122's activity in the cell, possibly through binding and sequestering miR-122. Our study provides insight into the interaction between miR-122 and HCV, including viral adaptation to reduced miR-122 bioavailability, and has implications for the development of anti-miR-122-based HCV drugs.", "author" : [ { "dropping-particle" : "", "family" : "Israelow", "given" : "Benjamin", "non-dropping-particle" : "", "parse-names" : false, "suffix" : "" }, { "dropping-particle" : "", "family" : "Mullokandov", "given" : "Gavriel", "non-dropping-particle" : "", "parse-names" : false, "suffix" : "" }, { "dropping-particle" : "", "family" : "Agudo", "given" : "Judith", "non-dropping-particle" : "", "parse-names" : false, "suffix" : "" }, { "dropping-particle" : "", "family" : "Sourisseau", "given" : "Marion", "non-dropping-particle" : "", "parse-names" : false, "suffix" : "" }, { "dropping-particle" : "", "family" : "Bashir", "given" : "Ali", "non-dropping-particle" : "", "parse-names" : false, "suffix" : "" }, { "dropping-particle" : "", "family" : "Maldonado", "given" : "Andres Y", "non-dropping-particle" : "", "parse-names" : false, "suffix" : "" }, { "dropping-particle" : "", "family" : "Dar", "given" : "Arvin C", "non-dropping-particle" : "", "parse-names" : false, "suffix" : "" }, { "dropping-particle" : "", "family" : "Brown", "given" : "Brian D", "non-dropping-particle" : "", "parse-names" : false, "suffix" : "" }, { "dropping-particle" : "", "family" : "Evans", "given" : "Matthew J", "non-dropping-particle" : "", "parse-names" : false, "suffix" : "" } ], "container-title" : "Nature communications", "id" : "ITEM-1", "issued" : { "date-parts" : [ [ "2014", "1" ] ] }, "page" : "5408", "title" : "Hepatitis C virus genetics affects miR-122 requirements and response to miR-122 inhibitors.", "type" : "article-journal", "volume" : "5" }, "uris" : [ "http://www.mendeley.com/documents/?uuid=6a1d4591-eef6-49e1-b210-93367e0432c4" ] } ], "mendeley" : { "formattedCitation" : "(Israelow et al., 2014)", "plainTextFormattedCitation" : "(Israelow et al., 2014)", "previouslyFormattedCitation" : "(Israelow et al., 2014)" }, "properties" : { "noteIndex" : 0 }, "schema" : "https://github.com/citation-style-language/schema/raw/master/csl-citation.json" }</w:instrText>
      </w:r>
      <w:r w:rsidRPr="003B3941">
        <w:rPr>
          <w:rFonts w:ascii="Calibri" w:hAnsi="Calibri" w:cs="Arial"/>
        </w:rPr>
        <w:fldChar w:fldCharType="separate"/>
      </w:r>
      <w:r w:rsidRPr="003B3941">
        <w:rPr>
          <w:rFonts w:ascii="Calibri" w:hAnsi="Calibri" w:cs="Arial"/>
          <w:noProof/>
        </w:rPr>
        <w:t>(Israelow et al., 2014)</w:t>
      </w:r>
      <w:r w:rsidRPr="003B3941">
        <w:rPr>
          <w:rFonts w:ascii="Calibri" w:hAnsi="Calibri" w:cs="Arial"/>
        </w:rPr>
        <w:fldChar w:fldCharType="end"/>
      </w:r>
      <w:r w:rsidRPr="003B3941">
        <w:rPr>
          <w:rFonts w:ascii="Calibri" w:hAnsi="Calibri" w:cs="Arial"/>
        </w:rPr>
        <w:t>.</w:t>
      </w:r>
      <w:r>
        <w:rPr>
          <w:rFonts w:ascii="Calibri" w:hAnsi="Calibri" w:cs="Arial"/>
        </w:rPr>
        <w:t xml:space="preserve"> </w:t>
      </w:r>
      <w:r w:rsidRPr="00C4343E">
        <w:rPr>
          <w:rFonts w:ascii="Calibri" w:hAnsi="Calibri" w:cs="Arial"/>
        </w:rPr>
        <w:t xml:space="preserve">Yet more recently, components of AGO2 RISC have been isolated from mitochondria </w:t>
      </w:r>
      <w:r w:rsidRPr="00C4343E">
        <w:rPr>
          <w:rFonts w:ascii="Calibri" w:hAnsi="Calibri" w:cs="Arial"/>
        </w:rPr>
        <w:fldChar w:fldCharType="begin" w:fldLock="1"/>
      </w:r>
      <w:r w:rsidR="00CC18B0">
        <w:rPr>
          <w:rFonts w:ascii="Calibri" w:hAnsi="Calibri" w:cs="Arial"/>
        </w:rPr>
        <w:instrText>ADDIN CSL_CITATION { "citationItems" : [ { "id" : "ITEM-1", "itemData" : { "DOI" : "10.1016/j.cell.2014.05.047", "ISSN" : "1097-4172", "PMID" : "25083871", "abstract" : "MicroRNAs are well known to mediate translational repression and mRNA degradation in the cytoplasm. Various microRNAs have also been detected in membrane-compartmentalized organelles, but the functional significance has remained elusive. Here, we report that miR-1, a microRNA specifically induced during myogenesis, efficiently enters the mitochondria where it unexpectedly stimulates, rather than represses, the translation of specific mitochondrial genome-encoded transcripts. We show that this positive effect requires specific miR:mRNA base-pairing and Ago2, but not its functional partner GW182, which is excluded from the mitochondria. We provide evidence for the direct action of Ago2 in mitochondrial translation by crosslinking immunoprecipitation coupled with deep sequencing (CLIP-seq), functional rescue with mitochondria-targeted Ago2, and selective inhibition of the microRNA machinery in the cytoplasm. These findings unveil a positive function of microRNA in mitochondrial translation and suggest a highly coordinated myogenic program via miR-1-mediated translational stimulation in the mitochondria and repression in the cytoplasm.", "author" : [ { "dropping-particle" : "", "family" : "Zhang", "given" : "Xiaorong", "non-dropping-particle" : "", "parse-names" : false, "suffix" : "" }, { "dropping-particle" : "", "family" : "Zuo", "given" : "Xinxin", "non-dropping-particle" : "", "parse-names" : false, "suffix" : "" }, { "dropping-particle" : "", "family" : "Yang", "given" : "Bo", "non-dropping-particle" : "", "parse-names" : false, "suffix" : "" }, { "dropping-particle" : "", "family" : "Li", "given" : "Zongran", "non-dropping-particle" : "", "parse-names" : false, "suffix" : "" }, { "dropping-particle" : "", "family" : "Xue", "given" : "Yuanchao", "non-dropping-particle" : "", "parse-names" : false, "suffix" : "" }, { "dropping-particle" : "", "family" : "Zhou", "given" : "Yu", "non-dropping-particle" : "", "parse-names" : false, "suffix" : "" }, { "dropping-particle" : "", "family" : "Huang", "given" : "Jie", "non-dropping-particle" : "", "parse-names" : false, "suffix" : "" }, { "dropping-particle" : "", "family" : "Zhao", "given" : "Xiaolu", "non-dropping-particle" : "", "parse-names" : false, "suffix" : "" }, { "dropping-particle" : "", "family" : "Zhou", "given" : "Jie", "non-dropping-particle" : "", "parse-names" : false, "suffix" : "" }, { "dropping-particle" : "", "family" : "Yan", "given" : "Yun", "non-dropping-particle" : "", "parse-names" : false, "suffix" : "" }, { "dropping-particle" : "", "family" : "Zhang", "given" : "Huiqiong", "non-dropping-particle" : "", "parse-names" : false, "suffix" : "" }, { "dropping-particle" : "", "family" : "Guo", "given" : "Peipei", "non-dropping-particle" : "", "parse-names" : false, "suffix" : "" }, { "dropping-particle" : "", "family" : "Sun", "given" : "Hui", "non-dropping-particle" : "", "parse-names" : false, "suffix" : "" }, { "dropping-particle" : "", "family" : "Guo", "given" : "Lin", "non-dropping-particle" : "", "parse-names" : false, "suffix" : "" }, { "dropping-particle" : "", "family" : "Zhang", "given" : "Yi", "non-dropping-particle" : "", "parse-names" : false, "suffix" : "" }, { "dropping-particle" : "", "family" : "Fu", "given" : "Xiang-Dong", "non-dropping-particle" : "", "parse-names" : false, "suffix" : "" } ], "container-title" : "Cell", "id" : "ITEM-1", "issue" : "3", "issued" : { "date-parts" : [ [ "2014", "7", "31" ] ] }, "page" : "607-19", "title" : "MicroRNA directly enhances mitochondrial translation during muscle differentiation.", "type" : "article-journal", "volume" : "158" }, "uris" : [ "http://www.mendeley.com/documents/?uuid=8241ac80-511e-461b-9ae7-cb2a70fb93c0" ] } ], "mendeley" : { "formattedCitation" : "(Xiaorong Zhang et al., 2014)", "plainTextFormattedCitation" : "(Xiaorong Zhang et al., 2014)", "previouslyFormattedCitation" : "(Xiaorong Zhang et al., 2014)" }, "properties" : { "noteIndex" : 0 }, "schema" : "https://github.com/citation-style-language/schema/raw/master/csl-citation.json" }</w:instrText>
      </w:r>
      <w:r w:rsidRPr="00C4343E">
        <w:rPr>
          <w:rFonts w:ascii="Calibri" w:hAnsi="Calibri" w:cs="Arial"/>
        </w:rPr>
        <w:fldChar w:fldCharType="separate"/>
      </w:r>
      <w:r w:rsidR="00C651FB" w:rsidRPr="00C651FB">
        <w:rPr>
          <w:rFonts w:ascii="Calibri" w:hAnsi="Calibri" w:cs="Arial"/>
          <w:noProof/>
        </w:rPr>
        <w:t>(Xiaorong Zhang et al., 2014)</w:t>
      </w:r>
      <w:r w:rsidRPr="00C4343E">
        <w:rPr>
          <w:rFonts w:ascii="Calibri" w:hAnsi="Calibri" w:cs="Arial"/>
        </w:rPr>
        <w:fldChar w:fldCharType="end"/>
      </w:r>
      <w:r w:rsidRPr="00C4343E">
        <w:rPr>
          <w:rFonts w:ascii="Calibri" w:hAnsi="Calibri" w:cs="Arial"/>
        </w:rPr>
        <w:t xml:space="preserve">, although this may not be ubiquitous across cell types </w:t>
      </w:r>
      <w:r w:rsidRPr="00C4343E">
        <w:rPr>
          <w:rFonts w:ascii="Calibri" w:hAnsi="Calibri" w:cs="Arial"/>
        </w:rPr>
        <w:fldChar w:fldCharType="begin" w:fldLock="1"/>
      </w:r>
      <w:r w:rsidRPr="00C4343E">
        <w:rPr>
          <w:rFonts w:ascii="Calibri" w:hAnsi="Calibri" w:cs="Arial"/>
        </w:rPr>
        <w:instrText>ADDIN CSL_CITATION { "citationItems" : [ { "id" : "ITEM-1", "itemData" : { "DOI" : "10.1038/cr.2013.37", "ISSN" : "1748-7838", "PMID" : "23478297", "abstract" : "Small noncoding RNAs identified thus far are all encoded by the nuclear genome. Here, we report that the murine and human mitochondrial genomes encode thousands of small noncoding RNAs, which are predominantly derived from the sense transcripts of the mitochondrial genes (host genes), and we termed these small RNAs mitochondrial genome-encoded small RNAs (mitosRNAs). DICER inactivation affected, but did not completely abolish mitosRNA production. MitosRNAs appear to be products of currently unidentified mitochondrial ribonucleases. Overexpression of mitosRNAs enhanced expression levels of their host genes in vitro, and dysregulated mitosRNA expression was generally associated with aberrant mitochondrial gene expression in vivo. Our data demonstrate that in addition to 37 known mitochondrial genes, the mammalian mitochondrial genome also encodes abundant mitosRNAs, which may play an important regulatory role in the control of mitochondrial gene expression in the cell.", "author" : [ { "dropping-particle" : "", "family" : "Ro", "given" : "Seungil", "non-dropping-particle" : "", "parse-names" : false, "suffix" : "" }, { "dropping-particle" : "", "family" : "Ma", "given" : "Hsiu-Yen", "non-dropping-particle" : "", "parse-names" : false, "suffix" : "" }, { "dropping-particle" : "", "family" : "Park", "given" : "Chanjae", "non-dropping-particle" : "", "parse-names" : false, "suffix" : "" }, { "dropping-particle" : "", "family" : "Ortogero", "given" : "Nicole", "non-dropping-particle" : "", "parse-names" : false, "suffix" : "" }, { "dropping-particle" : "", "family" : "Song", "given" : "Rui", "non-dropping-particle" : "", "parse-names" : false, "suffix" : "" }, { "dropping-particle" : "", "family" : "Hennig", "given" : "Grant W", "non-dropping-particle" : "", "parse-names" : false, "suffix" : "" }, { "dropping-particle" : "", "family" : "Zheng", "given" : "Huili", "non-dropping-particle" : "", "parse-names" : false, "suffix" : "" }, { "dropping-particle" : "", "family" : "Lin", "given" : "Yung-Ming", "non-dropping-particle" : "", "parse-names" : false, "suffix" : "" }, { "dropping-particle" : "", "family" : "Moro", "given" : "Loredana", "non-dropping-particle" : "", "parse-names" : false, "suffix" : "" }, { "dropping-particle" : "", "family" : "Hsieh", "given" : "Jer-Tsong", "non-dropping-particle" : "", "parse-names" : false, "suffix" : "" }, { "dropping-particle" : "", "family" : "Yan", "given" : "Wei", "non-dropping-particle" : "", "parse-names" : false, "suffix" : "" } ], "container-title" : "Cell research", "id" : "ITEM-1", "issue" : "6", "issued" : { "date-parts" : [ [ "2013", "6" ] ] }, "page" : "759-74", "title" : "The mitochondrial genome encodes abundant small noncoding RNAs.", "type" : "article-journal", "volume" : "23" }, "uris" : [ "http://www.mendeley.com/documents/?uuid=8d33bcab-a64a-4d34-9477-b49ff2fbd733" ] } ], "mendeley" : { "formattedCitation" : "(Ro et al., 2013)", "plainTextFormattedCitation" : "(Ro et al., 2013)", "previouslyFormattedCitation" : "(Ro et al., 2013)"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(Ro et al., 2013)</w:t>
      </w:r>
      <w:r w:rsidRPr="00C4343E">
        <w:rPr>
          <w:rFonts w:ascii="Calibri" w:hAnsi="Calibri" w:cs="Arial"/>
        </w:rPr>
        <w:fldChar w:fldCharType="end"/>
      </w:r>
      <w:r w:rsidRPr="00C4343E">
        <w:rPr>
          <w:rFonts w:ascii="Calibri" w:hAnsi="Calibri" w:cs="Arial"/>
        </w:rPr>
        <w:t xml:space="preserve">. </w:t>
      </w:r>
      <w:r>
        <w:rPr>
          <w:rFonts w:ascii="Calibri" w:hAnsi="Calibri" w:cs="Arial"/>
        </w:rPr>
        <w:t>Mechanistic studies suggest</w:t>
      </w:r>
      <w:r w:rsidRPr="00C4343E">
        <w:rPr>
          <w:rFonts w:ascii="Calibri" w:hAnsi="Calibri" w:cs="Arial"/>
        </w:rPr>
        <w:t xml:space="preserve"> functions in line with other cytosolic </w:t>
      </w:r>
      <w:r>
        <w:rPr>
          <w:rFonts w:ascii="Calibri" w:hAnsi="Calibri" w:cs="Arial"/>
        </w:rPr>
        <w:t xml:space="preserve">RNAi MOA </w:t>
      </w:r>
      <w:r>
        <w:rPr>
          <w:rFonts w:ascii="Calibri" w:hAnsi="Calibri" w:cs="Arial"/>
        </w:rPr>
        <w:fldChar w:fldCharType="begin" w:fldLock="1"/>
      </w:r>
      <w:r>
        <w:rPr>
          <w:rFonts w:ascii="Calibri" w:hAnsi="Calibri" w:cs="Arial"/>
        </w:rPr>
        <w:instrText>ADDIN CSL_CITATION { "citationItems" : [ { "id" : "ITEM-1", "itemData" : { "DOI" : "10.1161/CIRCGENETICS.115.001067", "ISSN" : "1942-3268", "PMID" : "26377859", "abstract" : "BACKGROUND: -Cardiomyocytes are rich in mitochondria which are situated in spatially-distinct subcellular regions including those under the plasma membrane, subsarcolemmal mitochondria; and those between the myofibrils, interfibrillar mitochondria. We previously observed subpopulation-specific differences in mitochondrial proteomes following diabetic insult. The objective of this study was to determine whether mitochondrial genome-encoded proteins are regulated by microRNAs inside the mitochondrion and whether subcellular spatial location or diabetes mellitus influences the dynamics.\n\nMETHODS AND RESULTS: -Using microarray technology coupled with cross-linking immunoprecipitation and next generation sequencing, we identified a pool of mitochondrial microRNAs, termed mitomiRs that are redistributed in spatially-distinct mitochondrial subpopulations in an inverse manner following diabetic insult. Redistributed mitomiRs displayed distinct interactions with the mitochondrial genome requiring specific stoichiometric associations with RISC constituents argonaute-2 (Ago2) and fragile X mental retardation-related protein 1 (FXR1) for translational regulation. In the presence of Ago2 and FXR1, redistribution of mitomiR-378 to the IFM following diabetic insult led to down regulation of mitochondrially-encoded F0 component ATP6. Next generation sequencing analyses identified specific transcriptome and mitomiR sequences associated with ATP6 regulation. Overexpression of mitomiR-378 in HL-1 cells resulted in its accumulation in the mitochondrion and down-regulation of functional ATP6 protein, while antagomir blockade restored functional ATP6 protein and cardiac pump function.\n\nCONCLUSIONS: -We propose mitomiRs can translationally regulate mitochondrially-encoded proteins in spatially-distinct mitochondrial subpopulations during diabetes mellitus. The results reveal the requirement of RISC constituents in the mitochondrion for functional mitomiR translational regulation and provide a connecting link between diabetic insult and ATP synthase function.", "author" : [ { "dropping-particle" : "", "family" : "Jagannathan", "given" : "Rajaganapathi", "non-dropping-particle" : "", "parse-names" : false, "suffix" : "" }, { "dropping-particle" : "", "family" : "Thapa", "given" : "Dharendra", "non-dropping-particle" : "", "parse-names" : false, "suffix" : "" }, { "dropping-particle" : "", "family" : "Nichols", "given" : "Cody E", "non-dropping-particle" : "", "parse-names" : false, "suffix" : "" }, { "dropping-particle" : "", "family" : "Shepherd", "given" : "Danielle L", "non-dropping-particle" : "", "parse-names" : false, "suffix" : "" }, { "dropping-particle" : "", "family" : "Stricker", "given" : "Janelle C", "non-dropping-particle" : "", "parse-names" : false, "suffix" : "" }, { "dropping-particle" : "", "family" : "Croston", "given" : "Tara L", "non-dropping-particle" : "", "parse-names" : false, "suffix" : "" }, { "dropping-particle" : "", "family" : "Baseler", "given" : "Walter A", "non-dropping-particle" : "", "parse-names" : false, "suffix" : "" }, { "dropping-particle" : "", "family" : "Lewis", "given" : "Sara E", "non-dropping-particle" : "", "parse-names" : false, "suffix" : "" }, { "dropping-particle" : "", "family" : "Martinez", "given" : "Ivan", "non-dropping-particle" : "", "parse-names" : false, "suffix" : "" }, { "dropping-particle" : "", "family" : "Hollander", "given" : "John M", "non-dropping-particle" : "", "parse-names" : false, "suffix" : "" } ], "container-title" : "Circulation. Cardiovascular genetics", "id" : "ITEM-1", "issued" : { "date-parts" : [ [ "2015", "9", "16" ] ] }, "title" : "Translational Regulation of the Mitochondrial Genome Following Redistribution of Mitochondrial MicroRNA (MitomiR) in the Diabetic Heart.", "type" : "article-journal" }, "uris" : [ "http://www.mendeley.com/documents/?uuid=6a3063f1-da98-4d5f-80e1-85bec81ad615" ] } ], "mendeley" : { "formattedCitation" : "(Jagannathan et al., 2015)", "plainTextFormattedCitation" : "(Jagannathan et al., 2015)", "previouslyFormattedCitation" : "(Jagannathan et al., 2015)" }, "properties" : { "noteIndex" : 0 }, "schema" : "https://github.com/citation-style-language/schema/raw/master/csl-citation.json" }</w:instrText>
      </w:r>
      <w:r>
        <w:rPr>
          <w:rFonts w:ascii="Calibri" w:hAnsi="Calibri" w:cs="Arial"/>
        </w:rPr>
        <w:fldChar w:fldCharType="separate"/>
      </w:r>
      <w:r w:rsidRPr="00A71DD1">
        <w:rPr>
          <w:rFonts w:ascii="Calibri" w:hAnsi="Calibri" w:cs="Arial"/>
          <w:noProof/>
        </w:rPr>
        <w:t>(Jagannathan et al., 2015)</w:t>
      </w:r>
      <w:r>
        <w:rPr>
          <w:rFonts w:ascii="Calibri" w:hAnsi="Calibri" w:cs="Arial"/>
        </w:rPr>
        <w:fldChar w:fldCharType="end"/>
      </w:r>
      <w:r>
        <w:rPr>
          <w:rFonts w:ascii="Calibri" w:hAnsi="Calibri" w:cs="Arial"/>
        </w:rPr>
        <w:t xml:space="preserve">, although AGO2 RISC translocation within myocyte mitochondria and translational upregulation activity has been proposed </w:t>
      </w:r>
      <w:r>
        <w:rPr>
          <w:rFonts w:ascii="Calibri" w:hAnsi="Calibri" w:cs="Arial"/>
        </w:rPr>
        <w:fldChar w:fldCharType="begin" w:fldLock="1"/>
      </w:r>
      <w:r w:rsidR="00CC18B0">
        <w:rPr>
          <w:rFonts w:ascii="Calibri" w:hAnsi="Calibri" w:cs="Arial"/>
        </w:rPr>
        <w:instrText>ADDIN CSL_CITATION { "citationItems" : [ { "id" : "ITEM-1", "itemData" : { "DOI" : "10.1016/j.cell.2014.05.047", "ISSN" : "1097-4172", "PMID" : "25083871", "abstract" : "MicroRNAs are well known to mediate translational repression and mRNA degradation in the cytoplasm. Various microRNAs have also been detected in membrane-compartmentalized organelles, but the functional significance has remained elusive. Here, we report that miR-1, a microRNA specifically induced during myogenesis, efficiently enters the mitochondria where it unexpectedly stimulates, rather than represses, the translation of specific mitochondrial genome-encoded transcripts. We show that this positive effect requires specific miR:mRNA base-pairing and Ago2, but not its functional partner GW182, which is excluded from the mitochondria. We provide evidence for the direct action of Ago2 in mitochondrial translation by crosslinking immunoprecipitation coupled with deep sequencing (CLIP-seq), functional rescue with mitochondria-targeted Ago2, and selective inhibition of the microRNA machinery in the cytoplasm. These findings unveil a positive function of microRNA in mitochondrial translation and suggest a highly coordinated myogenic program via miR-1-mediated translational stimulation in the mitochondria and repression in the cytoplasm.", "author" : [ { "dropping-particle" : "", "family" : "Zhang", "given" : "Xiaorong", "non-dropping-particle" : "", "parse-names" : false, "suffix" : "" }, { "dropping-particle" : "", "family" : "Zuo", "given" : "Xinxin", "non-dropping-particle" : "", "parse-names" : false, "suffix" : "" }, { "dropping-particle" : "", "family" : "Yang", "given" : "Bo", "non-dropping-particle" : "", "parse-names" : false, "suffix" : "" }, { "dropping-particle" : "", "family" : "Li", "given" : "Zongran", "non-dropping-particle" : "", "parse-names" : false, "suffix" : "" }, { "dropping-particle" : "", "family" : "Xue", "given" : "Yuanchao", "non-dropping-particle" : "", "parse-names" : false, "suffix" : "" }, { "dropping-particle" : "", "family" : "Zhou", "given" : "Yu", "non-dropping-particle" : "", "parse-names" : false, "suffix" : "" }, { "dropping-particle" : "", "family" : "Huang", "given" : "Jie", "non-dropping-particle" : "", "parse-names" : false, "suffix" : "" }, { "dropping-particle" : "", "family" : "Zhao", "given" : "Xiaolu", "non-dropping-particle" : "", "parse-names" : false, "suffix" : "" }, { "dropping-particle" : "", "family" : "Zhou", "given" : "Jie", "non-dropping-particle" : "", "parse-names" : false, "suffix" : "" }, { "dropping-particle" : "", "family" : "Yan", "given" : "Yun", "non-dropping-particle" : "", "parse-names" : false, "suffix" : "" }, { "dropping-particle" : "", "family" : "Zhang", "given" : "Huiqiong", "non-dropping-particle" : "", "parse-names" : false, "suffix" : "" }, { "dropping-particle" : "", "family" : "Guo", "given" : "Peipei", "non-dropping-particle" : "", "parse-names" : false, "suffix" : "" }, { "dropping-particle" : "", "family" : "Sun", "given" : "Hui", "non-dropping-particle" : "", "parse-names" : false, "suffix" : "" }, { "dropping-particle" : "", "family" : "Guo", "given" : "Lin", "non-dropping-particle" : "", "parse-names" : false, "suffix" : "" }, { "dropping-particle" : "", "family" : "Zhang", "given" : "Yi", "non-dropping-particle" : "", "parse-names" : false, "suffix" : "" }, { "dropping-particle" : "", "family" : "Fu", "given" : "Xiang-Dong", "non-dropping-particle" : "", "parse-names" : false, "suffix" : "" } ], "container-title" : "Cell", "id" : "ITEM-1", "issue" : "3", "issued" : { "date-parts" : [ [ "2014", "7", "31" ] ] }, "page" : "607-19", "title" : "MicroRNA directly enhances mitochondrial translation during muscle differentiation.", "type" : "article-journal", "volume" : "158" }, "uris" : [ "http://www.mendeley.com/documents/?uuid=8241ac80-511e-461b-9ae7-cb2a70fb93c0" ] } ], "mendeley" : { "formattedCitation" : "(Xiaorong Zhang et al., 2014)", "plainTextFormattedCitation" : "(Xiaorong Zhang et al., 2014)", "previouslyFormattedCitation" : "(Xiaorong Zhang et al., 2014)" }, "properties" : { "noteIndex" : 0 }, "schema" : "https://github.com/citation-style-language/schema/raw/master/csl-citation.json" }</w:instrText>
      </w:r>
      <w:r>
        <w:rPr>
          <w:rFonts w:ascii="Calibri" w:hAnsi="Calibri" w:cs="Arial"/>
        </w:rPr>
        <w:fldChar w:fldCharType="separate"/>
      </w:r>
      <w:r w:rsidR="00C651FB" w:rsidRPr="00C651FB">
        <w:rPr>
          <w:rFonts w:ascii="Calibri" w:hAnsi="Calibri" w:cs="Arial"/>
          <w:noProof/>
        </w:rPr>
        <w:t>(Xiaorong Zhang et al., 2014)</w:t>
      </w:r>
      <w:r>
        <w:rPr>
          <w:rFonts w:ascii="Calibri" w:hAnsi="Calibri" w:cs="Arial"/>
        </w:rPr>
        <w:fldChar w:fldCharType="end"/>
      </w:r>
      <w:r>
        <w:rPr>
          <w:rFonts w:ascii="Calibri" w:hAnsi="Calibri" w:cs="Arial"/>
        </w:rPr>
        <w:t>.</w:t>
      </w:r>
      <w:r w:rsidRPr="00C4343E">
        <w:rPr>
          <w:rFonts w:ascii="Calibri" w:hAnsi="Calibri" w:cs="Arial"/>
        </w:rPr>
        <w:t xml:space="preserve"> </w:t>
      </w:r>
      <w:r>
        <w:rPr>
          <w:rFonts w:ascii="Calibri" w:hAnsi="Calibri" w:cs="Arial"/>
        </w:rPr>
        <w:t>Roles</w:t>
      </w:r>
      <w:r w:rsidRPr="00C4343E">
        <w:rPr>
          <w:rFonts w:ascii="Calibri" w:hAnsi="Calibri" w:cs="Arial"/>
        </w:rPr>
        <w:t xml:space="preserve"> in mitochondrial transcription regulation have been </w:t>
      </w:r>
      <w:r>
        <w:rPr>
          <w:rFonts w:ascii="Calibri" w:hAnsi="Calibri" w:cs="Arial"/>
        </w:rPr>
        <w:t xml:space="preserve">so far </w:t>
      </w:r>
      <w:r w:rsidRPr="00C4343E">
        <w:rPr>
          <w:rFonts w:ascii="Calibri" w:hAnsi="Calibri" w:cs="Arial"/>
        </w:rPr>
        <w:t xml:space="preserve">documented </w:t>
      </w:r>
      <w:r>
        <w:rPr>
          <w:rFonts w:ascii="Calibri" w:hAnsi="Calibri" w:cs="Arial"/>
        </w:rPr>
        <w:t xml:space="preserve">only </w:t>
      </w:r>
      <w:r w:rsidRPr="00C4343E">
        <w:rPr>
          <w:rFonts w:ascii="Calibri" w:hAnsi="Calibri" w:cs="Arial"/>
        </w:rPr>
        <w:t xml:space="preserve">in plants </w:t>
      </w:r>
      <w:r w:rsidRPr="00C4343E">
        <w:rPr>
          <w:rFonts w:ascii="Calibri" w:hAnsi="Calibri" w:cs="Arial"/>
        </w:rPr>
        <w:fldChar w:fldCharType="begin" w:fldLock="1"/>
      </w:r>
      <w:r w:rsidRPr="00C4343E">
        <w:rPr>
          <w:rFonts w:ascii="Calibri" w:hAnsi="Calibri" w:cs="Arial"/>
        </w:rPr>
        <w:instrText>ADDIN CSL_CITATION { "citationItems" : [ { "id" : "ITEM-1", "itemData" : { "DOI" : "10.1016/j.biochi.2015.06.027", "ISSN" : "03009084", "abstract" : "Originally focused on the nuclear and cytosolic compartments, the concept of regulation driven by non-coding RNAs (ncRNAs) is extending to mitochondria and chloroplasts. These organelles have distinct genetic systems that need coordination with cellular demands. In mammals, nuclear-encoded microRNAs were found associated with the mitochondria. Some of these contribute to the regulation of mitochondrial transcription and translation. Others were proposed to be stored in the organelles and to be released for regulation of nuclear transcripts. Further ncRNAs of various sizes derive from the mitochondrial genome and it was speculated that organelles host antisense or RNA interference pathways. Long ncRNAs mapping to the mitochondrial DNA seem to operate in the nucleus. Altogether, the origin and trafficking of ncRNAs categorized as mitochondrial in mammals raise questions far beyond the current knowledge. In protozoa, hundreds of guide RNAs specify editing events needed to generate functional messenger RNAs. Only few ncRNAs have been reported in plant mitochondria, but editing sites were revealed in non-coding regions of the organellar genome, suggesting that the corresponding transcripts have a function. Conversely, numerous ncRNA candidates were identified in chloroplasts, essentially mapping to the plastid genome. A synthetic view of the data with their functional implications is given here.", "author" : [ { "dropping-particle" : "", "family" : "Dietrich", "given" : "Andr\u00e9", "non-dropping-particle" : "", "parse-names" : false, "suffix" : "" }, { "dropping-particle" : "", "family" : "Wallet", "given" : "Cl\u00e9mentine", "non-dropping-particle" : "", "parse-names" : false, "suffix" : "" }, { "dropping-particle" : "", "family" : "Iqbal", "given" : "Rana Khalid", "non-dropping-particle" : "", "parse-names" : false, "suffix" : "" }, { "dropping-particle" : "", "family" : "Gualberto", "given" : "Jos\u00e9 M.", "non-dropping-particle" : "", "parse-names" : false, "suffix" : "" }, { "dropping-particle" : "", "family" : "Lotfi", "given" : "Fr\u00e9d\u00e9rique", "non-dropping-particle" : "", "parse-names" : false, "suffix" : "" } ], "container-title" : "Biochimie", "id" : "ITEM-1", "issued" : { "date-parts" : [ [ "2015", "10" ] ] }, "page" : "48-62", "title" : "Organellar non-coding RNAs: Emerging regulation mechanisms", "type" : "article-journal", "volume" : "117" }, "uris" : [ "http://www.mendeley.com/documents/?uuid=a1c5453d-c7bb-43f3-91b2-36af27220a08" ] } ], "mendeley" : { "formattedCitation" : "(Dietrich, Wallet, Iqbal, Gualberto, &amp; Lotfi, 2015)", "plainTextFormattedCitation" : "(Dietrich, Wallet, Iqbal, Gualberto, &amp; Lotfi, 2015)", "previouslyFormattedCitation" : "(Dietrich, Wallet, Iqbal, Gualberto, &amp; Lotfi, 2015)"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(Dietrich, Wallet, Iqbal, Gualberto, &amp; Lotfi, 2015)</w:t>
      </w:r>
      <w:r w:rsidRPr="00C4343E">
        <w:rPr>
          <w:rFonts w:ascii="Calibri" w:hAnsi="Calibri" w:cs="Arial"/>
        </w:rPr>
        <w:fldChar w:fldCharType="end"/>
      </w:r>
      <w:r>
        <w:rPr>
          <w:rFonts w:ascii="Calibri" w:hAnsi="Calibri" w:cs="Arial"/>
        </w:rPr>
        <w:t>, with similar studies lacking in mammals</w:t>
      </w:r>
      <w:r w:rsidRPr="00C4343E">
        <w:rPr>
          <w:rFonts w:ascii="Calibri" w:hAnsi="Calibri" w:cs="Arial"/>
        </w:rPr>
        <w:t>.</w:t>
      </w:r>
    </w:p>
    <w:p w14:paraId="0AE17F08" w14:textId="0F7FF7E6" w:rsidR="00F90B92" w:rsidRDefault="00F90B92" w:rsidP="005837A4">
      <w:pPr>
        <w:spacing w:line="480" w:lineRule="auto"/>
        <w:jc w:val="both"/>
        <w:rPr>
          <w:rFonts w:ascii="Calibri" w:hAnsi="Calibri" w:cs="Arial"/>
        </w:rPr>
      </w:pPr>
    </w:p>
    <w:p w14:paraId="25FE24C5" w14:textId="77777777" w:rsidR="006F6A97" w:rsidRPr="00B453E8" w:rsidRDefault="006F6A97" w:rsidP="005837A4">
      <w:pPr>
        <w:spacing w:line="480" w:lineRule="auto"/>
        <w:jc w:val="both"/>
        <w:rPr>
          <w:rFonts w:ascii="Calibri" w:hAnsi="Calibri" w:cs="Arial"/>
          <w:b/>
        </w:rPr>
      </w:pPr>
    </w:p>
    <w:p w14:paraId="5034EE33" w14:textId="68C51C6C" w:rsidR="00AE56C9" w:rsidRDefault="00A25217" w:rsidP="005837A4">
      <w:pPr>
        <w:pStyle w:val="Heading3"/>
      </w:pPr>
      <w:r>
        <w:t>2.2.3</w:t>
      </w:r>
      <w:r>
        <w:tab/>
      </w:r>
      <w:r w:rsidR="00804AFF">
        <w:t>siRNA</w:t>
      </w:r>
      <w:r w:rsidR="00637989">
        <w:t xml:space="preserve"> and miRNA</w:t>
      </w:r>
      <w:r w:rsidR="00804AFF">
        <w:t xml:space="preserve"> mediated immune responses</w:t>
      </w:r>
      <w:r w:rsidR="00366466">
        <w:t>.</w:t>
      </w:r>
    </w:p>
    <w:p w14:paraId="3CEB8252" w14:textId="77777777" w:rsidR="00804AFF" w:rsidRPr="00804AFF" w:rsidRDefault="00804AFF" w:rsidP="005837A4">
      <w:pPr>
        <w:spacing w:line="480" w:lineRule="auto"/>
      </w:pPr>
    </w:p>
    <w:p w14:paraId="186C1BFA" w14:textId="2C611E82" w:rsidR="00D22293" w:rsidRDefault="00A4049C" w:rsidP="005837A4">
      <w:pPr>
        <w:spacing w:line="480" w:lineRule="auto"/>
        <w:jc w:val="both"/>
        <w:rPr>
          <w:rFonts w:ascii="Calibri" w:hAnsi="Calibri" w:cs="Arial"/>
        </w:rPr>
      </w:pPr>
      <w:r>
        <w:rPr>
          <w:rFonts w:ascii="Calibri" w:hAnsi="Calibri" w:cs="Arial"/>
        </w:rPr>
        <w:t xml:space="preserve">RNAi </w:t>
      </w:r>
      <w:r w:rsidR="00276E12">
        <w:rPr>
          <w:rFonts w:ascii="Calibri" w:hAnsi="Calibri" w:cs="Arial"/>
        </w:rPr>
        <w:t>mediators</w:t>
      </w:r>
      <w:r w:rsidR="00E02697">
        <w:rPr>
          <w:rFonts w:ascii="Calibri" w:hAnsi="Calibri" w:cs="Arial"/>
        </w:rPr>
        <w:t xml:space="preserve"> are</w:t>
      </w:r>
      <w:r w:rsidR="00E02697" w:rsidRPr="00C4343E">
        <w:rPr>
          <w:rFonts w:ascii="Calibri" w:hAnsi="Calibri" w:cs="Arial"/>
        </w:rPr>
        <w:t xml:space="preserve"> </w:t>
      </w:r>
      <w:r w:rsidR="00095633">
        <w:rPr>
          <w:rFonts w:ascii="Calibri" w:hAnsi="Calibri" w:cs="Arial"/>
        </w:rPr>
        <w:t xml:space="preserve">now understood to be </w:t>
      </w:r>
      <w:r w:rsidR="00E02697" w:rsidRPr="00C4343E">
        <w:rPr>
          <w:rFonts w:ascii="Calibri" w:hAnsi="Calibri" w:cs="Arial"/>
        </w:rPr>
        <w:t xml:space="preserve">natural agonists of multiple pathogen associated molecular pattern receptors </w:t>
      </w:r>
      <w:r w:rsidR="00276E12">
        <w:rPr>
          <w:rFonts w:ascii="Calibri" w:hAnsi="Calibri" w:cs="Arial"/>
        </w:rPr>
        <w:t>(Tab</w:t>
      </w:r>
      <w:r w:rsidR="003170D2">
        <w:rPr>
          <w:rFonts w:ascii="Calibri" w:hAnsi="Calibri" w:cs="Arial"/>
        </w:rPr>
        <w:t>le 1</w:t>
      </w:r>
      <w:r w:rsidR="00276E12">
        <w:rPr>
          <w:rFonts w:ascii="Calibri" w:hAnsi="Calibri" w:cs="Arial"/>
        </w:rPr>
        <w:t xml:space="preserve">) </w:t>
      </w:r>
      <w:r w:rsidR="00E02697" w:rsidRPr="00C4343E">
        <w:rPr>
          <w:rFonts w:ascii="Calibri" w:hAnsi="Calibri" w:cs="Arial"/>
        </w:rPr>
        <w:t>such as the toll-like receptor (T</w:t>
      </w:r>
      <w:r w:rsidR="00E02697">
        <w:rPr>
          <w:rFonts w:ascii="Calibri" w:hAnsi="Calibri" w:cs="Arial"/>
        </w:rPr>
        <w:t xml:space="preserve">LR) family members 3 </w:t>
      </w:r>
      <w:r w:rsidR="00281F68">
        <w:rPr>
          <w:rFonts w:ascii="Calibri" w:hAnsi="Calibri" w:cs="Arial"/>
        </w:rPr>
        <w:fldChar w:fldCharType="begin" w:fldLock="1"/>
      </w:r>
      <w:r w:rsidR="00281F68">
        <w:rPr>
          <w:rFonts w:ascii="Calibri" w:hAnsi="Calibri" w:cs="Arial"/>
        </w:rPr>
        <w:instrText>ADDIN CSL_CITATION { "citationItems" : [ { "id" : "ITEM-1", "itemData" : { "DOI" : "10.1038/nature06765", "ISSN" : "1476-4687", "PMID" : "18368052", "abstract" : "Clinical trials of small interfering RNA (siRNA) targeting vascular endothelial growth factor-A (VEGFA) or its receptor VEGFR1 (also called FLT1), in patients with blinding choroidal neovascularization (CNV) from age-related macular degeneration, are premised on gene silencing by means of intracellular RNA interference (RNAi). We show instead that CNV inhibition is a siRNA-class effect: 21-nucleotide or longer siRNAs targeting non-mammalian genes, non-expressed genes, non-genomic sequences, pro- and anti-angiogenic genes, and RNAi-incompetent siRNAs all suppressed CNV in mice comparably to siRNAs targeting Vegfa or Vegfr1 without off-target RNAi or interferon-alpha/beta activation. Non-targeted (against non-mammalian genes) and targeted (against Vegfa or Vegfr1) siRNA suppressed CNV via cell-surface toll-like receptor 3 (TLR3), its adaptor TRIF, and induction of interferon-gamma and interleukin-12. Non-targeted siRNA suppressed dermal neovascularization in mice as effectively as Vegfa siRNA. siRNA-induced inhibition of neovascularization required a minimum length of 21 nucleotides, a bridging necessity in a modelled 2:1 TLR3-RNA complex. Choroidal endothelial cells from people expressing the TLR3 coding variant 412FF were refractory to extracellular siRNA-induced cytotoxicity, facilitating individualized pharmacogenetic therapy. Multiple human endothelial cell types expressed surface TLR3, indicating that generic siRNAs might treat angiogenic disorders that affect 8% of the world's population, and that siRNAs might induce unanticipated vascular or immune effects.", "author" : [ { "dropping-particle" : "", "family" : "Kleinman", "given" : "Mark E", "non-dropping-particle" : "", "parse-names" : false, "suffix" : "" }, { "dropping-particle" : "", "family" : "Yamada", "given" : "Kiyoshi", "non-dropping-particle" : "", "parse-names" : false, "suffix" : "" }, { "dropping-particle" : "", "family" : "Takeda", "given" : "Atsunobu", "non-dropping-particle" : "", "parse-names" : false, "suffix" : "" }, { "dropping-particle" : "", "family" : "Chandrasekaran", "given" : "Vasu", "non-dropping-particle" : "", "parse-names" : false, "suffix" : "" }, { "dropping-particle" : "", "family" : "Nozaki", "given" : "Miho", "non-dropping-particle" : "", "parse-names" : false, "suffix" : "" }, { "dropping-particle" : "", "family" : "Baffi", "given" : "Judit Z", "non-dropping-particle" : "", "parse-names" : false, "suffix" : "" }, { "dropping-particle" : "", "family" : "Albuquerque", "given" : "Romulo J C", "non-dropping-particle" : "", "parse-names" : false, "suffix" : "" }, { "dropping-particle" : "", "family" : "Yamasaki", "given" : "Satoshi", "non-dropping-particle" : "", "parse-names" : false, "suffix" : "" }, { "dropping-particle" : "", "family" : "Itaya", "given" : "Masahiro", "non-dropping-particle" : "", "parse-names" : false, "suffix" : "" }, { "dropping-particle" : "", "family" : "Pan", "given" : "Yuzhen", "non-dropping-particle" : "", "parse-names" : false, "suffix" : "" }, { "dropping-particle" : "", "family" : "Appukuttan", "given" : "Binoy", "non-dropping-particle" : "", "parse-names" : false, "suffix" : "" }, { "dropping-particle" : "", "family" : "Gibbs", "given" : "Daniel", "non-dropping-particle" : "", "parse-names" : false, "suffix" : "" }, { "dropping-particle" : "", "family" : "Yang", "given" : "Zhenglin", "non-dropping-particle" : "", "parse-names" : false, "suffix" : "" }, { "dropping-particle" : "", "family" : "Karik\u00f3", "given" : "Katalin", "non-dropping-particle" : "", "parse-names" : false, "suffix" : "" }, { "dropping-particle" : "", "family" : "Ambati", "given" : "Balamurali K", "non-dropping-particle" : "", "parse-names" : false, "suffix" : "" }, { "dropping-particle" : "", "family" : "Wilgus", "given" : "Traci A", "non-dropping-particle" : "", "parse-names" : false, "suffix" : "" }, { "dropping-particle" : "", "family" : "DiPietro", "given" : "Luisa A", "non-dropping-particle" : "", "parse-names" : false, "suffix" : "" }, { "dropping-particle" : "", "family" : "Sakurai", "given" : "Eiji", "non-dropping-particle" : "", "parse-names" : false, "suffix" : "" }, { "dropping-particle" : "", "family" : "Zhang", "given" : "Kang", "non-dropping-particle" : "", "parse-names" : false, "suffix" : "" }, { "dropping-particle" : "", "family" : "Smith", "given" : "Justine R", "non-dropping-particle" : "", "parse-names" : false, "suffix" : "" }, { "dropping-particle" : "", "family" : "Taylor", "given" : "Ethan W", "non-dropping-particle" : "", "parse-names" : false, "suffix" : "" }, { "dropping-particle" : "", "family" : "Ambati", "given" : "Jayakrishna", "non-dropping-particle" : "", "parse-names" : false, "suffix" : "" } ], "container-title" : "Nature", "id" : "ITEM-1", "issue" : "7187", "issued" : { "date-parts" : [ [ "2008", "4", "3" ] ] }, "page" : "591-7", "title" : "Sequence- and target-independent angiogenesis suppression by siRNA via TLR3.", "type" : "article-journal", "volume" : "452" }, "uris" : [ "http://www.mendeley.com/documents/?uuid=ebae19db-479d-4a34-b38f-be92b9297a26" ] }, { "id" : "ITEM-2", "itemData" : { "DOI" : "10.1073/pnas.0812317106", "ISSN" : "1091-6490", "PMID" : "19359485", "abstract" : "Neovascularization in response to tissue injury consists of the dual invasion of blood (hemangiogenesis) and lymphatic (lymphangiogenesis) vessels. We reported recently that 21-nt or longer small interfering RNAs (siRNAs) can suppress hemangiogenesis in mouse models of choroidal neovascularization and dermal wound healing independently of RNA interference by directly activating Toll-like receptor 3 (TLR3), a double-stranded RNA immune receptor, on the cell surface of blood endothelial cells. Here, we show that a 21-nt nontargeted siRNA suppresses both hemangiogenesis and lymphangiogenesis in mouse models of neovascularization induced by corneal sutures or hindlimb ischemia as efficiently as a 21-nt siRNA targeting vascular endothelial growth factor-A. In contrast, a 7-nt nontargeted siRNA, which is too short to activate TLR3, does not block hemangiogenesis or lymphangiogenesis in these models. Exposure to 21-nt siRNA, which we demonstrate is not internalized unless cell-permeating moieties are used, triggers phosphorylation of cell surface TLR3 on lymphatic endothelial cells and induces apoptosis. These findings introduce TLR3 activation as a method of jointly suppressing blood and lymphatic neovascularization and simultaneously raise new concerns about the undesirable effects of siRNAs on both circulatory systems.", "author" : [ { "dropping-particle" : "", "family" : "Cho", "given" : "Won Gil", "non-dropping-particle" : "", "parse-names" : false, "suffix" : "" }, { "dropping-particle" : "", "family" : "Albuquerque", "given" : "Romulo J C", "non-dropping-particle" : "", "parse-names" : false, "suffix" : "" }, { "dropping-particle" : "", "family" : "Kleinman", "given" : "Mark E", "non-dropping-particle" : "", "parse-names" : false, "suffix" : "" }, { "dropping-particle" : "", "family" : "Tarallo", "given" : "Valeria", "non-dropping-particle" : "", "parse-names" : false, "suffix" : "" }, { "dropping-particle" : "", "family" : "Greco", "given" : "Adelaide", "non-dropping-particle" : "", "parse-names" : false, "suffix" : "" }, { "dropping-particle" : "", "family" : "Nozaki", "given" : "Miho", "non-dropping-particle" : "", "parse-names" : false, "suffix" : "" }, { "dropping-particle" : "", "family" : "Green", "given" : "Martha G", "non-dropping-particle" : "", "parse-names" : false, "suffix" : "" }, { "dropping-particle" : "", "family" : "Baffi", "given" : "Judit Z", "non-dropping-particle" : "", "parse-names" : false, "suffix" : "" }, { "dropping-particle" : "", "family" : "Ambati", "given" : "Balamurali K", "non-dropping-particle" : "", "parse-names" : false, "suffix" : "" }, { "dropping-particle" : "", "family" : "Falco", "given" : "Massimo", "non-dropping-particle" : "De", "parse-names" : false, "suffix" : "" }, { "dropping-particle" : "", "family" : "Alexander", "given" : "Jonathan S", "non-dropping-particle" : "", "parse-names" : false, "suffix" : "" }, { "dropping-particle" : "", "family" : "Brunetti", "given" : "Arturo", "non-dropping-particle" : "", "parse-names" : false, "suffix" : "" }, { "dropping-particle" : "", "family" : "Falco", "given" : "Sandro", "non-dropping-particle" : "De", "parse-names" : false, "suffix" : "" }, { "dropping-particle" : "", "family" : "Ambati", "given" : "Jayakrishna", "non-dropping-particle" : "", "parse-names" : false, "suffix" : "" } ], "container-title" : "Proceedings of the National Academy of Sciences of the United States of America", "id" : "ITEM-2", "issue" : "17", "issued" : { "date-parts" : [ [ "2009", "4", "28" ] ] }, "page" : "7137-42", "title" : "Small interfering RNA-induced TLR3 activation inhibits blood and lymphatic vessel growth.", "type" : "article-journal", "volume" : "106" }, "uris" : [ "http://www.mendeley.com/documents/?uuid=57dd67d9-16ec-4df0-b41f-eb7bb61af424" ] } ], "mendeley" : { "formattedCitation" : "(Cho et al., 2009; Kleinman et al., 2008)", "plainTextFormattedCitation" : "(Cho et al., 2009; Kleinman et al., 2008)", "previouslyFormattedCitation" : "(Cho et al., 2009; Kleinman et al., 2008)" }, "properties" : { "noteIndex" : 0 }, "schema" : "https://github.com/citation-style-language/schema/raw/master/csl-citation.json" }</w:instrText>
      </w:r>
      <w:r w:rsidR="00281F68">
        <w:rPr>
          <w:rFonts w:ascii="Calibri" w:hAnsi="Calibri" w:cs="Arial"/>
        </w:rPr>
        <w:fldChar w:fldCharType="separate"/>
      </w:r>
      <w:r w:rsidR="00281F68" w:rsidRPr="00B85352">
        <w:rPr>
          <w:rFonts w:ascii="Calibri" w:hAnsi="Calibri" w:cs="Arial"/>
          <w:noProof/>
        </w:rPr>
        <w:t>(Cho et al., 2009; Kleinman et al., 2008)</w:t>
      </w:r>
      <w:r w:rsidR="00281F68">
        <w:rPr>
          <w:rFonts w:ascii="Calibri" w:hAnsi="Calibri" w:cs="Arial"/>
        </w:rPr>
        <w:fldChar w:fldCharType="end"/>
      </w:r>
      <w:r w:rsidR="00281F68">
        <w:rPr>
          <w:rFonts w:ascii="Calibri" w:hAnsi="Calibri" w:cs="Arial"/>
        </w:rPr>
        <w:t xml:space="preserve">, </w:t>
      </w:r>
      <w:r w:rsidR="00E02697">
        <w:rPr>
          <w:rFonts w:ascii="Calibri" w:hAnsi="Calibri" w:cs="Arial"/>
        </w:rPr>
        <w:t xml:space="preserve">7 and 8 </w:t>
      </w:r>
      <w:r w:rsidR="00E02697">
        <w:rPr>
          <w:rFonts w:ascii="Calibri" w:hAnsi="Calibri" w:cs="Arial"/>
        </w:rPr>
        <w:fldChar w:fldCharType="begin" w:fldLock="1"/>
      </w:r>
      <w:r w:rsidR="00E02697">
        <w:rPr>
          <w:rFonts w:ascii="Calibri" w:hAnsi="Calibri" w:cs="Arial"/>
        </w:rPr>
        <w:instrText>ADDIN CSL_CITATION { "citationItems" : [ { "id" : "ITEM-1", "itemData" : { "DOI" : "10.1038/nm1191", "ISSN" : "1078-8956", "PMID" : "15723075", "abstract" : "Short interfering RNA (siRNA) is used in RNA interference technology to avoid non-target-related induction of type I interferon (IFN) typical for long double-stranded RNA. Here we show that in plasmacytoid dendritic cells (PDC), an immune cell subset specialized in the detection of viral nucleic acids and production of type I IFN, some siRNA sequences, independent of their GU content, are potent stimuli of IFN-alpha production. Localization of the immunostimulatory motif on the sense strand of a potent IFN-alpha-inducing siRNA allowed dissection of immunostimulation and target silencing. Injection into mice of immunostimulatory siRNA, when complexed with cationic liposomes, induced systemic immune responses in the same range as the TLR9 ligand CpG, including IFN-alpha in serum and activation of T cells and dendritic cells in spleen. Immunostimulation by siRNA was absent in TLR7-deficient mice. Thus sequence-specific TLR7-dependent immune recognition in PDC needs to be considered as an additional biological activity of siRNA, which then should be termed immunostimulatory RNA (isRNA).", "author" : [ { "dropping-particle" : "", "family" : "Hornung", "given" : "Veit", "non-dropping-particle" : "", "parse-names" : false, "suffix" : "" }, { "dropping-particle" : "", "family" : "Guenthner-Biller", "given" : "Margit", "non-dropping-particle" : "", "parse-names" : false, "suffix" : "" }, { "dropping-particle" : "", "family" : "Bourquin", "given" : "Carole", "non-dropping-particle" : "", "parse-names" : false, "suffix" : "" }, { "dropping-particle" : "", "family" : "Ablasser", "given" : "Andrea", "non-dropping-particle" : "", "parse-names" : false, "suffix" : "" }, { "dropping-particle" : "", "family" : "Schlee", "given" : "Martin", "non-dropping-particle" : "", "parse-names" : false, "suffix" : "" }, { "dropping-particle" : "", "family" : "Uematsu", "given" : "Satoshi", "non-dropping-particle" : "", "parse-names" : false, "suffix" : "" }, { "dropping-particle" : "", "family" : "Noronha", "given" : "Anne", "non-dropping-particle" : "", "parse-names" : false, "suffix" : "" }, { "dropping-particle" : "", "family" : "Manoharan", "given" : "Muthiah", "non-dropping-particle" : "", "parse-names" : false, "suffix" : "" }, { "dropping-particle" : "", "family" : "Akira", "given" : "Shizuo", "non-dropping-particle" : "", "parse-names" : false, "suffix" : "" }, { "dropping-particle" : "", "family" : "Fougerolles", "given" : "Antonin", "non-dropping-particle" : "de", "parse-names" : false, "suffix" : "" }, { "dropping-particle" : "", "family" : "Endres", "given" : "Stefan", "non-dropping-particle" : "", "parse-names" : false, "suffix" : "" }, { "dropping-particle" : "", "family" : "Hartmann", "given" : "Gunther", "non-dropping-particle" : "", "parse-names" : false, "suffix" : "" } ], "container-title" : "Nature medicine", "id" : "ITEM-1", "issue" : "3", "issued" : { "date-parts" : [ [ "2005", "3" ] ] }, "page" : "263-70", "title" : "Sequence-specific potent induction of IFN-alpha by short interfering RNA in plasmacytoid dendritic cells through TLR7.", "type" : "article-journal", "volume" : "11" }, "uris" : [ "http://www.mendeley.com/documents/?uuid=aab1ab2a-c0db-4673-9d57-1e99e20b0831" ] }, { "id" : "ITEM-2", "itemData" : { "DOI" : "10.1038/nbt1081", "ISSN" : "1087-0156", "PMID" : "15778705", "abstract" : "Short interfering RNAs (siRNAs) that mediate specific gene silencing through RNA interference (RNAi) are widely used to study gene function and are also being developed for therapeutic applications. Many nucleic acids, including double- (dsRNA) and single-stranded RNA (ssRNA), can stimulate innate cytokine responses in mammals. Despite this, few studies have questioned whether siRNA may have a similar effect on the immune system. This could significantly influence the in vivo application of siRNA owing to off-target effects and toxicities associated with immune stimulation. Here we report that synthetic siRNAs formulated in nonviral delivery vehicles can be potent inducers of interferons and inflammatory cytokines both in vivo in mice and in vitro in human blood. The immunostimulatory activity of formulated siRNAs and the associated toxicities are dependent on the nucleotide sequence. We have identified putative immunostimulatory motifs that have allowed the design of siRNAs that can mediate RNAi but induce minimal immune activation.", "author" : [ { "dropping-particle" : "", "family" : "Judge", "given" : "Adam D", "non-dropping-particle" : "", "parse-names" : false, "suffix" : "" }, { "dropping-particle" : "", "family" : "Sood", "given" : "Vandana", "non-dropping-particle" : "", "parse-names" : false, "suffix" : "" }, { "dropping-particle" : "", "family" : "Shaw", "given" : "Janet R", "non-dropping-particle" : "", "parse-names" : false, "suffix" : "" }, { "dropping-particle" : "", "family" : "Fang", "given" : "Dianne", "non-dropping-particle" : "", "parse-names" : false, "suffix" : "" }, { "dropping-particle" : "", "family" : "McClintock", "given" : "Kevin", "non-dropping-particle" : "", "parse-names" : false, "suffix" : "" }, { "dropping-particle" : "", "family" : "MacLachlan", "given" : "Ian", "non-dropping-particle" : "", "parse-names" : false, "suffix" : "" } ], "container-title" : "Nature biotechnology", "id" : "ITEM-2", "issue" : "4", "issued" : { "date-parts" : [ [ "2005", "4" ] ] }, "page" : "457-62", "publisher" : "Nature Publishing Group", "title" : "Sequence-dependent stimulation of the mammalian innate immune response by synthetic siRNA.", "title-short" : "Nat Biotech", "type" : "article-journal", "volume" : "23" }, "uris" : [ "http://www.mendeley.com/documents/?uuid=70d2a2be-0580-4df3-8631-882839059400" ] } ], "mendeley" : { "formattedCitation" : "(Hornung et al., 2005; Judge et al., 2005)", "plainTextFormattedCitation" : "(Hornung et al., 2005; Judge et al., 2005)", "previouslyFormattedCitation" : "(Hornung et al., 2005; Judge et al., 2005)" }, "properties" : { "noteIndex" : 0 }, "schema" : "https://github.com/citation-style-language/schema/raw/master/csl-citation.json" }</w:instrText>
      </w:r>
      <w:r w:rsidR="00E02697">
        <w:rPr>
          <w:rFonts w:ascii="Calibri" w:hAnsi="Calibri" w:cs="Arial"/>
        </w:rPr>
        <w:fldChar w:fldCharType="separate"/>
      </w:r>
      <w:r w:rsidR="00E02697" w:rsidRPr="00592C49">
        <w:rPr>
          <w:rFonts w:ascii="Calibri" w:hAnsi="Calibri" w:cs="Arial"/>
          <w:noProof/>
        </w:rPr>
        <w:t>(Hornung et al., 2005; Judge et al., 2005)</w:t>
      </w:r>
      <w:r w:rsidR="00E02697">
        <w:rPr>
          <w:rFonts w:ascii="Calibri" w:hAnsi="Calibri" w:cs="Arial"/>
        </w:rPr>
        <w:fldChar w:fldCharType="end"/>
      </w:r>
      <w:r w:rsidR="00095633">
        <w:rPr>
          <w:rFonts w:ascii="Calibri" w:hAnsi="Calibri" w:cs="Arial"/>
        </w:rPr>
        <w:t xml:space="preserve">. </w:t>
      </w:r>
      <w:r w:rsidR="00095633">
        <w:rPr>
          <w:rFonts w:ascii="Calibri" w:hAnsi="Calibri" w:cs="Arial"/>
        </w:rPr>
        <w:lastRenderedPageBreak/>
        <w:t>Their activation</w:t>
      </w:r>
      <w:r w:rsidR="00E02697">
        <w:rPr>
          <w:rFonts w:ascii="Calibri" w:hAnsi="Calibri" w:cs="Arial"/>
        </w:rPr>
        <w:t xml:space="preserve"> driv</w:t>
      </w:r>
      <w:r w:rsidR="00095633">
        <w:rPr>
          <w:rFonts w:ascii="Calibri" w:hAnsi="Calibri" w:cs="Arial"/>
        </w:rPr>
        <w:t>es</w:t>
      </w:r>
      <w:r w:rsidR="00E02697">
        <w:rPr>
          <w:rFonts w:ascii="Calibri" w:hAnsi="Calibri" w:cs="Arial"/>
        </w:rPr>
        <w:t xml:space="preserve"> the release of </w:t>
      </w:r>
      <w:r w:rsidR="00C60AA7">
        <w:rPr>
          <w:rFonts w:ascii="Calibri" w:hAnsi="Calibri" w:cs="Arial"/>
        </w:rPr>
        <w:t>various</w:t>
      </w:r>
      <w:r w:rsidR="00E02697">
        <w:rPr>
          <w:rFonts w:ascii="Calibri" w:hAnsi="Calibri" w:cs="Arial"/>
        </w:rPr>
        <w:t xml:space="preserve"> proinflammatory cytokines</w:t>
      </w:r>
      <w:r w:rsidR="00C60AA7">
        <w:rPr>
          <w:rFonts w:ascii="Calibri" w:hAnsi="Calibri" w:cs="Arial"/>
        </w:rPr>
        <w:t>,</w:t>
      </w:r>
      <w:r w:rsidR="00D22293">
        <w:rPr>
          <w:rFonts w:ascii="Calibri" w:hAnsi="Calibri" w:cs="Arial"/>
        </w:rPr>
        <w:t xml:space="preserve"> with diverse kinetics</w:t>
      </w:r>
      <w:r w:rsidR="00C60AA7">
        <w:rPr>
          <w:rFonts w:ascii="Calibri" w:hAnsi="Calibri" w:cs="Arial"/>
        </w:rPr>
        <w:t xml:space="preserve"> which can vary substantially</w:t>
      </w:r>
      <w:r w:rsidR="00D22293">
        <w:rPr>
          <w:rFonts w:ascii="Calibri" w:hAnsi="Calibri" w:cs="Arial"/>
        </w:rPr>
        <w:t xml:space="preserve"> based on host species, system complexity</w:t>
      </w:r>
      <w:r w:rsidR="00281F68">
        <w:rPr>
          <w:rFonts w:ascii="Calibri" w:hAnsi="Calibri" w:cs="Arial"/>
        </w:rPr>
        <w:t xml:space="preserve"> (</w:t>
      </w:r>
      <w:r w:rsidR="00281F68">
        <w:rPr>
          <w:rFonts w:ascii="Calibri" w:hAnsi="Calibri" w:cs="Arial"/>
          <w:i/>
        </w:rPr>
        <w:t xml:space="preserve">in vitro </w:t>
      </w:r>
      <w:r w:rsidR="00281F68">
        <w:rPr>
          <w:rFonts w:ascii="Calibri" w:hAnsi="Calibri" w:cs="Arial"/>
        </w:rPr>
        <w:t>vs</w:t>
      </w:r>
      <w:r w:rsidR="00CD7A79">
        <w:rPr>
          <w:rFonts w:ascii="Calibri" w:hAnsi="Calibri" w:cs="Arial"/>
        </w:rPr>
        <w:t>.</w:t>
      </w:r>
      <w:r w:rsidR="00281F68">
        <w:rPr>
          <w:rFonts w:ascii="Calibri" w:hAnsi="Calibri" w:cs="Arial"/>
        </w:rPr>
        <w:t xml:space="preserve"> </w:t>
      </w:r>
      <w:r w:rsidR="00281F68">
        <w:rPr>
          <w:rFonts w:ascii="Calibri" w:hAnsi="Calibri" w:cs="Arial"/>
          <w:i/>
        </w:rPr>
        <w:t>in vivo</w:t>
      </w:r>
      <w:r w:rsidR="00281F68">
        <w:rPr>
          <w:rFonts w:ascii="Calibri" w:hAnsi="Calibri" w:cs="Arial"/>
        </w:rPr>
        <w:t>)</w:t>
      </w:r>
      <w:r w:rsidR="00D22293">
        <w:rPr>
          <w:rFonts w:ascii="Calibri" w:hAnsi="Calibri" w:cs="Arial"/>
        </w:rPr>
        <w:t xml:space="preserve"> and delivery system type </w:t>
      </w:r>
      <w:r w:rsidR="00552CE7">
        <w:rPr>
          <w:rFonts w:ascii="Calibri" w:hAnsi="Calibri" w:cs="Arial"/>
        </w:rPr>
        <w:fldChar w:fldCharType="begin" w:fldLock="1"/>
      </w:r>
      <w:r w:rsidR="00877B8A">
        <w:rPr>
          <w:rFonts w:ascii="Calibri" w:hAnsi="Calibri" w:cs="Arial"/>
        </w:rPr>
        <w:instrText>ADDIN CSL_CITATION { "citationItems" : [ { "id" : "ITEM-1", "itemData" : { "ISSN" : "0022-1767", "PMID" : "18322178", "abstract" : "The TLRs 7, 8, and 9 stimulate innate immune responses upon recognizing pathogen nucleic acids. U-rich RNA sequences were recently discovered that stimulate human TLR7/8-mediated or murine TLR7-mediated immune effects. In this study we identified single-stranded RNA sequences containing defined sequence motifs that either preferentially activate human TLR8-mediated as opposed to TLR7- or TLR7/8-mediated immune responses. The identified TLR8 RNA motifs signal via TLR8 and fail to induce IFN-alpha from TLR7-expressing plasmacytoid dendritic cells but induce the secretion of Th1-like and proinflammatory cytokines from TLR8-expressing immune cells such as monocytes or myeloid dendritic cells. In contrast, RNA sequences containing the TLR7/8 motif signal via TLR7 and TLR8 and stimulate cytokine secretion from both TLR7- and TLR8-positive immunocytes. The TLR8-specific RNA sequences are able to trigger cytokine responses from human and bovine but not from mouse, rat, and porcine immune cells, suggesting that these species lack the capability to respond properly to TLR8 RNA ligands. In summary, we describe two classes of single-stranded TLR7/8 and TLR8 RNA agonists with diverse target cell and species specificities and immune response profiles.", "author" : [ { "dropping-particle" : "", "family" : "Forsbach", "given" : "Alexandra", "non-dropping-particle" : "", "parse-names" : false, "suffix" : "" }, { "dropping-particle" : "", "family" : "Nemorin", "given" : "Jean-Guy", "non-dropping-particle" : "", "parse-names" : false, "suffix" : "" }, { "dropping-particle" : "", "family" : "Montino", "given" : "Carmen", "non-dropping-particle" : "", "parse-names" : false, "suffix" : "" }, { "dropping-particle" : "", "family" : "M\u00fcller", "given" : "Christian", "non-dropping-particle" : "", "parse-names" : false, "suffix" : "" }, { "dropping-particle" : "", "family" : "Samulowitz", "given" : "Ulrike", "non-dropping-particle" : "", "parse-names" : false, "suffix" : "" }, { "dropping-particle" : "", "family" : "Vicari", "given" : "Alain P", "non-dropping-particle" : "", "parse-names" : false, "suffix" : "" }, { "dropping-particle" : "", "family" : "Jurk", "given" : "Marion", "non-dropping-particle" : "", "parse-names" : false, "suffix" : "" }, { "dropping-particle" : "", "family" : "Mutwiri", "given" : "George K", "non-dropping-particle" : "", "parse-names" : false, "suffix" : "" }, { "dropping-particle" : "", "family" : "Krieg", "given" : "Arthur M", "non-dropping-particle" : "", "parse-names" : false, "suffix" : "" }, { "dropping-particle" : "", "family" : "Lipford", "given" : "Grayson B", "non-dropping-particle" : "", "parse-names" : false, "suffix" : "" }, { "dropping-particle" : "", "family" : "Vollmer", "given" : "J\u00f6rg", "non-dropping-particle" : "", "parse-names" : false, "suffix" : "" } ], "container-title" : "Journal of immunology (Baltimore, Md. : 1950)", "id" : "ITEM-1", "issue" : "6", "issued" : { "date-parts" : [ [ "2008", "3", "15" ] ] }, "page" : "3729-38", "title" : "Identification of RNA sequence motifs stimulating sequence-specific TLR8-dependent immune responses.", "type" : "article-journal", "volume" : "180" }, "uris" : [ "http://www.mendeley.com/documents/?uuid=1e5e84a7-110e-45b0-953b-10a1d80916b9" ] }, { "id" : "ITEM-2", "itemData" : { "DOI" : "10.1093/intimm/dxt040", "ISSN" : "1460-2377", "PMID" : "24065781", "abstract" : "OBJECTIVES: The therapeutic application of small interfering RNAs (siRNAs) is limited by the induction of severe off-target effects, especially in the liver. Therefore, we assessed the potential of differently modified siRNAs to induce the hepatic innate immune system in vitro and in vivo.\n\nMETHODS: Primary isolated liver cells were transfected with siRNAs against apolipoprotein B1 (APOB1), luciferase (LUC) or galactosidase (GAL). For in vivo use, siRNAs were formulated in lipid nanoparticles (LNPs) and administered intravenously to C57BL/6 mice. Liver tissue was collected 6-48 h after injection and knock-down efficiency or immune responses were determined by quantitative reverse-transcription-linked PCR.\n\nRESULTS: Unmodified GAL siRNA transiently induced the expression of TNF-\u03b1, IL-6, IL-10, IFN-\u03b2 and IFN-sensitive gene 15 in vivo, whereas a formulation of 2'-O-methylated-LUC siRNA had no such effects. Formulation of unmodified APOB1-specific siRNA suppressed APOB1 mRNA levels by ~80% in the liver 48h after application. The results were paralleled in vitro, where transfection of liver cells with unmodified siRNAs, but not with chemically modified siRNAs, led to cell-type-specific induction of immune genes. These immune responses were not observed in MYD88-deficient mice or in chloroquine-treated cells in vitro.\n\nCONCLUSIONS: Our data indicate that siRNAs activate endosomal Toll-like receptors in different liver-derived cell types to various degrees, in vitro. LNP-formulated siRNA selectively leads to hepatic knock-down of target genes in vivo. Here, off-target immune responses are restricted to non-parenchymal liver cells. However, 2'-O-methyl modifications of siRNA largely avoid immune-stimulatory effects, which is a crucial prerequisite for the development of safe and efficient RNA-interference-based therapeutics.", "author" : [ { "dropping-particle" : "", "family" : "Broering", "given" : "Ruth", "non-dropping-particle" : "", "parse-names" : false, "suffix" : "" }, { "dropping-particle" : "", "family" : "Real", "given" : "Catherine I", "non-dropping-particle" : "", "parse-names" : false, "suffix" : "" }, { "dropping-particle" : "", "family" : "John", "given" : "Matthias J", "non-dropping-particle" : "", "parse-names" : false, "suffix" : "" }, { "dropping-particle" : "", "family" : "Jahn-Hofmann", "given" : "Kerstin", "non-dropping-particle" : "", "parse-names" : false, "suffix" : "" }, { "dropping-particle" : "", "family" : "Ickenstein", "given" : "Ludger M", "non-dropping-particle" : "", "parse-names" : false, "suffix" : "" }, { "dropping-particle" : "", "family" : "Kleinehr", "given" : "Kathrin", "non-dropping-particle" : "", "parse-names" : false, "suffix" : "" }, { "dropping-particle" : "", "family" : "Paul", "given" : "Andreas", "non-dropping-particle" : "", "parse-names" : false, "suffix" : "" }, { "dropping-particle" : "", "family" : "Gibbert", "given" : "Kathrin", "non-dropping-particle" : "", "parse-names" : false, "suffix" : "" }, { "dropping-particle" : "", "family" : "Dittmer", "given" : "Ulf", "non-dropping-particle" : "", "parse-names" : false, "suffix" : "" }, { "dropping-particle" : "", "family" : "Gerken", "given" : "Guido", "non-dropping-particle" : "", "parse-names" : false, "suffix" : "" }, { "dropping-particle" : "", "family" : "Schlaak", "given" : "Joerg F", "non-dropping-particle" : "", "parse-names" : false, "suffix" : "" } ], "container-title" : "International immunology", "id" : "ITEM-2", "issue" : "1", "issued" : { "date-parts" : [ [ "2014", "1", "1" ] ] }, "page" : "35-46", "title" : "Chemical modifications on siRNAs avoid Toll-like-receptor-mediated activation of the hepatic immune system in vivo and in vitro.", "type" : "article-journal", "volume" : "26" }, "uris" : [ "http://www.mendeley.com/documents/?uuid=29884486-1536-4ca2-8fc4-35da0b2b21d0" ] }, { "id" : "ITEM-3", "itemData" : { "DOI" : "10.1021/bc070077d", "ISBN" : "1043-1802 (Print)\r1043-1802 (Linking)", "PMID" : "17711319", "abstract" : "The therapeutic application of siRNA shows promise as an alternative approach to small-molecule inhibitors for the treatment of human disease. However, the major obstacle to its use has been the difficulty in delivering these large anionic molecules in vivo. In this study, we have investigated whether siRNA-mediated knockdown of p38 MAP kinase mRNA in mouse lung is influenced by conjugation to the nonviral delivery vector cholesterol and the cell penetrating peptides (CPP) TAT(48-60) and penetratin. Initial studies in the mouse fibroblast L929 cell line showed that siRNA conjugated to cholesterol, TAT(48-60), and penetratin, but not siRNA alone, achieved a limited reduction of p38 MAP kinase mRNA expression. Intratracheal administration of siRNA resulted in localization within macrophages and scattered epithelial cells and produced a 30-45% knockdown of p38 MAP kinase mRNA at 6 h. As with increasing doses of siRNA, conjugation to cholesterol improved upon the duration but not the magnitude of mRNA knockdown, while penetratin and TAT(48-60) had no effect. Importantly, administration of the penetratin or TAT(48-60) peptides alone caused significant reduction in p38 MAP kinase mRNA expression, while the penetratin-siRNA conjugate activated the innate immune response. Overall, these studies suggest that conjugation to cholesterol may extend but not increase siRNA-mediated p38 MAP kinase mRNA knockdown in the lung. Furthermore, the use of CPP may be limited due to as yet uncharacterized effects upon gene expression and a potential for immune activation.", "author" : [ { "dropping-particle" : "", "family" : "Moschos", "given" : "S A", "non-dropping-particle" : "", "parse-names" : false, "suffix" : "" }, { "dropping-particle" : "", "family" : "Jones", "given" : "S W", "non-dropping-particle" : "", "parse-names" : false, "suffix" : "" }, { "dropping-particle" : "", "family" : "Perry", "given" : "M M", "non-dropping-particle" : "", "parse-names" : false, "suffix" : "" }, { "dropping-particle" : "", "family" : "Williams", "given" : "A E", "non-dropping-particle" : "", "parse-names" : false, "suffix" : "" }, { "dropping-particle" : "", "family" : "Erjefalt", "given" : "J S", "non-dropping-particle" : "", "parse-names" : false, "suffix" : "" }, { "dropping-particle" : "", "family" : "Turner", "given" : "J J", "non-dropping-particle" : "", "parse-names" : false, "suffix" : "" }, { "dropping-particle" : "", "family" : "Barnes", "given" : "P J", "non-dropping-particle" : "", "parse-names" : false, "suffix" : "" }, { "dropping-particle" : "", "family" : "Sproat", "given" : "B S", "non-dropping-particle" : "", "parse-names" : false, "suffix" : "" }, { "dropping-particle" : "", "family" : "Gait", "given" : "M J", "non-dropping-particle" : "", "parse-names" : false, "suffix" : "" }, { "dropping-particle" : "", "family" : "Lindsay", "given" : "M A", "non-dropping-particle" : "", "parse-names" : false, "suffix" : "" } ], "container-title" : "Bioconjug Chem", "edition" : "2007/08/23", "id" : "ITEM-3", "issue" : "5", "issued" : { "date-parts" : [ [ "2007" ] ] }, "language" : "eng", "note" : "Moschos, Sterghios Athanasios\nJones, Simon Wyn\nPerry, Mark Michael\nWilliams, Andrew Evan\nErjefalt, Jonas Sten\nTurner, John James\nBarnes, Peter John\nSproat, Brian Stephen\nGait, Michael John\nLindsay, Mark Andrew\n076111/Wellcome Trust/United Kingdom\nBB/C508234/1/Biotechnology and Biological Sciences Research Council/United Kingdom\nBioconjug Chem. 2007 Sep-Oct;18(5):1450-9. Epub 2007 Aug 21.", "page" : "1450-1459", "title" : "Lung delivery studies using siRNA conjugated to TAT(48-60) and penetratin reveal peptide induced reduction in gene expression and induction of innate immunity", "type" : "article-journal", "volume" : "18" }, "uris" : [ "http://www.mendeley.com/documents/?uuid=adc9266f-3899-4f79-9be6-a0804058ada0" ] }, { "id" : "ITEM-4", "itemData" : { "DOI" : "10.1016/j.imlet.2011.10.001", "ISSN" : "1879-0542", "PMID" : "22001011", "abstract" : "Small interfering RNAs (siRNAs) induce robust degradation of homologous mRNAs. Highly specific silencing of target genes makes siRNA an interesting tool in drug development. However, several non-specific effects complicate the use of RNA interference (RNAi). One of the most prevalent unspecific effects is triggering the innate immune system in mammals. In parallel, activating the immune system may open the possibility to develop dual siRNAs for treatment of a variety of diseases including cancer. Here, we show that the best use of unmodified siRNAs for RNAi and immune activation depends on the delivery system, formulation condition, sequence and siRNA design concerning ORN motifs. Testing several commercial delivery systems identified that the optimal siRNAs for dual functions should contain TLR7/8 ORN motifs at least in the antisense strand and be delivered by either Dharmafect or HiPerfect. Superfect delivery system only activates TLR7 and opens new capabilities in RNAi and immune activation.", "author" : [ { "dropping-particle" : "", "family" : "Forsbach", "given" : "Alexandra", "non-dropping-particle" : "", "parse-names" : false, "suffix" : "" }, { "dropping-particle" : "", "family" : "M\u00fcller", "given" : "Christian", "non-dropping-particle" : "", "parse-names" : false, "suffix" : "" }, { "dropping-particle" : "", "family" : "Montino", "given" : "Carmen", "non-dropping-particle" : "", "parse-names" : false, "suffix" : "" }, { "dropping-particle" : "", "family" : "Kritzler", "given" : "Andrea", "non-dropping-particle" : "", "parse-names" : false, "suffix" : "" }, { "dropping-particle" : "", "family" : "Curdt", "given" : "Rainer", "non-dropping-particle" : "", "parse-names" : false, "suffix" : "" }, { "dropping-particle" : "", "family" : "Benahmed", "given" : "Amina", "non-dropping-particle" : "", "parse-names" : false, "suffix" : "" }, { "dropping-particle" : "", "family" : "Jurk", "given" : "Marion", "non-dropping-particle" : "", "parse-names" : false, "suffix" : "" }, { "dropping-particle" : "", "family" : "Vollmer", "given" : "J\u00f6rg", "non-dropping-particle" : "", "parse-names" : false, "suffix" : "" } ], "container-title" : "Immunology letters", "id" : "ITEM-4", "issue" : "2", "issued" : { "date-parts" : [ [ "2012" ] ] }, "page" : "169-80", "publisher" : "Elsevier B.V.", "title" : "Impact of delivery systems on siRNA immune activation and RNA interference.", "type" : "article-journal", "volume" : "141" }, "uris" : [ "http://www.mendeley.com/documents/?uuid=c7372ee8-4e40-4141-b34b-19d63719c3ab" ] } ], "mendeley" : { "formattedCitation" : "(Broering et al., 2014; Forsbach et al., 2008, 2012; Moschos et al., 2007)", "plainTextFormattedCitation" : "(Broering et al., 2014; Forsbach et al., 2008, 2012; Moschos et al., 2007)", "previouslyFormattedCitation" : "(Broering et al., 2014; Forsbach et al., 2008, 2012; Moschos et al., 2007)" }, "properties" : { "noteIndex" : 0 }, "schema" : "https://github.com/citation-style-language/schema/raw/master/csl-citation.json" }</w:instrText>
      </w:r>
      <w:r w:rsidR="00552CE7">
        <w:rPr>
          <w:rFonts w:ascii="Calibri" w:hAnsi="Calibri" w:cs="Arial"/>
        </w:rPr>
        <w:fldChar w:fldCharType="separate"/>
      </w:r>
      <w:r w:rsidR="00552CE7" w:rsidRPr="00552CE7">
        <w:rPr>
          <w:rFonts w:ascii="Calibri" w:hAnsi="Calibri" w:cs="Arial"/>
          <w:noProof/>
        </w:rPr>
        <w:t>(Broering et al., 2014; Forsbach et al., 2008, 2012; Moschos et al., 2007)</w:t>
      </w:r>
      <w:r w:rsidR="00552CE7">
        <w:rPr>
          <w:rFonts w:ascii="Calibri" w:hAnsi="Calibri" w:cs="Arial"/>
        </w:rPr>
        <w:fldChar w:fldCharType="end"/>
      </w:r>
      <w:r w:rsidR="00552CE7">
        <w:rPr>
          <w:rFonts w:ascii="Calibri" w:hAnsi="Calibri" w:cs="Arial"/>
        </w:rPr>
        <w:t xml:space="preserve">. </w:t>
      </w:r>
      <w:r w:rsidR="00281F68">
        <w:rPr>
          <w:rFonts w:ascii="Calibri" w:hAnsi="Calibri" w:cs="Arial"/>
        </w:rPr>
        <w:t xml:space="preserve">Crucially, the effects of </w:t>
      </w:r>
      <w:r w:rsidR="00095633">
        <w:rPr>
          <w:rFonts w:ascii="Calibri" w:hAnsi="Calibri" w:cs="Arial"/>
        </w:rPr>
        <w:t xml:space="preserve">at least </w:t>
      </w:r>
      <w:r w:rsidR="00281F68">
        <w:rPr>
          <w:rFonts w:ascii="Calibri" w:hAnsi="Calibri" w:cs="Arial"/>
        </w:rPr>
        <w:t>TLR3 activation are not local: stimulation</w:t>
      </w:r>
      <w:r w:rsidR="00C60AA7">
        <w:rPr>
          <w:rFonts w:ascii="Calibri" w:hAnsi="Calibri" w:cs="Arial"/>
        </w:rPr>
        <w:t xml:space="preserve"> by an siRNA</w:t>
      </w:r>
      <w:r w:rsidR="00281F68">
        <w:rPr>
          <w:rFonts w:ascii="Calibri" w:hAnsi="Calibri" w:cs="Arial"/>
        </w:rPr>
        <w:t xml:space="preserve"> in</w:t>
      </w:r>
      <w:r w:rsidR="00281F68" w:rsidRPr="00C4343E">
        <w:rPr>
          <w:rFonts w:ascii="Calibri" w:hAnsi="Calibri" w:cs="Arial"/>
        </w:rPr>
        <w:t xml:space="preserve"> the peritoneum </w:t>
      </w:r>
      <w:r w:rsidR="003170D2">
        <w:rPr>
          <w:rFonts w:ascii="Calibri" w:hAnsi="Calibri" w:cs="Arial"/>
        </w:rPr>
        <w:t>can</w:t>
      </w:r>
      <w:r w:rsidR="00281F68">
        <w:rPr>
          <w:rFonts w:ascii="Calibri" w:hAnsi="Calibri" w:cs="Arial"/>
        </w:rPr>
        <w:t xml:space="preserve"> result in</w:t>
      </w:r>
      <w:r w:rsidR="005B31A4">
        <w:rPr>
          <w:rFonts w:ascii="Calibri" w:hAnsi="Calibri" w:cs="Arial"/>
        </w:rPr>
        <w:t xml:space="preserve"> remarkable </w:t>
      </w:r>
      <w:r w:rsidR="00281F68" w:rsidRPr="00C4343E">
        <w:rPr>
          <w:rFonts w:ascii="Calibri" w:hAnsi="Calibri" w:cs="Arial"/>
        </w:rPr>
        <w:t>remodeling</w:t>
      </w:r>
      <w:r w:rsidR="00281F68">
        <w:rPr>
          <w:rFonts w:ascii="Calibri" w:hAnsi="Calibri" w:cs="Arial"/>
        </w:rPr>
        <w:t xml:space="preserve"> in</w:t>
      </w:r>
      <w:r w:rsidR="00C60AA7">
        <w:rPr>
          <w:rFonts w:ascii="Calibri" w:hAnsi="Calibri" w:cs="Arial"/>
        </w:rPr>
        <w:t xml:space="preserve"> tissue</w:t>
      </w:r>
      <w:r w:rsidR="005B31A4">
        <w:rPr>
          <w:rFonts w:ascii="Calibri" w:hAnsi="Calibri" w:cs="Arial"/>
        </w:rPr>
        <w:t>s</w:t>
      </w:r>
      <w:r w:rsidR="00C60AA7">
        <w:rPr>
          <w:rFonts w:ascii="Calibri" w:hAnsi="Calibri" w:cs="Arial"/>
        </w:rPr>
        <w:t xml:space="preserve"> as anatomically distant as</w:t>
      </w:r>
      <w:r w:rsidR="00281F68">
        <w:rPr>
          <w:rFonts w:ascii="Calibri" w:hAnsi="Calibri" w:cs="Arial"/>
        </w:rPr>
        <w:t xml:space="preserve"> the eye </w:t>
      </w:r>
      <w:r w:rsidR="00281F68">
        <w:rPr>
          <w:rFonts w:ascii="Calibri" w:hAnsi="Calibri" w:cs="Arial"/>
        </w:rPr>
        <w:fldChar w:fldCharType="begin" w:fldLock="1"/>
      </w:r>
      <w:r w:rsidR="00281F68">
        <w:rPr>
          <w:rFonts w:ascii="Calibri" w:hAnsi="Calibri" w:cs="Arial"/>
        </w:rPr>
        <w:instrText>ADDIN CSL_CITATION { "citationItems" : [ { "id" : "ITEM-1", "itemData" : { "DOI" : "10.1038/nature06765", "ISSN" : "1476-4687", "PMID" : "18368052", "abstract" : "Clinical trials of small interfering RNA (siRNA) targeting vascular endothelial growth factor-A (VEGFA) or its receptor VEGFR1 (also called FLT1), in patients with blinding choroidal neovascularization (CNV) from age-related macular degeneration, are premised on gene silencing by means of intracellular RNA interference (RNAi). We show instead that CNV inhibition is a siRNA-class effect: 21-nucleotide or longer siRNAs targeting non-mammalian genes, non-expressed genes, non-genomic sequences, pro- and anti-angiogenic genes, and RNAi-incompetent siRNAs all suppressed CNV in mice comparably to siRNAs targeting Vegfa or Vegfr1 without off-target RNAi or interferon-alpha/beta activation. Non-targeted (against non-mammalian genes) and targeted (against Vegfa or Vegfr1) siRNA suppressed CNV via cell-surface toll-like receptor 3 (TLR3), its adaptor TRIF, and induction of interferon-gamma and interleukin-12. Non-targeted siRNA suppressed dermal neovascularization in mice as effectively as Vegfa siRNA. siRNA-induced inhibition of neovascularization required a minimum length of 21 nucleotides, a bridging necessity in a modelled 2:1 TLR3-RNA complex. Choroidal endothelial cells from people expressing the TLR3 coding variant 412FF were refractory to extracellular siRNA-induced cytotoxicity, facilitating individualized pharmacogenetic therapy. Multiple human endothelial cell types expressed surface TLR3, indicating that generic siRNAs might treat angiogenic disorders that affect 8% of the world's population, and that siRNAs might induce unanticipated vascular or immune effects.", "author" : [ { "dropping-particle" : "", "family" : "Kleinman", "given" : "Mark E", "non-dropping-particle" : "", "parse-names" : false, "suffix" : "" }, { "dropping-particle" : "", "family" : "Yamada", "given" : "Kiyoshi", "non-dropping-particle" : "", "parse-names" : false, "suffix" : "" }, { "dropping-particle" : "", "family" : "Takeda", "given" : "Atsunobu", "non-dropping-particle" : "", "parse-names" : false, "suffix" : "" }, { "dropping-particle" : "", "family" : "Chandrasekaran", "given" : "Vasu", "non-dropping-particle" : "", "parse-names" : false, "suffix" : "" }, { "dropping-particle" : "", "family" : "Nozaki", "given" : "Miho", "non-dropping-particle" : "", "parse-names" : false, "suffix" : "" }, { "dropping-particle" : "", "family" : "Baffi", "given" : "Judit Z", "non-dropping-particle" : "", "parse-names" : false, "suffix" : "" }, { "dropping-particle" : "", "family" : "Albuquerque", "given" : "Romulo J C", "non-dropping-particle" : "", "parse-names" : false, "suffix" : "" }, { "dropping-particle" : "", "family" : "Yamasaki", "given" : "Satoshi", "non-dropping-particle" : "", "parse-names" : false, "suffix" : "" }, { "dropping-particle" : "", "family" : "Itaya", "given" : "Masahiro", "non-dropping-particle" : "", "parse-names" : false, "suffix" : "" }, { "dropping-particle" : "", "family" : "Pan", "given" : "Yuzhen", "non-dropping-particle" : "", "parse-names" : false, "suffix" : "" }, { "dropping-particle" : "", "family" : "Appukuttan", "given" : "Binoy", "non-dropping-particle" : "", "parse-names" : false, "suffix" : "" }, { "dropping-particle" : "", "family" : "Gibbs", "given" : "Daniel", "non-dropping-particle" : "", "parse-names" : false, "suffix" : "" }, { "dropping-particle" : "", "family" : "Yang", "given" : "Zhenglin", "non-dropping-particle" : "", "parse-names" : false, "suffix" : "" }, { "dropping-particle" : "", "family" : "Karik\u00f3", "given" : "Katalin", "non-dropping-particle" : "", "parse-names" : false, "suffix" : "" }, { "dropping-particle" : "", "family" : "Ambati", "given" : "Balamurali K", "non-dropping-particle" : "", "parse-names" : false, "suffix" : "" }, { "dropping-particle" : "", "family" : "Wilgus", "given" : "Traci A", "non-dropping-particle" : "", "parse-names" : false, "suffix" : "" }, { "dropping-particle" : "", "family" : "DiPietro", "given" : "Luisa A", "non-dropping-particle" : "", "parse-names" : false, "suffix" : "" }, { "dropping-particle" : "", "family" : "Sakurai", "given" : "Eiji", "non-dropping-particle" : "", "parse-names" : false, "suffix" : "" }, { "dropping-particle" : "", "family" : "Zhang", "given" : "Kang", "non-dropping-particle" : "", "parse-names" : false, "suffix" : "" }, { "dropping-particle" : "", "family" : "Smith", "given" : "Justine R", "non-dropping-particle" : "", "parse-names" : false, "suffix" : "" }, { "dropping-particle" : "", "family" : "Taylor", "given" : "Ethan W", "non-dropping-particle" : "", "parse-names" : false, "suffix" : "" }, { "dropping-particle" : "", "family" : "Ambati", "given" : "Jayakrishna", "non-dropping-particle" : "", "parse-names" : false, "suffix" : "" } ], "container-title" : "Nature", "id" : "ITEM-1", "issue" : "7187", "issued" : { "date-parts" : [ [ "2008", "4", "3" ] ] }, "page" : "591-7", "title" : "Sequence- and target-independent angiogenesis suppression by siRNA via TLR3.", "type" : "article-journal", "volume" : "452" }, "uris" : [ "http://www.mendeley.com/documents/?uuid=ebae19db-479d-4a34-b38f-be92b9297a26" ] } ], "mendeley" : { "formattedCitation" : "(Kleinman et al., 2008)", "plainTextFormattedCitation" : "(Kleinman et al., 2008)", "previouslyFormattedCitation" : "(Kleinman et al., 2008)" }, "properties" : { "noteIndex" : 0 }, "schema" : "https://github.com/citation-style-language/schema/raw/master/csl-citation.json" }</w:instrText>
      </w:r>
      <w:r w:rsidR="00281F68">
        <w:rPr>
          <w:rFonts w:ascii="Calibri" w:hAnsi="Calibri" w:cs="Arial"/>
        </w:rPr>
        <w:fldChar w:fldCharType="separate"/>
      </w:r>
      <w:r w:rsidR="00281F68" w:rsidRPr="00C258DB">
        <w:rPr>
          <w:rFonts w:ascii="Calibri" w:hAnsi="Calibri" w:cs="Arial"/>
          <w:noProof/>
        </w:rPr>
        <w:t>(Kleinman et al., 2008)</w:t>
      </w:r>
      <w:r w:rsidR="00281F68">
        <w:rPr>
          <w:rFonts w:ascii="Calibri" w:hAnsi="Calibri" w:cs="Arial"/>
        </w:rPr>
        <w:fldChar w:fldCharType="end"/>
      </w:r>
      <w:r w:rsidR="00C60AA7">
        <w:rPr>
          <w:rFonts w:ascii="Calibri" w:hAnsi="Calibri" w:cs="Arial"/>
        </w:rPr>
        <w:t>.</w:t>
      </w:r>
      <w:r w:rsidR="00095633">
        <w:rPr>
          <w:rFonts w:ascii="Calibri" w:hAnsi="Calibri" w:cs="Arial"/>
        </w:rPr>
        <w:t xml:space="preserve"> </w:t>
      </w:r>
      <w:r w:rsidR="00C60AA7">
        <w:rPr>
          <w:rFonts w:ascii="Calibri" w:hAnsi="Calibri" w:cs="Arial"/>
        </w:rPr>
        <w:t>This</w:t>
      </w:r>
      <w:r w:rsidR="00095633">
        <w:rPr>
          <w:rFonts w:ascii="Calibri" w:hAnsi="Calibri" w:cs="Arial"/>
        </w:rPr>
        <w:t xml:space="preserve"> finding </w:t>
      </w:r>
      <w:r w:rsidR="00281F68">
        <w:rPr>
          <w:rFonts w:ascii="Calibri" w:hAnsi="Calibri" w:cs="Arial"/>
        </w:rPr>
        <w:t>contributed</w:t>
      </w:r>
      <w:r w:rsidR="00C60AA7">
        <w:rPr>
          <w:rFonts w:ascii="Calibri" w:hAnsi="Calibri" w:cs="Arial"/>
        </w:rPr>
        <w:t xml:space="preserve"> substantially</w:t>
      </w:r>
      <w:r w:rsidR="00281F68">
        <w:rPr>
          <w:rFonts w:ascii="Calibri" w:hAnsi="Calibri" w:cs="Arial"/>
        </w:rPr>
        <w:t xml:space="preserve"> to the abandonment of the first-in-class siRNA clinical candidate, bevasiranib. T</w:t>
      </w:r>
      <w:r w:rsidR="00D22293">
        <w:rPr>
          <w:rFonts w:ascii="Calibri" w:hAnsi="Calibri" w:cs="Arial"/>
        </w:rPr>
        <w:t>he cytokines presently implicated</w:t>
      </w:r>
      <w:r w:rsidR="00281F68">
        <w:rPr>
          <w:rFonts w:ascii="Calibri" w:hAnsi="Calibri" w:cs="Arial"/>
        </w:rPr>
        <w:t xml:space="preserve"> in TLR-mediated off target effects</w:t>
      </w:r>
      <w:r w:rsidR="00D22293">
        <w:rPr>
          <w:rFonts w:ascii="Calibri" w:hAnsi="Calibri" w:cs="Arial"/>
        </w:rPr>
        <w:t xml:space="preserve"> include</w:t>
      </w:r>
      <w:r w:rsidR="00E02697">
        <w:rPr>
          <w:rFonts w:ascii="Calibri" w:hAnsi="Calibri" w:cs="Arial"/>
        </w:rPr>
        <w:t xml:space="preserve"> alpha interfer</w:t>
      </w:r>
      <w:r w:rsidR="00D22293">
        <w:rPr>
          <w:rFonts w:ascii="Calibri" w:hAnsi="Calibri" w:cs="Arial"/>
        </w:rPr>
        <w:t xml:space="preserve">on, tumor necrosis factor alpha, </w:t>
      </w:r>
      <w:r w:rsidR="00E02697">
        <w:rPr>
          <w:rFonts w:ascii="Calibri" w:hAnsi="Calibri" w:cs="Arial"/>
        </w:rPr>
        <w:t>interleukin (IL) 6</w:t>
      </w:r>
      <w:r w:rsidR="00D22293">
        <w:rPr>
          <w:rFonts w:ascii="Calibri" w:hAnsi="Calibri" w:cs="Arial"/>
        </w:rPr>
        <w:t>,</w:t>
      </w:r>
      <w:r w:rsidR="00E02697">
        <w:rPr>
          <w:rFonts w:ascii="Calibri" w:hAnsi="Calibri" w:cs="Arial"/>
        </w:rPr>
        <w:t xml:space="preserve"> IL-10, </w:t>
      </w:r>
      <w:r w:rsidR="00E640FE">
        <w:rPr>
          <w:rFonts w:ascii="Calibri" w:hAnsi="Calibri" w:cs="Arial"/>
        </w:rPr>
        <w:t xml:space="preserve">beta </w:t>
      </w:r>
      <w:r w:rsidR="00E02697">
        <w:rPr>
          <w:rFonts w:ascii="Calibri" w:hAnsi="Calibri" w:cs="Arial"/>
        </w:rPr>
        <w:t>interferon</w:t>
      </w:r>
      <w:r w:rsidR="00E640FE">
        <w:rPr>
          <w:rFonts w:ascii="Calibri" w:hAnsi="Calibri" w:cs="Arial"/>
        </w:rPr>
        <w:t>, inter</w:t>
      </w:r>
      <w:r w:rsidR="00E640FE">
        <w:rPr>
          <w:rFonts w:ascii="Calibri" w:hAnsi="Calibri" w:cs="Arial"/>
          <w:lang w:val="en-GB"/>
        </w:rPr>
        <w:t xml:space="preserve">feron-induced protein </w:t>
      </w:r>
      <w:r w:rsidR="00C60AA7">
        <w:rPr>
          <w:rFonts w:ascii="Calibri" w:hAnsi="Calibri" w:cs="Arial"/>
          <w:lang w:val="en-GB"/>
        </w:rPr>
        <w:t>w</w:t>
      </w:r>
      <w:r w:rsidR="00E640FE">
        <w:rPr>
          <w:rFonts w:ascii="Calibri" w:hAnsi="Calibri" w:cs="Arial"/>
          <w:lang w:val="en-GB"/>
        </w:rPr>
        <w:t>ith t</w:t>
      </w:r>
      <w:r w:rsidR="00E640FE" w:rsidRPr="00E640FE">
        <w:rPr>
          <w:rFonts w:ascii="Calibri" w:hAnsi="Calibri" w:cs="Arial"/>
          <w:lang w:val="en-GB"/>
        </w:rPr>
        <w:t>etratricopeptide Repeats 1</w:t>
      </w:r>
      <w:r w:rsidR="00E02697">
        <w:rPr>
          <w:rFonts w:ascii="Calibri" w:hAnsi="Calibri" w:cs="Arial"/>
        </w:rPr>
        <w:t xml:space="preserve"> and interferon sensitive gene 15, on account of large and small (dinucleotide) sequence motifs </w:t>
      </w:r>
      <w:r w:rsidR="00D22293">
        <w:rPr>
          <w:rFonts w:ascii="Calibri" w:hAnsi="Calibri" w:cs="Arial"/>
        </w:rPr>
        <w:fldChar w:fldCharType="begin" w:fldLock="1"/>
      </w:r>
      <w:r w:rsidR="00095633">
        <w:rPr>
          <w:rFonts w:ascii="Calibri" w:hAnsi="Calibri" w:cs="Arial"/>
        </w:rPr>
        <w:instrText>ADDIN CSL_CITATION { "citationItems" : [ { "id" : "ITEM-1", "itemData" : { "DOI" : "10.1038/sj.mt.6300240", "ISSN" : "1525-0016", "PMID" : "17579574", "abstract" : "RNA molecules such as single-stranded RNA (ssRNA) and small interfering RNA (siRNA) duplexes induce Toll-like receptor (TLR)-mediated immune stimulation after intracellular delivery. We have previously shown that selective incorporation of 2'-O-methyl (2'OMe) residues into siRNA abrogates cytokine production without reduction of gene silencing activity. Here we show that 2'OMe-modified RNA acts as a potent inhibitor of RNA-mediated cytokine induction in both human and murine systems. This activity does not require the direct incorporation of 2'OMe nucleotides into the immunostimulatory RNA or that the 2'OMe nucleotide-containing RNA be annealed as a complementary strand to form a duplex. Our results indicate that 2'OMe RNA acts as a potent antagonist of immunostimulatory RNA. We further show that 2'OMe RNA is able significantly to reduce both interferon-alpha (IFN-alpha) and interleukin-6 (IL-6) induction by the small-molecule TLR7 agonist loxoribine in human peripheral blood mononuclear cells (human PBMCs), in murine Flt3L dendritic cells (Flt3L DCs), and in vivo in mice. These results indicate that 2'OMe-modified RNA may have utility as an inhibitor of TLR7 with potential applications in the treatment of inflammatory and autoimmune diseases that involve TLR7-mediated immune stimulation.", "author" : [ { "dropping-particle" : "", "family" : "Robbins", "given" : "Marjorie", "non-dropping-particle" : "", "parse-names" : false, "suffix" : "" }, { "dropping-particle" : "", "family" : "Judge", "given" : "Adam", "non-dropping-particle" : "", "parse-names" : false, "suffix" : "" }, { "dropping-particle" : "", "family" : "Liang", "given" : "Lisa", "non-dropping-particle" : "", "parse-names" : false, "suffix" : "" }, { "dropping-particle" : "", "family" : "McClintock", "given" : "Kevin", "non-dropping-particle" : "", "parse-names" : false, "suffix" : "" }, { "dropping-particle" : "", "family" : "Yaworski", "given" : "Ed", "non-dropping-particle" : "", "parse-names" : false, "suffix" : "" }, { "dropping-particle" : "", "family" : "MacLachlan", "given" : "Ian", "non-dropping-particle" : "", "parse-names" : false, "suffix" : "" } ], "container-title" : "Molecular therapy : the journal of the American Society of Gene Therapy", "id" : "ITEM-1", "issue" : "9", "issued" : { "date-parts" : [ [ "2007", "9" ] ] }, "page" : "1663-9", "title" : "2'-O-methyl-modified RNAs act as TLR7 antagonists.", "type" : "article-journal", "volume" : "15" }, "uris" : [ "http://www.mendeley.com/documents/?uuid=a96fd425-5251-4997-8d8a-f709ec044eea" ] }, { "id" : "ITEM-2", "itemData" : { "DOI" : "10.1038/nbt1081", "ISSN" : "1087-0156", "PMID" : "15778705", "abstract" : "Short interfering RNAs (siRNAs) that mediate specific gene silencing through RNA interference (RNAi) are widely used to study gene function and are also being developed for therapeutic applications. Many nucleic acids, including double- (dsRNA) and single-stranded RNA (ssRNA), can stimulate innate cytokine responses in mammals. Despite this, few studies have questioned whether siRNA may have a similar effect on the immune system. This could significantly influence the in vivo application of siRNA owing to off-target effects and toxicities associated with immune stimulation. Here we report that synthetic siRNAs formulated in nonviral delivery vehicles can be potent inducers of interferons and inflammatory cytokines both in vivo in mice and in vitro in human blood. The immunostimulatory activity of formulated siRNAs and the associated toxicities are dependent on the nucleotide sequence. We have identified putative immunostimulatory motifs that have allowed the design of siRNAs that can mediate RNAi but induce minimal immune activation.", "author" : [ { "dropping-particle" : "", "family" : "Judge", "given" : "Adam D", "non-dropping-particle" : "", "parse-names" : false, "suffix" : "" }, { "dropping-particle" : "", "family" : "Sood", "given" : "Vandana", "non-dropping-particle" : "", "parse-names" : false, "suffix" : "" }, { "dropping-particle" : "", "family" : "Shaw", "given" : "Janet R", "non-dropping-particle" : "", "parse-names" : false, "suffix" : "" }, { "dropping-particle" : "", "family" : "Fang", "given" : "Dianne", "non-dropping-particle" : "", "parse-names" : false, "suffix" : "" }, { "dropping-particle" : "", "family" : "McClintock", "given" : "Kevin", "non-dropping-particle" : "", "parse-names" : false, "suffix" : "" }, { "dropping-particle" : "", "family" : "MacLachlan", "given" : "Ian", "non-dropping-particle" : "", "parse-names" : false, "suffix" : "" } ], "container-title" : "Nature biotechnology", "id" : "ITEM-2", "issue" : "4", "issued" : { "date-parts" : [ [ "2005", "4" ] ] }, "page" : "457-62", "publisher" : "Nature Publishing Group", "title" : "Sequence-dependent stimulation of the mammalian innate immune response by synthetic siRNA.", "title-short" : "Nat Biotech", "type" : "article-journal", "volume" : "23" }, "uris" : [ "http://www.mendeley.com/documents/?uuid=70d2a2be-0580-4df3-8631-882839059400" ] }, { "id" : "ITEM-3", "itemData" : { "ISSN" : "0022-1767", "PMID" : "18322178", "abstract" : "The TLRs 7, 8, and 9 stimulate innate immune responses upon recognizing pathogen nucleic acids. U-rich RNA sequences were recently discovered that stimulate human TLR7/8-mediated or murine TLR7-mediated immune effects. In this study we identified single-stranded RNA sequences containing defined sequence motifs that either preferentially activate human TLR8-mediated as opposed to TLR7- or TLR7/8-mediated immune responses. The identified TLR8 RNA motifs signal via TLR8 and fail to induce IFN-alpha from TLR7-expressing plasmacytoid dendritic cells but induce the secretion of Th1-like and proinflammatory cytokines from TLR8-expressing immune cells such as monocytes or myeloid dendritic cells. In contrast, RNA sequences containing the TLR7/8 motif signal via TLR7 and TLR8 and stimulate cytokine secretion from both TLR7- and TLR8-positive immunocytes. The TLR8-specific RNA sequences are able to trigger cytokine responses from human and bovine but not from mouse, rat, and porcine immune cells, suggesting that these species lack the capability to respond properly to TLR8 RNA ligands. In summary, we describe two classes of single-stranded TLR7/8 and TLR8 RNA agonists with diverse target cell and species specificities and immune response profiles.", "author" : [ { "dropping-particle" : "", "family" : "Forsbach", "given" : "Alexandra", "non-dropping-particle" : "", "parse-names" : false, "suffix" : "" }, { "dropping-particle" : "", "family" : "Nemorin", "given" : "Jean-Guy", "non-dropping-particle" : "", "parse-names" : false, "suffix" : "" }, { "dropping-particle" : "", "family" : "Montino", "given" : "Carmen", "non-dropping-particle" : "", "parse-names" : false, "suffix" : "" }, { "dropping-particle" : "", "family" : "M\u00fcller", "given" : "Christian", "non-dropping-particle" : "", "parse-names" : false, "suffix" : "" }, { "dropping-particle" : "", "family" : "Samulowitz", "given" : "Ulrike", "non-dropping-particle" : "", "parse-names" : false, "suffix" : "" }, { "dropping-particle" : "", "family" : "Vicari", "given" : "Alain P", "non-dropping-particle" : "", "parse-names" : false, "suffix" : "" }, { "dropping-particle" : "", "family" : "Jurk", "given" : "Marion", "non-dropping-particle" : "", "parse-names" : false, "suffix" : "" }, { "dropping-particle" : "", "family" : "Mutwiri", "given" : "George K", "non-dropping-particle" : "", "parse-names" : false, "suffix" : "" }, { "dropping-particle" : "", "family" : "Krieg", "given" : "Arthur M", "non-dropping-particle" : "", "parse-names" : false, "suffix" : "" }, { "dropping-particle" : "", "family" : "Lipford", "given" : "Grayson B", "non-dropping-particle" : "", "parse-names" : false, "suffix" : "" }, { "dropping-particle" : "", "family" : "Vollmer", "given" : "J\u00f6rg", "non-dropping-particle" : "", "parse-names" : false, "suffix" : "" } ], "container-title" : "Journal of immunology (Baltimore, Md. : 1950)", "id" : "ITEM-3", "issue" : "6", "issued" : { "date-parts" : [ [ "2008", "3", "15" ] ] }, "page" : "3729-38", "title" : "Identification of RNA sequence motifs stimulating sequence-specific TLR8-dependent immune responses.", "type" : "article-journal", "volume" : "180" }, "uris" : [ "http://www.mendeley.com/documents/?uuid=1e5e84a7-110e-45b0-953b-10a1d80916b9" ] }, { "id" : "ITEM-4", "itemData" : { "DOI" : "10.1016/j.ymthe.2006.06.001", "ISSN" : "1525-0016", "PMID" : "16877044", "abstract" : "RNA interference mediated by small interfering RNAs (siRNA) has emerged as a powerful tool to target specific knockdown of gene expression in cell culture. siRNA is now the gold standard technique to study gene function, and expectations for the development of new target-specific drugs are high. In addition to the gene-silencing activity of siRNA, a number of recent studies have pointed to immunological effects of siRNAs, including the induction of proinflammatory cytokines and type I interferon. There is good evidence that gene silencing and immunostimulation are two independent functional characteristics of RNA oligonucleotides. Immunorecognition of RNA depends on certain molecular features such as length, double- versus single-strand configuration, sequence motifs, and nucleoside modifications such as triphosphate residues. RNA-sensing immunoreceptors include three members of the Toll-like receptor (TLR) family (TLR3, TLR7, TLR8) and cytosolic RNA-binding proteins like PKR and the helicases RIG-I and Mda5. Detection of RNA molecules occurs during viral infection and triggers antiviral innate defense mechanisms including the induction of type I interferons (IFN-alpha, IFN-beta) and downregulation of gene expression. Type I interferon induction by synthetic siRNAs requires TLR7 and is sequence dependent, similar to the detection of CpG motifs in DNA by TLR9. Identification of the exact molecular mechanisms of immunorecognition of RNA will allow the development of methods to avoid immunostimulation of siRNA and the design of potent immunostimulatory RNA (isRNA) oligonucleotides, depending on the aim. Furthermore, the combination of both gene-silencing and immunostimulation in one RNA molecule may lead to novel drugs that use both functional activities of RNA as two edges of one sword for effective treatment of viral infection and cancer.", "author" : [ { "dropping-particle" : "", "family" : "Schlee", "given" : "Martin", "non-dropping-particle" : "", "parse-names" : false, "suffix" : "" }, { "dropping-particle" : "", "family" : "Hornung", "given" : "Veit", "non-dropping-particle" : "", "parse-names" : false, "suffix" : "" }, { "dropping-particle" : "", "family" : "Hartmann", "given" : "Gunther", "non-dropping-particle" : "", "parse-names" : false, "suffix" : "" } ], "container-title" : "Molecular therapy : the journal of the American Society of Gene Therapy", "id" : "ITEM-4", "issue" : "4", "issued" : { "date-parts" : [ [ "2006", "10" ] ] }, "page" : "463-70", "title" : "siRNA and isRNA: two edges of one sword.", "title-short" : "Mol Ther", "type" : "article-journal", "volume" : "14" }, "uris" : [ "http://www.mendeley.com/documents/?uuid=1ac9d326-9766-4a36-93c2-eb1f8d450e9f" ] } ], "mendeley" : { "formattedCitation" : "(Forsbach et al., 2008; Judge et al., 2005; Robbins et al., 2007; Schlee, Hornung, &amp; Hartmann, 2006)", "plainTextFormattedCitation" : "(Forsbach et al., 2008; Judge et al., 2005; Robbins et al., 2007; Schlee, Hornung, &amp; Hartmann, 2006)", "previouslyFormattedCitation" : "(Forsbach et al., 2008; Judge et al., 2005; Robbins et al., 2007; Schlee, Hornung, &amp; Hartmann, 2006)" }, "properties" : { "noteIndex" : 0 }, "schema" : "https://github.com/citation-style-language/schema/raw/master/csl-citation.json" }</w:instrText>
      </w:r>
      <w:r w:rsidR="00D22293">
        <w:rPr>
          <w:rFonts w:ascii="Calibri" w:hAnsi="Calibri" w:cs="Arial"/>
        </w:rPr>
        <w:fldChar w:fldCharType="separate"/>
      </w:r>
      <w:r w:rsidR="00D22293" w:rsidRPr="00D22293">
        <w:rPr>
          <w:rFonts w:ascii="Calibri" w:hAnsi="Calibri" w:cs="Arial"/>
          <w:noProof/>
        </w:rPr>
        <w:t>(Forsbach et al., 2008; Judge et al., 2005; Robbins et al., 2007; Schlee, Hornung, &amp; Hartmann, 2006)</w:t>
      </w:r>
      <w:r w:rsidR="00D22293">
        <w:rPr>
          <w:rFonts w:ascii="Calibri" w:hAnsi="Calibri" w:cs="Arial"/>
        </w:rPr>
        <w:fldChar w:fldCharType="end"/>
      </w:r>
      <w:r w:rsidR="00E02697">
        <w:rPr>
          <w:rFonts w:ascii="Calibri" w:hAnsi="Calibri" w:cs="Arial"/>
        </w:rPr>
        <w:t xml:space="preserve"> </w:t>
      </w:r>
      <w:r w:rsidR="00D22293">
        <w:rPr>
          <w:rFonts w:ascii="Calibri" w:hAnsi="Calibri" w:cs="Arial"/>
        </w:rPr>
        <w:t xml:space="preserve">also </w:t>
      </w:r>
      <w:r w:rsidR="00E02697">
        <w:rPr>
          <w:rFonts w:ascii="Calibri" w:hAnsi="Calibri" w:cs="Arial"/>
        </w:rPr>
        <w:t xml:space="preserve">found in many miRNAs. </w:t>
      </w:r>
      <w:r w:rsidR="00D22293">
        <w:rPr>
          <w:rFonts w:ascii="Calibri" w:hAnsi="Calibri" w:cs="Arial"/>
        </w:rPr>
        <w:t>Indeed,</w:t>
      </w:r>
      <w:r w:rsidR="00C60AA7">
        <w:rPr>
          <w:rFonts w:ascii="Calibri" w:hAnsi="Calibri" w:cs="Arial"/>
        </w:rPr>
        <w:t xml:space="preserve"> in stark contrast to common misconceptions</w:t>
      </w:r>
      <w:r w:rsidR="00AC1B41">
        <w:rPr>
          <w:rFonts w:ascii="Calibri" w:hAnsi="Calibri" w:cs="Arial"/>
        </w:rPr>
        <w:t xml:space="preserve"> based principally on the biogenesis of miRNA vs the synthetic nature of siRNA</w:t>
      </w:r>
      <w:r w:rsidR="00C60AA7">
        <w:rPr>
          <w:rFonts w:ascii="Calibri" w:hAnsi="Calibri" w:cs="Arial"/>
        </w:rPr>
        <w:t xml:space="preserve">, </w:t>
      </w:r>
      <w:r w:rsidR="00E62E5D">
        <w:rPr>
          <w:rFonts w:ascii="Calibri" w:hAnsi="Calibri" w:cs="Arial"/>
        </w:rPr>
        <w:t>evidence is now amassing</w:t>
      </w:r>
      <w:r w:rsidR="00C60AA7">
        <w:rPr>
          <w:rFonts w:ascii="Calibri" w:hAnsi="Calibri" w:cs="Arial"/>
        </w:rPr>
        <w:t xml:space="preserve"> that</w:t>
      </w:r>
      <w:r w:rsidR="00D22293">
        <w:rPr>
          <w:rFonts w:ascii="Calibri" w:hAnsi="Calibri" w:cs="Arial"/>
        </w:rPr>
        <w:t xml:space="preserve"> </w:t>
      </w:r>
      <w:r w:rsidR="004F5409">
        <w:rPr>
          <w:rFonts w:ascii="Calibri" w:hAnsi="Calibri" w:cs="Arial"/>
        </w:rPr>
        <w:t>virus-encoded</w:t>
      </w:r>
      <w:r w:rsidR="00874AEF">
        <w:rPr>
          <w:rFonts w:ascii="Calibri" w:hAnsi="Calibri" w:cs="Arial"/>
        </w:rPr>
        <w:t xml:space="preserve"> </w:t>
      </w:r>
      <w:r w:rsidR="00874AEF">
        <w:rPr>
          <w:rFonts w:ascii="Calibri" w:hAnsi="Calibri" w:cs="Arial"/>
        </w:rPr>
        <w:fldChar w:fldCharType="begin" w:fldLock="1"/>
      </w:r>
      <w:r w:rsidR="007A1B8F">
        <w:rPr>
          <w:rFonts w:ascii="Calibri" w:hAnsi="Calibri" w:cs="Arial"/>
        </w:rPr>
        <w:instrText>ADDIN CSL_CITATION { "citationItems" : [ { "id" : "ITEM-1", "itemData" : { "DOI" : "10.1074/jbc.M115.662171", "ISSN" : "1083-351X", "PMID" : "26553869", "abstract" : "HIV-1 infection results in a chronic illness because long-term highly active antiretroviral therapy can lower viral titers to an undetectable level. However, discontinuation of therapy rapidly increases virus burden. Moreover, patients under highly active antiretroviral therapy frequently develop various metabolic disorders, neurocognitive abnormalities, and cardiovascular diseases. We have previously shown that exosomes containing trans-activating response (TAR) element RNA enhance susceptibility of undifferentiated naive cells to HIV-1 infection. This study indicates that exosomes from HIV-1-infected primary cells are highly abundant with TAR RNA as detected by RT-real time PCR. Interestingly, up to a million copies of TAR RNA/\u03bcl were also detected in the serum from HIV-1-infected humanized mice suggesting that TAR RNA may be stable in vivo. Incubation of exosomes from HIV-1-infected cells with primary macrophages resulted in a dramatic increase of proinflammatory cytokines, IL-6 and TNF-\u03b2, indicating that exosomes containing TAR RNA could play a direct role in control of cytokine gene expression. The intact TAR molecule was able to bind to PKR and TLR3 effectively, whereas the 5' and 3' stems (TAR microRNAs) bound best to TLR7 and -8 and none to PKR. Binding of TAR to PKR did not result in its phosphorylation, and therefore, TAR may be a dominant negative decoy molecule in cells. The TLR binding through either TAR RNA or TAR microRNA potentially can activate the NF-\u03baB pathway and regulate cytokine expression. Collectively, these results imply that exosomes containing TAR RNA could directly affect the proinflammatory cytokine gene expression and may explain a possible mechanism of inflammation observed in HIV-1-infected patients under cART.", "author" : [ { "dropping-particle" : "", "family" : "Sampey", "given" : "Gavin C", "non-dropping-particle" : "", "parse-names" : false, "suffix" : "" }, { "dropping-particle" : "", "family" : "Saifuddin", "given" : "Mohammed", "non-dropping-particle" : "", "parse-names" : false, "suffix" : "" }, { "dropping-particle" : "", "family" : "Schwab", "given" : "Angela", "non-dropping-particle" : "", "parse-names" : false, "suffix" : "" }, { "dropping-particle" : "", "family" : "Barclay", "given" : "Robert", "non-dropping-particle" : "", "parse-names" : false, "suffix" : "" }, { "dropping-particle" : "", "family" : "Punya", "given" : "Shreya", "non-dropping-particle" : "", "parse-names" : false, "suffix" : "" }, { "dropping-particle" : "", "family" : "Chung", "given" : "Myung-Chul", "non-dropping-particle" : "", "parse-names" : false, "suffix" : "" }, { "dropping-particle" : "", "family" : "Hakami", "given" : "Ramin M", "non-dropping-particle" : "", "parse-names" : false, "suffix" : "" }, { "dropping-particle" : "", "family" : "Zadeh", "given" : "Mohammad Asad", "non-dropping-particle" : "", "parse-names" : false, "suffix" : "" }, { "dropping-particle" : "", "family" : "Lepene", "given" : "Benjamin", "non-dropping-particle" : "", "parse-names" : false, "suffix" : "" }, { "dropping-particle" : "", "family" : "Klase", "given" : "Zachary A", "non-dropping-particle" : "", "parse-names" : false, "suffix" : "" }, { "dropping-particle" : "", "family" : "El-Hage", "given" : "Nazira", "non-dropping-particle" : "", "parse-names" : false, "suffix" : "" }, { "dropping-particle" : "", "family" : "Young", "given" : "Mary", "non-dropping-particle" : "", "parse-names" : false, "suffix" : "" }, { "dropping-particle" : "", "family" : "Iordanskiy", "given" : "Sergey", "non-dropping-particle" : "", "parse-names" : false, "suffix" : "" }, { "dropping-particle" : "", "family" : "Kashanchi", "given" : "Fatah", "non-dropping-particle" : "", "parse-names" : false, "suffix" : "" } ], "container-title" : "The Journal of biological chemistry", "id" : "ITEM-1", "issue" : "3", "issued" : { "date-parts" : [ [ "2016", "1", "15" ] ] }, "page" : "1251-66", "title" : "Exosomes from HIV-1-infected Cells Stimulate Production of Pro-inflammatory Cytokines through Trans-activating Response (TAR) RNA.", "type" : "article-journal", "volume" : "291" }, "uris" : [ "http://www.mendeley.com/documents/?uuid=5ced74de-9e43-3b67-915c-afd610e080da" ] } ], "mendeley" : { "formattedCitation" : "(Sampey et al., 2016)", "plainTextFormattedCitation" : "(Sampey et al., 2016)", "previouslyFormattedCitation" : "(Sampey et al., 2016)" }, "properties" : { "noteIndex" : 0 }, "schema" : "https://github.com/citation-style-language/schema/raw/master/csl-citation.json" }</w:instrText>
      </w:r>
      <w:r w:rsidR="00874AEF">
        <w:rPr>
          <w:rFonts w:ascii="Calibri" w:hAnsi="Calibri" w:cs="Arial"/>
        </w:rPr>
        <w:fldChar w:fldCharType="separate"/>
      </w:r>
      <w:r w:rsidR="00874AEF" w:rsidRPr="00874AEF">
        <w:rPr>
          <w:rFonts w:ascii="Calibri" w:hAnsi="Calibri" w:cs="Arial"/>
          <w:noProof/>
        </w:rPr>
        <w:t>(Sampey et al., 2016)</w:t>
      </w:r>
      <w:r w:rsidR="00874AEF">
        <w:rPr>
          <w:rFonts w:ascii="Calibri" w:hAnsi="Calibri" w:cs="Arial"/>
        </w:rPr>
        <w:fldChar w:fldCharType="end"/>
      </w:r>
      <w:r w:rsidR="00874AEF">
        <w:rPr>
          <w:rFonts w:ascii="Calibri" w:hAnsi="Calibri" w:cs="Arial"/>
        </w:rPr>
        <w:t xml:space="preserve"> </w:t>
      </w:r>
      <w:r w:rsidR="004F5409">
        <w:rPr>
          <w:rFonts w:ascii="Calibri" w:hAnsi="Calibri" w:cs="Arial"/>
        </w:rPr>
        <w:t xml:space="preserve">and endogenous </w:t>
      </w:r>
      <w:r w:rsidR="00D22293">
        <w:rPr>
          <w:rFonts w:ascii="Calibri" w:hAnsi="Calibri" w:cs="Arial"/>
        </w:rPr>
        <w:t xml:space="preserve">miRNA </w:t>
      </w:r>
      <w:r w:rsidR="00E62E5D">
        <w:rPr>
          <w:rFonts w:ascii="Calibri" w:hAnsi="Calibri" w:cs="Arial"/>
        </w:rPr>
        <w:t xml:space="preserve">might </w:t>
      </w:r>
      <w:r w:rsidR="00AC1B41">
        <w:rPr>
          <w:rFonts w:ascii="Calibri" w:hAnsi="Calibri" w:cs="Arial"/>
        </w:rPr>
        <w:t>indeed</w:t>
      </w:r>
      <w:r w:rsidR="00E62E5D">
        <w:rPr>
          <w:rFonts w:ascii="Calibri" w:hAnsi="Calibri" w:cs="Arial"/>
        </w:rPr>
        <w:t xml:space="preserve"> be</w:t>
      </w:r>
      <w:r w:rsidR="00D22293">
        <w:rPr>
          <w:rFonts w:ascii="Calibri" w:hAnsi="Calibri" w:cs="Arial"/>
        </w:rPr>
        <w:t xml:space="preserve"> </w:t>
      </w:r>
      <w:r w:rsidR="00C60AA7">
        <w:rPr>
          <w:rFonts w:ascii="Calibri" w:hAnsi="Calibri" w:cs="Arial"/>
        </w:rPr>
        <w:t xml:space="preserve">agonists </w:t>
      </w:r>
      <w:r w:rsidR="00E62E5D">
        <w:rPr>
          <w:rFonts w:ascii="Calibri" w:hAnsi="Calibri" w:cs="Arial"/>
        </w:rPr>
        <w:t xml:space="preserve">of </w:t>
      </w:r>
      <w:r w:rsidR="00D22293">
        <w:rPr>
          <w:rFonts w:ascii="Calibri" w:hAnsi="Calibri" w:cs="Arial"/>
        </w:rPr>
        <w:t>at least</w:t>
      </w:r>
      <w:r w:rsidR="00E62E5D">
        <w:rPr>
          <w:rFonts w:ascii="Calibri" w:hAnsi="Calibri" w:cs="Arial"/>
        </w:rPr>
        <w:t xml:space="preserve"> TLR7/8 </w:t>
      </w:r>
      <w:r w:rsidR="00D22293">
        <w:rPr>
          <w:rFonts w:ascii="Calibri" w:hAnsi="Calibri" w:cs="Arial"/>
        </w:rPr>
        <w:t xml:space="preserve"> that induce inflammatory </w:t>
      </w:r>
      <w:r w:rsidR="004F5409">
        <w:rPr>
          <w:rFonts w:ascii="Calibri" w:hAnsi="Calibri" w:cs="Arial"/>
        </w:rPr>
        <w:fldChar w:fldCharType="begin" w:fldLock="1"/>
      </w:r>
      <w:r w:rsidR="004F5409">
        <w:rPr>
          <w:rFonts w:ascii="Calibri" w:hAnsi="Calibri" w:cs="Arial"/>
        </w:rPr>
        <w:instrText>ADDIN CSL_CITATION { "citationItems" : [ { "id" : "ITEM-1", "itemData" : { "DOI" : "10.1073/pnas.1209414109", "ISSN" : "1091-6490", "PMID" : "22753494", "abstract" : "MicroRNAs (miRNAs) are small noncoding RNAs, 19-24 nucleotides in length, that regulate gene expression and are expressed aberrantly in most types of cancer. MiRNAs also have been detected in the blood of cancer patients and can serve as circulating biomarkers. It has been shown that secreted miRNAs within exosomes can be transferred from cell to cell and can regulate gene expression in the receiving cells by canonical binding to their target messenger RNAs. Here we show that tumor-secreted miR-21 and miR-29a also can function by another mechanism, by binding as ligands to receptors of the Toll-like receptor (TLR) family, murine TLR7 and human TLR8, in immune cells, triggering a TLR-mediated prometastatic inflammatory response that ultimately may lead to tumor growth and metastasis. Thus, by acting as paracrine agonists of TLRs, secreted miRNAs are key regulators of the tumor microenvironment. This mechanism of action of miRNAs is implicated in tumor-immune system communication and is important in tumor growth and spread, thus representing a possible target for cancer treatment.", "author" : [ { "dropping-particle" : "", "family" : "Fabbri", "given" : "Muller", "non-dropping-particle" : "", "parse-names" : false, "suffix" : "" }, { "dropping-particle" : "", "family" : "Paone", "given" : "Alessio", "non-dropping-particle" : "", "parse-names" : false, "suffix" : "" }, { "dropping-particle" : "", "family" : "Calore", "given" : "Federica", "non-dropping-particle" : "", "parse-names" : false, "suffix" : "" }, { "dropping-particle" : "", "family" : "Galli", "given" : "Roberta", "non-dropping-particle" : "", "parse-names" : false, "suffix" : "" }, { "dropping-particle" : "", "family" : "Gaudio", "given" : "Eugenio", "non-dropping-particle" : "", "parse-names" : false, "suffix" : "" }, { "dropping-particle" : "", "family" : "Santhanam", "given" : "Ramasamy", "non-dropping-particle" : "", "parse-names" : false, "suffix" : "" }, { "dropping-particle" : "", "family" : "Lovat", "given" : "Francesca", "non-dropping-particle" : "", "parse-names" : false, "suffix" : "" }, { "dropping-particle" : "", "family" : "Fadda", "given" : "Paolo", "non-dropping-particle" : "", "parse-names" : false, "suffix" : "" }, { "dropping-particle" : "", "family" : "Mao", "given" : "Charlene", "non-dropping-particle" : "", "parse-names" : false, "suffix" : "" }, { "dropping-particle" : "", "family" : "Nuovo", "given" : "Gerard J", "non-dropping-particle" : "", "parse-names" : false, "suffix" : "" }, { "dropping-particle" : "", "family" : "Zanesi", "given" : "Nicola", "non-dropping-particle" : "", "parse-names" : false, "suffix" : "" }, { "dropping-particle" : "", "family" : "Crawford", "given" : "Melissa", "non-dropping-particle" : "", "parse-names" : false, "suffix" : "" }, { "dropping-particle" : "", "family" : "Ozer", "given" : "Gulcin H", "non-dropping-particle" : "", "parse-names" : false, "suffix" : "" }, { "dropping-particle" : "", "family" : "Wernicke", "given" : "Dorothee", "non-dropping-particle" : "", "parse-names" : false, "suffix" : "" }, { "dropping-particle" : "", "family" : "Alder", "given" : "Hansjuerg", "non-dropping-particle" : "", "parse-names" : false, "suffix" : "" }, { "dropping-particle" : "", "family" : "Caligiuri", "given" : "Michael A", "non-dropping-particle" : "", "parse-names" : false, "suffix" : "" }, { "dropping-particle" : "", "family" : "Nana-Sinkam", "given" : "Patrick", "non-dropping-particle" : "", "parse-names" : false, "suffix" : "" }, { "dropping-particle" : "", "family" : "Perrotti", "given" : "Danilo", "non-dropping-particle" : "", "parse-names" : false, "suffix" : "" }, { "dropping-particle" : "", "family" : "Croce", "given" : "Carlo M", "non-dropping-particle" : "", "parse-names" : false, "suffix" : "" } ], "container-title" : "Proceedings of the National Academy of Sciences of the United States of America", "id" : "ITEM-1", "issue" : "31", "issued" : { "date-parts" : [ [ "2012", "7", "31" ] ] }, "page" : "E2110-6", "title" : "MicroRNAs bind to Toll-like receptors to induce prometastatic inflammatory response.", "type" : "article-journal", "volume" : "109" }, "uris" : [ "http://www.mendeley.com/documents/?uuid=436459fc-64f9-4bca-b943-cb0d5014052d" ] }, { "id" : "ITEM-2", "itemData" : { "DOI" : "10.1186/s13045-016-0269-y", "ISSN" : "1756-8722", "PMID" : "27090786", "abstract" : "BACKGROUND In tumor microenvironment, a continuous cross-talk between cancer cells and other cellular components is required to sustain tumor progression. Accumulating evidence suggests that exosomes, a novel way of cell communication, play an important role in such cross-talk. Exosomes could facilitate the direct intercellular transfer of proteins, lipids, and miRNA/mRNA/DNAs between cells. Since mesenchymal stem cells (MSCs) can be attracted to tumor sites and become an important component of the tumor microenvironment, there is an urgent need to reveal the effect of tumor exosomes on MSCs and to further explore the underlying molecular mechanisms. METHODS Exosomes were harvested from lung cancer cell line A549 and added to MSCs. Secretion of inflammation-associated cytokines in exosome-treated MSCs were analyzed by RT-PCR and ELISA. The growth-promoting effect of exosome-treated MSCs on lung tumor cells was evaluated by in vivo mouse xenograft model. Signaling pathway involved in exosomes-treated MSCs was detected by PCR array of human toll-like receptor signaling pathway, RT-PCR, and Western blot. RESULTS Data showed that lung tumor cell A549-derived exosomes could induce a pro-inflammatory phenotype in MSCs named P-MSCs, which have significantly elevated secretion of IL-6, IL-8, and MCP-1. P-MSCs possess a greatly enhanced ability in promoting lung tumor growth in mouse xenograft model. Analysis of the signaling pathways in P-MSCs revealed a fast triggering of NF-\u03baB. Genetic ablation of Toll-like receptor 2 (TLR2) by siRNA and TLR2-neutralizing antibody could block NF-\u03baB activation by exosomes. We further found that Hsp70 present on the surface of lung tumor exosomes contributed to the induction of P-MSCs by A549 exosomes. CONCLUSIONS Our studies suggest a novel mechanism by which lung tumor cell-derived exosomes induce pro-inflammatory activity of MSCs which in turn get tumor supportive characteristics.", "author" : [ { "dropping-particle" : "", "family" : "Li", "given" : "Xiaoxia", "non-dropping-particle" : "", "parse-names" : false, "suffix" : "" }, { "dropping-particle" : "", "family" : "Wang", "given" : "Shihua", "non-dropping-particle" : "", "parse-names" : false, "suffix" : "" }, { "dropping-particle" : "", "family" : "Zhu", "given" : "Rongjia", "non-dropping-particle" : "", "parse-names" : false, "suffix" : "" }, { "dropping-particle" : "", "family" : "Li", "given" : "Hongling", "non-dropping-particle" : "", "parse-names" : false, "suffix" : "" }, { "dropping-particle" : "", "family" : "Han", "given" : "Qin", "non-dropping-particle" : "", "parse-names" : false, "suffix" : "" }, { "dropping-particle" : "", "family" : "Zhao", "given" : "Robert Chunhua", "non-dropping-particle" : "", "parse-names" : false, "suffix" : "" } ], "container-title" : "Journal of hematology &amp; oncology", "id" : "ITEM-2", "issued" : { "date-parts" : [ [ "2016" ] ] }, "page" : "42", "title" : "Lung tumor exosomes induce a pro-inflammatory phenotype in mesenchymal stem cells via NF\u03baB-TLR signaling pathway.", "type" : "article-journal", "volume" : "9" }, "uris" : [ "http://www.mendeley.com/documents/?uuid=0fb958d9-d57f-38f5-9c56-e97a36e6d289" ] }, { "id" : "ITEM-3", "itemData" : { "DOI" : "10.1093/molehr/gaw027", "ISSN" : "1460-2407", "PMID" : "27029214", "abstract" : "STUDY QUESTION What is the role of microRNAs (miRs) in antiphospholipid antibody (aPL)-induced trophoblast inflammation? SUMMARY ANSWER: aPL-induced up-regulation of trophoblast miR-146a-3p is mediated by Toll-like receptor 4 (TLR4), and miR-146a-3p in turn drives the cells to secrete interleukin (IL)-8 by activating the RNA sensor, TLR8. WHAT IS KNOWN ALREADY Obstetric antiphospholipid syndrome (APS) is an autoimmune disorder characterized by circulating aPL and an increased risk of pregnancy complications. We previously showed that aPL recognizing beta2 glycoprotein I (\u03b22GPI) elicit human first trimester trophoblast secretion of IL-8 by activating TLR4. Since some miRs control TLR responses, their regulation in trophoblast cells by aPL and functional role in the aPL-mediated inflammatory response was investigated. miRs can be released from cells via exosomes, and therefore, miR exosome expression was also examined. A panel of miRs was selected based on their involvement with TLR signaling: miR-9; miR-146a-5p and its isomiR, miR-146a-3p; miR-155, miR-210; and Let-7c. Since certain miRs can activate the RNA sensor, TLR8, this was also investigated. STUDY DESIGN, SIZE, DURATION For in vitro studies, the human first trimester extravillous trophoblast cell line, HTR8 was studied. HTR8 cells transfected to express a TLR8 dominant negative (DN) were also used. Plasma was evaluated from pregnant women who have aPL, either with or without systemic lupus erythematous (SLE) (n = 39); SLE patients without aPL (n = 30); and healthy pregnant controls (n = 20). PARTICIPANTS/MATERIALS, SETTING, METHODS Trophoblast HTR8 wildtype and TLR8-DN cells were incubated with or without aPL (mouse anti-human \u03b22GPI mAb) for 48-72 h. HTR8 cells were also treated with or without aPL in the presence and the absence of a TLR4 antagonist (lipopolysaccharide from Rhodobacter sphaeroides; LPS-RS), specific miR inhibitors or specific miR mimics. miR expression levels in trophoblast cells, trophoblast-derived exosomes and exosomes isolated from patient plasma were measured by qPCR. Trophoblast IL-8 secretion was measured by ELISA. MAIN RESULTS AND THE ROLE OF CHANCE: aPL significantly increased trophoblast cellular and exosome expression of miR-146a-5p, miR-146a-3p, miR-155 and miR-210. aPL-induced up-regulation of trophoblast miR-146a-5p, miR-146a-3p and miR-210, but not miR-155, was inhibited by the TLR4 antagonist, LPS-RS. While inhibition or overexpression of miR-146a-5p had no effec\u2026", "author" : [ { "dropping-particle" : "", "family" : "Gysler", "given" : "Stefan M", "non-dropping-particle" : "", "parse-names" : false, "suffix" : "" }, { "dropping-particle" : "", "family" : "Mulla", "given" : "Melissa J", "non-dropping-particle" : "", "parse-names" : false, "suffix" : "" }, { "dropping-particle" : "", "family" : "Guerra", "given" : "Marta", "non-dropping-particle" : "", "parse-names" : false, "suffix" : "" }, { "dropping-particle" : "", "family" : "Brosens", "given" : "Jan J", "non-dropping-particle" : "", "parse-names" : false, "suffix" : "" }, { "dropping-particle" : "", "family" : "Salmon", "given" : "Jane E", "non-dropping-particle" : "", "parse-names" : false, "suffix" : "" }, { "dropping-particle" : "", "family" : "Chamley", "given" : "Lawrence W", "non-dropping-particle" : "", "parse-names" : false, "suffix" : "" }, { "dropping-particle" : "", "family" : "Abrahams", "given" : "Vikki M", "non-dropping-particle" : "", "parse-names" : false, "suffix" : "" } ], "container-title" : "Molecular human reproduction", "id" : "ITEM-3", "issued" : { "date-parts" : [ [ "2016", "3", "29" ] ] }, "page" : "gaw027", "title" : "Antiphospholipid antibody-induced miR-146a-3p drives trophoblast interleukin-8 secretion through activation of Toll-like receptor 8.", "type" : "article-journal" }, "uris" : [ "http://www.mendeley.com/documents/?uuid=2615924f-50f5-38ef-b17c-a6ce82ecddb3" ] } ], "mendeley" : { "formattedCitation" : "(Fabbri et al., 2012; Gysler et al., 2016; X. Li et al., 2016)", "plainTextFormattedCitation" : "(Fabbri et al., 2012; Gysler et al., 2016; X. Li et al., 2016)", "previouslyFormattedCitation" : "(Fabbri et al., 2012; Gysler et al., 2016; X. Li et al., 2016)" }, "properties" : { "noteIndex" : 0 }, "schema" : "https://github.com/citation-style-language/schema/raw/master/csl-citation.json" }</w:instrText>
      </w:r>
      <w:r w:rsidR="004F5409">
        <w:rPr>
          <w:rFonts w:ascii="Calibri" w:hAnsi="Calibri" w:cs="Arial"/>
        </w:rPr>
        <w:fldChar w:fldCharType="separate"/>
      </w:r>
      <w:r w:rsidR="004F5409" w:rsidRPr="004F5409">
        <w:rPr>
          <w:rFonts w:ascii="Calibri" w:hAnsi="Calibri" w:cs="Arial"/>
          <w:noProof/>
        </w:rPr>
        <w:t>(Fabbri et al., 2012; Gysler et al., 2016; X. Li et al., 2016)</w:t>
      </w:r>
      <w:r w:rsidR="004F5409">
        <w:rPr>
          <w:rFonts w:ascii="Calibri" w:hAnsi="Calibri" w:cs="Arial"/>
        </w:rPr>
        <w:fldChar w:fldCharType="end"/>
      </w:r>
      <w:r w:rsidR="00D22293">
        <w:rPr>
          <w:rFonts w:ascii="Calibri" w:hAnsi="Calibri" w:cs="Arial"/>
        </w:rPr>
        <w:t xml:space="preserve">, pro-apoptotic </w:t>
      </w:r>
      <w:r w:rsidR="00D22293">
        <w:rPr>
          <w:rFonts w:ascii="Calibri" w:hAnsi="Calibri" w:cs="Arial"/>
        </w:rPr>
        <w:fldChar w:fldCharType="begin" w:fldLock="1"/>
      </w:r>
      <w:r w:rsidR="00C8187C">
        <w:rPr>
          <w:rFonts w:ascii="Calibri" w:hAnsi="Calibri" w:cs="Arial"/>
        </w:rPr>
        <w:instrText>ADDIN CSL_CITATION { "citationItems" : [ { "id" : "ITEM-1", "itemData" : { "DOI" : "10.1073/pnas.1402714111", "ISSN" : "1091-6490", "PMID" : "24616506", "abstract" : "MicroRNAs (miRNAs) are small, noncoding RNAs that regulate gene expression and, in cancers, are often packaged within secreted microvesicles. The cachexia syndrome is a debilitating state of cancer that predominantly results from the loss of skeletal muscle mass, which is in part associated with apoptosis. How tumors promote apoptosis in distally located skeletal muscles has not been explored. Using both tumor cell lines and patient samples, we show that tumor-derived microvesicles induce apoptosis of skeletal muscle cells. This proapoptotic activity is mediated by a microRNA cargo, miR-21, which signals through the Toll-like 7 receptor (TLR7) on murine myoblasts to promote cell death. Furthermore, tumor microvesicles and miR-21 require c-Jun N-terminal kinase activity to regulate this apoptotic response. Together, these results describe a unique pathway by which tumor cells promote muscle loss, which might provide a great insight into elucidating the causes and treatment options of cancer cachexia.", "author" : [ { "dropping-particle" : "", "family" : "He", "given" : "Wei A", "non-dropping-particle" : "", "parse-names" : false, "suffix" : "" }, { "dropping-particle" : "", "family" : "Calore", "given" : "Federica", "non-dropping-particle" : "", "parse-names" : false, "suffix" : "" }, { "dropping-particle" : "", "family" : "Londhe", "given" : "Priya", "non-dropping-particle" : "", "parse-names" : false, "suffix" : "" }, { "dropping-particle" : "", "family" : "Canella", "given" : "Alessandro", "non-dropping-particle" : "", "parse-names" : false, "suffix" : "" }, { "dropping-particle" : "", "family" : "Guttridge", "given" : "Denis C", "non-dropping-particle" : "", "parse-names" : false, "suffix" : "" }, { "dropping-particle" : "", "family" : "Croce", "given" : "Carlo M", "non-dropping-particle" : "", "parse-names" : false, "suffix" : "" } ], "container-title" : "Proceedings of the National Academy of Sciences of the United States of America", "id" : "ITEM-1", "issue" : "12", "issued" : { "date-parts" : [ [ "2014", "3", "25" ] ] }, "page" : "4525-9", "title" : "Microvesicles containing miRNAs promote muscle cell death in cancer cachexia via TLR7.", "type" : "article-journal", "volume" : "111" }, "uris" : [ "http://www.mendeley.com/documents/?uuid=5af748f3-e384-4fe9-b73c-7f1b68fa1e57" ] } ], "mendeley" : { "formattedCitation" : "(W. A. He et al., 2014)", "plainTextFormattedCitation" : "(W. A. He et al., 2014)", "previouslyFormattedCitation" : "(W. A. He et al., 2014)" }, "properties" : { "noteIndex" : 0 }, "schema" : "https://github.com/citation-style-language/schema/raw/master/csl-citation.json" }</w:instrText>
      </w:r>
      <w:r w:rsidR="00D22293">
        <w:rPr>
          <w:rFonts w:ascii="Calibri" w:hAnsi="Calibri" w:cs="Arial"/>
        </w:rPr>
        <w:fldChar w:fldCharType="separate"/>
      </w:r>
      <w:r w:rsidR="002A25D9" w:rsidRPr="002A25D9">
        <w:rPr>
          <w:rFonts w:ascii="Calibri" w:hAnsi="Calibri" w:cs="Arial"/>
          <w:noProof/>
        </w:rPr>
        <w:t>(W. A. He et al., 2014)</w:t>
      </w:r>
      <w:r w:rsidR="00D22293">
        <w:rPr>
          <w:rFonts w:ascii="Calibri" w:hAnsi="Calibri" w:cs="Arial"/>
        </w:rPr>
        <w:fldChar w:fldCharType="end"/>
      </w:r>
      <w:r w:rsidR="00EC46F6">
        <w:rPr>
          <w:rFonts w:ascii="Calibri" w:hAnsi="Calibri" w:cs="Arial"/>
        </w:rPr>
        <w:t xml:space="preserve">, neurodegenerative </w:t>
      </w:r>
      <w:r w:rsidR="00874AEF">
        <w:rPr>
          <w:rFonts w:ascii="Calibri" w:hAnsi="Calibri" w:cs="Arial"/>
        </w:rPr>
        <w:fldChar w:fldCharType="begin" w:fldLock="1"/>
      </w:r>
      <w:r w:rsidR="00874AEF">
        <w:rPr>
          <w:rFonts w:ascii="Calibri" w:hAnsi="Calibri" w:cs="Arial"/>
        </w:rPr>
        <w:instrText>ADDIN CSL_CITATION { "citationItems" : [ { "id" : "ITEM-1", "itemData" : { "DOI" : "10.1038/nn.3113", "ISSN" : "1546-1726", "PMID" : "22610069", "abstract" : "Activation of innate immune receptors by host-derived factors exacerbates CNS damage, but the identity of these factors remains elusive. We uncovered an unconventional role for the microRNA let-7, a highly abundant regulator of gene expression in the CNS, in which extracellular let-7 activates the RNA-sensing Toll-like receptor (TLR) 7 and induces neurodegeneration through neuronal TLR7. Cerebrospinal fluid (CSF) from individuals with Alzheimer\u2019s disease contains increased amounts of let-7b, and extracellular introduction of let-7b into the CSF of wild-type mice by intrathecal injection resulted in neurodegeneration. Mice lacking TLR7 were resistant to this neurodegenerative effect, but this susceptibility to let-7 was restored in neurons transfected with TLR7 by intrauterine electroporation of Tlr7(\u2212/\u2212) fetuses. Our results suggest that microRNAs can function as signaling molecules and identify TLR7 as an essential element in a pathway that contributes to the spread of CNS damage.", "author" : [ { "dropping-particle" : "", "family" : "Lehmann", "given" : "Sabrina M", "non-dropping-particle" : "", "parse-names" : false, "suffix" : "" }, { "dropping-particle" : "", "family" : "Kr\u00fcger", "given" : "Christina", "non-dropping-particle" : "", "parse-names" : false, "suffix" : "" }, { "dropping-particle" : "", "family" : "Park", "given" : "Boyoun", "non-dropping-particle" : "", "parse-names" : false, "suffix" : "" }, { "dropping-particle" : "", "family" : "Derkow", "given" : "Katja", "non-dropping-particle" : "", "parse-names" : false, "suffix" : "" }, { "dropping-particle" : "", "family" : "Rosenberger", "given" : "Karen", "non-dropping-particle" : "", "parse-names" : false, "suffix" : "" }, { "dropping-particle" : "", "family" : "Baumgart", "given" : "Jan", "non-dropping-particle" : "", "parse-names" : false, "suffix" : "" }, { "dropping-particle" : "", "family" : "Trimbuch", "given" : "Thorsten", "non-dropping-particle" : "", "parse-names" : false, "suffix" : "" }, { "dropping-particle" : "", "family" : "Eom", "given" : "Gina", "non-dropping-particle" : "", "parse-names" : false, "suffix" : "" }, { "dropping-particle" : "", "family" : "Hinz", "given" : "Michael", "non-dropping-particle" : "", "parse-names" : false, "suffix" : "" }, { "dropping-particle" : "", "family" : "Kaul", "given" : "David", "non-dropping-particle" : "", "parse-names" : false, "suffix" : "" }, { "dropping-particle" : "", "family" : "Habbel", "given" : "Piet", "non-dropping-particle" : "", "parse-names" : false, "suffix" : "" }, { "dropping-particle" : "", "family" : "K\u00e4lin", "given" : "Roland", "non-dropping-particle" : "", "parse-names" : false, "suffix" : "" }, { "dropping-particle" : "", "family" : "Franzoni", "given" : "Eleonora", "non-dropping-particle" : "", "parse-names" : false, "suffix" : "" }, { "dropping-particle" : "", "family" : "Rybak", "given" : "Agnieszka", "non-dropping-particle" : "", "parse-names" : false, "suffix" : "" }, { "dropping-particle" : "", "family" : "Nguyen", "given" : "Duong", "non-dropping-particle" : "", "parse-names" : false, "suffix" : "" }, { "dropping-particle" : "", "family" : "Veh", "given" : "R\u00fcdiger", "non-dropping-particle" : "", "parse-names" : false, "suffix" : "" }, { "dropping-particle" : "", "family" : "Ninnemann", "given" : "Olaf", "non-dropping-particle" : "", "parse-names" : false, "suffix" : "" }, { "dropping-particle" : "", "family" : "Peters", "given" : "Oliver", "non-dropping-particle" : "", "parse-names" : false, "suffix" : "" }, { "dropping-particle" : "", "family" : "Nitsch", "given" : "Robert", "non-dropping-particle" : "", "parse-names" : false, "suffix" : "" }, { "dropping-particle" : "", "family" : "Heppner", "given" : "Frank L", "non-dropping-particle" : "", "parse-names" : false, "suffix" : "" }, { "dropping-particle" : "", "family" : "Golenbock", "given" : "Douglas", "non-dropping-particle" : "", "parse-names" : false, "suffix" : "" }, { "dropping-particle" : "", "family" : "Schott", "given" : "Eckart", "non-dropping-particle" : "", "parse-names" : false, "suffix" : "" }, { "dropping-particle" : "", "family" : "Ploegh", "given" : "Hidde L", "non-dropping-particle" : "", "parse-names" : false, "suffix" : "" }, { "dropping-particle" : "", "family" : "Wulczyn", "given" : "F Gregory", "non-dropping-particle" : "", "parse-names" : false, "suffix" : "" }, { "dropping-particle" : "", "family" : "Lehnardt", "given" : "Seija", "non-dropping-particle" : "", "parse-names" : false, "suffix" : "" } ], "container-title" : "Nature neuroscience", "id" : "ITEM-1", "issue" : "6", "issued" : { "date-parts" : [ [ "2012", "6" ] ] }, "page" : "827-35", "title" : "An unconventional role for miRNA: let-7 activates Toll-like receptor 7 and causes neurodegeneration.", "type" : "article-journal", "volume" : "15" }, "uris" : [ "http://www.mendeley.com/documents/?uuid=bef71b29-2609-3916-b58d-5133332ba739" ] } ], "mendeley" : { "formattedCitation" : "(Lehmann et al., 2012)", "plainTextFormattedCitation" : "(Lehmann et al., 2012)", "previouslyFormattedCitation" : "(Lehmann et al., 2012)" }, "properties" : { "noteIndex" : 0 }, "schema" : "https://github.com/citation-style-language/schema/raw/master/csl-citation.json" }</w:instrText>
      </w:r>
      <w:r w:rsidR="00874AEF">
        <w:rPr>
          <w:rFonts w:ascii="Calibri" w:hAnsi="Calibri" w:cs="Arial"/>
        </w:rPr>
        <w:fldChar w:fldCharType="separate"/>
      </w:r>
      <w:r w:rsidR="00874AEF" w:rsidRPr="00874AEF">
        <w:rPr>
          <w:rFonts w:ascii="Calibri" w:hAnsi="Calibri" w:cs="Arial"/>
          <w:noProof/>
        </w:rPr>
        <w:t>(Lehmann et al., 2012)</w:t>
      </w:r>
      <w:r w:rsidR="00874AEF">
        <w:rPr>
          <w:rFonts w:ascii="Calibri" w:hAnsi="Calibri" w:cs="Arial"/>
        </w:rPr>
        <w:fldChar w:fldCharType="end"/>
      </w:r>
      <w:r w:rsidR="00D22293">
        <w:rPr>
          <w:rFonts w:ascii="Calibri" w:hAnsi="Calibri" w:cs="Arial"/>
        </w:rPr>
        <w:t xml:space="preserve"> and pain responses </w:t>
      </w:r>
      <w:r w:rsidR="00D22293">
        <w:rPr>
          <w:rFonts w:ascii="Calibri" w:hAnsi="Calibri" w:cs="Arial"/>
        </w:rPr>
        <w:fldChar w:fldCharType="begin" w:fldLock="1"/>
      </w:r>
      <w:r w:rsidR="002A25D9">
        <w:rPr>
          <w:rFonts w:ascii="Calibri" w:hAnsi="Calibri" w:cs="Arial"/>
        </w:rPr>
        <w:instrText>ADDIN CSL_CITATION { "citationItems" : [ { "id" : "ITEM-1", "itemData" : { "DOI" : "10.1016/j.neuron.2014.02.011", "ISSN" : "1097-4199", "PMID" : "24698267", "abstract" : "Intracellular microRNAs (miRNAs) are key regulators of gene expression. The role of extracellular miRNAs in neuronal activation and sensory behaviors are unknown. Here we report an unconventional role of extracellular miRNAs for rapid excitation of nociceptor neurons via toll-like receptor-7 (TLR7) and its coupling to TRPA1 ion channel. miRNA-let-7b induces rapid inward currents and action potentials in dorsal root ganglion (DRG) neurons. These responses require the GUUGUGU motif, only occur in\u00a0neurons coexpressing TLR7 and TRPA1, and are abolished in mice lacking Tlr7 or Trpa1. Furthermore, let-7b induces TLR7/TRPA1-dependent single-channel activities in DRG neurons and HEK293 cells overexpressing TLR7/TRPA1. Intraplantar injection of let-7b elicits rapid spontaneous pain via TLR7 and TRPA1. Finally, let-7b can be released from DRG neurons by neuronal activation, and let-7b inhibitor reduces formalin-induced TRPA1 currents and spontaneous pain. Thus, secreted extracellular miRNAs may serve as novel pain mediators via activating TLR7/TRPA1 in nociceptor neurons.", "author" : [ { "dropping-particle" : "", "family" : "Park", "given" : "Chul-Kyu", "non-dropping-particle" : "", "parse-names" : false, "suffix" : "" }, { "dropping-particle" : "", "family" : "Xu", "given" : "Zhen-Zhong", "non-dropping-particle" : "", "parse-names" : false, "suffix" : "" }, { "dropping-particle" : "", "family" : "Berta", "given" : "Temugin", "non-dropping-particle" : "", "parse-names" : false, "suffix" : "" }, { "dropping-particle" : "", "family" : "Han", "given" : "Qingjian", "non-dropping-particle" : "", "parse-names" : false, "suffix" : "" }, { "dropping-particle" : "", "family" : "Chen", "given" : "Gang", "non-dropping-particle" : "", "parse-names" : false, "suffix" : "" }, { "dropping-particle" : "", "family" : "Liu", "given" : "Xing-Jun", "non-dropping-particle" : "", "parse-names" : false, "suffix" : "" }, { "dropping-particle" : "", "family" : "Ji", "given" : "Ru-Rong", "non-dropping-particle" : "", "parse-names" : false, "suffix" : "" } ], "container-title" : "Neuron", "id" : "ITEM-1", "issue" : "1", "issued" : { "date-parts" : [ [ "2014", "4", "2" ] ] }, "page" : "47-54", "title" : "Extracellular microRNAs activate nociceptor neurons to elicit pain via TLR7 and TRPA1.", "type" : "article-journal", "volume" : "82" }, "uris" : [ "http://www.mendeley.com/documents/?uuid=00a0063d-0221-4149-a6db-0b554c74329c" ] } ], "mendeley" : { "formattedCitation" : "(C.-K. Park et al., 2014)", "plainTextFormattedCitation" : "(C.-K. Park et al., 2014)", "previouslyFormattedCitation" : "(C.-K. Park et al., 2014)" }, "properties" : { "noteIndex" : 0 }, "schema" : "https://github.com/citation-style-language/schema/raw/master/csl-citation.json" }</w:instrText>
      </w:r>
      <w:r w:rsidR="00D22293">
        <w:rPr>
          <w:rFonts w:ascii="Calibri" w:hAnsi="Calibri" w:cs="Arial"/>
        </w:rPr>
        <w:fldChar w:fldCharType="separate"/>
      </w:r>
      <w:r w:rsidR="00AC0940" w:rsidRPr="00AC0940">
        <w:rPr>
          <w:rFonts w:ascii="Calibri" w:hAnsi="Calibri" w:cs="Arial"/>
          <w:noProof/>
        </w:rPr>
        <w:t>(C.-K. Park et al., 2014)</w:t>
      </w:r>
      <w:r w:rsidR="00D22293">
        <w:rPr>
          <w:rFonts w:ascii="Calibri" w:hAnsi="Calibri" w:cs="Arial"/>
        </w:rPr>
        <w:fldChar w:fldCharType="end"/>
      </w:r>
      <w:r w:rsidR="00D22293">
        <w:rPr>
          <w:rFonts w:ascii="Calibri" w:hAnsi="Calibri" w:cs="Arial"/>
        </w:rPr>
        <w:t xml:space="preserve"> through </w:t>
      </w:r>
      <w:r w:rsidR="00E62E5D">
        <w:rPr>
          <w:rFonts w:ascii="Calibri" w:hAnsi="Calibri" w:cs="Arial"/>
        </w:rPr>
        <w:t xml:space="preserve">extracellular vesicle </w:t>
      </w:r>
      <w:r w:rsidR="00D22293">
        <w:rPr>
          <w:rFonts w:ascii="Calibri" w:hAnsi="Calibri" w:cs="Arial"/>
        </w:rPr>
        <w:t>pathways</w:t>
      </w:r>
      <w:r w:rsidR="00D4489A">
        <w:rPr>
          <w:rFonts w:ascii="Calibri" w:hAnsi="Calibri" w:cs="Arial"/>
        </w:rPr>
        <w:t>, which might include exosomes</w:t>
      </w:r>
      <w:r w:rsidR="00D22293">
        <w:rPr>
          <w:rFonts w:ascii="Calibri" w:hAnsi="Calibri" w:cs="Arial"/>
        </w:rPr>
        <w:t xml:space="preserve"> </w:t>
      </w:r>
      <w:r w:rsidR="00D22293">
        <w:rPr>
          <w:rFonts w:ascii="Calibri" w:hAnsi="Calibri" w:cs="Arial"/>
        </w:rPr>
        <w:fldChar w:fldCharType="begin" w:fldLock="1"/>
      </w:r>
      <w:r w:rsidR="00D22293">
        <w:rPr>
          <w:rFonts w:ascii="Calibri" w:hAnsi="Calibri" w:cs="Arial"/>
        </w:rPr>
        <w:instrText>ADDIN CSL_CITATION { "citationItems" : [ { "id" : "ITEM-1", "itemData" : { "ISSN" : "2001-3078", "PMID" : "26320939", "abstract" : "The Extracellular RNA (exRNA) Communication Consortium was launched by the National Institutes of Health to focus on the extent to which RNA might function in a non-cell-autonomous manner. With the availability of increasingly sensitive tools, small amounts of RNA can be detected in serum, plasma, and other bodily fluids. The exact mechanism(s) by which RNA can be secreted from cells and the mechanisms for the delivery and uptake by recipient cells remain to be determined. This review will summarize current knowledge about the biogenesis and delivery of exRNA and outline projects seeking to understand the functional impact of exRNA.", "author" : [ { "dropping-particle" : "", "family" : "Patton", "given" : "James G", "non-dropping-particle" : "", "parse-names" : false, "suffix" : "" }, { "dropping-particle" : "", "family" : "Franklin", "given" : "Jeffrey L", "non-dropping-particle" : "", "parse-names" : false, "suffix" : "" }, { "dropping-particle" : "", "family" : "Weaver", "given" : "Alissa M", "non-dropping-particle" : "", "parse-names" : false, "suffix" : "" }, { "dropping-particle" : "", "family" : "Vickers", "given" : "Kasey", "non-dropping-particle" : "", "parse-names" : false, "suffix" : "" }, { "dropping-particle" : "", "family" : "Zhang", "given" : "Bing", "non-dropping-particle" : "", "parse-names" : false, "suffix" : "" }, { "dropping-particle" : "", "family" : "Coffey", "given" : "Robert J", "non-dropping-particle" : "", "parse-names" : false, "suffix" : "" }, { "dropping-particle" : "", "family" : "Ansel", "given" : "K Mark", "non-dropping-particle" : "", "parse-names" : false, "suffix" : "" }, { "dropping-particle" : "", "family" : "Blelloch", "given" : "Robert", "non-dropping-particle" : "", "parse-names" : false, "suffix" : "" }, { "dropping-particle" : "", "family" : "Goga", "given" : "Andrei", "non-dropping-particle" : "", "parse-names" : false, "suffix" : "" }, { "dropping-particle" : "", "family" : "Huang", "given" : "Bo", "non-dropping-particle" : "", "parse-names" : false, "suffix" : "" }, { "dropping-particle" : "", "family" : "L'Etoille", "given" : "Noelle", "non-dropping-particle" : "", "parse-names" : false, "suffix" : "" }, { "dropping-particle" : "", "family" : "Raffai", "given" : "Robert L", "non-dropping-particle" : "", "parse-names" : false, "suffix" : "" }, { "dropping-particle" : "", "family" : "Lai", "given" : "Charles P", "non-dropping-particle" : "", "parse-names" : false, "suffix" : "" }, { "dropping-particle" : "", "family" : "Krichevsky", "given" : "Anna M", "non-dropping-particle" : "", "parse-names" : false, "suffix" : "" }, { "dropping-particle" : "", "family" : "Mateescu", "given" : "Bogdan", "non-dropping-particle" : "", "parse-names" : false, "suffix" : "" }, { "dropping-particle" : "", "family" : "Greiner", "given" : "Vanille J", "non-dropping-particle" : "", "parse-names" : false, "suffix" : "" }, { "dropping-particle" : "", "family" : "Hunter", "given" : "Craig", "non-dropping-particle" : "", "parse-names" : false, "suffix" : "" }, { "dropping-particle" : "", "family" : "Voinnet", "given" : "Olivier", "non-dropping-particle" : "", "parse-names" : false, "suffix" : "" }, { "dropping-particle" : "", "family" : "McManus", "given" : "Michael T", "non-dropping-particle" : "", "parse-names" : false, "suffix" : "" } ], "container-title" : "Journal of extracellular vesicles", "id" : "ITEM-1", "issued" : { "date-parts" : [ [ "2015", "1" ] ] }, "page" : "27494", "title" : "Biogenesis, delivery, and function of extracellular RNA.", "type" : "article-journal", "volume" : "4" }, "uris" : [ "http://www.mendeley.com/documents/?uuid=94158bf0-5405-40ed-af23-30cbab665c20" ] } ], "mendeley" : { "formattedCitation" : "(Patton et al., 2015)", "plainTextFormattedCitation" : "(Patton et al., 2015)", "previouslyFormattedCitation" : "(Patton et al., 2015)" }, "properties" : { "noteIndex" : 0 }, "schema" : "https://github.com/citation-style-language/schema/raw/master/csl-citation.json" }</w:instrText>
      </w:r>
      <w:r w:rsidR="00D22293">
        <w:rPr>
          <w:rFonts w:ascii="Calibri" w:hAnsi="Calibri" w:cs="Arial"/>
        </w:rPr>
        <w:fldChar w:fldCharType="separate"/>
      </w:r>
      <w:r w:rsidR="00D22293" w:rsidRPr="00FE0012">
        <w:rPr>
          <w:rFonts w:ascii="Calibri" w:hAnsi="Calibri" w:cs="Arial"/>
          <w:noProof/>
        </w:rPr>
        <w:t>(Patton et al., 2015)</w:t>
      </w:r>
      <w:r w:rsidR="00D22293">
        <w:rPr>
          <w:rFonts w:ascii="Calibri" w:hAnsi="Calibri" w:cs="Arial"/>
        </w:rPr>
        <w:fldChar w:fldCharType="end"/>
      </w:r>
      <w:r w:rsidR="00AC1B41">
        <w:rPr>
          <w:rFonts w:ascii="Calibri" w:hAnsi="Calibri" w:cs="Arial"/>
        </w:rPr>
        <w:t>.</w:t>
      </w:r>
      <w:r w:rsidR="00C60AA7">
        <w:rPr>
          <w:rFonts w:ascii="Calibri" w:hAnsi="Calibri" w:cs="Arial"/>
        </w:rPr>
        <w:t xml:space="preserve"> </w:t>
      </w:r>
      <w:r w:rsidR="00AC1B41">
        <w:rPr>
          <w:rFonts w:ascii="Calibri" w:hAnsi="Calibri" w:cs="Arial"/>
        </w:rPr>
        <w:t>T</w:t>
      </w:r>
      <w:r w:rsidR="00C60AA7">
        <w:rPr>
          <w:rFonts w:ascii="Calibri" w:hAnsi="Calibri" w:cs="Arial"/>
        </w:rPr>
        <w:t>hese functions depend on the</w:t>
      </w:r>
      <w:r w:rsidR="00D22293">
        <w:rPr>
          <w:rFonts w:ascii="Calibri" w:hAnsi="Calibri" w:cs="Arial"/>
        </w:rPr>
        <w:t xml:space="preserve"> miRNA sequence and </w:t>
      </w:r>
      <w:r w:rsidR="00C60AA7">
        <w:rPr>
          <w:rFonts w:ascii="Calibri" w:hAnsi="Calibri" w:cs="Arial"/>
        </w:rPr>
        <w:t xml:space="preserve">the </w:t>
      </w:r>
      <w:r w:rsidR="00D22293">
        <w:rPr>
          <w:rFonts w:ascii="Calibri" w:hAnsi="Calibri" w:cs="Arial"/>
        </w:rPr>
        <w:t>recipient cell type</w:t>
      </w:r>
      <w:r w:rsidR="007E1A3C">
        <w:rPr>
          <w:rFonts w:ascii="Calibri" w:hAnsi="Calibri" w:cs="Arial"/>
        </w:rPr>
        <w:t>, and should come as no surprise to the reader versed in the immunostimulatory potential of synthetic siRNA-like molecules.</w:t>
      </w:r>
      <w:r w:rsidR="00D22293" w:rsidRPr="00D22293">
        <w:rPr>
          <w:rFonts w:ascii="Calibri" w:hAnsi="Calibri" w:cs="Arial"/>
        </w:rPr>
        <w:t xml:space="preserve"> </w:t>
      </w:r>
      <w:r w:rsidR="00EC46F6">
        <w:rPr>
          <w:rFonts w:ascii="Calibri" w:hAnsi="Calibri" w:cs="Arial"/>
        </w:rPr>
        <w:t xml:space="preserve">Importantly, in these studies the evidence collected involves response modulation in TLR double negative cell lines </w:t>
      </w:r>
      <w:r w:rsidR="00EC46F6">
        <w:rPr>
          <w:rFonts w:ascii="Calibri" w:hAnsi="Calibri" w:cs="Arial"/>
        </w:rPr>
        <w:fldChar w:fldCharType="begin" w:fldLock="1"/>
      </w:r>
      <w:r w:rsidR="00EC46F6">
        <w:rPr>
          <w:rFonts w:ascii="Calibri" w:hAnsi="Calibri" w:cs="Arial"/>
        </w:rPr>
        <w:instrText>ADDIN CSL_CITATION { "citationItems" : [ { "id" : "ITEM-1", "itemData" : { "DOI" : "10.1093/molehr/gaw027", "ISSN" : "1460-2407", "PMID" : "27029214", "abstract" : "STUDY QUESTION What is the role of microRNAs (miRs) in antiphospholipid antibody (aPL)-induced trophoblast inflammation? SUMMARY ANSWER: aPL-induced up-regulation of trophoblast miR-146a-3p is mediated by Toll-like receptor 4 (TLR4), and miR-146a-3p in turn drives the cells to secrete interleukin (IL)-8 by activating the RNA sensor, TLR8. WHAT IS KNOWN ALREADY Obstetric antiphospholipid syndrome (APS) is an autoimmune disorder characterized by circulating aPL and an increased risk of pregnancy complications. We previously showed that aPL recognizing beta2 glycoprotein I (\u03b22GPI) elicit human first trimester trophoblast secretion of IL-8 by activating TLR4. Since some miRs control TLR responses, their regulation in trophoblast cells by aPL and functional role in the aPL-mediated inflammatory response was investigated. miRs can be released from cells via exosomes, and therefore, miR exosome expression was also examined. A panel of miRs was selected based on their involvement with TLR signaling: miR-9; miR-146a-5p and its isomiR, miR-146a-3p; miR-155, miR-210; and Let-7c. Since certain miRs can activate the RNA sensor, TLR8, this was also investigated. STUDY DESIGN, SIZE, DURATION For in vitro studies, the human first trimester extravillous trophoblast cell line, HTR8 was studied. HTR8 cells transfected to express a TLR8 dominant negative (DN) were also used. Plasma was evaluated from pregnant women who have aPL, either with or without systemic lupus erythematous (SLE) (n = 39); SLE patients without aPL (n = 30); and healthy pregnant controls (n = 20). PARTICIPANTS/MATERIALS, SETTING, METHODS Trophoblast HTR8 wildtype and TLR8-DN cells were incubated with or without aPL (mouse anti-human \u03b22GPI mAb) for 48-72 h. HTR8 cells were also treated with or without aPL in the presence and the absence of a TLR4 antagonist (lipopolysaccharide from Rhodobacter sphaeroides; LPS-RS), specific miR inhibitors or specific miR mimics. miR expression levels in trophoblast cells, trophoblast-derived exosomes and exosomes isolated from patient plasma were measured by qPCR. Trophoblast IL-8 secretion was measured by ELISA. MAIN RESULTS AND THE ROLE OF CHANCE: aPL significantly increased trophoblast cellular and exosome expression of miR-146a-5p, miR-146a-3p, miR-155 and miR-210. aPL-induced up-regulation of trophoblast miR-146a-5p, miR-146a-3p and miR-210, but not miR-155, was inhibited by the TLR4 antagonist, LPS-RS. While inhibition or overexpression of miR-146a-5p had no effec\u2026", "author" : [ { "dropping-particle" : "", "family" : "Gysler", "given" : "Stefan M", "non-dropping-particle" : "", "parse-names" : false, "suffix" : "" }, { "dropping-particle" : "", "family" : "Mulla", "given" : "Melissa J", "non-dropping-particle" : "", "parse-names" : false, "suffix" : "" }, { "dropping-particle" : "", "family" : "Guerra", "given" : "Marta", "non-dropping-particle" : "", "parse-names" : false, "suffix" : "" }, { "dropping-particle" : "", "family" : "Brosens", "given" : "Jan J", "non-dropping-particle" : "", "parse-names" : false, "suffix" : "" }, { "dropping-particle" : "", "family" : "Salmon", "given" : "Jane E", "non-dropping-particle" : "", "parse-names" : false, "suffix" : "" }, { "dropping-particle" : "", "family" : "Chamley", "given" : "Lawrence W", "non-dropping-particle" : "", "parse-names" : false, "suffix" : "" }, { "dropping-particle" : "", "family" : "Abrahams", "given" : "Vikki M", "non-dropping-particle" : "", "parse-names" : false, "suffix" : "" } ], "container-title" : "Molecular human reproduction", "id" : "ITEM-1", "issued" : { "date-parts" : [ [ "2016", "3", "29" ] ] }, "page" : "gaw027", "title" : "Antiphospholipid antibody-induced miR-146a-3p drives trophoblast interleukin-8 secretion through activation of Toll-like receptor 8.", "type" : "article-journal" }, "uris" : [ "http://www.mendeley.com/documents/?uuid=2615924f-50f5-38ef-b17c-a6ce82ecddb3" ] } ], "mendeley" : { "formattedCitation" : "(Gysler et al., 2016)", "plainTextFormattedCitation" : "(Gysler et al., 2016)", "previouslyFormattedCitation" : "(Gysler et al., 2016)" }, "properties" : { "noteIndex" : 0 }, "schema" : "https://github.com/citation-style-language/schema/raw/master/csl-citation.json" }</w:instrText>
      </w:r>
      <w:r w:rsidR="00EC46F6">
        <w:rPr>
          <w:rFonts w:ascii="Calibri" w:hAnsi="Calibri" w:cs="Arial"/>
        </w:rPr>
        <w:fldChar w:fldCharType="separate"/>
      </w:r>
      <w:r w:rsidR="00EC46F6" w:rsidRPr="00EC46F6">
        <w:rPr>
          <w:rFonts w:ascii="Calibri" w:hAnsi="Calibri" w:cs="Arial"/>
          <w:noProof/>
        </w:rPr>
        <w:t>(Gysler et al., 2016)</w:t>
      </w:r>
      <w:r w:rsidR="00EC46F6">
        <w:rPr>
          <w:rFonts w:ascii="Calibri" w:hAnsi="Calibri" w:cs="Arial"/>
        </w:rPr>
        <w:fldChar w:fldCharType="end"/>
      </w:r>
      <w:r w:rsidR="00EC46F6">
        <w:rPr>
          <w:rFonts w:ascii="Calibri" w:hAnsi="Calibri" w:cs="Arial"/>
        </w:rPr>
        <w:t xml:space="preserve">, </w:t>
      </w:r>
      <w:r w:rsidR="00874AEF">
        <w:rPr>
          <w:rFonts w:ascii="Calibri" w:hAnsi="Calibri" w:cs="Arial"/>
        </w:rPr>
        <w:t xml:space="preserve">TLR knockouts </w:t>
      </w:r>
      <w:r w:rsidR="007A1B8F">
        <w:rPr>
          <w:rFonts w:ascii="Calibri" w:hAnsi="Calibri" w:cs="Arial"/>
        </w:rPr>
        <w:fldChar w:fldCharType="begin" w:fldLock="1"/>
      </w:r>
      <w:r w:rsidR="00B808F8">
        <w:rPr>
          <w:rFonts w:ascii="Calibri" w:hAnsi="Calibri" w:cs="Arial"/>
        </w:rPr>
        <w:instrText>ADDIN CSL_CITATION { "citationItems" : [ { "id" : "ITEM-1", "itemData" : { "DOI" : "10.1038/nn.3113", "ISSN" : "1546-1726", "PMID" : "22610069", "abstract" : "Activation of innate immune receptors by host-derived factors exacerbates CNS damage, but the identity of these factors remains elusive. We uncovered an unconventional role for the microRNA let-7, a highly abundant regulator of gene expression in the CNS, in which extracellular let-7 activates the RNA-sensing Toll-like receptor (TLR) 7 and induces neurodegeneration through neuronal TLR7. Cerebrospinal fluid (CSF) from individuals with Alzheimer\u2019s disease contains increased amounts of let-7b, and extracellular introduction of let-7b into the CSF of wild-type mice by intrathecal injection resulted in neurodegeneration. Mice lacking TLR7 were resistant to this neurodegenerative effect, but this susceptibility to let-7 was restored in neurons transfected with TLR7 by intrauterine electroporation of Tlr7(\u2212/\u2212) fetuses. Our results suggest that microRNAs can function as signaling molecules and identify TLR7 as an essential element in a pathway that contributes to the spread of CNS damage.", "author" : [ { "dropping-particle" : "", "family" : "Lehmann", "given" : "Sabrina M", "non-dropping-particle" : "", "parse-names" : false, "suffix" : "" }, { "dropping-particle" : "", "family" : "Kr\u00fcger", "given" : "Christina", "non-dropping-particle" : "", "parse-names" : false, "suffix" : "" }, { "dropping-particle" : "", "family" : "Park", "given" : "Boyoun", "non-dropping-particle" : "", "parse-names" : false, "suffix" : "" }, { "dropping-particle" : "", "family" : "Derkow", "given" : "Katja", "non-dropping-particle" : "", "parse-names" : false, "suffix" : "" }, { "dropping-particle" : "", "family" : "Rosenberger", "given" : "Karen", "non-dropping-particle" : "", "parse-names" : false, "suffix" : "" }, { "dropping-particle" : "", "family" : "Baumgart", "given" : "Jan", "non-dropping-particle" : "", "parse-names" : false, "suffix" : "" }, { "dropping-particle" : "", "family" : "Trimbuch", "given" : "Thorsten", "non-dropping-particle" : "", "parse-names" : false, "suffix" : "" }, { "dropping-particle" : "", "family" : "Eom", "given" : "Gina", "non-dropping-particle" : "", "parse-names" : false, "suffix" : "" }, { "dropping-particle" : "", "family" : "Hinz", "given" : "Michael", "non-dropping-particle" : "", "parse-names" : false, "suffix" : "" }, { "dropping-particle" : "", "family" : "Kaul", "given" : "David", "non-dropping-particle" : "", "parse-names" : false, "suffix" : "" }, { "dropping-particle" : "", "family" : "Habbel", "given" : "Piet", "non-dropping-particle" : "", "parse-names" : false, "suffix" : "" }, { "dropping-particle" : "", "family" : "K\u00e4lin", "given" : "Roland", "non-dropping-particle" : "", "parse-names" : false, "suffix" : "" }, { "dropping-particle" : "", "family" : "Franzoni", "given" : "Eleonora", "non-dropping-particle" : "", "parse-names" : false, "suffix" : "" }, { "dropping-particle" : "", "family" : "Rybak", "given" : "Agnieszka", "non-dropping-particle" : "", "parse-names" : false, "suffix" : "" }, { "dropping-particle" : "", "family" : "Nguyen", "given" : "Duong", "non-dropping-particle" : "", "parse-names" : false, "suffix" : "" }, { "dropping-particle" : "", "family" : "Veh", "given" : "R\u00fcdiger", "non-dropping-particle" : "", "parse-names" : false, "suffix" : "" }, { "dropping-particle" : "", "family" : "Ninnemann", "given" : "Olaf", "non-dropping-particle" : "", "parse-names" : false, "suffix" : "" }, { "dropping-particle" : "", "family" : "Peters", "given" : "Oliver", "non-dropping-particle" : "", "parse-names" : false, "suffix" : "" }, { "dropping-particle" : "", "family" : "Nitsch", "given" : "Robert", "non-dropping-particle" : "", "parse-names" : false, "suffix" : "" }, { "dropping-particle" : "", "family" : "Heppner", "given" : "Frank L", "non-dropping-particle" : "", "parse-names" : false, "suffix" : "" }, { "dropping-particle" : "", "family" : "Golenbock", "given" : "Douglas", "non-dropping-particle" : "", "parse-names" : false, "suffix" : "" }, { "dropping-particle" : "", "family" : "Schott", "given" : "Eckart", "non-dropping-particle" : "", "parse-names" : false, "suffix" : "" }, { "dropping-particle" : "", "family" : "Ploegh", "given" : "Hidde L", "non-dropping-particle" : "", "parse-names" : false, "suffix" : "" }, { "dropping-particle" : "", "family" : "Wulczyn", "given" : "F Gregory", "non-dropping-particle" : "", "parse-names" : false, "suffix" : "" }, { "dropping-particle" : "", "family" : "Lehnardt", "given" : "Seija", "non-dropping-particle" : "", "parse-names" : false, "suffix" : "" } ], "container-title" : "Nature neuroscience", "id" : "ITEM-1", "issue" : "6", "issued" : { "date-parts" : [ [ "2012", "6" ] ] }, "page" : "827-35", "title" : "An unconventional role for miRNA: let-7 activates Toll-like receptor 7 and causes neurodegeneration.", "type" : "article-journal", "volume" : "15" }, "uris" : [ "http://www.mendeley.com/documents/?uuid=bef71b29-2609-3916-b58d-5133332ba739" ] }, { "id" : "ITEM-2", "itemData" : { "DOI" : "10.1073/pnas.1209414109", "ISSN" : "1091-6490", "PMID" : "22753494", "abstract" : "MicroRNAs (miRNAs) are small noncoding RNAs, 19-24 nucleotides in length, that regulate gene expression and are expressed aberrantly in most types of cancer. MiRNAs also have been detected in the blood of cancer patients and can serve as circulating biomarkers. It has been shown that secreted miRNAs within exosomes can be transferred from cell to cell and can regulate gene expression in the receiving cells by canonical binding to their target messenger RNAs. Here we show that tumor-secreted miR-21 and miR-29a also can function by another mechanism, by binding as ligands to receptors of the Toll-like receptor (TLR) family, murine TLR7 and human TLR8, in immune cells, triggering a TLR-mediated prometastatic inflammatory response that ultimately may lead to tumor growth and metastasis. Thus, by acting as paracrine agonists of TLRs, secreted miRNAs are key regulators of the tumor microenvironment. This mechanism of action of miRNAs is implicated in tumor-immune system communication and is important in tumor growth and spread, thus representing a possible target for cancer treatment.", "author" : [ { "dropping-particle" : "", "family" : "Fabbri", "given" : "Muller", "non-dropping-particle" : "", "parse-names" : false, "suffix" : "" }, { "dropping-particle" : "", "family" : "Paone", "given" : "Alessio", "non-dropping-particle" : "", "parse-names" : false, "suffix" : "" }, { "dropping-particle" : "", "family" : "Calore", "given" : "Federica", "non-dropping-particle" : "", "parse-names" : false, "suffix" : "" }, { "dropping-particle" : "", "family" : "Galli", "given" : "Roberta", "non-dropping-particle" : "", "parse-names" : false, "suffix" : "" }, { "dropping-particle" : "", "family" : "Gaudio", "given" : "Eugenio", "non-dropping-particle" : "", "parse-names" : false, "suffix" : "" }, { "dropping-particle" : "", "family" : "Santhanam", "given" : "Ramasamy", "non-dropping-particle" : "", "parse-names" : false, "suffix" : "" }, { "dropping-particle" : "", "family" : "Lovat", "given" : "Francesca", "non-dropping-particle" : "", "parse-names" : false, "suffix" : "" }, { "dropping-particle" : "", "family" : "Fadda", "given" : "Paolo", "non-dropping-particle" : "", "parse-names" : false, "suffix" : "" }, { "dropping-particle" : "", "family" : "Mao", "given" : "Charlene", "non-dropping-particle" : "", "parse-names" : false, "suffix" : "" }, { "dropping-particle" : "", "family" : "Nuovo", "given" : "Gerard J", "non-dropping-particle" : "", "parse-names" : false, "suffix" : "" }, { "dropping-particle" : "", "family" : "Zanesi", "given" : "Nicola", "non-dropping-particle" : "", "parse-names" : false, "suffix" : "" }, { "dropping-particle" : "", "family" : "Crawford", "given" : "Melissa", "non-dropping-particle" : "", "parse-names" : false, "suffix" : "" }, { "dropping-particle" : "", "family" : "Ozer", "given" : "Gulcin H", "non-dropping-particle" : "", "parse-names" : false, "suffix" : "" }, { "dropping-particle" : "", "family" : "Wernicke", "given" : "Dorothee", "non-dropping-particle" : "", "parse-names" : false, "suffix" : "" }, { "dropping-particle" : "", "family" : "Alder", "given" : "Hansjuerg", "non-dropping-particle" : "", "parse-names" : false, "suffix" : "" }, { "dropping-particle" : "", "family" : "Caligiuri", "given" : "Michael A", "non-dropping-particle" : "", "parse-names" : false, "suffix" : "" }, { "dropping-particle" : "", "family" : "Nana-Sinkam", "given" : "Patrick", "non-dropping-particle" : "", "parse-names" : false, "suffix" : "" }, { "dropping-particle" : "", "family" : "Perrotti", "given" : "Danilo", "non-dropping-particle" : "", "parse-names" : false, "suffix" : "" }, { "dropping-particle" : "", "family" : "Croce", "given" : "Carlo M", "non-dropping-particle" : "", "parse-names" : false, "suffix" : "" } ], "container-title" : "Proceedings of the National Academy of Sciences of the United States of America", "id" : "ITEM-2", "issue" : "31", "issued" : { "date-parts" : [ [ "2012", "7", "31" ] ] }, "page" : "E2110-6", "title" : "MicroRNAs bind to Toll-like receptors to induce prometastatic inflammatory response.", "type" : "article-journal", "volume" : "109" }, "uris" : [ "http://www.mendeley.com/documents/?uuid=436459fc-64f9-4bca-b943-cb0d5014052d" ] } ], "mendeley" : { "formattedCitation" : "(Fabbri et al., 2012; Lehmann et al., 2012)", "plainTextFormattedCitation" : "(Fabbri et al., 2012; Lehmann et al., 2012)", "previouslyFormattedCitation" : "(Fabbri et al., 2012; Lehmann et al., 2012)" }, "properties" : { "noteIndex" : 0 }, "schema" : "https://github.com/citation-style-language/schema/raw/master/csl-citation.json" }</w:instrText>
      </w:r>
      <w:r w:rsidR="007A1B8F">
        <w:rPr>
          <w:rFonts w:ascii="Calibri" w:hAnsi="Calibri" w:cs="Arial"/>
        </w:rPr>
        <w:fldChar w:fldCharType="separate"/>
      </w:r>
      <w:r w:rsidR="007A1B8F" w:rsidRPr="007A1B8F">
        <w:rPr>
          <w:rFonts w:ascii="Calibri" w:hAnsi="Calibri" w:cs="Arial"/>
          <w:noProof/>
        </w:rPr>
        <w:t>(Fabbri et al., 2012; Lehmann et al., 2012)</w:t>
      </w:r>
      <w:r w:rsidR="007A1B8F">
        <w:rPr>
          <w:rFonts w:ascii="Calibri" w:hAnsi="Calibri" w:cs="Arial"/>
        </w:rPr>
        <w:fldChar w:fldCharType="end"/>
      </w:r>
      <w:r w:rsidR="00B808F8">
        <w:rPr>
          <w:rFonts w:ascii="Calibri" w:hAnsi="Calibri" w:cs="Arial"/>
        </w:rPr>
        <w:t xml:space="preserve"> </w:t>
      </w:r>
      <w:r w:rsidR="00EC46F6">
        <w:rPr>
          <w:rFonts w:ascii="Calibri" w:hAnsi="Calibri" w:cs="Arial"/>
        </w:rPr>
        <w:t xml:space="preserve">use of mimics and inhibitors </w:t>
      </w:r>
      <w:r w:rsidR="00B808F8">
        <w:rPr>
          <w:rFonts w:ascii="Calibri" w:hAnsi="Calibri" w:cs="Arial"/>
        </w:rPr>
        <w:fldChar w:fldCharType="begin" w:fldLock="1"/>
      </w:r>
      <w:r w:rsidR="00CF6996">
        <w:rPr>
          <w:rFonts w:ascii="Calibri" w:hAnsi="Calibri" w:cs="Arial"/>
        </w:rPr>
        <w:instrText>ADDIN CSL_CITATION { "citationItems" : [ { "id" : "ITEM-1", "itemData" : { "DOI" : "10.1093/molehr/gaw027", "ISSN" : "1460-2407", "PMID" : "27029214", "abstract" : "STUDY QUESTION What is the role of microRNAs (miRs) in antiphospholipid antibody (aPL)-induced trophoblast inflammation? SUMMARY ANSWER: aPL-induced up-regulation of trophoblast miR-146a-3p is mediated by Toll-like receptor 4 (TLR4), and miR-146a-3p in turn drives the cells to secrete interleukin (IL)-8 by activating the RNA sensor, TLR8. WHAT IS KNOWN ALREADY Obstetric antiphospholipid syndrome (APS) is an autoimmune disorder characterized by circulating aPL and an increased risk of pregnancy complications. We previously showed that aPL recognizing beta2 glycoprotein I (\u03b22GPI) elicit human first trimester trophoblast secretion of IL-8 by activating TLR4. Since some miRs control TLR responses, their regulation in trophoblast cells by aPL and functional role in the aPL-mediated inflammatory response was investigated. miRs can be released from cells via exosomes, and therefore, miR exosome expression was also examined. A panel of miRs was selected based on their involvement with TLR signaling: miR-9; miR-146a-5p and its isomiR, miR-146a-3p; miR-155, miR-210; and Let-7c. Since certain miRs can activate the RNA sensor, TLR8, this was also investigated. STUDY DESIGN, SIZE, DURATION For in vitro studies, the human first trimester extravillous trophoblast cell line, HTR8 was studied. HTR8 cells transfected to express a TLR8 dominant negative (DN) were also used. Plasma was evaluated from pregnant women who have aPL, either with or without systemic lupus erythematous (SLE) (n = 39); SLE patients without aPL (n = 30); and healthy pregnant controls (n = 20). PARTICIPANTS/MATERIALS, SETTING, METHODS Trophoblast HTR8 wildtype and TLR8-DN cells were incubated with or without aPL (mouse anti-human \u03b22GPI mAb) for 48-72 h. HTR8 cells were also treated with or without aPL in the presence and the absence of a TLR4 antagonist (lipopolysaccharide from Rhodobacter sphaeroides; LPS-RS), specific miR inhibitors or specific miR mimics. miR expression levels in trophoblast cells, trophoblast-derived exosomes and exosomes isolated from patient plasma were measured by qPCR. Trophoblast IL-8 secretion was measured by ELISA. MAIN RESULTS AND THE ROLE OF CHANCE: aPL significantly increased trophoblast cellular and exosome expression of miR-146a-5p, miR-146a-3p, miR-155 and miR-210. aPL-induced up-regulation of trophoblast miR-146a-5p, miR-146a-3p and miR-210, but not miR-155, was inhibited by the TLR4 antagonist, LPS-RS. While inhibition or overexpression of miR-146a-5p had no effec\u2026", "author" : [ { "dropping-particle" : "", "family" : "Gysler", "given" : "Stefan M", "non-dropping-particle" : "", "parse-names" : false, "suffix" : "" }, { "dropping-particle" : "", "family" : "Mulla", "given" : "Melissa J", "non-dropping-particle" : "", "parse-names" : false, "suffix" : "" }, { "dropping-particle" : "", "family" : "Guerra", "given" : "Marta", "non-dropping-particle" : "", "parse-names" : false, "suffix" : "" }, { "dropping-particle" : "", "family" : "Brosens", "given" : "Jan J", "non-dropping-particle" : "", "parse-names" : false, "suffix" : "" }, { "dropping-particle" : "", "family" : "Salmon", "given" : "Jane E", "non-dropping-particle" : "", "parse-names" : false, "suffix" : "" }, { "dropping-particle" : "", "family" : "Chamley", "given" : "Lawrence W", "non-dropping-particle" : "", "parse-names" : false, "suffix" : "" }, { "dropping-particle" : "", "family" : "Abrahams", "given" : "Vikki M", "non-dropping-particle" : "", "parse-names" : false, "suffix" : "" } ], "container-title" : "Molecular human reproduction", "id" : "ITEM-1", "issued" : { "date-parts" : [ [ "2016", "3", "29" ] ] }, "page" : "gaw027", "title" : "Antiphospholipid antibody-induced miR-146a-3p drives trophoblast interleukin-8 secretion through activation of Toll-like receptor 8.", "type" : "article-journal" }, "uris" : [ "http://www.mendeley.com/documents/?uuid=2615924f-50f5-38ef-b17c-a6ce82ecddb3" ] }, { "id" : "ITEM-2", "itemData" : { "DOI" : "10.1073/pnas.1209414109", "ISSN" : "1091-6490", "PMID" : "22753494", "abstract" : "MicroRNAs (miRNAs) are small noncoding RNAs, 19-24 nucleotides in length, that regulate gene expression and are expressed aberrantly in most types of cancer. MiRNAs also have been detected in the blood of cancer patients and can serve as circulating biomarkers. It has been shown that secreted miRNAs within exosomes can be transferred from cell to cell and can regulate gene expression in the receiving cells by canonical binding to their target messenger RNAs. Here we show that tumor-secreted miR-21 and miR-29a also can function by another mechanism, by binding as ligands to receptors of the Toll-like receptor (TLR) family, murine TLR7 and human TLR8, in immune cells, triggering a TLR-mediated prometastatic inflammatory response that ultimately may lead to tumor growth and metastasis. Thus, by acting as paracrine agonists of TLRs, secreted miRNAs are key regulators of the tumor microenvironment. This mechanism of action of miRNAs is implicated in tumor-immune system communication and is important in tumor growth and spread, thus representing a possible target for cancer treatment.", "author" : [ { "dropping-particle" : "", "family" : "Fabbri", "given" : "Muller", "non-dropping-particle" : "", "parse-names" : false, "suffix" : "" }, { "dropping-particle" : "", "family" : "Paone", "given" : "Alessio", "non-dropping-particle" : "", "parse-names" : false, "suffix" : "" }, { "dropping-particle" : "", "family" : "Calore", "given" : "Federica", "non-dropping-particle" : "", "parse-names" : false, "suffix" : "" }, { "dropping-particle" : "", "family" : "Galli", "given" : "Roberta", "non-dropping-particle" : "", "parse-names" : false, "suffix" : "" }, { "dropping-particle" : "", "family" : "Gaudio", "given" : "Eugenio", "non-dropping-particle" : "", "parse-names" : false, "suffix" : "" }, { "dropping-particle" : "", "family" : "Santhanam", "given" : "Ramasamy", "non-dropping-particle" : "", "parse-names" : false, "suffix" : "" }, { "dropping-particle" : "", "family" : "Lovat", "given" : "Francesca", "non-dropping-particle" : "", "parse-names" : false, "suffix" : "" }, { "dropping-particle" : "", "family" : "Fadda", "given" : "Paolo", "non-dropping-particle" : "", "parse-names" : false, "suffix" : "" }, { "dropping-particle" : "", "family" : "Mao", "given" : "Charlene", "non-dropping-particle" : "", "parse-names" : false, "suffix" : "" }, { "dropping-particle" : "", "family" : "Nuovo", "given" : "Gerard J", "non-dropping-particle" : "", "parse-names" : false, "suffix" : "" }, { "dropping-particle" : "", "family" : "Zanesi", "given" : "Nicola", "non-dropping-particle" : "", "parse-names" : false, "suffix" : "" }, { "dropping-particle" : "", "family" : "Crawford", "given" : "Melissa", "non-dropping-particle" : "", "parse-names" : false, "suffix" : "" }, { "dropping-particle" : "", "family" : "Ozer", "given" : "Gulcin H", "non-dropping-particle" : "", "parse-names" : false, "suffix" : "" }, { "dropping-particle" : "", "family" : "Wernicke", "given" : "Dorothee", "non-dropping-particle" : "", "parse-names" : false, "suffix" : "" }, { "dropping-particle" : "", "family" : "Alder", "given" : "Hansjuerg", "non-dropping-particle" : "", "parse-names" : false, "suffix" : "" }, { "dropping-particle" : "", "family" : "Caligiuri", "given" : "Michael A", "non-dropping-particle" : "", "parse-names" : false, "suffix" : "" }, { "dropping-particle" : "", "family" : "Nana-Sinkam", "given" : "Patrick", "non-dropping-particle" : "", "parse-names" : false, "suffix" : "" }, { "dropping-particle" : "", "family" : "Perrotti", "given" : "Danilo", "non-dropping-particle" : "", "parse-names" : false, "suffix" : "" }, { "dropping-particle" : "", "family" : "Croce", "given" : "Carlo M", "non-dropping-particle" : "", "parse-names" : false, "suffix" : "" } ], "container-title" : "Proceedings of the National Academy of Sciences of the United States of America", "id" : "ITEM-2", "issue" : "31", "issued" : { "date-parts" : [ [ "2012", "7", "31" ] ] }, "page" : "E2110-6", "title" : "MicroRNAs bind to Toll-like receptors to induce prometastatic inflammatory response.", "type" : "article-journal", "volume" : "109" }, "uris" : [ "http://www.mendeley.com/documents/?uuid=436459fc-64f9-4bca-b943-cb0d5014052d" ] } ], "mendeley" : { "formattedCitation" : "(Fabbri et al., 2012; Gysler et al., 2016)", "plainTextFormattedCitation" : "(Fabbri et al., 2012; Gysler et al., 2016)", "previouslyFormattedCitation" : "(Fabbri et al., 2012; Gysler et al., 2016)" }, "properties" : { "noteIndex" : 0 }, "schema" : "https://github.com/citation-style-language/schema/raw/master/csl-citation.json" }</w:instrText>
      </w:r>
      <w:r w:rsidR="00B808F8">
        <w:rPr>
          <w:rFonts w:ascii="Calibri" w:hAnsi="Calibri" w:cs="Arial"/>
        </w:rPr>
        <w:fldChar w:fldCharType="separate"/>
      </w:r>
      <w:r w:rsidR="00B808F8" w:rsidRPr="00B808F8">
        <w:rPr>
          <w:rFonts w:ascii="Calibri" w:hAnsi="Calibri" w:cs="Arial"/>
          <w:noProof/>
        </w:rPr>
        <w:t>(Fabbri et al., 2012; Gysler et al., 2016)</w:t>
      </w:r>
      <w:r w:rsidR="00B808F8">
        <w:rPr>
          <w:rFonts w:ascii="Calibri" w:hAnsi="Calibri" w:cs="Arial"/>
        </w:rPr>
        <w:fldChar w:fldCharType="end"/>
      </w:r>
      <w:r w:rsidR="00EC46F6">
        <w:rPr>
          <w:rFonts w:ascii="Calibri" w:hAnsi="Calibri" w:cs="Arial"/>
        </w:rPr>
        <w:t xml:space="preserve"> and TLR binding assays </w:t>
      </w:r>
      <w:r w:rsidR="00EC46F6">
        <w:rPr>
          <w:rFonts w:ascii="Calibri" w:hAnsi="Calibri" w:cs="Arial"/>
        </w:rPr>
        <w:fldChar w:fldCharType="begin" w:fldLock="1"/>
      </w:r>
      <w:r w:rsidR="00874AEF">
        <w:rPr>
          <w:rFonts w:ascii="Calibri" w:hAnsi="Calibri" w:cs="Arial"/>
        </w:rPr>
        <w:instrText>ADDIN CSL_CITATION { "citationItems" : [ { "id" : "ITEM-1", "itemData" : { "DOI" : "10.1074/jbc.M115.662171", "ISSN" : "1083-351X", "PMID" : "26553869", "abstract" : "HIV-1 infection results in a chronic illness because long-term highly active antiretroviral therapy can lower viral titers to an undetectable level. However, discontinuation of therapy rapidly increases virus burden. Moreover, patients under highly active antiretroviral therapy frequently develop various metabolic disorders, neurocognitive abnormalities, and cardiovascular diseases. We have previously shown that exosomes containing trans-activating response (TAR) element RNA enhance susceptibility of undifferentiated naive cells to HIV-1 infection. This study indicates that exosomes from HIV-1-infected primary cells are highly abundant with TAR RNA as detected by RT-real time PCR. Interestingly, up to a million copies of TAR RNA/\u03bcl were also detected in the serum from HIV-1-infected humanized mice suggesting that TAR RNA may be stable in vivo. Incubation of exosomes from HIV-1-infected cells with primary macrophages resulted in a dramatic increase of proinflammatory cytokines, IL-6 and TNF-\u03b2, indicating that exosomes containing TAR RNA could play a direct role in control of cytokine gene expression. The intact TAR molecule was able to bind to PKR and TLR3 effectively, whereas the 5' and 3' stems (TAR microRNAs) bound best to TLR7 and -8 and none to PKR. Binding of TAR to PKR did not result in its phosphorylation, and therefore, TAR may be a dominant negative decoy molecule in cells. The TLR binding through either TAR RNA or TAR microRNA potentially can activate the NF-\u03baB pathway and regulate cytokine expression. Collectively, these results imply that exosomes containing TAR RNA could directly affect the proinflammatory cytokine gene expression and may explain a possible mechanism of inflammation observed in HIV-1-infected patients under cART.", "author" : [ { "dropping-particle" : "", "family" : "Sampey", "given" : "Gavin C", "non-dropping-particle" : "", "parse-names" : false, "suffix" : "" }, { "dropping-particle" : "", "family" : "Saifuddin", "given" : "Mohammed", "non-dropping-particle" : "", "parse-names" : false, "suffix" : "" }, { "dropping-particle" : "", "family" : "Schwab", "given" : "Angela", "non-dropping-particle" : "", "parse-names" : false, "suffix" : "" }, { "dropping-particle" : "", "family" : "Barclay", "given" : "Robert", "non-dropping-particle" : "", "parse-names" : false, "suffix" : "" }, { "dropping-particle" : "", "family" : "Punya", "given" : "Shreya", "non-dropping-particle" : "", "parse-names" : false, "suffix" : "" }, { "dropping-particle" : "", "family" : "Chung", "given" : "Myung-Chul", "non-dropping-particle" : "", "parse-names" : false, "suffix" : "" }, { "dropping-particle" : "", "family" : "Hakami", "given" : "Ramin M", "non-dropping-particle" : "", "parse-names" : false, "suffix" : "" }, { "dropping-particle" : "", "family" : "Zadeh", "given" : "Mohammad Asad", "non-dropping-particle" : "", "parse-names" : false, "suffix" : "" }, { "dropping-particle" : "", "family" : "Lepene", "given" : "Benjamin", "non-dropping-particle" : "", "parse-names" : false, "suffix" : "" }, { "dropping-particle" : "", "family" : "Klase", "given" : "Zachary A", "non-dropping-particle" : "", "parse-names" : false, "suffix" : "" }, { "dropping-particle" : "", "family" : "El-Hage", "given" : "Nazira", "non-dropping-particle" : "", "parse-names" : false, "suffix" : "" }, { "dropping-particle" : "", "family" : "Young", "given" : "Mary", "non-dropping-particle" : "", "parse-names" : false, "suffix" : "" }, { "dropping-particle" : "", "family" : "Iordanskiy", "given" : "Sergey", "non-dropping-particle" : "", "parse-names" : false, "suffix" : "" }, { "dropping-particle" : "", "family" : "Kashanchi", "given" : "Fatah", "non-dropping-particle" : "", "parse-names" : false, "suffix" : "" } ], "container-title" : "The Journal of biological chemistry", "id" : "ITEM-1", "issue" : "3", "issued" : { "date-parts" : [ [ "2016", "1", "15" ] ] }, "page" : "1251-66", "title" : "Exosomes from HIV-1-infected Cells Stimulate Production of Pro-inflammatory Cytokines through Trans-activating Response (TAR) RNA.", "type" : "article-journal", "volume" : "291" }, "uris" : [ "http://www.mendeley.com/documents/?uuid=5ced74de-9e43-3b67-915c-afd610e080da" ] } ], "mendeley" : { "formattedCitation" : "(Sampey et al., 2016)", "plainTextFormattedCitation" : "(Sampey et al., 2016)", "previouslyFormattedCitation" : "(Sampey et al., 2016)" }, "properties" : { "noteIndex" : 0 }, "schema" : "https://github.com/citation-style-language/schema/raw/master/csl-citation.json" }</w:instrText>
      </w:r>
      <w:r w:rsidR="00EC46F6">
        <w:rPr>
          <w:rFonts w:ascii="Calibri" w:hAnsi="Calibri" w:cs="Arial"/>
        </w:rPr>
        <w:fldChar w:fldCharType="separate"/>
      </w:r>
      <w:r w:rsidR="00EC46F6" w:rsidRPr="00EC46F6">
        <w:rPr>
          <w:rFonts w:ascii="Calibri" w:hAnsi="Calibri" w:cs="Arial"/>
          <w:noProof/>
        </w:rPr>
        <w:t>(Sampey et al., 2016)</w:t>
      </w:r>
      <w:r w:rsidR="00EC46F6">
        <w:rPr>
          <w:rFonts w:ascii="Calibri" w:hAnsi="Calibri" w:cs="Arial"/>
        </w:rPr>
        <w:fldChar w:fldCharType="end"/>
      </w:r>
      <w:r w:rsidR="00B808F8">
        <w:rPr>
          <w:rFonts w:ascii="Calibri" w:hAnsi="Calibri" w:cs="Arial"/>
        </w:rPr>
        <w:t xml:space="preserve"> across a breadth of </w:t>
      </w:r>
      <w:r w:rsidR="00B808F8">
        <w:rPr>
          <w:rFonts w:ascii="Calibri" w:hAnsi="Calibri" w:cs="Arial"/>
        </w:rPr>
        <w:lastRenderedPageBreak/>
        <w:t>laboratories</w:t>
      </w:r>
      <w:r w:rsidR="00D4489A">
        <w:rPr>
          <w:rFonts w:ascii="Calibri" w:hAnsi="Calibri" w:cs="Arial"/>
        </w:rPr>
        <w:t>,</w:t>
      </w:r>
      <w:r w:rsidR="00B808F8">
        <w:rPr>
          <w:rFonts w:ascii="Calibri" w:hAnsi="Calibri" w:cs="Arial"/>
        </w:rPr>
        <w:t xml:space="preserve"> assay systems</w:t>
      </w:r>
      <w:r w:rsidR="00D4489A">
        <w:rPr>
          <w:rFonts w:ascii="Calibri" w:hAnsi="Calibri" w:cs="Arial"/>
        </w:rPr>
        <w:t xml:space="preserve"> and disease models</w:t>
      </w:r>
      <w:r w:rsidR="00B808F8">
        <w:rPr>
          <w:rFonts w:ascii="Calibri" w:hAnsi="Calibri" w:cs="Arial"/>
        </w:rPr>
        <w:t xml:space="preserve">. </w:t>
      </w:r>
      <w:r w:rsidR="00AD758B">
        <w:rPr>
          <w:rFonts w:ascii="Calibri" w:hAnsi="Calibri" w:cs="Arial"/>
        </w:rPr>
        <w:t>However, d</w:t>
      </w:r>
      <w:r w:rsidR="00B808F8">
        <w:rPr>
          <w:rFonts w:ascii="Calibri" w:hAnsi="Calibri" w:cs="Arial"/>
        </w:rPr>
        <w:t>ose-dependent (causal) link</w:t>
      </w:r>
      <w:r w:rsidR="00AD758B">
        <w:rPr>
          <w:rFonts w:ascii="Calibri" w:hAnsi="Calibri" w:cs="Arial"/>
        </w:rPr>
        <w:t>s</w:t>
      </w:r>
      <w:r w:rsidR="00B808F8">
        <w:rPr>
          <w:rFonts w:ascii="Calibri" w:hAnsi="Calibri" w:cs="Arial"/>
        </w:rPr>
        <w:t xml:space="preserve"> </w:t>
      </w:r>
      <w:r w:rsidR="00AD758B">
        <w:rPr>
          <w:rFonts w:ascii="Calibri" w:hAnsi="Calibri" w:cs="Arial"/>
        </w:rPr>
        <w:t>are yet to be offered. Furthermore, better characterization of how miRNAs are engaged with these vesicles (</w:t>
      </w:r>
      <w:r w:rsidR="00D4489A">
        <w:rPr>
          <w:rFonts w:ascii="Calibri" w:hAnsi="Calibri" w:cs="Arial"/>
        </w:rPr>
        <w:t xml:space="preserve">surface </w:t>
      </w:r>
      <w:r w:rsidR="00AD758B">
        <w:rPr>
          <w:rFonts w:ascii="Calibri" w:hAnsi="Calibri" w:cs="Arial"/>
        </w:rPr>
        <w:t xml:space="preserve">adsorbed, </w:t>
      </w:r>
      <w:r w:rsidR="00D4489A">
        <w:rPr>
          <w:rFonts w:ascii="Calibri" w:hAnsi="Calibri" w:cs="Arial"/>
        </w:rPr>
        <w:t xml:space="preserve">soluble fraction </w:t>
      </w:r>
      <w:r w:rsidR="00AD758B">
        <w:rPr>
          <w:rFonts w:ascii="Calibri" w:hAnsi="Calibri" w:cs="Arial"/>
        </w:rPr>
        <w:t>packaged, or fully complexed within vesicular effector proteins) is needed to understand the mechanism of TLR presentation</w:t>
      </w:r>
      <w:r w:rsidR="00B808F8">
        <w:rPr>
          <w:rFonts w:ascii="Calibri" w:hAnsi="Calibri" w:cs="Arial"/>
        </w:rPr>
        <w:t>.</w:t>
      </w:r>
    </w:p>
    <w:p w14:paraId="12C0D64D" w14:textId="77777777" w:rsidR="00102715" w:rsidRPr="00102715" w:rsidRDefault="00102715" w:rsidP="005837A4">
      <w:pPr>
        <w:spacing w:line="480" w:lineRule="auto"/>
        <w:jc w:val="both"/>
        <w:rPr>
          <w:rFonts w:ascii="Calibri" w:hAnsi="Calibri" w:cs="Arial"/>
        </w:rPr>
      </w:pPr>
    </w:p>
    <w:p w14:paraId="6F9F099A" w14:textId="51142EED" w:rsidR="00276E12" w:rsidRDefault="00E02697" w:rsidP="005837A4">
      <w:pPr>
        <w:spacing w:line="480" w:lineRule="auto"/>
        <w:jc w:val="both"/>
        <w:rPr>
          <w:rFonts w:ascii="Calibri" w:hAnsi="Calibri" w:cs="Arial"/>
        </w:rPr>
      </w:pPr>
      <w:r>
        <w:rPr>
          <w:rFonts w:ascii="Calibri" w:hAnsi="Calibri" w:cs="Arial"/>
        </w:rPr>
        <w:t xml:space="preserve">Advantageously, </w:t>
      </w:r>
      <w:r w:rsidRPr="00C4343E">
        <w:rPr>
          <w:rFonts w:ascii="Calibri" w:hAnsi="Calibri" w:cs="Arial"/>
        </w:rPr>
        <w:t>nucleoside analogue</w:t>
      </w:r>
      <w:r>
        <w:rPr>
          <w:rFonts w:ascii="Calibri" w:hAnsi="Calibri" w:cs="Arial"/>
        </w:rPr>
        <w:t>s</w:t>
      </w:r>
      <w:r w:rsidR="00BB2751">
        <w:rPr>
          <w:rFonts w:ascii="Calibri" w:hAnsi="Calibri" w:cs="Arial"/>
        </w:rPr>
        <w:t xml:space="preserve"> (Table 1 and Fig. </w:t>
      </w:r>
      <w:r w:rsidR="00C5768B">
        <w:rPr>
          <w:rFonts w:ascii="Calibri" w:hAnsi="Calibri" w:cs="Arial"/>
        </w:rPr>
        <w:t>3</w:t>
      </w:r>
      <w:r w:rsidR="00285C93">
        <w:rPr>
          <w:rFonts w:ascii="Calibri" w:hAnsi="Calibri" w:cs="Arial"/>
        </w:rPr>
        <w:t>B</w:t>
      </w:r>
      <w:r w:rsidR="00BB2751">
        <w:rPr>
          <w:rFonts w:ascii="Calibri" w:hAnsi="Calibri" w:cs="Arial"/>
        </w:rPr>
        <w:t>)</w:t>
      </w:r>
      <w:r>
        <w:rPr>
          <w:rFonts w:ascii="Calibri" w:hAnsi="Calibri" w:cs="Arial"/>
        </w:rPr>
        <w:t xml:space="preserve"> involving 2’ ribose modifications (e.g. 2’-O-methyl, 2’-fluoro and 2’-5’ oxygen-bridged ‘locked’ nucleic acids (LNA)) </w:t>
      </w:r>
      <w:r w:rsidR="00095633">
        <w:rPr>
          <w:rFonts w:ascii="Calibri" w:hAnsi="Calibri" w:cs="Arial"/>
        </w:rPr>
        <w:t xml:space="preserve">incorporated in RNAi mediators </w:t>
      </w:r>
      <w:r>
        <w:rPr>
          <w:rFonts w:ascii="Calibri" w:hAnsi="Calibri" w:cs="Arial"/>
        </w:rPr>
        <w:t>act as a TLR7/8 antagonist</w:t>
      </w:r>
      <w:r w:rsidR="00095633">
        <w:rPr>
          <w:rFonts w:ascii="Calibri" w:hAnsi="Calibri" w:cs="Arial"/>
        </w:rPr>
        <w:t>s</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"10.1038/sj.mt.6300240", "ISSN" : "1525-0016", "PMID" : "17579574", "abstract" : "RNA molecules such as single-stranded RNA (ssRNA) and small interfering RNA (siRNA) duplexes induce Toll-like receptor (TLR)-mediated immune stimulation after intracellular delivery. We have previously shown that selective incorporation of 2'-O-methyl (2'OMe) residues into siRNA abrogates cytokine production without reduction of gene silencing activity. Here we show that 2'OMe-modified RNA acts as a potent inhibitor of RNA-mediated cytokine induction in both human and murine systems. This activity does not require the direct incorporation of 2'OMe nucleotides into the immunostimulatory RNA or that the 2'OMe nucleotide-containing RNA be annealed as a complementary strand to form a duplex. Our results indicate that 2'OMe RNA acts as a potent antagonist of immunostimulatory RNA. We further show that 2'OMe RNA is able significantly to reduce both interferon-alpha (IFN-alpha) and interleukin-6 (IL-6) induction by the small-molecule TLR7 agonist loxoribine in human peripheral blood mononuclear cells (human PBMCs), in murine Flt3L dendritic cells (Flt3L DCs), and in vivo in mice. These results indicate that 2'OMe-modified RNA may have utility as an inhibitor of TLR7 with potential applications in the treatment of inflammatory and autoimmune diseases that involve TLR7-mediated immune stimulation.", "author" : [ { "dropping-particle" : "", "family" : "Robbins", "given" : "Marjorie", "non-dropping-particle" : "", "parse-names" : false, "suffix" : "" }, { "dropping-particle" : "", "family" : "Judge", "given" : "Adam", "non-dropping-particle" : "", "parse-names" : false, "suffix" : "" }, { "dropping-particle" : "", "family" : "Liang", "given" : "Lisa", "non-dropping-particle" : "", "parse-names" : false, "suffix" : "" }, { "dropping-particle" : "", "family" : "McClintock", "given" : "Kevin", "non-dropping-particle" : "", "parse-names" : false, "suffix" : "" }, { "dropping-particle" : "", "family" : "Yaworski", "given" : "Ed", "non-dropping-particle" : "", "parse-names" : false, "suffix" : "" }, { "dropping-particle" : "", "family" : "MacLachlan", "given" : "Ian", "non-dropping-particle" : "", "parse-names" : false, "suffix" : "" } ], "container-title" : "Molecular therapy : the journal of the American Society of Gene Therapy", "id" : "ITEM-1", "issue" : "9", "issued" : { "date-parts" : [ [ "2007", "9" ] ] }, "page" : "1663-9", "title" : "2'-O-methyl-modified RNAs act as TLR7 antagonists.", "type" : "article-journal", "volume" : "15" }, "uris" : [ "http://www.mendeley.com/documents/?uuid=a96fd425-5251-4997-8d8a-f709ec044eea" ] }, { "id" : "ITEM-2", "itemData" : { "DOI" : "10.1016/j.bbrc.2007.06.177", "ISSN" : "0006-291X", "PMID" : "17658482", "abstract" : "Single-stranded (ss) and double-stranded (ds) small interfering RNAs (siRNAs) containing immunostimulatory RNA motifs can activate innate immunity through Toll-like receptor 7/8 (TLR7/8), leading to the production of proinflammatory cytokines and type I interferon. More recently, we have noted that 2'-uridine modified ss or ds siRNAs not only evade immune activation, but can suppress TLR signaling triggered by their unmodified counterparts. Here we compared the inhibitory effects of several 2'-modifications. In contrast to 2'-deoxy uridine modified ss siRNAs, 2'-O-methyl uridine modified ss siRNAs inhibited at nanomolar concentrations the production of TNF-alpha induced by a variety of immunostimulatory RNA sequences. Using oligonucleotide microarrays, we highlight the strong suppressive effect of RNA-containing 2'-O-methyl uridines. Indeed, nearly all of the 270 genes induced by an immunostimulatory ss siRNA were completely inhibited or downregulated by cotreatment with its 2'-O-methyl modified version. Also, 2'-O-methyl modified RNAs inhibited E. coli total RNA or mitochondrial RNA to induce TNF-alpha production in human monocytes. Collectively, these data indicate that 2'-modified RNAs, in particular those containing 2'-O-methyl modification, are recognized with high affinity by TLR7/8, but do not induce downstream signaling. Therefore, this new generation of TLR antagonists can be used as immunosuppressive agents to interfere with TLR signaling.", "author" : [ { "dropping-particle" : "", "family" : "Sioud", "given" : "Mouldy", "non-dropping-particle" : "", "parse-names" : false, "suffix" : "" }, { "dropping-particle" : "", "family" : "Furset", "given" : "Gro", "non-dropping-particle" : "", "parse-names" : false, "suffix" : "" }, { "dropping-particle" : "", "family" : "Cekaite", "given" : "Lina", "non-dropping-particle" : "", "parse-names" : false, "suffix" : "" } ], "container-title" : "Biochemical and biophysical research communications", "id" : "ITEM-2", "issue" : "1", "issued" : { "date-parts" : [ [ "2007", "9", "14" ] ] }, "page" : "122-6", "title" : "Suppression of immunostimulatory siRNA-driven innate immune activation by 2'-modified RNAs.", "type" : "article-journal", "volume" : "361" }, "uris" : [ "http://www.mendeley.com/documents/?uuid=61deee24-ea4d-4800-85c8-e263b6da58df" ] }, { "id" : "ITEM-3", "itemData" : { "DOI" : "10.1093/nar/gku1343", "ISSN" : "1362-4962", "PMID" : "25539920", "abstract" : "Anti-microRNA (miRNA) oligonucleotides (AMOs) with 2'-O-Methyl (2'OMe) residues are commonly used to study miRNA function and can achieve high potency, with low cytotoxicity. Not withstanding this, we demonstrate the sequence-dependent capacity of 2'OMe AMOs to inhibit Toll-like receptor (TLR) 7 and 8 sensing of immunostimulatory RNA, independent of their miRNA-targeting function. Through a screen of 29 AMOs targeting common miRNAs, we found a subset of sequences highly inhibitory to TLR7 sensing in mouse macrophages. Interspecies conservation of this inhibitory activity was confirmed on TLR7/8 activity in human peripheral blood mononuclear cells. Significantly, we identified a core motif governing the inhibitory activity of these AMOs, which is present in more than 50 AMOs targeted to human miRNAs in miRBaseV20. DNA/locked nucleic acids (LNA) AMOs synthesized with a phosphorothioate backbone also inhibited TLR7 sensing in a sequence-dependent manner, demonstrating that the off-target effects of AMOs are not restricted to 2'OMe modification. Taken together, our work establishes the potential for off-target effects of AMOs on TLR7/8 function, which should be taken into account in their therapeutic development and in vivo application.", "author" : [ { "dropping-particle" : "", "family" : "Sarvestani", "given" : "Soroush T", "non-dropping-particle" : "", "parse-names" : false, "suffix" : "" }, { "dropping-particle" : "", "family" : "Stunden", "given" : "H James", "non-dropping-particle" : "", "parse-names" : false, "suffix" : "" }, { "dropping-particle" : "", "family" : "Behlke", "given" : "Mark A", "non-dropping-particle" : "", "parse-names" : false, "suffix" : "" }, { "dropping-particle" : "", "family" : "Forster", "given" : "Samuel C", "non-dropping-particle" : "", "parse-names" : false, "suffix" : "" }, { "dropping-particle" : "", "family" : "McCoy", "given" : "Claire E", "non-dropping-particle" : "", "parse-names" : false, "suffix" : "" }, { "dropping-particle" : "", "family" : "Tate", "given" : "Michelle D", "non-dropping-particle" : "", "parse-names" : false, "suffix" : "" }, { "dropping-particle" : "", "family" : "Ferrand", "given" : "Jonathan", "non-dropping-particle" : "", "parse-names" : false, "suffix" : "" }, { "dropping-particle" : "", "family" : "Lennox", "given" : "Kim A", "non-dropping-particle" : "", "parse-names" : false, "suffix" : "" }, { "dropping-particle" : "", "family" : "Latz", "given" : "Eicke", "non-dropping-particle" : "", "parse-names" : false, "suffix" : "" }, { "dropping-particle" : "", "family" : "Williams", "given" : "Bryan R G", "non-dropping-particle" : "", "parse-names" : false, "suffix" : "" }, { "dropping-particle" : "", "family" : "Gantier", "given" : "Michael P", "non-dropping-particle" : "", "parse-names" : false, "suffix" : "" } ], "container-title" : "Nucleic acids research", "id" : "ITEM-3", "issue" : "2", "issued" : { "date-parts" : [ [ "2015", "1" ] ] }, "page" : "1177-88", "title" : "Sequence-dependent off-target inhibition of TLR7/8 sensing by synthetic microRNA inhibitors.", "type" : "article-journal", "volume" : "43" }, "uris" : [ "http://www.mendeley.com/documents/?uuid=f8875df2-8348-4558-8728-d93d0a1f39d1" ] } ], "mendeley" : { "formattedCitation" : "(Robbins et al., 2007; Sarvestani et al., 2015; Sioud, Furset, &amp; Cekaite, 2007)", "plainTextFormattedCitation" : "(Robbins et al., 2007; Sarvestani et al., 2015; Sioud, Furset, &amp; Cekaite, 2007)", "previouslyFormattedCitation" : "(Robbins et al., 2007; Sarvestani et al., 2015; Sioud, Furset, &amp; Cekaite, 2007)" }, "properties" : { "noteIndex" : 0 }, "schema" : "https://github.com/citation-style-language/schema/raw/master/csl-citation.json" }</w:instrText>
      </w:r>
      <w:r>
        <w:rPr>
          <w:rFonts w:ascii="Calibri" w:hAnsi="Calibri" w:cs="Arial"/>
        </w:rPr>
        <w:fldChar w:fldCharType="separate"/>
      </w:r>
      <w:r w:rsidRPr="00E02697">
        <w:rPr>
          <w:rFonts w:ascii="Calibri" w:hAnsi="Calibri" w:cs="Arial"/>
          <w:noProof/>
        </w:rPr>
        <w:t>(Robbins et al., 2007; Sarvestani et al., 2015; Sioud, Furset, &amp; Cekaite, 2007)</w:t>
      </w:r>
      <w:r>
        <w:rPr>
          <w:rFonts w:ascii="Calibri" w:hAnsi="Calibri" w:cs="Arial"/>
        </w:rPr>
        <w:fldChar w:fldCharType="end"/>
      </w:r>
      <w:r>
        <w:rPr>
          <w:rFonts w:ascii="Calibri" w:hAnsi="Calibri" w:cs="Arial"/>
        </w:rPr>
        <w:t xml:space="preserve">, with at least one of these, 2’-O-methyl, altering RISC off-target effect profiles </w:t>
      </w:r>
      <w:r w:rsidR="00D22293">
        <w:rPr>
          <w:rFonts w:ascii="Calibri" w:hAnsi="Calibri" w:cs="Arial"/>
        </w:rPr>
        <w:fldChar w:fldCharType="begin" w:fldLock="1"/>
      </w:r>
      <w:r w:rsidR="00D22293">
        <w:rPr>
          <w:rFonts w:ascii="Calibri" w:hAnsi="Calibri" w:cs="Arial"/>
        </w:rPr>
        <w:instrText>ADDIN CSL_CITATION { "citationItems" : [ { "id" : "ITEM-1", "itemData" : { "DOI" : "10.1261/rna.28106", "ISSN" : "1355-8382", "PMID" : "16682561", "abstract" : "Although recent microarray studies have provided evidence of RNA interference (RNAi)-mediated off-target gene modulation, little is known about whether these changes induce observable phenotypic outcomes. Here we show that a fraction of randomly selected small inhibitory RNAs (siRNAs) can induce changes in cell viability in a target-independent fashion. The observed toxicity requires an intact RNAi pathway and can be eliminated by the addition of chemical modifications that reduce off-target effects. Furthermore, an analysis of toxic and nontoxic duplexes identifies a strong correlation between the toxicity and the presence of a 4-base-pair motif (UGGC) in the RISC-entering strand of toxic siRNA. This article provides further evidence of siRNA-induced off-target effects generating a measurable phenotype and also provides an example of how such undesirable phenotypes can be mitigated by addition of chemical modifications to the siRNA.", "author" : [ { "dropping-particle" : "", "family" : "Fedorov", "given" : "Yuriy", "non-dropping-particle" : "", "parse-names" : false, "suffix" : "" }, { "dropping-particle" : "", "family" : "Anderson", "given" : "Emily M", "non-dropping-particle" : "", "parse-names" : false, "suffix" : "" }, { "dropping-particle" : "", "family" : "Birmingham", "given" : "Amanda", "non-dropping-particle" : "", "parse-names" : false, "suffix" : "" }, { "dropping-particle" : "", "family" : "Reynolds", "given" : "Angela", "non-dropping-particle" : "", "parse-names" : false, "suffix" : "" }, { "dropping-particle" : "", "family" : "Karpilow", "given" : "Jon", "non-dropping-particle" : "", "parse-names" : false, "suffix" : "" }, { "dropping-particle" : "", "family" : "Robinson", "given" : "Kathryn", "non-dropping-particle" : "", "parse-names" : false, "suffix" : "" }, { "dropping-particle" : "", "family" : "Leake", "given" : "Devin", "non-dropping-particle" : "", "parse-names" : false, "suffix" : "" }, { "dropping-particle" : "", "family" : "Marshall", "given" : "William S", "non-dropping-particle" : "", "parse-names" : false, "suffix" : "" }, { "dropping-particle" : "", "family" : "Khvorova", "given" : "Anastasia", "non-dropping-particle" : "", "parse-names" : false, "suffix" : "" } ], "container-title" : "RNA (New York, N.Y.)", "id" : "ITEM-1", "issue" : "7", "issued" : { "date-parts" : [ [ "2006", "7" ] ] }, "page" : "1188-96", "title" : "Off-target effects by siRNA can induce toxic phenotype.", "type" : "article-journal", "volume" : "12" }, "uris" : [ "http://www.mendeley.com/documents/?uuid=6639b0a4-a603-4b99-97dc-6c71c72b7a71" ] }, { "id" : "ITEM-2", "itemData" : { "DOI" : "10.1261/rna.30706", "ISSN" : "1355-8382", "PMID" : "16682562", "abstract" : "Transfected siRNAs regulate numerous transcripts sharing limited complementarity to the RNA duplex. This unintended (\"off-target\") silencing can hinder the use of RNAi to define gene function. Here we describe position-specific, sequence-independent chemical modifications that reduced silencing of partially complementary transcripts by all siRNAs tested. Silencing of perfectly matched targets was unaffected by these modifications. The chemical modification also reduced off-target phenotypes in growth inhibition studies. Key to the modification was 2'-O-methyl ribosyl substitution at position 2 in the guide strand, which reduced silencing of most off-target transcripts with complementarity to the seed region of the siRNA guide strand. The sharp position dependence of 2'-O-methyl ribosyl modification contrasts with the broader position dependence of base-pair substitutions within the seed region, suggesting a role for position 2 of the guide strand distinct from its effects on pairing to target transcripts.", "author" : [ { "dropping-particle" : "", "family" : "Jackson", "given" : "Aimee L", "non-dropping-particle" : "", "parse-names" : false, "suffix" : "" }, { "dropping-particle" : "", "family" : "Burchard", "given" : "Julja", "non-dropping-particle" : "", "parse-names" : false, "suffix" : "" }, { "dropping-particle" : "", "family" : "Leake", "given" : "Devin", "non-dropping-particle" : "", "parse-names" : false, "suffix" : "" }, { "dropping-particle" : "", "family" : "Reynolds", "given" : "Angela", "non-dropping-particle" : "", "parse-names" : false, "suffix" : "" }, { "dropping-particle" : "", "family" : "Schelter", "given" : "Janell", "non-dropping-particle" : "", "parse-names" : false, "suffix" : "" }, { "dropping-particle" : "", "family" : "Guo", "given" : "Jie", "non-dropping-particle" : "", "parse-names" : false, "suffix" : "" }, { "dropping-particle" : "", "family" : "Johnson", "given" : "Jason M", "non-dropping-particle" : "", "parse-names" : false, "suffix" : "" }, { "dropping-particle" : "", "family" : "Lim", "given" : "Lee", "non-dropping-particle" : "", "parse-names" : false, "suffix" : "" }, { "dropping-particle" : "", "family" : "Karpilow", "given" : "Jon", "non-dropping-particle" : "", "parse-names" : false, "suffix" : "" }, { "dropping-particle" : "", "family" : "Nichols", "given" : "Kim", "non-dropping-particle" : "", "parse-names" : false, "suffix" : "" }, { "dropping-particle" : "", "family" : "Marshall", "given" : "William", "non-dropping-particle" : "", "parse-names" : false, "suffix" : "" }, { "dropping-particle" : "", "family" : "Khvorova", "given" : "Anastasia", "non-dropping-particle" : "", "parse-names" : false, "suffix" : "" }, { "dropping-particle" : "", "family" : "Linsley", "given" : "Peter S", "non-dropping-particle" : "", "parse-names" : false, "suffix" : "" } ], "container-title" : "RNA (New York, N.Y.)", "id" : "ITEM-2", "issue" : "7", "issued" : { "date-parts" : [ [ "2006", "7", "1" ] ] }, "page" : "1197-205", "title" : "Position-specific chemical modification of siRNAs reduces \"off-target\" transcript silencing.", "type" : "article-journal", "volume" : "12" }, "uris" : [ "http://www.mendeley.com/documents/?uuid=bb2f81b5-23bd-45b0-8802-e9e81a0b5128" ] } ], "mendeley" : { "formattedCitation" : "(Fedorov et al., 2006; Jackson et al., 2006)", "plainTextFormattedCitation" : "(Fedorov et al., 2006; Jackson et al., 2006)", "previouslyFormattedCitation" : "(Fedorov et al., 2006; Jackson et al., 2006)" }, "properties" : { "noteIndex" : 0 }, "schema" : "https://github.com/citation-style-language/schema/raw/master/csl-citation.json" }</w:instrText>
      </w:r>
      <w:r w:rsidR="00D22293">
        <w:rPr>
          <w:rFonts w:ascii="Calibri" w:hAnsi="Calibri" w:cs="Arial"/>
        </w:rPr>
        <w:fldChar w:fldCharType="separate"/>
      </w:r>
      <w:r w:rsidR="00D22293" w:rsidRPr="00963022">
        <w:rPr>
          <w:rFonts w:ascii="Calibri" w:hAnsi="Calibri" w:cs="Arial"/>
          <w:noProof/>
        </w:rPr>
        <w:t>(Fedorov et al., 2006; Jackson et al., 2006)</w:t>
      </w:r>
      <w:r w:rsidR="00D22293">
        <w:rPr>
          <w:rFonts w:ascii="Calibri" w:hAnsi="Calibri" w:cs="Arial"/>
        </w:rPr>
        <w:fldChar w:fldCharType="end"/>
      </w:r>
      <w:r w:rsidR="00D22293">
        <w:rPr>
          <w:rFonts w:ascii="Calibri" w:hAnsi="Calibri" w:cs="Arial"/>
        </w:rPr>
        <w:t>.</w:t>
      </w:r>
      <w:r w:rsidR="00281F68" w:rsidRPr="00281F68">
        <w:rPr>
          <w:rFonts w:ascii="Calibri" w:hAnsi="Calibri" w:cs="Arial"/>
        </w:rPr>
        <w:t xml:space="preserve"> </w:t>
      </w:r>
      <w:r w:rsidR="00AC0940">
        <w:rPr>
          <w:rFonts w:ascii="Calibri" w:hAnsi="Calibri" w:cs="Arial"/>
        </w:rPr>
        <w:t xml:space="preserve">The impact of other modifications on RISC off-target effects has not been publicly disclosed. </w:t>
      </w:r>
      <w:r w:rsidR="00276E12">
        <w:rPr>
          <w:rFonts w:ascii="Calibri" w:hAnsi="Calibri" w:cs="Arial"/>
        </w:rPr>
        <w:t xml:space="preserve">Although </w:t>
      </w:r>
      <w:r w:rsidR="00CE636D">
        <w:rPr>
          <w:rFonts w:ascii="Calibri" w:hAnsi="Calibri" w:cs="Arial"/>
        </w:rPr>
        <w:t xml:space="preserve">nucleoside </w:t>
      </w:r>
      <w:r w:rsidR="00276E12">
        <w:rPr>
          <w:rFonts w:ascii="Calibri" w:hAnsi="Calibri" w:cs="Arial"/>
        </w:rPr>
        <w:t>suppress</w:t>
      </w:r>
      <w:r w:rsidR="00CE636D">
        <w:rPr>
          <w:rFonts w:ascii="Calibri" w:hAnsi="Calibri" w:cs="Arial"/>
        </w:rPr>
        <w:t>ors of</w:t>
      </w:r>
      <w:r w:rsidR="00276E12">
        <w:rPr>
          <w:rFonts w:ascii="Calibri" w:hAnsi="Calibri" w:cs="Arial"/>
        </w:rPr>
        <w:t xml:space="preserve"> both TLR3 and TLR7/8 </w:t>
      </w:r>
      <w:r w:rsidR="00CE636D">
        <w:rPr>
          <w:rFonts w:ascii="Calibri" w:hAnsi="Calibri" w:cs="Arial"/>
        </w:rPr>
        <w:t>have been described</w:t>
      </w:r>
      <w:r w:rsidR="00276E12">
        <w:rPr>
          <w:rFonts w:ascii="Calibri" w:hAnsi="Calibri" w:cs="Arial"/>
        </w:rPr>
        <w:t xml:space="preserve"> </w:t>
      </w:r>
      <w:r w:rsidR="00276E12">
        <w:rPr>
          <w:rFonts w:ascii="Calibri" w:hAnsi="Calibri" w:cs="Arial"/>
        </w:rPr>
        <w:fldChar w:fldCharType="begin" w:fldLock="1"/>
      </w:r>
      <w:r w:rsidR="00276E12">
        <w:rPr>
          <w:rFonts w:ascii="Calibri" w:hAnsi="Calibri" w:cs="Arial"/>
        </w:rPr>
        <w:instrText>ADDIN CSL_CITATION { "citationItems" : [ { "id" : "ITEM-1", "itemData" : { "DOI" : "10.1016/j.immuni.2005.06.008", "ISSN" : "1074-7613", "PMID" : "16111635", "abstract" : "DNA and RNA stimulate the mammalian innate immune system through activation of Toll-like receptors (TLRs). DNA containing methylated CpG motifs, however, is not stimulatory. Selected nucleosides in naturally occurring RNA are also methylated or otherwise modified, but the immunomodulatory effects of these alterations remain untested. We show that RNA signals through human TLR3, TLR7, and TLR8, but incorporation of modified nucleosides m5C, m6A, m5U, s2U, or pseudouridine ablates activity. Dendritic cells (DCs) exposed to such modified RNA express significantly less cytokines and activation markers than those treated with unmodified RNA. DCs and TLR-expressing cells are potently activated by bacterial and mitochondrial RNA, but not by mammalian total RNA, which is abundant in modified nucleosides. We conclude that nucleoside modifications suppress the potential of RNA to activate DCs. The innate immune system may therefore detect RNA lacking nucleoside modification as a means of selectively responding to bacteria or necrotic tissue.", "author" : [ { "dropping-particle" : "", "family" : "Karik\u00f3", "given" : "Katalin", "non-dropping-particle" : "", "parse-names" : false, "suffix" : "" }, { "dropping-particle" : "", "family" : "Buckstein", "given" : "Michael", "non-dropping-particle" : "", "parse-names" : false, "suffix" : "" }, { "dropping-particle" : "", "family" : "Ni", "given" : "Houping", "non-dropping-particle" : "", "parse-names" : false, "suffix" : "" }, { "dropping-particle" : "", "family" : "Weissman", "given" : "Drew", "non-dropping-particle" : "", "parse-names" : false, "suffix" : "" } ], "container-title" : "Immunity", "id" : "ITEM-1", "issue" : "2", "issued" : { "date-parts" : [ [ "2005", "8" ] ] }, "page" : "165-75", "title" : "Suppression of RNA recognition by Toll-like receptors: the impact of nucleoside modification and the evolutionary origin of RNA.", "type" : "article-journal", "volume" : "23" }, "uris" : [ "http://www.mendeley.com/documents/?uuid=4185091b-d412-4618-891e-a031b433c877" ] } ], "mendeley" : { "formattedCitation" : "(Karik\u00f3, Buckstein, Ni, &amp; Weissman, 2005)", "plainTextFormattedCitation" : "(Karik\u00f3, Buckstein, Ni, &amp; Weissman, 2005)", "previouslyFormattedCitation" : "(Karik\u00f3, Buckstein, Ni, &amp; Weissman, 2005)" }, "properties" : { "noteIndex" : 0 }, "schema" : "https://github.com/citation-style-language/schema/raw/master/csl-citation.json" }</w:instrText>
      </w:r>
      <w:r w:rsidR="00276E12">
        <w:rPr>
          <w:rFonts w:ascii="Calibri" w:hAnsi="Calibri" w:cs="Arial"/>
        </w:rPr>
        <w:fldChar w:fldCharType="separate"/>
      </w:r>
      <w:r w:rsidR="00276E12" w:rsidRPr="00FB625A">
        <w:rPr>
          <w:rFonts w:ascii="Calibri" w:hAnsi="Calibri" w:cs="Arial"/>
          <w:noProof/>
        </w:rPr>
        <w:t>(Karikó, Buckstein, Ni, &amp; Weissman, 2005)</w:t>
      </w:r>
      <w:r w:rsidR="00276E12">
        <w:rPr>
          <w:rFonts w:ascii="Calibri" w:hAnsi="Calibri" w:cs="Arial"/>
        </w:rPr>
        <w:fldChar w:fldCharType="end"/>
      </w:r>
      <w:r w:rsidR="00CE636D">
        <w:rPr>
          <w:rFonts w:ascii="Calibri" w:hAnsi="Calibri" w:cs="Arial"/>
        </w:rPr>
        <w:t xml:space="preserve"> (Table 1)</w:t>
      </w:r>
      <w:r w:rsidR="00276E12">
        <w:rPr>
          <w:rFonts w:ascii="Calibri" w:hAnsi="Calibri" w:cs="Arial"/>
        </w:rPr>
        <w:t xml:space="preserve">, their impact on siRNA-mediated TLR3 activation has not been </w:t>
      </w:r>
      <w:r w:rsidR="00CE636D">
        <w:rPr>
          <w:rFonts w:ascii="Calibri" w:hAnsi="Calibri" w:cs="Arial"/>
        </w:rPr>
        <w:t>assessed</w:t>
      </w:r>
      <w:r w:rsidR="00276E12">
        <w:rPr>
          <w:rFonts w:ascii="Calibri" w:hAnsi="Calibri" w:cs="Arial"/>
        </w:rPr>
        <w:t xml:space="preserve">. Presently, reports on the impact of 2-thiouridine on slicer function are contradictory </w:t>
      </w:r>
      <w:r w:rsidR="00276E12">
        <w:rPr>
          <w:rFonts w:ascii="Calibri" w:hAnsi="Calibri" w:cs="Arial"/>
        </w:rPr>
        <w:fldChar w:fldCharType="begin" w:fldLock="1"/>
      </w:r>
      <w:r w:rsidR="00552CE7">
        <w:rPr>
          <w:rFonts w:ascii="Calibri" w:hAnsi="Calibri" w:cs="Arial"/>
        </w:rPr>
        <w:instrText>ADDIN CSL_CITATION { "citationItems" : [ { "id" : "ITEM-1", "itemData" : { "DOI" : "10.1261/rna.538907", "ISSN" : "1355-8382", "PMID" : "17585051", "abstract" : "A series of nucleobase-modified siRNA duplexes containing \"rare\" nucleosides, 2-thiouridine (s(2)U), pseudouridine (Psi), and dihydrouridine (D), were evaluated for their thermodynamic stability and gene silencing activity. The duplexes with modified units at terminal positions exhibited similar stability as the nonmodified reference. Introduction of the s(2)U or Psi units into the central part of the antisense strand resulted in duplexes with higher melting temperatures (Tm). In contrary, D unit similarly like wobble base pair led to the less stable duplexes (DeltaTm 3.9 and 6.6 degrees C, respectively). Gene-silencing activity of siRNA duplexes directed toward enhanced green fluorescent protein or beta-site APP cleaving enzyme was tested in a dual fluorescence assay. The duplexes with s(2)U and Psi units at their 3'-ends and with a D unit at their 5'-ends (with respect to the guide strands) were the most potent gene expression inhibitors. Duplexes with s(2)U and Psi units at their 5'-ends were by 50% less active than the nonmodified counterpart. Those containing a D unit or wobble base pair in the central domain had the lowest Tm, disturbed the A-type helical structure, and had more than three times lower activity than their nonmodified congener. Activity of siRNA containing the wobble base pair could be rescued by placing the thio-nucleoside at the position 3'-adjacent to the mutation site. Thermally stable siRNA molecules containing several s(2)U units in the antisense strand were biologically as potent as their native counterparts. The present results provide a new chemical tool for modulation of siRNA gene-silencing activity.", "author" : [ { "dropping-particle" : "", "family" : "Sipa", "given" : "Katarzyna", "non-dropping-particle" : "", "parse-names" : false, "suffix" : "" }, { "dropping-particle" : "", "family" : "Sochacka", "given" : "Elzbieta", "non-dropping-particle" : "", "parse-names" : false, "suffix" : "" }, { "dropping-particle" : "", "family" : "Kazmierczak-Baranska", "given" : "Julia", "non-dropping-particle" : "", "parse-names" : false, "suffix" : "" }, { "dropping-particle" : "", "family" : "Maszewska", "given" : "Maria", "non-dropping-particle" : "", "parse-names" : false, "suffix" : "" }, { "dropping-particle" : "", "family" : "Janicka", "given" : "Magdalena", "non-dropping-particle" : "", "parse-names" : false, "suffix" : "" }, { "dropping-particle" : "", "family" : "Nowak", "given" : "Genowefa", "non-dropping-particle" : "", "parse-names" : false, "suffix" : "" }, { "dropping-particle" : "", "family" : "Nawrot", "given" : "Barbara", "non-dropping-particle" : "", "parse-names" : false, "suffix" : "" } ], "container-title" : "RNA (New York, N.Y.)", "id" : "ITEM-1", "issue" : "8", "issued" : { "date-parts" : [ [ "2007", "8", "21" ] ] }, "page" : "1301-16", "title" : "Effect of base modifications on structure, thermodynamic stability, and gene silencing activity of short interfering RNA.", "type" : "article-journal", "volume" : "13" }, "uris" : [ "http://www.mendeley.com/documents/?uuid=9751b833-a006-4ea7-ab93-5525b51aa8b7" ] }, { "id" : "ITEM-2", "itemData" : { "DOI" : "10.1080/15257770903316145", "ISSN" : "1532-2335", "PMID" : "20183560", "abstract" : "In a search to identify chemical modifications to improve the properties of siRNA, we have investigated the effect of the 2 '-O-methyl-2-thiouridine modification on the biological activity of siRNA. Our results indicate that judicious placement of 2 '-O-methyl-2-thiouridine residues could lead to modified siRNA with activity in mammalian cells.", "author" : [ { "dropping-particle" : "", "family" : "Prakash", "given" : "Thazha P", "non-dropping-particle" : "", "parse-names" : false, "suffix" : "" }, { "dropping-particle" : "", "family" : "Naik", "given" : "Nishant", "non-dropping-particle" : "", "parse-names" : false, "suffix" : "" }, { "dropping-particle" : "", "family" : "Sioufi", "given" : "Namir", "non-dropping-particle" : "", "parse-names" : false, "suffix" : "" }, { "dropping-particle" : "", "family" : "Bhat", "given" : "Balkrishen", "non-dropping-particle" : "", "parse-names" : false, "suffix" : "" }, { "dropping-particle" : "", "family" : "Swayze", "given" : "Eric E", "non-dropping-particle" : "", "parse-names" : false, "suffix" : "" } ], "container-title" : "Nucleosides, nucleotides &amp; nucleic acids", "id" : "ITEM-2", "issue" : "10", "issued" : { "date-parts" : [ [ "2009", "10" ] ] }, "page" : "902-10", "title" : "Activity of siRNAs with 2-thio-2'-O-methyluridine modification in mammalian cells.", "type" : "article-journal", "volume" : "28" }, "uris" : [ "http://www.mendeley.com/documents/?uuid=1e3d1652-3d28-4e6e-a257-6801fc9d3102" ] } ], "mendeley" : { "formattedCitation" : "(Prakash, Naik, Sioufi, Bhat, &amp; Swayze, 2009; Sipa et al., 2007)", "plainTextFormattedCitation" : "(Prakash, Naik, Sioufi, Bhat, &amp; Swayze, 2009; Sipa et al., 2007)", "previouslyFormattedCitation" : "(Prakash, Naik, Sioufi, Bhat, &amp; Swayze, 2009; Sipa et al., 2007)" }, "properties" : { "noteIndex" : 0 }, "schema" : "https://github.com/citation-style-language/schema/raw/master/csl-citation.json" }</w:instrText>
      </w:r>
      <w:r w:rsidR="00276E12">
        <w:rPr>
          <w:rFonts w:ascii="Calibri" w:hAnsi="Calibri" w:cs="Arial"/>
        </w:rPr>
        <w:fldChar w:fldCharType="separate"/>
      </w:r>
      <w:r w:rsidR="00276E12" w:rsidRPr="00095633">
        <w:rPr>
          <w:rFonts w:ascii="Calibri" w:hAnsi="Calibri" w:cs="Arial"/>
          <w:noProof/>
        </w:rPr>
        <w:t>(Prakash, Naik, Sioufi, Bhat, &amp; Swayze, 2009; Sipa et al., 2007)</w:t>
      </w:r>
      <w:r w:rsidR="00276E12">
        <w:rPr>
          <w:rFonts w:ascii="Calibri" w:hAnsi="Calibri" w:cs="Arial"/>
        </w:rPr>
        <w:fldChar w:fldCharType="end"/>
      </w:r>
      <w:r w:rsidR="00276E12">
        <w:rPr>
          <w:rFonts w:ascii="Calibri" w:hAnsi="Calibri" w:cs="Arial"/>
        </w:rPr>
        <w:t xml:space="preserve">. </w:t>
      </w:r>
      <w:r w:rsidR="00AC0940">
        <w:rPr>
          <w:rFonts w:ascii="Calibri" w:hAnsi="Calibri" w:cs="Arial"/>
        </w:rPr>
        <w:t>Overall</w:t>
      </w:r>
      <w:r w:rsidR="007E1A3C">
        <w:rPr>
          <w:rFonts w:ascii="Calibri" w:hAnsi="Calibri" w:cs="Arial"/>
        </w:rPr>
        <w:t>, judicious use of one or two 2’ modified nucleosides as formulation adjuncts (e.g. 2’-O-methyl nucleosides, a natural nucleoside) or as siRNA sequence modifications can largely eliminate TLR7/8 activation poten</w:t>
      </w:r>
      <w:r w:rsidR="008C6F2E">
        <w:rPr>
          <w:rFonts w:ascii="Calibri" w:hAnsi="Calibri" w:cs="Arial"/>
        </w:rPr>
        <w:t>tial and ablate the pyrimidine-</w:t>
      </w:r>
      <w:r w:rsidR="007E1A3C">
        <w:rPr>
          <w:rFonts w:ascii="Calibri" w:hAnsi="Calibri" w:cs="Arial"/>
        </w:rPr>
        <w:t xml:space="preserve">purine specificity of RNase A (i.e. UpA, CpG, etc.) </w:t>
      </w:r>
      <w:r w:rsidR="00AC0940">
        <w:rPr>
          <w:rFonts w:ascii="Calibri" w:hAnsi="Calibri" w:cs="Arial"/>
        </w:rPr>
        <w:fldChar w:fldCharType="begin" w:fldLock="1"/>
      </w:r>
      <w:r w:rsidR="002A25D9">
        <w:rPr>
          <w:rFonts w:ascii="Calibri" w:hAnsi="Calibri" w:cs="Arial"/>
        </w:rPr>
        <w:instrText>ADDIN CSL_CITATION { "citationItems" : [ { "id" : "ITEM-1", "itemData" : { "DOI" : "10.1039/b611612d", "ISBN" : "1742-206X (Print)\r1742-2051 (Linking)", "PMID" : "17216055", "abstract" : "Synthetic siRNA duplexes are used widely as reagents for silencing of mRNA targets in cells and are being developed for in vivo use. Serum stability is a major concern if siRNA is to be used for therapeutic delivery within blood circulation. We have developed the use of MALDI-TOF mass spectrometry as a rapid and convenient analytical tool to identify the most vulnerable sites within siRNA to serum degradation. Using this approach, we found that one siRNA duplex (Dh3) with UpA sequences close to one end was particularly vulnerable to rapid cleavage. This produced a fragment of mass consistent with the presence of a 2',3'-cyclic phosphate that was slowly hydrolysed to a 2'-(3'-)phosphate on extended incubation. Substitution of these sites with 2'-O-methyl U residues prevented cleavage and confirmed that the major pathway for initial degradation is via cleavage by an RNAse A-like activity. Mass spectral analysis was used to follow the serum degradation of siRNA over more prolonged periods to show the accumulation of many fragments, almost all showing cleavage following pyrimidine nucleoside residues. Overall, the MALDI-TOF mass spectral analysis technique should prove useful for preliminary screening of the serum stability of siRNA duplexes and for identification of the most vulnerable cleavage sites.", "author" : [ { "dropping-particle" : "", "family" : "Turner", "given" : "J J", "non-dropping-particle" : "", "parse-names" : false, "suffix" : "" }, { "dropping-particle" : "", "family" : "Jones", "given" : "S W", "non-dropping-particle" : "", "parse-names" : false, "suffix" : "" }, { "dropping-particle" : "", "family" : "Moschos", "given" : "S A", "non-dropping-particle" : "", "parse-names" : false, "suffix" : "" }, { "dropping-particle" : "", "family" : "Lindsay", "given" : "M A", "non-dropping-particle" : "", "parse-names" : false, "suffix" : "" }, { "dropping-particle" : "", "family" : "Gait", "given" : "M J", "non-dropping-particle" : "", "parse-names" : false, "suffix" : "" } ], "container-title" : "Mol Biosyst", "edition" : "2007/01/12", "id" : "ITEM-1", "issue" : "1", "issued" : { "date-parts" : [ [ "2007" ] ] }, "language" : "eng", "note" : "Turner, John J\nJones, Simon W\nMoschos, Sterghios A\nLindsay, Mark A\nGait, Michael J\n076111/Wellcome Trust/United Kingdom\nBB/C508234/1/Biotechnology and Biological Sciences Research Council/United Kingdom\nEngland\nMol Biosyst. 2007 Jan;3(1):43-50. Epub 2006 Nov 20.", "page" : "43-50", "title" : "MALDI-TOF mass spectral analysis of siRNA degradation in serum confirms an RNAse A-like activity", "type" : "article-journal", "volume" : "3" }, "uris" : [ "http://www.mendeley.com/documents/?uuid=b19380e6-cfe9-45f7-a04c-1d52948a4fe4" ] } ], "mendeley" : { "formattedCitation" : "(Turner, Jones, Moschos, Lindsay, &amp; Gait, 2007)", "plainTextFormattedCitation" : "(Turner, Jones, Moschos, Lindsay, &amp; Gait, 2007)", "previouslyFormattedCitation" : "(Turner, Jones, Moschos, Lindsay, &amp; Gait, 2007)" }, "properties" : { "noteIndex" : 0 }, "schema" : "https://github.com/citation-style-language/schema/raw/master/csl-citation.json" }</w:instrText>
      </w:r>
      <w:r w:rsidR="00AC0940">
        <w:rPr>
          <w:rFonts w:ascii="Calibri" w:hAnsi="Calibri" w:cs="Arial"/>
        </w:rPr>
        <w:fldChar w:fldCharType="separate"/>
      </w:r>
      <w:r w:rsidR="00AC0940" w:rsidRPr="00AC0940">
        <w:rPr>
          <w:rFonts w:ascii="Calibri" w:hAnsi="Calibri" w:cs="Arial"/>
          <w:noProof/>
        </w:rPr>
        <w:t>(Turner, Jones, Moschos, Lindsay, &amp; Gait, 2007)</w:t>
      </w:r>
      <w:r w:rsidR="00AC0940">
        <w:rPr>
          <w:rFonts w:ascii="Calibri" w:hAnsi="Calibri" w:cs="Arial"/>
        </w:rPr>
        <w:fldChar w:fldCharType="end"/>
      </w:r>
      <w:r w:rsidR="007E1A3C">
        <w:rPr>
          <w:rFonts w:ascii="Calibri" w:hAnsi="Calibri" w:cs="Arial"/>
        </w:rPr>
        <w:t>. Thus</w:t>
      </w:r>
      <w:r w:rsidR="00AC0940">
        <w:rPr>
          <w:rFonts w:ascii="Calibri" w:hAnsi="Calibri" w:cs="Arial"/>
        </w:rPr>
        <w:t>, simple changes with minimal impact of strand T</w:t>
      </w:r>
      <w:r w:rsidR="00AC0940">
        <w:rPr>
          <w:rFonts w:ascii="Calibri" w:hAnsi="Calibri" w:cs="Arial"/>
          <w:vertAlign w:val="subscript"/>
        </w:rPr>
        <w:t>m</w:t>
      </w:r>
      <w:r w:rsidR="00AC0940">
        <w:rPr>
          <w:rFonts w:ascii="Calibri" w:hAnsi="Calibri" w:cs="Arial"/>
        </w:rPr>
        <w:t xml:space="preserve"> can evade TLR7/8 induction and also drive better compound stability </w:t>
      </w:r>
      <w:r w:rsidR="00AC1B41">
        <w:rPr>
          <w:rFonts w:ascii="Calibri" w:hAnsi="Calibri" w:cs="Arial"/>
        </w:rPr>
        <w:t>thereby</w:t>
      </w:r>
      <w:r w:rsidR="00AC0940">
        <w:rPr>
          <w:rFonts w:ascii="Calibri" w:hAnsi="Calibri" w:cs="Arial"/>
        </w:rPr>
        <w:t xml:space="preserve"> increas</w:t>
      </w:r>
      <w:r w:rsidR="00AC1B41">
        <w:rPr>
          <w:rFonts w:ascii="Calibri" w:hAnsi="Calibri" w:cs="Arial"/>
        </w:rPr>
        <w:t>ing</w:t>
      </w:r>
      <w:r w:rsidR="00AC0940">
        <w:rPr>
          <w:rFonts w:ascii="Calibri" w:hAnsi="Calibri" w:cs="Arial"/>
        </w:rPr>
        <w:t xml:space="preserve"> confidence of an on-target (i.e. non-inflammatory) MOA. </w:t>
      </w:r>
      <w:r w:rsidR="007E1A3C">
        <w:rPr>
          <w:rFonts w:ascii="Calibri" w:hAnsi="Calibri" w:cs="Arial"/>
        </w:rPr>
        <w:t xml:space="preserve"> </w:t>
      </w:r>
      <w:r w:rsidR="00AC0940">
        <w:rPr>
          <w:rFonts w:ascii="Calibri" w:hAnsi="Calibri" w:cs="Arial"/>
        </w:rPr>
        <w:t xml:space="preserve">Presently, TLR3 evasion can be engineered only through iterative screening and testing.  </w:t>
      </w:r>
    </w:p>
    <w:p w14:paraId="0AEA0EA2" w14:textId="77777777" w:rsidR="00102715" w:rsidRDefault="00102715" w:rsidP="005837A4">
      <w:pPr>
        <w:spacing w:line="480" w:lineRule="auto"/>
        <w:jc w:val="both"/>
        <w:rPr>
          <w:rFonts w:ascii="Calibri" w:hAnsi="Calibri" w:cs="Arial"/>
        </w:rPr>
      </w:pPr>
    </w:p>
    <w:p w14:paraId="6E7A46AB" w14:textId="0E5919DC" w:rsidR="00E02697" w:rsidRDefault="00276E12" w:rsidP="005837A4">
      <w:pPr>
        <w:spacing w:line="480" w:lineRule="auto"/>
        <w:jc w:val="both"/>
        <w:rPr>
          <w:rFonts w:ascii="Calibri" w:hAnsi="Calibri" w:cs="Arial"/>
          <w:lang w:val="en-GB"/>
        </w:rPr>
      </w:pPr>
      <w:r>
        <w:rPr>
          <w:rFonts w:ascii="Calibri" w:hAnsi="Calibri" w:cs="Arial"/>
        </w:rPr>
        <w:lastRenderedPageBreak/>
        <w:t>Beyond the TLR family, the intracellular pathogen associated molecular pattern sensors 2’-5’-oligoadenylate synthase 1</w:t>
      </w:r>
      <w:r w:rsidR="00813221">
        <w:rPr>
          <w:rFonts w:ascii="Calibri" w:hAnsi="Calibri" w:cs="Arial"/>
        </w:rPr>
        <w:t xml:space="preserve"> (OAS1)</w:t>
      </w:r>
      <w:r>
        <w:rPr>
          <w:rFonts w:ascii="Calibri" w:hAnsi="Calibri" w:cs="Arial"/>
        </w:rPr>
        <w:t xml:space="preserve"> </w:t>
      </w:r>
      <w:r>
        <w:rPr>
          <w:rFonts w:ascii="Calibri" w:hAnsi="Calibri" w:cs="Arial"/>
          <w:lang w:val="en-GB"/>
        </w:rPr>
        <w:fldChar w:fldCharType="begin" w:fldLock="1"/>
      </w:r>
      <w:r>
        <w:rPr>
          <w:rFonts w:ascii="Calibri" w:hAnsi="Calibri" w:cs="Arial"/>
          <w:lang w:val="en-GB"/>
        </w:rPr>
        <w:instrText>ADDIN CSL_CITATION { "citationItems" : [ { "id" : "ITEM-1", "itemData" : { "DOI" : "10.1016/j.bbrc.2009.07.167", "ISSN" : "1090-2104", "PMID" : "19665006", "abstract" : "2'-5'-Oligoadenylate synthetase plays a central role in the cellular innate antiviral response. Although activation of 2'-5'-oligoadenylate synthetase by double stranded RNA was discovered more than 30 years ago it is still unclear which sequence features are required by an RNA to activate the enzyme. A pool of chemically synthesized short double stranded RNAs of specific sequence was used to probe 2'-5'-oligoadenylate synthetase activation. It was found that activating double stranded RNAs contain the following motif: NNWWNNNNNNNNNWGN. Verification of this sequence motif in a pool of 102 small double stranded RNAs demonstrated a false positive prediction rate of 8% and a false negative prediction rate of 12%. The sequence motif identified provides mechanistic insight into the mechanism of 2'-5'-oligoadenylate synthetase activation by double stranded RNA and allows theoretical predictions whether a given RNA molecule has the capability to activate 2'-5'-oligoadenylate synthetase.", "author" : [ { "dropping-particle" : "", "family" : "Kodym", "given" : "Reinhard", "non-dropping-particle" : "", "parse-names" : false, "suffix" : "" }, { "dropping-particle" : "", "family" : "Kodym", "given" : "Elisabeth", "non-dropping-particle" : "", "parse-names" : false, "suffix" : "" }, { "dropping-particle" : "", "family" : "Story", "given" : "Michael D", "non-dropping-particle" : "", "parse-names" : false, "suffix" : "" } ], "container-title" : "Biochemical and biophysical research communications", "id" : "ITEM-1", "issue" : "2", "issued" : { "date-parts" : [ [ "2009", "10", "16" ] ] }, "page" : "317-22", "title" : "2'-5'-Oligoadenylate synthetase is activated by a specific RNA sequence motif.", "type" : "article-journal", "volume" : "388" }, "uris" : [ "http://www.mendeley.com/documents/?uuid=9263f057-a77f-436d-9598-67b087e47581" ] } ], "mendeley" : { "formattedCitation" : "(Kodym, Kodym, &amp; Story, 2009)", "plainTextFormattedCitation" : "(Kodym, Kodym, &amp; Story, 2009)", "previouslyFormattedCitation" : "(Kodym, Kodym, &amp; Story, 2009)" }, "properties" : { "noteIndex" : 0 }, "schema" : "https://github.com/citation-style-language/schema/raw/master/csl-citation.json" }</w:instrText>
      </w:r>
      <w:r>
        <w:rPr>
          <w:rFonts w:ascii="Calibri" w:hAnsi="Calibri" w:cs="Arial"/>
          <w:lang w:val="en-GB"/>
        </w:rPr>
        <w:fldChar w:fldCharType="separate"/>
      </w:r>
      <w:r w:rsidRPr="00A148BF">
        <w:rPr>
          <w:rFonts w:ascii="Calibri" w:hAnsi="Calibri" w:cs="Arial"/>
          <w:noProof/>
          <w:lang w:val="en-GB"/>
        </w:rPr>
        <w:t>(Kodym, Kodym, &amp; Story, 2009)</w:t>
      </w:r>
      <w:r>
        <w:rPr>
          <w:rFonts w:ascii="Calibri" w:hAnsi="Calibri" w:cs="Arial"/>
          <w:lang w:val="en-GB"/>
        </w:rPr>
        <w:fldChar w:fldCharType="end"/>
      </w:r>
      <w:r>
        <w:rPr>
          <w:rFonts w:ascii="Calibri" w:hAnsi="Calibri" w:cs="Arial"/>
          <w:lang w:val="en-GB"/>
        </w:rPr>
        <w:t>,</w:t>
      </w:r>
      <w:r>
        <w:rPr>
          <w:rFonts w:ascii="Calibri" w:hAnsi="Calibri" w:cs="Arial"/>
        </w:rPr>
        <w:t xml:space="preserve"> double-stranded RNA-activated inhibitor of translation</w:t>
      </w:r>
      <w:r w:rsidR="00813221">
        <w:rPr>
          <w:rFonts w:ascii="Calibri" w:hAnsi="Calibri" w:cs="Arial"/>
        </w:rPr>
        <w:t xml:space="preserve"> (DAI)</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"ISSN" : "0270-7306", "PMID" : "1357546", "abstract" : "The interferon-induced protein kinase DAI, the double-stranded RNA (dsRNA)-activated inhibitor of translation, plays a key role in regulating protein synthesis in higher cells. Once activated, in a process that involves autophosphorylation, it phosphorylates the initiation factor eIF-2, leading to inhibition of polypeptide chain initiation. The activity of DAI is controlled by RNA regulators, including dsRNA activators and highly structured single-stranded RNAs which block activation by dsRNA. To elucidate the mechanism of activation, we studied the interaction of DAI with RNA duplexes of discrete sizes. Molecules shorter than 30 bp fail to bind stably and do not activate the enzyme, but at high concentrations they prevent activation by long dsRNA. Molecules longer than 30 bp bind and activate the enzyme, with an efficiency that increases with increasing chain length, reaching a maximum at about 85 bp. These dsRNAs fail to activate at high concentrations and also prevent activation by long dsRNA. Analysis of complexes between dsRNA and DAI suggests that at maximal packing the enzyme interacts with as little as a single helical turn of dsRNA (11 bp) but under conditions that allow activation the binding site protects about 80 bp of duplex. When the RNA-binding site is fully occupied with an RNA activator, the complex appears to undergo a conformational change.", "author" : [ { "dropping-particle" : "", "family" : "Manche", "given" : "L", "non-dropping-particle" : "", "parse-names" : false, "suffix" : "" }, { "dropping-particle" : "", "family" : "Green", "given" : "S R", "non-dropping-particle" : "", "parse-names" : false, "suffix" : "" }, { "dropping-particle" : "", "family" : "Schmedt", "given" : "C", "non-dropping-particle" : "", "parse-names" : false, "suffix" : "" }, { "dropping-particle" : "", "family" : "Mathews", "given" : "M B", "non-dropping-particle" : "", "parse-names" : false, "suffix" : "" } ], "container-title" : "Molecular and cellular biology", "id" : "ITEM-1", "issue" : "11", "issued" : { "date-parts" : [ [ "1992", "11" ] ] }, "page" : "5238-48", "title" : "Interactions between double-stranded RNA regulators and the protein kinase DAI.", "type" : "article-journal", "volume" : "12" }, "uris" : [ "http://www.mendeley.com/documents/?uuid=e8f4be78-dcc5-4ec7-ae4c-62fb4e27f44d" ] } ], "mendeley" : { "formattedCitation" : "(Manche, Green, Schmedt, &amp; Mathews, 1992)", "plainTextFormattedCitation" : "(Manche, Green, Schmedt, &amp; Mathews, 1992)", "previouslyFormattedCitation" : "(Manche, Green, Schmedt, &amp; Mathews, 1992)" }, "properties" : { "noteIndex" : 0 }, "schema" : "https://github.com/citation-style-language/schema/raw/master/csl-citation.json" }</w:instrText>
      </w:r>
      <w:r>
        <w:rPr>
          <w:rFonts w:ascii="Calibri" w:hAnsi="Calibri" w:cs="Arial"/>
        </w:rPr>
        <w:fldChar w:fldCharType="separate"/>
      </w:r>
      <w:r w:rsidRPr="005F04E5">
        <w:rPr>
          <w:rFonts w:ascii="Calibri" w:hAnsi="Calibri" w:cs="Arial"/>
          <w:noProof/>
        </w:rPr>
        <w:t>(Manche, Green, Schmedt, &amp; Mathews, 1992)</w:t>
      </w:r>
      <w:r>
        <w:rPr>
          <w:rFonts w:ascii="Calibri" w:hAnsi="Calibri" w:cs="Arial"/>
        </w:rPr>
        <w:fldChar w:fldCharType="end"/>
      </w:r>
      <w:r>
        <w:rPr>
          <w:rFonts w:ascii="Calibri" w:hAnsi="Calibri" w:cs="Arial"/>
        </w:rPr>
        <w:t>, melanoma differentiation-associated gene 5</w:t>
      </w:r>
      <w:r w:rsidR="00813221">
        <w:rPr>
          <w:rFonts w:ascii="Calibri" w:hAnsi="Calibri" w:cs="Arial"/>
        </w:rPr>
        <w:t xml:space="preserve"> (MDA5)</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"10.1084/jem.20080091", "ISSN" : "1540-9538", "PMID" : "18591409", "abstract" : "The ribonucleic acid (RNA) helicases retinoic acid-inducible gene-I (RIG-I) and melanoma differentiation-associated gene 5 (MDA5) recognize distinct viral and synthetic RNAs, leading to the production of interferons. Although 5'-triphosphate single-stranded RNA is a RIG-I ligand, the role of RIG-I and MDA5 in double-stranded (ds) RNA recognition remains to be characterized. In this study, we show that the length of dsRNA is important for differential recognition by RIG-I and MDA5. The MDA5 ligand, polyinosinic-polycytidylic acid, was converted to a RIG-I ligand after shortening of the dsRNA length. In addition, viral dsRNAs differentially activated RIG-I and MDA5, depending on their length. Vesicular stomatitis virus infection generated dsRNA, which is responsible for RIG-I-mediated recognition. Collectively, RIG-I detects dsRNAs without a 5'-triphosphate end, and RIG-I and MDA5 selectively recognize short and long dsRNAs, respectively.", "author" : [ { "dropping-particle" : "", "family" : "Kato", "given" : "Hiroki", "non-dropping-particle" : "", "parse-names" : false, "suffix" : "" }, { "dropping-particle" : "", "family" : "Takeuchi", "given" : "Osamu", "non-dropping-particle" : "", "parse-names" : false, "suffix" : "" }, { "dropping-particle" : "", "family" : "Mikamo-Satoh", "given" : "Eriko", "non-dropping-particle" : "", "parse-names" : false, "suffix" : "" }, { "dropping-particle" : "", "family" : "Hirai", "given" : "Reiko", "non-dropping-particle" : "", "parse-names" : false, "suffix" : "" }, { "dropping-particle" : "", "family" : "Kawai", "given" : "Tomoji", "non-dropping-particle" : "", "parse-names" : false, "suffix" : "" }, { "dropping-particle" : "", "family" : "Matsushita", "given" : "Kazufumi", "non-dropping-particle" : "", "parse-names" : false, "suffix" : "" }, { "dropping-particle" : "", "family" : "Hiiragi", "given" : "Akane", "non-dropping-particle" : "", "parse-names" : false, "suffix" : "" }, { "dropping-particle" : "", "family" : "Dermody", "given" : "Terence S", "non-dropping-particle" : "", "parse-names" : false, "suffix" : "" }, { "dropping-particle" : "", "family" : "Fujita", "given" : "Takashi", "non-dropping-particle" : "", "parse-names" : false, "suffix" : "" }, { "dropping-particle" : "", "family" : "Akira", "given" : "Shizuo", "non-dropping-particle" : "", "parse-names" : false, "suffix" : "" } ], "container-title" : "The Journal of experimental medicine", "id" : "ITEM-1", "issue" : "7", "issued" : { "date-parts" : [ [ "2008", "7", "7" ] ] }, "page" : "1601-10", "title" : "Length-dependent recognition of double-stranded ribonucleic acids by retinoic acid-inducible gene-I and melanoma differentiation-associated gene 5.", "type" : "article-journal", "volume" : "205" }, "uris" : [ "http://www.mendeley.com/documents/?uuid=c2f77e71-bab5-4fa6-868e-54c1896d7985" ] } ], "mendeley" : { "formattedCitation" : "(Kato et al., 2008)", "plainTextFormattedCitation" : "(Kato et al., 2008)", "previouslyFormattedCitation" : "(Kato et al., 2008)" }, "properties" : { "noteIndex" : 0 }, "schema" : "https://github.com/citation-style-language/schema/raw/master/csl-citation.json" }</w:instrText>
      </w:r>
      <w:r>
        <w:rPr>
          <w:rFonts w:ascii="Calibri" w:hAnsi="Calibri" w:cs="Arial"/>
        </w:rPr>
        <w:fldChar w:fldCharType="separate"/>
      </w:r>
      <w:r w:rsidRPr="006063C4">
        <w:rPr>
          <w:rFonts w:ascii="Calibri" w:hAnsi="Calibri" w:cs="Arial"/>
          <w:noProof/>
        </w:rPr>
        <w:t>(Kato et al., 2008)</w:t>
      </w:r>
      <w:r>
        <w:rPr>
          <w:rFonts w:ascii="Calibri" w:hAnsi="Calibri" w:cs="Arial"/>
        </w:rPr>
        <w:fldChar w:fldCharType="end"/>
      </w:r>
      <w:r>
        <w:rPr>
          <w:rFonts w:ascii="Calibri" w:hAnsi="Calibri" w:cs="Arial"/>
        </w:rPr>
        <w:t xml:space="preserve">, and retinoic acid-inducible gene 1 </w:t>
      </w:r>
      <w:r w:rsidR="00813221">
        <w:rPr>
          <w:rFonts w:ascii="Calibri" w:hAnsi="Calibri" w:cs="Arial"/>
        </w:rPr>
        <w:t xml:space="preserve">(RIG-I) </w:t>
      </w:r>
      <w:r w:rsidR="0097754A">
        <w:rPr>
          <w:rFonts w:ascii="Calibri" w:hAnsi="Calibri" w:cs="Arial"/>
        </w:rPr>
        <w:fldChar w:fldCharType="begin" w:fldLock="1"/>
      </w:r>
      <w:r w:rsidR="0098340B">
        <w:rPr>
          <w:rFonts w:ascii="Calibri" w:hAnsi="Calibri" w:cs="Arial"/>
        </w:rPr>
        <w:instrText>ADDIN CSL_CITATION { "citationItems" : [ { "id" : "ITEM-1", "itemData" : { "DOI" : "10.1038/nbt1205", "ISSN" : "1087-0156", "PMID" : "16648842", "abstract" : "Nonspecific effects triggered by small interfering RNAs (siRNAs) complicate the use of RNA interference (RNAi) to specifically downregulate gene expression. To uncover the basis of these nonspecific activities, we analyzed the effect of chemically synthesized siRNAs on mammalian double-stranded RNA (dsRNA)-activated signaling pathways. siRNAs ranging from 21 to 27 nucleotides (nt) in length activated the interferon system when they lacked 2-nt 3' overhangs, a characteristic of Dicer products. We show that the recognition of siRNAs is mediated by the RNA helicase RIG-I and that the presence of 3' overhangs impairs its ability to unwind the dsRNA substrate and activate downstream signaling to the transcription factor IRF-3. These results suggest a structural basis for discrimination between microRNAs that are endogenous Dicer products, and nonself dsRNAs such as by-products of viral replication. These findings will enable the rational design of siRNAs that avoid nonspecific effects or, alternatively, that induce bystander effects to potentially increase the efficacy of siRNA-based treatments of viral infections or cancer.", "author" : [ { "dropping-particle" : "", "family" : "Marques", "given" : "Joao Trindade", "non-dropping-particle" : "", "parse-names" : false, "suffix" : "" }, { "dropping-particle" : "", "family" : "Devosse", "given" : "Thalie", "non-dropping-particle" : "", "parse-names" : false, "suffix" : "" }, { "dropping-particle" : "", "family" : "Wang", "given" : "Die", "non-dropping-particle" : "", "parse-names" : false, "suffix" : "" }, { "dropping-particle" : "", "family" : "Zamanian-Daryoush", "given" : "Maryam", "non-dropping-particle" : "", "parse-names" : false, "suffix" : "" }, { "dropping-particle" : "", "family" : "Serbinowski", "given" : "Paul", "non-dropping-particle" : "", "parse-names" : false, "suffix" : "" }, { "dropping-particle" : "", "family" : "Hartmann", "given" : "Rune", "non-dropping-particle" : "", "parse-names" : false, "suffix" : "" }, { "dropping-particle" : "", "family" : "Fujita", "given" : "Takashi", "non-dropping-particle" : "", "parse-names" : false, "suffix" : "" }, { "dropping-particle" : "", "family" : "Behlke", "given" : "Mark A", "non-dropping-particle" : "", "parse-names" : false, "suffix" : "" }, { "dropping-particle" : "", "family" : "Williams", "given" : "Bryan R G", "non-dropping-particle" : "", "parse-names" : false, "suffix" : "" } ], "container-title" : "Nature biotechnology", "id" : "ITEM-1", "issue" : "5", "issued" : { "date-parts" : [ [ "2006", "5" ] ] }, "page" : "559-65", "title" : "A structural basis for discriminating between self and nonself double-stranded RNAs in mammalian cells.", "type" : "article-journal", "volume" : "24" }, "uris" : [ "http://www.mendeley.com/documents/?uuid=68754ca9-83e3-4ae4-9087-29f0c39c942c" ] }, { "id" : "ITEM-2", "itemData" : { "DOI" : "10.1126/science.1132505", "ISSN" : "1095-9203", "PMID" : "17038590", "abstract" : "The structural basis for the distinction of viral RNA from abundant self RNA in the cytoplasm of virally infected cells is largely unknown. We demonstrated that the 5'-triphosphate end of RNA generated by viral polymerases is responsible for retinoic acid-inducible protein I (RIG-I)-mediated detection of RNA molecules. Detection of 5'-triphosphate RNA is abrogated by capping of the 5'-triphosphate end or by nucleoside modification of RNA, both occurring during posttranscriptional RNA processing in eukaryotes. Genomic RNA prepared from a negative-strand RNA virus and RNA prepared from virus-infected cells (but not from noninfected cells) triggered a potent interferon-alpha response in a phosphatase-sensitive manner. 5'-triphosphate RNA directly binds to RIG-I. Thus, uncapped 5'-triphosphate RNA (now termed 3pRNA) present in viruses known to be recognized by RIG-I, but absent in viruses known to be detected by MDA-5 such as the picornaviruses, serves as the molecular signature for the detection of viral infection by RIG-I.", "author" : [ { "dropping-particle" : "", "family" : "Hornung", "given" : "Veit", "non-dropping-particle" : "", "parse-names" : false, "suffix" : "" }, { "dropping-particle" : "", "family" : "Ellegast", "given" : "Jana", "non-dropping-particle" : "", "parse-names" : false, "suffix" : "" }, { "dropping-particle" : "", "family" : "Kim", "given" : "Sarah", "non-dropping-particle" : "", "parse-names" : false, "suffix" : "" }, { "dropping-particle" : "", "family" : "Brz\u00f3zka", "given" : "Krzysztof", "non-dropping-particle" : "", "parse-names" : false, "suffix" : "" }, { "dropping-particle" : "", "family" : "Jung", "given" : "Andreas", "non-dropping-particle" : "", "parse-names" : false, "suffix" : "" }, { "dropping-particle" : "", "family" : "Kato", "given" : "Hiroki", "non-dropping-particle" : "", "parse-names" : false, "suffix" : "" }, { "dropping-particle" : "", "family" : "Poeck", "given" : "Hendrik", "non-dropping-particle" : "", "parse-names" : false, "suffix" : "" }, { "dropping-particle" : "", "family" : "Akira", "given" : "Shizuo", "non-dropping-particle" : "", "parse-names" : false, "suffix" : "" }, { "dropping-particle" : "", "family" : "Conzelmann", "given" : "Karl-Klaus", "non-dropping-particle" : "", "parse-names" : false, "suffix" : "" }, { "dropping-particle" : "", "family" : "Schlee", "given" : "Martin", "non-dropping-particle" : "", "parse-names" : false, "suffix" : "" }, { "dropping-particle" : "", "family" : "Endres", "given" : "Stefan", "non-dropping-particle" : "", "parse-names" : false, "suffix" : "" }, { "dropping-particle" : "", "family" : "Hartmann", "given" : "Gunther", "non-dropping-particle" : "", "parse-names" : false, "suffix" : "" } ], "container-title" : "Science (New York, N.Y.)", "id" : "ITEM-2", "issue" : "5801", "issued" : { "date-parts" : [ [ "2006", "11", "10" ] ] }, "page" : "994-7", "title" : "5'-Triphosphate RNA is the ligand for RIG-I.", "type" : "article-journal", "volume" : "314" }, "uris" : [ "http://www.mendeley.com/documents/?uuid=bb466928-fe57-45ad-a138-9238c01894b0" ] }, { "id" : "ITEM-3", "itemData" : { "DOI" : "10.1126/science.1132998", "ISSN" : "1095-9203", "PMID" : "17038589", "abstract" : "Double-stranded RNA (dsRNA) produced during viral replication is believed to be the critical trigger for activation of antiviral immunity mediated by the RNA helicase enzymes retinoic acid-inducible gene I (RIG-I) and melanoma differentiation-associated gene 5 (MDA5). We showed that influenza A virus infection does not generate dsRNA and that RIG-I is activated by viral genomic single-stranded RNA (ssRNA) bearing 5'-phosphates. This is blocked by the influenza protein nonstructured protein 1 (NS1), which is found in a complex with RIG-I in infected cells. These results identify RIG-I as a ssRNA sensor and potential target of viral immune evasion and suggest that its ability to sense 5'-phosphorylated RNA evolved in the innate immune system as a means of discriminating between self and nonself.", "author" : [ { "dropping-particle" : "", "family" : "Pichlmair", "given" : "Andreas", "non-dropping-particle" : "", "parse-names" : false, "suffix" : "" }, { "dropping-particle" : "", "family" : "Schulz", "given" : "Oliver", "non-dropping-particle" : "", "parse-names" : false, "suffix" : "" }, { "dropping-particle" : "", "family" : "Tan", "given" : "Choon Ping", "non-dropping-particle" : "", "parse-names" : false, "suffix" : "" }, { "dropping-particle" : "", "family" : "N\u00e4slund", "given" : "Tanja I", "non-dropping-particle" : "", "parse-names" : false, "suffix" : "" }, { "dropping-particle" : "", "family" : "Liljestr\u00f6m", "given" : "Peter", "non-dropping-particle" : "", "parse-names" : false, "suffix" : "" }, { "dropping-particle" : "", "family" : "Weber", "given" : "Friedemann", "non-dropping-particle" : "", "parse-names" : false, "suffix" : "" }, { "dropping-particle" : "", "family" : "Reis e Sousa", "given" : "Caetano", "non-dropping-particle" : "", "parse-names" : false, "suffix" : "" } ], "container-title" : "Science (New York, N.Y.)", "id" : "ITEM-3", "issue" : "5801", "issued" : { "date-parts" : [ [ "2006", "11", "10" ] ] }, "page" : "997-1001", "title" : "RIG-I-mediated antiviral responses to single-stranded RNA bearing 5'-phosphates.", "type" : "article-journal", "volume" : "314" }, "uris" : [ "http://www.mendeley.com/documents/?uuid=021bafe6-85b0-4953-8ddc-edc6ab285cc1" ] } ], "mendeley" : { "formattedCitation" : "(Hornung et al., 2006; Marques et al., 2006; Pichlmair et al., 2006)", "plainTextFormattedCitation" : "(Hornung et al., 2006; Marques et al., 2006; Pichlmair et al., 2006)", "previouslyFormattedCitation" : "(Hornung et al., 2006; Marques et al., 2006; Pichlmair et al., 2006)" }, "properties" : { "noteIndex" : 0 }, "schema" : "https://github.com/citation-style-language/schema/raw/master/csl-citation.json" }</w:instrText>
      </w:r>
      <w:r w:rsidR="0097754A">
        <w:rPr>
          <w:rFonts w:ascii="Calibri" w:hAnsi="Calibri" w:cs="Arial"/>
        </w:rPr>
        <w:fldChar w:fldCharType="separate"/>
      </w:r>
      <w:r w:rsidR="0097754A" w:rsidRPr="0097754A">
        <w:rPr>
          <w:rFonts w:ascii="Calibri" w:hAnsi="Calibri" w:cs="Arial"/>
          <w:noProof/>
        </w:rPr>
        <w:t>(Hornung et al., 2006; Marques et al., 2006; Pichlmair et al., 2006)</w:t>
      </w:r>
      <w:r w:rsidR="0097754A">
        <w:rPr>
          <w:rFonts w:ascii="Calibri" w:hAnsi="Calibri" w:cs="Arial"/>
        </w:rPr>
        <w:fldChar w:fldCharType="end"/>
      </w:r>
      <w:r>
        <w:rPr>
          <w:rFonts w:ascii="Calibri" w:hAnsi="Calibri" w:cs="Arial"/>
        </w:rPr>
        <w:t xml:space="preserve"> are also activated by RNAi mediators or their precursors. Fortunately, </w:t>
      </w:r>
      <w:r w:rsidR="00494FA2">
        <w:rPr>
          <w:rFonts w:ascii="Calibri" w:hAnsi="Calibri" w:cs="Arial"/>
        </w:rPr>
        <w:t>most are long dsRNA-specific. Among those sensitive to smaller dsRNA</w:t>
      </w:r>
      <w:r w:rsidR="00AC1B41">
        <w:rPr>
          <w:rFonts w:ascii="Calibri" w:hAnsi="Calibri" w:cs="Arial"/>
        </w:rPr>
        <w:t>,</w:t>
      </w:r>
      <w:r w:rsidR="00494FA2">
        <w:rPr>
          <w:rFonts w:ascii="Calibri" w:hAnsi="Calibri" w:cs="Arial"/>
        </w:rPr>
        <w:t xml:space="preserve"> </w:t>
      </w:r>
      <w:r w:rsidR="0097754A">
        <w:rPr>
          <w:rFonts w:ascii="Calibri" w:hAnsi="Calibri" w:cs="Arial"/>
        </w:rPr>
        <w:t>OAS</w:t>
      </w:r>
      <w:r>
        <w:rPr>
          <w:rFonts w:ascii="Calibri" w:hAnsi="Calibri" w:cs="Arial"/>
        </w:rPr>
        <w:t xml:space="preserve">1 is specific for the nucleotide motif </w:t>
      </w:r>
      <w:r w:rsidRPr="00A148BF">
        <w:rPr>
          <w:rFonts w:ascii="Calibri" w:hAnsi="Calibri" w:cs="Arial"/>
          <w:lang w:val="en-GB"/>
        </w:rPr>
        <w:t>NNWW(N</w:t>
      </w:r>
      <w:r w:rsidRPr="00A148BF">
        <w:rPr>
          <w:rFonts w:ascii="Calibri" w:hAnsi="Calibri" w:cs="Arial"/>
          <w:vertAlign w:val="subscript"/>
          <w:lang w:val="en-GB"/>
        </w:rPr>
        <w:t>9</w:t>
      </w:r>
      <w:r w:rsidRPr="00A148BF">
        <w:rPr>
          <w:rFonts w:ascii="Calibri" w:hAnsi="Calibri" w:cs="Arial"/>
          <w:lang w:val="en-GB"/>
        </w:rPr>
        <w:t>)WGN</w:t>
      </w:r>
      <w:r>
        <w:rPr>
          <w:rFonts w:ascii="Calibri" w:hAnsi="Calibri" w:cs="Arial"/>
          <w:lang w:val="en-GB"/>
        </w:rPr>
        <w:t xml:space="preserve"> </w:t>
      </w:r>
      <w:r>
        <w:rPr>
          <w:rFonts w:ascii="Calibri" w:hAnsi="Calibri" w:cs="Arial"/>
          <w:lang w:val="en-GB"/>
        </w:rPr>
        <w:fldChar w:fldCharType="begin" w:fldLock="1"/>
      </w:r>
      <w:r>
        <w:rPr>
          <w:rFonts w:ascii="Calibri" w:hAnsi="Calibri" w:cs="Arial"/>
          <w:lang w:val="en-GB"/>
        </w:rPr>
        <w:instrText>ADDIN CSL_CITATION { "citationItems" : [ { "id" : "ITEM-1", "itemData" : { "DOI" : "10.1016/j.bbrc.2009.07.167", "ISSN" : "1090-2104", "PMID" : "19665006", "abstract" : "2'-5'-Oligoadenylate synthetase plays a central role in the cellular innate antiviral response. Although activation of 2'-5'-oligoadenylate synthetase by double stranded RNA was discovered more than 30 years ago it is still unclear which sequence features are required by an RNA to activate the enzyme. A pool of chemically synthesized short double stranded RNAs of specific sequence was used to probe 2'-5'-oligoadenylate synthetase activation. It was found that activating double stranded RNAs contain the following motif: NNWWNNNNNNNNNWGN. Verification of this sequence motif in a pool of 102 small double stranded RNAs demonstrated a false positive prediction rate of 8% and a false negative prediction rate of 12%. The sequence motif identified provides mechanistic insight into the mechanism of 2'-5'-oligoadenylate synthetase activation by double stranded RNA and allows theoretical predictions whether a given RNA molecule has the capability to activate 2'-5'-oligoadenylate synthetase.", "author" : [ { "dropping-particle" : "", "family" : "Kodym", "given" : "Reinhard", "non-dropping-particle" : "", "parse-names" : false, "suffix" : "" }, { "dropping-particle" : "", "family" : "Kodym", "given" : "Elisabeth", "non-dropping-particle" : "", "parse-names" : false, "suffix" : "" }, { "dropping-particle" : "", "family" : "Story", "given" : "Michael D", "non-dropping-particle" : "", "parse-names" : false, "suffix" : "" } ], "container-title" : "Biochemical and biophysical research communications", "id" : "ITEM-1", "issue" : "2", "issued" : { "date-parts" : [ [ "2009", "10", "16" ] ] }, "page" : "317-22", "title" : "2'-5'-Oligoadenylate synthetase is activated by a specific RNA sequence motif.", "type" : "article-journal", "volume" : "388" }, "uris" : [ "http://www.mendeley.com/documents/?uuid=9263f057-a77f-436d-9598-67b087e47581" ] } ], "mendeley" : { "formattedCitation" : "(Kodym et al., 2009)", "plainTextFormattedCitation" : "(Kodym et al., 2009)", "previouslyFormattedCitation" : "(Kodym et al., 2009)" }, "properties" : { "noteIndex" : 0 }, "schema" : "https://github.com/citation-style-language/schema/raw/master/csl-citation.json" }</w:instrText>
      </w:r>
      <w:r>
        <w:rPr>
          <w:rFonts w:ascii="Calibri" w:hAnsi="Calibri" w:cs="Arial"/>
          <w:lang w:val="en-GB"/>
        </w:rPr>
        <w:fldChar w:fldCharType="separate"/>
      </w:r>
      <w:r w:rsidRPr="005F04E5">
        <w:rPr>
          <w:rFonts w:ascii="Calibri" w:hAnsi="Calibri" w:cs="Arial"/>
          <w:noProof/>
          <w:lang w:val="en-GB"/>
        </w:rPr>
        <w:t>(Kodym et al., 2009)</w:t>
      </w:r>
      <w:r>
        <w:rPr>
          <w:rFonts w:ascii="Calibri" w:hAnsi="Calibri" w:cs="Arial"/>
          <w:lang w:val="en-GB"/>
        </w:rPr>
        <w:fldChar w:fldCharType="end"/>
      </w:r>
      <w:r>
        <w:rPr>
          <w:rFonts w:ascii="Calibri" w:hAnsi="Calibri" w:cs="Arial"/>
          <w:lang w:val="en-GB"/>
        </w:rPr>
        <w:t xml:space="preserve"> whereas </w:t>
      </w:r>
      <w:r w:rsidR="0097754A">
        <w:rPr>
          <w:rFonts w:ascii="Calibri" w:hAnsi="Calibri" w:cs="Arial"/>
        </w:rPr>
        <w:t>RIG-I</w:t>
      </w:r>
      <w:r>
        <w:rPr>
          <w:rFonts w:ascii="Calibri" w:hAnsi="Calibri" w:cs="Arial"/>
        </w:rPr>
        <w:t xml:space="preserve"> </w:t>
      </w:r>
      <w:r>
        <w:rPr>
          <w:rFonts w:ascii="Calibri" w:hAnsi="Calibri" w:cs="Arial"/>
          <w:lang w:val="en-GB"/>
        </w:rPr>
        <w:t xml:space="preserve">is inhibited by 3’ dinucleotide overhangs typical to miRNAs and endogenous siRNAs </w:t>
      </w:r>
      <w:r>
        <w:rPr>
          <w:rFonts w:ascii="Calibri" w:hAnsi="Calibri" w:cs="Arial"/>
          <w:lang w:val="en-GB"/>
        </w:rPr>
        <w:fldChar w:fldCharType="begin" w:fldLock="1"/>
      </w:r>
      <w:r>
        <w:rPr>
          <w:rFonts w:ascii="Calibri" w:hAnsi="Calibri" w:cs="Arial"/>
          <w:lang w:val="en-GB"/>
        </w:rPr>
        <w:instrText>ADDIN CSL_CITATION { "citationItems" : [ { "id" : "ITEM-1", "itemData" : { "DOI" : "10.1038/nbt1205", "ISSN" : "1087-0156", "PMID" : "16648842", "abstract" : "Nonspecific effects triggered by small interfering RNAs (siRNAs) complicate the use of RNA interference (RNAi) to specifically downregulate gene expression. To uncover the basis of these nonspecific activities, we analyzed the effect of chemically synthesized siRNAs on mammalian double-stranded RNA (dsRNA)-activated signaling pathways. siRNAs ranging from 21 to 27 nucleotides (nt) in length activated the interferon system when they lacked 2-nt 3' overhangs, a characteristic of Dicer products. We show that the recognition of siRNAs is mediated by the RNA helicase RIG-I and that the presence of 3' overhangs impairs its ability to unwind the dsRNA substrate and activate downstream signaling to the transcription factor IRF-3. These results suggest a structural basis for discrimination between microRNAs that are endogenous Dicer products, and nonself dsRNAs such as by-products of viral replication. These findings will enable the rational design of siRNAs that avoid nonspecific effects or, alternatively, that induce bystander effects to potentially increase the efficacy of siRNA-based treatments of viral infections or cancer.", "author" : [ { "dropping-particle" : "", "family" : "Marques", "given" : "Joao Trindade", "non-dropping-particle" : "", "parse-names" : false, "suffix" : "" }, { "dropping-particle" : "", "family" : "Devosse", "given" : "Thalie", "non-dropping-particle" : "", "parse-names" : false, "suffix" : "" }, { "dropping-particle" : "", "family" : "Wang", "given" : "Die", "non-dropping-particle" : "", "parse-names" : false, "suffix" : "" }, { "dropping-particle" : "", "family" : "Zamanian-Daryoush", "given" : "Maryam", "non-dropping-particle" : "", "parse-names" : false, "suffix" : "" }, { "dropping-particle" : "", "family" : "Serbinowski", "given" : "Paul", "non-dropping-particle" : "", "parse-names" : false, "suffix" : "" }, { "dropping-particle" : "", "family" : "Hartmann", "given" : "Rune", "non-dropping-particle" : "", "parse-names" : false, "suffix" : "" }, { "dropping-particle" : "", "family" : "Fujita", "given" : "Takashi", "non-dropping-particle" : "", "parse-names" : false, "suffix" : "" }, { "dropping-particle" : "", "family" : "Behlke", "given" : "Mark A", "non-dropping-particle" : "", "parse-names" : false, "suffix" : "" }, { "dropping-particle" : "", "family" : "Williams", "given" : "Bryan R G", "non-dropping-particle" : "", "parse-names" : false, "suffix" : "" } ], "container-title" : "Nature biotechnology", "id" : "ITEM-1", "issue" : "5", "issued" : { "date-parts" : [ [ "2006", "5" ] ] }, "page" : "559-65", "title" : "A structural basis for discriminating between self and nonself double-stranded RNAs in mammalian cells.", "type" : "article-journal", "volume" : "24" }, "uris" : [ "http://www.mendeley.com/documents/?uuid=68754ca9-83e3-4ae4-9087-29f0c39c942c" ] } ], "mendeley" : { "formattedCitation" : "(Marques et al., 2006)", "plainTextFormattedCitation" : "(Marques et al., 2006)", "previouslyFormattedCitation" : "(Marques et al., 2006)" }, "properties" : { "noteIndex" : 0 }, "schema" : "https://github.com/citation-style-language/schema/raw/master/csl-citation.json" }</w:instrText>
      </w:r>
      <w:r>
        <w:rPr>
          <w:rFonts w:ascii="Calibri" w:hAnsi="Calibri" w:cs="Arial"/>
          <w:lang w:val="en-GB"/>
        </w:rPr>
        <w:fldChar w:fldCharType="separate"/>
      </w:r>
      <w:r w:rsidRPr="005F04E5">
        <w:rPr>
          <w:rFonts w:ascii="Calibri" w:hAnsi="Calibri" w:cs="Arial"/>
          <w:noProof/>
          <w:lang w:val="en-GB"/>
        </w:rPr>
        <w:t>(Marques et al., 2006)</w:t>
      </w:r>
      <w:r>
        <w:rPr>
          <w:rFonts w:ascii="Calibri" w:hAnsi="Calibri" w:cs="Arial"/>
          <w:lang w:val="en-GB"/>
        </w:rPr>
        <w:fldChar w:fldCharType="end"/>
      </w:r>
      <w:r>
        <w:rPr>
          <w:rFonts w:ascii="Calibri" w:hAnsi="Calibri" w:cs="Arial"/>
          <w:lang w:val="en-GB"/>
        </w:rPr>
        <w:t xml:space="preserve"> </w:t>
      </w:r>
      <w:r w:rsidR="00E640FE">
        <w:rPr>
          <w:rFonts w:ascii="Calibri" w:hAnsi="Calibri" w:cs="Arial"/>
          <w:lang w:val="en-GB"/>
        </w:rPr>
        <w:t xml:space="preserve">(Fig. 2) </w:t>
      </w:r>
      <w:r>
        <w:rPr>
          <w:rFonts w:ascii="Calibri" w:hAnsi="Calibri" w:cs="Arial"/>
          <w:lang w:val="en-GB"/>
        </w:rPr>
        <w:t xml:space="preserve">or evaded through lack of 5’ triphosphate use on either RISC precursor strand </w:t>
      </w:r>
      <w:r>
        <w:rPr>
          <w:rFonts w:ascii="Calibri" w:hAnsi="Calibri" w:cs="Arial"/>
          <w:lang w:val="en-GB"/>
        </w:rPr>
        <w:fldChar w:fldCharType="begin" w:fldLock="1"/>
      </w:r>
      <w:r>
        <w:rPr>
          <w:rFonts w:ascii="Calibri" w:hAnsi="Calibri" w:cs="Arial"/>
          <w:lang w:val="en-GB"/>
        </w:rPr>
        <w:instrText>ADDIN CSL_CITATION { "citationItems" : [ { "id" : "ITEM-1", "itemData" : { "DOI" : "10.1084/jem.20080091", "ISSN" : "1540-9538", "PMID" : "18591409", "abstract" : "The ribonucleic acid (RNA) helicases retinoic acid-inducible gene-I (RIG-I) and melanoma differentiation-associated gene 5 (MDA5) recognize distinct viral and synthetic RNAs, leading to the production of interferons. Although 5'-triphosphate single-stranded RNA is a RIG-I ligand, the role of RIG-I and MDA5 in double-stranded (ds) RNA recognition remains to be characterized. In this study, we show that the length of dsRNA is important for differential recognition by RIG-I and MDA5. The MDA5 ligand, polyinosinic-polycytidylic acid, was converted to a RIG-I ligand after shortening of the dsRNA length. In addition, viral dsRNAs differentially activated RIG-I and MDA5, depending on their length. Vesicular stomatitis virus infection generated dsRNA, which is responsible for RIG-I-mediated recognition. Collectively, RIG-I detects dsRNAs without a 5'-triphosphate end, and RIG-I and MDA5 selectively recognize short and long dsRNAs, respectively.", "author" : [ { "dropping-particle" : "", "family" : "Kato", "given" : "Hiroki", "non-dropping-particle" : "", "parse-names" : false, "suffix" : "" }, { "dropping-particle" : "", "family" : "Takeuchi", "given" : "Osamu", "non-dropping-particle" : "", "parse-names" : false, "suffix" : "" }, { "dropping-particle" : "", "family" : "Mikamo-Satoh", "given" : "Eriko", "non-dropping-particle" : "", "parse-names" : false, "suffix" : "" }, { "dropping-particle" : "", "family" : "Hirai", "given" : "Reiko", "non-dropping-particle" : "", "parse-names" : false, "suffix" : "" }, { "dropping-particle" : "", "family" : "Kawai", "given" : "Tomoji", "non-dropping-particle" : "", "parse-names" : false, "suffix" : "" }, { "dropping-particle" : "", "family" : "Matsushita", "given" : "Kazufumi", "non-dropping-particle" : "", "parse-names" : false, "suffix" : "" }, { "dropping-particle" : "", "family" : "Hiiragi", "given" : "Akane", "non-dropping-particle" : "", "parse-names" : false, "suffix" : "" }, { "dropping-particle" : "", "family" : "Dermody", "given" : "Terence S", "non-dropping-particle" : "", "parse-names" : false, "suffix" : "" }, { "dropping-particle" : "", "family" : "Fujita", "given" : "Takashi", "non-dropping-particle" : "", "parse-names" : false, "suffix" : "" }, { "dropping-particle" : "", "family" : "Akira", "given" : "Shizuo", "non-dropping-particle" : "", "parse-names" : false, "suffix" : "" } ], "container-title" : "The Journal of experimental medicine", "id" : "ITEM-1", "issue" : "7", "issued" : { "date-parts" : [ [ "2008", "7", "7" ] ] }, "page" : "1601-10", "title" : "Length-dependent recognition of double-stranded ribonucleic acids by retinoic acid-inducible gene-I and melanoma differentiation-associated gene 5.", "type" : "article-journal", "volume" : "205" }, "uris" : [ "http://www.mendeley.com/documents/?uuid=c2f77e71-bab5-4fa6-868e-54c1896d7985" ] } ], "mendeley" : { "formattedCitation" : "(Kato et al., 2008)", "plainTextFormattedCitation" : "(Kato et al., 2008)", "previouslyFormattedCitation" : "(Kato et al., 2008)" }, "properties" : { "noteIndex" : 0 }, "schema" : "https://github.com/citation-style-language/schema/raw/master/csl-citation.json" }</w:instrText>
      </w:r>
      <w:r>
        <w:rPr>
          <w:rFonts w:ascii="Calibri" w:hAnsi="Calibri" w:cs="Arial"/>
          <w:lang w:val="en-GB"/>
        </w:rPr>
        <w:fldChar w:fldCharType="separate"/>
      </w:r>
      <w:r w:rsidRPr="006063C4">
        <w:rPr>
          <w:rFonts w:ascii="Calibri" w:hAnsi="Calibri" w:cs="Arial"/>
          <w:noProof/>
          <w:lang w:val="en-GB"/>
        </w:rPr>
        <w:t>(Kato et al., 2008)</w:t>
      </w:r>
      <w:r>
        <w:rPr>
          <w:rFonts w:ascii="Calibri" w:hAnsi="Calibri" w:cs="Arial"/>
          <w:lang w:val="en-GB"/>
        </w:rPr>
        <w:fldChar w:fldCharType="end"/>
      </w:r>
      <w:r>
        <w:rPr>
          <w:rFonts w:ascii="Calibri" w:hAnsi="Calibri" w:cs="Arial"/>
          <w:lang w:val="en-GB"/>
        </w:rPr>
        <w:t xml:space="preserve">. </w:t>
      </w:r>
    </w:p>
    <w:p w14:paraId="426E8962" w14:textId="77777777" w:rsidR="00095633" w:rsidRDefault="00095633" w:rsidP="005837A4">
      <w:pPr>
        <w:spacing w:line="480" w:lineRule="auto"/>
        <w:jc w:val="both"/>
        <w:rPr>
          <w:rFonts w:ascii="Calibri" w:hAnsi="Calibri" w:cs="Arial"/>
        </w:rPr>
      </w:pPr>
    </w:p>
    <w:p w14:paraId="1D625650" w14:textId="69D83E81" w:rsidR="0016600A" w:rsidRDefault="00AB2385" w:rsidP="005837A4">
      <w:pPr>
        <w:pStyle w:val="Heading1"/>
      </w:pPr>
      <w:bookmarkStart w:id="2" w:name="_Toc322260967"/>
      <w:r>
        <w:t xml:space="preserve">3. </w:t>
      </w:r>
      <w:r w:rsidR="00A25217">
        <w:tab/>
      </w:r>
      <w:r w:rsidR="007712A6">
        <w:t>Clini</w:t>
      </w:r>
      <w:r w:rsidR="0016600A">
        <w:t>cal</w:t>
      </w:r>
      <w:r w:rsidR="0016600A" w:rsidRPr="00C4343E">
        <w:t xml:space="preserve"> </w:t>
      </w:r>
      <w:r w:rsidR="003D2BEB">
        <w:t>progress</w:t>
      </w:r>
      <w:r w:rsidR="0016600A" w:rsidRPr="00C4343E">
        <w:t xml:space="preserve"> </w:t>
      </w:r>
      <w:r w:rsidR="0016600A">
        <w:t>of oligonucleotide</w:t>
      </w:r>
      <w:r w:rsidR="0016600A" w:rsidRPr="00C4343E">
        <w:t xml:space="preserve"> </w:t>
      </w:r>
      <w:r w:rsidR="0016600A">
        <w:t>therapeutics for lung disease</w:t>
      </w:r>
      <w:r w:rsidR="004075E7">
        <w:t>.</w:t>
      </w:r>
      <w:bookmarkEnd w:id="2"/>
    </w:p>
    <w:p w14:paraId="2FE4D4A0" w14:textId="77777777" w:rsidR="008C6F2E" w:rsidRPr="008C6F2E" w:rsidRDefault="008C6F2E" w:rsidP="005837A4">
      <w:pPr>
        <w:spacing w:line="480" w:lineRule="auto"/>
      </w:pPr>
    </w:p>
    <w:p w14:paraId="28AE8CF4" w14:textId="68DADF4E" w:rsidR="0016600A" w:rsidRDefault="0016600A" w:rsidP="005837A4">
      <w:pPr>
        <w:spacing w:line="480" w:lineRule="auto"/>
        <w:jc w:val="both"/>
        <w:rPr>
          <w:rFonts w:ascii="Calibri" w:hAnsi="Calibri" w:cs="Arial"/>
        </w:rPr>
      </w:pPr>
      <w:r w:rsidRPr="00C4343E">
        <w:rPr>
          <w:rFonts w:ascii="Calibri" w:hAnsi="Calibri" w:cs="Arial"/>
        </w:rPr>
        <w:t xml:space="preserve">The original studies on lung-targeted </w:t>
      </w:r>
      <w:r w:rsidR="00AD046B">
        <w:rPr>
          <w:rFonts w:ascii="Calibri" w:hAnsi="Calibri" w:cs="Arial"/>
        </w:rPr>
        <w:t>oligonucleotide</w:t>
      </w:r>
      <w:r w:rsidRPr="00C4343E">
        <w:rPr>
          <w:rFonts w:ascii="Calibri" w:hAnsi="Calibri" w:cs="Arial"/>
        </w:rPr>
        <w:t xml:space="preserve"> therapeutics </w:t>
      </w:r>
      <w:r w:rsidRPr="00C4343E">
        <w:rPr>
          <w:rFonts w:ascii="Calibri" w:hAnsi="Calibri" w:cs="Arial"/>
        </w:rPr>
        <w:fldChar w:fldCharType="begin" w:fldLock="1"/>
      </w:r>
      <w:r w:rsidRPr="00C4343E">
        <w:rPr>
          <w:rFonts w:ascii="Calibri" w:hAnsi="Calibri" w:cs="Arial"/>
        </w:rPr>
        <w:instrText>ADDIN CSL_CITATION { "citationItems" : [ { "id" : "ITEM-1", "itemData" : { "ISBN" : "1873-4286 (Electronic)\r1381-6128 (Linking)", "PMID" : "19075738", "abstract" : "The accessibility to topical administration through inhalation, combined with its large surface area, has led to speculation that the lung might offer an ideal target for the application of oligonucleotide based therapeutics. In this review, we shall critically examine the challenges facing antisense and siRNA based approaches for target validation in vivo and as potential therapeutics. In particular, we shall discuss the antisense and siRNA based approaches in relation to factors such as delivery, distribution, stability, off-target effects, unwanted immune responses and the selection of the optimum mRNA targets.", "author" : [ { "dropping-particle" : "", "family" : "Moschos", "given" : "S A", "non-dropping-particle" : "", "parse-names" : false, "suffix" : "" }, { "dropping-particle" : "", "family" : "Spinks", "given" : "K", "non-dropping-particle" : "", "parse-names" : false, "suffix" : "" }, { "dropping-particle" : "", "family" : "Williams", "given" : "A E", "non-dropping-particle" : "", "parse-names" : false, "suffix" : "" }, { "dropping-particle" : "", "family" : "Lindsay", "given" : "M A", "non-dropping-particle" : "", "parse-names" : false, "suffix" : "" } ], "container-title" : "Curr Pharm Des", "edition" : "2008/12/17", "id" : "ITEM-1", "issue" : "34", "issued" : { "date-parts" : [ [ "2008" ] ] }, "language" : "eng", "note" : "Moschos, Sterghios A\nSpinks, Karen\nWilliams, Andrew E\nLindsay, Mark A\nBB/C508234/1/Biotechnology and Biological Sciences Research Council/United Kingdom\nNetherlands\nCurr Pharm Des. 2008;14(34):3620-7.", "page" : "3620-3627", "title" : "Targeting the lung using siRNA and antisense based oligonucleotides", "type" : "article-journal", "volume" : "14" }, "uris" : [ "http://www.mendeley.com/documents/?uuid=25d25656-18e1-4666-ba4f-1f02cde49ad7" ] } ], "mendeley" : { "formattedCitation" : "(Moschos, Spinks, Williams, &amp; Lindsay, 2008)", "plainTextFormattedCitation" : "(Moschos, Spinks, Williams, &amp; Lindsay, 2008)", "previouslyFormattedCitation" : "(Moschos, Spinks, Williams, &amp; Lindsay, 2008)"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(Moschos, Spinks, Williams, &amp; Lindsay, 2008)</w:t>
      </w:r>
      <w:r w:rsidRPr="00C4343E">
        <w:rPr>
          <w:rFonts w:ascii="Calibri" w:hAnsi="Calibri" w:cs="Arial"/>
        </w:rPr>
        <w:fldChar w:fldCharType="end"/>
      </w:r>
      <w:r w:rsidR="00AD046B">
        <w:rPr>
          <w:rFonts w:ascii="Calibri" w:hAnsi="Calibri" w:cs="Arial"/>
        </w:rPr>
        <w:t xml:space="preserve"> expected </w:t>
      </w:r>
      <w:r w:rsidR="006C18FA">
        <w:rPr>
          <w:rFonts w:ascii="Calibri" w:hAnsi="Calibri" w:cs="Arial"/>
        </w:rPr>
        <w:t xml:space="preserve">delivery </w:t>
      </w:r>
      <w:r w:rsidR="000C1571">
        <w:rPr>
          <w:rFonts w:ascii="Calibri" w:hAnsi="Calibri" w:cs="Arial"/>
        </w:rPr>
        <w:t>in</w:t>
      </w:r>
      <w:r w:rsidR="006C18FA">
        <w:rPr>
          <w:rFonts w:ascii="Calibri" w:hAnsi="Calibri" w:cs="Arial"/>
        </w:rPr>
        <w:t xml:space="preserve">to lung cells following topical administration, </w:t>
      </w:r>
      <w:r>
        <w:rPr>
          <w:rFonts w:ascii="Calibri" w:hAnsi="Calibri" w:cs="Arial"/>
        </w:rPr>
        <w:t xml:space="preserve">despite historical data suggesting </w:t>
      </w:r>
      <w:r w:rsidR="006C18FA">
        <w:rPr>
          <w:rFonts w:ascii="Calibri" w:hAnsi="Calibri" w:cs="Arial"/>
        </w:rPr>
        <w:t>quick absorption</w:t>
      </w:r>
      <w:r w:rsidR="00AD046B">
        <w:rPr>
          <w:rFonts w:ascii="Calibri" w:hAnsi="Calibri" w:cs="Arial"/>
        </w:rPr>
        <w:t xml:space="preserve"> </w:t>
      </w:r>
      <w:r w:rsidR="006C18FA">
        <w:rPr>
          <w:rFonts w:ascii="Calibri" w:hAnsi="Calibri" w:cs="Arial"/>
        </w:rPr>
        <w:t>in</w:t>
      </w:r>
      <w:r w:rsidR="00AD046B">
        <w:rPr>
          <w:rFonts w:ascii="Calibri" w:hAnsi="Calibri" w:cs="Arial"/>
        </w:rPr>
        <w:t xml:space="preserve">to </w:t>
      </w:r>
      <w:r w:rsidR="006C18FA">
        <w:rPr>
          <w:rFonts w:ascii="Calibri" w:hAnsi="Calibri" w:cs="Arial"/>
        </w:rPr>
        <w:t xml:space="preserve">the </w:t>
      </w:r>
      <w:r w:rsidR="00AD046B">
        <w:rPr>
          <w:rFonts w:ascii="Calibri" w:hAnsi="Calibri" w:cs="Arial"/>
        </w:rPr>
        <w:t>circulation</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"ISBN" : "0724-8741 (Print)\r0724-8741 (Linking)", "PMID" : "9587955", "abstract" : "PURPOSE: Phosphorothioate antisense oligodeoxynucleotides are promising therapeutic candidates. When given systemically in clinical trials they are administered via slow intravenous infusion to avoid their putative plasma concentration-dependent haemodynamic side-effects. In this study, we have evaluated alternative parenteral and non-parenteral administration routes which have the potential to enhance the therapeutic and commercial potential of these agents. METHODS: The delivery of CGP 64128A by intravenous, subcutaneous, intra-peritoneal, oral and intra-tracheal (pulmonary) routes was investigated in rats using radiolabelled compound and supported by more specific capillary gel electrophoretic analyses. RESULTS: Intravenously administered CGP 64128A exhibited the rapid blood clearance and distinctive tissue distribution which are typical for phosphorothioate oligodeoxynucleotides. Subcutaneous and intraperitoneal administration resulted in significant bioavailabilities (30.9% and 28.1% over 360 min, respectively) and reduced peak plasma levels when compared with intravenous dosing. Administration via the gastrointestinal tract gave negligible bioavailability (&lt; 2%). Intra-tracheal administration resulted in significant but dose-dependent bioavailabilities of 3.2, 16.5 and 39.8% at 0.06, 0.6 and 6.0 mg/kg, respectively. CONCLUSIONS: Significant bioavailabilities of CGP 64128A were achieved following subcutaneous, intra-peritoneal and intra-tracheal administration. Pulmonary delivery represents a promising mode of non-parenteral dosing for antisense oligonucleotides. The dose-dependent increase in pulmonary bioavailability suggests that low doses may be retained in the lungs for local effects whereas higher doses may be suitable for the treatment of a broader spectrum of systemic diseases.", "author" : [ { "dropping-particle" : "", "family" : "Nicklin", "given" : "P L", "non-dropping-particle" : "", "parse-names" : false, "suffix" : "" }, { "dropping-particle" : "", "family" : "Bayley", "given" : "D", "non-dropping-particle" : "", "parse-names" : false, "suffix" : "" }, { "dropping-particle" : "", "family" : "Giddings", "given" : "J", "non-dropping-particle" : "", "parse-names" : false, "suffix" : "" }, { "dropping-particle" : "", "family" : "Craig", "given" : "S J", "non-dropping-particle" : "", "parse-names" : false, "suffix" : "" }, { "dropping-particle" : "", "family" : "Cummins", "given" : "L L", "non-dropping-particle" : "", "parse-names" : false, "suffix" : "" }, { "dropping-particle" : "", "family" : "Hastewell", "given" : "J G", "non-dropping-particle" : "", "parse-names" : false, "suffix" : "" }, { "dropping-particle" : "", "family" : "Phillips", "given" : "J A", "non-dropping-particle" : "", "parse-names" : false, "suffix" : "" } ], "container-title" : "Pharm Res", "edition" : "1998/05/20", "id" : "ITEM-1", "issue" : "4", "issued" : { "date-parts" : [ [ "1998" ] ] }, "language" : "eng", "note" : "Nicklin, P L\nBayley, D\nGiddings, J\nCraig, S J\nCummins, L L\nHastewell, J G\nPhillips, J A\nPharm Res. 1998 Apr;15(4):583-91.", "page" : "583-591", "title" : "Pulmonary bioavailability of a phosphorothioate oligonucleotide (CGP 64128A): comparison with other delivery routes", "type" : "article-journal", "volume" : "15" }, "uris" : [ "http://www.mendeley.com/documents/?uuid=faf0ba59-e4f1-46a0-9972-cb58a9aff5de" ] } ], "mendeley" : { "formattedCitation" : "(Nicklin et al., 1998)", "plainTextFormattedCitation" : "(Nicklin et al., 1998)", "previouslyFormattedCitation" : "(Nicklin et al., 1998)" }, "properties" : { "noteIndex" : 0 }, "schema" : "https://github.com/citation-style-language/schema/raw/master/csl-citation.json" }</w:instrText>
      </w:r>
      <w:r>
        <w:rPr>
          <w:rFonts w:ascii="Calibri" w:hAnsi="Calibri" w:cs="Arial"/>
        </w:rPr>
        <w:fldChar w:fldCharType="separate"/>
      </w:r>
      <w:r w:rsidRPr="00756DAC">
        <w:rPr>
          <w:rFonts w:ascii="Calibri" w:hAnsi="Calibri" w:cs="Arial"/>
          <w:noProof/>
        </w:rPr>
        <w:t>(Nicklin et al., 1998)</w:t>
      </w:r>
      <w:r>
        <w:rPr>
          <w:rFonts w:ascii="Calibri" w:hAnsi="Calibri" w:cs="Arial"/>
        </w:rPr>
        <w:fldChar w:fldCharType="end"/>
      </w:r>
      <w:r>
        <w:rPr>
          <w:rFonts w:ascii="Calibri" w:hAnsi="Calibri" w:cs="Arial"/>
        </w:rPr>
        <w:t>.</w:t>
      </w:r>
      <w:r w:rsidR="00B93A7F">
        <w:rPr>
          <w:rFonts w:ascii="Calibri" w:hAnsi="Calibri" w:cs="Arial"/>
        </w:rPr>
        <w:t xml:space="preserve"> This was principally due to the large size (~12 kDa) of the then fashionable siRNA compared to single stranded antisense</w:t>
      </w:r>
      <w:r w:rsidR="00417547">
        <w:rPr>
          <w:rFonts w:ascii="Calibri" w:hAnsi="Calibri" w:cs="Arial"/>
        </w:rPr>
        <w:t xml:space="preserve"> (~6 kDa)</w:t>
      </w:r>
      <w:r w:rsidR="00B93A7F">
        <w:rPr>
          <w:rFonts w:ascii="Calibri" w:hAnsi="Calibri" w:cs="Arial"/>
        </w:rPr>
        <w:t>.</w:t>
      </w:r>
      <w:r>
        <w:rPr>
          <w:rFonts w:ascii="Calibri" w:hAnsi="Calibri" w:cs="Arial"/>
        </w:rPr>
        <w:t xml:space="preserve"> </w:t>
      </w:r>
      <w:r w:rsidR="006C18FA">
        <w:rPr>
          <w:rFonts w:ascii="Calibri" w:hAnsi="Calibri" w:cs="Arial"/>
        </w:rPr>
        <w:t>Thus,</w:t>
      </w:r>
      <w:r w:rsidRPr="00C4343E">
        <w:rPr>
          <w:rFonts w:ascii="Calibri" w:hAnsi="Calibri" w:cs="Arial"/>
        </w:rPr>
        <w:t xml:space="preserve"> 90-99% reduction of gene expression (i.e. 1-2 logs</w:t>
      </w:r>
      <w:r w:rsidR="00AD046B">
        <w:rPr>
          <w:rFonts w:ascii="Calibri" w:hAnsi="Calibri" w:cs="Arial"/>
        </w:rPr>
        <w:t>) was common</w:t>
      </w:r>
      <w:r w:rsidR="006C18FA">
        <w:rPr>
          <w:rFonts w:ascii="Calibri" w:hAnsi="Calibri" w:cs="Arial"/>
        </w:rPr>
        <w:t xml:space="preserve">ly observed in cell culture whilst </w:t>
      </w:r>
      <w:r w:rsidR="00AD046B" w:rsidRPr="00C4343E">
        <w:rPr>
          <w:rFonts w:ascii="Calibri" w:hAnsi="Calibri" w:cs="Arial"/>
        </w:rPr>
        <w:t>preclinical</w:t>
      </w:r>
      <w:r w:rsidR="00AD046B">
        <w:rPr>
          <w:rFonts w:ascii="Calibri" w:hAnsi="Calibri" w:cs="Arial"/>
        </w:rPr>
        <w:t xml:space="preserve"> </w:t>
      </w:r>
      <w:r w:rsidR="006C18FA">
        <w:rPr>
          <w:rFonts w:ascii="Calibri" w:hAnsi="Calibri" w:cs="Arial"/>
        </w:rPr>
        <w:t xml:space="preserve">studies showed </w:t>
      </w:r>
      <w:r w:rsidR="00AD046B">
        <w:rPr>
          <w:rFonts w:ascii="Calibri" w:hAnsi="Calibri" w:cs="Arial"/>
        </w:rPr>
        <w:t>2-fold (40-60%)</w:t>
      </w:r>
      <w:r w:rsidR="00AD046B" w:rsidRPr="00C4343E">
        <w:rPr>
          <w:rFonts w:ascii="Calibri" w:hAnsi="Calibri" w:cs="Arial"/>
        </w:rPr>
        <w:t xml:space="preserve"> reduction of </w:t>
      </w:r>
      <w:r w:rsidR="00AD046B">
        <w:rPr>
          <w:rFonts w:ascii="Calibri" w:hAnsi="Calibri" w:cs="Arial"/>
        </w:rPr>
        <w:t xml:space="preserve">target </w:t>
      </w:r>
      <w:r w:rsidR="00AD046B" w:rsidRPr="00C4343E">
        <w:rPr>
          <w:rFonts w:ascii="Calibri" w:hAnsi="Calibri" w:cs="Arial"/>
        </w:rPr>
        <w:t>RNA</w:t>
      </w:r>
      <w:r w:rsidR="00AD046B">
        <w:rPr>
          <w:rFonts w:ascii="Calibri" w:hAnsi="Calibri" w:cs="Arial"/>
        </w:rPr>
        <w:t xml:space="preserve"> levels</w:t>
      </w:r>
      <w:r w:rsidR="00D32270">
        <w:rPr>
          <w:rFonts w:ascii="Calibri" w:hAnsi="Calibri" w:cs="Arial"/>
        </w:rPr>
        <w:t xml:space="preserve"> </w:t>
      </w:r>
      <w:r w:rsidR="00B93A7F">
        <w:rPr>
          <w:rFonts w:ascii="Calibri" w:hAnsi="Calibri" w:cs="Arial"/>
        </w:rPr>
        <w:t xml:space="preserve">(summarized in </w:t>
      </w:r>
      <w:r w:rsidR="00B93A7F" w:rsidRPr="00C4343E">
        <w:rPr>
          <w:rFonts w:ascii="Calibri" w:hAnsi="Calibri" w:cs="Arial"/>
        </w:rPr>
        <w:fldChar w:fldCharType="begin" w:fldLock="1"/>
      </w:r>
      <w:r w:rsidR="00C8187C">
        <w:rPr>
          <w:rFonts w:ascii="Calibri" w:hAnsi="Calibri" w:cs="Arial"/>
        </w:rPr>
        <w:instrText>ADDIN CSL_CITATION { "citationItems" : [ { "id" : "ITEM-1", "itemData" : { "ISBN" : "1873-4286 (Electronic)\r1381-6128 (Linking)", "PMID" : "19075738", "abstract" : "The accessibility to topical administration through inhalation, combined with its large surface area, has led to speculation that the lung might offer an ideal target for the application of oligonucleotide based therapeutics. In this review, we shall critically examine the challenges facing antisense and siRNA based approaches for target validation in vivo and as potential therapeutics. In particular, we shall discuss the antisense and siRNA based approaches in relation to factors such as delivery, distribution, stability, off-target effects, unwanted immune responses and the selection of the optimum mRNA targets.", "author" : [ { "dropping-particle" : "", "family" : "Moschos", "given" : "S A", "non-dropping-particle" : "", "parse-names" : false, "suffix" : "" }, { "dropping-particle" : "", "family" : "Spinks", "given" : "K", "non-dropping-particle" : "", "parse-names" : false, "suffix" : "" }, { "dropping-particle" : "", "family" : "Williams", "given" : "A E", "non-dropping-particle" : "", "parse-names" : false, "suffix" : "" }, { "dropping-particle" : "", "family" : "Lindsay", "given" : "M A", "non-dropping-particle" : "", "parse-names" : false, "suffix" : "" } ], "container-title" : "Curr Pharm Des", "edition" : "2008/12/17", "id" : "ITEM-1", "issue" : "34", "issued" : { "date-parts" : [ [ "2008" ] ] }, "language" : "eng", "note" : "Moschos, Sterghios A\nSpinks, Karen\nWilliams, Andrew E\nLindsay, Mark A\nBB/C508234/1/Biotechnology and Biological Sciences Research Council/United Kingdom\nNetherlands\nCurr Pharm Des. 2008;14(34):3620-7.", "page" : "3620-3627", "title" : "Targeting the lung using siRNA and antisense based oligonucleotides", "type" : "article-journal", "volume" : "14" }, "uris" : [ "http://www.mendeley.com/documents/?uuid=25d25656-18e1-4666-ba4f-1f02cde49ad7" ] } ], "mendeley" : { "formattedCitation" : "(Moschos et al., 2008)", "plainTextFormattedCitation" : "(Moschos et al., 2008)", "previouslyFormattedCitation" : "(Moschos et al., 2008)" }, "properties" : { "noteIndex" : 0 }, "schema" : "https://github.com/citation-style-language/schema/raw/master/csl-citation.json" }</w:instrText>
      </w:r>
      <w:r w:rsidR="00B93A7F" w:rsidRPr="00C4343E">
        <w:rPr>
          <w:rFonts w:ascii="Calibri" w:hAnsi="Calibri" w:cs="Arial"/>
        </w:rPr>
        <w:fldChar w:fldCharType="separate"/>
      </w:r>
      <w:r w:rsidR="002A25D9" w:rsidRPr="002A25D9">
        <w:rPr>
          <w:rFonts w:ascii="Calibri" w:hAnsi="Calibri" w:cs="Arial"/>
          <w:noProof/>
        </w:rPr>
        <w:t>(Moschos et al., 2008)</w:t>
      </w:r>
      <w:r w:rsidR="00B93A7F" w:rsidRPr="00C4343E">
        <w:rPr>
          <w:rFonts w:ascii="Calibri" w:hAnsi="Calibri" w:cs="Arial"/>
        </w:rPr>
        <w:fldChar w:fldCharType="end"/>
      </w:r>
      <w:r w:rsidR="00B93A7F">
        <w:rPr>
          <w:rFonts w:ascii="Calibri" w:hAnsi="Calibri" w:cs="Arial"/>
        </w:rPr>
        <w:t xml:space="preserve">). </w:t>
      </w:r>
      <w:r w:rsidR="00D32270">
        <w:rPr>
          <w:rFonts w:ascii="Calibri" w:hAnsi="Calibri" w:cs="Arial"/>
        </w:rPr>
        <w:t xml:space="preserve">Encouragingly, two </w:t>
      </w:r>
      <w:r w:rsidR="00AD046B">
        <w:rPr>
          <w:rFonts w:ascii="Calibri" w:hAnsi="Calibri" w:cs="Arial"/>
        </w:rPr>
        <w:t xml:space="preserve">co-administered </w:t>
      </w:r>
      <w:r w:rsidR="00185291">
        <w:rPr>
          <w:rFonts w:ascii="Calibri" w:hAnsi="Calibri" w:cs="Arial"/>
        </w:rPr>
        <w:t xml:space="preserve">antiviral </w:t>
      </w:r>
      <w:r w:rsidR="00AD046B">
        <w:rPr>
          <w:rFonts w:ascii="Calibri" w:hAnsi="Calibri" w:cs="Arial"/>
        </w:rPr>
        <w:t xml:space="preserve">siRNAs against separate viruses </w:t>
      </w:r>
      <w:r w:rsidR="00D32270">
        <w:rPr>
          <w:rFonts w:ascii="Calibri" w:hAnsi="Calibri" w:cs="Arial"/>
        </w:rPr>
        <w:t>produced a 90-99% reduction in</w:t>
      </w:r>
      <w:r w:rsidR="00AD046B">
        <w:rPr>
          <w:rFonts w:ascii="Calibri" w:hAnsi="Calibri" w:cs="Arial"/>
        </w:rPr>
        <w:t xml:space="preserve"> target </w:t>
      </w:r>
      <w:r w:rsidR="00D32270">
        <w:rPr>
          <w:rFonts w:ascii="Calibri" w:hAnsi="Calibri" w:cs="Arial"/>
        </w:rPr>
        <w:t>mRNA</w:t>
      </w:r>
      <w:r w:rsidR="008C6F2E">
        <w:rPr>
          <w:rFonts w:ascii="Calibri" w:hAnsi="Calibri" w:cs="Arial"/>
        </w:rPr>
        <w:t xml:space="preserve"> and</w:t>
      </w:r>
      <w:r w:rsidR="00AE641D">
        <w:rPr>
          <w:rFonts w:ascii="Calibri" w:hAnsi="Calibri" w:cs="Arial"/>
        </w:rPr>
        <w:t xml:space="preserve"> in tandem</w:t>
      </w:r>
      <w:r w:rsidR="008C6F2E">
        <w:rPr>
          <w:rFonts w:ascii="Calibri" w:hAnsi="Calibri" w:cs="Arial"/>
        </w:rPr>
        <w:t xml:space="preserve">, </w:t>
      </w:r>
      <w:r w:rsidR="00AE641D">
        <w:rPr>
          <w:rFonts w:ascii="Calibri" w:hAnsi="Calibri" w:cs="Arial"/>
        </w:rPr>
        <w:t xml:space="preserve">alpha interferon production – a </w:t>
      </w:r>
      <w:r w:rsidR="008C6F2E">
        <w:rPr>
          <w:rFonts w:ascii="Calibri" w:hAnsi="Calibri" w:cs="Arial"/>
        </w:rPr>
        <w:t>possibly advantageous feature for an antiviral RNAi drug</w:t>
      </w:r>
      <w:r w:rsidR="00D32270">
        <w:rPr>
          <w:rFonts w:ascii="Calibri" w:hAnsi="Calibri" w:cs="Arial"/>
        </w:rPr>
        <w:t xml:space="preserve"> </w:t>
      </w:r>
      <w:r w:rsidR="00AD046B" w:rsidRPr="00C4343E">
        <w:rPr>
          <w:rFonts w:ascii="Calibri" w:hAnsi="Calibri" w:cs="Arial"/>
        </w:rPr>
        <w:fldChar w:fldCharType="begin" w:fldLock="1"/>
      </w:r>
      <w:r w:rsidR="00AD046B" w:rsidRPr="00C4343E">
        <w:rPr>
          <w:rFonts w:ascii="Calibri" w:hAnsi="Calibri" w:cs="Arial"/>
        </w:rPr>
        <w:instrText>ADDIN CSL_CITATION { "citationItems" : [ { "id" : "ITEM-1", "itemData" : { "DOI" : "10.1038/nm1164", "ISSN" : "1078-8956", "PMID" : "15619632", "abstract" : "Respiratory syncytial virus (RSV) and parainfluenza virus (PIV) are two respiratory pathogens of paramount medical significance that exert high mortality. At present, there is no reliable vaccine or antiviral drug against either virus. Using an RNA interference (RNAi) approach, we show that individual as well as joint infection by RSV and PIV can be specifically prevented and inhibited by short interfering RNAs (siRNAs), instilled intranasally in the mouse, with or without transfection reagents. The degree of protection matched the antiviral activity of the siRNA in cell culture, allowing an avenue for quick screening of an efficacious siRNA. When targeting both viruses in a joint infection, excess of one siRNA moderated the inhibitory effect of the other, suggesting competition for the RNAi machinery. Our results suggest that, if properly designed, low dosages of inhaled siRNA might offer a fast, potent and easily administrable antiviral regimen against respiratory viral diseases in humans.", "author" : [ { "dropping-particle" : "", "family" : "Bitko", "given" : "Vira", "non-dropping-particle" : "", "parse-names" : false, "suffix" : "" }, { "dropping-particle" : "", "family" : "Musiyenko", "given" : "Alla", "non-dropping-particle" : "", "parse-names" : false, "suffix" : "" }, { "dropping-particle" : "", "family" : "Shulyayeva", "given" : "Olena", "non-dropping-particle" : "", "parse-names" : false, "suffix" : "" }, { "dropping-particle" : "", "family" : "Barik", "given" : "Sailen", "non-dropping-particle" : "", "parse-names" : false, "suffix" : "" } ], "container-title" : "Nature medicine", "id" : "ITEM-1", "issue" : "1", "issued" : { "date-parts" : [ [ "2005", "1" ] ] }, "page" : "50-5", "title" : "Inhibition of respiratory viruses by nasally administered siRNA.", "title-short" : "Nat Med", "type" : "article-journal", "volume" : "11" }, "uris" : [ "http://www.mendeley.com/documents/?uuid=b7e53d47-71d5-43a8-9e46-2d6f325929e1" ] } ], "mendeley" : { "formattedCitation" : "(Bitko, Musiyenko, Shulyayeva, &amp; Barik, 2005)", "plainTextFormattedCitation" : "(Bitko, Musiyenko, Shulyayeva, &amp; Barik, 2005)", "previouslyFormattedCitation" : "(Bitko, Musiyenko, Shulyayeva, &amp; Barik, 2005)" }, "properties" : { "noteIndex" : 0 }, "schema" : "https://github.com/citation-style-language/schema/raw/master/csl-citation.json" }</w:instrText>
      </w:r>
      <w:r w:rsidR="00AD046B" w:rsidRPr="00C4343E">
        <w:rPr>
          <w:rFonts w:ascii="Calibri" w:hAnsi="Calibri" w:cs="Arial"/>
        </w:rPr>
        <w:fldChar w:fldCharType="separate"/>
      </w:r>
      <w:r w:rsidR="00AD046B" w:rsidRPr="00C4343E">
        <w:rPr>
          <w:rFonts w:ascii="Calibri" w:hAnsi="Calibri" w:cs="Arial"/>
          <w:noProof/>
        </w:rPr>
        <w:t>(Bitko, Musiyenko, Shulyayeva, &amp; Barik, 2005)</w:t>
      </w:r>
      <w:r w:rsidR="00AD046B" w:rsidRPr="00C4343E">
        <w:rPr>
          <w:rFonts w:ascii="Calibri" w:hAnsi="Calibri" w:cs="Arial"/>
        </w:rPr>
        <w:fldChar w:fldCharType="end"/>
      </w:r>
      <w:r w:rsidR="00AD046B">
        <w:rPr>
          <w:rFonts w:ascii="Calibri" w:hAnsi="Calibri" w:cs="Arial"/>
        </w:rPr>
        <w:t xml:space="preserve">. </w:t>
      </w:r>
      <w:r w:rsidR="00D32270">
        <w:rPr>
          <w:rFonts w:ascii="Calibri" w:hAnsi="Calibri" w:cs="Arial"/>
        </w:rPr>
        <w:t>O</w:t>
      </w:r>
      <w:r w:rsidR="00AD046B">
        <w:rPr>
          <w:rFonts w:ascii="Calibri" w:hAnsi="Calibri" w:cs="Arial"/>
        </w:rPr>
        <w:t xml:space="preserve">thers </w:t>
      </w:r>
      <w:r w:rsidR="00AD046B">
        <w:rPr>
          <w:rFonts w:ascii="Calibri" w:hAnsi="Calibri" w:cs="Arial"/>
        </w:rPr>
        <w:lastRenderedPageBreak/>
        <w:t>reported</w:t>
      </w:r>
      <w:r w:rsidRPr="00C4343E">
        <w:rPr>
          <w:rFonts w:ascii="Calibri" w:hAnsi="Calibri" w:cs="Arial"/>
        </w:rPr>
        <w:t xml:space="preserve"> </w:t>
      </w:r>
      <w:r w:rsidR="008C6F2E">
        <w:rPr>
          <w:rFonts w:ascii="Calibri" w:hAnsi="Calibri" w:cs="Arial"/>
        </w:rPr>
        <w:t xml:space="preserve">that </w:t>
      </w:r>
      <w:r w:rsidRPr="00C4343E">
        <w:rPr>
          <w:rFonts w:ascii="Calibri" w:hAnsi="Calibri" w:cs="Arial"/>
        </w:rPr>
        <w:t xml:space="preserve">uptake </w:t>
      </w:r>
      <w:r w:rsidR="00AD046B">
        <w:rPr>
          <w:rFonts w:ascii="Calibri" w:hAnsi="Calibri" w:cs="Arial"/>
        </w:rPr>
        <w:t>across the tissue was not uniform</w:t>
      </w:r>
      <w:r w:rsidR="00552CE7">
        <w:rPr>
          <w:rFonts w:ascii="Calibri" w:hAnsi="Calibri" w:cs="Arial"/>
        </w:rPr>
        <w:t xml:space="preserve"> </w:t>
      </w:r>
      <w:r w:rsidR="00AD046B">
        <w:rPr>
          <w:rFonts w:ascii="Calibri" w:hAnsi="Calibri" w:cs="Arial"/>
        </w:rPr>
        <w:t xml:space="preserve">for both ASO and siRNA encapsulated in a lipid delivery system </w:t>
      </w:r>
      <w:r w:rsidRPr="00C4343E">
        <w:rPr>
          <w:rFonts w:ascii="Calibri" w:hAnsi="Calibri" w:cs="Arial"/>
        </w:rPr>
        <w:fldChar w:fldCharType="begin" w:fldLock="1"/>
      </w:r>
      <w:r w:rsidRPr="00C4343E">
        <w:rPr>
          <w:rFonts w:ascii="Calibri" w:hAnsi="Calibri" w:cs="Arial"/>
        </w:rPr>
        <w:instrText>ADDIN CSL_CITATION { "citationItems" : [ { "id" : "ITEM-1", "itemData" : { "DOI" : "10.1186/1465-9921-7-26", "ISSN" : "1465-993X", "PMID" : "16480492", "abstract" : "BACKGROUND: The cationic lipid Genzyme lipid (GL) 67 is the current \"gold-standard\" for in vivo lung gene transfer. Here, we assessed, if GL67 mediated uptake of siRNAs and asODNs into airway epithelium in vivo.\n\nMETHODS: Anti-lacZ and ENaC (epithelial sodium channel) siRNA and asODN were complexed to GL67 and administered to the mouse airway epithelium in vivo Transfection efficiency and efficacy were assessed using real-time RT-PCR as well as through protein expression and functional studies. In parallel in vitro experiments were carried out to select the most efficient oligonucleotides.\n\nRESULTS: In vitro, GL67 efficiently complexed asODNs and siRNAs, and both were stable in exhaled breath condensate. Importantly, during in vitro selection of functional siRNA and asODN we noted that asODNs accumulated rapidly in the nuclei of transfected cells, whereas siRNAs remained in the cytoplasm, a pattern consistent with their presumed site of action. Following in vivo lung transfection siRNAs were only visible in alveolar macrophages, whereas asODN also transfected alveolar epithelial cells, but no significant uptake into conducting airway epithelial cells was seen. SiRNAs and asODNs targeted to beta-galactosidase reduced betagal mRNA levels in the airway epithelium of K18-lacZ mice by 30% and 60%, respectively. However, this was insufficient to reduce protein expression. In an attempt to increase transfection efficiency of the airway epithelium, we increased contact time of siRNA and asODN using the in vivo mouse nose model. Although highly variable and inefficient, transfection of airway epithelium with asODN, but not siRNA, was now seen. As asODNs more effectively transfected nasal airway epithelial cells, we assessed the effect of asODN against ENaC, a potential therapeutic target in cystic fibrosis; no decrease in ENaC mRNA levels or function was detected.\n\nCONCLUSION: This study suggests that although siRNAs and asODNs can be developed to inhibit gene expression in culture systems and certain organs in vivo, barriers to nucleic acid transfer in airway epithelial cells seen with large DNA molecules may also affect the efficiency of in vivo uptake of small nucleic acid molecules.", "author" : [ { "dropping-particle" : "", "family" : "Griesenbach", "given" : "Uta", "non-dropping-particle" : "", "parse-names" : false, "suffix" : "" }, { "dropping-particle" : "", "family" : "Kitson", "given" : "Chris", "non-dropping-particle" : "", "parse-names" : false, "suffix" : "" }, { "dropping-particle" : "", "family" : "Escudero Garcia", "given" : "Sara", "non-dropping-particle" : "", "parse-names" : false, "suffix" : "" }, { "dropping-particle" : "", "family" : "Farley", "given" : "Raymond", "non-dropping-particle" : "", "parse-names" : false, "suffix" : "" }, { "dropping-particle" : "", "family" : "Singh", "given" : "Charanjit", "non-dropping-particle" : "", "parse-names" : false, "suffix" : "" }, { "dropping-particle" : "", "family" : "Somerton", "given" : "Luci", "non-dropping-particle" : "", "parse-names" : false, "suffix" : "" }, { "dropping-particle" : "", "family" : "Painter", "given" : "Hazel", "non-dropping-particle" : "", "parse-names" : false, "suffix" : "" }, { "dropping-particle" : "", "family" : "Smith", "given" : "Rbecca L", "non-dropping-particle" : "", "parse-names" : false, "suffix" : "" }, { "dropping-particle" : "", "family" : "Gill", "given" : "Deborah R", "non-dropping-particle" : "", "parse-names" : false, "suffix" : "" }, { "dropping-particle" : "", "family" : "Hyde", "given" : "Stephen C", "non-dropping-particle" : "", "parse-names" : false, "suffix" : "" }, { "dropping-particle" : "", "family" : "Chow", "given" : "Yu-Hua", "non-dropping-particle" : "", "parse-names" : false, "suffix" : "" }, { "dropping-particle" : "", "family" : "Hu", "given" : "Jim", "non-dropping-particle" : "", "parse-names" : false, "suffix" : "" }, { "dropping-particle" : "", "family" : "Gray", "given" : "Mike", "non-dropping-particle" : "", "parse-names" : false, "suffix" : "" }, { "dropping-particle" : "", "family" : "Edbrooke", "given" : "Mark", "non-dropping-particle" : "", "parse-names" : false, "suffix" : "" }, { "dropping-particle" : "", "family" : "Ogilvie", "given" : "Varrie", "non-dropping-particle" : "", "parse-names" : false, "suffix" : "" }, { "dropping-particle" : "", "family" : "MacGregor", "given" : "Gordon", "non-dropping-particle" : "", "parse-names" : false, "suffix" : "" }, { "dropping-particle" : "", "family" : "Scheule", "given" : "Ronald K", "non-dropping-particle" : "", "parse-names" : false, "suffix" : "" }, { "dropping-particle" : "", "family" : "Cheng", "given" : "Seng H", "non-dropping-particle" : "", "parse-names" : false, "suffix" : "" }, { "dropping-particle" : "", "family" : "Caplen", "given" : "Natasha J", "non-dropping-particle" : "", "parse-names" : false, "suffix" : "" }, { "dropping-particle" : "", "family" : "Alton", "given" : "Eric W F W", "non-dropping-particle" : "", "parse-names" : false, "suffix" : "" } ], "container-title" : "Respiratory research", "id" : "ITEM-1", "issued" : { "date-parts" : [ [ "2006", "1" ] ] }, "page" : "26", "title" : "Inefficient cationic lipid-mediated siRNA and antisense oligonucleotide transfer to airway epithelial cells in vivo.", "type" : "article-journal", "volume" : "7" }, "uris" : [ "http://www.mendeley.com/documents/?uuid=0614ff72-87ff-4c89-adb7-0737d8fd4dbb" ] } ], "mendeley" : { "formattedCitation" : "(Griesenbach et al., 2006)", "plainTextFormattedCitation" : "(Griesenbach et al., 2006)", "previouslyFormattedCitation" : "(Griesenbach et al., 2006)"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(Griesenbach et al., 2006)</w:t>
      </w:r>
      <w:r w:rsidRPr="00C4343E">
        <w:rPr>
          <w:rFonts w:ascii="Calibri" w:hAnsi="Calibri" w:cs="Arial"/>
        </w:rPr>
        <w:fldChar w:fldCharType="end"/>
      </w:r>
      <w:r w:rsidR="00AD046B">
        <w:rPr>
          <w:rFonts w:ascii="Calibri" w:hAnsi="Calibri" w:cs="Arial"/>
        </w:rPr>
        <w:t xml:space="preserve">, and </w:t>
      </w:r>
      <w:r w:rsidR="00185291">
        <w:rPr>
          <w:rFonts w:ascii="Calibri" w:hAnsi="Calibri" w:cs="Arial"/>
        </w:rPr>
        <w:t>CPP conjugation</w:t>
      </w:r>
      <w:r w:rsidRPr="00C4343E">
        <w:rPr>
          <w:rFonts w:ascii="Calibri" w:hAnsi="Calibri" w:cs="Arial"/>
        </w:rPr>
        <w:t xml:space="preserve"> </w:t>
      </w:r>
      <w:r w:rsidR="00185291">
        <w:rPr>
          <w:rFonts w:ascii="Calibri" w:hAnsi="Calibri" w:cs="Arial"/>
        </w:rPr>
        <w:t xml:space="preserve">to siRNA </w:t>
      </w:r>
      <w:r w:rsidRPr="00C4343E">
        <w:rPr>
          <w:rFonts w:ascii="Calibri" w:hAnsi="Calibri" w:cs="Arial"/>
        </w:rPr>
        <w:t xml:space="preserve">also </w:t>
      </w:r>
      <w:r>
        <w:rPr>
          <w:rFonts w:ascii="Calibri" w:hAnsi="Calibri" w:cs="Arial"/>
        </w:rPr>
        <w:t>yielded</w:t>
      </w:r>
      <w:r w:rsidRPr="00C4343E">
        <w:rPr>
          <w:rFonts w:ascii="Calibri" w:hAnsi="Calibri" w:cs="Arial"/>
        </w:rPr>
        <w:t xml:space="preserve"> mediocre effects </w:t>
      </w:r>
      <w:r w:rsidRPr="00C4343E">
        <w:rPr>
          <w:rFonts w:ascii="Calibri" w:hAnsi="Calibri" w:cs="Arial"/>
        </w:rPr>
        <w:fldChar w:fldCharType="begin" w:fldLock="1"/>
      </w:r>
      <w:r w:rsidRPr="00C4343E">
        <w:rPr>
          <w:rFonts w:ascii="Calibri" w:hAnsi="Calibri" w:cs="Arial"/>
        </w:rPr>
        <w:instrText>ADDIN CSL_CITATION { "citationItems" : [ { "id" : "ITEM-1", "itemData" : { "DOI" : "10.1021/bc070077d", "ISBN" : "1043-1802 (Print)\r1043-1802 (Linking)", "PMID" : "17711319", "abstract" : "The therapeutic application of siRNA shows promise as an alternative approach to small-molecule inhibitors for the treatment of human disease. However, the major obstacle to its use has been the difficulty in delivering these large anionic molecules in vivo. In this study, we have investigated whether siRNA-mediated knockdown of p38 MAP kinase mRNA in mouse lung is influenced by conjugation to the nonviral delivery vector cholesterol and the cell penetrating peptides (CPP) TAT(48-60) and penetratin. Initial studies in the mouse fibroblast L929 cell line showed that siRNA conjugated to cholesterol, TAT(48-60), and penetratin, but not siRNA alone, achieved a limited reduction of p38 MAP kinase mRNA expression. Intratracheal administration of siRNA resulted in localization within macrophages and scattered epithelial cells and produced a 30-45% knockdown of p38 MAP kinase mRNA at 6 h. As with increasing doses of siRNA, conjugation to cholesterol improved upon the duration but not the magnitude of mRNA knockdown, while penetratin and TAT(48-60) had no effect. Importantly, administration of the penetratin or TAT(48-60) peptides alone caused significant reduction in p38 MAP kinase mRNA expression, while the penetratin-siRNA conjugate activated the innate immune response. Overall, these studies suggest that conjugation to cholesterol may extend but not increase siRNA-mediated p38 MAP kinase mRNA knockdown in the lung. Furthermore, the use of CPP may be limited due to as yet uncharacterized effects upon gene expression and a potential for immune activation.", "author" : [ { "dropping-particle" : "", "family" : "Moschos", "given" : "S A", "non-dropping-particle" : "", "parse-names" : false, "suffix" : "" }, { "dropping-particle" : "", "family" : "Jones", "given" : "S W", "non-dropping-particle" : "", "parse-names" : false, "suffix" : "" }, { "dropping-particle" : "", "family" : "Perry", "given" : "M M", "non-dropping-particle" : "", "parse-names" : false, "suffix" : "" }, { "dropping-particle" : "", "family" : "Williams", "given" : "A E", "non-dropping-particle" : "", "parse-names" : false, "suffix" : "" }, { "dropping-particle" : "", "family" : "Erjefalt", "given" : "J S", "non-dropping-particle" : "", "parse-names" : false, "suffix" : "" }, { "dropping-particle" : "", "family" : "Turner", "given" : "J J", "non-dropping-particle" : "", "parse-names" : false, "suffix" : "" }, { "dropping-particle" : "", "family" : "Barnes", "given" : "P J", "non-dropping-particle" : "", "parse-names" : false, "suffix" : "" }, { "dropping-particle" : "", "family" : "Sproat", "given" : "B S", "non-dropping-particle" : "", "parse-names" : false, "suffix" : "" }, { "dropping-particle" : "", "family" : "Gait", "given" : "M J", "non-dropping-particle" : "", "parse-names" : false, "suffix" : "" }, { "dropping-particle" : "", "family" : "Lindsay", "given" : "M A", "non-dropping-particle" : "", "parse-names" : false, "suffix" : "" } ], "container-title" : "Bioconjug Chem", "edition" : "2007/08/23", "id" : "ITEM-1", "issue" : "5", "issued" : { "date-parts" : [ [ "2007" ] ] }, "language" : "eng", "note" : "Moschos, Sterghios Athanasios\nJones, Simon Wyn\nPerry, Mark Michael\nWilliams, Andrew Evan\nErjefalt, Jonas Sten\nTurner, John James\nBarnes, Peter John\nSproat, Brian Stephen\nGait, Michael John\nLindsay, Mark Andrew\n076111/Wellcome Trust/United Kingdom\nBB/C508234/1/Biotechnology and Biological Sciences Research Council/United Kingdom\nBioconjug Chem. 2007 Sep-Oct;18(5):1450-9. Epub 2007 Aug 21.", "page" : "1450-1459", "title" : "Lung delivery studies using siRNA conjugated to TAT(48-60) and penetratin reveal peptide induced reduction in gene expression and induction of innate immunity", "type" : "article-journal", "volume" : "18" }, "uris" : [ "http://www.mendeley.com/documents/?uuid=adc9266f-3899-4f79-9be6-a0804058ada0" ] } ], "mendeley" : { "formattedCitation" : "(Moschos et al., 2007)", "plainTextFormattedCitation" : "(Moschos et al., 2007)", "previouslyFormattedCitation" : "(Moschos et al., 2007)"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(Moschos et al., 2007)</w:t>
      </w:r>
      <w:r w:rsidRPr="00C4343E">
        <w:rPr>
          <w:rFonts w:ascii="Calibri" w:hAnsi="Calibri" w:cs="Arial"/>
        </w:rPr>
        <w:fldChar w:fldCharType="end"/>
      </w:r>
      <w:r w:rsidRPr="00C4343E">
        <w:rPr>
          <w:rFonts w:ascii="Calibri" w:hAnsi="Calibri" w:cs="Arial"/>
        </w:rPr>
        <w:t xml:space="preserve">. </w:t>
      </w:r>
      <w:r w:rsidR="00AD046B">
        <w:rPr>
          <w:rFonts w:ascii="Calibri" w:hAnsi="Calibri" w:cs="Arial"/>
        </w:rPr>
        <w:t>T</w:t>
      </w:r>
      <w:r w:rsidRPr="00C4343E">
        <w:rPr>
          <w:rFonts w:ascii="Calibri" w:hAnsi="Calibri" w:cs="Arial"/>
        </w:rPr>
        <w:t xml:space="preserve">he </w:t>
      </w:r>
      <w:r w:rsidR="00AD046B">
        <w:rPr>
          <w:rFonts w:ascii="Calibri" w:hAnsi="Calibri" w:cs="Arial"/>
        </w:rPr>
        <w:t>inconsistencies were</w:t>
      </w:r>
      <w:r w:rsidRPr="00C4343E">
        <w:rPr>
          <w:rFonts w:ascii="Calibri" w:hAnsi="Calibri" w:cs="Arial"/>
        </w:rPr>
        <w:t xml:space="preserve"> interpreted as experimental </w:t>
      </w:r>
      <w:r w:rsidR="00AD046B">
        <w:rPr>
          <w:rFonts w:ascii="Calibri" w:hAnsi="Calibri" w:cs="Arial"/>
        </w:rPr>
        <w:t xml:space="preserve">setup </w:t>
      </w:r>
      <w:r w:rsidRPr="00C4343E">
        <w:rPr>
          <w:rFonts w:ascii="Calibri" w:hAnsi="Calibri" w:cs="Arial"/>
        </w:rPr>
        <w:t xml:space="preserve">differences </w:t>
      </w:r>
      <w:r>
        <w:rPr>
          <w:rFonts w:ascii="Calibri" w:hAnsi="Calibri" w:cs="Arial"/>
        </w:rPr>
        <w:t xml:space="preserve">and </w:t>
      </w:r>
      <w:r w:rsidR="00185291">
        <w:rPr>
          <w:rFonts w:ascii="Calibri" w:hAnsi="Calibri" w:cs="Arial"/>
        </w:rPr>
        <w:t xml:space="preserve">variability </w:t>
      </w:r>
      <w:r w:rsidR="00AD046B">
        <w:rPr>
          <w:rFonts w:ascii="Calibri" w:hAnsi="Calibri" w:cs="Arial"/>
        </w:rPr>
        <w:t xml:space="preserve">between </w:t>
      </w:r>
      <w:r>
        <w:rPr>
          <w:rFonts w:ascii="Calibri" w:hAnsi="Calibri" w:cs="Arial"/>
        </w:rPr>
        <w:t>constitutively expressed vs. induced RNA targets</w:t>
      </w:r>
      <w:r w:rsidRPr="00C4343E">
        <w:rPr>
          <w:rFonts w:ascii="Calibri" w:hAnsi="Calibri" w:cs="Arial"/>
        </w:rPr>
        <w:t xml:space="preserve">. </w:t>
      </w:r>
      <w:r w:rsidR="00D32270">
        <w:rPr>
          <w:rFonts w:ascii="Calibri" w:hAnsi="Calibri" w:cs="Arial"/>
        </w:rPr>
        <w:t>Based upon these initial observations, a number of oligonucleotide</w:t>
      </w:r>
      <w:r w:rsidR="00AE641D">
        <w:rPr>
          <w:rFonts w:ascii="Calibri" w:hAnsi="Calibri" w:cs="Arial"/>
        </w:rPr>
        <w:t>-</w:t>
      </w:r>
      <w:r w:rsidR="00D32270">
        <w:rPr>
          <w:rFonts w:ascii="Calibri" w:hAnsi="Calibri" w:cs="Arial"/>
        </w:rPr>
        <w:t>based therapeutics have been developed/tested in clinical studie</w:t>
      </w:r>
      <w:r w:rsidR="00AE641D">
        <w:rPr>
          <w:rFonts w:ascii="Calibri" w:hAnsi="Calibri" w:cs="Arial"/>
        </w:rPr>
        <w:t>s</w:t>
      </w:r>
      <w:r w:rsidR="00D32270">
        <w:rPr>
          <w:rFonts w:ascii="Calibri" w:hAnsi="Calibri" w:cs="Arial"/>
        </w:rPr>
        <w:t>.</w:t>
      </w:r>
    </w:p>
    <w:p w14:paraId="5BC4E3F3" w14:textId="77777777" w:rsidR="00AE56C9" w:rsidRPr="00F2418F" w:rsidRDefault="00AE56C9" w:rsidP="005837A4">
      <w:pPr>
        <w:spacing w:line="480" w:lineRule="auto"/>
        <w:jc w:val="both"/>
        <w:rPr>
          <w:rFonts w:ascii="Calibri" w:hAnsi="Calibri" w:cs="Arial"/>
          <w:highlight w:val="yellow"/>
        </w:rPr>
      </w:pPr>
    </w:p>
    <w:p w14:paraId="3C93DA48" w14:textId="42BC06B7" w:rsidR="006E74AE" w:rsidRDefault="00A25217" w:rsidP="005837A4">
      <w:pPr>
        <w:pStyle w:val="Heading2"/>
      </w:pPr>
      <w:r>
        <w:t>3.1</w:t>
      </w:r>
      <w:r>
        <w:tab/>
      </w:r>
      <w:r w:rsidR="00012E98">
        <w:t>RNAi mediators: ALN-RSV01</w:t>
      </w:r>
      <w:r w:rsidR="00D707C3">
        <w:t xml:space="preserve"> </w:t>
      </w:r>
      <w:r w:rsidR="00417547">
        <w:t>against</w:t>
      </w:r>
      <w:r w:rsidR="00D707C3">
        <w:t xml:space="preserve"> RSV infection</w:t>
      </w:r>
      <w:r w:rsidR="004075E7">
        <w:t>.</w:t>
      </w:r>
    </w:p>
    <w:p w14:paraId="4370BB14" w14:textId="77777777" w:rsidR="00D32270" w:rsidRPr="00D32270" w:rsidRDefault="00D32270" w:rsidP="005837A4">
      <w:pPr>
        <w:spacing w:line="480" w:lineRule="auto"/>
      </w:pPr>
    </w:p>
    <w:p w14:paraId="2B69D62B" w14:textId="19888D39" w:rsidR="00AE56C9" w:rsidRDefault="00D32270" w:rsidP="005837A4">
      <w:pPr>
        <w:spacing w:line="480" w:lineRule="auto"/>
        <w:jc w:val="both"/>
        <w:rPr>
          <w:rFonts w:ascii="Calibri" w:hAnsi="Calibri" w:cs="Arial"/>
        </w:rPr>
      </w:pPr>
      <w:r>
        <w:rPr>
          <w:rFonts w:ascii="Calibri" w:hAnsi="Calibri" w:cs="Arial"/>
        </w:rPr>
        <w:t>Presently, t</w:t>
      </w:r>
      <w:r w:rsidR="006E74AE" w:rsidRPr="006E74AE">
        <w:rPr>
          <w:rFonts w:ascii="Calibri" w:hAnsi="Calibri" w:cs="Arial"/>
        </w:rPr>
        <w:t>he most clinically advanc</w:t>
      </w:r>
      <w:r w:rsidR="008C6F2E">
        <w:rPr>
          <w:rFonts w:ascii="Calibri" w:hAnsi="Calibri" w:cs="Arial"/>
        </w:rPr>
        <w:t xml:space="preserve">ed RNAi mediator </w:t>
      </w:r>
      <w:r w:rsidR="00417547">
        <w:rPr>
          <w:rFonts w:ascii="Calibri" w:hAnsi="Calibri" w:cs="Arial"/>
        </w:rPr>
        <w:t xml:space="preserve">targeting the respiratory system </w:t>
      </w:r>
      <w:r w:rsidR="006E74AE" w:rsidRPr="006E74AE">
        <w:rPr>
          <w:rFonts w:ascii="Calibri" w:hAnsi="Calibri" w:cs="Arial"/>
        </w:rPr>
        <w:t xml:space="preserve">remains Alnylam’s ALN-RSV01, a first generation, unmodified siRNA against a conserved region of the nucleoprotein gene encoded in the RNA genome of respiratory syncytial virus (RSV) </w:t>
      </w:r>
      <w:r w:rsidR="006E74AE" w:rsidRPr="006E74AE">
        <w:rPr>
          <w:rFonts w:ascii="Calibri" w:hAnsi="Calibri" w:cs="Arial"/>
        </w:rPr>
        <w:fldChar w:fldCharType="begin" w:fldLock="1"/>
      </w:r>
      <w:r w:rsidR="006E74AE" w:rsidRPr="006E74AE">
        <w:rPr>
          <w:rFonts w:ascii="Calibri" w:hAnsi="Calibri" w:cs="Arial"/>
        </w:rPr>
        <w:instrText>ADDIN CSL_CITATION { "citationItems" : [ { "id" : "ITEM-1", "itemData" : { "DOI" : "10.1016/j.antiviral.2007.11.009", "ISSN" : "0166-3542", "PMID" : "18242722", "abstract" : "Small interfering RNAs (siRNAs) work through RNA interference (RNAi), the natural RNA inhibitory pathway, to down-regulate protein production by inhibiting targeted mRNA in a sequence-specific manner. ALN-RSV01 is an siRNA directed against the mRNA encoding the N-protein of respiratory syncytial virus (RSV) that exhibits specific in vitro and in vivo anti-RSV activity. The results of two safety and tolerability studies with ALN-RSV01 involving 101 healthy adults (65 active, 36 placebo, single- and multiple dose, observer-blind, randomized dose-escalation) are described. Intranasal administration of ALN-RSV01 was well tolerated over a dose range up through 150mg as a single dose and for five daily doses. Adverse events were similar in frequency and severity to placebo (normal saline) and were transient, mild to moderate, with no dose-dependent trend. The frequency or severity of adverse events did not increase with increasing ALN-RSV01 exposure. All subjects completed all treatments and assessments with no early withdrawals or serious adverse events. Physical examinations, vital signs, ECGs and laboratory tests were normal. Systemic bioavailability of ALN-RSV01 was minimal. ALN-RSV01 appears safe and well tolerated when delivered intranasally and is a promising therapeutic candidate for further clinical development.", "author" : [ { "dropping-particle" : "", "family" : "DeVincenzo", "given" : "John", "non-dropping-particle" : "", "parse-names" : false, "suffix" : "" }, { "dropping-particle" : "", "family" : "Cehelsky", "given" : "Jeffrey E", "non-dropping-particle" : "", "parse-names" : false, "suffix" : "" }, { "dropping-particle" : "", "family" : "Alvarez", "given" : "Rene", "non-dropping-particle" : "", "parse-names" : false, "suffix" : "" }, { "dropping-particle" : "", "family" : "Elbashir", "given" : "Sayda", "non-dropping-particle" : "", "parse-names" : false, "suffix" : "" }, { "dropping-particle" : "", "family" : "Harborth", "given" : "Jens", "non-dropping-particle" : "", "parse-names" : false, "suffix" : "" }, { "dropping-particle" : "", "family" : "Toudjarska", "given" : "Iva", "non-dropping-particle" : "", "parse-names" : false, "suffix" : "" }, { "dropping-particle" : "", "family" : "Nechev", "given" : "Lubomir", "non-dropping-particle" : "", "parse-names" : false, "suffix" : "" }, { "dropping-particle" : "", "family" : "Murugaiah", "given" : "Veeravagu", "non-dropping-particle" : "", "parse-names" : false, "suffix" : "" }, { "dropping-particle" : "", "family" : "Vliet", "given" : "Andre", "non-dropping-particle" : "Van", "parse-names" : false, "suffix" : "" }, { "dropping-particle" : "", "family" : "Vaishnaw", "given" : "Akshay K", "non-dropping-particle" : "", "parse-names" : false, "suffix" : "" }, { "dropping-particle" : "", "family" : "Meyers", "given" : "Rachel", "non-dropping-particle" : "", "parse-names" : false, "suffix" : "" } ], "container-title" : "Antiviral research", "id" : "ITEM-1", "issue" : "3", "issued" : { "date-parts" : [ [ "2008", "3" ] ] }, "page" : "225-31", "title" : "Evaluation of the safety, tolerability and pharmacokinetics of ALN-RSV01, a novel RNAi antiviral therapeutic directed against respiratory syncytial virus (RSV).", "type" : "article-journal", "volume" : "77" }, "uris" : [ "http://www.mendeley.com/documents/?uuid=9ee452bc-6de8-4ccd-a725-01b79398ee48" ] } ], "mendeley" : { "formattedCitation" : "(DeVincenzo et al., 2008)", "plainTextFormattedCitation" : "(DeVincenzo et al., 2008)", "previouslyFormattedCitation" : "(DeVincenzo et al., 2008)" }, "properties" : { "noteIndex" : 0 }, "schema" : "https://github.com/citation-style-language/schema/raw/master/csl-citation.json" }</w:instrText>
      </w:r>
      <w:r w:rsidR="006E74AE" w:rsidRPr="006E74AE">
        <w:rPr>
          <w:rFonts w:ascii="Calibri" w:hAnsi="Calibri" w:cs="Arial"/>
        </w:rPr>
        <w:fldChar w:fldCharType="separate"/>
      </w:r>
      <w:r w:rsidR="006E74AE" w:rsidRPr="006E74AE">
        <w:rPr>
          <w:rFonts w:ascii="Calibri" w:hAnsi="Calibri" w:cs="Arial"/>
          <w:noProof/>
        </w:rPr>
        <w:t>(DeVincenzo et al., 2008)</w:t>
      </w:r>
      <w:r w:rsidR="006E74AE" w:rsidRPr="006E74AE">
        <w:rPr>
          <w:rFonts w:ascii="Calibri" w:hAnsi="Calibri" w:cs="Arial"/>
        </w:rPr>
        <w:fldChar w:fldCharType="end"/>
      </w:r>
      <w:r w:rsidR="006E74AE" w:rsidRPr="006E74AE">
        <w:rPr>
          <w:rFonts w:ascii="Calibri" w:hAnsi="Calibri" w:cs="Arial"/>
        </w:rPr>
        <w:t xml:space="preserve">. Dosing the airways was expected to match the respiratory epithelium tropism of the virus </w:t>
      </w:r>
      <w:r w:rsidR="006E74AE" w:rsidRPr="006E74AE">
        <w:rPr>
          <w:rFonts w:ascii="Calibri" w:hAnsi="Calibri" w:cs="Arial"/>
        </w:rPr>
        <w:fldChar w:fldCharType="begin" w:fldLock="1"/>
      </w:r>
      <w:r w:rsidR="006E74AE" w:rsidRPr="006E74AE">
        <w:rPr>
          <w:rFonts w:ascii="Calibri" w:hAnsi="Calibri" w:cs="Arial"/>
        </w:rPr>
        <w:instrText>ADDIN CSL_CITATION { "citationItems" : [ { "id" : "ITEM-1", "itemData" : { "DOI" : "10.1038/modpathol.3800725", "ISSN" : "0893-3952", "PMID" : "17143259", "abstract" : "The pathology of respiratory syncytial virus (RSV) infection was evaluated 1 day after an outpatient diagnosis of RSV in a child who died in a motor vehicle accident. We then identified 11 children with bronchiolitis from the Vanderbilt University autopsy log between 1925 and 1959 who met criteria for possible RSV infection in the preintensivist era. Their tissue was re-embedded and evaluated by routine hematoxylin and eosin and PAS staining and immunostaining with RSV-specific antibodies. Tissue from three cases was immunostain-positive for RSV antigen and was examined in detail. Small bronchiole epithelium was circumferentially infected, but basal cells were spared. Both type 1 and 2 alveolar pneumocytes were also infected. Although, not possible for archival cases, tissue from the index case was evaluated by immunostaining with antibodies to define the cellular components of the inflammatory response. Inflammatory infiltrates were centered on bronchial and pulmonary arterioles and consisted of primarily CD69+ monocytes, CD3+ double-negative T cells, CD8+ T cells, and neutrophils. The neutrophil distribution was predominantly between arterioles and airways, while the mononuclear cell distribution was in both airways and lung parenchyma. Most inflammatory cells were concentrated submuscular to the airway, but many cells traversed the smooth muscle into the airway epithelium and lumen. Airway obstruction was a prominent feature in all cases attributed to epithelial and inflammatory cell debris mixed with fibrin, mucus, and edema, and compounded by compression from hyperplastic lymphoid follicles. These findings inform our understanding of RSV pathogenesis and may facilitate the development of new approaches for prevention and treatment.", "author" : [ { "dropping-particle" : "", "family" : "Johnson", "given" : "Joyce E", "non-dropping-particle" : "", "parse-names" : false, "suffix" : "" }, { "dropping-particle" : "", "family" : "Gonzales", "given" : "Ricardo A", "non-dropping-particle" : "", "parse-names" : false, "suffix" : "" }, { "dropping-particle" : "", "family" : "Olson", "given" : "Sandy J", "non-dropping-particle" : "", "parse-names" : false, "suffix" : "" }, { "dropping-particle" : "", "family" : "Wright", "given" : "Peter F", "non-dropping-particle" : "", "parse-names" : false, "suffix" : "" }, { "dropping-particle" : "", "family" : "Graham", "given" : "Barney S", "non-dropping-particle" : "", "parse-names" : false, "suffix" : "" } ], "container-title" : "Modern pathology : an official journal of the United States and Canadian Academy of Pathology, Inc", "id" : "ITEM-1", "issue" : "1", "issued" : { "date-parts" : [ [ "2007", "1" ] ] }, "page" : "108-19", "title" : "The histopathology of fatal untreated human respiratory syncytial virus infection.", "type" : "article-journal", "volume" : "20" }, "uris" : [ "http://www.mendeley.com/documents/?uuid=12533505-1d1c-4efb-8cc9-3015eec191c7" ] } ], "mendeley" : { "formattedCitation" : "(Johnson, Gonzales, Olson, Wright, &amp; Graham, 2007)", "plainTextFormattedCitation" : "(Johnson, Gonzales, Olson, Wright, &amp; Graham, 2007)", "previouslyFormattedCitation" : "(Johnson, Gonzales, Olson, Wright, &amp; Graham, 2007)" }, "properties" : { "noteIndex" : 0 }, "schema" : "https://github.com/citation-style-language/schema/raw/master/csl-citation.json" }</w:instrText>
      </w:r>
      <w:r w:rsidR="006E74AE" w:rsidRPr="006E74AE">
        <w:rPr>
          <w:rFonts w:ascii="Calibri" w:hAnsi="Calibri" w:cs="Arial"/>
        </w:rPr>
        <w:fldChar w:fldCharType="separate"/>
      </w:r>
      <w:r w:rsidR="006E74AE" w:rsidRPr="006E74AE">
        <w:rPr>
          <w:rFonts w:ascii="Calibri" w:hAnsi="Calibri" w:cs="Arial"/>
          <w:noProof/>
        </w:rPr>
        <w:t>(Johnson, Gonzales, Olson, Wright, &amp; Graham, 2007)</w:t>
      </w:r>
      <w:r w:rsidR="006E74AE" w:rsidRPr="006E74AE">
        <w:rPr>
          <w:rFonts w:ascii="Calibri" w:hAnsi="Calibri" w:cs="Arial"/>
        </w:rPr>
        <w:fldChar w:fldCharType="end"/>
      </w:r>
      <w:r w:rsidR="006E74AE" w:rsidRPr="006E74AE">
        <w:rPr>
          <w:rFonts w:ascii="Calibri" w:hAnsi="Calibri" w:cs="Arial"/>
        </w:rPr>
        <w:t xml:space="preserve">, in a well-defined patient population not catered for by any on-label treatment alternatives </w:t>
      </w:r>
      <w:r w:rsidR="006E74AE" w:rsidRPr="006E74AE">
        <w:rPr>
          <w:rFonts w:ascii="Calibri" w:hAnsi="Calibri" w:cs="Arial"/>
        </w:rPr>
        <w:fldChar w:fldCharType="begin" w:fldLock="1"/>
      </w:r>
      <w:r w:rsidR="006E74AE" w:rsidRPr="006E74AE">
        <w:rPr>
          <w:rFonts w:ascii="Calibri" w:hAnsi="Calibri" w:cs="Arial"/>
        </w:rPr>
        <w:instrText>ADDIN CSL_CITATION { "citationItems" : [ { "id" : "ITEM-1", "itemData" : { "DOI" : "10.1016/j.antiviral.2007.11.009", "ISSN" : "0166-3542", "PMID" : "18242722", "abstract" : "Small interfering RNAs (siRNAs) work through RNA interference (RNAi), the natural RNA inhibitory pathway, to down-regulate protein production by inhibiting targeted mRNA in a sequence-specific manner. ALN-RSV01 is an siRNA directed against the mRNA encoding the N-protein of respiratory syncytial virus (RSV) that exhibits specific in vitro and in vivo anti-RSV activity. The results of two safety and tolerability studies with ALN-RSV01 involving 101 healthy adults (65 active, 36 placebo, single- and multiple dose, observer-blind, randomized dose-escalation) are described. Intranasal administration of ALN-RSV01 was well tolerated over a dose range up through 150mg as a single dose and for five daily doses. Adverse events were similar in frequency and severity to placebo (normal saline) and were transient, mild to moderate, with no dose-dependent trend. The frequency or severity of adverse events did not increase with increasing ALN-RSV01 exposure. All subjects completed all treatments and assessments with no early withdrawals or serious adverse events. Physical examinations, vital signs, ECGs and laboratory tests were normal. Systemic bioavailability of ALN-RSV01 was minimal. ALN-RSV01 appears safe and well tolerated when delivered intranasally and is a promising therapeutic candidate for further clinical development.", "author" : [ { "dropping-particle" : "", "family" : "DeVincenzo", "given" : "John", "non-dropping-particle" : "", "parse-names" : false, "suffix" : "" }, { "dropping-particle" : "", "family" : "Cehelsky", "given" : "Jeffrey E", "non-dropping-particle" : "", "parse-names" : false, "suffix" : "" }, { "dropping-particle" : "", "family" : "Alvarez", "given" : "Rene", "non-dropping-particle" : "", "parse-names" : false, "suffix" : "" }, { "dropping-particle" : "", "family" : "Elbashir", "given" : "Sayda", "non-dropping-particle" : "", "parse-names" : false, "suffix" : "" }, { "dropping-particle" : "", "family" : "Harborth", "given" : "Jens", "non-dropping-particle" : "", "parse-names" : false, "suffix" : "" }, { "dropping-particle" : "", "family" : "Toudjarska", "given" : "Iva", "non-dropping-particle" : "", "parse-names" : false, "suffix" : "" }, { "dropping-particle" : "", "family" : "Nechev", "given" : "Lubomir", "non-dropping-particle" : "", "parse-names" : false, "suffix" : "" }, { "dropping-particle" : "", "family" : "Murugaiah", "given" : "Veeravagu", "non-dropping-particle" : "", "parse-names" : false, "suffix" : "" }, { "dropping-particle" : "", "family" : "Vliet", "given" : "Andre", "non-dropping-particle" : "Van", "parse-names" : false, "suffix" : "" }, { "dropping-particle" : "", "family" : "Vaishnaw", "given" : "Akshay K", "non-dropping-particle" : "", "parse-names" : false, "suffix" : "" }, { "dropping-particle" : "", "family" : "Meyers", "given" : "Rachel", "non-dropping-particle" : "", "parse-names" : false, "suffix" : "" } ], "container-title" : "Antiviral research", "id" : "ITEM-1", "issue" : "3", "issued" : { "date-parts" : [ [ "2008", "3" ] ] }, "page" : "225-31", "title" : "Evaluation of the safety, tolerability and pharmacokinetics of ALN-RSV01, a novel RNAi antiviral therapeutic directed against respiratory syncytial virus (RSV).", "type" : "article-journal", "volume" : "77" }, "uris" : [ "http://www.mendeley.com/documents/?uuid=9ee452bc-6de8-4ccd-a725-01b79398ee48" ] } ], "mendeley" : { "formattedCitation" : "(DeVincenzo et al., 2008)", "plainTextFormattedCitation" : "(DeVincenzo et al., 2008)", "previouslyFormattedCitation" : "(DeVincenzo et al., 2008)" }, "properties" : { "noteIndex" : 0 }, "schema" : "https://github.com/citation-style-language/schema/raw/master/csl-citation.json" }</w:instrText>
      </w:r>
      <w:r w:rsidR="006E74AE" w:rsidRPr="006E74AE">
        <w:rPr>
          <w:rFonts w:ascii="Calibri" w:hAnsi="Calibri" w:cs="Arial"/>
        </w:rPr>
        <w:fldChar w:fldCharType="separate"/>
      </w:r>
      <w:r w:rsidR="006E74AE" w:rsidRPr="006E74AE">
        <w:rPr>
          <w:rFonts w:ascii="Calibri" w:hAnsi="Calibri" w:cs="Arial"/>
          <w:noProof/>
        </w:rPr>
        <w:t>(DeVincenzo et al., 2008)</w:t>
      </w:r>
      <w:r w:rsidR="006E74AE" w:rsidRPr="006E74AE">
        <w:rPr>
          <w:rFonts w:ascii="Calibri" w:hAnsi="Calibri" w:cs="Arial"/>
        </w:rPr>
        <w:fldChar w:fldCharType="end"/>
      </w:r>
      <w:r w:rsidR="00AE641D">
        <w:rPr>
          <w:rFonts w:ascii="Calibri" w:hAnsi="Calibri" w:cs="Arial"/>
        </w:rPr>
        <w:t>, and thus likely to achieve commercial success</w:t>
      </w:r>
      <w:r w:rsidR="006E74AE" w:rsidRPr="006E74AE">
        <w:rPr>
          <w:rFonts w:ascii="Calibri" w:hAnsi="Calibri" w:cs="Arial"/>
        </w:rPr>
        <w:t>.</w:t>
      </w:r>
    </w:p>
    <w:p w14:paraId="1F64F175" w14:textId="77777777" w:rsidR="006E74AE" w:rsidRPr="006E74AE" w:rsidRDefault="006E74AE" w:rsidP="005837A4">
      <w:pPr>
        <w:keepNext/>
        <w:spacing w:line="480" w:lineRule="auto"/>
        <w:jc w:val="both"/>
        <w:rPr>
          <w:rFonts w:ascii="Calibri" w:hAnsi="Calibri" w:cs="Arial"/>
          <w:b/>
        </w:rPr>
      </w:pPr>
    </w:p>
    <w:p w14:paraId="40747E74" w14:textId="20252262" w:rsidR="00012E98" w:rsidRPr="005600F2" w:rsidRDefault="00A25217" w:rsidP="005837A4">
      <w:pPr>
        <w:pStyle w:val="Heading3"/>
      </w:pPr>
      <w:r>
        <w:t>3.1.1</w:t>
      </w:r>
      <w:r>
        <w:tab/>
      </w:r>
      <w:r w:rsidR="00333C03">
        <w:t>Preclinical pharmacology</w:t>
      </w:r>
      <w:r w:rsidR="004075E7">
        <w:t>.</w:t>
      </w:r>
    </w:p>
    <w:p w14:paraId="1D63F8CC" w14:textId="269E8FC3" w:rsidR="005E7772" w:rsidRDefault="007C76BB" w:rsidP="005837A4">
      <w:pPr>
        <w:spacing w:line="480" w:lineRule="auto"/>
        <w:jc w:val="both"/>
        <w:rPr>
          <w:rFonts w:ascii="Calibri" w:hAnsi="Calibri" w:cs="Arial"/>
        </w:rPr>
      </w:pPr>
      <w:r>
        <w:rPr>
          <w:rFonts w:ascii="Calibri" w:hAnsi="Calibri" w:cs="Arial"/>
        </w:rPr>
        <w:t>Although mildly immunostimulating</w:t>
      </w:r>
      <w:r w:rsidR="009151F4">
        <w:rPr>
          <w:rFonts w:ascii="Calibri" w:hAnsi="Calibri" w:cs="Arial"/>
        </w:rPr>
        <w:t xml:space="preserve"> (single time</w:t>
      </w:r>
      <w:r w:rsidR="00012E98">
        <w:rPr>
          <w:rFonts w:ascii="Calibri" w:hAnsi="Calibri" w:cs="Arial"/>
        </w:rPr>
        <w:t xml:space="preserve"> </w:t>
      </w:r>
      <w:r w:rsidR="009151F4">
        <w:rPr>
          <w:rFonts w:ascii="Calibri" w:hAnsi="Calibri" w:cs="Arial"/>
        </w:rPr>
        <w:t>point data)</w:t>
      </w:r>
      <w:r w:rsidR="00833D11">
        <w:rPr>
          <w:rFonts w:ascii="Calibri" w:hAnsi="Calibri" w:cs="Arial"/>
        </w:rPr>
        <w:t xml:space="preserve">, </w:t>
      </w:r>
      <w:r w:rsidR="00AD046B">
        <w:rPr>
          <w:rFonts w:ascii="Calibri" w:hAnsi="Calibri" w:cs="Arial"/>
        </w:rPr>
        <w:t>2’-O-methylation</w:t>
      </w:r>
      <w:r w:rsidR="00833D11">
        <w:rPr>
          <w:rFonts w:ascii="Calibri" w:hAnsi="Calibri" w:cs="Arial"/>
        </w:rPr>
        <w:t xml:space="preserve"> </w:t>
      </w:r>
      <w:r w:rsidR="00696FB6">
        <w:rPr>
          <w:rFonts w:ascii="Calibri" w:hAnsi="Calibri" w:cs="Arial"/>
        </w:rPr>
        <w:t xml:space="preserve">of ALN-RSV01 </w:t>
      </w:r>
      <w:r w:rsidR="00AD046B">
        <w:rPr>
          <w:rFonts w:ascii="Calibri" w:hAnsi="Calibri" w:cs="Arial"/>
        </w:rPr>
        <w:t>did not affect</w:t>
      </w:r>
      <w:r w:rsidR="002B5D61">
        <w:rPr>
          <w:rFonts w:ascii="Calibri" w:hAnsi="Calibri" w:cs="Arial"/>
        </w:rPr>
        <w:t xml:space="preserve"> siRNA </w:t>
      </w:r>
      <w:r w:rsidR="00833D11">
        <w:rPr>
          <w:rFonts w:ascii="Calibri" w:hAnsi="Calibri" w:cs="Arial"/>
        </w:rPr>
        <w:t>IC</w:t>
      </w:r>
      <w:r w:rsidR="002B5D61" w:rsidRPr="002B5D61">
        <w:rPr>
          <w:rFonts w:ascii="Calibri" w:hAnsi="Calibri" w:cs="Arial"/>
          <w:vertAlign w:val="subscript"/>
        </w:rPr>
        <w:t>50</w:t>
      </w:r>
      <w:r w:rsidR="00696FB6">
        <w:rPr>
          <w:rFonts w:ascii="Calibri" w:hAnsi="Calibri" w:cs="Arial"/>
        </w:rPr>
        <w:t>,</w:t>
      </w:r>
      <w:r w:rsidR="002B5D61">
        <w:rPr>
          <w:rFonts w:ascii="Calibri" w:hAnsi="Calibri" w:cs="Arial"/>
          <w:vertAlign w:val="subscript"/>
        </w:rPr>
        <w:t xml:space="preserve"> </w:t>
      </w:r>
      <w:r w:rsidR="00AD046B" w:rsidRPr="00AD046B">
        <w:rPr>
          <w:rFonts w:ascii="Calibri" w:hAnsi="Calibri" w:cs="Arial"/>
        </w:rPr>
        <w:t>suggesting</w:t>
      </w:r>
      <w:r w:rsidR="00AD046B">
        <w:rPr>
          <w:rFonts w:ascii="Calibri" w:hAnsi="Calibri" w:cs="Arial"/>
          <w:i/>
        </w:rPr>
        <w:t xml:space="preserve"> </w:t>
      </w:r>
      <w:r w:rsidR="00687596">
        <w:rPr>
          <w:rFonts w:ascii="Calibri" w:hAnsi="Calibri" w:cs="Arial"/>
        </w:rPr>
        <w:t>TLR activation in mouse, if any, did not contribute to antiviral responses</w:t>
      </w:r>
      <w:r w:rsidR="009151F4">
        <w:rPr>
          <w:rFonts w:ascii="Calibri" w:hAnsi="Calibri" w:cs="Arial"/>
        </w:rPr>
        <w:t xml:space="preserve"> </w:t>
      </w:r>
      <w:r w:rsidR="009151F4">
        <w:rPr>
          <w:rFonts w:ascii="Calibri" w:hAnsi="Calibri" w:cs="Arial"/>
        </w:rPr>
        <w:fldChar w:fldCharType="begin" w:fldLock="1"/>
      </w:r>
      <w:r w:rsidR="009151F4">
        <w:rPr>
          <w:rFonts w:ascii="Calibri" w:hAnsi="Calibri" w:cs="Arial"/>
        </w:rPr>
        <w:instrText>ADDIN CSL_CITATION { "citationItems" : [ { "id" : "ITEM-1", "itemData" : { "DOI" : "10.1128/AAC.00014-09", "ISSN" : "0066-4804", "PMID" : "19506055", "abstract" : "We describe the design and characterization of a potent human respiratory syncytial virus (RSV) nucleocapsid gene-specific small interfering RNA (siRNA), ALN-RSV01. In in vitro RSV plaque assays, ALN-RSV01 showed a 50% inhibitory concentration of 0.7 nM. Sequence analysis of primary isolates of RSV showed that the siRNA target site was absolutely conserved in 89/95 isolates, and ALN-RSV01 demonstrated activity against all isolates, including those with single-mismatch mutations. In vivo, intranasal dosing of ALN-RSV01 in a BALB/c mouse model resulted in potent antiviral efficacy, with 2.5- to 3.0-log-unit reductions in RSV lung concentrations being achieved when ALN-RSV01 was administered prophylactically or therapeutically in both single-dose and multidose regimens. The specificity of ALN-RSV01 was demonstrated in vivo by using mismatch controls; and the absence of an immune stimulatory mechanism was demonstrated by showing that nonspecific siRNAs that induce alpha interferon and tumor necrosis factor alpha lack antiviral efficacy, while a chemically modified form of ALN-RSV01 lacking measurable immunostimulatory capacity retained full activity in vivo. Furthermore, an RNA interference mechanism of action was demonstrated by the capture of the site-specific cleavage product of the RSV mRNA via rapid amplification of cDNA ends both in vitro and in vivo. These studies lay a solid foundation for the further investigation of ALN-RSV01 as a novel therapeutic antiviral agent for clinical use by humans.", "author" : [ { "dropping-particle" : "", "family" : "Alvarez", "given" : "R.", "non-dropping-particle" : "", "parse-names" : false, "suffix" : "" }, { "dropping-particle" : "", "family" : "Elbashir", "given" : "S.", "non-dropping-particle" : "", "parse-names" : false, "suffix" : "" }, { "dropping-particle" : "", "family" : "Borland", "given" : "T.", "non-dropping-particle" : "", "parse-names" : false, "suffix" : "" }, { "dropping-particle" : "", "family" : "Toudjarska", "given" : "I.", "non-dropping-particle" : "", "parse-names" : false, "suffix" : "" }, { "dropping-particle" : "", "family" : "Hadwiger", "given" : "P.", "non-dropping-particle" : "", "parse-names" : false, "suffix" : "" }, { "dropping-particle" : "", "family" : "John", "given" : "M.", "non-dropping-particle" : "", "parse-names" : false, "suffix" : "" }, { "dropping-particle" : "", "family" : "Roehl", "given" : "I.", "non-dropping-particle" : "", "parse-names" : false, "suffix" : "" }, { "dropping-particle" : "", "family" : "Morskaya", "given" : "S. S.", "non-dropping-particle" : "", "parse-names" : false, "suffix" : "" }, { "dropping-particle" : "", "family" : "Martinello", "given" : "R.", "non-dropping-particle" : "", "parse-names" : false, "suffix" : "" }, { "dropping-particle" : "", "family" : "Kahn", "given" : "J.", "non-dropping-particle" : "", "parse-names" : false, "suffix" : "" }, { "dropping-particle" : "", "family" : "Ranst", "given" : "M.", "non-dropping-particle" : "Van", "parse-names" : false, "suffix" : "" }, { "dropping-particle" : "", "family" : "Tripp", "given" : "R. A.", "non-dropping-particle" : "", "parse-names" : false, "suffix" : "" }, { "dropping-particle" : "", "family" : "DeVincenzo", "given" : "J. P.", "non-dropping-particle" : "", "parse-names" : false, "suffix" : "" }, { "dropping-particle" : "", "family" : "Pandey", "given" : "R.", "non-dropping-particle" : "", "parse-names" : false, "suffix" : "" }, { "dropping-particle" : "", "family" : "Maier", "given" : "M.", "non-dropping-particle" : "", "parse-names" : false, "suffix" : "" }, { "dropping-particle" : "", "family" : "Nechev", "given" : "L.", "non-dropping-particle" : "", "parse-names" : false, "suffix" : "" }, { "dropping-particle" : "", "family" : "Manoharan", "given" : "M.", "non-dropping-particle" : "", "parse-names" : false, "suffix" : "" }, { "dropping-particle" : "", "family" : "Kotelianski", "given" : "V.", "non-dropping-particle" : "", "parse-names" : false, "suffix" : "" }, { "dropping-particle" : "", "family" : "Meyers", "given" : "R.", "non-dropping-particle" : "", "parse-names" : false, "suffix" : "" } ], "container-title" : "Antimicrobial Agents and Chemotherapy", "id" : "ITEM-1", "issue" : "9", "issued" : { "date-parts" : [ [ "2009", "6", "8" ] ] }, "page" : "3952-3962", "title" : "RNA Interference-Mediated Silencing of the Respiratory Syncytial Virus Nucleocapsid Defines a Potent Antiviral Strategy", "type" : "article-journal", "volume" : "53" }, "uris" : [ "http://www.mendeley.com/documents/?uuid=93953bbd-ce2e-409f-8cdc-71fbc6f93cf2", "http://www.mendeley.com/documents/?uuid=f5258a2f-54d1-4783-bb54-1d25d73d2156" ] } ], "mendeley" : { "formattedCitation" : "(Alvarez et al., 2009)", "plainTextFormattedCitation" : "(Alvarez et al., 2009)", "previouslyFormattedCitation" : "(Alvarez et al., 2009)" }, "properties" : { "noteIndex" : 0 }, "schema" : "https://github.com/citation-style-language/schema/raw/master/csl-citation.json" }</w:instrText>
      </w:r>
      <w:r w:rsidR="009151F4">
        <w:rPr>
          <w:rFonts w:ascii="Calibri" w:hAnsi="Calibri" w:cs="Arial"/>
        </w:rPr>
        <w:fldChar w:fldCharType="separate"/>
      </w:r>
      <w:r w:rsidR="009151F4" w:rsidRPr="002B5D61">
        <w:rPr>
          <w:rFonts w:ascii="Calibri" w:hAnsi="Calibri" w:cs="Arial"/>
          <w:noProof/>
        </w:rPr>
        <w:t>(Alvarez et al., 2009)</w:t>
      </w:r>
      <w:r w:rsidR="009151F4">
        <w:rPr>
          <w:rFonts w:ascii="Calibri" w:hAnsi="Calibri" w:cs="Arial"/>
        </w:rPr>
        <w:fldChar w:fldCharType="end"/>
      </w:r>
      <w:r w:rsidR="00AD046B">
        <w:rPr>
          <w:rFonts w:ascii="Calibri" w:hAnsi="Calibri" w:cs="Arial"/>
        </w:rPr>
        <w:t>.</w:t>
      </w:r>
      <w:r w:rsidR="00D85962">
        <w:rPr>
          <w:rFonts w:ascii="Calibri" w:hAnsi="Calibri" w:cs="Arial"/>
        </w:rPr>
        <w:t xml:space="preserve"> </w:t>
      </w:r>
      <w:r w:rsidR="00AD046B">
        <w:rPr>
          <w:rFonts w:ascii="Calibri" w:hAnsi="Calibri" w:cs="Arial"/>
        </w:rPr>
        <w:t>On</w:t>
      </w:r>
      <w:r w:rsidR="002B5D61">
        <w:rPr>
          <w:rFonts w:ascii="Calibri" w:hAnsi="Calibri" w:cs="Arial"/>
        </w:rPr>
        <w:t xml:space="preserve">-target RNAi activity </w:t>
      </w:r>
      <w:r w:rsidR="00AD046B">
        <w:rPr>
          <w:rFonts w:ascii="Calibri" w:hAnsi="Calibri" w:cs="Arial"/>
          <w:i/>
        </w:rPr>
        <w:t xml:space="preserve">in vivo </w:t>
      </w:r>
      <w:r w:rsidR="00AD046B">
        <w:rPr>
          <w:rFonts w:ascii="Calibri" w:hAnsi="Calibri" w:cs="Arial"/>
        </w:rPr>
        <w:t>by 5’-RACE</w:t>
      </w:r>
      <w:r w:rsidR="00AD046B">
        <w:rPr>
          <w:rFonts w:ascii="Calibri" w:hAnsi="Calibri" w:cs="Arial"/>
          <w:i/>
        </w:rPr>
        <w:t xml:space="preserve"> </w:t>
      </w:r>
      <w:r w:rsidR="002B5D61">
        <w:rPr>
          <w:rFonts w:ascii="Calibri" w:hAnsi="Calibri" w:cs="Arial"/>
        </w:rPr>
        <w:fldChar w:fldCharType="begin" w:fldLock="1"/>
      </w:r>
      <w:r w:rsidR="0088045A">
        <w:rPr>
          <w:rFonts w:ascii="Calibri" w:hAnsi="Calibri" w:cs="Arial"/>
        </w:rPr>
        <w:instrText>ADDIN CSL_CITATION { "citationItems" : [ { "id" : "ITEM-1", "itemData" : { "DOI" : "10.1128/AAC.00014-09", "ISSN" : "0066-4804", "PMID" : "19506055", "abstract" : "We describe the design and characterization of a potent human respiratory syncytial virus (RSV) nucleocapsid gene-specific small interfering RNA (siRNA), ALN-RSV01. In in vitro RSV plaque assays, ALN-RSV01 showed a 50% inhibitory concentration of 0.7 nM. Sequence analysis of primary isolates of RSV showed that the siRNA target site was absolutely conserved in 89/95 isolates, and ALN-RSV01 demonstrated activity against all isolates, including those with single-mismatch mutations. In vivo, intranasal dosing of ALN-RSV01 in a BALB/c mouse model resulted in potent antiviral efficacy, with 2.5- to 3.0-log-unit reductions in RSV lung concentrations being achieved when ALN-RSV01 was administered prophylactically or therapeutically in both single-dose and multidose regimens. The specificity of ALN-RSV01 was demonstrated in vivo by using mismatch controls; and the absence of an immune stimulatory mechanism was demonstrated by showing that nonspecific siRNAs that induce alpha interferon and tumor necrosis factor alpha lack antiviral efficacy, while a chemically modified form of ALN-RSV01 lacking measurable immunostimulatory capacity retained full activity in vivo. Furthermore, an RNA interference mechanism of action was demonstrated by the capture of the site-specific cleavage product of the RSV mRNA via rapid amplification of cDNA ends both in vitro and in vivo. These studies lay a solid foundation for the further investigation of ALN-RSV01 as a novel therapeutic antiviral agent for clinical use by humans.", "author" : [ { "dropping-particle" : "", "family" : "Alvarez", "given" : "R.", "non-dropping-particle" : "", "parse-names" : false, "suffix" : "" }, { "dropping-particle" : "", "family" : "Elbashir", "given" : "S.", "non-dropping-particle" : "", "parse-names" : false, "suffix" : "" }, { "dropping-particle" : "", "family" : "Borland", "given" : "T.", "non-dropping-particle" : "", "parse-names" : false, "suffix" : "" }, { "dropping-particle" : "", "family" : "Toudjarska", "given" : "I.", "non-dropping-particle" : "", "parse-names" : false, "suffix" : "" }, { "dropping-particle" : "", "family" : "Hadwiger", "given" : "P.", "non-dropping-particle" : "", "parse-names" : false, "suffix" : "" }, { "dropping-particle" : "", "family" : "John", "given" : "M.", "non-dropping-particle" : "", "parse-names" : false, "suffix" : "" }, { "dropping-particle" : "", "family" : "Roehl", "given" : "I.", "non-dropping-particle" : "", "parse-names" : false, "suffix" : "" }, { "dropping-particle" : "", "family" : "Morskaya", "given" : "S. S.", "non-dropping-particle" : "", "parse-names" : false, "suffix" : "" }, { "dropping-particle" : "", "family" : "Martinello", "given" : "R.", "non-dropping-particle" : "", "parse-names" : false, "suffix" : "" }, { "dropping-particle" : "", "family" : "Kahn", "given" : "J.", "non-dropping-particle" : "", "parse-names" : false, "suffix" : "" }, { "dropping-particle" : "", "family" : "Ranst", "given" : "M.", "non-dropping-particle" : "Van", "parse-names" : false, "suffix" : "" }, { "dropping-particle" : "", "family" : "Tripp", "given" : "R. A.", "non-dropping-particle" : "", "parse-names" : false, "suffix" : "" }, { "dropping-particle" : "", "family" : "DeVincenzo", "given" : "J. P.", "non-dropping-particle" : "", "parse-names" : false, "suffix" : "" }, { "dropping-particle" : "", "family" : "Pandey", "given" : "R.", "non-dropping-particle" : "", "parse-names" : false, "suffix" : "" }, { "dropping-particle" : "", "family" : "Maier", "given" : "M.", "non-dropping-particle" : "", "parse-names" : false, "suffix" : "" }, { "dropping-particle" : "", "family" : "Nechev", "given" : "L.", "non-dropping-particle" : "", "parse-names" : false, "suffix" : "" }, { "dropping-particle" : "", "family" : "Manoharan", "given" : "M.", "non-dropping-particle" : "", "parse-names" : false, "suffix" : "" }, { "dropping-particle" : "", "family" : "Kotelianski", "given" : "V.", "non-dropping-particle" : "", "parse-names" : false, "suffix" : "" }, { "dropping-particle" : "", "family" : "Meyers", "given" : "R.", "non-dropping-particle" : "", "parse-names" : false, "suffix" : "" } ], "container-title" : "Antimicrobial Agents and Chemotherapy", "id" : "ITEM-1", "issue" : "9", "issued" : { "date-parts" : [ [ "2009", "6", "8" ] ] }, "page" : "3952-3962", "title" : "RNA Interference-Mediated Silencing of the Respiratory Syncytial Virus Nucleocapsid Defines a Potent Antiviral Strategy", "type" : "article-journal", "volume" : "53" }, "uris" : [ "http://www.mendeley.com/documents/?uuid=93953bbd-ce2e-409f-8cdc-71fbc6f93cf2", "http://www.mendeley.com/documents/?uuid=f5258a2f-54d1-4783-bb54-1d25d73d2156" ] } ], "mendeley" : { "formattedCitation" : "(Alvarez et al., 2009)", "plainTextFormattedCitation" : "(Alvarez et al., 2009)", "previouslyFormattedCitation" : "(Alvarez et al., 2009)" }, "properties" : { "noteIndex" : 0 }, "schema" : "https://github.com/citation-style-language/schema/raw/master/csl-citation.json" }</w:instrText>
      </w:r>
      <w:r w:rsidR="002B5D61">
        <w:rPr>
          <w:rFonts w:ascii="Calibri" w:hAnsi="Calibri" w:cs="Arial"/>
        </w:rPr>
        <w:fldChar w:fldCharType="separate"/>
      </w:r>
      <w:r w:rsidR="002B5D61" w:rsidRPr="002B5D61">
        <w:rPr>
          <w:rFonts w:ascii="Calibri" w:hAnsi="Calibri" w:cs="Arial"/>
          <w:noProof/>
        </w:rPr>
        <w:t>(Alvarez et al., 2009)</w:t>
      </w:r>
      <w:r w:rsidR="002B5D61">
        <w:rPr>
          <w:rFonts w:ascii="Calibri" w:hAnsi="Calibri" w:cs="Arial"/>
        </w:rPr>
        <w:fldChar w:fldCharType="end"/>
      </w:r>
      <w:r w:rsidR="00FC500E">
        <w:rPr>
          <w:rFonts w:ascii="Calibri" w:hAnsi="Calibri" w:cs="Arial"/>
        </w:rPr>
        <w:t xml:space="preserve"> </w:t>
      </w:r>
      <w:r w:rsidR="00AD046B">
        <w:rPr>
          <w:rFonts w:ascii="Calibri" w:hAnsi="Calibri" w:cs="Arial"/>
        </w:rPr>
        <w:t>further</w:t>
      </w:r>
      <w:r w:rsidR="00C44927">
        <w:rPr>
          <w:rFonts w:ascii="Calibri" w:hAnsi="Calibri" w:cs="Arial"/>
        </w:rPr>
        <w:t xml:space="preserve"> </w:t>
      </w:r>
      <w:r w:rsidR="00AD046B">
        <w:rPr>
          <w:rFonts w:ascii="Calibri" w:hAnsi="Calibri" w:cs="Arial"/>
        </w:rPr>
        <w:t>justified</w:t>
      </w:r>
      <w:r w:rsidR="00D32270">
        <w:rPr>
          <w:rFonts w:ascii="Calibri" w:hAnsi="Calibri" w:cs="Arial"/>
        </w:rPr>
        <w:t xml:space="preserve"> </w:t>
      </w:r>
      <w:r w:rsidR="00AE641D">
        <w:rPr>
          <w:rFonts w:ascii="Calibri" w:hAnsi="Calibri" w:cs="Arial"/>
        </w:rPr>
        <w:t xml:space="preserve">no need for </w:t>
      </w:r>
      <w:r w:rsidR="002B5D61">
        <w:rPr>
          <w:rFonts w:ascii="Calibri" w:hAnsi="Calibri" w:cs="Arial"/>
        </w:rPr>
        <w:t xml:space="preserve">use of </w:t>
      </w:r>
      <w:r w:rsidR="00AE641D">
        <w:rPr>
          <w:rFonts w:ascii="Calibri" w:hAnsi="Calibri" w:cs="Arial"/>
        </w:rPr>
        <w:t>any</w:t>
      </w:r>
      <w:r w:rsidR="00D32270">
        <w:rPr>
          <w:rFonts w:ascii="Calibri" w:hAnsi="Calibri" w:cs="Arial"/>
        </w:rPr>
        <w:t xml:space="preserve"> </w:t>
      </w:r>
      <w:r w:rsidR="00AD046B">
        <w:rPr>
          <w:rFonts w:ascii="Calibri" w:hAnsi="Calibri" w:cs="Arial"/>
        </w:rPr>
        <w:t>nucleoside</w:t>
      </w:r>
      <w:r w:rsidR="002B5D61">
        <w:rPr>
          <w:rFonts w:ascii="Calibri" w:hAnsi="Calibri" w:cs="Arial"/>
        </w:rPr>
        <w:t xml:space="preserve"> modifications. </w:t>
      </w:r>
      <w:r w:rsidR="007A513C" w:rsidRPr="00C4343E">
        <w:rPr>
          <w:rFonts w:ascii="Calibri" w:hAnsi="Calibri" w:cs="Arial"/>
        </w:rPr>
        <w:t xml:space="preserve">Given established </w:t>
      </w:r>
      <w:r w:rsidR="00AD046B">
        <w:rPr>
          <w:rFonts w:ascii="Calibri" w:hAnsi="Calibri" w:cs="Arial"/>
          <w:i/>
        </w:rPr>
        <w:t xml:space="preserve">in vivo </w:t>
      </w:r>
      <w:r w:rsidR="00AD046B">
        <w:rPr>
          <w:rFonts w:ascii="Calibri" w:hAnsi="Calibri" w:cs="Arial"/>
        </w:rPr>
        <w:t xml:space="preserve">pharmacology </w:t>
      </w:r>
      <w:r w:rsidR="007A513C" w:rsidRPr="00C4343E">
        <w:rPr>
          <w:rFonts w:ascii="Calibri" w:hAnsi="Calibri" w:cs="Arial"/>
        </w:rPr>
        <w:t xml:space="preserve">practice </w:t>
      </w:r>
      <w:r w:rsidR="00E829B1">
        <w:rPr>
          <w:rFonts w:ascii="Calibri" w:hAnsi="Calibri" w:cs="Arial"/>
        </w:rPr>
        <w:t>and</w:t>
      </w:r>
      <w:r w:rsidR="007A513C">
        <w:rPr>
          <w:rFonts w:ascii="Calibri" w:hAnsi="Calibri" w:cs="Arial"/>
        </w:rPr>
        <w:t xml:space="preserve"> </w:t>
      </w:r>
      <w:r w:rsidR="00EE3BCA">
        <w:rPr>
          <w:rFonts w:ascii="Calibri" w:hAnsi="Calibri" w:cs="Arial"/>
        </w:rPr>
        <w:t xml:space="preserve">in line with </w:t>
      </w:r>
      <w:r w:rsidR="00417547">
        <w:rPr>
          <w:rFonts w:ascii="Calibri" w:hAnsi="Calibri" w:cs="Arial"/>
        </w:rPr>
        <w:t xml:space="preserve">other </w:t>
      </w:r>
      <w:r w:rsidR="00185291">
        <w:rPr>
          <w:rFonts w:ascii="Calibri" w:hAnsi="Calibri" w:cs="Arial"/>
        </w:rPr>
        <w:t>contemporary studies</w:t>
      </w:r>
      <w:r w:rsidR="007A513C">
        <w:rPr>
          <w:rFonts w:ascii="Calibri" w:hAnsi="Calibri" w:cs="Arial"/>
        </w:rPr>
        <w:t xml:space="preserve">, </w:t>
      </w:r>
      <w:r w:rsidR="007A513C" w:rsidRPr="00C4343E">
        <w:rPr>
          <w:rFonts w:ascii="Calibri" w:hAnsi="Calibri" w:cs="Arial"/>
        </w:rPr>
        <w:t>drug activity w</w:t>
      </w:r>
      <w:r w:rsidR="007A513C">
        <w:rPr>
          <w:rFonts w:ascii="Calibri" w:hAnsi="Calibri" w:cs="Arial"/>
        </w:rPr>
        <w:t>as measured at the tissue level</w:t>
      </w:r>
      <w:r w:rsidR="00833B63">
        <w:rPr>
          <w:rFonts w:ascii="Calibri" w:hAnsi="Calibri" w:cs="Arial"/>
        </w:rPr>
        <w:t>.</w:t>
      </w:r>
      <w:r w:rsidR="007A513C">
        <w:rPr>
          <w:rFonts w:ascii="Calibri" w:hAnsi="Calibri" w:cs="Arial"/>
        </w:rPr>
        <w:t xml:space="preserve"> </w:t>
      </w:r>
      <w:r w:rsidR="00833B63">
        <w:rPr>
          <w:rFonts w:ascii="Calibri" w:hAnsi="Calibri" w:cs="Arial"/>
        </w:rPr>
        <w:t>This involved</w:t>
      </w:r>
      <w:r w:rsidR="007A513C">
        <w:rPr>
          <w:rFonts w:ascii="Calibri" w:hAnsi="Calibri" w:cs="Arial"/>
        </w:rPr>
        <w:t xml:space="preserve"> homogenization of one or more </w:t>
      </w:r>
      <w:r w:rsidR="007A513C">
        <w:rPr>
          <w:rFonts w:ascii="Calibri" w:hAnsi="Calibri" w:cs="Arial"/>
        </w:rPr>
        <w:lastRenderedPageBreak/>
        <w:t xml:space="preserve">lobes of the lung and </w:t>
      </w:r>
      <w:r w:rsidR="00EE3BCA">
        <w:rPr>
          <w:rFonts w:ascii="Calibri" w:hAnsi="Calibri" w:cs="Arial"/>
        </w:rPr>
        <w:t xml:space="preserve">reporting </w:t>
      </w:r>
      <w:r w:rsidR="007A513C">
        <w:rPr>
          <w:rFonts w:ascii="Calibri" w:hAnsi="Calibri" w:cs="Arial"/>
        </w:rPr>
        <w:t>virological</w:t>
      </w:r>
      <w:r w:rsidR="00AD046B">
        <w:rPr>
          <w:rFonts w:ascii="Calibri" w:hAnsi="Calibri" w:cs="Arial"/>
        </w:rPr>
        <w:t xml:space="preserve">, </w:t>
      </w:r>
      <w:r w:rsidR="007A513C">
        <w:rPr>
          <w:rFonts w:ascii="Calibri" w:hAnsi="Calibri" w:cs="Arial"/>
        </w:rPr>
        <w:t xml:space="preserve">RNA </w:t>
      </w:r>
      <w:r w:rsidR="00AD046B">
        <w:rPr>
          <w:rFonts w:ascii="Calibri" w:hAnsi="Calibri" w:cs="Arial"/>
        </w:rPr>
        <w:t>or protein assay</w:t>
      </w:r>
      <w:r w:rsidR="007A513C">
        <w:rPr>
          <w:rFonts w:ascii="Calibri" w:hAnsi="Calibri" w:cs="Arial"/>
        </w:rPr>
        <w:t xml:space="preserve"> </w:t>
      </w:r>
      <w:r w:rsidR="00AD046B">
        <w:rPr>
          <w:rFonts w:ascii="Calibri" w:hAnsi="Calibri" w:cs="Arial"/>
        </w:rPr>
        <w:t xml:space="preserve">levels </w:t>
      </w:r>
      <w:r w:rsidR="00833B63">
        <w:rPr>
          <w:rFonts w:ascii="Calibri" w:hAnsi="Calibri" w:cs="Arial"/>
        </w:rPr>
        <w:t>at the whole tissue level</w:t>
      </w:r>
      <w:r w:rsidR="007A513C">
        <w:rPr>
          <w:rFonts w:ascii="Calibri" w:hAnsi="Calibri" w:cs="Arial"/>
        </w:rPr>
        <w:t xml:space="preserve">. </w:t>
      </w:r>
      <w:r w:rsidR="003373DB">
        <w:rPr>
          <w:rFonts w:ascii="Calibri" w:hAnsi="Calibri" w:cs="Arial"/>
        </w:rPr>
        <w:t xml:space="preserve">However, </w:t>
      </w:r>
      <w:r w:rsidR="00EF20FD">
        <w:rPr>
          <w:rFonts w:ascii="Calibri" w:hAnsi="Calibri" w:cs="Arial"/>
        </w:rPr>
        <w:t xml:space="preserve">direct evidence of </w:t>
      </w:r>
      <w:r w:rsidR="003373DB">
        <w:rPr>
          <w:rFonts w:ascii="Calibri" w:hAnsi="Calibri" w:cs="Arial"/>
        </w:rPr>
        <w:t>tissue load</w:t>
      </w:r>
      <w:r w:rsidR="00AD046B">
        <w:rPr>
          <w:rFonts w:ascii="Calibri" w:hAnsi="Calibri" w:cs="Arial"/>
        </w:rPr>
        <w:t xml:space="preserve">ing and retention was not attempted as </w:t>
      </w:r>
      <w:r w:rsidR="005E7772">
        <w:rPr>
          <w:rFonts w:ascii="Calibri" w:hAnsi="Calibri" w:cs="Arial"/>
        </w:rPr>
        <w:t xml:space="preserve">no systemic absorption was expected </w:t>
      </w:r>
      <w:r w:rsidR="005E7772">
        <w:rPr>
          <w:rFonts w:ascii="Calibri" w:hAnsi="Calibri" w:cs="Arial"/>
        </w:rPr>
        <w:fldChar w:fldCharType="begin" w:fldLock="1"/>
      </w:r>
      <w:r w:rsidR="005E7772">
        <w:rPr>
          <w:rFonts w:ascii="Calibri" w:hAnsi="Calibri" w:cs="Arial"/>
        </w:rPr>
        <w:instrText>ADDIN CSL_CITATION { "citationItems" : [ { "id" : "ITEM-1", "itemData" : { "DOI" : "10.1016/j.antiviral.2007.11.009", "ISSN" : "0166-3542", "PMID" : "18242722", "abstract" : "Small interfering RNAs (siRNAs) work through RNA interference (RNAi), the natural RNA inhibitory pathway, to down-regulate protein production by inhibiting targeted mRNA in a sequence-specific manner. ALN-RSV01 is an siRNA directed against the mRNA encoding the N-protein of respiratory syncytial virus (RSV) that exhibits specific in vitro and in vivo anti-RSV activity. The results of two safety and tolerability studies with ALN-RSV01 involving 101 healthy adults (65 active, 36 placebo, single- and multiple dose, observer-blind, randomized dose-escalation) are described. Intranasal administration of ALN-RSV01 was well tolerated over a dose range up through 150mg as a single dose and for five daily doses. Adverse events were similar in frequency and severity to placebo (normal saline) and were transient, mild to moderate, with no dose-dependent trend. The frequency or severity of adverse events did not increase with increasing ALN-RSV01 exposure. All subjects completed all treatments and assessments with no early withdrawals or serious adverse events. Physical examinations, vital signs, ECGs and laboratory tests were normal. Systemic bioavailability of ALN-RSV01 was minimal. ALN-RSV01 appears safe and well tolerated when delivered intranasally and is a promising therapeutic candidate for further clinical development.", "author" : [ { "dropping-particle" : "", "family" : "DeVincenzo", "given" : "John", "non-dropping-particle" : "", "parse-names" : false, "suffix" : "" }, { "dropping-particle" : "", "family" : "Cehelsky", "given" : "Jeffrey E", "non-dropping-particle" : "", "parse-names" : false, "suffix" : "" }, { "dropping-particle" : "", "family" : "Alvarez", "given" : "Rene", "non-dropping-particle" : "", "parse-names" : false, "suffix" : "" }, { "dropping-particle" : "", "family" : "Elbashir", "given" : "Sayda", "non-dropping-particle" : "", "parse-names" : false, "suffix" : "" }, { "dropping-particle" : "", "family" : "Harborth", "given" : "Jens", "non-dropping-particle" : "", "parse-names" : false, "suffix" : "" }, { "dropping-particle" : "", "family" : "Toudjarska", "given" : "Iva", "non-dropping-particle" : "", "parse-names" : false, "suffix" : "" }, { "dropping-particle" : "", "family" : "Nechev", "given" : "Lubomir", "non-dropping-particle" : "", "parse-names" : false, "suffix" : "" }, { "dropping-particle" : "", "family" : "Murugaiah", "given" : "Veeravagu", "non-dropping-particle" : "", "parse-names" : false, "suffix" : "" }, { "dropping-particle" : "", "family" : "Vliet", "given" : "Andre", "non-dropping-particle" : "Van", "parse-names" : false, "suffix" : "" }, { "dropping-particle" : "", "family" : "Vaishnaw", "given" : "Akshay K", "non-dropping-particle" : "", "parse-names" : false, "suffix" : "" }, { "dropping-particle" : "", "family" : "Meyers", "given" : "Rachel", "non-dropping-particle" : "", "parse-names" : false, "suffix" : "" } ], "container-title" : "Antiviral research", "id" : "ITEM-1", "issue" : "3", "issued" : { "date-parts" : [ [ "2008", "3" ] ] }, "page" : "225-31", "title" : "Evaluation of the safety, tolerability and pharmacokinetics of ALN-RSV01, a novel RNAi antiviral therapeutic directed against respiratory syncytial virus (RSV).", "type" : "article-journal", "volume" : "77" }, "uris" : [ "http://www.mendeley.com/documents/?uuid=9ee452bc-6de8-4ccd-a725-01b79398ee48" ] } ], "mendeley" : { "formattedCitation" : "(DeVincenzo et al., 2008)", "plainTextFormattedCitation" : "(DeVincenzo et al., 2008)", "previouslyFormattedCitation" : "(DeVincenzo et al., 2008)" }, "properties" : { "noteIndex" : 0 }, "schema" : "https://github.com/citation-style-language/schema/raw/master/csl-citation.json" }</w:instrText>
      </w:r>
      <w:r w:rsidR="005E7772">
        <w:rPr>
          <w:rFonts w:ascii="Calibri" w:hAnsi="Calibri" w:cs="Arial"/>
        </w:rPr>
        <w:fldChar w:fldCharType="separate"/>
      </w:r>
      <w:r w:rsidR="005E7772" w:rsidRPr="00CF23CA">
        <w:rPr>
          <w:rFonts w:ascii="Calibri" w:hAnsi="Calibri" w:cs="Arial"/>
          <w:noProof/>
        </w:rPr>
        <w:t>(DeVincenzo et al., 2008)</w:t>
      </w:r>
      <w:r w:rsidR="005E7772">
        <w:rPr>
          <w:rFonts w:ascii="Calibri" w:hAnsi="Calibri" w:cs="Arial"/>
        </w:rPr>
        <w:fldChar w:fldCharType="end"/>
      </w:r>
      <w:r w:rsidR="005E7772">
        <w:rPr>
          <w:rFonts w:ascii="Calibri" w:hAnsi="Calibri" w:cs="Arial"/>
        </w:rPr>
        <w:t xml:space="preserve">. </w:t>
      </w:r>
      <w:r w:rsidR="00AD046B">
        <w:rPr>
          <w:rFonts w:ascii="Calibri" w:hAnsi="Calibri" w:cs="Arial"/>
        </w:rPr>
        <w:t>It</w:t>
      </w:r>
      <w:r w:rsidR="00EF20FD">
        <w:rPr>
          <w:rFonts w:ascii="Calibri" w:hAnsi="Calibri" w:cs="Arial"/>
        </w:rPr>
        <w:t xml:space="preserve"> </w:t>
      </w:r>
      <w:r w:rsidR="005E7772">
        <w:rPr>
          <w:rFonts w:ascii="Calibri" w:hAnsi="Calibri" w:cs="Arial"/>
        </w:rPr>
        <w:t>was</w:t>
      </w:r>
      <w:r w:rsidR="00AD046B">
        <w:rPr>
          <w:rFonts w:ascii="Calibri" w:hAnsi="Calibri" w:cs="Arial"/>
        </w:rPr>
        <w:t xml:space="preserve"> indeed</w:t>
      </w:r>
      <w:r w:rsidR="005E7772">
        <w:rPr>
          <w:rFonts w:ascii="Calibri" w:hAnsi="Calibri" w:cs="Arial"/>
        </w:rPr>
        <w:t xml:space="preserve"> </w:t>
      </w:r>
      <w:r w:rsidR="00EF20FD">
        <w:rPr>
          <w:rFonts w:ascii="Calibri" w:hAnsi="Calibri" w:cs="Arial"/>
        </w:rPr>
        <w:t xml:space="preserve">widely assumed that the </w:t>
      </w:r>
      <w:r w:rsidR="00FC500E">
        <w:rPr>
          <w:rFonts w:ascii="Calibri" w:hAnsi="Calibri" w:cs="Arial"/>
        </w:rPr>
        <w:t>large molecular weight of siRNA</w:t>
      </w:r>
      <w:r w:rsidR="00AD046B">
        <w:rPr>
          <w:rFonts w:ascii="Calibri" w:hAnsi="Calibri" w:cs="Arial"/>
        </w:rPr>
        <w:t>s</w:t>
      </w:r>
      <w:r w:rsidR="00FC500E">
        <w:rPr>
          <w:rFonts w:ascii="Calibri" w:hAnsi="Calibri" w:cs="Arial"/>
        </w:rPr>
        <w:t xml:space="preserve"> (~12.5 kDa) </w:t>
      </w:r>
      <w:r w:rsidR="00AD046B">
        <w:rPr>
          <w:rFonts w:ascii="Calibri" w:hAnsi="Calibri" w:cs="Arial"/>
        </w:rPr>
        <w:t>was recalcitrant to</w:t>
      </w:r>
      <w:r w:rsidR="00FC500E">
        <w:rPr>
          <w:rFonts w:ascii="Calibri" w:hAnsi="Calibri" w:cs="Arial"/>
        </w:rPr>
        <w:t xml:space="preserve"> systemic exposure. Rather, their anionic </w:t>
      </w:r>
      <w:r w:rsidR="00AD046B">
        <w:rPr>
          <w:rFonts w:ascii="Calibri" w:hAnsi="Calibri" w:cs="Arial"/>
        </w:rPr>
        <w:t>charge</w:t>
      </w:r>
      <w:r w:rsidR="00FC500E">
        <w:rPr>
          <w:rFonts w:ascii="Calibri" w:hAnsi="Calibri" w:cs="Arial"/>
        </w:rPr>
        <w:t xml:space="preserve"> </w:t>
      </w:r>
      <w:r w:rsidR="00AD046B">
        <w:rPr>
          <w:rFonts w:ascii="Calibri" w:hAnsi="Calibri" w:cs="Arial"/>
        </w:rPr>
        <w:t>should complex with cationic alveolar surfactant</w:t>
      </w:r>
      <w:r w:rsidR="00DB0686">
        <w:rPr>
          <w:rFonts w:ascii="Calibri" w:hAnsi="Calibri" w:cs="Arial"/>
        </w:rPr>
        <w:t xml:space="preserve"> </w:t>
      </w:r>
      <w:r w:rsidR="00DB0686">
        <w:rPr>
          <w:rFonts w:ascii="Calibri" w:hAnsi="Calibri" w:cs="Arial"/>
        </w:rPr>
        <w:fldChar w:fldCharType="begin" w:fldLock="1"/>
      </w:r>
      <w:r w:rsidR="0094378A">
        <w:rPr>
          <w:rFonts w:ascii="Calibri" w:hAnsi="Calibri" w:cs="Arial"/>
        </w:rPr>
        <w:instrText>ADDIN CSL_CITATION { "citationItems" : [ { "id" : "ITEM-1", "itemData" : { "DOI" : "10.1016/j.jconrel.2015.09.004", "ISSN" : "1873-4995", "PMID" : "26363301", "abstract" : "Many pathologies of the respiratory tract are inadequately treated with existing small molecule-based therapies. The emergence of RNA interference (RNAi) enables the post-transcriptional silencing of key molecular disease factors that cannot readily be targeted with conventional small molecule drugs. Pulmonary administration of RNAi effectors, such as small interfering RNA (siRNA), allows direct delivery into the lung tissue, hence reducing systemic exposure. Unfortunately, the clinical translation of RNAi is severely hampered by inefficient delivery of siRNA therapeutics towards the cytoplasm of the target cells. In order to have a better control of the siRNA delivery process, both extra- and intracellular, siRNAs are typically formulated in nanosized delivery vehicles (nanoparticles, NPs). In the lower airways, which are the targeted sites of action for multiple pulmonary disorders, these siRNA-loaded NPs will encounter the pulmonary surfactant (PS) layer, covering the entire alveolar surface. The interaction between the instilled siRNA-loaded NPs and the PS at this nano-bio interface results in the adsorption of PS components onto the surface of the NPs. The formation of this so-called biomolecular corona conceals the original NP surface and will therefore profoundly determine the biological efficacy of the NP. Though this interplay has initially been regarded as a barrier towards efficient siRNA delivery to the respiratory target cell, recent reports have illustrated that the interaction with PS might also be beneficial for local pulmonary siRNA delivery.", "author" : [ { "dropping-particle" : "", "family" : "Backer", "given" : "Lynn", "non-dropping-particle" : "De", "parse-names" : false, "suffix" : "" }, { "dropping-particle" : "", "family" : "Cerrada", "given" : "Alejandro", "non-dropping-particle" : "", "parse-names" : false, "suffix" : "" }, { "dropping-particle" : "", "family" : "P\u00e9rez-Gil", "given" : "Jes\u00fas", "non-dropping-particle" : "", "parse-names" : false, "suffix" : "" }, { "dropping-particle" : "", "family" : "Smedt", "given" : "Stefaan C", "non-dropping-particle" : "De", "parse-names" : false, "suffix" : "" }, { "dropping-particle" : "", "family" : "Raemdonck", "given" : "Koen", "non-dropping-particle" : "", "parse-names" : false, "suffix" : "" } ], "container-title" : "Journal of controlled release : official journal of the Controlled Release Society", "id" : "ITEM-1", "issued" : { "date-parts" : [ [ "2015", "9", "9" ] ] }, "title" : "Bio-inspired materials in drug delivery: Exploring the role of pulmonary surfactant in sirna inhalation therapy.", "type" : "article-journal" }, "uris" : [ "http://www.mendeley.com/documents/?uuid=3cf37c79-d4da-43ad-b233-c4c598377cc7" ] } ], "mendeley" : { "formattedCitation" : "(De Backer, Cerrada, P\u00e9rez-Gil, De Smedt, &amp; Raemdonck, 2015)", "plainTextFormattedCitation" : "(De Backer, Cerrada, P\u00e9rez-Gil, De Smedt, &amp; Raemdonck, 2015)", "previouslyFormattedCitation" : "(De Backer, Cerrada, P\u00e9rez-Gil, De Smedt, &amp; Raemdonck, 2015)" }, "properties" : { "noteIndex" : 0 }, "schema" : "https://github.com/citation-style-language/schema/raw/master/csl-citation.json" }</w:instrText>
      </w:r>
      <w:r w:rsidR="00DB0686">
        <w:rPr>
          <w:rFonts w:ascii="Calibri" w:hAnsi="Calibri" w:cs="Arial"/>
        </w:rPr>
        <w:fldChar w:fldCharType="separate"/>
      </w:r>
      <w:r w:rsidR="00DB0686" w:rsidRPr="00DB0686">
        <w:rPr>
          <w:rFonts w:ascii="Calibri" w:hAnsi="Calibri" w:cs="Arial"/>
          <w:noProof/>
        </w:rPr>
        <w:t>(De Backer, Cerrada, Pérez-Gil, De Smedt, &amp; Raemdonck, 2015)</w:t>
      </w:r>
      <w:r w:rsidR="00DB0686">
        <w:rPr>
          <w:rFonts w:ascii="Calibri" w:hAnsi="Calibri" w:cs="Arial"/>
        </w:rPr>
        <w:fldChar w:fldCharType="end"/>
      </w:r>
      <w:r w:rsidR="00AD046B">
        <w:rPr>
          <w:rFonts w:ascii="Calibri" w:hAnsi="Calibri" w:cs="Arial"/>
        </w:rPr>
        <w:t xml:space="preserve"> to piggy-back through surfactant recycling into alveolar epithelia and macrophage cytosols</w:t>
      </w:r>
      <w:r w:rsidR="003373DB">
        <w:rPr>
          <w:rFonts w:ascii="Calibri" w:hAnsi="Calibri" w:cs="Arial"/>
        </w:rPr>
        <w:t xml:space="preserve">. </w:t>
      </w:r>
    </w:p>
    <w:p w14:paraId="6C36F279" w14:textId="77777777" w:rsidR="00012E98" w:rsidRDefault="00012E98" w:rsidP="005837A4">
      <w:pPr>
        <w:spacing w:line="480" w:lineRule="auto"/>
        <w:jc w:val="both"/>
        <w:rPr>
          <w:rFonts w:ascii="Calibri" w:hAnsi="Calibri" w:cs="Arial"/>
        </w:rPr>
      </w:pPr>
    </w:p>
    <w:p w14:paraId="1300EA4B" w14:textId="421D888D" w:rsidR="00012E98" w:rsidRDefault="00366466" w:rsidP="005837A4">
      <w:pPr>
        <w:pStyle w:val="Heading3"/>
      </w:pPr>
      <w:r>
        <w:t>3.1.2</w:t>
      </w:r>
      <w:r w:rsidR="00A25217">
        <w:tab/>
      </w:r>
      <w:r w:rsidR="00012E98">
        <w:t>Clinical performance and disease biology</w:t>
      </w:r>
      <w:r w:rsidR="004075E7">
        <w:t>.</w:t>
      </w:r>
    </w:p>
    <w:p w14:paraId="1A806A88" w14:textId="77777777" w:rsidR="00333C03" w:rsidRPr="00333C03" w:rsidRDefault="00333C03" w:rsidP="005837A4">
      <w:pPr>
        <w:spacing w:line="480" w:lineRule="auto"/>
      </w:pPr>
    </w:p>
    <w:p w14:paraId="185D67EF" w14:textId="2665B87B" w:rsidR="00054D27" w:rsidRDefault="00333C03" w:rsidP="005837A4">
      <w:pPr>
        <w:spacing w:line="480" w:lineRule="auto"/>
        <w:jc w:val="both"/>
        <w:rPr>
          <w:rFonts w:ascii="Calibri" w:hAnsi="Calibri" w:cs="Arial"/>
        </w:rPr>
      </w:pPr>
      <w:r>
        <w:rPr>
          <w:rFonts w:ascii="Calibri" w:hAnsi="Calibri" w:cs="Arial"/>
        </w:rPr>
        <w:t>C</w:t>
      </w:r>
      <w:r w:rsidR="00CF23CA">
        <w:rPr>
          <w:rFonts w:ascii="Calibri" w:hAnsi="Calibri" w:cs="Arial"/>
        </w:rPr>
        <w:t xml:space="preserve">uriously, </w:t>
      </w:r>
      <w:r w:rsidR="00A144A8">
        <w:rPr>
          <w:rFonts w:ascii="Calibri" w:hAnsi="Calibri" w:cs="Arial"/>
        </w:rPr>
        <w:t xml:space="preserve">the </w:t>
      </w:r>
      <w:r w:rsidR="00CF23CA">
        <w:rPr>
          <w:rFonts w:ascii="Calibri" w:hAnsi="Calibri" w:cs="Arial"/>
        </w:rPr>
        <w:t>high</w:t>
      </w:r>
      <w:r w:rsidR="00A144A8">
        <w:rPr>
          <w:rFonts w:ascii="Calibri" w:hAnsi="Calibri" w:cs="Arial"/>
        </w:rPr>
        <w:t>est dose</w:t>
      </w:r>
      <w:r w:rsidR="00CF23CA">
        <w:rPr>
          <w:rFonts w:ascii="Calibri" w:hAnsi="Calibri" w:cs="Arial"/>
        </w:rPr>
        <w:t xml:space="preserve"> (150 mg) </w:t>
      </w:r>
      <w:r w:rsidR="00877B8A">
        <w:rPr>
          <w:rFonts w:ascii="Calibri" w:hAnsi="Calibri" w:cs="Arial"/>
        </w:rPr>
        <w:t>tested at phase I</w:t>
      </w:r>
      <w:r w:rsidR="00FC500E">
        <w:rPr>
          <w:rFonts w:ascii="Calibri" w:hAnsi="Calibri" w:cs="Arial"/>
        </w:rPr>
        <w:t xml:space="preserve"> </w:t>
      </w:r>
      <w:r w:rsidR="00CF23CA">
        <w:rPr>
          <w:rFonts w:ascii="Calibri" w:hAnsi="Calibri" w:cs="Arial"/>
        </w:rPr>
        <w:t xml:space="preserve">resulted in rapid (&lt;10 min) detection of ALN-RSV01 in </w:t>
      </w:r>
      <w:r w:rsidR="00EE3BCA">
        <w:rPr>
          <w:rFonts w:ascii="Calibri" w:hAnsi="Calibri" w:cs="Arial"/>
        </w:rPr>
        <w:t xml:space="preserve">blood </w:t>
      </w:r>
      <w:r w:rsidR="00CF23CA">
        <w:rPr>
          <w:rFonts w:ascii="Calibri" w:hAnsi="Calibri" w:cs="Arial"/>
        </w:rPr>
        <w:t xml:space="preserve">plasma and in the first post-administration </w:t>
      </w:r>
      <w:r w:rsidR="00EE3BCA">
        <w:rPr>
          <w:rFonts w:ascii="Calibri" w:hAnsi="Calibri" w:cs="Arial"/>
        </w:rPr>
        <w:t>urination</w:t>
      </w:r>
      <w:r w:rsidR="00877B8A">
        <w:rPr>
          <w:rFonts w:ascii="Calibri" w:hAnsi="Calibri" w:cs="Arial"/>
        </w:rPr>
        <w:t>,</w:t>
      </w:r>
      <w:r w:rsidR="00CF23CA">
        <w:rPr>
          <w:rFonts w:ascii="Calibri" w:hAnsi="Calibri" w:cs="Arial"/>
        </w:rPr>
        <w:t xml:space="preserve"> at </w:t>
      </w:r>
      <w:r w:rsidR="00EF20FD">
        <w:rPr>
          <w:rFonts w:ascii="Calibri" w:hAnsi="Calibri" w:cs="Arial"/>
        </w:rPr>
        <w:t>the lower</w:t>
      </w:r>
      <w:r w:rsidR="00877B8A">
        <w:rPr>
          <w:rFonts w:ascii="Calibri" w:hAnsi="Calibri" w:cs="Arial"/>
        </w:rPr>
        <w:t xml:space="preserve"> detection</w:t>
      </w:r>
      <w:r w:rsidR="00EF20FD">
        <w:rPr>
          <w:rFonts w:ascii="Calibri" w:hAnsi="Calibri" w:cs="Arial"/>
        </w:rPr>
        <w:t xml:space="preserve"> limit of </w:t>
      </w:r>
      <w:r w:rsidR="00FC500E">
        <w:rPr>
          <w:rFonts w:ascii="Calibri" w:hAnsi="Calibri" w:cs="Arial"/>
        </w:rPr>
        <w:t>the analytical method</w:t>
      </w:r>
      <w:r w:rsidR="00EF20FD">
        <w:rPr>
          <w:rFonts w:ascii="Calibri" w:hAnsi="Calibri" w:cs="Arial"/>
        </w:rPr>
        <w:t>.</w:t>
      </w:r>
      <w:r w:rsidR="00FC500E">
        <w:rPr>
          <w:rFonts w:ascii="Calibri" w:hAnsi="Calibri" w:cs="Arial"/>
        </w:rPr>
        <w:t xml:space="preserve"> This was</w:t>
      </w:r>
      <w:r w:rsidR="00877B8A">
        <w:rPr>
          <w:rFonts w:ascii="Calibri" w:hAnsi="Calibri" w:cs="Arial"/>
        </w:rPr>
        <w:t xml:space="preserve"> again</w:t>
      </w:r>
      <w:r w:rsidR="00FC500E">
        <w:rPr>
          <w:rFonts w:ascii="Calibri" w:hAnsi="Calibri" w:cs="Arial"/>
        </w:rPr>
        <w:t xml:space="preserve"> interpreted as </w:t>
      </w:r>
      <w:r w:rsidR="005E7772">
        <w:rPr>
          <w:rFonts w:ascii="Calibri" w:hAnsi="Calibri" w:cs="Arial"/>
        </w:rPr>
        <w:t xml:space="preserve">limited systemic exposure </w:t>
      </w:r>
      <w:r w:rsidR="005E7772">
        <w:rPr>
          <w:rFonts w:ascii="Calibri" w:hAnsi="Calibri" w:cs="Arial"/>
        </w:rPr>
        <w:fldChar w:fldCharType="begin" w:fldLock="1"/>
      </w:r>
      <w:r w:rsidR="007A513C">
        <w:rPr>
          <w:rFonts w:ascii="Calibri" w:hAnsi="Calibri" w:cs="Arial"/>
        </w:rPr>
        <w:instrText>ADDIN CSL_CITATION { "citationItems" : [ { "id" : "ITEM-1", "itemData" : { "DOI" : "10.1016/j.antiviral.2007.11.009", "ISSN" : "0166-3542", "PMID" : "18242722", "abstract" : "Small interfering RNAs (siRNAs) work through RNA interference (RNAi), the natural RNA inhibitory pathway, to down-regulate protein production by inhibiting targeted mRNA in a sequence-specific manner. ALN-RSV01 is an siRNA directed against the mRNA encoding the N-protein of respiratory syncytial virus (RSV) that exhibits specific in vitro and in vivo anti-RSV activity. The results of two safety and tolerability studies with ALN-RSV01 involving 101 healthy adults (65 active, 36 placebo, single- and multiple dose, observer-blind, randomized dose-escalation) are described. Intranasal administration of ALN-RSV01 was well tolerated over a dose range up through 150mg as a single dose and for five daily doses. Adverse events were similar in frequency and severity to placebo (normal saline) and were transient, mild to moderate, with no dose-dependent trend. The frequency or severity of adverse events did not increase with increasing ALN-RSV01 exposure. All subjects completed all treatments and assessments with no early withdrawals or serious adverse events. Physical examinations, vital signs, ECGs and laboratory tests were normal. Systemic bioavailability of ALN-RSV01 was minimal. ALN-RSV01 appears safe and well tolerated when delivered intranasally and is a promising therapeutic candidate for further clinical development.", "author" : [ { "dropping-particle" : "", "family" : "DeVincenzo", "given" : "John", "non-dropping-particle" : "", "parse-names" : false, "suffix" : "" }, { "dropping-particle" : "", "family" : "Cehelsky", "given" : "Jeffrey E", "non-dropping-particle" : "", "parse-names" : false, "suffix" : "" }, { "dropping-particle" : "", "family" : "Alvarez", "given" : "Rene", "non-dropping-particle" : "", "parse-names" : false, "suffix" : "" }, { "dropping-particle" : "", "family" : "Elbashir", "given" : "Sayda", "non-dropping-particle" : "", "parse-names" : false, "suffix" : "" }, { "dropping-particle" : "", "family" : "Harborth", "given" : "Jens", "non-dropping-particle" : "", "parse-names" : false, "suffix" : "" }, { "dropping-particle" : "", "family" : "Toudjarska", "given" : "Iva", "non-dropping-particle" : "", "parse-names" : false, "suffix" : "" }, { "dropping-particle" : "", "family" : "Nechev", "given" : "Lubomir", "non-dropping-particle" : "", "parse-names" : false, "suffix" : "" }, { "dropping-particle" : "", "family" : "Murugaiah", "given" : "Veeravagu", "non-dropping-particle" : "", "parse-names" : false, "suffix" : "" }, { "dropping-particle" : "", "family" : "Vliet", "given" : "Andre", "non-dropping-particle" : "Van", "parse-names" : false, "suffix" : "" }, { "dropping-particle" : "", "family" : "Vaishnaw", "given" : "Akshay K", "non-dropping-particle" : "", "parse-names" : false, "suffix" : "" }, { "dropping-particle" : "", "family" : "Meyers", "given" : "Rachel", "non-dropping-particle" : "", "parse-names" : false, "suffix" : "" } ], "container-title" : "Antiviral research", "id" : "ITEM-1", "issue" : "3", "issued" : { "date-parts" : [ [ "2008", "3" ] ] }, "page" : "225-31", "title" : "Evaluation of the safety, tolerability and pharmacokinetics of ALN-RSV01, a novel RNAi antiviral therapeutic directed against respiratory syncytial virus (RSV).", "type" : "article-journal", "volume" : "77" }, "uris" : [ "http://www.mendeley.com/documents/?uuid=9ee452bc-6de8-4ccd-a725-01b79398ee48" ] } ], "mendeley" : { "formattedCitation" : "(DeVincenzo et al., 2008)", "plainTextFormattedCitation" : "(DeVincenzo et al., 2008)", "previouslyFormattedCitation" : "(DeVincenzo et al., 2008)" }, "properties" : { "noteIndex" : 0 }, "schema" : "https://github.com/citation-style-language/schema/raw/master/csl-citation.json" }</w:instrText>
      </w:r>
      <w:r w:rsidR="005E7772">
        <w:rPr>
          <w:rFonts w:ascii="Calibri" w:hAnsi="Calibri" w:cs="Arial"/>
        </w:rPr>
        <w:fldChar w:fldCharType="separate"/>
      </w:r>
      <w:r w:rsidR="005E7772" w:rsidRPr="005E7772">
        <w:rPr>
          <w:rFonts w:ascii="Calibri" w:hAnsi="Calibri" w:cs="Arial"/>
          <w:noProof/>
        </w:rPr>
        <w:t>(DeVincenzo et al., 2008)</w:t>
      </w:r>
      <w:r w:rsidR="005E7772">
        <w:rPr>
          <w:rFonts w:ascii="Calibri" w:hAnsi="Calibri" w:cs="Arial"/>
        </w:rPr>
        <w:fldChar w:fldCharType="end"/>
      </w:r>
      <w:r w:rsidR="00877B8A">
        <w:rPr>
          <w:rFonts w:ascii="Calibri" w:hAnsi="Calibri" w:cs="Arial"/>
        </w:rPr>
        <w:t xml:space="preserve"> without recourse to</w:t>
      </w:r>
      <w:r w:rsidR="00A144A8">
        <w:rPr>
          <w:rFonts w:ascii="Calibri" w:hAnsi="Calibri" w:cs="Arial"/>
        </w:rPr>
        <w:t xml:space="preserve"> more sensitive methods</w:t>
      </w:r>
      <w:r w:rsidR="005E7772">
        <w:rPr>
          <w:rFonts w:ascii="Calibri" w:hAnsi="Calibri" w:cs="Arial"/>
        </w:rPr>
        <w:t>. In a</w:t>
      </w:r>
      <w:r w:rsidR="00877B8A">
        <w:rPr>
          <w:rFonts w:ascii="Calibri" w:hAnsi="Calibri" w:cs="Arial"/>
        </w:rPr>
        <w:t>n</w:t>
      </w:r>
      <w:r w:rsidR="005E7772">
        <w:rPr>
          <w:rFonts w:ascii="Calibri" w:hAnsi="Calibri" w:cs="Arial"/>
        </w:rPr>
        <w:t xml:space="preserve"> experimental </w:t>
      </w:r>
      <w:r w:rsidR="00877B8A">
        <w:rPr>
          <w:rFonts w:ascii="Calibri" w:hAnsi="Calibri" w:cs="Arial"/>
        </w:rPr>
        <w:t xml:space="preserve">clinical </w:t>
      </w:r>
      <w:r w:rsidR="005E7772">
        <w:rPr>
          <w:rFonts w:ascii="Calibri" w:hAnsi="Calibri" w:cs="Arial"/>
        </w:rPr>
        <w:t xml:space="preserve">infection model </w:t>
      </w:r>
      <w:r w:rsidR="007A513C">
        <w:rPr>
          <w:rFonts w:ascii="Calibri" w:hAnsi="Calibri" w:cs="Arial"/>
        </w:rPr>
        <w:t xml:space="preserve">the antiviral effect in the nasal cavity was </w:t>
      </w:r>
      <w:r w:rsidR="00877B8A">
        <w:rPr>
          <w:rFonts w:ascii="Calibri" w:hAnsi="Calibri" w:cs="Arial"/>
        </w:rPr>
        <w:t>shown as</w:t>
      </w:r>
      <w:r w:rsidR="007A513C">
        <w:rPr>
          <w:rFonts w:ascii="Calibri" w:hAnsi="Calibri" w:cs="Arial"/>
        </w:rPr>
        <w:t xml:space="preserve"> independent of </w:t>
      </w:r>
      <w:r w:rsidR="00877B8A">
        <w:rPr>
          <w:rFonts w:ascii="Calibri" w:hAnsi="Calibri" w:cs="Arial"/>
        </w:rPr>
        <w:t>TLR responses by</w:t>
      </w:r>
      <w:r w:rsidR="007A513C">
        <w:rPr>
          <w:rFonts w:ascii="Calibri" w:hAnsi="Calibri" w:cs="Arial"/>
        </w:rPr>
        <w:t xml:space="preserve"> multivariate regression analysis </w:t>
      </w:r>
      <w:r w:rsidR="007A513C">
        <w:rPr>
          <w:rFonts w:ascii="Calibri" w:hAnsi="Calibri" w:cs="Arial"/>
        </w:rPr>
        <w:fldChar w:fldCharType="begin" w:fldLock="1"/>
      </w:r>
      <w:r w:rsidR="0088045A">
        <w:rPr>
          <w:rFonts w:ascii="Calibri" w:hAnsi="Calibri" w:cs="Arial"/>
        </w:rPr>
        <w:instrText>ADDIN CSL_CITATION { "citationItems" : [ { "id" : "ITEM-1", "itemData" : { "DOI" : "10.1073/pnas.0912186107", "ISSN" : "1091-6490", "PMID" : "20421463", "abstract" : "RNA interference (RNAi) is a natural mechanism regulating protein expression that is mediated by small interfering RNAs (siRNA). Harnessing RNAi has potential to treat human disease; however, clinical evidence for the effectiveness of this therapeutic approach is lacking. ALN-RSV01 is an siRNA directed against the mRNA of the respiratory syncytial virus (RSV) nucleocapsid (N) protein and has substantial antiviral activity in a murine model of RSV infection. We tested the antiviral activity of ALN-RSV01 in adults experimentally infected with wild-type RSV. Eighty-eight healthy subjects were enrolled into a randomized, double-blind, placebo-controlled trial. A nasal spray of ALN-RSV01 or saline placebo was administered daily for 2 days before and for 3 days after RSV inoculation. RSV was measured serially in nasal washes using several different viral assays. Intranasal ALN-RSV01 was well tolerated, exhibiting a safety profile similar to saline placebo. The proportion of culture-defined RSV infections was 71.4 and 44.2% in placebo and ALN-RSV01 recipients, respectively (P = 0.009), representing a 38% decrease in the number of infected and a 95% increase in the number of uninfected subjects. The acquisition of infection over time was significantly lower in ALN-RSV01 recipients (P = 0.007 and P = 0.03, viral culture and PCR, respectively). Multiple logistic regression analysis showed that the ALN-RSV01 antiviral effect was independent of other factors, including preexisting RSV antibody and intranasal proinflammatory cytokine concentrations. ALN-RSV01 has significant antiviral activity against human RSV infection, thus establishing a unique proof-of-concept for an RNAi therapeutic in humans and providing the basis for further evaluation in naturally infected children and adults.", "author" : [ { "dropping-particle" : "", "family" : "DeVincenzo", "given" : "John", "non-dropping-particle" : "", "parse-names" : false, "suffix" : "" }, { "dropping-particle" : "", "family" : "Lambkin-Williams", "given" : "Robert", "non-dropping-particle" : "", "parse-names" : false, "suffix" : "" }, { "dropping-particle" : "", "family" : "Wilkinson", "given" : "Tom", "non-dropping-particle" : "", "parse-names" : false, "suffix" : "" }, { "dropping-particle" : "", "family" : "Cehelsky", "given" : "Jeffrey", "non-dropping-particle" : "", "parse-names" : false, "suffix" : "" }, { "dropping-particle" : "", "family" : "Nochur", "given" : "Sara", "non-dropping-particle" : "", "parse-names" : false, "suffix" : "" }, { "dropping-particle" : "", "family" : "Walsh", "given" : "Edward", "non-dropping-particle" : "", "parse-names" : false, "suffix" : "" }, { "dropping-particle" : "", "family" : "Meyers", "given" : "Rachel", "non-dropping-particle" : "", "parse-names" : false, "suffix" : "" }, { "dropping-particle" : "", "family" : "Gollob", "given" : "Jared", "non-dropping-particle" : "", "parse-names" : false, "suffix" : "" }, { "dropping-particle" : "", "family" : "Vaishnaw", "given" : "Akshay", "non-dropping-particle" : "", "parse-names" : false, "suffix" : "" } ], "container-title" : "Proceedings of the National Academy of Sciences of the United States of America", "id" : "ITEM-1", "issue" : "19", "issued" : { "date-parts" : [ [ "2010", "5", "11" ] ] }, "page" : "8800-5", "title" : "A randomized, double-blind, placebo-controlled study of an RNAi-based therapy directed against respiratory syncytial virus.", "type" : "article-journal", "volume" : "107" }, "uris" : [ "http://www.mendeley.com/documents/?uuid=43204f09-97a4-4e21-9fc8-072b18db1704", "http://www.mendeley.com/documents/?uuid=7dec8b8e-4d57-4407-89ae-e40a6988d794" ] } ], "mendeley" : { "formattedCitation" : "(DeVincenzo et al., 2010a)", "plainTextFormattedCitation" : "(DeVincenzo et al., 2010a)", "previouslyFormattedCitation" : "(DeVincenzo et al., 2010a)" }, "properties" : { "noteIndex" : 0 }, "schema" : "https://github.com/citation-style-language/schema/raw/master/csl-citation.json" }</w:instrText>
      </w:r>
      <w:r w:rsidR="007A513C">
        <w:rPr>
          <w:rFonts w:ascii="Calibri" w:hAnsi="Calibri" w:cs="Arial"/>
        </w:rPr>
        <w:fldChar w:fldCharType="separate"/>
      </w:r>
      <w:r w:rsidR="0088045A" w:rsidRPr="0088045A">
        <w:rPr>
          <w:rFonts w:ascii="Calibri" w:hAnsi="Calibri" w:cs="Arial"/>
          <w:noProof/>
        </w:rPr>
        <w:t>(DeVincenzo et al., 2010a)</w:t>
      </w:r>
      <w:r w:rsidR="007A513C">
        <w:rPr>
          <w:rFonts w:ascii="Calibri" w:hAnsi="Calibri" w:cs="Arial"/>
        </w:rPr>
        <w:fldChar w:fldCharType="end"/>
      </w:r>
      <w:r w:rsidR="00877B8A">
        <w:rPr>
          <w:rFonts w:ascii="Calibri" w:hAnsi="Calibri" w:cs="Arial"/>
        </w:rPr>
        <w:t>, but</w:t>
      </w:r>
      <w:r w:rsidR="00EE3BCA">
        <w:rPr>
          <w:rFonts w:ascii="Calibri" w:hAnsi="Calibri" w:cs="Arial"/>
        </w:rPr>
        <w:t xml:space="preserve"> no effort </w:t>
      </w:r>
      <w:r w:rsidR="00877B8A">
        <w:rPr>
          <w:rFonts w:ascii="Calibri" w:hAnsi="Calibri" w:cs="Arial"/>
        </w:rPr>
        <w:t>was made</w:t>
      </w:r>
      <w:r w:rsidR="00185291">
        <w:rPr>
          <w:rFonts w:ascii="Calibri" w:hAnsi="Calibri" w:cs="Arial"/>
        </w:rPr>
        <w:t xml:space="preserve"> to</w:t>
      </w:r>
      <w:r w:rsidR="00877B8A">
        <w:rPr>
          <w:rFonts w:ascii="Calibri" w:hAnsi="Calibri" w:cs="Arial"/>
        </w:rPr>
        <w:t xml:space="preserve"> confirm a difference between </w:t>
      </w:r>
      <w:r w:rsidR="00EE3BCA">
        <w:rPr>
          <w:rFonts w:ascii="Calibri" w:hAnsi="Calibri" w:cs="Arial"/>
        </w:rPr>
        <w:t xml:space="preserve">human </w:t>
      </w:r>
      <w:r w:rsidR="00877B8A">
        <w:rPr>
          <w:rFonts w:ascii="Calibri" w:hAnsi="Calibri" w:cs="Arial"/>
        </w:rPr>
        <w:t xml:space="preserve">and preclinical </w:t>
      </w:r>
      <w:r w:rsidR="00EE3BCA">
        <w:rPr>
          <w:rFonts w:ascii="Calibri" w:hAnsi="Calibri" w:cs="Arial"/>
        </w:rPr>
        <w:t>inflammatory responses.</w:t>
      </w:r>
      <w:r w:rsidR="007A513C">
        <w:rPr>
          <w:rFonts w:ascii="Calibri" w:hAnsi="Calibri" w:cs="Arial"/>
        </w:rPr>
        <w:t xml:space="preserve"> </w:t>
      </w:r>
      <w:r w:rsidR="00C11FE4">
        <w:rPr>
          <w:rFonts w:ascii="Calibri" w:hAnsi="Calibri" w:cs="Arial"/>
        </w:rPr>
        <w:t xml:space="preserve">Thus, ALN-RSV01 </w:t>
      </w:r>
      <w:r w:rsidR="00A144A8">
        <w:rPr>
          <w:rFonts w:ascii="Calibri" w:hAnsi="Calibri" w:cs="Arial"/>
        </w:rPr>
        <w:t xml:space="preserve">was suggested to </w:t>
      </w:r>
      <w:r w:rsidR="007A513C">
        <w:rPr>
          <w:rFonts w:ascii="Calibri" w:hAnsi="Calibri" w:cs="Arial"/>
        </w:rPr>
        <w:t xml:space="preserve">prevent the migration of the infection from the nasopharyngeal epithelium </w:t>
      </w:r>
      <w:r w:rsidR="005977C1">
        <w:rPr>
          <w:rFonts w:ascii="Calibri" w:hAnsi="Calibri" w:cs="Arial"/>
        </w:rPr>
        <w:t xml:space="preserve">into the lower airways </w:t>
      </w:r>
      <w:r w:rsidR="005977C1">
        <w:rPr>
          <w:rFonts w:ascii="Calibri" w:hAnsi="Calibri" w:cs="Arial"/>
        </w:rPr>
        <w:fldChar w:fldCharType="begin" w:fldLock="1"/>
      </w:r>
      <w:r w:rsidR="007563B0">
        <w:rPr>
          <w:rFonts w:ascii="Calibri" w:hAnsi="Calibri" w:cs="Arial"/>
        </w:rPr>
        <w:instrText>ADDIN CSL_CITATION { "citationItems" : [ { "id" : "ITEM-1", "itemData" : { "DOI" : "10.1056/NEJM200106213442507", "ISSN" : "0028-4793", "PMID" : "11419430", "author" : [ { "dropping-particle" : "", "family" : "Hall", "given" : "C B", "non-dropping-particle" : "", "parse-names" : false, "suffix" : "" } ], "container-title" : "The New England journal of medicine", "id" : "ITEM-1", "issue" : "25", "issued" : { "date-parts" : [ [ "2001", "6", "21" ] ] }, "page" : "1917-28", "title" : "Respiratory syncytial virus and parainfluenza virus.", "type" : "article-journal", "volume" : "344" }, "uris" : [ "http://www.mendeley.com/documents/?uuid=c9e6cde5-2c16-482a-a13b-63518aa804f6", "http://www.mendeley.com/documents/?uuid=82357437-59a8-4bf5-8a15-28208f702d0a" ] } ], "mendeley" : { "formattedCitation" : "(Hall, 2001)", "plainTextFormattedCitation" : "(Hall, 2001)", "previouslyFormattedCitation" : "(Hall, 2001)" }, "properties" : { "noteIndex" : 0 }, "schema" : "https://github.com/citation-style-language/schema/raw/master/csl-citation.json" }</w:instrText>
      </w:r>
      <w:r w:rsidR="005977C1">
        <w:rPr>
          <w:rFonts w:ascii="Calibri" w:hAnsi="Calibri" w:cs="Arial"/>
        </w:rPr>
        <w:fldChar w:fldCharType="separate"/>
      </w:r>
      <w:r w:rsidR="009151F4" w:rsidRPr="009151F4">
        <w:rPr>
          <w:rFonts w:ascii="Calibri" w:hAnsi="Calibri" w:cs="Arial"/>
          <w:noProof/>
        </w:rPr>
        <w:t>(Hall, 2001)</w:t>
      </w:r>
      <w:r w:rsidR="005977C1">
        <w:rPr>
          <w:rFonts w:ascii="Calibri" w:hAnsi="Calibri" w:cs="Arial"/>
        </w:rPr>
        <w:fldChar w:fldCharType="end"/>
      </w:r>
      <w:r w:rsidR="00877B8A">
        <w:rPr>
          <w:rFonts w:ascii="Calibri" w:hAnsi="Calibri" w:cs="Arial"/>
        </w:rPr>
        <w:t>, an</w:t>
      </w:r>
      <w:r w:rsidR="00EE3BCA">
        <w:rPr>
          <w:rFonts w:ascii="Calibri" w:hAnsi="Calibri" w:cs="Arial"/>
        </w:rPr>
        <w:t xml:space="preserve"> interesting </w:t>
      </w:r>
      <w:r w:rsidR="00877B8A">
        <w:rPr>
          <w:rFonts w:ascii="Calibri" w:hAnsi="Calibri" w:cs="Arial"/>
        </w:rPr>
        <w:t xml:space="preserve">proposition </w:t>
      </w:r>
      <w:r w:rsidR="00185291">
        <w:rPr>
          <w:rFonts w:ascii="Calibri" w:hAnsi="Calibri" w:cs="Arial"/>
        </w:rPr>
        <w:t>given RSV wa</w:t>
      </w:r>
      <w:r w:rsidR="00EE3BCA">
        <w:rPr>
          <w:rFonts w:ascii="Calibri" w:hAnsi="Calibri" w:cs="Arial"/>
        </w:rPr>
        <w:t xml:space="preserve">s classically considered a disease of the lower airways </w:t>
      </w:r>
      <w:r w:rsidR="00EE3BCA">
        <w:rPr>
          <w:rFonts w:ascii="Calibri" w:hAnsi="Calibri" w:cs="Arial"/>
        </w:rPr>
        <w:fldChar w:fldCharType="begin" w:fldLock="1"/>
      </w:r>
      <w:r w:rsidR="00E07870">
        <w:rPr>
          <w:rFonts w:ascii="Calibri" w:hAnsi="Calibri" w:cs="Arial"/>
        </w:rPr>
        <w:instrText>ADDIN CSL_CITATION { "citationItems" : [ { "id" : "ITEM-1", "itemData" : { "DOI" : "10.1128/JVI.79.13.8651-8654.2005", "ISSN" : "0022-538X", "PMID" : "15956607", "abstract" : "Respiratory syncytial virus (RSV) is the most important cause of lower respiratory tract disease in infants and children. To study RSV replication, we have developed an in vitro model of human nasopharyngeal mucosa, human airway epithelium (HAE). RSV grows to moderate titers in HAE, though they are significantly lower than those in a continuous epithelial cell line, HEp-2. In HAE, RSV spreads over time to form focal collections of infected cells causing minimal cytopathic effect. Unlike HEp-2 cells, in which wild-type and live-attenuated vaccine candidate viruses grow equally well, the vaccine candidates exhibit growth in HAE that parallels their level of attenuation in children.", "author" : [ { "dropping-particle" : "", "family" : "Wright", "given" : "Peter F", "non-dropping-particle" : "", "parse-names" : false, "suffix" : "" }, { "dropping-particle" : "", "family" : "Ikizler", "given" : "Mine R", "non-dropping-particle" : "", "parse-names" : false, "suffix" : "" }, { "dropping-particle" : "", "family" : "Gonzales", "given" : "Ricardo A", "non-dropping-particle" : "", "parse-names" : false, "suffix" : "" }, { "dropping-particle" : "", "family" : "Carroll", "given" : "Kecia N", "non-dropping-particle" : "", "parse-names" : false, "suffix" : "" }, { "dropping-particle" : "", "family" : "Johnson", "given" : "Joyce E", "non-dropping-particle" : "", "parse-names" : false, "suffix" : "" }, { "dropping-particle" : "", "family" : "Werkhaven", "given" : "Jay A", "non-dropping-particle" : "", "parse-names" : false, "suffix" : "" } ], "container-title" : "Journal of virology", "id" : "ITEM-1", "issue" : "13", "issued" : { "date-parts" : [ [ "2005", "7", "1" ] ] }, "page" : "8651-4", "title" : "Growth of respiratory syncytial virus in primary epithelial cells from the human respiratory tract.", "type" : "article-journal", "volume" : "79" }, "uris" : [ "http://www.mendeley.com/documents/?uuid=1034a5e1-1090-4e67-a3c9-dfefeb75f96a", "http://www.mendeley.com/documents/?uuid=db833633-57df-4b02-9494-d6077d3c280d" ] } ], "mendeley" : { "formattedCitation" : "(Wright et al., 2005)", "plainTextFormattedCitation" : "(Wright et al., 2005)", "previouslyFormattedCitation" : "(Wright et al., 2005)" }, "properties" : { "noteIndex" : 0 }, "schema" : "https://github.com/citation-style-language/schema/raw/master/csl-citation.json" }</w:instrText>
      </w:r>
      <w:r w:rsidR="00EE3BCA">
        <w:rPr>
          <w:rFonts w:ascii="Calibri" w:hAnsi="Calibri" w:cs="Arial"/>
        </w:rPr>
        <w:fldChar w:fldCharType="separate"/>
      </w:r>
      <w:r w:rsidR="00E07870" w:rsidRPr="00E07870">
        <w:rPr>
          <w:rFonts w:ascii="Calibri" w:hAnsi="Calibri" w:cs="Arial"/>
          <w:noProof/>
        </w:rPr>
        <w:t>(Wright et al., 2005)</w:t>
      </w:r>
      <w:r w:rsidR="00EE3BCA">
        <w:rPr>
          <w:rFonts w:ascii="Calibri" w:hAnsi="Calibri" w:cs="Arial"/>
        </w:rPr>
        <w:fldChar w:fldCharType="end"/>
      </w:r>
      <w:r w:rsidR="00EE3BCA">
        <w:rPr>
          <w:rFonts w:ascii="Calibri" w:hAnsi="Calibri" w:cs="Arial"/>
        </w:rPr>
        <w:t>.</w:t>
      </w:r>
    </w:p>
    <w:p w14:paraId="27630DA4" w14:textId="77777777" w:rsidR="00333C03" w:rsidRDefault="00333C03" w:rsidP="005837A4">
      <w:pPr>
        <w:spacing w:line="480" w:lineRule="auto"/>
        <w:jc w:val="both"/>
        <w:rPr>
          <w:rFonts w:ascii="Calibri" w:hAnsi="Calibri" w:cs="Arial"/>
        </w:rPr>
      </w:pPr>
    </w:p>
    <w:p w14:paraId="540E196F" w14:textId="17609988" w:rsidR="002B5E50" w:rsidRDefault="00C11FE4" w:rsidP="005837A4">
      <w:pPr>
        <w:spacing w:line="480" w:lineRule="auto"/>
        <w:jc w:val="both"/>
        <w:rPr>
          <w:rFonts w:ascii="Calibri" w:hAnsi="Calibri" w:cs="Arial"/>
        </w:rPr>
      </w:pPr>
      <w:r>
        <w:rPr>
          <w:rFonts w:ascii="Calibri" w:hAnsi="Calibri" w:cs="Arial"/>
        </w:rPr>
        <w:t xml:space="preserve">The progressive onset of symptoms from the upper to the lower airways </w:t>
      </w:r>
      <w:r w:rsidR="007C46DD">
        <w:rPr>
          <w:rFonts w:ascii="Calibri" w:hAnsi="Calibri" w:cs="Arial"/>
        </w:rPr>
        <w:t>had been</w:t>
      </w:r>
      <w:r>
        <w:rPr>
          <w:rFonts w:ascii="Calibri" w:hAnsi="Calibri" w:cs="Arial"/>
        </w:rPr>
        <w:t xml:space="preserve"> documented in </w:t>
      </w:r>
      <w:r w:rsidR="00877B8A">
        <w:rPr>
          <w:rFonts w:ascii="Calibri" w:hAnsi="Calibri" w:cs="Arial"/>
        </w:rPr>
        <w:t>animal models</w:t>
      </w:r>
      <w:r w:rsidR="00D93238">
        <w:rPr>
          <w:rFonts w:ascii="Calibri" w:hAnsi="Calibri" w:cs="Arial"/>
        </w:rPr>
        <w:t xml:space="preserve"> </w:t>
      </w:r>
      <w:r w:rsidR="00877B8A">
        <w:rPr>
          <w:rFonts w:ascii="Calibri" w:hAnsi="Calibri" w:cs="Arial"/>
        </w:rPr>
        <w:fldChar w:fldCharType="begin" w:fldLock="1"/>
      </w:r>
      <w:r w:rsidR="007563B0">
        <w:rPr>
          <w:rFonts w:ascii="Calibri" w:hAnsi="Calibri" w:cs="Arial"/>
        </w:rPr>
        <w:instrText>ADDIN CSL_CITATION { "citationItems" : [ { "id" : "ITEM-1", "itemData" : { "DOI" : "10.1128/JVI.79.10.6035-6042.2005", "ISSN" : "0022-538X", "PMID" : "15857989", "abstract" : "Respiratory syncytial virus (RSV) is a major cause of lower respiratory tract infections in infants and the elderly. While the primary infection is the most serious, reinfection of the upper airway throughout life is the rule. Although relatively little is known about either RSV infection of the upper respiratory tract or host mucosal immunity to RSV, recent literature suggests that RSV is the predominant viral pathogen predisposing to bacterial otitis media (OM). Herein, we describe mouse and chinchilla models of RSV infection of the nasopharynx and Eustachian tube. Both rodent hosts were susceptible to RSV infection of the upper airway following intranasal challenge; however, the chinchilla proved to be more permissive than the mouse. The chinchilla model will likely be extremely useful to test the role of RSV in bacterial OM and the efficacy of RSV vaccine candidates designed to provide mucosal and cytotoxic T-lymphocyte immunity. Ultimately, we hope to investigate the relative ability of these candidates to potentially protect against viral predisposal to bacterial OM.", "author" : [ { "dropping-particle" : "", "family" : "Gitiban", "given" : "Negin", "non-dropping-particle" : "", "parse-names" : false, "suffix" : "" }, { "dropping-particle" : "", "family" : "Jurcisek", "given" : "Joseph A", "non-dropping-particle" : "", "parse-names" : false, "suffix" : "" }, { "dropping-particle" : "", "family" : "Harris", "given" : "Randall H", "non-dropping-particle" : "", "parse-names" : false, "suffix" : "" }, { "dropping-particle" : "", "family" : "Mertz", "given" : "Sara E", "non-dropping-particle" : "", "parse-names" : false, "suffix" : "" }, { "dropping-particle" : "", "family" : "Durbin", "given" : "Russell K", "non-dropping-particle" : "", "parse-names" : false, "suffix" : "" }, { "dropping-particle" : "", "family" : "Bakaletz", "given" : "Lauren O", "non-dropping-particle" : "", "parse-names" : false, "suffix" : "" }, { "dropping-particle" : "", "family" : "Durbin", "given" : "Joan E", "non-dropping-particle" : "", "parse-names" : false, "suffix" : "" } ], "container-title" : "Journal of virology", "id" : "ITEM-1", "issue" : "10", "issued" : { "date-parts" : [ [ "2005", "5" ] ] }, "page" : "6035-42", "title" : "Chinchilla and murine models of upper respiratory tract infections with respiratory syncytial virus.", "type" : "article-journal", "volume" : "79" }, "uris" : [ "http://www.mendeley.com/documents/?uuid=404fc2b9-36e8-4df6-9fbb-8e21debe7a2e", "http://www.mendeley.com/documents/?uuid=6eedac5b-034b-49a2-8393-dc50af978f04" ] }, { "id" : "ITEM-2", "itemData" : { "ISSN" : "0146-6615", "PMID" : "210254", "abstract" : "Into 14 juvenile cebus monkeys that lacked serum antibodies for RS virus 10(8) plaque-forming units (pfu) of wild-type respiratory syncytial (RS) virus were inoculated transtracheally. Roentgenographic evidence of pneumonia developed in 13 of 14 infected animals. Gross pathologic changes occurred in each of the 13 monkeys that were sacrificed. Patchy areas of red consolidation were seen in the lower lobes 24 hours after inoculation, and there was progression to gray consolidation seven days later. Each of the infected animals had histologic evidence of interstitial pneumonia. Changes were detected in the lung as early as 24 hours after inoculation; they consisted primarily of infiltration of the alveolar wall. By the fourth to sixth day after inoculation there was marked interstitial thickening, pulmonary consolidation, formation of multinucleated giant cells and development of eosinophilic cytoplasmic inclusion bodies within alveolar cells. RS viral antigens, detected by indirect immunofluorescence, were distributed throughout cells of the alveolar wall and the bronchiolar epithelium. The virus grew to highest titer in the lungs on the fourth to sixth day after inoculation; up to 10(8) pfu/gram of tissue were detected. The cebus monkey represents the first experimental host to develop extensive pulmonary lesions during infection with respiratory syncytial virus.", "author" : [ { "dropping-particle" : "", "family" : "Richardson", "given" : "L S", "non-dropping-particle" : "", "parse-names" : false, "suffix" : "" }, { "dropping-particle" : "", "family" : "Belshe", "given" : "R B", "non-dropping-particle" : "", "parse-names" : false, "suffix" : "" }, { "dropping-particle" : "", "family" : "Sly", "given" : "D L", "non-dropping-particle" : "", "parse-names" : false, "suffix" : "" }, { "dropping-particle" : "", "family" : "London", "given" : "W T", "non-dropping-particle" : "", "parse-names" : false, "suffix" : "" }, { "dropping-particle" : "", "family" : "Prevar", "given" : "D A", "non-dropping-particle" : "", "parse-names" : false, "suffix" : "" }, { "dropping-particle" : "", "family" : "Camargo", "given" : "E", "non-dropping-particle" : "", "parse-names" : false, "suffix" : "" }, { "dropping-particle" : "", "family" : "Chanock", "given" : "R M", "non-dropping-particle" : "", "parse-names" : false, "suffix" : "" } ], "container-title" : "Journal of medical virology", "id" : "ITEM-2", "issue" : "1", "issued" : { "date-parts" : [ [ "1978", "1" ] ] }, "page" : "45-59", "title" : "Experimental respiratory syncytial virus pneumonia in cebus monkeys.", "type" : "article-journal", "volume" : "2" }, "uris" : [ "http://www.mendeley.com/documents/?uuid=5a64c26b-bb3d-480e-bc4c-00ab47471da8", "http://www.mendeley.com/documents/?uuid=fb9a2a6d-ea36-4cdf-87a9-66ebb0e29769" ] } ], "mendeley" : { "formattedCitation" : "(Gitiban et al., 2005; Richardson et al., 1978)", "plainTextFormattedCitation" : "(Gitiban et al., 2005; Richardson et al., 1978)", "previouslyFormattedCitation" : "(Gitiban et al., 2005; Richardson et al., 1978)" }, "properties" : { "noteIndex" : 0 }, "schema" : "https://github.com/citation-style-language/schema/raw/master/csl-citation.json" }</w:instrText>
      </w:r>
      <w:r w:rsidR="00877B8A">
        <w:rPr>
          <w:rFonts w:ascii="Calibri" w:hAnsi="Calibri" w:cs="Arial"/>
        </w:rPr>
        <w:fldChar w:fldCharType="separate"/>
      </w:r>
      <w:r w:rsidR="009151F4" w:rsidRPr="009151F4">
        <w:rPr>
          <w:rFonts w:ascii="Calibri" w:hAnsi="Calibri" w:cs="Arial"/>
          <w:noProof/>
        </w:rPr>
        <w:t>(Gitiban et al., 2005; Richardson et al., 1978)</w:t>
      </w:r>
      <w:r w:rsidR="00877B8A">
        <w:rPr>
          <w:rFonts w:ascii="Calibri" w:hAnsi="Calibri" w:cs="Arial"/>
        </w:rPr>
        <w:fldChar w:fldCharType="end"/>
      </w:r>
      <w:r w:rsidR="00D93238">
        <w:rPr>
          <w:rFonts w:ascii="Calibri" w:hAnsi="Calibri" w:cs="Arial"/>
        </w:rPr>
        <w:t xml:space="preserve"> and clinical</w:t>
      </w:r>
      <w:r w:rsidR="00877B8A">
        <w:rPr>
          <w:rFonts w:ascii="Calibri" w:hAnsi="Calibri" w:cs="Arial"/>
        </w:rPr>
        <w:t>ly</w:t>
      </w:r>
      <w:r w:rsidR="00D93238">
        <w:rPr>
          <w:rFonts w:ascii="Calibri" w:hAnsi="Calibri" w:cs="Arial"/>
        </w:rPr>
        <w:t xml:space="preserve"> </w:t>
      </w:r>
      <w:r w:rsidR="00D93238">
        <w:rPr>
          <w:rFonts w:ascii="Calibri" w:hAnsi="Calibri" w:cs="Arial"/>
        </w:rPr>
        <w:lastRenderedPageBreak/>
        <w:fldChar w:fldCharType="begin" w:fldLock="1"/>
      </w:r>
      <w:r w:rsidR="00A51350">
        <w:rPr>
          <w:rFonts w:ascii="Calibri" w:hAnsi="Calibri" w:cs="Arial"/>
        </w:rPr>
        <w:instrText>ADDIN CSL_CITATION { "citationItems" : [ { "id" : "ITEM-1", "itemData" : { "ISSN" : "0022-1899", "PMID" : "808581", "abstract" : "Quantitative shedding patterns of respiratory syncytial virus in 40 infants hospitalized with acute disease of the lower respiratory tract were determined for elucidation of the pathophysiology of infection with the virus. Nasal wash specimens were collected on admission and daily thereafter and were tested for the presence and quantities of respiratory syncytial virus. The following pattern of shedding was observed. (1) The virus was shed for prolonged periods. For the first seven days of hospitalization, 92%-100% of the infants tested continued to shed virus. At discharge 87% were still shedding the virus. (2) Respiratory syncytial virus was present in high titer in the nasal secretions obtained at the time of admission. The mean titer in these samples was 5.0 log10 TCID50. (3) The titer of respiratory syncytial virus did not fall during the first few days of hospitalization, despite clinical improvement of the infants. Neither peak nor admission titers of virus could be correlated with age or with the severity of disease. However, the mean admission titer in patients with bronchiolitis appeared to be significantly higher than that in those with pneumonia.", "author" : [ { "dropping-particle" : "", "family" : "Hall", "given" : "C B", "non-dropping-particle" : "", "parse-names" : false, "suffix" : "" }, { "dropping-particle" : "", "family" : "Douglas", "given" : "R G", "non-dropping-particle" : "", "parse-names" : false, "suffix" : "" }, { "dropping-particle" : "", "family" : "Geiman", "given" : "J M", "non-dropping-particle" : "", "parse-names" : false, "suffix" : "" } ], "container-title" : "The Journal of infectious diseases", "id" : "ITEM-1", "issue" : "2", "issued" : { "date-parts" : [ [ "1975", "8" ] ] }, "page" : "151-6", "title" : "Quantitative shedding patterns of respiratory syncytial virus in infants.", "type" : "article-journal", "volume" : "132" }, "uris" : [ "http://www.mendeley.com/documents/?uuid=0d325fd0-9d39-41ea-91f2-db4493db662a", "http://www.mendeley.com/documents/?uuid=dfdc2625-5b64-42e2-8000-b3b9ce6ef842" ] }, { "id" : "ITEM-2", "itemData" : { "ISSN" : "0022-3476", "PMID" : "180274", "abstract" : "Infants hospitalized with respiratory syncytial virus infection were studied to delineate the quantitative shedding patterns and duration of shedding of RSV. Nasal wash specimens collected daily from 19 infants contained a mean maximal titer of 4.34 log10 50% tissue culture infective doses per milliliter. On admission, the mean titer was 4.14 log10 TCID50, with no consistent decline until after Day 6. The mean duration of shedding for 23 patients until they were virus negative was 6.7 days with a range of 1 to 21 days. Quantities of RSV shed were significantly greater in infants less than one month of age and in infants with evidence of pulmonary consolidation on chest roentgenogram. Shedding extended for a significantly longer time in infants with lower respiratory tract disease than in those with clinical manifestations limited to the upper respiratory tract.", "author" : [ { "dropping-particle" : "", "family" : "Hall", "given" : "C B", "non-dropping-particle" : "", "parse-names" : false, "suffix" : "" }, { "dropping-particle" : "", "family" : "Douglas", "given" : "R G", "non-dropping-particle" : "", "parse-names" : false, "suffix" : "" }, { "dropping-particle" : "", "family" : "Geiman", "given" : "J M", "non-dropping-particle" : "", "parse-names" : false, "suffix" : "" } ], "container-title" : "The Journal of pediatrics", "id" : "ITEM-2", "issue" : "1", "issued" : { "date-parts" : [ [ "1976", "7" ] ] }, "page" : "11-5", "title" : "Respiratory syncytial virus infections in infants: quantitation and duration of shedding.", "type" : "article-journal", "volume" : "89" }, "uris" : [ "http://www.mendeley.com/documents/?uuid=fb4f87bf-5f1e-4b36-ae1f-acda3a05a4c5", "http://www.mendeley.com/documents/?uuid=01f86591-29b4-4a34-bbb5-b56df63e211e" ] } ], "mendeley" : { "formattedCitation" : "(Hall, Douglas, &amp; Geiman, 1975, 1976)", "plainTextFormattedCitation" : "(Hall, Douglas, &amp; Geiman, 1975, 1976)", "previouslyFormattedCitation" : "(Hall, Douglas, &amp; Geiman, 1975, 1976)" }, "properties" : { "noteIndex" : 0 }, "schema" : "https://github.com/citation-style-language/schema/raw/master/csl-citation.json" }</w:instrText>
      </w:r>
      <w:r w:rsidR="00D93238">
        <w:rPr>
          <w:rFonts w:ascii="Calibri" w:hAnsi="Calibri" w:cs="Arial"/>
        </w:rPr>
        <w:fldChar w:fldCharType="separate"/>
      </w:r>
      <w:r w:rsidR="00D93238" w:rsidRPr="00D93238">
        <w:rPr>
          <w:rFonts w:ascii="Calibri" w:hAnsi="Calibri" w:cs="Arial"/>
          <w:noProof/>
        </w:rPr>
        <w:t>(Hall, Douglas, &amp; Geiman, 1975, 1976)</w:t>
      </w:r>
      <w:r w:rsidR="00D93238">
        <w:rPr>
          <w:rFonts w:ascii="Calibri" w:hAnsi="Calibri" w:cs="Arial"/>
        </w:rPr>
        <w:fldChar w:fldCharType="end"/>
      </w:r>
      <w:r w:rsidR="00877B8A">
        <w:rPr>
          <w:rFonts w:ascii="Calibri" w:hAnsi="Calibri" w:cs="Arial"/>
        </w:rPr>
        <w:t>, suggesting</w:t>
      </w:r>
      <w:r w:rsidR="00EE3BCA">
        <w:rPr>
          <w:rFonts w:ascii="Calibri" w:hAnsi="Calibri" w:cs="Arial"/>
        </w:rPr>
        <w:t xml:space="preserve"> the virus might indeed establish in the nares and progress</w:t>
      </w:r>
      <w:r w:rsidR="00877B8A">
        <w:rPr>
          <w:rFonts w:ascii="Calibri" w:hAnsi="Calibri" w:cs="Arial"/>
        </w:rPr>
        <w:t>ively infect the lower airways</w:t>
      </w:r>
      <w:r w:rsidR="00033DD4">
        <w:rPr>
          <w:rFonts w:ascii="Calibri" w:hAnsi="Calibri" w:cs="Arial"/>
        </w:rPr>
        <w:t xml:space="preserve"> over several days</w:t>
      </w:r>
      <w:r w:rsidR="00EE3BCA">
        <w:rPr>
          <w:rFonts w:ascii="Calibri" w:hAnsi="Calibri" w:cs="Arial"/>
        </w:rPr>
        <w:t>.</w:t>
      </w:r>
      <w:r w:rsidR="00D93238">
        <w:rPr>
          <w:rFonts w:ascii="Calibri" w:hAnsi="Calibri" w:cs="Arial"/>
        </w:rPr>
        <w:t xml:space="preserve"> However, no data </w:t>
      </w:r>
      <w:r w:rsidR="00877B8A">
        <w:rPr>
          <w:rFonts w:ascii="Calibri" w:hAnsi="Calibri" w:cs="Arial"/>
        </w:rPr>
        <w:t xml:space="preserve">existed confirming </w:t>
      </w:r>
      <w:r w:rsidR="005E171D">
        <w:rPr>
          <w:rFonts w:ascii="Calibri" w:hAnsi="Calibri" w:cs="Arial"/>
        </w:rPr>
        <w:t>this hypothesi</w:t>
      </w:r>
      <w:r w:rsidR="00185291">
        <w:rPr>
          <w:rFonts w:ascii="Calibri" w:hAnsi="Calibri" w:cs="Arial"/>
        </w:rPr>
        <w:t xml:space="preserve">s </w:t>
      </w:r>
      <w:r w:rsidR="00D93238">
        <w:rPr>
          <w:rFonts w:ascii="Calibri" w:hAnsi="Calibri" w:cs="Arial"/>
        </w:rPr>
        <w:fldChar w:fldCharType="begin" w:fldLock="1"/>
      </w:r>
      <w:r w:rsidR="0088045A">
        <w:rPr>
          <w:rFonts w:ascii="Calibri" w:hAnsi="Calibri" w:cs="Arial"/>
        </w:rPr>
        <w:instrText>ADDIN CSL_CITATION { "citationItems" : [ { "id" : "ITEM-1", "itemData" : { "DOI" : "10.1093/infdis/jir494", "ISSN" : "1537-6613", "PMID" : "21881113", "abstract" : "BACKGROUND: Respiratory syncytial virus (RSV) disease severity was thought to be a result of host immunopathology but alternatively may be driven by high-level viral replication. The relationships between RSV load, viral clearance dynamics, and disease severity have not been carefully evaluated.\n\nMETHODS: Previously healthy RSV-infected children &lt;2 years old were recruited. RSV load was measured in respiratory secretions by fresh quantitative culture over 3 hospital days. Measures of disease severity were hospital admission, duration of hospitalization, requirement for intensive care, and respiratory failure.\n\nRESULTS: Multivariate logistic regression models revealed independent predictors of increased duration of hospitalization: male sex, lower weight, and higher viral load on any day. Viral loads at day 3 were more significantly associated with requirement for intensive care and respiratory failure than were viral loads at earlier time points. Faster RSV clearance was independently associated with shorter hospitalization.\n\nDISCUSSION: These observations challenge the immunopathology-based pathogenesis paradigm. They also have major therapeutic implications, suggesting that application of antiviral agents early in the disease course, even at a time when viral replication is at its highest, might improve subsequent morbidity by significantly lowering viral load and direct viral cytopathic effects, and aborting the potential downstream immunopathology.", "author" : [ { "dropping-particle" : "", "family" : "Saleeby", "given" : "Chadi M", "non-dropping-particle" : "El", "parse-names" : false, "suffix" : "" }, { "dropping-particle" : "", "family" : "Bush", "given" : "Andy J", "non-dropping-particle" : "", "parse-names" : false, "suffix" : "" }, { "dropping-particle" : "", "family" : "Harrison", "given" : "Lisa M", "non-dropping-particle" : "", "parse-names" : false, "suffix" : "" }, { "dropping-particle" : "", "family" : "Aitken", "given" : "Jody A", "non-dropping-particle" : "", "parse-names" : false, "suffix" : "" }, { "dropping-particle" : "", "family" : "Devincenzo", "given" : "John P", "non-dropping-particle" : "", "parse-names" : false, "suffix" : "" } ], "container-title" : "The Journal of infectious diseases", "id" : "ITEM-1", "issue" : "7", "issued" : { "date-parts" : [ [ "2011", "10", "1" ] ] }, "page" : "996-1002", "title" : "Respiratory syncytial virus load, viral dynamics, and disease severity in previously healthy naturally infected children.", "type" : "article-journal", "volume" : "204" }, "uris" : [ "http://www.mendeley.com/documents/?uuid=8865efb1-5397-4f7b-97f6-fa798d73a686", "http://www.mendeley.com/documents/?uuid=f5d09ac8-accb-479f-b72d-3bcae84b6767" ] } ], "mendeley" : { "formattedCitation" : "(El Saleeby, Bush, Harrison, Aitken, &amp; Devincenzo, 2011)", "plainTextFormattedCitation" : "(El Saleeby, Bush, Harrison, Aitken, &amp; Devincenzo, 2011)", "previouslyFormattedCitation" : "(El Saleeby, Bush, Harrison, Aitken, &amp; Devincenzo, 2011)" }, "properties" : { "noteIndex" : 0 }, "schema" : "https://github.com/citation-style-language/schema/raw/master/csl-citation.json" }</w:instrText>
      </w:r>
      <w:r w:rsidR="00D93238">
        <w:rPr>
          <w:rFonts w:ascii="Calibri" w:hAnsi="Calibri" w:cs="Arial"/>
        </w:rPr>
        <w:fldChar w:fldCharType="separate"/>
      </w:r>
      <w:r w:rsidR="00D93238" w:rsidRPr="00D93238">
        <w:rPr>
          <w:rFonts w:ascii="Calibri" w:hAnsi="Calibri" w:cs="Arial"/>
          <w:noProof/>
        </w:rPr>
        <w:t>(El Saleeby, Bush, Harrison, Aitken, &amp; Devincenzo, 2011)</w:t>
      </w:r>
      <w:r w:rsidR="00D93238">
        <w:rPr>
          <w:rFonts w:ascii="Calibri" w:hAnsi="Calibri" w:cs="Arial"/>
        </w:rPr>
        <w:fldChar w:fldCharType="end"/>
      </w:r>
      <w:r w:rsidR="00877B8A">
        <w:rPr>
          <w:rFonts w:ascii="Calibri" w:hAnsi="Calibri" w:cs="Arial"/>
        </w:rPr>
        <w:t xml:space="preserve"> and</w:t>
      </w:r>
      <w:r w:rsidR="002B5E50">
        <w:rPr>
          <w:rFonts w:ascii="Calibri" w:hAnsi="Calibri" w:cs="Arial"/>
        </w:rPr>
        <w:t xml:space="preserve"> </w:t>
      </w:r>
      <w:r w:rsidR="00EE3BCA">
        <w:rPr>
          <w:rFonts w:ascii="Calibri" w:hAnsi="Calibri" w:cs="Arial"/>
        </w:rPr>
        <w:t xml:space="preserve">the </w:t>
      </w:r>
      <w:r w:rsidR="00C8103D">
        <w:rPr>
          <w:rFonts w:ascii="Calibri" w:hAnsi="Calibri" w:cs="Arial"/>
        </w:rPr>
        <w:t>role</w:t>
      </w:r>
      <w:r w:rsidR="00EE3BCA">
        <w:rPr>
          <w:rFonts w:ascii="Calibri" w:hAnsi="Calibri" w:cs="Arial"/>
        </w:rPr>
        <w:t xml:space="preserve"> </w:t>
      </w:r>
      <w:r w:rsidR="00877B8A">
        <w:rPr>
          <w:rFonts w:ascii="Calibri" w:hAnsi="Calibri" w:cs="Arial"/>
        </w:rPr>
        <w:t xml:space="preserve">of adaptive </w:t>
      </w:r>
      <w:r w:rsidR="00DD5E6D">
        <w:rPr>
          <w:rFonts w:ascii="Calibri" w:hAnsi="Calibri" w:cs="Arial"/>
        </w:rPr>
        <w:t>immunity</w:t>
      </w:r>
      <w:r w:rsidR="00C8103D">
        <w:rPr>
          <w:rFonts w:ascii="Calibri" w:hAnsi="Calibri" w:cs="Arial"/>
        </w:rPr>
        <w:t xml:space="preserve"> </w:t>
      </w:r>
      <w:r w:rsidR="00877B8A">
        <w:rPr>
          <w:rFonts w:ascii="Calibri" w:hAnsi="Calibri" w:cs="Arial"/>
        </w:rPr>
        <w:t>was overlooked</w:t>
      </w:r>
      <w:r w:rsidR="00033DD4">
        <w:rPr>
          <w:rFonts w:ascii="Calibri" w:hAnsi="Calibri" w:cs="Arial"/>
        </w:rPr>
        <w:t>.</w:t>
      </w:r>
      <w:r w:rsidR="00EE3BCA">
        <w:rPr>
          <w:rFonts w:ascii="Calibri" w:hAnsi="Calibri" w:cs="Arial"/>
        </w:rPr>
        <w:t xml:space="preserve"> </w:t>
      </w:r>
      <w:r w:rsidR="00033DD4">
        <w:rPr>
          <w:rFonts w:ascii="Calibri" w:hAnsi="Calibri" w:cs="Arial"/>
        </w:rPr>
        <w:t xml:space="preserve">Instead, comparable viral loads </w:t>
      </w:r>
      <w:r w:rsidR="00DD5E6D">
        <w:rPr>
          <w:rFonts w:ascii="Calibri" w:hAnsi="Calibri" w:cs="Arial"/>
        </w:rPr>
        <w:t xml:space="preserve">were demonstrated </w:t>
      </w:r>
      <w:r w:rsidR="00033DD4">
        <w:rPr>
          <w:rFonts w:ascii="Calibri" w:hAnsi="Calibri" w:cs="Arial"/>
        </w:rPr>
        <w:t xml:space="preserve">in the upper and lower airways in the mid- to late- stages of infection </w:t>
      </w:r>
      <w:r w:rsidR="00033DD4">
        <w:rPr>
          <w:rFonts w:ascii="Calibri" w:hAnsi="Calibri" w:cs="Arial"/>
        </w:rPr>
        <w:fldChar w:fldCharType="begin" w:fldLock="1"/>
      </w:r>
      <w:r w:rsidR="00033DD4">
        <w:rPr>
          <w:rFonts w:ascii="Calibri" w:hAnsi="Calibri" w:cs="Arial"/>
        </w:rPr>
        <w:instrText>ADDIN CSL_CITATION { "citationItems" : [ { "id" : "ITEM-1", "itemData" : { "DOI" : "10.1128/JCM.43.5.2356-2362.2005", "ISSN" : "0095-1137", "PMID" : "15872266", "abstract" : "Respiratory syncytial virus (RSV) is the most common cause of lower respiratory infection of children. Understanding RSV pathogenesis and evaluating interventions requires quantitative RSV testing. Previous studies have used the plaque assay technique. Real-time reverse transcriptase PCR (RTrtPCR) offers possible greater sensitivity, stability after freeze/thaw, and lower cost, thus facilitating multicenter studies. We developed RTrtPCR assays based upon the RSV N and F genes. The N-gene assay detected greater RSV quantity and was further evaluated. Standard curves utilized both extractions from RSV culture supernatants of known quantity and cloned purified copies of the target DNA. In vitro, the ratio of RSV subgroup A (RSV-A) genome copies to PFU was 153:1. A total of 462 samples collected quantitatively from 259 children were analyzed in duplicate by RTrtPCR. Results were compared with those of RSV plaque assays performed on fresh aliquots from the same children. Duplicate RTrtPCR results were highly correlated (r2 = 0.9964). The mean viral load from nasal washes obtained on the first study day was 5.75 +/- standard error of the mean 0.09 log PFU equivalents (PFUe)/ml. Viral load by RTrtPCR correlated with plaque assay results (r2 = 0.158; P &lt; 0.0001). Within individuals, upper and lower respiratory tract secretions contained similar viral concentrations. RSV-A-infected children had 1.17 log PFUe higher viral loads than did those with RSV-B (P &lt; 0.0001). RSV quantification by RTrtPCR of the N gene is precise and has significant, though limited, correlation with quantitative culture. The utility of the RTrtPCR quantification technique for clinical studies would be solidified after its correlation with RSV disease severity is established.", "author" : [ { "dropping-particle" : "", "family" : "Perkins", "given" : "Stephanie M", "non-dropping-particle" : "", "parse-names" : false, "suffix" : "" }, { "dropping-particle" : "", "family" : "Webb", "given" : "David L", "non-dropping-particle" : "", "parse-names" : false, "suffix" : "" }, { "dropping-particle" : "", "family" : "Torrance", "given" : "Shauna A", "non-dropping-particle" : "", "parse-names" : false, "suffix" : "" }, { "dropping-particle" : "", "family" : "Saleeby", "given" : "Chadi", "non-dropping-particle" : "El", "parse-names" : false, "suffix" : "" }, { "dropping-particle" : "", "family" : "Harrison", "given" : "Lisa M", "non-dropping-particle" : "", "parse-names" : false, "suffix" : "" }, { "dropping-particle" : "", "family" : "Aitken", "given" : "Jody A", "non-dropping-particle" : "", "parse-names" : false, "suffix" : "" }, { "dropping-particle" : "", "family" : "Patel", "given" : "Anami", "non-dropping-particle" : "", "parse-names" : false, "suffix" : "" }, { "dropping-particle" : "", "family" : "DeVincenzo", "given" : "John P", "non-dropping-particle" : "", "parse-names" : false, "suffix" : "" } ], "container-title" : "Journal of clinical microbiology", "id" : "ITEM-1", "issue" : "5", "issued" : { "date-parts" : [ [ "2005", "5" ] ] }, "page" : "2356-62", "title" : "Comparison of a real-time reverse transcriptase PCR assay and a culture technique for quantitative assessment of viral load in children naturally infected with respiratory syncytial virus.", "type" : "article-journal", "volume" : "43" }, "uris" : [ "http://www.mendeley.com/documents/?uuid=8d94c0b9-45ba-4efb-a2fd-93d1a6d8fc9a", "http://www.mendeley.com/documents/?uuid=19ad14c9-a93e-4663-890f-f07c7494b5fd" ] } ], "mendeley" : { "formattedCitation" : "(Perkins et al., 2005)", "plainTextFormattedCitation" : "(Perkins et al., 2005)", "previouslyFormattedCitation" : "(Perkins et al., 2005)" }, "properties" : { "noteIndex" : 0 }, "schema" : "https://github.com/citation-style-language/schema/raw/master/csl-citation.json" }</w:instrText>
      </w:r>
      <w:r w:rsidR="00033DD4">
        <w:rPr>
          <w:rFonts w:ascii="Calibri" w:hAnsi="Calibri" w:cs="Arial"/>
        </w:rPr>
        <w:fldChar w:fldCharType="separate"/>
      </w:r>
      <w:r w:rsidR="00033DD4" w:rsidRPr="00BC7774">
        <w:rPr>
          <w:rFonts w:ascii="Calibri" w:hAnsi="Calibri" w:cs="Arial"/>
          <w:noProof/>
        </w:rPr>
        <w:t>(Perkins et al., 2005)</w:t>
      </w:r>
      <w:r w:rsidR="00033DD4">
        <w:rPr>
          <w:rFonts w:ascii="Calibri" w:hAnsi="Calibri" w:cs="Arial"/>
        </w:rPr>
        <w:fldChar w:fldCharType="end"/>
      </w:r>
      <w:r w:rsidR="00033DD4">
        <w:rPr>
          <w:rFonts w:ascii="Calibri" w:hAnsi="Calibri" w:cs="Arial"/>
        </w:rPr>
        <w:t xml:space="preserve">. </w:t>
      </w:r>
      <w:r w:rsidR="00877B8A">
        <w:rPr>
          <w:rFonts w:ascii="Calibri" w:hAnsi="Calibri" w:cs="Arial"/>
        </w:rPr>
        <w:t>C</w:t>
      </w:r>
      <w:r w:rsidR="00EE3BCA">
        <w:rPr>
          <w:rFonts w:ascii="Calibri" w:hAnsi="Calibri" w:cs="Arial"/>
        </w:rPr>
        <w:t xml:space="preserve">rucially, </w:t>
      </w:r>
      <w:r w:rsidR="00FB2682">
        <w:rPr>
          <w:rFonts w:ascii="Calibri" w:hAnsi="Calibri" w:cs="Arial"/>
        </w:rPr>
        <w:t xml:space="preserve">the </w:t>
      </w:r>
      <w:r w:rsidR="00EE3BCA">
        <w:rPr>
          <w:rFonts w:ascii="Calibri" w:hAnsi="Calibri" w:cs="Arial"/>
        </w:rPr>
        <w:t>proposed</w:t>
      </w:r>
      <w:r w:rsidR="00FB2682">
        <w:rPr>
          <w:rFonts w:ascii="Calibri" w:hAnsi="Calibri" w:cs="Arial"/>
        </w:rPr>
        <w:t xml:space="preserve"> </w:t>
      </w:r>
      <w:r w:rsidR="00EE3BCA">
        <w:rPr>
          <w:rFonts w:ascii="Calibri" w:hAnsi="Calibri" w:cs="Arial"/>
        </w:rPr>
        <w:t xml:space="preserve">treatment </w:t>
      </w:r>
      <w:r w:rsidR="00FB2682">
        <w:rPr>
          <w:rFonts w:ascii="Calibri" w:hAnsi="Calibri" w:cs="Arial"/>
        </w:rPr>
        <w:t xml:space="preserve">strategy </w:t>
      </w:r>
      <w:r w:rsidR="00EE3BCA">
        <w:rPr>
          <w:rFonts w:ascii="Calibri" w:hAnsi="Calibri" w:cs="Arial"/>
        </w:rPr>
        <w:t xml:space="preserve">was not </w:t>
      </w:r>
      <w:r>
        <w:rPr>
          <w:rFonts w:ascii="Calibri" w:hAnsi="Calibri" w:cs="Arial"/>
        </w:rPr>
        <w:t xml:space="preserve">experimentally tested </w:t>
      </w:r>
      <w:r w:rsidR="00033DD4">
        <w:rPr>
          <w:rFonts w:ascii="Calibri" w:hAnsi="Calibri" w:cs="Arial"/>
        </w:rPr>
        <w:t>to determine whether</w:t>
      </w:r>
      <w:r>
        <w:rPr>
          <w:rFonts w:ascii="Calibri" w:hAnsi="Calibri" w:cs="Arial"/>
        </w:rPr>
        <w:t xml:space="preserve"> antiviral protection across the upper and/</w:t>
      </w:r>
      <w:r w:rsidR="00054D27">
        <w:rPr>
          <w:rFonts w:ascii="Calibri" w:hAnsi="Calibri" w:cs="Arial"/>
        </w:rPr>
        <w:t xml:space="preserve">or lower </w:t>
      </w:r>
      <w:r w:rsidR="00DD5E6D">
        <w:rPr>
          <w:rFonts w:ascii="Calibri" w:hAnsi="Calibri" w:cs="Arial"/>
        </w:rPr>
        <w:t>airways</w:t>
      </w:r>
      <w:r w:rsidR="00054D27">
        <w:rPr>
          <w:rFonts w:ascii="Calibri" w:hAnsi="Calibri" w:cs="Arial"/>
        </w:rPr>
        <w:t xml:space="preserve"> would be</w:t>
      </w:r>
      <w:r>
        <w:rPr>
          <w:rFonts w:ascii="Calibri" w:hAnsi="Calibri" w:cs="Arial"/>
        </w:rPr>
        <w:t xml:space="preserve"> uniquely adequate or jointly necessary. </w:t>
      </w:r>
      <w:r w:rsidR="00033DD4">
        <w:rPr>
          <w:rFonts w:ascii="Calibri" w:hAnsi="Calibri" w:cs="Arial"/>
        </w:rPr>
        <w:t xml:space="preserve">More recent findings </w:t>
      </w:r>
      <w:r w:rsidR="00877B8A">
        <w:rPr>
          <w:rFonts w:ascii="Calibri" w:hAnsi="Calibri" w:cs="Arial"/>
        </w:rPr>
        <w:t xml:space="preserve">indicate RSV might reach the lower airways considerably sooner than clinical symptom onset might otherwise suggest </w:t>
      </w:r>
      <w:r w:rsidR="00877B8A">
        <w:rPr>
          <w:rFonts w:ascii="Calibri" w:hAnsi="Calibri" w:cs="Arial"/>
        </w:rPr>
        <w:fldChar w:fldCharType="begin" w:fldLock="1"/>
      </w:r>
      <w:r w:rsidR="00877B8A">
        <w:rPr>
          <w:rFonts w:ascii="Calibri" w:hAnsi="Calibri" w:cs="Arial"/>
        </w:rPr>
        <w:instrText>ADDIN CSL_CITATION { "citationItems" : [ { "id" : "ITEM-1", "itemData" : { "DOI" : "10.1038/ncomms6104", "ISSN" : "2041-1723", "PMID" : "25277263", "abstract" : "Respiratory syncytial virus (RSV) is the most important cause of severe lower-respiratory tract disease in calves and young children, yet no human vaccine nor efficient curative treatments are available. Here we describe a recombinant human RSV reverse genetics system in which the red fluorescent protein (mCherry) or the firefly luciferase (Luc) genes are inserted into the RSV genome. Expression of mCherry and Luc are correlated with infection rate, allowing the monitoring of RSV multiplication in cell culture. Replication of the Luc-encoding virus in living mice can be visualized by bioluminescent imaging, bioluminescence being detected in the snout and lungs of infected mice after nasal inoculation. We propose that these recombinant viruses are convenient and valuable tools for screening of compounds active against RSV, and can be used as an extremely sensitive readout for studying effects of antiviral therapeutics in living mice.", "author" : [ { "dropping-particle" : "", "family" : "Rameix-Welti", "given" : "Marie-Anne", "non-dropping-particle" : "", "parse-names" : false, "suffix" : "" }, { "dropping-particle" : "", "family" : "Goffic", "given" : "Ronan", "non-dropping-particle" : "Le", "parse-names" : false, "suffix" : "" }, { "dropping-particle" : "", "family" : "Herv\u00e9", "given" : "Pierre-Louis", "non-dropping-particle" : "", "parse-names" : false, "suffix" : "" }, { "dropping-particle" : "", "family" : "Sourimant", "given" : "Julien", "non-dropping-particle" : "", "parse-names" : false, "suffix" : "" }, { "dropping-particle" : "", "family" : "R\u00e9mot", "given" : "Aude", "non-dropping-particle" : "", "parse-names" : false, "suffix" : "" }, { "dropping-particle" : "", "family" : "Riffault", "given" : "Sabine", "non-dropping-particle" : "", "parse-names" : false, "suffix" : "" }, { "dropping-particle" : "", "family" : "Yu", "given" : "Qin", "non-dropping-particle" : "", "parse-names" : false, "suffix" : "" }, { "dropping-particle" : "", "family" : "Galloux", "given" : "Marie", "non-dropping-particle" : "", "parse-names" : false, "suffix" : "" }, { "dropping-particle" : "", "family" : "Gault", "given" : "Elyanne", "non-dropping-particle" : "", "parse-names" : false, "suffix" : "" }, { "dropping-particle" : "", "family" : "El\u00e9ou\u00ebt", "given" : "Jean-Fran\u00e7ois", "non-dropping-particle" : "", "parse-names" : false, "suffix" : "" } ], "container-title" : "Nature communications", "id" : "ITEM-1", "issued" : { "date-parts" : [ [ "2014", "1", "3" ] ] }, "language" : "en", "page" : "5104", "publisher" : "Nature Publishing Group", "title" : "Visualizing the replication of respiratory syncytial virus in cells and in living mice.", "type" : "article-journal", "volume" : "5" }, "uris" : [ "http://www.mendeley.com/documents/?uuid=679391cc-bab9-4677-840f-d75b36fb7f86", "http://www.mendeley.com/documents/?uuid=c5c6ccc6-d7a2-4ac9-8eaf-b6e7a9da2963" ] } ], "mendeley" : { "formattedCitation" : "(Rameix-Welti et al., 2014)", "plainTextFormattedCitation" : "(Rameix-Welti et al., 2014)", "previouslyFormattedCitation" : "(Rameix-Welti et al., 2014)" }, "properties" : { "noteIndex" : 0 }, "schema" : "https://github.com/citation-style-language/schema/raw/master/csl-citation.json" }</w:instrText>
      </w:r>
      <w:r w:rsidR="00877B8A">
        <w:rPr>
          <w:rFonts w:ascii="Calibri" w:hAnsi="Calibri" w:cs="Arial"/>
        </w:rPr>
        <w:fldChar w:fldCharType="separate"/>
      </w:r>
      <w:r w:rsidR="00877B8A" w:rsidRPr="00FB2682">
        <w:rPr>
          <w:rFonts w:ascii="Calibri" w:hAnsi="Calibri" w:cs="Arial"/>
          <w:noProof/>
        </w:rPr>
        <w:t>(Rameix-Welti et al., 2014)</w:t>
      </w:r>
      <w:r w:rsidR="00877B8A">
        <w:rPr>
          <w:rFonts w:ascii="Calibri" w:hAnsi="Calibri" w:cs="Arial"/>
        </w:rPr>
        <w:fldChar w:fldCharType="end"/>
      </w:r>
      <w:r w:rsidR="00877B8A">
        <w:rPr>
          <w:rFonts w:ascii="Calibri" w:hAnsi="Calibri" w:cs="Arial"/>
        </w:rPr>
        <w:t xml:space="preserve">. </w:t>
      </w:r>
    </w:p>
    <w:p w14:paraId="1E0F26F2" w14:textId="77777777" w:rsidR="00333C03" w:rsidRDefault="00333C03" w:rsidP="005837A4">
      <w:pPr>
        <w:spacing w:line="480" w:lineRule="auto"/>
        <w:jc w:val="both"/>
        <w:rPr>
          <w:rFonts w:ascii="Calibri" w:hAnsi="Calibri" w:cs="Arial"/>
        </w:rPr>
      </w:pPr>
    </w:p>
    <w:p w14:paraId="5E0831C8" w14:textId="7BC8F070" w:rsidR="002B71C6" w:rsidRDefault="003D16F8" w:rsidP="005837A4">
      <w:pPr>
        <w:spacing w:line="480" w:lineRule="auto"/>
        <w:jc w:val="both"/>
        <w:rPr>
          <w:rFonts w:ascii="Calibri" w:hAnsi="Calibri" w:cs="Arial"/>
        </w:rPr>
      </w:pPr>
      <w:r>
        <w:rPr>
          <w:rFonts w:ascii="Calibri" w:hAnsi="Calibri" w:cs="Arial"/>
        </w:rPr>
        <w:t xml:space="preserve">The first patient trial sought to test </w:t>
      </w:r>
      <w:r w:rsidR="00033DD4">
        <w:rPr>
          <w:rFonts w:ascii="Calibri" w:hAnsi="Calibri" w:cs="Arial"/>
        </w:rPr>
        <w:t>ALN-RSV01 utility</w:t>
      </w:r>
      <w:r>
        <w:rPr>
          <w:rFonts w:ascii="Calibri" w:hAnsi="Calibri" w:cs="Arial"/>
        </w:rPr>
        <w:t xml:space="preserve"> in preventing development of RSV-mediated </w:t>
      </w:r>
      <w:r w:rsidRPr="00EE3BCA">
        <w:rPr>
          <w:rFonts w:ascii="Calibri" w:hAnsi="Calibri" w:cs="Arial"/>
          <w:i/>
        </w:rPr>
        <w:t>bronchiolitis obliterans</w:t>
      </w:r>
      <w:r w:rsidR="009151F4">
        <w:rPr>
          <w:rFonts w:ascii="Calibri" w:hAnsi="Calibri" w:cs="Arial"/>
        </w:rPr>
        <w:t xml:space="preserve"> syndrome, </w:t>
      </w:r>
      <w:r>
        <w:rPr>
          <w:rFonts w:ascii="Calibri" w:hAnsi="Calibri" w:cs="Arial"/>
        </w:rPr>
        <w:t xml:space="preserve">associated inflammation, infection and ultimately tissue rejection in lung transplant patients </w:t>
      </w:r>
      <w:r>
        <w:rPr>
          <w:rFonts w:ascii="Calibri" w:hAnsi="Calibri" w:cs="Arial"/>
        </w:rPr>
        <w:fldChar w:fldCharType="begin" w:fldLock="1"/>
      </w:r>
      <w:r w:rsidR="00C8187C">
        <w:rPr>
          <w:rFonts w:ascii="Calibri" w:hAnsi="Calibri" w:cs="Arial"/>
        </w:rPr>
        <w:instrText>ADDIN CSL_CITATION { "citationItems" : [ { "id" : "ITEM-1", "itemData" : { "DOI" : "10.1164/rccm.201003-0422OC", "ISSN" : "1535-4970", "PMID" : "20851929", "abstract" : "RATIONALE: Lower respiratory tract infections due to respiratory syncytial virus (RSV) are associated with development of bronchiolitis obliterans syndrome in lung transplant (LTX) recipients. ALN-RSV01 is a small interfering RNA targeting RSV replication.\n\nOBJECTIVES: To determine the safety and explore the efficacy of ALN-RSV01 in RSV infection.\n\nMETHODS: We performed a randomized, double-blind, placebo-controlled trial in LTX recipients with RSV respiratory tract infection. Patients were permitted to receive standard of care for RSV. Aerosolized ALN-RSV01 (0.6 mg/kg) or placebo was administered daily for 3 days. Viral load was determined by quantitative reverse transcriptase-polymerase chain reaction on serial nasal swabs. Patients completed symptom score cards twice daily. Lung function, including the incidence of new-onset or progressive bronchiolitis obliterans syndrome, was recorded at Day 90.\n\nMEASUREMENTS AND MAIN RESULTS: We enrolled 24 patients (ALN-RSV01, n = 16; placebo, n = 8); randomization was stratified by ribavirin use. ALN-RSV01 was well tolerated, with no drug-related serious adverse events or post-inhalation perturbations in lung function. Interpretation of viral measures was confounded by baseline differences between the two groups in viral load and time from symptom onset to first dose. Mean daily symptom scores were lower in subjects receiving ALN-RSV01, and the mean cumulative daily total symptom score was significantly lower with ALN-RSV01 (114.7 \u00b1 63.13 vs. 189.3 \u00b1 99.59, P = 0.035). At Day 90, incidence of new or progressive bronchiolitis obliterans syndrome was significantly reduced in ALN-RSV01 recipients compared with placebo (6.3% vs. 50%, P = 0.027).\n\nCONCLUSIONS: ALN-RSV01 was safe and may have beneficial effects on long-term allograft function in LTX patients infected with RSV. Clinical trial registered with www.clinicaltrials.gov (NCT 00658086).", "author" : [ { "dropping-particle" : "", "family" : "Zamora", "given" : "Martin R", "non-dropping-particle" : "", "parse-names" : false, "suffix" : "" }, { "dropping-particle" : "", "family" : "Budev", "given" : "Marie", "non-dropping-particle" : "", "parse-names" : false, "suffix" : "" }, { "dropping-particle" : "", "family" : "Rolfe", "given" : "Mark", "non-dropping-particle" : "", "parse-names" : false, "suffix" : "" }, { "dropping-particle" : "", "family" : "Gottlieb", "given" : "Jens", "non-dropping-particle" : "", "parse-names" : false, "suffix" : "" }, { "dropping-particle" : "", "family" : "Humar", "given" : "Atul", "non-dropping-particle" : "", "parse-names" : false, "suffix" : "" }, { "dropping-particle" : "", "family" : "Devincenzo", "given" : "John", "non-dropping-particle" : "", "parse-names" : false, "suffix" : "" }, { "dropping-particle" : "", "family" : "Vaishnaw", "given" : "Akshay", "non-dropping-particle" : "", "parse-names" : false, "suffix" : "" }, { "dropping-particle" : "", "family" : "Cehelsky", "given" : "Jeffrey", "non-dropping-particle" : "", "parse-names" : false, "suffix" : "" }, { "dropping-particle" : "", "family" : "Albert", "given" : "Gary", "non-dropping-particle" : "", "parse-names" : false, "suffix" : "" }, { "dropping-particle" : "", "family" : "Nochur", "given" : "Sara", "non-dropping-particle" : "", "parse-names" : false, "suffix" : "" }, { "dropping-particle" : "", "family" : "Gollob", "given" : "Jared A", "non-dropping-particle" : "", "parse-names" : false, "suffix" : "" }, { "dropping-particle" : "", "family" : "Glanville", "given" : "Allan R", "non-dropping-particle" : "", "parse-names" : false, "suffix" : "" } ], "container-title" : "American journal of respiratory and critical care medicine", "id" : "ITEM-1", "issue" : "4", "issued" : { "date-parts" : [ [ "2011", "2" ] ] }, "page" : "531-8", "title" : "RNA interference therapy in lung transplant patients infected with respiratory syncytial virus.", "type" : "article-journal", "volume" : "183" }, "uris" : [ "http://www.mendeley.com/documents/?uuid=c629f185-ed6f-4467-9866-eecfa1d01923", "http://www.mendeley.com/documents/?uuid=a96da741-5846-47bf-8e6d-c1525245fc1a" ] } ], "mendeley" : { "formattedCitation" : "(Zamora et al., 2011a)", "plainTextFormattedCitation" : "(Zamora et al., 2011a)", "previouslyFormattedCitation" : "(Zamora et al., 2011a)" }, "properties" : { "noteIndex" : 0 }, "schema" : "https://github.com/citation-style-language/schema/raw/master/csl-citation.json" }</w:instrText>
      </w:r>
      <w:r>
        <w:rPr>
          <w:rFonts w:ascii="Calibri" w:hAnsi="Calibri" w:cs="Arial"/>
        </w:rPr>
        <w:fldChar w:fldCharType="separate"/>
      </w:r>
      <w:r w:rsidR="002A25D9" w:rsidRPr="002A25D9">
        <w:rPr>
          <w:rFonts w:ascii="Calibri" w:hAnsi="Calibri" w:cs="Arial"/>
          <w:noProof/>
        </w:rPr>
        <w:t>(Zamora et al., 2011a)</w:t>
      </w:r>
      <w:r>
        <w:rPr>
          <w:rFonts w:ascii="Calibri" w:hAnsi="Calibri" w:cs="Arial"/>
        </w:rPr>
        <w:fldChar w:fldCharType="end"/>
      </w:r>
      <w:r>
        <w:rPr>
          <w:rFonts w:ascii="Calibri" w:hAnsi="Calibri" w:cs="Arial"/>
        </w:rPr>
        <w:t>. I</w:t>
      </w:r>
      <w:r w:rsidR="00486472">
        <w:rPr>
          <w:rFonts w:ascii="Calibri" w:hAnsi="Calibri" w:cs="Arial"/>
        </w:rPr>
        <w:t>n contrast to the previous studies</w:t>
      </w:r>
      <w:r>
        <w:rPr>
          <w:rFonts w:ascii="Calibri" w:hAnsi="Calibri" w:cs="Arial"/>
        </w:rPr>
        <w:t xml:space="preserve"> </w:t>
      </w:r>
      <w:r w:rsidR="00486472">
        <w:rPr>
          <w:rFonts w:ascii="Calibri" w:hAnsi="Calibri" w:cs="Arial"/>
        </w:rPr>
        <w:fldChar w:fldCharType="begin" w:fldLock="1"/>
      </w:r>
      <w:r w:rsidR="0088045A">
        <w:rPr>
          <w:rFonts w:ascii="Calibri" w:hAnsi="Calibri" w:cs="Arial"/>
        </w:rPr>
        <w:instrText>ADDIN CSL_CITATION { "citationItems" : [ { "id" : "ITEM-1", "itemData" : { "DOI" : "10.1016/j.antiviral.2007.11.009", "ISSN" : "0166-3542", "PMID" : "18242722", "abstract" : "Small interfering RNAs (siRNAs) work through RNA interference (RNAi), the natural RNA inhibitory pathway, to down-regulate protein production by inhibiting targeted mRNA in a sequence-specific manner. ALN-RSV01 is an siRNA directed against the mRNA encoding the N-protein of respiratory syncytial virus (RSV) that exhibits specific in vitro and in vivo anti-RSV activity. The results of two safety and tolerability studies with ALN-RSV01 involving 101 healthy adults (65 active, 36 placebo, single- and multiple dose, observer-blind, randomized dose-escalation) are described. Intranasal administration of ALN-RSV01 was well tolerated over a dose range up through 150mg as a single dose and for five daily doses. Adverse events were similar in frequency and severity to placebo (normal saline) and were transient, mild to moderate, with no dose-dependent trend. The frequency or severity of adverse events did not increase with increasing ALN-RSV01 exposure. All subjects completed all treatments and assessments with no early withdrawals or serious adverse events. Physical examinations, vital signs, ECGs and laboratory tests were normal. Systemic bioavailability of ALN-RSV01 was minimal. ALN-RSV01 appears safe and well tolerated when delivered intranasally and is a promising therapeutic candidate for further clinical development.", "author" : [ { "dropping-particle" : "", "family" : "DeVincenzo", "given" : "John", "non-dropping-particle" : "", "parse-names" : false, "suffix" : "" }, { "dropping-particle" : "", "family" : "Cehelsky", "given" : "Jeffrey E", "non-dropping-particle" : "", "parse-names" : false, "suffix" : "" }, { "dropping-particle" : "", "family" : "Alvarez", "given" : "Rene", "non-dropping-particle" : "", "parse-names" : false, "suffix" : "" }, { "dropping-particle" : "", "family" : "Elbashir", "given" : "Sayda", "non-dropping-particle" : "", "parse-names" : false, "suffix" : "" }, { "dropping-particle" : "", "family" : "Harborth", "given" : "Jens", "non-dropping-particle" : "", "parse-names" : false, "suffix" : "" }, { "dropping-particle" : "", "family" : "Toudjarska", "given" : "Iva", "non-dropping-particle" : "", "parse-names" : false, "suffix" : "" }, { "dropping-particle" : "", "family" : "Nechev", "given" : "Lubomir", "non-dropping-particle" : "", "parse-names" : false, "suffix" : "" }, { "dropping-particle" : "", "family" : "Murugaiah", "given" : "Veeravagu", "non-dropping-particle" : "", "parse-names" : false, "suffix" : "" }, { "dropping-particle" : "", "family" : "Vliet", "given" : "Andre", "non-dropping-particle" : "Van", "parse-names" : false, "suffix" : "" }, { "dropping-particle" : "", "family" : "Vaishnaw", "given" : "Akshay K", "non-dropping-particle" : "", "parse-names" : false, "suffix" : "" }, { "dropping-particle" : "", "family" : "Meyers", "given" : "Rachel", "non-dropping-particle" : "", "parse-names" : false, "suffix" : "" } ], "container-title" : "Antiviral research", "id" : "ITEM-1", "issue" : "3", "issued" : { "date-parts" : [ [ "2008", "3" ] ] }, "page" : "225-31", "title" : "Evaluation of the safety, tolerability and pharmacokinetics of ALN-RSV01, a novel RNAi antiviral therapeutic directed against respiratory syncytial virus (RSV).", "type" : "article-journal", "volume" : "77" }, "uris" : [ "http://www.mendeley.com/documents/?uuid=9ee452bc-6de8-4ccd-a725-01b79398ee48" ] }, { "id" : "ITEM-2", "itemData" : { "DOI" : "10.1073/pnas.0912186107", "ISSN" : "1091-6490", "PMID" : "20421463", "abstract" : "RNA interference (RNAi) is a natural mechanism regulating protein expression that is mediated by small interfering RNAs (siRNA). Harnessing RNAi has potential to treat human disease; however, clinical evidence for the effectiveness of this therapeutic approach is lacking. ALN-RSV01 is an siRNA directed against the mRNA of the respiratory syncytial virus (RSV) nucleocapsid (N) protein and has substantial antiviral activity in a murine model of RSV infection. We tested the antiviral activity of ALN-RSV01 in adults experimentally infected with wild-type RSV. Eighty-eight healthy subjects were enrolled into a randomized, double-blind, placebo-controlled trial. A nasal spray of ALN-RSV01 or saline placebo was administered daily for 2 days before and for 3 days after RSV inoculation. RSV was measured serially in nasal washes using several different viral assays. Intranasal ALN-RSV01 was well tolerated, exhibiting a safety profile similar to saline placebo. The proportion of culture-defined RSV infections was 71.4 and 44.2% in placebo and ALN-RSV01 recipients, respectively (P = 0.009), representing a 38% decrease in the number of infected and a 95% increase in the number of uninfected subjects. The acquisition of infection over time was significantly lower in ALN-RSV01 recipients (P = 0.007 and P = 0.03, viral culture and PCR, respectively). Multiple logistic regression analysis showed that the ALN-RSV01 antiviral effect was independent of other factors, including preexisting RSV antibody and intranasal proinflammatory cytokine concentrations. ALN-RSV01 has significant antiviral activity against human RSV infection, thus establishing a unique proof-of-concept for an RNAi therapeutic in humans and providing the basis for further evaluation in naturally infected children and adults.", "author" : [ { "dropping-particle" : "", "family" : "DeVincenzo", "given" : "John", "non-dropping-particle" : "", "parse-names" : false, "suffix" : "" }, { "dropping-particle" : "", "family" : "Lambkin-Williams", "given" : "Robert", "non-dropping-particle" : "", "parse-names" : false, "suffix" : "" }, { "dropping-particle" : "", "family" : "Wilkinson", "given" : "Tom", "non-dropping-particle" : "", "parse-names" : false, "suffix" : "" }, { "dropping-particle" : "", "family" : "Cehelsky", "given" : "Jeffrey", "non-dropping-particle" : "", "parse-names" : false, "suffix" : "" }, { "dropping-particle" : "", "family" : "Nochur", "given" : "Sara", "non-dropping-particle" : "", "parse-names" : false, "suffix" : "" }, { "dropping-particle" : "", "family" : "Walsh", "given" : "Edward", "non-dropping-particle" : "", "parse-names" : false, "suffix" : "" }, { "dropping-particle" : "", "family" : "Meyers", "given" : "Rachel", "non-dropping-particle" : "", "parse-names" : false, "suffix" : "" }, { "dropping-particle" : "", "family" : "Gollob", "given" : "Jared", "non-dropping-particle" : "", "parse-names" : false, "suffix" : "" }, { "dropping-particle" : "", "family" : "Vaishnaw", "given" : "Akshay", "non-dropping-particle" : "", "parse-names" : false, "suffix" : "" } ], "container-title" : "Proceedings of the National Academy of Sciences of the United States of America", "id" : "ITEM-2", "issue" : "19", "issued" : { "date-parts" : [ [ "2010", "5" ] ] }, "page" : "8800-5", "title" : "A randomized, double-blind, placebo-controlled study of an RNAi-based therapy directed against respiratory syncytial virus.", "type" : "article-journal", "volume" : "107" }, "uris" : [ "http://www.mendeley.com/documents/?uuid=7dec8b8e-4d57-4407-89ae-e40a6988d794", "http://www.mendeley.com/documents/?uuid=43204f09-97a4-4e21-9fc8-072b18db1704" ] } ], "mendeley" : { "formattedCitation" : "(DeVincenzo et al., 2008, 2010b)", "plainTextFormattedCitation" : "(DeVincenzo et al., 2008, 2010b)", "previouslyFormattedCitation" : "(DeVincenzo et al., 2008, 2010b)" }, "properties" : { "noteIndex" : 0 }, "schema" : "https://github.com/citation-style-language/schema/raw/master/csl-citation.json" }</w:instrText>
      </w:r>
      <w:r w:rsidR="00486472">
        <w:rPr>
          <w:rFonts w:ascii="Calibri" w:hAnsi="Calibri" w:cs="Arial"/>
        </w:rPr>
        <w:fldChar w:fldCharType="separate"/>
      </w:r>
      <w:r w:rsidR="0088045A" w:rsidRPr="0088045A">
        <w:rPr>
          <w:rFonts w:ascii="Calibri" w:hAnsi="Calibri" w:cs="Arial"/>
          <w:noProof/>
        </w:rPr>
        <w:t>(DeVincenzo et al., 2008, 2010b)</w:t>
      </w:r>
      <w:r w:rsidR="00486472">
        <w:rPr>
          <w:rFonts w:ascii="Calibri" w:hAnsi="Calibri" w:cs="Arial"/>
        </w:rPr>
        <w:fldChar w:fldCharType="end"/>
      </w:r>
      <w:r w:rsidR="00486472">
        <w:rPr>
          <w:rFonts w:ascii="Calibri" w:hAnsi="Calibri" w:cs="Arial"/>
        </w:rPr>
        <w:t xml:space="preserve"> </w:t>
      </w:r>
      <w:r>
        <w:rPr>
          <w:rFonts w:ascii="Calibri" w:hAnsi="Calibri" w:cs="Arial"/>
        </w:rPr>
        <w:t xml:space="preserve">the drug was </w:t>
      </w:r>
      <w:r w:rsidR="00033DD4">
        <w:rPr>
          <w:rFonts w:ascii="Calibri" w:hAnsi="Calibri" w:cs="Arial"/>
        </w:rPr>
        <w:t>administered</w:t>
      </w:r>
      <w:r>
        <w:rPr>
          <w:rFonts w:ascii="Calibri" w:hAnsi="Calibri" w:cs="Arial"/>
        </w:rPr>
        <w:t xml:space="preserve"> as an inhaled</w:t>
      </w:r>
      <w:r w:rsidR="00033DD4">
        <w:rPr>
          <w:rFonts w:ascii="Calibri" w:hAnsi="Calibri" w:cs="Arial"/>
        </w:rPr>
        <w:t>,</w:t>
      </w:r>
      <w:r w:rsidR="00486472">
        <w:rPr>
          <w:rFonts w:ascii="Calibri" w:hAnsi="Calibri" w:cs="Arial"/>
        </w:rPr>
        <w:t xml:space="preserve"> saline-formulated</w:t>
      </w:r>
      <w:r>
        <w:rPr>
          <w:rFonts w:ascii="Calibri" w:hAnsi="Calibri" w:cs="Arial"/>
        </w:rPr>
        <w:t xml:space="preserve"> aerosol</w:t>
      </w:r>
      <w:r w:rsidR="007F2391">
        <w:rPr>
          <w:rFonts w:ascii="Calibri" w:hAnsi="Calibri" w:cs="Arial"/>
        </w:rPr>
        <w:t xml:space="preserve"> targeted to the lung only </w:t>
      </w:r>
      <w:r w:rsidR="007F2391">
        <w:rPr>
          <w:rFonts w:ascii="Calibri" w:hAnsi="Calibri" w:cs="Arial"/>
        </w:rPr>
        <w:fldChar w:fldCharType="begin" w:fldLock="1"/>
      </w:r>
      <w:r w:rsidR="0088045A">
        <w:rPr>
          <w:rFonts w:ascii="Calibri" w:hAnsi="Calibri" w:cs="Arial"/>
        </w:rPr>
        <w:instrText>ADDIN CSL_CITATION { "citationItems" : [ { "id" : "ITEM-1", "itemData" : { "DOI" : "10.1016/j.healun.2015.08.012", "ISSN" : "1557-3117", "PMID" : "26452996", "abstract" : "BACKGROUND: Respiratory syncytial virus (RSV) infection in lung transplant (LTx) patients is associated with an increased incidence of bronchiolitis obliterans syndrome (BOS). ALN-RSV01 is a small interfering RNA targeting RSV replication that was shown in an earlier Phase 2a trial to be safe and to reduce the incidence of BOS when compared with placebo.\n\nMETHODS: We performed a Phase 2b randomized, double-blind, placebo-controlled trial in RSV-infected LTx patients to examine the impact of ALN-RSV01 on the incidence of new or progressive BOS. Subjects were randomized (1:1) to receive aerosolized ALN-RSV01 or placebo daily for 5 days.\n\nRESULTS: Of 3,985 symptomatic patients screened, 218 were RSV-positive locally, of whom 87 were randomized to receive ALN-RSV01 or placebo (modified intention-to-treat [mITT] cohort). RSV infection was confirmed by central laboratory in 77 patients (ALN-RSV01, n = 44; placebo, n = 33), which comprised the primary analysis cohort (central mITT [mITTc]). ALN-RSV01 was found to be safe and well-tolerated. At Day 180, in ALN-RSV01-treated patients, compared with placebo, in the mITTc cohort there was a trend toward a decrease in new or progressive BOS (13.6% vs 30.3%, p = 0.058), which was significant in the per-protocol cohort (p = 0.025). Treatment effect was enhanced when ALN-RSV01 was started &lt;5 days from symptom onset, and was observed even without ribavirin treatment. There was no significant impact on viral parameters or symptom scores.\n\nCONCLUSIONS: These results confirm findings of the earlier Phase 2a trial and provide further support that ALN-RSV01 reduces the risk of BOS after RSV in LTx recipients.", "author" : [ { "dropping-particle" : "", "family" : "Gottlieb", "given" : "Jens", "non-dropping-particle" : "", "parse-names" : false, "suffix" : "" }, { "dropping-particle" : "", "family" : "Zamora", "given" : "Martin R", "non-dropping-particle" : "", "parse-names" : false, "suffix" : "" }, { "dropping-particle" : "", "family" : "Hodges", "given" : "Tony", "non-dropping-particle" : "", "parse-names" : false, "suffix" : "" }, { "dropping-particle" : "", "family" : "Musk", "given" : "A W", "non-dropping-particle" : "", "parse-names" : false, "suffix" : "" }, { "dropping-particle" : "", "family" : "Sommerwerk", "given" : "Urte", "non-dropping-particle" : "", "parse-names" : false, "suffix" : "" }, { "dropping-particle" : "", "family" : "Dilling", "given" : "Daniel", "non-dropping-particle" : "", "parse-names" : false, "suffix" : "" }, { "dropping-particle" : "", "family" : "Arcasoy", "given" : "Selim", "non-dropping-particle" : "", "parse-names" : false, "suffix" : "" }, { "dropping-particle" : "", "family" : "DeVincenzo", "given" : "John", "non-dropping-particle" : "", "parse-names" : false, "suffix" : "" }, { "dropping-particle" : "", "family" : "Karsten", "given" : "Verena", "non-dropping-particle" : "", "parse-names" : false, "suffix" : "" }, { "dropping-particle" : "", "family" : "Shah", "given" : "Shaily", "non-dropping-particle" : "", "parse-names" : false, "suffix" : "" }, { "dropping-particle" : "", "family" : "Bettencourt", "given" : "Brian R", "non-dropping-particle" : "", "parse-names" : false, "suffix" : "" }, { "dropping-particle" : "", "family" : "Cehelsky", "given" : "Jeffrey", "non-dropping-particle" : "", "parse-names" : false, "suffix" : "" }, { "dropping-particle" : "", "family" : "Nochur", "given" : "Sara", "non-dropping-particle" : "", "parse-names" : false, "suffix" : "" }, { "dropping-particle" : "", "family" : "Gollob", "given" : "Jared", "non-dropping-particle" : "", "parse-names" : false, "suffix" : "" }, { "dropping-particle" : "", "family" : "Vaishnaw", "given" : "Akshay", "non-dropping-particle" : "", "parse-names" : false, "suffix" : "" }, { "dropping-particle" : "", "family" : "Simon", "given" : "Amy R", "non-dropping-particle" : "", "parse-names" : false, "suffix" : "" }, { "dropping-particle" : "", "family" : "Glanville", "given" : "Allan R", "non-dropping-particle" : "", "parse-names" : false, "suffix" : "" } ], "container-title" : "The Journal of heart and lung transplantation : the official publication of the International Society for Heart Transplantation", "id" : "ITEM-1", "issued" : { "date-parts" : [ [ "2015", "9", "3" ] ] }, "title" : "ALN-RSV01 for prevention of bronchiolitis obliterans syndrome after respiratory syncytial virus infection in lung transplant recipients.", "type" : "article-journal" }, "uris" : [ "http://www.mendeley.com/documents/?uuid=fdfe526f-103d-4c99-ab55-afce6742d090", "http://www.mendeley.com/documents/?uuid=4b2b07f0-cfa3-422f-aab0-ce4b07b07a95" ] } ], "mendeley" : { "formattedCitation" : "(Gottlieb et al., 2015a)", "plainTextFormattedCitation" : "(Gottlieb et al., 2015a)", "previouslyFormattedCitation" : "(Gottlieb et al., 2015a)" }, "properties" : { "noteIndex" : 0 }, "schema" : "https://github.com/citation-style-language/schema/raw/master/csl-citation.json" }</w:instrText>
      </w:r>
      <w:r w:rsidR="007F2391">
        <w:rPr>
          <w:rFonts w:ascii="Calibri" w:hAnsi="Calibri" w:cs="Arial"/>
        </w:rPr>
        <w:fldChar w:fldCharType="separate"/>
      </w:r>
      <w:r w:rsidR="0088045A" w:rsidRPr="0088045A">
        <w:rPr>
          <w:rFonts w:ascii="Calibri" w:hAnsi="Calibri" w:cs="Arial"/>
          <w:noProof/>
        </w:rPr>
        <w:t>(Gottlieb et al., 2015a)</w:t>
      </w:r>
      <w:r w:rsidR="007F2391">
        <w:rPr>
          <w:rFonts w:ascii="Calibri" w:hAnsi="Calibri" w:cs="Arial"/>
        </w:rPr>
        <w:fldChar w:fldCharType="end"/>
      </w:r>
      <w:r w:rsidR="00486472">
        <w:rPr>
          <w:rFonts w:ascii="Calibri" w:hAnsi="Calibri" w:cs="Arial"/>
        </w:rPr>
        <w:t xml:space="preserve">. </w:t>
      </w:r>
      <w:r w:rsidR="00033DD4">
        <w:rPr>
          <w:rFonts w:ascii="Calibri" w:hAnsi="Calibri" w:cs="Arial"/>
        </w:rPr>
        <w:t xml:space="preserve">The 0.6 mg/kg dose, ~1/3 of the 150 mg intranasal dose </w:t>
      </w:r>
      <w:r w:rsidR="00033DD4">
        <w:rPr>
          <w:rFonts w:ascii="Calibri" w:hAnsi="Calibri" w:cs="Arial"/>
        </w:rPr>
        <w:fldChar w:fldCharType="begin" w:fldLock="1"/>
      </w:r>
      <w:r w:rsidR="00033DD4">
        <w:rPr>
          <w:rFonts w:ascii="Calibri" w:hAnsi="Calibri" w:cs="Arial"/>
        </w:rPr>
        <w:instrText>ADDIN CSL_CITATION { "citationItems" : [ { "id" : "ITEM-1", "itemData" : { "DOI" : "10.1016/j.antiviral.2007.11.009", "ISSN" : "0166-3542", "PMID" : "18242722", "abstract" : "Small interfering RNAs (siRNAs) work through RNA interference (RNAi), the natural RNA inhibitory pathway, to down-regulate protein production by inhibiting targeted mRNA in a sequence-specific manner. ALN-RSV01 is an siRNA directed against the mRNA encoding the N-protein of respiratory syncytial virus (RSV) that exhibits specific in vitro and in vivo anti-RSV activity. The results of two safety and tolerability studies with ALN-RSV01 involving 101 healthy adults (65 active, 36 placebo, single- and multiple dose, observer-blind, randomized dose-escalation) are described. Intranasal administration of ALN-RSV01 was well tolerated over a dose range up through 150mg as a single dose and for five daily doses. Adverse events were similar in frequency and severity to placebo (normal saline) and were transient, mild to moderate, with no dose-dependent trend. The frequency or severity of adverse events did not increase with increasing ALN-RSV01 exposure. All subjects completed all treatments and assessments with no early withdrawals or serious adverse events. Physical examinations, vital signs, ECGs and laboratory tests were normal. Systemic bioavailability of ALN-RSV01 was minimal. ALN-RSV01 appears safe and well tolerated when delivered intranasally and is a promising therapeutic candidate for further clinical development.", "author" : [ { "dropping-particle" : "", "family" : "DeVincenzo", "given" : "John", "non-dropping-particle" : "", "parse-names" : false, "suffix" : "" }, { "dropping-particle" : "", "family" : "Cehelsky", "given" : "Jeffrey E", "non-dropping-particle" : "", "parse-names" : false, "suffix" : "" }, { "dropping-particle" : "", "family" : "Alvarez", "given" : "Rene", "non-dropping-particle" : "", "parse-names" : false, "suffix" : "" }, { "dropping-particle" : "", "family" : "Elbashir", "given" : "Sayda", "non-dropping-particle" : "", "parse-names" : false, "suffix" : "" }, { "dropping-particle" : "", "family" : "Harborth", "given" : "Jens", "non-dropping-particle" : "", "parse-names" : false, "suffix" : "" }, { "dropping-particle" : "", "family" : "Toudjarska", "given" : "Iva", "non-dropping-particle" : "", "parse-names" : false, "suffix" : "" }, { "dropping-particle" : "", "family" : "Nechev", "given" : "Lubomir", "non-dropping-particle" : "", "parse-names" : false, "suffix" : "" }, { "dropping-particle" : "", "family" : "Murugaiah", "given" : "Veeravagu", "non-dropping-particle" : "", "parse-names" : false, "suffix" : "" }, { "dropping-particle" : "", "family" : "Vliet", "given" : "Andre", "non-dropping-particle" : "Van", "parse-names" : false, "suffix" : "" }, { "dropping-particle" : "", "family" : "Vaishnaw", "given" : "Akshay K", "non-dropping-particle" : "", "parse-names" : false, "suffix" : "" }, { "dropping-particle" : "", "family" : "Meyers", "given" : "Rachel", "non-dropping-particle" : "", "parse-names" : false, "suffix" : "" } ], "container-title" : "Antiviral research", "id" : "ITEM-1", "issue" : "3", "issued" : { "date-parts" : [ [ "2008", "3" ] ] }, "page" : "225-31", "title" : "Evaluation of the safety, tolerability and pharmacokinetics of ALN-RSV01, a novel RNAi antiviral therapeutic directed against respiratory syncytial virus (RSV).", "type" : "article-journal", "volume" : "77" }, "uris" : [ "http://www.mendeley.com/documents/?uuid=9ee452bc-6de8-4ccd-a725-01b79398ee48" ] } ], "mendeley" : { "formattedCitation" : "(DeVincenzo et al., 2008)", "plainTextFormattedCitation" : "(DeVincenzo et al., 2008)", "previouslyFormattedCitation" : "(DeVincenzo et al., 2008)" }, "properties" : { "noteIndex" : 0 }, "schema" : "https://github.com/citation-style-language/schema/raw/master/csl-citation.json" }</w:instrText>
      </w:r>
      <w:r w:rsidR="00033DD4">
        <w:rPr>
          <w:rFonts w:ascii="Calibri" w:hAnsi="Calibri" w:cs="Arial"/>
        </w:rPr>
        <w:fldChar w:fldCharType="separate"/>
      </w:r>
      <w:r w:rsidR="00033DD4" w:rsidRPr="00B94DB4">
        <w:rPr>
          <w:rFonts w:ascii="Calibri" w:hAnsi="Calibri" w:cs="Arial"/>
          <w:noProof/>
        </w:rPr>
        <w:t>(DeVincenzo et al., 2008)</w:t>
      </w:r>
      <w:r w:rsidR="00033DD4">
        <w:rPr>
          <w:rFonts w:ascii="Calibri" w:hAnsi="Calibri" w:cs="Arial"/>
        </w:rPr>
        <w:fldChar w:fldCharType="end"/>
      </w:r>
      <w:r w:rsidR="00033DD4">
        <w:rPr>
          <w:rFonts w:ascii="Calibri" w:hAnsi="Calibri" w:cs="Arial"/>
        </w:rPr>
        <w:t xml:space="preserve">, again achieved </w:t>
      </w:r>
      <w:r w:rsidR="00486472">
        <w:rPr>
          <w:rFonts w:ascii="Calibri" w:hAnsi="Calibri" w:cs="Arial"/>
        </w:rPr>
        <w:t>rapid (&lt;10 min) systemic access</w:t>
      </w:r>
      <w:r w:rsidR="00033DD4">
        <w:rPr>
          <w:rFonts w:ascii="Calibri" w:hAnsi="Calibri" w:cs="Arial"/>
        </w:rPr>
        <w:t xml:space="preserve"> at</w:t>
      </w:r>
      <w:r w:rsidR="00486472">
        <w:rPr>
          <w:rFonts w:ascii="Calibri" w:hAnsi="Calibri" w:cs="Arial"/>
        </w:rPr>
        <w:t xml:space="preserve"> the </w:t>
      </w:r>
      <w:r w:rsidR="00033DD4">
        <w:rPr>
          <w:rFonts w:ascii="Calibri" w:hAnsi="Calibri" w:cs="Arial"/>
        </w:rPr>
        <w:t xml:space="preserve">analytical assay’s </w:t>
      </w:r>
      <w:r w:rsidR="00486472">
        <w:rPr>
          <w:rFonts w:ascii="Calibri" w:hAnsi="Calibri" w:cs="Arial"/>
        </w:rPr>
        <w:t>lower limit of detection.</w:t>
      </w:r>
      <w:r w:rsidR="00B94DB4">
        <w:rPr>
          <w:rFonts w:ascii="Calibri" w:hAnsi="Calibri" w:cs="Arial"/>
        </w:rPr>
        <w:t xml:space="preserve"> </w:t>
      </w:r>
      <w:r w:rsidR="00EA1174">
        <w:rPr>
          <w:rFonts w:ascii="Calibri" w:hAnsi="Calibri" w:cs="Arial"/>
        </w:rPr>
        <w:t>Furthermore,</w:t>
      </w:r>
      <w:r w:rsidR="00323AEF">
        <w:rPr>
          <w:rFonts w:ascii="Calibri" w:hAnsi="Calibri" w:cs="Arial"/>
        </w:rPr>
        <w:t xml:space="preserve"> at least one patient not on corticosteroids exhibit</w:t>
      </w:r>
      <w:r w:rsidR="009151F4">
        <w:rPr>
          <w:rFonts w:ascii="Calibri" w:hAnsi="Calibri" w:cs="Arial"/>
        </w:rPr>
        <w:t>ed</w:t>
      </w:r>
      <w:r w:rsidR="00323AEF">
        <w:rPr>
          <w:rFonts w:ascii="Calibri" w:hAnsi="Calibri" w:cs="Arial"/>
        </w:rPr>
        <w:t xml:space="preserve"> elevated cytokine responses </w:t>
      </w:r>
      <w:r w:rsidR="00323AEF">
        <w:rPr>
          <w:rFonts w:ascii="Calibri" w:hAnsi="Calibri" w:cs="Arial"/>
        </w:rPr>
        <w:fldChar w:fldCharType="begin" w:fldLock="1"/>
      </w:r>
      <w:r w:rsidR="00C8187C">
        <w:rPr>
          <w:rFonts w:ascii="Calibri" w:hAnsi="Calibri" w:cs="Arial"/>
        </w:rPr>
        <w:instrText>ADDIN CSL_CITATION { "citationItems" : [ { "id" : "ITEM-1", "itemData" : { "DOI" : "10.1164/rccm.201003-0422OC", "ISSN" : "1535-4970", "PMID" : "20851929", "abstract" : "RATIONALE: Lower respiratory tract infections due to respiratory syncytial virus (RSV) are associated with development of bronchiolitis obliterans syndrome in lung transplant (LTX) recipients. ALN-RSV01 is a small interfering RNA targeting RSV replication.\n\nOBJECTIVES: To determine the safety and explore the efficacy of ALN-RSV01 in RSV infection.\n\nMETHODS: We performed a randomized, double-blind, placebo-controlled trial in LTX recipients with RSV respiratory tract infection. Patients were permitted to receive standard of care for RSV. Aerosolized ALN-RSV01 (0.6 mg/kg) or placebo was administered daily for 3 days. Viral load was determined by quantitative reverse transcriptase-polymerase chain reaction on serial nasal swabs. Patients completed symptom score cards twice daily. Lung function, including the incidence of new-onset or progressive bronchiolitis obliterans syndrome, was recorded at Day 90.\n\nMEASUREMENTS AND MAIN RESULTS: We enrolled 24 patients (ALN-RSV01, n = 16; placebo, n = 8); randomization was stratified by ribavirin use. ALN-RSV01 was well tolerated, with no drug-related serious adverse events or post-inhalation perturbations in lung function. Interpretation of viral measures was confounded by baseline differences between the two groups in viral load and time from symptom onset to first dose. Mean daily symptom scores were lower in subjects receiving ALN-RSV01, and the mean cumulative daily total symptom score was significantly lower with ALN-RSV01 (114.7 \u00b1 63.13 vs. 189.3 \u00b1 99.59, P = 0.035). At Day 90, incidence of new or progressive bronchiolitis obliterans syndrome was significantly reduced in ALN-RSV01 recipients compared with placebo (6.3% vs. 50%, P = 0.027).\n\nCONCLUSIONS: ALN-RSV01 was safe and may have beneficial effects on long-term allograft function in LTX patients infected with RSV. Clinical trial registered with www.clinicaltrials.gov (NCT 00658086).", "author" : [ { "dropping-particle" : "", "family" : "Zamora", "given" : "Martin R", "non-dropping-particle" : "", "parse-names" : false, "suffix" : "" }, { "dropping-particle" : "", "family" : "Budev", "given" : "Marie", "non-dropping-particle" : "", "parse-names" : false, "suffix" : "" }, { "dropping-particle" : "", "family" : "Rolfe", "given" : "Mark", "non-dropping-particle" : "", "parse-names" : false, "suffix" : "" }, { "dropping-particle" : "", "family" : "Gottlieb", "given" : "Jens", "non-dropping-particle" : "", "parse-names" : false, "suffix" : "" }, { "dropping-particle" : "", "family" : "Humar", "given" : "Atul", "non-dropping-particle" : "", "parse-names" : false, "suffix" : "" }, { "dropping-particle" : "", "family" : "Devincenzo", "given" : "John", "non-dropping-particle" : "", "parse-names" : false, "suffix" : "" }, { "dropping-particle" : "", "family" : "Vaishnaw", "given" : "Akshay", "non-dropping-particle" : "", "parse-names" : false, "suffix" : "" }, { "dropping-particle" : "", "family" : "Cehelsky", "given" : "Jeffrey", "non-dropping-particle" : "", "parse-names" : false, "suffix" : "" }, { "dropping-particle" : "", "family" : "Albert", "given" : "Gary", "non-dropping-particle" : "", "parse-names" : false, "suffix" : "" }, { "dropping-particle" : "", "family" : "Nochur", "given" : "Sara", "non-dropping-particle" : "", "parse-names" : false, "suffix" : "" }, { "dropping-particle" : "", "family" : "Gollob", "given" : "Jared A", "non-dropping-particle" : "", "parse-names" : false, "suffix" : "" }, { "dropping-particle" : "", "family" : "Glanville", "given" : "Allan R", "non-dropping-particle" : "", "parse-names" : false, "suffix" : "" } ], "container-title" : "American journal of respiratory and critical care medicine", "id" : "ITEM-1", "issue" : "4", "issued" : { "date-parts" : [ [ "2011", "2" ] ] }, "page" : "531-8", "title" : "RNA interference therapy in lung transplant patients infected with respiratory syncytial virus.", "type" : "article-journal", "volume" : "183" }, "uris" : [ "http://www.mendeley.com/documents/?uuid=c629f185-ed6f-4467-9866-eecfa1d01923", "http://www.mendeley.com/documents/?uuid=a96da741-5846-47bf-8e6d-c1525245fc1a" ] } ], "mendeley" : { "formattedCitation" : "(Zamora et al., 2011a)", "plainTextFormattedCitation" : "(Zamora et al., 2011a)", "previouslyFormattedCitation" : "(Zamora et al., 2011a)" }, "properties" : { "noteIndex" : 0 }, "schema" : "https://github.com/citation-style-language/schema/raw/master/csl-citation.json" }</w:instrText>
      </w:r>
      <w:r w:rsidR="00323AEF">
        <w:rPr>
          <w:rFonts w:ascii="Calibri" w:hAnsi="Calibri" w:cs="Arial"/>
        </w:rPr>
        <w:fldChar w:fldCharType="separate"/>
      </w:r>
      <w:r w:rsidR="002A25D9" w:rsidRPr="002A25D9">
        <w:rPr>
          <w:rFonts w:ascii="Calibri" w:hAnsi="Calibri" w:cs="Arial"/>
          <w:noProof/>
        </w:rPr>
        <w:t>(Zamora et al., 2011a)</w:t>
      </w:r>
      <w:r w:rsidR="00323AEF">
        <w:rPr>
          <w:rFonts w:ascii="Calibri" w:hAnsi="Calibri" w:cs="Arial"/>
        </w:rPr>
        <w:fldChar w:fldCharType="end"/>
      </w:r>
      <w:r w:rsidR="00B94DB4">
        <w:rPr>
          <w:rFonts w:ascii="Calibri" w:hAnsi="Calibri" w:cs="Arial"/>
        </w:rPr>
        <w:t xml:space="preserve">. </w:t>
      </w:r>
      <w:r w:rsidR="009151F4">
        <w:rPr>
          <w:rFonts w:ascii="Calibri" w:hAnsi="Calibri" w:cs="Arial"/>
        </w:rPr>
        <w:t>No</w:t>
      </w:r>
      <w:r w:rsidR="00323AEF">
        <w:rPr>
          <w:rFonts w:ascii="Calibri" w:hAnsi="Calibri" w:cs="Arial"/>
        </w:rPr>
        <w:t xml:space="preserve"> statistically significant antiviral effect</w:t>
      </w:r>
      <w:r w:rsidR="009151F4">
        <w:rPr>
          <w:rFonts w:ascii="Calibri" w:hAnsi="Calibri" w:cs="Arial"/>
        </w:rPr>
        <w:t xml:space="preserve"> was achieved</w:t>
      </w:r>
      <w:r w:rsidR="00323AEF">
        <w:rPr>
          <w:rFonts w:ascii="Calibri" w:hAnsi="Calibri" w:cs="Arial"/>
        </w:rPr>
        <w:t xml:space="preserve">, </w:t>
      </w:r>
      <w:r w:rsidR="001C5BF1">
        <w:rPr>
          <w:rFonts w:ascii="Calibri" w:hAnsi="Calibri" w:cs="Arial"/>
        </w:rPr>
        <w:t xml:space="preserve">but </w:t>
      </w:r>
      <w:r w:rsidR="00DD5E6D">
        <w:rPr>
          <w:rFonts w:ascii="Calibri" w:hAnsi="Calibri" w:cs="Arial"/>
        </w:rPr>
        <w:t xml:space="preserve">syndrome </w:t>
      </w:r>
      <w:r w:rsidR="001C5BF1">
        <w:rPr>
          <w:rFonts w:ascii="Calibri" w:hAnsi="Calibri" w:cs="Arial"/>
        </w:rPr>
        <w:t>incidence and associated sequelae</w:t>
      </w:r>
      <w:r w:rsidR="009151F4">
        <w:rPr>
          <w:rFonts w:ascii="Calibri" w:hAnsi="Calibri" w:cs="Arial"/>
        </w:rPr>
        <w:t xml:space="preserve"> reduction was reported</w:t>
      </w:r>
      <w:r w:rsidR="001C5BF1">
        <w:rPr>
          <w:rFonts w:ascii="Calibri" w:hAnsi="Calibri" w:cs="Arial"/>
        </w:rPr>
        <w:t xml:space="preserve">. </w:t>
      </w:r>
      <w:r w:rsidR="004B5685">
        <w:rPr>
          <w:rFonts w:ascii="Calibri" w:hAnsi="Calibri" w:cs="Arial"/>
        </w:rPr>
        <w:t>Thus, syndrome incidence was chosen as a sign of efficacy in follow up studies.</w:t>
      </w:r>
    </w:p>
    <w:p w14:paraId="4655C7A3" w14:textId="77777777" w:rsidR="00333C03" w:rsidRDefault="00333C03" w:rsidP="005837A4">
      <w:pPr>
        <w:spacing w:line="480" w:lineRule="auto"/>
        <w:jc w:val="both"/>
        <w:rPr>
          <w:rFonts w:ascii="Calibri" w:hAnsi="Calibri" w:cs="Arial"/>
        </w:rPr>
      </w:pPr>
    </w:p>
    <w:p w14:paraId="1C91EAE7" w14:textId="2BB1F9A8" w:rsidR="00F44CCE" w:rsidRDefault="009151F4" w:rsidP="005837A4">
      <w:pPr>
        <w:spacing w:line="480" w:lineRule="auto"/>
        <w:jc w:val="both"/>
        <w:rPr>
          <w:rFonts w:ascii="Calibri" w:hAnsi="Calibri" w:cs="Arial"/>
        </w:rPr>
      </w:pPr>
      <w:r>
        <w:rPr>
          <w:rFonts w:ascii="Calibri" w:hAnsi="Calibri" w:cs="Arial"/>
        </w:rPr>
        <w:lastRenderedPageBreak/>
        <w:t>In</w:t>
      </w:r>
      <w:r w:rsidR="002B71C6">
        <w:rPr>
          <w:rFonts w:ascii="Calibri" w:hAnsi="Calibri" w:cs="Arial"/>
        </w:rPr>
        <w:t xml:space="preserve"> phase IIb</w:t>
      </w:r>
      <w:r w:rsidR="00D707C3">
        <w:rPr>
          <w:rFonts w:ascii="Calibri" w:hAnsi="Calibri" w:cs="Arial"/>
        </w:rPr>
        <w:t>,</w:t>
      </w:r>
      <w:r w:rsidR="004B5685">
        <w:rPr>
          <w:rFonts w:ascii="Calibri" w:hAnsi="Calibri" w:cs="Arial"/>
        </w:rPr>
        <w:t xml:space="preserve"> however, the incidence rate of</w:t>
      </w:r>
      <w:r w:rsidR="002B71C6">
        <w:rPr>
          <w:rFonts w:ascii="Calibri" w:hAnsi="Calibri" w:cs="Arial"/>
        </w:rPr>
        <w:t xml:space="preserve"> </w:t>
      </w:r>
      <w:r w:rsidR="00A137E2">
        <w:rPr>
          <w:rFonts w:ascii="Calibri" w:hAnsi="Calibri" w:cs="Arial"/>
          <w:i/>
        </w:rPr>
        <w:t xml:space="preserve">bronchiolitis obliterans </w:t>
      </w:r>
      <w:r w:rsidR="007A2E32">
        <w:rPr>
          <w:rFonts w:ascii="Calibri" w:hAnsi="Calibri" w:cs="Arial"/>
        </w:rPr>
        <w:t>syndrome was not reduced in RSV-infected individuals</w:t>
      </w:r>
      <w:r w:rsidR="00304225">
        <w:rPr>
          <w:rFonts w:ascii="Calibri" w:hAnsi="Calibri" w:cs="Arial"/>
        </w:rPr>
        <w:t xml:space="preserve"> </w:t>
      </w:r>
      <w:r w:rsidR="004B5685">
        <w:rPr>
          <w:rFonts w:ascii="Calibri" w:hAnsi="Calibri" w:cs="Arial"/>
        </w:rPr>
        <w:t xml:space="preserve">in a statistically significant manner, </w:t>
      </w:r>
      <w:r w:rsidR="00304225">
        <w:rPr>
          <w:rFonts w:ascii="Calibri" w:hAnsi="Calibri" w:cs="Arial"/>
        </w:rPr>
        <w:t xml:space="preserve">unless strict adherence to the therapeutic protocol was observed (10% </w:t>
      </w:r>
      <w:r w:rsidR="000C6871">
        <w:rPr>
          <w:rFonts w:ascii="Calibri" w:hAnsi="Calibri" w:cs="Arial"/>
        </w:rPr>
        <w:t xml:space="preserve">incidence with treatment </w:t>
      </w:r>
      <w:r w:rsidR="00304225">
        <w:rPr>
          <w:rFonts w:ascii="Calibri" w:hAnsi="Calibri" w:cs="Arial"/>
        </w:rPr>
        <w:t xml:space="preserve">vs 28% incidence </w:t>
      </w:r>
      <w:r w:rsidR="000C6871">
        <w:rPr>
          <w:rFonts w:ascii="Calibri" w:hAnsi="Calibri" w:cs="Arial"/>
        </w:rPr>
        <w:t>with placebo</w:t>
      </w:r>
      <w:r w:rsidR="00304225">
        <w:rPr>
          <w:rFonts w:ascii="Calibri" w:hAnsi="Calibri" w:cs="Arial"/>
        </w:rPr>
        <w:t>, p = 0.025)</w:t>
      </w:r>
      <w:r w:rsidR="007F2391">
        <w:rPr>
          <w:rFonts w:ascii="Calibri" w:hAnsi="Calibri" w:cs="Arial"/>
        </w:rPr>
        <w:t xml:space="preserve"> </w:t>
      </w:r>
      <w:r w:rsidR="007F2391">
        <w:rPr>
          <w:rFonts w:ascii="Calibri" w:hAnsi="Calibri" w:cs="Arial"/>
        </w:rPr>
        <w:fldChar w:fldCharType="begin" w:fldLock="1"/>
      </w:r>
      <w:r w:rsidR="0088045A">
        <w:rPr>
          <w:rFonts w:ascii="Calibri" w:hAnsi="Calibri" w:cs="Arial"/>
        </w:rPr>
        <w:instrText>ADDIN CSL_CITATION { "citationItems" : [ { "id" : "ITEM-1", "itemData" : { "DOI" : "10.1016/j.healun.2015.08.012", "ISSN" : "1557-3117", "PMID" : "26452996", "abstract" : "BACKGROUND: Respiratory syncytial virus (RSV) infection in lung transplant (LTx) patients is associated with an increased incidence of bronchiolitis obliterans syndrome (BOS). ALN-RSV01 is a small interfering RNA targeting RSV replication that was shown in an earlier Phase 2a trial to be safe and to reduce the incidence of BOS when compared with placebo.\n\nMETHODS: We performed a Phase 2b randomized, double-blind, placebo-controlled trial in RSV-infected LTx patients to examine the impact of ALN-RSV01 on the incidence of new or progressive BOS. Subjects were randomized (1:1) to receive aerosolized ALN-RSV01 or placebo daily for 5 days.\n\nRESULTS: Of 3,985 symptomatic patients screened, 218 were RSV-positive locally, of whom 87 were randomized to receive ALN-RSV01 or placebo (modified intention-to-treat [mITT] cohort). RSV infection was confirmed by central laboratory in 77 patients (ALN-RSV01, n = 44; placebo, n = 33), which comprised the primary analysis cohort (central mITT [mITTc]). ALN-RSV01 was found to be safe and well-tolerated. At Day 180, in ALN-RSV01-treated patients, compared with placebo, in the mITTc cohort there was a trend toward a decrease in new or progressive BOS (13.6% vs 30.3%, p = 0.058), which was significant in the per-protocol cohort (p = 0.025). Treatment effect was enhanced when ALN-RSV01 was started &lt;5 days from symptom onset, and was observed even without ribavirin treatment. There was no significant impact on viral parameters or symptom scores.\n\nCONCLUSIONS: These results confirm findings of the earlier Phase 2a trial and provide further support that ALN-RSV01 reduces the risk of BOS after RSV in LTx recipients.", "author" : [ { "dropping-particle" : "", "family" : "Gottlieb", "given" : "Jens", "non-dropping-particle" : "", "parse-names" : false, "suffix" : "" }, { "dropping-particle" : "", "family" : "Zamora", "given" : "Martin R", "non-dropping-particle" : "", "parse-names" : false, "suffix" : "" }, { "dropping-particle" : "", "family" : "Hodges", "given" : "Tony", "non-dropping-particle" : "", "parse-names" : false, "suffix" : "" }, { "dropping-particle" : "", "family" : "Musk", "given" : "A W", "non-dropping-particle" : "", "parse-names" : false, "suffix" : "" }, { "dropping-particle" : "", "family" : "Sommerwerk", "given" : "Urte", "non-dropping-particle" : "", "parse-names" : false, "suffix" : "" }, { "dropping-particle" : "", "family" : "Dilling", "given" : "Daniel", "non-dropping-particle" : "", "parse-names" : false, "suffix" : "" }, { "dropping-particle" : "", "family" : "Arcasoy", "given" : "Selim", "non-dropping-particle" : "", "parse-names" : false, "suffix" : "" }, { "dropping-particle" : "", "family" : "DeVincenzo", "given" : "John", "non-dropping-particle" : "", "parse-names" : false, "suffix" : "" }, { "dropping-particle" : "", "family" : "Karsten", "given" : "Verena", "non-dropping-particle" : "", "parse-names" : false, "suffix" : "" }, { "dropping-particle" : "", "family" : "Shah", "given" : "Shaily", "non-dropping-particle" : "", "parse-names" : false, "suffix" : "" }, { "dropping-particle" : "", "family" : "Bettencourt", "given" : "Brian R", "non-dropping-particle" : "", "parse-names" : false, "suffix" : "" }, { "dropping-particle" : "", "family" : "Cehelsky", "given" : "Jeffrey", "non-dropping-particle" : "", "parse-names" : false, "suffix" : "" }, { "dropping-particle" : "", "family" : "Nochur", "given" : "Sara", "non-dropping-particle" : "", "parse-names" : false, "suffix" : "" }, { "dropping-particle" : "", "family" : "Gollob", "given" : "Jared", "non-dropping-particle" : "", "parse-names" : false, "suffix" : "" }, { "dropping-particle" : "", "family" : "Vaishnaw", "given" : "Akshay", "non-dropping-particle" : "", "parse-names" : false, "suffix" : "" }, { "dropping-particle" : "", "family" : "Simon", "given" : "Amy R", "non-dropping-particle" : "", "parse-names" : false, "suffix" : "" }, { "dropping-particle" : "", "family" : "Glanville", "given" : "Allan R", "non-dropping-particle" : "", "parse-names" : false, "suffix" : "" } ], "container-title" : "The Journal of heart and lung transplantation : the official publication of the International Society for Heart Transplantation", "id" : "ITEM-1", "issued" : { "date-parts" : [ [ "2015", "9" ] ] }, "title" : "ALN-RSV01 for prevention of bronchiolitis obliterans syndrome after respiratory syncytial virus infection in lung transplant recipients.", "type" : "article-journal" }, "uris" : [ "http://www.mendeley.com/documents/?uuid=4b2b07f0-cfa3-422f-aab0-ce4b07b07a95", "http://www.mendeley.com/documents/?uuid=fdfe526f-103d-4c99-ab55-afce6742d090" ] } ], "mendeley" : { "formattedCitation" : "(Gottlieb et al., 2015b)", "plainTextFormattedCitation" : "(Gottlieb et al., 2015b)", "previouslyFormattedCitation" : "(Gottlieb et al., 2015b)" }, "properties" : { "noteIndex" : 0 }, "schema" : "https://github.com/citation-style-language/schema/raw/master/csl-citation.json" }</w:instrText>
      </w:r>
      <w:r w:rsidR="007F2391">
        <w:rPr>
          <w:rFonts w:ascii="Calibri" w:hAnsi="Calibri" w:cs="Arial"/>
        </w:rPr>
        <w:fldChar w:fldCharType="separate"/>
      </w:r>
      <w:r w:rsidR="0088045A" w:rsidRPr="0088045A">
        <w:rPr>
          <w:rFonts w:ascii="Calibri" w:hAnsi="Calibri" w:cs="Arial"/>
          <w:noProof/>
        </w:rPr>
        <w:t>(Gottlieb et al., 2015b)</w:t>
      </w:r>
      <w:r w:rsidR="007F2391">
        <w:rPr>
          <w:rFonts w:ascii="Calibri" w:hAnsi="Calibri" w:cs="Arial"/>
        </w:rPr>
        <w:fldChar w:fldCharType="end"/>
      </w:r>
      <w:r w:rsidR="007F2391">
        <w:rPr>
          <w:rFonts w:ascii="Calibri" w:hAnsi="Calibri" w:cs="Arial"/>
        </w:rPr>
        <w:t>.</w:t>
      </w:r>
      <w:r w:rsidR="007A2E32">
        <w:rPr>
          <w:rFonts w:ascii="Calibri" w:hAnsi="Calibri" w:cs="Arial"/>
        </w:rPr>
        <w:t xml:space="preserve"> </w:t>
      </w:r>
      <w:r>
        <w:rPr>
          <w:rFonts w:ascii="Calibri" w:hAnsi="Calibri" w:cs="Arial"/>
        </w:rPr>
        <w:t xml:space="preserve">Notwithstanding the impact </w:t>
      </w:r>
      <w:r w:rsidR="00A83A13">
        <w:rPr>
          <w:rFonts w:ascii="Calibri" w:hAnsi="Calibri" w:cs="Arial"/>
        </w:rPr>
        <w:t>on study power</w:t>
      </w:r>
      <w:r w:rsidR="000D47E8">
        <w:rPr>
          <w:rFonts w:ascii="Calibri" w:hAnsi="Calibri" w:cs="Arial"/>
        </w:rPr>
        <w:t xml:space="preserve"> engendered through subject removal from analysis on account of protocol adherence</w:t>
      </w:r>
      <w:r w:rsidR="00A83A13">
        <w:rPr>
          <w:rFonts w:ascii="Calibri" w:hAnsi="Calibri" w:cs="Arial"/>
        </w:rPr>
        <w:t>, c</w:t>
      </w:r>
      <w:r w:rsidR="002B71C6">
        <w:rPr>
          <w:rFonts w:ascii="Calibri" w:hAnsi="Calibri" w:cs="Arial"/>
        </w:rPr>
        <w:t>omplete l</w:t>
      </w:r>
      <w:r w:rsidR="007F2391">
        <w:rPr>
          <w:rFonts w:ascii="Calibri" w:hAnsi="Calibri" w:cs="Arial"/>
        </w:rPr>
        <w:t xml:space="preserve">ack of </w:t>
      </w:r>
      <w:r w:rsidR="002B71C6">
        <w:rPr>
          <w:rFonts w:ascii="Calibri" w:hAnsi="Calibri" w:cs="Arial"/>
        </w:rPr>
        <w:t xml:space="preserve">any </w:t>
      </w:r>
      <w:r w:rsidR="007F2391">
        <w:rPr>
          <w:rFonts w:ascii="Calibri" w:hAnsi="Calibri" w:cs="Arial"/>
        </w:rPr>
        <w:t>antiviral effect</w:t>
      </w:r>
      <w:r w:rsidR="00A83A13">
        <w:rPr>
          <w:rFonts w:ascii="Calibri" w:hAnsi="Calibri" w:cs="Arial"/>
        </w:rPr>
        <w:t>s</w:t>
      </w:r>
      <w:r w:rsidR="007F2391">
        <w:rPr>
          <w:rFonts w:ascii="Calibri" w:hAnsi="Calibri" w:cs="Arial"/>
        </w:rPr>
        <w:t xml:space="preserve"> </w:t>
      </w:r>
      <w:r w:rsidR="00E844E9">
        <w:rPr>
          <w:rFonts w:ascii="Calibri" w:hAnsi="Calibri" w:cs="Arial"/>
        </w:rPr>
        <w:t>in oropharyngeal</w:t>
      </w:r>
      <w:r w:rsidR="000C6871">
        <w:rPr>
          <w:rFonts w:ascii="Calibri" w:hAnsi="Calibri" w:cs="Arial"/>
        </w:rPr>
        <w:t xml:space="preserve"> washes </w:t>
      </w:r>
      <w:r w:rsidR="00E844E9">
        <w:rPr>
          <w:rFonts w:ascii="Calibri" w:hAnsi="Calibri" w:cs="Arial"/>
        </w:rPr>
        <w:t xml:space="preserve">and </w:t>
      </w:r>
      <w:r w:rsidR="00A83A13">
        <w:rPr>
          <w:rFonts w:ascii="Calibri" w:hAnsi="Calibri" w:cs="Arial"/>
        </w:rPr>
        <w:t>nasal swabs were</w:t>
      </w:r>
      <w:r w:rsidR="007F2391">
        <w:rPr>
          <w:rFonts w:ascii="Calibri" w:hAnsi="Calibri" w:cs="Arial"/>
        </w:rPr>
        <w:t xml:space="preserve"> ascribed to pulmonary targeting of the aerosol formulation</w:t>
      </w:r>
      <w:r w:rsidR="00E844E9">
        <w:rPr>
          <w:rFonts w:ascii="Calibri" w:hAnsi="Calibri" w:cs="Arial"/>
        </w:rPr>
        <w:t xml:space="preserve">. </w:t>
      </w:r>
      <w:r>
        <w:rPr>
          <w:rFonts w:ascii="Calibri" w:hAnsi="Calibri" w:cs="Arial"/>
        </w:rPr>
        <w:t xml:space="preserve">Yet no viral </w:t>
      </w:r>
      <w:r w:rsidR="00DD5E6D">
        <w:rPr>
          <w:rFonts w:ascii="Calibri" w:hAnsi="Calibri" w:cs="Arial"/>
        </w:rPr>
        <w:t xml:space="preserve">genome </w:t>
      </w:r>
      <w:r>
        <w:rPr>
          <w:rFonts w:ascii="Calibri" w:hAnsi="Calibri" w:cs="Arial"/>
        </w:rPr>
        <w:t>load modulation was achieved in the deep lung either:</w:t>
      </w:r>
      <w:r w:rsidR="007F2391">
        <w:rPr>
          <w:rFonts w:ascii="Calibri" w:hAnsi="Calibri" w:cs="Arial"/>
        </w:rPr>
        <w:t xml:space="preserve"> </w:t>
      </w:r>
      <w:r>
        <w:rPr>
          <w:rFonts w:ascii="Calibri" w:hAnsi="Calibri" w:cs="Arial"/>
        </w:rPr>
        <w:t>i</w:t>
      </w:r>
      <w:r w:rsidR="00EA1174">
        <w:rPr>
          <w:rFonts w:ascii="Calibri" w:hAnsi="Calibri" w:cs="Arial"/>
        </w:rPr>
        <w:t xml:space="preserve">t is unclear if the </w:t>
      </w:r>
      <w:r w:rsidR="00DD5E6D">
        <w:rPr>
          <w:rFonts w:ascii="Calibri" w:hAnsi="Calibri" w:cs="Arial"/>
        </w:rPr>
        <w:t xml:space="preserve">analytical </w:t>
      </w:r>
      <w:r w:rsidR="00EA1174">
        <w:rPr>
          <w:rFonts w:ascii="Calibri" w:hAnsi="Calibri" w:cs="Arial"/>
        </w:rPr>
        <w:t>method</w:t>
      </w:r>
      <w:r w:rsidR="00DD5E6D">
        <w:rPr>
          <w:rFonts w:ascii="Calibri" w:hAnsi="Calibri" w:cs="Arial"/>
        </w:rPr>
        <w:t xml:space="preserve"> used</w:t>
      </w:r>
      <w:r w:rsidR="00EA1174">
        <w:rPr>
          <w:rFonts w:ascii="Calibri" w:hAnsi="Calibri" w:cs="Arial"/>
        </w:rPr>
        <w:t xml:space="preserve"> was sensitive to RISC-mediated </w:t>
      </w:r>
      <w:r>
        <w:rPr>
          <w:rFonts w:ascii="Calibri" w:hAnsi="Calibri" w:cs="Arial"/>
        </w:rPr>
        <w:t xml:space="preserve">target cleavage </w:t>
      </w:r>
      <w:r w:rsidRPr="00F44CCE">
        <w:rPr>
          <w:rFonts w:ascii="Calibri" w:hAnsi="Calibri" w:cstheme="minorHAnsi"/>
        </w:rPr>
        <w:fldChar w:fldCharType="begin" w:fldLock="1"/>
      </w:r>
      <w:r w:rsidR="002A25D9">
        <w:rPr>
          <w:rFonts w:ascii="Calibri" w:hAnsi="Calibri" w:cstheme="minorHAnsi"/>
        </w:rPr>
        <w:instrText>ADDIN CSL_CITATION { "citationItems" : [ { "id" : "ITEM-1", "itemData" : { "DOI" : "10.1186/1756-0500-3-53", "ISSN" : "1756-0500", "PMID" : "20199660", "abstract" : "BACKGROUND: RNA interference (RNAi) has been one of the most rapidly expanding areas of biological research in the past decade, revolutionizing the ability to analyze gene function. Thorough validation of siRNA duplexes is required prior to use in experimental systems, ideally by western blotting to show a reduction in protein levels. However, in many cases good antibodies are not available, and researchers must rely on RT-qPCR to detect knockdown of the mRNA species.\n\nFINDINGS: We have observed a phenomenon that gives a disparity between analyzing small interfering RNA (siRNA) efficacy by western blotting of the protein levels and real-time quantitative PCR (RT-qPCR) measurement of mRNA levels. Detection of this phenomenon was dependent upon the location of the target amplicon for PCR primers within the mRNA.\n\nCONCLUSIONS: Our data suggests that for certain mRNAs, degradation of the 3' mRNA fragment resulting from siRNA mediated cleavage is blocked, leaving an mRNA fragment that can act as a template for cDNA synthesis, giving rise to false negative results and the rejection of a valid siRNA duplex. We show that this phenomenon may be avoided by the careful design of RT-qPCR primers for each individual siRNA experiment.", "author" : [ { "dropping-particle" : "", "family" : "Holmes", "given" : "Katherine", "non-dropping-particle" : "", "parse-names" : false, "suffix" : "" }, { "dropping-particle" : "", "family" : "Williams", "given" : "Catrin M", "non-dropping-particle" : "", "parse-names" : false, "suffix" : "" }, { "dropping-particle" : "", "family" : "Chapman", "given" : "Elinor A", "non-dropping-particle" : "", "parse-names" : false, "suffix" : "" }, { "dropping-particle" : "", "family" : "Cross", "given" : "Michael J", "non-dropping-particle" : "", "parse-names" : false, "suffix" : "" } ], "container-title" : "BMC research notes", "id" : "ITEM-1", "issued" : { "date-parts" : [ [ "2010", "1" ] ] }, "page" : "53", "title" : "Detection of siRNA induced mRNA silencing by RT-qPCR: considerations for experimental design.", "type" : "article-journal", "volume" : "3" }, "uris" : [ "http://www.mendeley.com/documents/?uuid=a4ddf8a5-bf3a-4b70-ab04-d79f62351c00", "http://www.mendeley.com/documents/?uuid=5d673393-d7e1-49c7-9a0c-704518fa605a", "http://www.mendeley.com/documents/?uuid=8aa40e60-c53f-4cfe-8366-f650642d95ce" ] }, { "id" : "ITEM-2", "itemData" : { "DOI" : "10.1016/j.ab.2005.06.005", "ISSN" : "0003-2697", "PMID" : "16004954", "author" : [ { "dropping-particle" : "", "family" : "Shepard", "given" : "Allan R", "non-dropping-particle" : "", "parse-names" : false, "suffix" : "" }, { "dropping-particle" : "", "family" : "Jacobson", "given" : "Nasreen", "non-dropping-particle" : "", "parse-names" : false, "suffix" : "" }, { "dropping-particle" : "", "family" : "Clark", "given" : "Abbot F", "non-dropping-particle" : "", "parse-names" : false, "suffix" : "" } ], "container-title" : "Analytical biochemistry", "id" : "ITEM-2", "issue" : "2", "issued" : { "date-parts" : [ [ "2005", "9" ] ] }, "page" : "287-8", "title" : "Importance of quantitative PCR primer location for short interfering RNA efficacy determination.", "type" : "article-journal", "volume" : "344" }, "uris" : [ "http://www.mendeley.com/documents/?uuid=d400036a-07eb-4ca7-be61-dfaf5240b5ff", "http://www.mendeley.com/documents/?uuid=ccfd0c29-43ff-4bcd-a449-10d9ea84ab74", "http://www.mendeley.com/documents/?uuid=8ed9c585-a44f-4d73-aba6-96a7bb31dc03" ] }, { "id" : "ITEM-3", "itemData" : { "DOI" : "10.1186/1480-9222-13-1", "ISSN" : "1480-9222", "PMID" : "21369532", "abstract" : "BACKGROUND: Real-time quantitative RT-PCR (RT-qPCR) is a \"gold\" standard for measuring steady state mRNA levels in RNA interference assays. The knockdown of the epidermal growth factor receptor (EGFR) gene with eight individual EGFR small interfering RNAs (siRNAs) was estimated by RT-qPCR using three different RT-qPCR primer sets.\n\nRESULTS: Our results indicate that accurate measurement of siRNA efficacy by RT-qPCR requires careful attention for the selection of the primers used to amplify the target EGFR mRNA.\n\nCONCLUSIONS: We conclude that when assessing siRNA efficacy with RT-qPCR, more than one primer set targeting different regions of the mRNA should be evaluated and at least one of these primer sets should amplify a region encompassing the siRNA recognition sequence.", "author" : [ { "dropping-particle" : "", "family" : "Chen", "given" : "Gang", "non-dropping-particle" : "", "parse-names" : false, "suffix" : "" }, { "dropping-particle" : "", "family" : "Kronenberger", "given" : "Peter", "non-dropping-particle" : "", "parse-names" : false, "suffix" : "" }, { "dropping-particle" : "", "family" : "Teugels", "given" : "Erik", "non-dropping-particle" : "", "parse-names" : false, "suffix" : "" }, { "dropping-particle" : "", "family" : "Gr\u00e8ve", "given" : "Jacques", "non-dropping-particle" : "De", "parse-names" : false, "suffix" : "" } ], "container-title" : "Biological procedures online", "id" : "ITEM-3", "issued" : { "date-parts" : [ [ "2011", "1" ] ] }, "page" : "1", "title" : "Influence of RT-qPCR primer position on EGFR interference efficacy in lung cancer cells.", "type" : "article-journal", "volume" : "13" }, "uris" : [ "http://www.mendeley.com/documents/?uuid=48c77dd1-ac5c-41e7-a607-b0c97c7603b1", "http://www.mendeley.com/documents/?uuid=cae8c92e-88fd-416d-9d02-c86a32a7016c", "http://www.mendeley.com/documents/?uuid=ffdc0a0a-0876-429f-89e9-8598a773e253" ] }, { "id" : "ITEM-4", "itemData" : { "DOI" : "10.1186/1756-0500-4-148", "ISSN" : "1756-0500", "abstract" : "BACKGROUND:The use of RNAi to analyse gene function in vitro is now widely applied in biological research. However, several difficulties are associated with its use in vivo, mainly relating to inefficient delivery and non-specific effects of short RNA duplexes in animal models. The latter can lead to false positive results when real-time RT-qPCR alone is used to measure target mRNA knockdown.FINDINGS:We observed that detection of an apparent siRNA-mediated knockdown in vivo was dependent on the primers used for real-time RT-qPCR measurement of the target mRNA. Two siRNAs specific for RRM1 with equivalent activity in vitro were administered to A549 xenografts via intratumoural injection. In each case, apparent knockdown of RRM1 mRNA was observed only when the primer pair used in RT-qPCR flanked the siRNA cleavage site. This false-positive result was found to result from co-purified siRNA interfering with both reverse transcription and qPCR.CONCLUSIONS:Our data suggest that using primers flanking the siRNA-mediated cleavage site in RT-qPCR-based measurements of mRNA knockdown in vivo can lead to false positive results. This is particularly relevant where high concentrations of siRNA are introduced, particularly via intratumoural injection, as the siRNA may be co-purified with the RNA and interfere with downstream enzymatic steps. Based on these results, using primers flanking the siRNA target site should be avoided when measuring knockdown of target mRNA by real-time RT-qPCR.", "author" : [ { "dropping-particle" : "", "family" : "Herbert", "given" : "Mike", "non-dropping-particle" : "", "parse-names" : false, "suffix" : "" }, { "dropping-particle" : "", "family" : "Coppieters", "given" : "Natacha", "non-dropping-particle" : "", "parse-names" : false, "suffix" : "" }, { "dropping-particle" : "", "family" : "Lasham", "given" : "Annette", "non-dropping-particle" : "", "parse-names" : false, "suffix" : "" }, { "dropping-particle" : "", "family" : "Cao", "given" : "Helen", "non-dropping-particle" : "", "parse-names" : false, "suffix" : "" }, { "dropping-particle" : "", "family" : "Reid", "given" : "Glen", "non-dropping-particle" : "", "parse-names" : false, "suffix" : "" } ], "container-title" : "BMC Research Notes", "id" : "ITEM-4", "issue" : "1", "issued" : { "date-parts" : [ [ "2011" ] ] }, "page" : "148", "title" : "The importance of RT-qPCR primer design for the detection of siRNA-mediated mRNA silencing", "type" : "article-journal", "volume" : "4" }, "uris" : [ "http://www.mendeley.com/documents/?uuid=06a94aee-bbed-4807-8dbe-a2537f19f376", "http://www.mendeley.com/documents/?uuid=c9f55759-f51e-4b1a-a468-bcd8070478ee", "http://www.mendeley.com/documents/?uuid=7cdc9495-1338-48c0-ac1f-fa75e778044c" ] } ], "mendeley" : { "formattedCitation" : "(G. Chen, Kronenberger, Teugels, &amp; De Gr\u00e8ve, 2011; Herbert, Coppieters, Lasham, Cao, &amp; Reid, 2011; Holmes, Williams, Chapman, &amp; Cross, 2010; Shepard, Jacobson, &amp; Clark, 2005)", "plainTextFormattedCitation" : "(G. Chen, Kronenberger, Teugels, &amp; De Gr\u00e8ve, 2011; Herbert, Coppieters, Lasham, Cao, &amp; Reid, 2011; Holmes, Williams, Chapman, &amp; Cross, 2010; Shepard, Jacobson, &amp; Clark, 2005)", "previouslyFormattedCitation" : "(G. Chen, Kronenberger, Teugels, &amp; De Gr\u00e8ve, 2011; Herbert, Coppieters, Lasham, Cao, &amp; Reid, 2011; Holmes, Williams, Chapman, &amp; Cross, 2010; Shepard, Jacobson, &amp; Clark, 2005)" }, "properties" : { "noteIndex" : 0 }, "schema" : "https://github.com/citation-style-language/schema/raw/master/csl-citation.json" }</w:instrText>
      </w:r>
      <w:r w:rsidRPr="00F44CCE">
        <w:rPr>
          <w:rFonts w:ascii="Calibri" w:hAnsi="Calibri" w:cstheme="minorHAnsi"/>
        </w:rPr>
        <w:fldChar w:fldCharType="separate"/>
      </w:r>
      <w:r w:rsidR="00AC0940" w:rsidRPr="00AC0940">
        <w:rPr>
          <w:rFonts w:ascii="Calibri" w:hAnsi="Calibri" w:cstheme="minorHAnsi"/>
          <w:noProof/>
        </w:rPr>
        <w:t>(G. Chen, Kronenberger, Teugels, &amp; De Grève, 2011; Herbert, Coppieters, Lasham, Cao, &amp; Reid, 2011; Holmes, Williams, Chapman, &amp; Cross, 2010; Shepard, Jacobson, &amp; Clark, 2005)</w:t>
      </w:r>
      <w:r w:rsidRPr="00F44CCE">
        <w:rPr>
          <w:rFonts w:ascii="Calibri" w:hAnsi="Calibri" w:cstheme="minorHAnsi"/>
        </w:rPr>
        <w:fldChar w:fldCharType="end"/>
      </w:r>
      <w:r w:rsidR="00EA1174" w:rsidRPr="00F44CCE">
        <w:rPr>
          <w:rFonts w:ascii="Calibri" w:hAnsi="Calibri" w:cs="Arial"/>
        </w:rPr>
        <w:t xml:space="preserve">. </w:t>
      </w:r>
      <w:r w:rsidR="00F44CCE">
        <w:rPr>
          <w:rFonts w:ascii="Calibri" w:hAnsi="Calibri" w:cs="Arial"/>
        </w:rPr>
        <w:t xml:space="preserve">It is also unclear if the </w:t>
      </w:r>
      <w:r w:rsidR="000D47E8">
        <w:rPr>
          <w:rFonts w:ascii="Calibri" w:hAnsi="Calibri" w:cs="Arial"/>
        </w:rPr>
        <w:t xml:space="preserve">reported reduction in </w:t>
      </w:r>
      <w:r w:rsidR="00F44CCE">
        <w:rPr>
          <w:rFonts w:ascii="Calibri" w:hAnsi="Calibri" w:cs="Arial"/>
        </w:rPr>
        <w:t>syndrome incidence was purely on account of ALN-RSV01 treatment: of the patients in the treatment arm of the study</w:t>
      </w:r>
      <w:r w:rsidR="000D47E8">
        <w:rPr>
          <w:rFonts w:ascii="Calibri" w:hAnsi="Calibri" w:cs="Arial"/>
        </w:rPr>
        <w:t>,</w:t>
      </w:r>
      <w:r w:rsidR="00F44CCE">
        <w:rPr>
          <w:rFonts w:ascii="Calibri" w:hAnsi="Calibri" w:cs="Arial"/>
        </w:rPr>
        <w:t xml:space="preserve"> 71% were also receiving pulse steroid treatment vs 58% in the placebo arm.</w:t>
      </w:r>
    </w:p>
    <w:p w14:paraId="3D6C321B" w14:textId="77777777" w:rsidR="00D707C3" w:rsidRPr="00D707C3" w:rsidRDefault="00D707C3" w:rsidP="005837A4">
      <w:pPr>
        <w:spacing w:line="480" w:lineRule="auto"/>
      </w:pPr>
    </w:p>
    <w:p w14:paraId="215F8789" w14:textId="77777777" w:rsidR="00E938F9" w:rsidRDefault="00E938F9" w:rsidP="005837A4">
      <w:pPr>
        <w:spacing w:line="480" w:lineRule="auto"/>
        <w:jc w:val="both"/>
        <w:rPr>
          <w:rFonts w:ascii="Calibri" w:hAnsi="Calibri" w:cs="Arial"/>
        </w:rPr>
      </w:pPr>
    </w:p>
    <w:p w14:paraId="307DD36F" w14:textId="31D95C1F" w:rsidR="00462512" w:rsidRDefault="00366466" w:rsidP="005837A4">
      <w:pPr>
        <w:pStyle w:val="Heading2"/>
      </w:pPr>
      <w:r>
        <w:t>3.2</w:t>
      </w:r>
      <w:r w:rsidR="00A25217">
        <w:tab/>
      </w:r>
      <w:r w:rsidR="000113BF">
        <w:t>2</w:t>
      </w:r>
      <w:r w:rsidR="000113BF" w:rsidRPr="0034141D">
        <w:rPr>
          <w:vertAlign w:val="superscript"/>
        </w:rPr>
        <w:t>nd</w:t>
      </w:r>
      <w:r w:rsidR="000113BF">
        <w:t xml:space="preserve"> Generation ASO</w:t>
      </w:r>
      <w:r w:rsidR="00462512">
        <w:t xml:space="preserve"> therapeutics</w:t>
      </w:r>
      <w:r w:rsidR="00DB0686">
        <w:t xml:space="preserve">: </w:t>
      </w:r>
      <w:r w:rsidR="00DF46EC">
        <w:t>Clinical S</w:t>
      </w:r>
      <w:r w:rsidR="00DB0686">
        <w:t>tatus</w:t>
      </w:r>
      <w:r w:rsidR="00462512">
        <w:t xml:space="preserve">. </w:t>
      </w:r>
    </w:p>
    <w:p w14:paraId="7ACB0754" w14:textId="77777777" w:rsidR="00D707C3" w:rsidRPr="00D707C3" w:rsidRDefault="00D707C3" w:rsidP="005837A4">
      <w:pPr>
        <w:spacing w:line="480" w:lineRule="auto"/>
      </w:pPr>
    </w:p>
    <w:p w14:paraId="7971DD6E" w14:textId="29726AAF" w:rsidR="006E74AE" w:rsidRDefault="00414FE4" w:rsidP="005837A4">
      <w:pPr>
        <w:spacing w:line="480" w:lineRule="auto"/>
        <w:jc w:val="both"/>
        <w:rPr>
          <w:rFonts w:ascii="Calibri" w:hAnsi="Calibri" w:cs="Arial"/>
        </w:rPr>
      </w:pPr>
      <w:r>
        <w:rPr>
          <w:rFonts w:ascii="Calibri" w:hAnsi="Calibri" w:cs="Arial"/>
        </w:rPr>
        <w:t>Parallel to</w:t>
      </w:r>
      <w:r w:rsidR="003027DB">
        <w:rPr>
          <w:rFonts w:ascii="Calibri" w:hAnsi="Calibri" w:cs="Arial"/>
        </w:rPr>
        <w:t xml:space="preserve"> </w:t>
      </w:r>
      <w:r w:rsidR="009E2A82">
        <w:rPr>
          <w:rFonts w:ascii="Calibri" w:hAnsi="Calibri" w:cs="Arial"/>
        </w:rPr>
        <w:t>ALN-RSV01</w:t>
      </w:r>
      <w:r>
        <w:rPr>
          <w:rFonts w:ascii="Calibri" w:hAnsi="Calibri" w:cs="Arial"/>
        </w:rPr>
        <w:t>,</w:t>
      </w:r>
      <w:r w:rsidR="009E2A82">
        <w:rPr>
          <w:rFonts w:ascii="Calibri" w:hAnsi="Calibri" w:cs="Arial"/>
        </w:rPr>
        <w:t xml:space="preserve"> </w:t>
      </w:r>
      <w:r>
        <w:rPr>
          <w:rFonts w:ascii="Calibri" w:hAnsi="Calibri" w:cs="Arial"/>
        </w:rPr>
        <w:t xml:space="preserve">topically administered </w:t>
      </w:r>
      <w:r w:rsidR="009E2A82">
        <w:rPr>
          <w:rFonts w:ascii="Calibri" w:hAnsi="Calibri" w:cs="Arial"/>
        </w:rPr>
        <w:t>2</w:t>
      </w:r>
      <w:r w:rsidR="009E2A82" w:rsidRPr="009E2A82">
        <w:rPr>
          <w:rFonts w:ascii="Calibri" w:hAnsi="Calibri" w:cs="Arial"/>
          <w:vertAlign w:val="superscript"/>
        </w:rPr>
        <w:t>nd</w:t>
      </w:r>
      <w:r w:rsidR="009E2A82">
        <w:rPr>
          <w:rFonts w:ascii="Calibri" w:hAnsi="Calibri" w:cs="Arial"/>
        </w:rPr>
        <w:t xml:space="preserve"> generation </w:t>
      </w:r>
      <w:r w:rsidR="00446663">
        <w:rPr>
          <w:rFonts w:ascii="Calibri" w:hAnsi="Calibri" w:cs="Arial"/>
        </w:rPr>
        <w:t>ASO</w:t>
      </w:r>
      <w:r w:rsidR="009E2A82">
        <w:rPr>
          <w:rFonts w:ascii="Calibri" w:hAnsi="Calibri" w:cs="Arial"/>
        </w:rPr>
        <w:t xml:space="preserve"> </w:t>
      </w:r>
      <w:r>
        <w:rPr>
          <w:rFonts w:ascii="Calibri" w:hAnsi="Calibri" w:cs="Arial"/>
        </w:rPr>
        <w:t>were being clinically investigated for</w:t>
      </w:r>
      <w:r w:rsidR="00E033D1">
        <w:rPr>
          <w:rFonts w:ascii="Calibri" w:hAnsi="Calibri" w:cs="Arial"/>
        </w:rPr>
        <w:t xml:space="preserve"> asthma </w:t>
      </w:r>
      <w:r>
        <w:rPr>
          <w:rFonts w:ascii="Calibri" w:hAnsi="Calibri" w:cs="Arial"/>
        </w:rPr>
        <w:t>and</w:t>
      </w:r>
      <w:r w:rsidR="00E033D1">
        <w:rPr>
          <w:rFonts w:ascii="Calibri" w:hAnsi="Calibri" w:cs="Arial"/>
        </w:rPr>
        <w:t xml:space="preserve"> COPD</w:t>
      </w:r>
      <w:r w:rsidR="00A42EAB">
        <w:rPr>
          <w:rFonts w:ascii="Calibri" w:hAnsi="Calibri" w:cs="Arial"/>
        </w:rPr>
        <w:t xml:space="preserve"> </w:t>
      </w:r>
      <w:r w:rsidR="00A42EAB">
        <w:rPr>
          <w:rFonts w:ascii="Calibri" w:hAnsi="Calibri" w:cs="Arial"/>
        </w:rPr>
        <w:fldChar w:fldCharType="begin" w:fldLock="1"/>
      </w:r>
      <w:r w:rsidR="004430E5">
        <w:rPr>
          <w:rFonts w:ascii="Calibri" w:hAnsi="Calibri" w:cs="Arial"/>
        </w:rPr>
        <w:instrText>ADDIN CSL_CITATION { "citationItems" : [ { "id" : "ITEM-1", "itemData" : { "DOI" : "10.1517/13543780903179294", "ISSN" : "1744-7658", "PMID" : "19715448", "abstract" : "Chronic respiratory diseases such as asthma and chronic obstructive pulmonary disease (COPD) are disorders of the airways largely related to the presence of persistent inflammation. The approval of inhaled corticosteroids in the early 1970s pioneered a new age of therapy in treating chronic inflammatory airway diseases. This was the first time that an anti-inflammatory product was available to reduce the characteristic lung inflammation in airways and the associated obstruction, inflammation and hyper-responsiveness. Fast forward 40 years: corticosteroids are still an important therapeutic intervention; however, they exhibit limited use in moderate to severe asthma and COPD. Oligonucleotide therapies are an emerging class which include the antisense, the RNAi (siRNA and miRNA), the immunomodulatory, the aptamer and the decoy approaches. As these approaches are rather recent in the respiratory field, most are still early in development. Nevertheless, with limitations of current small molecule therapies and the hurdles faced with biologics, the use of oligonucleotides is relevant and the door is open to the development of this category of therapeutics. This review focuses on the major classes of oligonucleotides that are currently in late stage preclinical or clinical development for the treatment of asthma and COPD, and discusses the implications for their use as therapies for respiratory diseases.", "author" : [ { "dropping-particle" : "", "family" : "S\u00e9guin", "given" : "Rosanne M", "non-dropping-particle" : "", "parse-names" : false, "suffix" : "" }, { "dropping-particle" : "", "family" : "Ferrari", "given" : "Nicolay", "non-dropping-particle" : "", "parse-names" : false, "suffix" : "" } ], "container-title" : "Expert opinion on investigational drugs", "id" : "ITEM-1", "issue" : "10", "issued" : { "date-parts" : [ [ "2009", "10" ] ] }, "page" : "1505-17", "title" : "Emerging oligonucleotide therapies for asthma and chronic obstructive pulmonary disease.", "type" : "article-journal", "volume" : "18" }, "uris" : [ "http://www.mendeley.com/documents/?uuid=978d1a1e-bede-4aa7-89b6-563be2af348f" ] } ], "mendeley" : { "formattedCitation" : "(S\u00e9guin &amp; Ferrari, 2009)", "plainTextFormattedCitation" : "(S\u00e9guin &amp; Ferrari, 2009)", "previouslyFormattedCitation" : "(S\u00e9guin &amp; Ferrari, 2009)" }, "properties" : { "noteIndex" : 0 }, "schema" : "https://github.com/citation-style-language/schema/raw/master/csl-citation.json" }</w:instrText>
      </w:r>
      <w:r w:rsidR="00A42EAB">
        <w:rPr>
          <w:rFonts w:ascii="Calibri" w:hAnsi="Calibri" w:cs="Arial"/>
        </w:rPr>
        <w:fldChar w:fldCharType="separate"/>
      </w:r>
      <w:r w:rsidR="00A42EAB" w:rsidRPr="00A42EAB">
        <w:rPr>
          <w:rFonts w:ascii="Calibri" w:hAnsi="Calibri" w:cs="Arial"/>
          <w:noProof/>
        </w:rPr>
        <w:t>(Séguin &amp; Ferrari, 2009)</w:t>
      </w:r>
      <w:r w:rsidR="00A42EAB">
        <w:rPr>
          <w:rFonts w:ascii="Calibri" w:hAnsi="Calibri" w:cs="Arial"/>
        </w:rPr>
        <w:fldChar w:fldCharType="end"/>
      </w:r>
      <w:r w:rsidR="009E2A82">
        <w:rPr>
          <w:rFonts w:ascii="Calibri" w:hAnsi="Calibri" w:cs="Arial"/>
        </w:rPr>
        <w:t xml:space="preserve">. These </w:t>
      </w:r>
      <w:r w:rsidR="0034692A">
        <w:rPr>
          <w:rFonts w:ascii="Calibri" w:hAnsi="Calibri" w:cs="Arial"/>
        </w:rPr>
        <w:t>groups</w:t>
      </w:r>
      <w:r w:rsidR="009E2A82">
        <w:rPr>
          <w:rFonts w:ascii="Calibri" w:hAnsi="Calibri" w:cs="Arial"/>
        </w:rPr>
        <w:t xml:space="preserve"> </w:t>
      </w:r>
      <w:r w:rsidR="00012E98">
        <w:rPr>
          <w:rFonts w:ascii="Calibri" w:hAnsi="Calibri" w:cs="Arial"/>
        </w:rPr>
        <w:t xml:space="preserve">also presumed </w:t>
      </w:r>
      <w:r w:rsidR="00C742C8">
        <w:rPr>
          <w:rFonts w:ascii="Calibri" w:hAnsi="Calibri" w:cs="Arial"/>
        </w:rPr>
        <w:t>lung retention</w:t>
      </w:r>
      <w:r w:rsidR="006E74AE">
        <w:rPr>
          <w:rFonts w:ascii="Calibri" w:hAnsi="Calibri" w:cs="Arial"/>
        </w:rPr>
        <w:t>,</w:t>
      </w:r>
      <w:r w:rsidR="00C742C8">
        <w:rPr>
          <w:rFonts w:ascii="Calibri" w:hAnsi="Calibri" w:cs="Arial"/>
        </w:rPr>
        <w:t xml:space="preserve"> </w:t>
      </w:r>
      <w:r w:rsidR="00012E98">
        <w:rPr>
          <w:rFonts w:ascii="Calibri" w:hAnsi="Calibri" w:cs="Arial"/>
        </w:rPr>
        <w:t xml:space="preserve">measured </w:t>
      </w:r>
      <w:r w:rsidR="003027DB">
        <w:rPr>
          <w:rFonts w:ascii="Calibri" w:hAnsi="Calibri" w:cs="Arial"/>
        </w:rPr>
        <w:t>target</w:t>
      </w:r>
      <w:r w:rsidR="006E74AE">
        <w:rPr>
          <w:rFonts w:ascii="Calibri" w:hAnsi="Calibri" w:cs="Arial"/>
        </w:rPr>
        <w:t xml:space="preserve"> modulation at</w:t>
      </w:r>
      <w:r w:rsidR="003027DB">
        <w:rPr>
          <w:rFonts w:ascii="Calibri" w:hAnsi="Calibri" w:cs="Arial"/>
        </w:rPr>
        <w:t xml:space="preserve"> </w:t>
      </w:r>
      <w:r w:rsidR="00157723">
        <w:rPr>
          <w:rFonts w:ascii="Calibri" w:hAnsi="Calibri" w:cs="Arial"/>
        </w:rPr>
        <w:t>the tissue level</w:t>
      </w:r>
      <w:r w:rsidR="006E74AE">
        <w:rPr>
          <w:rFonts w:ascii="Calibri" w:hAnsi="Calibri" w:cs="Arial"/>
        </w:rPr>
        <w:t xml:space="preserve"> and valued</w:t>
      </w:r>
      <w:r w:rsidR="00157723">
        <w:rPr>
          <w:rFonts w:ascii="Calibri" w:hAnsi="Calibri" w:cs="Arial"/>
        </w:rPr>
        <w:t xml:space="preserve"> disease outcome metrics </w:t>
      </w:r>
      <w:r w:rsidR="006E74AE">
        <w:rPr>
          <w:rFonts w:ascii="Calibri" w:hAnsi="Calibri" w:cs="Arial"/>
        </w:rPr>
        <w:t>more</w:t>
      </w:r>
      <w:r w:rsidR="009A505C">
        <w:rPr>
          <w:rFonts w:ascii="Calibri" w:hAnsi="Calibri" w:cs="Arial"/>
        </w:rPr>
        <w:t xml:space="preserve"> than molecular pharmacology</w:t>
      </w:r>
      <w:r w:rsidR="003027DB">
        <w:rPr>
          <w:rFonts w:ascii="Calibri" w:hAnsi="Calibri" w:cs="Arial"/>
        </w:rPr>
        <w:t xml:space="preserve">. </w:t>
      </w:r>
      <w:r w:rsidR="006E74AE">
        <w:rPr>
          <w:rFonts w:ascii="Calibri" w:hAnsi="Calibri" w:cs="Arial"/>
        </w:rPr>
        <w:t>At the time, three clinical candidates were being progressed through</w:t>
      </w:r>
      <w:r w:rsidR="0034692A">
        <w:rPr>
          <w:rFonts w:ascii="Calibri" w:hAnsi="Calibri" w:cs="Arial"/>
        </w:rPr>
        <w:t xml:space="preserve"> to</w:t>
      </w:r>
      <w:r w:rsidR="006E74AE">
        <w:rPr>
          <w:rFonts w:ascii="Calibri" w:hAnsi="Calibri" w:cs="Arial"/>
        </w:rPr>
        <w:t xml:space="preserve"> clinical programs: i) </w:t>
      </w:r>
      <w:r w:rsidR="00DD5E6D">
        <w:rPr>
          <w:rFonts w:ascii="Calibri" w:hAnsi="Calibri" w:cs="Arial"/>
        </w:rPr>
        <w:t xml:space="preserve">AIR645 (previously known as </w:t>
      </w:r>
      <w:r w:rsidR="00DD5E6D" w:rsidRPr="00767AE1">
        <w:rPr>
          <w:rFonts w:ascii="Calibri" w:hAnsi="Calibri" w:cs="Arial"/>
        </w:rPr>
        <w:t>ISIS 369645</w:t>
      </w:r>
      <w:r w:rsidR="00DD5E6D">
        <w:rPr>
          <w:rFonts w:ascii="Calibri" w:hAnsi="Calibri" w:cs="Arial"/>
        </w:rPr>
        <w:t xml:space="preserve">; 2’-O-methoxyethyl chemistry; sponsored by Altair Therapeutics, an </w:t>
      </w:r>
      <w:r w:rsidR="006E74AE">
        <w:rPr>
          <w:rFonts w:ascii="Calibri" w:hAnsi="Calibri" w:cs="Arial"/>
        </w:rPr>
        <w:t xml:space="preserve">Ionis Pharmaceuticals </w:t>
      </w:r>
      <w:r w:rsidR="006E74AE">
        <w:rPr>
          <w:rFonts w:ascii="Calibri" w:hAnsi="Calibri" w:cs="Arial"/>
        </w:rPr>
        <w:lastRenderedPageBreak/>
        <w:t xml:space="preserve">spin-off) targeting the alpha chain common to IL receptors 4 (IL-4R) and 13 (IL-13R) </w:t>
      </w:r>
      <w:r w:rsidR="006E74AE">
        <w:rPr>
          <w:rFonts w:ascii="Calibri" w:hAnsi="Calibri" w:cs="Arial"/>
        </w:rPr>
        <w:fldChar w:fldCharType="begin" w:fldLock="1"/>
      </w:r>
      <w:r w:rsidR="006E74AE">
        <w:rPr>
          <w:rFonts w:ascii="Calibri" w:hAnsi="Calibri" w:cs="Arial"/>
        </w:rPr>
        <w:instrText>ADDIN CSL_CITATION { "citationItems" : [ { "id" : "ITEM-1", "itemData" : { "abstract" : "AbstractAntisense oligonucleotides (ASOs) bind and facilitate degradation of RNA and inhibit protein expression in pathways not easily targeted with small molecules or antibodies. Interleukin (IL)-4 and IL-13 potentiate signaling through the shared IL-4 receptor-\u03b1 (IL-4R\u03b1) subunit of their receptors. ASO targeting of IL-4R\u03b1 mRNA in a mouse model of asthma led to attenuation of airway hyperactivity, demonstrating potential benefit in asthma patients. This study focused on tolerability of inhaled IL-4R\u03b1-targeting ASOs. Toxicity studies were performed with mouse- (ISIS 23189) and human-specific (ISIS 369645) sequences administered by inhalation. Four week (monkey) or 13 week (mouse) repeat doses at levels of up to 15\u2009mg/kg/exposure (exp) and 50\u2009mg/kg/exp, respectively, demonstrated dose-dependent effects limited to increases in macrophage size and number in lung and tracheobronchial lymph nodes. The changes were largely non-specific, reflecting adaptive responses that occur during active exposure and deposit...", "author" : [ { "dropping-particle" : "", "family" : "Fey", "given" : "Robert A.", "non-dropping-particle" : "", "parse-names" : false, "suffix" : "" }, { "dropping-particle" : "V.", "family" : "Templin", "given" : "Michael", "non-dropping-particle" : "", "parse-names" : false, "suffix" : "" }, { "dropping-particle" : "", "family" : "McDonald", "given" : "Jacob D.", "non-dropping-particle" : "", "parse-names" : false, "suffix" : "" }, { "dropping-particle" : "", "family" : "Yu", "given" : "Rosie Z.", "non-dropping-particle" : "", "parse-names" : false, "suffix" : "" }, { "dropping-particle" : "", "family" : "Hutt", "given" : "Julie A.", "non-dropping-particle" : "", "parse-names" : false, "suffix" : "" }, { "dropping-particle" : "", "family" : "Gigliotti", "given" : "Andrew P.", "non-dropping-particle" : "", "parse-names" : false, "suffix" : "" }, { "dropping-particle" : "", "family" : "Henry", "given" : "Scott P.", "non-dropping-particle" : "", "parse-names" : false, "suffix" : "" }, { "dropping-particle" : "", "family" : "Reed", "given" : "Matthew D.", "non-dropping-particle" : "", "parse-names" : false, "suffix" : "" } ], "container-title" : "Inhalation Toxicology", "id" : "ITEM-1", "issued" : { "date-parts" : [ [ "2014", "7", "2" ] ] }, "language" : "en", "publisher" : "Taylor &amp; Francis", "title" : "Local and systemic tolerability of a 2\u2032O-methoxyethyl antisense oligonucleotide targeting interleukin-4 receptor-\u03b1 delivery by inhalation in mouse and monkey", "type" : "article-journal" }, "uris" : [ "http://www.mendeley.com/documents/?uuid=bb4e0c49-ace3-445e-a07a-3a90368eaab2" ] } ], "mendeley" : { "formattedCitation" : "(Fey et al., 2014)", "plainTextFormattedCitation" : "(Fey et al., 2014)", "previouslyFormattedCitation" : "(Fey et al., 2014)" }, "properties" : { "noteIndex" : 0 }, "schema" : "https://github.com/citation-style-language/schema/raw/master/csl-citation.json" }</w:instrText>
      </w:r>
      <w:r w:rsidR="006E74AE">
        <w:rPr>
          <w:rFonts w:ascii="Calibri" w:hAnsi="Calibri" w:cs="Arial"/>
        </w:rPr>
        <w:fldChar w:fldCharType="separate"/>
      </w:r>
      <w:r w:rsidR="006E74AE" w:rsidRPr="009A505C">
        <w:rPr>
          <w:rFonts w:ascii="Calibri" w:hAnsi="Calibri" w:cs="Arial"/>
          <w:noProof/>
        </w:rPr>
        <w:t>(Fey et al., 2014)</w:t>
      </w:r>
      <w:r w:rsidR="006E74AE">
        <w:rPr>
          <w:rFonts w:ascii="Calibri" w:hAnsi="Calibri" w:cs="Arial"/>
        </w:rPr>
        <w:fldChar w:fldCharType="end"/>
      </w:r>
      <w:r w:rsidR="006E74AE">
        <w:rPr>
          <w:rFonts w:ascii="Calibri" w:hAnsi="Calibri" w:cs="Arial"/>
        </w:rPr>
        <w:t xml:space="preserve">, ii) </w:t>
      </w:r>
      <w:r w:rsidR="00DD5E6D">
        <w:rPr>
          <w:rFonts w:ascii="Calibri" w:hAnsi="Calibri" w:cs="Arial"/>
        </w:rPr>
        <w:t>ASM8 (TOP004 and TOP005 dual</w:t>
      </w:r>
      <w:r w:rsidR="002147BB">
        <w:rPr>
          <w:rFonts w:ascii="Calibri" w:hAnsi="Calibri" w:cs="Arial"/>
        </w:rPr>
        <w:t xml:space="preserve"> antisense</w:t>
      </w:r>
      <w:r w:rsidR="00DD5E6D">
        <w:rPr>
          <w:rFonts w:ascii="Calibri" w:hAnsi="Calibri" w:cs="Arial"/>
        </w:rPr>
        <w:t xml:space="preserve"> formulation; </w:t>
      </w:r>
      <w:r w:rsidR="00F83C2A" w:rsidRPr="00F83C2A">
        <w:rPr>
          <w:rFonts w:ascii="Calibri" w:hAnsi="Calibri" w:cs="Arial"/>
          <w:lang w:val="en-GB"/>
        </w:rPr>
        <w:t>2'-deoxy-2'-fluoro-beta-D-arabinonucleic acid</w:t>
      </w:r>
      <w:r w:rsidR="00F83C2A">
        <w:rPr>
          <w:rFonts w:ascii="Calibri" w:hAnsi="Calibri" w:cs="Arial"/>
          <w:lang w:val="en-GB"/>
        </w:rPr>
        <w:t xml:space="preserve"> (</w:t>
      </w:r>
      <w:r w:rsidR="00DD5E6D">
        <w:rPr>
          <w:rFonts w:ascii="Calibri" w:hAnsi="Calibri" w:cs="Arial"/>
        </w:rPr>
        <w:t>FANA</w:t>
      </w:r>
      <w:r w:rsidR="00F83C2A">
        <w:rPr>
          <w:rFonts w:ascii="Calibri" w:hAnsi="Calibri" w:cs="Arial"/>
        </w:rPr>
        <w:t>)</w:t>
      </w:r>
      <w:r w:rsidR="00DD5E6D">
        <w:rPr>
          <w:rFonts w:ascii="Calibri" w:hAnsi="Calibri" w:cs="Arial"/>
        </w:rPr>
        <w:t xml:space="preserve"> chemistry</w:t>
      </w:r>
      <w:r w:rsidR="00C53CDB">
        <w:rPr>
          <w:rFonts w:ascii="Calibri" w:hAnsi="Calibri" w:cs="Arial"/>
        </w:rPr>
        <w:t xml:space="preserve"> (Fig. 3</w:t>
      </w:r>
      <w:r w:rsidR="005845E0">
        <w:rPr>
          <w:rFonts w:ascii="Calibri" w:hAnsi="Calibri" w:cs="Arial"/>
        </w:rPr>
        <w:t>)</w:t>
      </w:r>
      <w:r w:rsidR="00DD5E6D">
        <w:rPr>
          <w:rFonts w:ascii="Calibri" w:hAnsi="Calibri" w:cs="Arial"/>
        </w:rPr>
        <w:t>; sponsored Topigen Pharmaceuticals, later acquired by Pharmaxis</w:t>
      </w:r>
      <w:r w:rsidR="006E74AE">
        <w:rPr>
          <w:rFonts w:ascii="Calibri" w:hAnsi="Calibri" w:cs="Arial"/>
        </w:rPr>
        <w:t xml:space="preserve">) targeting the common beta chain </w:t>
      </w:r>
      <w:r w:rsidR="00A5549D">
        <w:rPr>
          <w:rFonts w:ascii="Calibri" w:hAnsi="Calibri" w:cs="Arial"/>
        </w:rPr>
        <w:t>(</w:t>
      </w:r>
      <w:r w:rsidR="00A5549D" w:rsidRPr="0034141D">
        <w:rPr>
          <w:rFonts w:ascii="Symbol" w:hAnsi="Symbol" w:cs="Arial"/>
        </w:rPr>
        <w:t></w:t>
      </w:r>
      <w:r w:rsidR="00A5549D">
        <w:rPr>
          <w:rFonts w:ascii="Calibri" w:hAnsi="Calibri" w:cs="Arial"/>
        </w:rPr>
        <w:t xml:space="preserve">c) </w:t>
      </w:r>
      <w:r w:rsidR="006E74AE">
        <w:rPr>
          <w:rFonts w:ascii="Calibri" w:hAnsi="Calibri" w:cs="Arial"/>
        </w:rPr>
        <w:t>of the ILR receptors 3, 5 and granulocyte monocyte – colony stimulating factor (GM-CSF) and the C-C chemokine receptor 3</w:t>
      </w:r>
      <w:r w:rsidR="00E9727A">
        <w:rPr>
          <w:rFonts w:ascii="Calibri" w:hAnsi="Calibri" w:cs="Arial"/>
        </w:rPr>
        <w:t xml:space="preserve"> (CCR3)</w:t>
      </w:r>
      <w:r w:rsidR="006E74AE">
        <w:rPr>
          <w:rFonts w:ascii="Calibri" w:hAnsi="Calibri" w:cs="Arial"/>
        </w:rPr>
        <w:t xml:space="preserve">, respectively </w:t>
      </w:r>
      <w:r w:rsidR="006E74AE">
        <w:rPr>
          <w:rFonts w:ascii="Calibri" w:hAnsi="Calibri" w:cs="Arial"/>
        </w:rPr>
        <w:fldChar w:fldCharType="begin" w:fldLock="1"/>
      </w:r>
      <w:r w:rsidR="006E74AE">
        <w:rPr>
          <w:rFonts w:ascii="Calibri" w:hAnsi="Calibri" w:cs="Arial"/>
        </w:rPr>
        <w:instrText>ADDIN CSL_CITATION { "citationItems" : [ { "id" : "ITEM-1", "itemData" : { "DOI" : "10.1111/j.1398-9995.2011.02638.x", "ISSN" : "1398-9995", "PMID" : "21605124", "abstract" : "BACKGROUND: TPI ASM8 contains two modified antisense oligonucleotides (AON) targeting the beta subunit (\u03b2(c) ) of the IL-3, IL-5, GM-CSF receptors and the chemokine receptor CCR3. A previous study suggested that TPI ASM8 had broader effects than just inhibition of eosinophils in asthmatics.\n\nOBJECTIVE: We assessed whether TPI ASM8 caused a dose-dependent attenuation in the inflammatory and physiological changes after inhaled allergen challenge (AIC).\n\nMETHODS: This single-center, open-label, stepwise-ascending dose study was conducted in fourteen stable, mild allergic asthmatics. Following placebo AIC, subjects underwent AIC after 4 days treatment with 1, 2, and 4 mg BID and finally 8 mg once daily (OD) of TPI ASM8, inhaled via the I-Neb\u2122 nebuliser. Treatments were separated by 2-3-week washout periods.\n\nRESULTS: TPI ASM8 was safe and well tolerated at all doses. TPI ASM8 8\u2003mg OD reduced eosinophils in sputum after AIC (by 60.9% at 7 h and 68.4% at 24 h post-AIC, P=0.016 and P=0.007, respectively). Additionally, TPI ASM8 8 mg OD significantly attenuated the early and late airway responses as shown by the reduction in the area under the curve by 45% (P=0.016) and 59%, (P=0.0015), respectively, the increase in eosinophil cationic protein (ECP) by up to 57% (P=0.021), and airway responsiveness to methacholine by more than 1 doubling dose (P=0.012). A dose-response relationship was noted, and efficacy was maintained with once per day administration.\n\nCONCLUSIONS: TPI ASM8 attenuated a broad range of inflammatory and physiological changes after AIC, suggesting that CCR3, IL-3, and GM-CSF also are important targets for the management of asthma.", "author" : [ { "dropping-particle" : "", "family" : "Gauvreau", "given" : "G M", "non-dropping-particle" : "", "parse-names" : false, "suffix" : "" }, { "dropping-particle" : "", "family" : "Pageau", "given" : "R", "non-dropping-particle" : "", "parse-names" : false, "suffix" : "" }, { "dropping-particle" : "", "family" : "S\u00e9guin", "given" : "R", "non-dropping-particle" : "", "parse-names" : false, "suffix" : "" }, { "dropping-particle" : "", "family" : "Carballo", "given" : "D", "non-dropping-particle" : "", "parse-names" : false, "suffix" : "" }, { "dropping-particle" : "", "family" : "Gauthier", "given" : "J", "non-dropping-particle" : "", "parse-names" : false, "suffix" : "" }, { "dropping-particle" : "", "family" : "D'Anjou", "given" : "H", "non-dropping-particle" : "", "parse-names" : false, "suffix" : "" }, { "dropping-particle" : "", "family" : "Campbell", "given" : "H", "non-dropping-particle" : "", "parse-names" : false, "suffix" : "" }, { "dropping-particle" : "", "family" : "Watson", "given" : "R", "non-dropping-particle" : "", "parse-names" : false, "suffix" : "" }, { "dropping-particle" : "", "family" : "Mistry", "given" : "M", "non-dropping-particle" : "", "parse-names" : false, "suffix" : "" }, { "dropping-particle" : "", "family" : "Parry-Billings", "given" : "M", "non-dropping-particle" : "", "parse-names" : false, "suffix" : "" }, { "dropping-particle" : "", "family" : "Killian", "given" : "K", "non-dropping-particle" : "", "parse-names" : false, "suffix" : "" }, { "dropping-particle" : "", "family" : "Renzi", "given" : "P M", "non-dropping-particle" : "", "parse-names" : false, "suffix" : "" } ], "container-title" : "Allergy", "id" : "ITEM-1", "issue" : "9", "issued" : { "date-parts" : [ [ "2011", "9" ] ] }, "page" : "1242-8", "title" : "Dose-response effects of TPI ASM8 in asthmatics after allergen.", "type" : "article-journal", "volume" : "66" }, "uris" : [ "http://www.mendeley.com/documents/?uuid=deafdfeb-145d-4fd7-afc2-28f0437543b9" ] } ], "mendeley" : { "formattedCitation" : "(G M Gauvreau et al., 2011)", "plainTextFormattedCitation" : "(G M Gauvreau et al., 2011)", "previouslyFormattedCitation" : "(G M Gauvreau et al., 2011)" }, "properties" : { "noteIndex" : 0 }, "schema" : "https://github.com/citation-style-language/schema/raw/master/csl-citation.json" }</w:instrText>
      </w:r>
      <w:r w:rsidR="006E74AE">
        <w:rPr>
          <w:rFonts w:ascii="Calibri" w:hAnsi="Calibri" w:cs="Arial"/>
        </w:rPr>
        <w:fldChar w:fldCharType="separate"/>
      </w:r>
      <w:r w:rsidR="006E74AE" w:rsidRPr="00EE24BD">
        <w:rPr>
          <w:rFonts w:ascii="Calibri" w:hAnsi="Calibri" w:cs="Arial"/>
          <w:noProof/>
        </w:rPr>
        <w:t>(G M Gauvreau et al., 2011)</w:t>
      </w:r>
      <w:r w:rsidR="006E74AE">
        <w:rPr>
          <w:rFonts w:ascii="Calibri" w:hAnsi="Calibri" w:cs="Arial"/>
        </w:rPr>
        <w:fldChar w:fldCharType="end"/>
      </w:r>
      <w:r w:rsidR="006E74AE">
        <w:rPr>
          <w:rFonts w:ascii="Calibri" w:hAnsi="Calibri" w:cs="Arial"/>
        </w:rPr>
        <w:t xml:space="preserve"> and iii) </w:t>
      </w:r>
      <w:r w:rsidR="00DD5E6D">
        <w:rPr>
          <w:rFonts w:ascii="Calibri" w:hAnsi="Calibri" w:cs="Arial"/>
        </w:rPr>
        <w:t xml:space="preserve">ATL1102 </w:t>
      </w:r>
      <w:r w:rsidR="006E74AE">
        <w:rPr>
          <w:rFonts w:ascii="Calibri" w:hAnsi="Calibri" w:cs="Arial"/>
        </w:rPr>
        <w:t>(ISIS 107248</w:t>
      </w:r>
      <w:r w:rsidR="0034692A">
        <w:rPr>
          <w:rFonts w:ascii="Calibri" w:hAnsi="Calibri" w:cs="Arial"/>
        </w:rPr>
        <w:t>, another 2’-O-methoxyethyl</w:t>
      </w:r>
      <w:r w:rsidR="00DD5E6D">
        <w:rPr>
          <w:rFonts w:ascii="Calibri" w:hAnsi="Calibri" w:cs="Arial"/>
        </w:rPr>
        <w:t>; Antisense Therapeutics</w:t>
      </w:r>
      <w:r w:rsidR="006E74AE">
        <w:rPr>
          <w:rFonts w:ascii="Calibri" w:hAnsi="Calibri" w:cs="Arial"/>
        </w:rPr>
        <w:t>) targeting the cluster designation 49d subunit of the very lat</w:t>
      </w:r>
      <w:r w:rsidR="0034692A">
        <w:rPr>
          <w:rFonts w:ascii="Calibri" w:hAnsi="Calibri" w:cs="Arial"/>
        </w:rPr>
        <w:t>e antigen 4 adhesion molecule</w:t>
      </w:r>
      <w:r w:rsidR="00F94C0D">
        <w:rPr>
          <w:rFonts w:ascii="Calibri" w:hAnsi="Calibri" w:cs="Arial"/>
        </w:rPr>
        <w:t>.</w:t>
      </w:r>
    </w:p>
    <w:p w14:paraId="58A636EF" w14:textId="77777777" w:rsidR="006E74AE" w:rsidRDefault="006E74AE" w:rsidP="005837A4">
      <w:pPr>
        <w:spacing w:line="480" w:lineRule="auto"/>
        <w:jc w:val="both"/>
        <w:rPr>
          <w:rFonts w:ascii="Calibri" w:hAnsi="Calibri" w:cs="Arial"/>
        </w:rPr>
      </w:pPr>
    </w:p>
    <w:p w14:paraId="7B964789" w14:textId="48543EB5" w:rsidR="006E74AE" w:rsidRPr="006E74AE" w:rsidRDefault="00366466" w:rsidP="005837A4">
      <w:pPr>
        <w:pStyle w:val="Heading3"/>
      </w:pPr>
      <w:r>
        <w:t>3.2.1</w:t>
      </w:r>
      <w:r w:rsidR="00A25217">
        <w:tab/>
      </w:r>
      <w:r w:rsidR="00D707C3">
        <w:t>Altair AIR645</w:t>
      </w:r>
      <w:r w:rsidR="00F306F0">
        <w:t xml:space="preserve"> and the targeting of IL</w:t>
      </w:r>
      <w:r w:rsidR="006C33A1">
        <w:t>-R</w:t>
      </w:r>
      <w:r w:rsidR="00F306F0">
        <w:t>4/IL</w:t>
      </w:r>
      <w:r w:rsidR="006C33A1">
        <w:t>-R</w:t>
      </w:r>
      <w:r w:rsidR="00F306F0">
        <w:t xml:space="preserve">13 </w:t>
      </w:r>
      <w:r w:rsidR="00A45720">
        <w:t>in asthma</w:t>
      </w:r>
      <w:r w:rsidR="006C33A1">
        <w:t>.</w:t>
      </w:r>
    </w:p>
    <w:p w14:paraId="2048D114" w14:textId="0538D29B" w:rsidR="006E74AE" w:rsidRDefault="006E74AE" w:rsidP="005837A4">
      <w:pPr>
        <w:spacing w:line="480" w:lineRule="auto"/>
        <w:jc w:val="both"/>
        <w:rPr>
          <w:rFonts w:ascii="Calibri" w:hAnsi="Calibri" w:cs="Arial"/>
        </w:rPr>
      </w:pPr>
      <w:r>
        <w:rPr>
          <w:rFonts w:ascii="Calibri" w:hAnsi="Calibri" w:cs="Arial"/>
        </w:rPr>
        <w:t xml:space="preserve">The Altair compound was progressed on strong mechanistic rationale around the IL4/IL-13 receptor signaling system in asthma in the context of lung infiltrating, immunoglobulin E-producing, CD4+ T lymphocytes </w:t>
      </w:r>
      <w:r>
        <w:rPr>
          <w:rFonts w:ascii="Calibri" w:hAnsi="Calibri" w:cs="Arial"/>
        </w:rPr>
        <w:fldChar w:fldCharType="begin" w:fldLock="1"/>
      </w:r>
      <w:r>
        <w:rPr>
          <w:rFonts w:ascii="Calibri" w:hAnsi="Calibri" w:cs="Arial"/>
        </w:rPr>
        <w:instrText>ADDIN CSL_CITATION { "citationItems" : [ { "id" : "ITEM-1", "itemData" : { "DOI" : "10.1016/j.molmed.2004.08.004", "ISSN" : "1471-4914", "PMID" : "15464449", "abstract" : "Asthma is a chronic allergic inflammatory disease, the initiation and progression of which is dependent on the cytokines interleukin (IL)-4 and IL-13 acting through related receptor complexes. Disease pathogenesis is effected by intracellular signaling pathways that couple primarily to specific motifs within the intracellular domain of the IL-4 receptor alpha chain (IL-4Ralpha), a subunit that is common to the IL-4 and IL-13 receptor complexes. Recent studies using genetic approaches have identified distinct functions for the respective IL-4Ralpha-coupled signaling pathways in regulating both early and chronic stages of asthma. Polymorphisms in components of the IL-4 and IL-13 cytokine-receptor axes are associated with allergy and asthma, suggesting that variations among individuals in the activity of this pathway contribute to disease susceptibility and manifestations.", "author" : [ { "dropping-particle" : "", "family" : "Chatila", "given" : "Talal A", "non-dropping-particle" : "", "parse-names" : false, "suffix" : "" } ], "container-title" : "Trends in molecular medicine", "id" : "ITEM-1", "issue" : "10", "issued" : { "date-parts" : [ [ "2004", "10" ] ] }, "page" : "493-9", "title" : "Interleukin-4 receptor signaling pathways in asthma pathogenesis.", "type" : "article-journal", "volume" : "10" }, "uris" : [ "http://www.mendeley.com/documents/?uuid=6b3a5ca7-a269-4f0e-8145-90b2c97992cd" ] }, { "id" : "ITEM-2", "itemData" : { "DOI" : "10.1165/rcmb.2005-0456OC", "ISSN" : "1044-1549", "PMID" : "16990616", "abstract" : "The Th2 cytokines IL-4 and IL-13 mediate allergic pulmonary inflammation and airways hyperreactivity (AHR) in asthma models through signaling dependent upon the IL-4 receptor-alpha chain (IL-4Ralpha). IL-13 has been further implicated in the overproduction of mucus by the airway epithelium and in lung remodeling that commonly accompanies chronic inflammation. IL-4Ralpha-deficient mice are resistant to allergen-induced asthma, highlighting the therapeutic promise of selective molecular inhibitors of IL-4Ralpha. We designed a chemically modified IL-4Ralpha antisense oligonucleotide (IL-4Ralpha ASO) that specifically inhibits IL-4Ralpha protein expression in lung eosinophils, macrophages, dendritic cells, and airway epithelium after inhalation in allergen-challenged mice. Inhalation of IL-4Ralpha ASO attenuated allergen-induced AHR, suppressed airway eosinophilia and neutrophilia, and inhibited production of airway Th2 cytokines and chemokines in previously allergen-primed and -challenged mice. Histologic analysis of lungs from these animals demonstrated reduced goblet cell metaplasia and mucus staining that correlated with inhibition of Muc5AC gene expression in lung tissue. Therapeutic administration of inhaled IL-4Ralpha ASO in chronically allergen-challenged mice produced a spectrum of anti-inflammatory activity similar to that of systemically administered Dexamethasone with the added benefit of reduced airway neutrophilia. These data support the potential utility of a dual IL-4 and IL-13 oligonucleotide inhibitor in allergy/asthma, and suggest that local inhibition of IL-4Ralpha in the lung is sufficient to suppress allergen-induced pulmonary inflammation and AHR.", "author" : [ { "dropping-particle" : "", "family" : "Karras", "given" : "James G", "non-dropping-particle" : "", "parse-names" : false, "suffix" : "" }, { "dropping-particle" : "", "family" : "Crosby", "given" : "Jeffrey R", "non-dropping-particle" : "", "parse-names" : false, "suffix" : "" }, { "dropping-particle" : "", "family" : "Guha", "given" : "Mausumee", "non-dropping-particle" : "", "parse-names" : false, "suffix" : "" }, { "dropping-particle" : "", "family" : "Tung", "given" : "David", "non-dropping-particle" : "", "parse-names" : false, "suffix" : "" }, { "dropping-particle" : "", "family" : "Miller", "given" : "Doreen A", "non-dropping-particle" : "", "parse-names" : false, "suffix" : "" }, { "dropping-particle" : "", "family" : "Gaarde", "given" : "William A", "non-dropping-particle" : "", "parse-names" : false, "suffix" : "" }, { "dropping-particle" : "", "family" : "Geary", "given" : "Richard S", "non-dropping-particle" : "", "parse-names" : false, "suffix" : "" }, { "dropping-particle" : "", "family" : "Monia", "given" : "Brett P", "non-dropping-particle" : "", "parse-names" : false, "suffix" : "" }, { "dropping-particle" : "", "family" : "Gregory", "given" : "Susan A", "non-dropping-particle" : "", "parse-names" : false, "suffix" : "" } ], "container-title" : "American journal of respiratory cell and molecular biology", "id" : "ITEM-2", "issue" : "3", "issued" : { "date-parts" : [ [ "2007", "3", "20" ] ] }, "language" : "en", "page" : "276-85", "publisher" : "American Thoracic Society", "title" : "Anti-inflammatory activity of inhaled IL-4 receptor-alpha antisense oligonucleotide in mice.", "type" : "article-journal", "volume" : "36" }, "uris" : [ "http://www.mendeley.com/documents/?uuid=bcbba9a9-8010-4ec9-aa1c-48bc0148561e" ] } ], "mendeley" : { "formattedCitation" : "(Chatila, 2004; Karras et al., 2007)", "plainTextFormattedCitation" : "(Chatila, 2004; Karras et al., 2007)", "previouslyFormattedCitation" : "(Chatila, 2004; Karras et al., 2007)" }, "properties" : { "noteIndex" : 0 }, "schema" : "https://github.com/citation-style-language/schema/raw/master/csl-citation.json" }</w:instrText>
      </w:r>
      <w:r>
        <w:rPr>
          <w:rFonts w:ascii="Calibri" w:hAnsi="Calibri" w:cs="Arial"/>
        </w:rPr>
        <w:fldChar w:fldCharType="separate"/>
      </w:r>
      <w:r w:rsidRPr="00E82B8C">
        <w:rPr>
          <w:rFonts w:ascii="Calibri" w:hAnsi="Calibri" w:cs="Arial"/>
          <w:noProof/>
        </w:rPr>
        <w:t>(Chatila, 2004; Karras et al., 2007)</w:t>
      </w:r>
      <w:r>
        <w:rPr>
          <w:rFonts w:ascii="Calibri" w:hAnsi="Calibri" w:cs="Arial"/>
        </w:rPr>
        <w:fldChar w:fldCharType="end"/>
      </w:r>
      <w:r>
        <w:rPr>
          <w:rFonts w:ascii="Calibri" w:hAnsi="Calibri" w:cs="Arial"/>
        </w:rPr>
        <w:t>. Moreover, the group had already explored 2</w:t>
      </w:r>
      <w:r w:rsidRPr="007600B8">
        <w:rPr>
          <w:rFonts w:ascii="Calibri" w:hAnsi="Calibri" w:cs="Arial"/>
          <w:vertAlign w:val="superscript"/>
        </w:rPr>
        <w:t>nd</w:t>
      </w:r>
      <w:r w:rsidR="00D707C3">
        <w:rPr>
          <w:rFonts w:ascii="Calibri" w:hAnsi="Calibri" w:cs="Arial"/>
        </w:rPr>
        <w:t xml:space="preserve"> generation antisense</w:t>
      </w:r>
      <w:r>
        <w:rPr>
          <w:rFonts w:ascii="Calibri" w:hAnsi="Calibri" w:cs="Arial"/>
        </w:rPr>
        <w:t xml:space="preserve"> dosing to the mouse lung </w:t>
      </w:r>
      <w:r w:rsidR="00696FB6">
        <w:rPr>
          <w:rFonts w:ascii="Calibri" w:hAnsi="Calibri" w:cs="Arial"/>
        </w:rPr>
        <w:t>with other targets</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"10.1164/rccm.200408-1006OC", "ISSN" : "1073-449X", "PMID" : "15557129", "abstract" : "The p38 mitogen-activated protein kinase (MAPK) plays a critical role in the activation of inflammatory cells. Therefore, we investigated the antiinflammatory effects of a respirable p38alpha MAPK antisense oligonucleotide (p38alpha-ASO) in a mouse asthma model. A potent and selective p38alpha-ASO was characterized in vitro. Inhalation of aerosolized p38alpha-ASO using an aerosol chamber dosing system produced measurable lung deposition of ASO and significant reduction of ovalbumin (OVA-)-induced increases in total cells, eosinophils, and interleukin 4 (IL-4), IL-5, and IL-13 levels in bronchoalveolar lavage fluid, and dose-dependent inhibition of airway hyperresponsiveness in allergen-challenged mice. Furthermore, inhaled p38alpha-ASO markedly inhibited OVA-induced lung tissue eosinophilia and airway mucus hypersecretion. Quantitative polymerase chain reaction analysis of bronchoalveolar lavage fluid cells and peribronchial lymph node cells showed that p38alpha-ASO significantly reduced p38alpha MAPK mRNA expression. Nose-only aerosol exposure of mice verified the p38alpha-ASO-induced inhibition of OVA-induced pulmonary eosinophilia, mucus hypersecretion, and airway hyperresponsiveness. None of the effects of the p38alpha-ASO were produced by a six-base mismatched control oligonucleotide. These findings demonstrate antisense pharmacodynamic activity in the airways after aerosol delivery and suggest that a p38alpha MAPK ASO approach may have therapeutic potential for asthma and other inflammatory lung diseases.", "author" : [ { "dropping-particle" : "", "family" : "Duan", "given" : "Wei", "non-dropping-particle" : "", "parse-names" : false, "suffix" : "" }, { "dropping-particle" : "", "family" : "Chan", "given" : "Jasmine H P", "non-dropping-particle" : "", "parse-names" : false, "suffix" : "" }, { "dropping-particle" : "", "family" : "McKay", "given" : "Kelly", "non-dropping-particle" : "", "parse-names" : false, "suffix" : "" }, { "dropping-particle" : "", "family" : "Crosby", "given" : "Jeffrey R", "non-dropping-particle" : "", "parse-names" : false, "suffix" : "" }, { "dropping-particle" : "", "family" : "Choo", "given" : "Hui Hwa", "non-dropping-particle" : "", "parse-names" : false, "suffix" : "" }, { "dropping-particle" : "", "family" : "Leung", "given" : "Bernard P", "non-dropping-particle" : "", "parse-names" : false, "suffix" : "" }, { "dropping-particle" : "", "family" : "Karras", "given" : "James G", "non-dropping-particle" : "", "parse-names" : false, "suffix" : "" }, { "dropping-particle" : "", "family" : "Wong", "given" : "W S Fred", "non-dropping-particle" : "", "parse-names" : false, "suffix" : "" } ], "container-title" : "American journal of respiratory and critical care medicine", "id" : "ITEM-1", "issue" : "6", "issued" : { "date-parts" : [ [ "2005", "3", "15" ] ] }, "language" : "en", "page" : "571-8", "publisher" : "American Thoracic Society", "title" : "Inhaled p38alpha mitogen-activated protein kinase antisense oligonucleotide attenuates asthma in mice.", "type" : "article-journal", "volume" : "171" }, "uris" : [ "http://www.mendeley.com/documents/?uuid=9bfcf046-f793-4c71-8072-3bcbcec93548" ] } ], "mendeley" : { "formattedCitation" : "(Duan et al., 2005)", "plainTextFormattedCitation" : "(Duan et al., 2005)", "previouslyFormattedCitation" : "(Duan et al., 2005)" }, "properties" : { "noteIndex" : 0 }, "schema" : "https://github.com/citation-style-language/schema/raw/master/csl-citation.json" }</w:instrText>
      </w:r>
      <w:r>
        <w:rPr>
          <w:rFonts w:ascii="Calibri" w:hAnsi="Calibri" w:cs="Arial"/>
        </w:rPr>
        <w:fldChar w:fldCharType="separate"/>
      </w:r>
      <w:r w:rsidRPr="007600B8">
        <w:rPr>
          <w:rFonts w:ascii="Calibri" w:hAnsi="Calibri" w:cs="Arial"/>
          <w:noProof/>
        </w:rPr>
        <w:t>(Duan et al., 2005)</w:t>
      </w:r>
      <w:r>
        <w:rPr>
          <w:rFonts w:ascii="Calibri" w:hAnsi="Calibri" w:cs="Arial"/>
        </w:rPr>
        <w:fldChar w:fldCharType="end"/>
      </w:r>
      <w:r>
        <w:rPr>
          <w:rFonts w:ascii="Calibri" w:hAnsi="Calibri" w:cs="Arial"/>
        </w:rPr>
        <w:t>. These early stud</w:t>
      </w:r>
      <w:r w:rsidR="00D707C3">
        <w:rPr>
          <w:rFonts w:ascii="Calibri" w:hAnsi="Calibri" w:cs="Arial"/>
        </w:rPr>
        <w:t>ies indicated dose-dependent antisense</w:t>
      </w:r>
      <w:r>
        <w:rPr>
          <w:rFonts w:ascii="Calibri" w:hAnsi="Calibri" w:cs="Arial"/>
        </w:rPr>
        <w:t xml:space="preserve"> retention in the lung but at very low levels (1.1 </w:t>
      </w:r>
      <w:r>
        <w:rPr>
          <w:rFonts w:ascii="Symbol" w:hAnsi="Symbol" w:cs="Arial"/>
        </w:rPr>
        <w:t></w:t>
      </w:r>
      <w:r>
        <w:rPr>
          <w:rFonts w:ascii="Calibri" w:hAnsi="Calibri" w:cs="Arial"/>
        </w:rPr>
        <w:t xml:space="preserve">g per g tissue 24 hours after a 3 mg/kg estimated dose </w:t>
      </w:r>
      <w:r>
        <w:rPr>
          <w:rFonts w:ascii="Calibri" w:hAnsi="Calibri" w:cs="Arial"/>
        </w:rPr>
        <w:fldChar w:fldCharType="begin" w:fldLock="1"/>
      </w:r>
      <w:r>
        <w:rPr>
          <w:rFonts w:ascii="Calibri" w:hAnsi="Calibri" w:cs="Arial"/>
        </w:rPr>
        <w:instrText>ADDIN CSL_CITATION { "citationItems" : [ { "id" : "ITEM-1", "itemData" : { "DOI" : "10.1164/rccm.200408-1006OC", "ISSN" : "1073-449X", "PMID" : "15557129", "abstract" : "The p38 mitogen-activated protein kinase (MAPK) plays a critical role in the activation of inflammatory cells. Therefore, we investigated the antiinflammatory effects of a respirable p38alpha MAPK antisense oligonucleotide (p38alpha-ASO) in a mouse asthma model. A potent and selective p38alpha-ASO was characterized in vitro. Inhalation of aerosolized p38alpha-ASO using an aerosol chamber dosing system produced measurable lung deposition of ASO and significant reduction of ovalbumin (OVA-)-induced increases in total cells, eosinophils, and interleukin 4 (IL-4), IL-5, and IL-13 levels in bronchoalveolar lavage fluid, and dose-dependent inhibition of airway hyperresponsiveness in allergen-challenged mice. Furthermore, inhaled p38alpha-ASO markedly inhibited OVA-induced lung tissue eosinophilia and airway mucus hypersecretion. Quantitative polymerase chain reaction analysis of bronchoalveolar lavage fluid cells and peribronchial lymph node cells showed that p38alpha-ASO significantly reduced p38alpha MAPK mRNA expression. Nose-only aerosol exposure of mice verified the p38alpha-ASO-induced inhibition of OVA-induced pulmonary eosinophilia, mucus hypersecretion, and airway hyperresponsiveness. None of the effects of the p38alpha-ASO were produced by a six-base mismatched control oligonucleotide. These findings demonstrate antisense pharmacodynamic activity in the airways after aerosol delivery and suggest that a p38alpha MAPK ASO approach may have therapeutic potential for asthma and other inflammatory lung diseases.", "author" : [ { "dropping-particle" : "", "family" : "Duan", "given" : "Wei", "non-dropping-particle" : "", "parse-names" : false, "suffix" : "" }, { "dropping-particle" : "", "family" : "Chan", "given" : "Jasmine H P", "non-dropping-particle" : "", "parse-names" : false, "suffix" : "" }, { "dropping-particle" : "", "family" : "McKay", "given" : "Kelly", "non-dropping-particle" : "", "parse-names" : false, "suffix" : "" }, { "dropping-particle" : "", "family" : "Crosby", "given" : "Jeffrey R", "non-dropping-particle" : "", "parse-names" : false, "suffix" : "" }, { "dropping-particle" : "", "family" : "Choo", "given" : "Hui Hwa", "non-dropping-particle" : "", "parse-names" : false, "suffix" : "" }, { "dropping-particle" : "", "family" : "Leung", "given" : "Bernard P", "non-dropping-particle" : "", "parse-names" : false, "suffix" : "" }, { "dropping-particle" : "", "family" : "Karras", "given" : "James G", "non-dropping-particle" : "", "parse-names" : false, "suffix" : "" }, { "dropping-particle" : "", "family" : "Wong", "given" : "W S Fred", "non-dropping-particle" : "", "parse-names" : false, "suffix" : "" } ], "container-title" : "American journal of respiratory and critical care medicine", "id" : "ITEM-1", "issue" : "6", "issued" : { "date-parts" : [ [ "2005", "3", "15" ] ] }, "language" : "en", "page" : "571-8", "publisher" : "American Thoracic Society", "title" : "Inhaled p38alpha mitogen-activated protein kinase antisense oligonucleotide attenuates asthma in mice.", "type" : "article-journal", "volume" : "171" }, "uris" : [ "http://www.mendeley.com/documents/?uuid=9bfcf046-f793-4c71-8072-3bcbcec93548" ] } ], "mendeley" : { "formattedCitation" : "(Duan et al., 2005)", "plainTextFormattedCitation" : "(Duan et al., 2005)", "previouslyFormattedCitation" : "(Duan et al., 2005)" }, "properties" : { "noteIndex" : 0 }, "schema" : "https://github.com/citation-style-language/schema/raw/master/csl-citation.json" }</w:instrText>
      </w:r>
      <w:r>
        <w:rPr>
          <w:rFonts w:ascii="Calibri" w:hAnsi="Calibri" w:cs="Arial"/>
        </w:rPr>
        <w:fldChar w:fldCharType="separate"/>
      </w:r>
      <w:r w:rsidRPr="007600B8">
        <w:rPr>
          <w:rFonts w:ascii="Calibri" w:hAnsi="Calibri" w:cs="Arial"/>
          <w:noProof/>
        </w:rPr>
        <w:t>(Duan et al., 2005)</w:t>
      </w:r>
      <w:r>
        <w:rPr>
          <w:rFonts w:ascii="Calibri" w:hAnsi="Calibri" w:cs="Arial"/>
        </w:rPr>
        <w:fldChar w:fldCharType="end"/>
      </w:r>
      <w:r>
        <w:rPr>
          <w:rFonts w:ascii="Calibri" w:hAnsi="Calibri" w:cs="Arial"/>
        </w:rPr>
        <w:t xml:space="preserve">). Aerosol chamber dosing was understandably less efficient than nose-specific aerosol administration (62.4 </w:t>
      </w:r>
      <w:r>
        <w:rPr>
          <w:rFonts w:ascii="Symbol" w:hAnsi="Symbol" w:cs="Arial"/>
        </w:rPr>
        <w:t></w:t>
      </w:r>
      <w:r>
        <w:rPr>
          <w:rFonts w:ascii="Calibri" w:hAnsi="Calibri" w:cs="Arial"/>
        </w:rPr>
        <w:t xml:space="preserve">g per g tissue from a 3.1 mg/kg dose </w:t>
      </w:r>
      <w:r>
        <w:rPr>
          <w:rFonts w:ascii="Calibri" w:hAnsi="Calibri" w:cs="Arial"/>
        </w:rPr>
        <w:fldChar w:fldCharType="begin" w:fldLock="1"/>
      </w:r>
      <w:r>
        <w:rPr>
          <w:rFonts w:ascii="Calibri" w:hAnsi="Calibri" w:cs="Arial"/>
        </w:rPr>
        <w:instrText>ADDIN CSL_CITATION { "citationItems" : [ { "id" : "ITEM-1", "itemData" : { "DOI" : "10.1089/oli.1.2000.10.359", "ISSN" : "1087-2906", "abstract" : "Antisense oligonucleotides are currently being investigated for the treatment of a variety of diseases. Antisense drugs are being administered primarily by parenteral injection. To explore more convenient patient delivery methods, we have characterized the tissue kinetics and tolerability of an inhaled aerosol formulation of a phosphorothioate oligonucleotide in mice. Concentrations of oligonucleotide in bronchioalveolar lavage fluid, plasma, and tissue and immunohistochemical localization were used to assess deposition and pharmacokinetic parameters. Significant concentrations of oligonucleotide in lung, as well as systemic tissues, were measured following a pulmonary dose of 12 mg/kg. Doses as low as 1\u20143 mg/kg also produced significant concentrations of oligonucleotide (&gt;50 \u03bcg oligonucleotide per gram of tissue), and these were maintained in the lung with a halflife of 20 hours or greater. Oligonucleotide was localized to bronchiolar epithelium and alveolar epithelium and endothelium. Toxicity was mild ...", "author" : [ { "dropping-particle" : "", "family" : "Templin", "given" : "M.V.", "non-dropping-particle" : "", "parse-names" : false, "suffix" : "" }, { "dropping-particle" : "", "family" : "Levin", "given" : "A.A.", "non-dropping-particle" : "", "parse-names" : false, "suffix" : "" }, { "dropping-particle" : "", "family" : "Graham", "given" : "M.J.", "non-dropping-particle" : "", "parse-names" : false, "suffix" : "" }, { "dropping-particle" : "", "family" : "\u00c5berg", "given" : "P.M.", "non-dropping-particle" : "", "parse-names" : false, "suffix" : "" }, { "dropping-particle" : "", "family" : "Axelsson", "given" : "B.I.", "non-dropping-particle" : "", "parse-names" : false, "suffix" : "" }, { "dropping-particle" : "", "family" : "Butler", "given" : "M.", "non-dropping-particle" : "", "parse-names" : false, "suffix" : "" }, { "dropping-particle" : "", "family" : "Geary", "given" : "R.S.", "non-dropping-particle" : "", "parse-names" : false, "suffix" : "" }, { "dropping-particle" : "", "family" : "Bennett", "given" : "C.F.", "non-dropping-particle" : "", "parse-names" : false, "suffix" : "" } ], "container-title" : "Antisense and Nucleic Acid Drug Development", "id" : "ITEM-1", "issue" : "5", "issued" : { "date-parts" : [ [ "2000", "10", "30" ] ] }, "language" : "EN", "page" : "359-368", "title" : "Pharmacokinetic and Toxicity Profile of a Phosphorothioate Oligonucleotide Following Inhalation Delivery to Lung in Mice", "type" : "article-journal", "volume" : "10" }, "uris" : [ "http://www.mendeley.com/documents/?uuid=c4734a01-ea50-486a-9a42-eb7d13d4b4a1" ] } ], "mendeley" : { "formattedCitation" : "(Templin et al., 2000)", "plainTextFormattedCitation" : "(Templin et al., 2000)", "previouslyFormattedCitation" : "(Templin et al., 2000)" }, "properties" : { "noteIndex" : 0 }, "schema" : "https://github.com/citation-style-language/schema/raw/master/csl-citation.json" }</w:instrText>
      </w:r>
      <w:r>
        <w:rPr>
          <w:rFonts w:ascii="Calibri" w:hAnsi="Calibri" w:cs="Arial"/>
        </w:rPr>
        <w:fldChar w:fldCharType="separate"/>
      </w:r>
      <w:r w:rsidRPr="00221FAE">
        <w:rPr>
          <w:rFonts w:ascii="Calibri" w:hAnsi="Calibri" w:cs="Arial"/>
          <w:noProof/>
        </w:rPr>
        <w:t>(Templin et al., 2000)</w:t>
      </w:r>
      <w:r>
        <w:rPr>
          <w:rFonts w:ascii="Calibri" w:hAnsi="Calibri" w:cs="Arial"/>
        </w:rPr>
        <w:fldChar w:fldCharType="end"/>
      </w:r>
      <w:r>
        <w:rPr>
          <w:rFonts w:ascii="Calibri" w:hAnsi="Calibri" w:cs="Arial"/>
        </w:rPr>
        <w:t xml:space="preserve">), which also differed from historical intranasal instillation studies </w:t>
      </w:r>
      <w:r>
        <w:rPr>
          <w:rFonts w:ascii="Calibri" w:hAnsi="Calibri" w:cs="Arial"/>
        </w:rPr>
        <w:fldChar w:fldCharType="begin" w:fldLock="1"/>
      </w:r>
      <w:r>
        <w:rPr>
          <w:rFonts w:ascii="Calibri" w:hAnsi="Calibri" w:cs="Arial"/>
        </w:rPr>
        <w:instrText>ADDIN CSL_CITATION { "citationItems" : [ { "id" : "ITEM-1", "itemData" : { "ISBN" : "0724-8741 (Print)\r0724-8741 (Linking)", "PMID" : "9587955", "abstract" : "PURPOSE: Phosphorothioate antisense oligodeoxynucleotides are promising therapeutic candidates. When given systemically in clinical trials they are administered via slow intravenous infusion to avoid their putative plasma concentration-dependent haemodynamic side-effects. In this study, we have evaluated alternative parenteral and non-parenteral administration routes which have the potential to enhance the therapeutic and commercial potential of these agents. METHODS: The delivery of CGP 64128A by intravenous, subcutaneous, intra-peritoneal, oral and intra-tracheal (pulmonary) routes was investigated in rats using radiolabelled compound and supported by more specific capillary gel electrophoretic analyses. RESULTS: Intravenously administered CGP 64128A exhibited the rapid blood clearance and distinctive tissue distribution which are typical for phosphorothioate oligodeoxynucleotides. Subcutaneous and intraperitoneal administration resulted in significant bioavailabilities (30.9% and 28.1% over 360 min, respectively) and reduced peak plasma levels when compared with intravenous dosing. Administration via the gastrointestinal tract gave negligible bioavailability (&lt; 2%). Intra-tracheal administration resulted in significant but dose-dependent bioavailabilities of 3.2, 16.5 and 39.8% at 0.06, 0.6 and 6.0 mg/kg, respectively. CONCLUSIONS: Significant bioavailabilities of CGP 64128A were achieved following subcutaneous, intra-peritoneal and intra-tracheal administration. Pulmonary delivery represents a promising mode of non-parenteral dosing for antisense oligonucleotides. The dose-dependent increase in pulmonary bioavailability suggests that low doses may be retained in the lungs for local effects whereas higher doses may be suitable for the treatment of a broader spectrum of systemic diseases.", "author" : [ { "dropping-particle" : "", "family" : "Nicklin", "given" : "P L", "non-dropping-particle" : "", "parse-names" : false, "suffix" : "" }, { "dropping-particle" : "", "family" : "Bayley", "given" : "D", "non-dropping-particle" : "", "parse-names" : false, "suffix" : "" }, { "dropping-particle" : "", "family" : "Giddings", "given" : "J", "non-dropping-particle" : "", "parse-names" : false, "suffix" : "" }, { "dropping-particle" : "", "family" : "Craig", "given" : "S J", "non-dropping-particle" : "", "parse-names" : false, "suffix" : "" }, { "dropping-particle" : "", "family" : "Cummins", "given" : "L L", "non-dropping-particle" : "", "parse-names" : false, "suffix" : "" }, { "dropping-particle" : "", "family" : "Hastewell", "given" : "J G", "non-dropping-particle" : "", "parse-names" : false, "suffix" : "" }, { "dropping-particle" : "", "family" : "Phillips", "given" : "J A", "non-dropping-particle" : "", "parse-names" : false, "suffix" : "" } ], "container-title" : "Pharm Res", "edition" : "1998/05/20", "id" : "ITEM-1", "issue" : "4", "issued" : { "date-parts" : [ [ "1998" ] ] }, "language" : "eng", "note" : "Nicklin, P L\nBayley, D\nGiddings, J\nCraig, S J\nCummins, L L\nHastewell, J G\nPhillips, J A\nPharm Res. 1998 Apr;15(4):583-91.", "page" : "583-591", "title" : "Pulmonary bioavailability of a phosphorothioate oligonucleotide (CGP 64128A): comparison with other delivery routes", "type" : "article-journal", "volume" : "15" }, "uris" : [ "http://www.mendeley.com/documents/?uuid=faf0ba59-e4f1-46a0-9972-cb58a9aff5de" ] } ], "mendeley" : { "formattedCitation" : "(Nicklin et al., 1998)", "plainTextFormattedCitation" : "(Nicklin et al., 1998)", "previouslyFormattedCitation" : "(Nicklin et al., 1998)" }, "properties" : { "noteIndex" : 0 }, "schema" : "https://github.com/citation-style-language/schema/raw/master/csl-citation.json" }</w:instrText>
      </w:r>
      <w:r>
        <w:rPr>
          <w:rFonts w:ascii="Calibri" w:hAnsi="Calibri" w:cs="Arial"/>
        </w:rPr>
        <w:fldChar w:fldCharType="separate"/>
      </w:r>
      <w:r w:rsidRPr="00756DAC">
        <w:rPr>
          <w:rFonts w:ascii="Calibri" w:hAnsi="Calibri" w:cs="Arial"/>
          <w:noProof/>
        </w:rPr>
        <w:t>(Nicklin et al., 1998)</w:t>
      </w:r>
      <w:r>
        <w:rPr>
          <w:rFonts w:ascii="Calibri" w:hAnsi="Calibri" w:cs="Arial"/>
        </w:rPr>
        <w:fldChar w:fldCharType="end"/>
      </w:r>
      <w:r>
        <w:rPr>
          <w:rFonts w:ascii="Calibri" w:hAnsi="Calibri" w:cs="Arial"/>
        </w:rPr>
        <w:t xml:space="preserve">. </w:t>
      </w:r>
      <w:r w:rsidR="00696FB6">
        <w:rPr>
          <w:rFonts w:ascii="Calibri" w:hAnsi="Calibri" w:cs="Arial"/>
        </w:rPr>
        <w:t>I</w:t>
      </w:r>
      <w:r>
        <w:rPr>
          <w:rFonts w:ascii="Calibri" w:hAnsi="Calibri" w:cs="Arial"/>
        </w:rPr>
        <w:t xml:space="preserve">mmunohistochemistry </w:t>
      </w:r>
      <w:r w:rsidR="00696FB6">
        <w:rPr>
          <w:rFonts w:ascii="Calibri" w:hAnsi="Calibri" w:cs="Arial"/>
        </w:rPr>
        <w:t>had</w:t>
      </w:r>
      <w:r>
        <w:rPr>
          <w:rFonts w:ascii="Calibri" w:hAnsi="Calibri" w:cs="Arial"/>
        </w:rPr>
        <w:t xml:space="preserve"> demonstrate</w:t>
      </w:r>
      <w:r w:rsidR="00696FB6">
        <w:rPr>
          <w:rFonts w:ascii="Calibri" w:hAnsi="Calibri" w:cs="Arial"/>
        </w:rPr>
        <w:t>d</w:t>
      </w:r>
      <w:r>
        <w:rPr>
          <w:rFonts w:ascii="Calibri" w:hAnsi="Calibri" w:cs="Arial"/>
        </w:rPr>
        <w:t xml:space="preserve"> macrophage loading and diffuse a</w:t>
      </w:r>
      <w:r w:rsidR="00D707C3">
        <w:rPr>
          <w:rFonts w:ascii="Calibri" w:hAnsi="Calibri" w:cs="Arial"/>
        </w:rPr>
        <w:t>ssociation of antisense</w:t>
      </w:r>
      <w:r>
        <w:rPr>
          <w:rFonts w:ascii="Calibri" w:hAnsi="Calibri" w:cs="Arial"/>
        </w:rPr>
        <w:t xml:space="preserve"> with lung epithelia</w:t>
      </w:r>
      <w:r w:rsidRPr="006E74AE">
        <w:rPr>
          <w:rFonts w:ascii="Calibri" w:hAnsi="Calibri" w:cs="Arial"/>
        </w:rPr>
        <w:t xml:space="preserve"> </w:t>
      </w:r>
      <w:r>
        <w:rPr>
          <w:rFonts w:ascii="Calibri" w:hAnsi="Calibri" w:cs="Arial"/>
        </w:rPr>
        <w:t>cell types</w:t>
      </w:r>
      <w:r w:rsidR="00696FB6">
        <w:rPr>
          <w:rFonts w:ascii="Calibri" w:hAnsi="Calibri" w:cs="Arial"/>
        </w:rPr>
        <w:t xml:space="preserve"> </w:t>
      </w:r>
      <w:r w:rsidR="00696FB6">
        <w:rPr>
          <w:rFonts w:ascii="Calibri" w:hAnsi="Calibri" w:cs="Arial"/>
        </w:rPr>
        <w:fldChar w:fldCharType="begin" w:fldLock="1"/>
      </w:r>
      <w:r w:rsidR="00696FB6">
        <w:rPr>
          <w:rFonts w:ascii="Calibri" w:hAnsi="Calibri" w:cs="Arial"/>
        </w:rPr>
        <w:instrText>ADDIN CSL_CITATION { "citationItems" : [ { "id" : "ITEM-1", "itemData" : { "DOI" : "10.1089/oli.1.2000.10.359", "ISSN" : "1087-2906", "abstract" : "Antisense oligonucleotides are currently being investigated for the treatment of a variety of diseases. Antisense drugs are being administered primarily by parenteral injection. To explore more convenient patient delivery methods, we have characterized the tissue kinetics and tolerability of an inhaled aerosol formulation of a phosphorothioate oligonucleotide in mice. Concentrations of oligonucleotide in bronchioalveolar lavage fluid, plasma, and tissue and immunohistochemical localization were used to assess deposition and pharmacokinetic parameters. Significant concentrations of oligonucleotide in lung, as well as systemic tissues, were measured following a pulmonary dose of 12 mg/kg. Doses as low as 1\u20143 mg/kg also produced significant concentrations of oligonucleotide (&gt;50 \u03bcg oligonucleotide per gram of tissue), and these were maintained in the lung with a halflife of 20 hours or greater. Oligonucleotide was localized to bronchiolar epithelium and alveolar epithelium and endothelium. Toxicity was mild ...", "author" : [ { "dropping-particle" : "", "family" : "Templin", "given" : "M.V.", "non-dropping-particle" : "", "parse-names" : false, "suffix" : "" }, { "dropping-particle" : "", "family" : "Levin", "given" : "A.A.", "non-dropping-particle" : "", "parse-names" : false, "suffix" : "" }, { "dropping-particle" : "", "family" : "Graham", "given" : "M.J.", "non-dropping-particle" : "", "parse-names" : false, "suffix" : "" }, { "dropping-particle" : "", "family" : "\u00c5berg", "given" : "P.M.", "non-dropping-particle" : "", "parse-names" : false, "suffix" : "" }, { "dropping-particle" : "", "family" : "Axelsson", "given" : "B.I.", "non-dropping-particle" : "", "parse-names" : false, "suffix" : "" }, { "dropping-particle" : "", "family" : "Butler", "given" : "M.", "non-dropping-particle" : "", "parse-names" : false, "suffix" : "" }, { "dropping-particle" : "", "family" : "Geary", "given" : "R.S.", "non-dropping-particle" : "", "parse-names" : false, "suffix" : "" }, { "dropping-particle" : "", "family" : "Bennett", "given" : "C.F.", "non-dropping-particle" : "", "parse-names" : false, "suffix" : "" } ], "container-title" : "Antisense and Nucleic Acid Drug Development", "id" : "ITEM-1", "issue" : "5", "issued" : { "date-parts" : [ [ "2000", "10", "30" ] ] }, "language" : "EN", "page" : "359-368", "title" : "Pharmacokinetic and Toxicity Profile of a Phosphorothioate Oligonucleotide Following Inhalation Delivery to Lung in Mice", "type" : "article-journal", "volume" : "10" }, "uris" : [ "http://www.mendeley.com/documents/?uuid=c4734a01-ea50-486a-9a42-eb7d13d4b4a1" ] } ], "mendeley" : { "formattedCitation" : "(Templin et al., 2000)", "plainTextFormattedCitation" : "(Templin et al., 2000)", "previouslyFormattedCitation" : "(Templin et al., 2000)" }, "properties" : { "noteIndex" : 0 }, "schema" : "https://github.com/citation-style-language/schema/raw/master/csl-citation.json" }</w:instrText>
      </w:r>
      <w:r w:rsidR="00696FB6">
        <w:rPr>
          <w:rFonts w:ascii="Calibri" w:hAnsi="Calibri" w:cs="Arial"/>
        </w:rPr>
        <w:fldChar w:fldCharType="separate"/>
      </w:r>
      <w:r w:rsidR="00696FB6" w:rsidRPr="00221FAE">
        <w:rPr>
          <w:rFonts w:ascii="Calibri" w:hAnsi="Calibri" w:cs="Arial"/>
          <w:noProof/>
        </w:rPr>
        <w:t>(Templin et al., 2000)</w:t>
      </w:r>
      <w:r w:rsidR="00696FB6">
        <w:rPr>
          <w:rFonts w:ascii="Calibri" w:hAnsi="Calibri" w:cs="Arial"/>
        </w:rPr>
        <w:fldChar w:fldCharType="end"/>
      </w:r>
      <w:r>
        <w:rPr>
          <w:rFonts w:ascii="Calibri" w:hAnsi="Calibri" w:cs="Arial"/>
        </w:rPr>
        <w:t>; however</w:t>
      </w:r>
      <w:r w:rsidR="00696FB6">
        <w:rPr>
          <w:rFonts w:ascii="Calibri" w:hAnsi="Calibri" w:cs="Arial"/>
        </w:rPr>
        <w:t>,</w:t>
      </w:r>
      <w:r>
        <w:rPr>
          <w:rFonts w:ascii="Calibri" w:hAnsi="Calibri" w:cs="Arial"/>
        </w:rPr>
        <w:t xml:space="preserve"> subcellular distribution was not assessed. Nonetheless, Duan </w:t>
      </w:r>
      <w:r>
        <w:rPr>
          <w:rFonts w:ascii="Calibri" w:hAnsi="Calibri" w:cs="Arial"/>
          <w:i/>
        </w:rPr>
        <w:t>et al.</w:t>
      </w:r>
      <w:r>
        <w:rPr>
          <w:rFonts w:ascii="Calibri" w:hAnsi="Calibri" w:cs="Arial"/>
        </w:rPr>
        <w:t xml:space="preserve"> achieved restriction of multiple asthma</w:t>
      </w:r>
      <w:r w:rsidR="00696FB6">
        <w:rPr>
          <w:rFonts w:ascii="Calibri" w:hAnsi="Calibri" w:cs="Arial"/>
        </w:rPr>
        <w:t>tic disease</w:t>
      </w:r>
      <w:r>
        <w:rPr>
          <w:rFonts w:ascii="Calibri" w:hAnsi="Calibri" w:cs="Arial"/>
        </w:rPr>
        <w:t xml:space="preserve"> biomarkers efficiently modeled in mice (eosinophilia, mucus production, cytokine production, airway hyper-responsiveness), including ~60% reduction in target </w:t>
      </w:r>
      <w:r>
        <w:rPr>
          <w:rFonts w:ascii="Calibri" w:hAnsi="Calibri" w:cs="Arial"/>
        </w:rPr>
        <w:lastRenderedPageBreak/>
        <w:t>mRNA levels in both luminal and draining</w:t>
      </w:r>
      <w:r w:rsidR="00D707C3">
        <w:rPr>
          <w:rFonts w:ascii="Calibri" w:hAnsi="Calibri" w:cs="Arial"/>
        </w:rPr>
        <w:t xml:space="preserve"> peribronchial lymph node lympho</w:t>
      </w:r>
      <w:r>
        <w:rPr>
          <w:rFonts w:ascii="Calibri" w:hAnsi="Calibri" w:cs="Arial"/>
        </w:rPr>
        <w:t xml:space="preserve">cytes. However, the mRNA data were not normalized for endogenous housekeeping gene levels </w:t>
      </w:r>
      <w:r>
        <w:rPr>
          <w:rFonts w:ascii="Calibri" w:hAnsi="Calibri" w:cs="Arial"/>
        </w:rPr>
        <w:fldChar w:fldCharType="begin" w:fldLock="1"/>
      </w:r>
      <w:r>
        <w:rPr>
          <w:rFonts w:ascii="Calibri" w:hAnsi="Calibri" w:cs="Arial"/>
        </w:rPr>
        <w:instrText>ADDIN CSL_CITATION { "citationItems" : [ { "id" : "ITEM-1", "itemData" : { "DOI" : "10.1055/s-2001-17911", "ISSN" : "0018-5043", "PMID" : "11607884", "abstract" : "Quantitative gene expression protocols require adequate controls to monitor intersample variation. Quantitative approaches to describe relative changes in gene expression use endogenous controls--\"housekeeping\" genes. Given the low amounts of mRNA in fat cells, RT-PCR is the method of choice, and housekeeping genes are widely used as endogenous controls. However, literature reports suggest changes in gene expression of typical housekeeping genes (e. g. GAPDH, beta-actin, 18S rRNA) upon hormonal stimulation or during adipogenic differentiation. Thus, we tested the influence of 6 hormones and adipogenic differentiation on gene expression levels of 11 commonly used housekeeping genes in primary cultured mature human adipocytes and preadipocytes. Using the TaqMan RT-PCR technique and \"Human Endogenous Control Assays\" (PE Biosystems), we found several housekeeping genes with at least twice the difference in expression levels between stimulated and unstimulated cells (such as acidic ribosomal protein, beta-actin, beta(2)-microglobulin and beta-glucuronidase). Only GAPDH and transferrin receptor gene expression levels did not change under any of the stimuli tested, thus appeared best suited for gene expression studies in human adipose cells across a wide range of experimental settings.", "author" : [ { "dropping-particle" : "", "family" : "Gorzelniak", "given" : "K", "non-dropping-particle" : "", "parse-names" : false, "suffix" : "" }, { "dropping-particle" : "", "family" : "Janke", "given" : "J", "non-dropping-particle" : "", "parse-names" : false, "suffix" : "" }, { "dropping-particle" : "", "family" : "Engeli", "given" : "S", "non-dropping-particle" : "", "parse-names" : false, "suffix" : "" }, { "dropping-particle" : "", "family" : "Sharma", "given" : "A M", "non-dropping-particle" : "", "parse-names" : false, "suffix" : "" } ], "container-title" : "Hormone and metabolic research = Hormon- und Stoffwechselforschung = Hormones et m\u00e9tabolisme", "id" : "ITEM-1", "issue" : "10", "issued" : { "date-parts" : [ [ "2001", "10" ] ] }, "page" : "625-7", "title" : "Validation of endogenous controls for gene expression studies in human adipocytes and preadipocytes.", "type" : "article-journal", "volume" : "33" }, "uris" : [ "http://www.mendeley.com/documents/?uuid=c9c1f29b-554c-4380-a689-09cf86bebf1f" ] } ], "mendeley" : { "formattedCitation" : "(Gorzelniak, Janke, Engeli, &amp; Sharma, 2001)", "plainTextFormattedCitation" : "(Gorzelniak, Janke, Engeli, &amp; Sharma, 2001)", "previouslyFormattedCitation" : "(Gorzelniak, Janke, Engeli, &amp; Sharma, 2001)" }, "properties" : { "noteIndex" : 0 }, "schema" : "https://github.com/citation-style-language/schema/raw/master/csl-citation.json" }</w:instrText>
      </w:r>
      <w:r>
        <w:rPr>
          <w:rFonts w:ascii="Calibri" w:hAnsi="Calibri" w:cs="Arial"/>
        </w:rPr>
        <w:fldChar w:fldCharType="separate"/>
      </w:r>
      <w:r w:rsidRPr="007B427E">
        <w:rPr>
          <w:rFonts w:ascii="Calibri" w:hAnsi="Calibri" w:cs="Arial"/>
          <w:noProof/>
        </w:rPr>
        <w:t>(Gorzelniak, Janke, Engeli, &amp; Sharma, 2001)</w:t>
      </w:r>
      <w:r>
        <w:rPr>
          <w:rFonts w:ascii="Calibri" w:hAnsi="Calibri" w:cs="Arial"/>
        </w:rPr>
        <w:fldChar w:fldCharType="end"/>
      </w:r>
      <w:r>
        <w:rPr>
          <w:rFonts w:ascii="Calibri" w:hAnsi="Calibri" w:cs="Arial"/>
        </w:rPr>
        <w:t xml:space="preserve">, undermining the claim of an on-target mechanism of action. </w:t>
      </w:r>
    </w:p>
    <w:p w14:paraId="2489B985" w14:textId="7089FBA4" w:rsidR="006E74AE" w:rsidRDefault="006E74AE" w:rsidP="005837A4">
      <w:pPr>
        <w:spacing w:line="480" w:lineRule="auto"/>
        <w:jc w:val="both"/>
        <w:rPr>
          <w:rFonts w:ascii="Calibri" w:hAnsi="Calibri" w:cs="Arial"/>
        </w:rPr>
      </w:pPr>
      <w:r>
        <w:rPr>
          <w:rFonts w:ascii="Calibri" w:hAnsi="Calibri" w:cs="Arial"/>
        </w:rPr>
        <w:t xml:space="preserve">Using a murine-specific version of AIR645, ISIS 231894, Karras </w:t>
      </w:r>
      <w:r>
        <w:rPr>
          <w:rFonts w:ascii="Calibri" w:hAnsi="Calibri" w:cs="Arial"/>
          <w:i/>
        </w:rPr>
        <w:t xml:space="preserve">et al. </w:t>
      </w:r>
      <w:r>
        <w:rPr>
          <w:rFonts w:ascii="Calibri" w:hAnsi="Calibri" w:cs="Arial"/>
        </w:rPr>
        <w:t>attempted to address this by measuring the reduction of IL4R alpha chain protein levels</w:t>
      </w:r>
      <w:r w:rsidR="00DD5E6D">
        <w:rPr>
          <w:rFonts w:ascii="Calibri" w:hAnsi="Calibri" w:cs="Arial"/>
        </w:rPr>
        <w:t xml:space="preserve"> </w:t>
      </w:r>
      <w:r w:rsidR="00DD5E6D">
        <w:rPr>
          <w:rFonts w:ascii="Calibri" w:hAnsi="Calibri" w:cs="Arial"/>
        </w:rPr>
        <w:fldChar w:fldCharType="begin" w:fldLock="1"/>
      </w:r>
      <w:r w:rsidR="00DD5E6D">
        <w:rPr>
          <w:rFonts w:ascii="Calibri" w:hAnsi="Calibri" w:cs="Arial"/>
        </w:rPr>
        <w:instrText>ADDIN CSL_CITATION { "citationItems" : [ { "id" : "ITEM-1", "itemData" : { "DOI" : "10.1165/rcmb.2005-0456OC", "ISSN" : "1044-1549", "PMID" : "16990616", "abstract" : "The Th2 cytokines IL-4 and IL-13 mediate allergic pulmonary inflammation and airways hyperreactivity (AHR) in asthma models through signaling dependent upon the IL-4 receptor-alpha chain (IL-4Ralpha). IL-13 has been further implicated in the overproduction of mucus by the airway epithelium and in lung remodeling that commonly accompanies chronic inflammation. IL-4Ralpha-deficient mice are resistant to allergen-induced asthma, highlighting the therapeutic promise of selective molecular inhibitors of IL-4Ralpha. We designed a chemically modified IL-4Ralpha antisense oligonucleotide (IL-4Ralpha ASO) that specifically inhibits IL-4Ralpha protein expression in lung eosinophils, macrophages, dendritic cells, and airway epithelium after inhalation in allergen-challenged mice. Inhalation of IL-4Ralpha ASO attenuated allergen-induced AHR, suppressed airway eosinophilia and neutrophilia, and inhibited production of airway Th2 cytokines and chemokines in previously allergen-primed and -challenged mice. Histologic analysis of lungs from these animals demonstrated reduced goblet cell metaplasia and mucus staining that correlated with inhibition of Muc5AC gene expression in lung tissue. Therapeutic administration of inhaled IL-4Ralpha ASO in chronically allergen-challenged mice produced a spectrum of anti-inflammatory activity similar to that of systemically administered Dexamethasone with the added benefit of reduced airway neutrophilia. These data support the potential utility of a dual IL-4 and IL-13 oligonucleotide inhibitor in allergy/asthma, and suggest that local inhibition of IL-4Ralpha in the lung is sufficient to suppress allergen-induced pulmonary inflammation and AHR.", "author" : [ { "dropping-particle" : "", "family" : "Karras", "given" : "James G", "non-dropping-particle" : "", "parse-names" : false, "suffix" : "" }, { "dropping-particle" : "", "family" : "Crosby", "given" : "Jeffrey R", "non-dropping-particle" : "", "parse-names" : false, "suffix" : "" }, { "dropping-particle" : "", "family" : "Guha", "given" : "Mausumee", "non-dropping-particle" : "", "parse-names" : false, "suffix" : "" }, { "dropping-particle" : "", "family" : "Tung", "given" : "David", "non-dropping-particle" : "", "parse-names" : false, "suffix" : "" }, { "dropping-particle" : "", "family" : "Miller", "given" : "Doreen A", "non-dropping-particle" : "", "parse-names" : false, "suffix" : "" }, { "dropping-particle" : "", "family" : "Gaarde", "given" : "William A", "non-dropping-particle" : "", "parse-names" : false, "suffix" : "" }, { "dropping-particle" : "", "family" : "Geary", "given" : "Richard S", "non-dropping-particle" : "", "parse-names" : false, "suffix" : "" }, { "dropping-particle" : "", "family" : "Monia", "given" : "Brett P", "non-dropping-particle" : "", "parse-names" : false, "suffix" : "" }, { "dropping-particle" : "", "family" : "Gregory", "given" : "Susan A", "non-dropping-particle" : "", "parse-names" : false, "suffix" : "" } ], "container-title" : "American journal of respiratory cell and molecular biology", "id" : "ITEM-1", "issue" : "3", "issued" : { "date-parts" : [ [ "2007", "3", "20" ] ] }, "language" : "en", "page" : "276-85", "publisher" : "American Thoracic Society", "title" : "Anti-inflammatory activity of inhaled IL-4 receptor-alpha antisense oligonucleotide in mice.", "type" : "article-journal", "volume" : "36" }, "uris" : [ "http://www.mendeley.com/documents/?uuid=bcbba9a9-8010-4ec9-aa1c-48bc0148561e" ] } ], "mendeley" : { "formattedCitation" : "(Karras et al., 2007)", "plainTextFormattedCitation" : "(Karras et al., 2007)", "previouslyFormattedCitation" : "(Karras et al., 2007)" }, "properties" : { "noteIndex" : 0 }, "schema" : "https://github.com/citation-style-language/schema/raw/master/csl-citation.json" }</w:instrText>
      </w:r>
      <w:r w:rsidR="00DD5E6D">
        <w:rPr>
          <w:rFonts w:ascii="Calibri" w:hAnsi="Calibri" w:cs="Arial"/>
        </w:rPr>
        <w:fldChar w:fldCharType="separate"/>
      </w:r>
      <w:r w:rsidR="00DD5E6D" w:rsidRPr="00756DAC">
        <w:rPr>
          <w:rFonts w:ascii="Calibri" w:hAnsi="Calibri" w:cs="Arial"/>
          <w:noProof/>
        </w:rPr>
        <w:t>(Karras et al., 2007)</w:t>
      </w:r>
      <w:r w:rsidR="00DD5E6D">
        <w:rPr>
          <w:rFonts w:ascii="Calibri" w:hAnsi="Calibri" w:cs="Arial"/>
        </w:rPr>
        <w:fldChar w:fldCharType="end"/>
      </w:r>
      <w:r>
        <w:rPr>
          <w:rFonts w:ascii="Calibri" w:hAnsi="Calibri" w:cs="Arial"/>
        </w:rPr>
        <w:t>. This involved fluorescent cell sorting of primary lung cell subtypes in mice receiving an estimated 0.01-0.5 mg/kg nose-specific aerosol dose. At best, an ~50% reduction in IL4R alpha chain levels was observed in macrophage</w:t>
      </w:r>
      <w:r w:rsidR="00135AB3">
        <w:rPr>
          <w:rFonts w:ascii="Calibri" w:hAnsi="Calibri" w:cs="Arial"/>
        </w:rPr>
        <w:t xml:space="preserve">s </w:t>
      </w:r>
      <w:r>
        <w:rPr>
          <w:rFonts w:ascii="Calibri" w:hAnsi="Calibri" w:cs="Arial"/>
        </w:rPr>
        <w:t xml:space="preserve">and lung epithelia </w:t>
      </w:r>
      <w:r w:rsidR="00135AB3">
        <w:rPr>
          <w:rFonts w:ascii="Calibri" w:hAnsi="Calibri" w:cs="Arial"/>
        </w:rPr>
        <w:t>at</w:t>
      </w:r>
      <w:r>
        <w:rPr>
          <w:rFonts w:ascii="Calibri" w:hAnsi="Calibri" w:cs="Arial"/>
        </w:rPr>
        <w:t xml:space="preserve"> the highest dose</w:t>
      </w:r>
      <w:r w:rsidR="00135AB3">
        <w:rPr>
          <w:rFonts w:ascii="Calibri" w:hAnsi="Calibri" w:cs="Arial"/>
        </w:rPr>
        <w:t>, but it is unclear if</w:t>
      </w:r>
      <w:r w:rsidR="00135AB3" w:rsidRPr="00135AB3">
        <w:rPr>
          <w:rFonts w:ascii="Calibri" w:hAnsi="Calibri" w:cs="Arial"/>
        </w:rPr>
        <w:t xml:space="preserve"> </w:t>
      </w:r>
      <w:r w:rsidR="00135AB3">
        <w:rPr>
          <w:rFonts w:ascii="Calibri" w:hAnsi="Calibri" w:cs="Arial"/>
        </w:rPr>
        <w:t xml:space="preserve">multiple comparisons correction was applied in determining </w:t>
      </w:r>
      <w:r w:rsidR="00696FB6">
        <w:rPr>
          <w:rFonts w:ascii="Calibri" w:hAnsi="Calibri" w:cs="Arial"/>
        </w:rPr>
        <w:t xml:space="preserve">statistical </w:t>
      </w:r>
      <w:r w:rsidR="00135AB3">
        <w:rPr>
          <w:rFonts w:ascii="Calibri" w:hAnsi="Calibri" w:cs="Arial"/>
        </w:rPr>
        <w:t>significance</w:t>
      </w:r>
      <w:r w:rsidR="00C00491">
        <w:rPr>
          <w:rFonts w:ascii="Calibri" w:hAnsi="Calibri" w:cs="Arial"/>
        </w:rPr>
        <w:t xml:space="preserve">, or if data distribution profiling was applied to </w:t>
      </w:r>
      <w:r w:rsidR="002147BB">
        <w:rPr>
          <w:rFonts w:ascii="Calibri" w:hAnsi="Calibri" w:cs="Arial"/>
        </w:rPr>
        <w:t>inform</w:t>
      </w:r>
      <w:r w:rsidR="00C00491">
        <w:rPr>
          <w:rFonts w:ascii="Calibri" w:hAnsi="Calibri" w:cs="Arial"/>
        </w:rPr>
        <w:t xml:space="preserve"> linear or logarithmic </w:t>
      </w:r>
      <w:r w:rsidR="002147BB">
        <w:rPr>
          <w:rFonts w:ascii="Calibri" w:hAnsi="Calibri" w:cs="Arial"/>
        </w:rPr>
        <w:t>scale statistical testing</w:t>
      </w:r>
      <w:r>
        <w:rPr>
          <w:rFonts w:ascii="Calibri" w:hAnsi="Calibri" w:cs="Arial"/>
        </w:rPr>
        <w:t xml:space="preserve">. </w:t>
      </w:r>
      <w:r w:rsidR="00135AB3">
        <w:rPr>
          <w:rFonts w:ascii="Calibri" w:hAnsi="Calibri" w:cs="Arial"/>
        </w:rPr>
        <w:t>Drug retention within each cell type was also not assessed</w:t>
      </w:r>
      <w:r>
        <w:rPr>
          <w:rFonts w:ascii="Calibri" w:hAnsi="Calibri" w:cs="Arial"/>
        </w:rPr>
        <w:t>.</w:t>
      </w:r>
      <w:r w:rsidR="002147BB">
        <w:rPr>
          <w:rFonts w:ascii="Calibri" w:hAnsi="Calibri" w:cs="Arial"/>
        </w:rPr>
        <w:t xml:space="preserve"> Thus,</w:t>
      </w:r>
      <w:r>
        <w:rPr>
          <w:rFonts w:ascii="Calibri" w:hAnsi="Calibri" w:cs="Arial"/>
        </w:rPr>
        <w:t xml:space="preserve"> Karras </w:t>
      </w:r>
      <w:r>
        <w:rPr>
          <w:rFonts w:ascii="Calibri" w:hAnsi="Calibri" w:cs="Arial"/>
          <w:i/>
        </w:rPr>
        <w:t xml:space="preserve">et al. </w:t>
      </w:r>
      <w:r>
        <w:rPr>
          <w:rFonts w:ascii="Calibri" w:hAnsi="Calibri" w:cs="Arial"/>
        </w:rPr>
        <w:t xml:space="preserve">reported </w:t>
      </w:r>
      <w:r w:rsidR="00DD5E6D">
        <w:rPr>
          <w:rFonts w:ascii="Calibri" w:hAnsi="Calibri" w:cs="Arial"/>
        </w:rPr>
        <w:t xml:space="preserve">asthmatic response </w:t>
      </w:r>
      <w:r>
        <w:rPr>
          <w:rFonts w:ascii="Calibri" w:hAnsi="Calibri" w:cs="Arial"/>
        </w:rPr>
        <w:t xml:space="preserve">ablation </w:t>
      </w:r>
      <w:r w:rsidR="00135AB3">
        <w:rPr>
          <w:rFonts w:ascii="Calibri" w:hAnsi="Calibri" w:cs="Arial"/>
        </w:rPr>
        <w:t>but</w:t>
      </w:r>
      <w:r>
        <w:rPr>
          <w:rFonts w:ascii="Calibri" w:hAnsi="Calibri" w:cs="Arial"/>
        </w:rPr>
        <w:t xml:space="preserve"> the </w:t>
      </w:r>
      <w:r w:rsidR="00F306F0">
        <w:rPr>
          <w:rFonts w:ascii="Calibri" w:hAnsi="Calibri" w:cs="Arial"/>
        </w:rPr>
        <w:t>mechanism</w:t>
      </w:r>
      <w:r>
        <w:rPr>
          <w:rFonts w:ascii="Calibri" w:hAnsi="Calibri" w:cs="Arial"/>
        </w:rPr>
        <w:t xml:space="preserve"> remained </w:t>
      </w:r>
      <w:r w:rsidR="00696FB6">
        <w:rPr>
          <w:rFonts w:ascii="Calibri" w:hAnsi="Calibri" w:cs="Arial"/>
        </w:rPr>
        <w:t>unclear</w:t>
      </w:r>
      <w:r>
        <w:rPr>
          <w:rFonts w:ascii="Calibri" w:hAnsi="Calibri" w:cs="Arial"/>
        </w:rPr>
        <w:t>. Interestingly, immunomodulation appeared to be part of the effect of ISIS 231894 as revealed through cytokine profiling in a separate</w:t>
      </w:r>
      <w:r w:rsidR="00696FB6">
        <w:rPr>
          <w:rFonts w:ascii="Calibri" w:hAnsi="Calibri" w:cs="Arial"/>
        </w:rPr>
        <w:t>, antiviral</w:t>
      </w:r>
      <w:r>
        <w:rPr>
          <w:rFonts w:ascii="Calibri" w:hAnsi="Calibri" w:cs="Arial"/>
        </w:rPr>
        <w:t xml:space="preserve"> study </w:t>
      </w:r>
      <w:r>
        <w:rPr>
          <w:rFonts w:ascii="Calibri" w:hAnsi="Calibri" w:cs="Arial"/>
        </w:rPr>
        <w:fldChar w:fldCharType="begin" w:fldLock="1"/>
      </w:r>
      <w:r>
        <w:rPr>
          <w:rFonts w:ascii="Calibri" w:hAnsi="Calibri" w:cs="Arial"/>
        </w:rPr>
        <w:instrText>ADDIN CSL_CITATION { "citationItems" : [ { "id" : "ITEM-1", "itemData" : { "DOI" : "10.4049/jimmunol.1000484", "ISSN" : "1550-6606", "PMID" : "20861354", "abstract" : "Respiratory syncytial virus (RSV) causes significant morbidity and mortality in infants worldwide. Severe RSV infections in infants cause bronchiolitis, wheeze, and/or cough and significantly increase the risk for developing asthma. RSV pathogenesis is thought to be due to a Th2-type immune response initiated in response to RSV infection, specifically in the infant. Using a neonatal mouse system as an appropriate model for human infants, we sought to determine whether local inhibition of IL-4R\u03b1 expression during primary RSV infection in the neonate would prevent Th2-skewed responses to secondary RSV infection and improve long-term pulmonary function. To reduce IL-4R\u03b1 expression, antisense oligonucleotides (ASOs) specific for IL-4R\u03b1 were administered intranasally to neonatal mice at the time of primary infection. Mice were initially infected with RSV at 1 wk of age and were reinfected at 6 wk of age. Administration of IL-4R\u03b1 ASOs during primary RSV infection in neonatal mice abolished the pulmonary dysfunction normally observed following reinfection in the adult. This ablation of pulmonary dysfunction correlated with a persistent rebalancing of the Th cell compartment with decreased Th2 responses (i.e., reduced goblet cell hyperplasia, Th2 cells, and cytokine secretion) and increased Th1 responses (i.e., elevated Th1 cell numbers and type I Abs and cytokines). Our data support our hypothesis that a reduction in the Th2 immune response during primary infection in neonates prevents Th2-mediated pulmonary pathology initially and upon reinfection and further suggest that vaccine strategies incorporating IL-4R\u03b1 ASOs may be of significant benefit to infants.", "author" : [ { "dropping-particle" : "", "family" : "Ripple", "given" : "Michael J", "non-dropping-particle" : "", "parse-names" : false, "suffix" : "" }, { "dropping-particle" : "", "family" : "You", "given" : "Dahui", "non-dropping-particle" : "", "parse-names" : false, "suffix" : "" }, { "dropping-particle" : "", "family" : "Honnegowda", "given" : "Srinivasa", "non-dropping-particle" : "", "parse-names" : false, "suffix" : "" }, { "dropping-particle" : "", "family" : "Giaimo", "given" : "Joseph D", "non-dropping-particle" : "", "parse-names" : false, "suffix" : "" }, { "dropping-particle" : "", "family" : "Sewell", "given" : "Andrew B", "non-dropping-particle" : "", "parse-names" : false, "suffix" : "" }, { "dropping-particle" : "", "family" : "Becnel", "given" : "David M", "non-dropping-particle" : "", "parse-names" : false, "suffix" : "" }, { "dropping-particle" : "", "family" : "Cormier", "given" : "Stephania A", "non-dropping-particle" : "", "parse-names" : false, "suffix" : "" } ], "container-title" : "Journal of immunology (Baltimore, Md. : 1950)", "id" : "ITEM-1", "issue" : "8", "issued" : { "date-parts" : [ [ "2010", "10", "15" ] ] }, "page" : "4804-11", "title" : "Immunomodulation with IL-4R alpha antisense oligonucleotide prevents respiratory syncytial virus-mediated pulmonary disease.", "type" : "article-journal", "volume" : "185" }, "uris" : [ "http://www.mendeley.com/documents/?uuid=7f27d7c4-c22f-4c89-a69e-947c51f25922" ] } ], "mendeley" : { "formattedCitation" : "(Ripple et al., 2010)", "plainTextFormattedCitation" : "(Ripple et al., 2010)", "previouslyFormattedCitation" : "(Ripple et al., 2010)" }, "properties" : { "noteIndex" : 0 }, "schema" : "https://github.com/citation-style-language/schema/raw/master/csl-citation.json" }</w:instrText>
      </w:r>
      <w:r>
        <w:rPr>
          <w:rFonts w:ascii="Calibri" w:hAnsi="Calibri" w:cs="Arial"/>
        </w:rPr>
        <w:fldChar w:fldCharType="separate"/>
      </w:r>
      <w:r w:rsidRPr="00894274">
        <w:rPr>
          <w:rFonts w:ascii="Calibri" w:hAnsi="Calibri" w:cs="Arial"/>
          <w:noProof/>
        </w:rPr>
        <w:t>(Ripple et al., 2010)</w:t>
      </w:r>
      <w:r>
        <w:rPr>
          <w:rFonts w:ascii="Calibri" w:hAnsi="Calibri" w:cs="Arial"/>
        </w:rPr>
        <w:fldChar w:fldCharType="end"/>
      </w:r>
      <w:r w:rsidR="00135AB3">
        <w:rPr>
          <w:rFonts w:ascii="Calibri" w:hAnsi="Calibri" w:cs="Arial"/>
        </w:rPr>
        <w:t>. T</w:t>
      </w:r>
      <w:r>
        <w:rPr>
          <w:rFonts w:ascii="Calibri" w:hAnsi="Calibri" w:cs="Arial"/>
        </w:rPr>
        <w:t xml:space="preserve">he relevance of these results appears to have been overlooked in the asthma model </w:t>
      </w:r>
      <w:r w:rsidR="00135AB3">
        <w:rPr>
          <w:rFonts w:ascii="Calibri" w:hAnsi="Calibri" w:cs="Arial"/>
        </w:rPr>
        <w:t>outputs.</w:t>
      </w:r>
    </w:p>
    <w:p w14:paraId="351F46E7" w14:textId="77777777" w:rsidR="006E5B60" w:rsidRDefault="006E5B60" w:rsidP="005837A4">
      <w:pPr>
        <w:spacing w:line="480" w:lineRule="auto"/>
        <w:jc w:val="both"/>
        <w:rPr>
          <w:rFonts w:ascii="Calibri" w:hAnsi="Calibri" w:cs="Arial"/>
        </w:rPr>
      </w:pPr>
    </w:p>
    <w:p w14:paraId="76B07D15" w14:textId="2990ECFF" w:rsidR="00BF2977" w:rsidRDefault="00135AB3" w:rsidP="005837A4">
      <w:pPr>
        <w:spacing w:line="480" w:lineRule="auto"/>
        <w:jc w:val="both"/>
        <w:rPr>
          <w:rFonts w:ascii="Calibri" w:hAnsi="Calibri" w:cs="Arial"/>
        </w:rPr>
      </w:pPr>
      <w:r>
        <w:rPr>
          <w:rFonts w:ascii="Calibri" w:hAnsi="Calibri" w:cs="Arial"/>
        </w:rPr>
        <w:t>Both</w:t>
      </w:r>
      <w:r w:rsidR="006E74AE">
        <w:rPr>
          <w:rFonts w:ascii="Calibri" w:hAnsi="Calibri" w:cs="Arial"/>
        </w:rPr>
        <w:t xml:space="preserve"> AIR645 (primate-specific) and ISIS 231894 were tested in rodents for toxicity and tolerability, but only AIR645 was tested in monkeys </w:t>
      </w:r>
      <w:r w:rsidR="006E74AE">
        <w:rPr>
          <w:rFonts w:ascii="Calibri" w:hAnsi="Calibri" w:cs="Arial"/>
        </w:rPr>
        <w:fldChar w:fldCharType="begin" w:fldLock="1"/>
      </w:r>
      <w:r w:rsidR="006E74AE">
        <w:rPr>
          <w:rFonts w:ascii="Calibri" w:hAnsi="Calibri" w:cs="Arial"/>
        </w:rPr>
        <w:instrText>ADDIN CSL_CITATION { "citationItems" : [ { "id" : "ITEM-1", "itemData" : { "abstract" : "AbstractAntisense oligonucleotides (ASOs) bind and facilitate degradation of RNA and inhibit protein expression in pathways not easily targeted with small molecules or antibodies. Interleukin (IL)-4 and IL-13 potentiate signaling through the shared IL-4 receptor-\u03b1 (IL-4R\u03b1) subunit of their receptors. ASO targeting of IL-4R\u03b1 mRNA in a mouse model of asthma led to attenuation of airway hyperactivity, demonstrating potential benefit in asthma patients. This study focused on tolerability of inhaled IL-4R\u03b1-targeting ASOs. Toxicity studies were performed with mouse- (ISIS 23189) and human-specific (ISIS 369645) sequences administered by inhalation. Four week (monkey) or 13 week (mouse) repeat doses at levels of up to 15\u2009mg/kg/exposure (exp) and 50\u2009mg/kg/exp, respectively, demonstrated dose-dependent effects limited to increases in macrophage size and number in lung and tracheobronchial lymph nodes. The changes were largely non-specific, reflecting adaptive responses that occur during active exposure and deposit...", "author" : [ { "dropping-particle" : "", "family" : "Fey", "given" : "Robert A.", "non-dropping-particle" : "", "parse-names" : false, "suffix" : "" }, { "dropping-particle" : "V.", "family" : "Templin", "given" : "Michael", "non-dropping-particle" : "", "parse-names" : false, "suffix" : "" }, { "dropping-particle" : "", "family" : "McDonald", "given" : "Jacob D.", "non-dropping-particle" : "", "parse-names" : false, "suffix" : "" }, { "dropping-particle" : "", "family" : "Yu", "given" : "Rosie Z.", "non-dropping-particle" : "", "parse-names" : false, "suffix" : "" }, { "dropping-particle" : "", "family" : "Hutt", "given" : "Julie A.", "non-dropping-particle" : "", "parse-names" : false, "suffix" : "" }, { "dropping-particle" : "", "family" : "Gigliotti", "given" : "Andrew P.", "non-dropping-particle" : "", "parse-names" : false, "suffix" : "" }, { "dropping-particle" : "", "family" : "Henry", "given" : "Scott P.", "non-dropping-particle" : "", "parse-names" : false, "suffix" : "" }, { "dropping-particle" : "", "family" : "Reed", "given" : "Matthew D.", "non-dropping-particle" : "", "parse-names" : false, "suffix" : "" } ], "container-title" : "Inhalation Toxicology", "id" : "ITEM-1", "issued" : { "date-parts" : [ [ "2014", "7", "2" ] ] }, "language" : "en", "publisher" : "Taylor &amp; Francis", "title" : "Local and systemic tolerability of a 2\u2032O-methoxyethyl antisense oligonucleotide targeting interleukin-4 receptor-\u03b1 delivery by inhalation in mouse and monkey", "type" : "article-journal" }, "uris" : [ "http://www.mendeley.com/documents/?uuid=bb4e0c49-ace3-445e-a07a-3a90368eaab2" ] } ], "mendeley" : { "formattedCitation" : "(Fey et al., 2014)", "plainTextFormattedCitation" : "(Fey et al., 2014)", "previouslyFormattedCitation" : "(Fey et al., 2014)" }, "properties" : { "noteIndex" : 0 }, "schema" : "https://github.com/citation-style-language/schema/raw/master/csl-citation.json" }</w:instrText>
      </w:r>
      <w:r w:rsidR="006E74AE">
        <w:rPr>
          <w:rFonts w:ascii="Calibri" w:hAnsi="Calibri" w:cs="Arial"/>
        </w:rPr>
        <w:fldChar w:fldCharType="separate"/>
      </w:r>
      <w:r w:rsidR="006E74AE" w:rsidRPr="00900833">
        <w:rPr>
          <w:rFonts w:ascii="Calibri" w:hAnsi="Calibri" w:cs="Arial"/>
          <w:noProof/>
        </w:rPr>
        <w:t>(Fey et al., 2014)</w:t>
      </w:r>
      <w:r w:rsidR="006E74AE">
        <w:rPr>
          <w:rFonts w:ascii="Calibri" w:hAnsi="Calibri" w:cs="Arial"/>
        </w:rPr>
        <w:fldChar w:fldCharType="end"/>
      </w:r>
      <w:r w:rsidR="006E74AE">
        <w:rPr>
          <w:rFonts w:ascii="Calibri" w:hAnsi="Calibri" w:cs="Arial"/>
        </w:rPr>
        <w:t xml:space="preserve"> at 0.4</w:t>
      </w:r>
      <w:r>
        <w:rPr>
          <w:rFonts w:ascii="Calibri" w:hAnsi="Calibri" w:cs="Arial"/>
        </w:rPr>
        <w:t xml:space="preserve"> -</w:t>
      </w:r>
      <w:r w:rsidR="006E74AE">
        <w:rPr>
          <w:rFonts w:ascii="Calibri" w:hAnsi="Calibri" w:cs="Arial"/>
        </w:rPr>
        <w:t xml:space="preserve"> 50 mg/kg. This involved classical pulmonary-targeted drug toxicity endpoints and complement activation </w:t>
      </w:r>
      <w:r w:rsidR="00696FB6">
        <w:rPr>
          <w:rFonts w:ascii="Calibri" w:hAnsi="Calibri" w:cs="Arial"/>
        </w:rPr>
        <w:t xml:space="preserve">but excluded cytokines </w:t>
      </w:r>
      <w:r w:rsidR="006E74AE">
        <w:rPr>
          <w:rFonts w:ascii="Calibri" w:hAnsi="Calibri" w:cs="Arial"/>
        </w:rPr>
        <w:fldChar w:fldCharType="begin" w:fldLock="1"/>
      </w:r>
      <w:r w:rsidR="006E74AE">
        <w:rPr>
          <w:rFonts w:ascii="Calibri" w:hAnsi="Calibri" w:cs="Arial"/>
        </w:rPr>
        <w:instrText>ADDIN CSL_CITATION { "citationItems" : [ { "id" : "ITEM-1", "itemData" : { "ISSN" : "0022-3565", "PMID" : "9152389", "abstract" : "Intravenous infusion of high doses of phosphorothioate oligonucleotides in monkeys has been associated with transient alterations in hematologic and hemodynamic parameters, which appear to be secondary to complement activation. ISIS 2302, a phosphorothioate oligonucleotide specific for human intracellular adhesion molecule-1, was used to further characterize complement activation in monkeys. Complement activation occurred selectively through the alternative pathway resulting in increased plasma concentrations of the complement split products Bb, C3a and C5a. Marked fluctuations in circulating neutrophil counts and reductions in cardiac output were closely associated with peak production of anaphylatoxins C3a and C5a. Changing both dose and infusion duration revealed that complement activation is related to plasma levels of oligonucleotide, and that there is a minimum threshold concentration of approximately 50 micrograms/ml of ISIS 2302 that is required to activate complement. Dose regimens in which plasma concentrations do not exceed this threshold do not result in complement activation. Further investigation reveals that plasma concentrations of a key regulatory component of the alternative pathway, Factor H, were also decreased after administration of ISIS 2302. Decreases in Factor H levels are suggestive of a possible mechanism of complement activation. Direct interaction between ISIS 2302 and Factor H was demonstrated in a competition assay, where increasing concentrations of ISIS 2302 eluted Factor H from a heparin-sepharose column. These data demonstrate a clear correlation between plasma oligonucleotide concentrations and complement activation. Interactions between ISIS 2302 and Factor H may lead to activation of the alternative complement pathway.", "author" : [ { "dropping-particle" : "", "family" : "Henry", "given" : "S P", "non-dropping-particle" : "", "parse-names" : false, "suffix" : "" }, { "dropping-particle" : "", "family" : "Giclas", "given" : "P C", "non-dropping-particle" : "", "parse-names" : false, "suffix" : "" }, { "dropping-particle" : "", "family" : "Leeds", "given" : "J", "non-dropping-particle" : "", "parse-names" : false, "suffix" : "" }, { "dropping-particle" : "", "family" : "Pangburn", "given" : "M", "non-dropping-particle" : "", "parse-names" : false, "suffix" : "" }, { "dropping-particle" : "", "family" : "Auletta", "given" : "C", "non-dropping-particle" : "", "parse-names" : false, "suffix" : "" }, { "dropping-particle" : "", "family" : "Levin", "given" : "A A", "non-dropping-particle" : "", "parse-names" : false, "suffix" : "" }, { "dropping-particle" : "", "family" : "Kornbrust", "given" : "D J", "non-dropping-particle" : "", "parse-names" : false, "suffix" : "" } ], "container-title" : "The Journal of pharmacology and experimental therapeutics", "id" : "ITEM-1", "issue" : "2", "issued" : { "date-parts" : [ [ "1997", "5" ] ] }, "page" : "810-6", "title" : "Activation of the alternative pathway of complement by a phosphorothioate oligonucleotide: potential mechanism of action.", "type" : "article-journal", "volume" : "281" }, "uris" : [ "http://www.mendeley.com/documents/?uuid=127ccd46-9828-43d6-b8cf-702156439171" ] }, { "id" : "ITEM-2", "itemData" : { "DOI" : "10.1007/s10637-005-2906-0", "ISSN" : "0167-6997", "PMID" : "16133798", "abstract" : "PURPOSE: A phase I study was performed to determine the maximum tolerated dose (MTD), safety profile and pharmacology of aprinocarsen (ISIS 3521), an antisense oligonucleotide to protein kinase C-alpha, in patients with refractory solid tumors. EXPERIMENTAL DESIGN: Fourteen patients were treated in sequential cohorts of aprinocarsen by 24-hour continuous infusion (CIV), weekly, at doses of 6, 12, 18 and 24 mg/kg. RESULTS: One grade 4 toxicity was observed, transient grade 4 neutropenia at 18 mg/kg. Grade 3 toxicities included neutropenia at 12 mg/kg, fever and hemorrhage at 18 mg/kg, and neutropenia, nausea, and chills at 24 mg/kg. Grade 2 toxicities included thrombocytopenia myalgias, chills, headache, fatigue, fever and nausea/vomiting. Mean prothrombin times and activated partial thromboplastin times (aPTT) increased by 10% and 29% from baseline (p = 0.006 and 0.005). Mean complement split products (Bb and C3a) increased 1.6-fold and 3.6-fold (from p = 0.014 and 0.004, respectively). These changes correlated with dose and were transient with recovery to baseline by day 7. Steady state plasma concentrations (Css) of aprinocarsen were achieved within four hours. Css better described changes in aPTT than dose. Clinical evidence of complement activation was not observed. CONCLUSIONS: In contrast to 21-day protracted infusion schedules, delivery of aprinocarsen over a 24-hour infusion schedule showed concentration-dependent effects on coagulation and complement, which are consistent with nonclinical toxicology studies performed in the phosphorothioate DNA antisense drug class. These coagulation and complement changes resulted in a maximum tolerated dose 24 mg/kg.", "author" : [ { "dropping-particle" : "", "family" : "Advani", "given" : "Ranjana", "non-dropping-particle" : "", "parse-names" : false, "suffix" : "" }, { "dropping-particle" : "", "family" : "Lum", "given" : "Bert L", "non-dropping-particle" : "", "parse-names" : false, "suffix" : "" }, { "dropping-particle" : "", "family" : "Fisher", "given" : "George A", "non-dropping-particle" : "", "parse-names" : false, "suffix" : "" }, { "dropping-particle" : "", "family" : "Halsey", "given" : "Joanne", "non-dropping-particle" : "", "parse-names" : false, "suffix" : "" }, { "dropping-particle" : "", "family" : "Geary", "given" : "Richard S", "non-dropping-particle" : "", "parse-names" : false, "suffix" : "" }, { "dropping-particle" : "", "family" : "Holmlund", "given" : "Jon T", "non-dropping-particle" : "", "parse-names" : false, "suffix" : "" }, { "dropping-particle" : "", "family" : "Kwoh", "given" : "T Jesse", "non-dropping-particle" : "", "parse-names" : false, "suffix" : "" }, { "dropping-particle" : "", "family" : "Dorr", "given" : "F Andrew", "non-dropping-particle" : "", "parse-names" : false, "suffix" : "" }, { "dropping-particle" : "", "family" : "Sikic", "given" : "Branimir I", "non-dropping-particle" : "", "parse-names" : false, "suffix" : "" } ], "container-title" : "Investigational new drugs", "id" : "ITEM-2", "issue" : "5", "issued" : { "date-parts" : [ [ "2005", "10" ] ] }, "page" : "467-77", "title" : "A phase I trial of aprinocarsen (ISIS 3521/LY900003), an antisense inhibitor of protein kinase C-alpha administered as a 24-hour weekly infusion schedule in patients with advanced cancer.", "type" : "article-journal", "volume" : "23" }, "uris" : [ "http://www.mendeley.com/documents/?uuid=9e646245-ac52-4e9b-99d5-892503798845" ] } ], "mendeley" : { "formattedCitation" : "(Advani et al., 2005; Henry et al., 1997)", "plainTextFormattedCitation" : "(Advani et al., 2005; Henry et al., 1997)", "previouslyFormattedCitation" : "(Advani et al., 2005; Henry et al., 1997)" }, "properties" : { "noteIndex" : 0 }, "schema" : "https://github.com/citation-style-language/schema/raw/master/csl-citation.json" }</w:instrText>
      </w:r>
      <w:r w:rsidR="006E74AE">
        <w:rPr>
          <w:rFonts w:ascii="Calibri" w:hAnsi="Calibri" w:cs="Arial"/>
        </w:rPr>
        <w:fldChar w:fldCharType="separate"/>
      </w:r>
      <w:r w:rsidR="006E74AE" w:rsidRPr="00FD7A21">
        <w:rPr>
          <w:rFonts w:ascii="Calibri" w:hAnsi="Calibri" w:cs="Arial"/>
          <w:noProof/>
        </w:rPr>
        <w:t>(Advani et al., 2005; Henry et al., 1997)</w:t>
      </w:r>
      <w:r w:rsidR="006E74AE">
        <w:rPr>
          <w:rFonts w:ascii="Calibri" w:hAnsi="Calibri" w:cs="Arial"/>
        </w:rPr>
        <w:fldChar w:fldCharType="end"/>
      </w:r>
      <w:r w:rsidR="00F306F0">
        <w:rPr>
          <w:rFonts w:ascii="Calibri" w:hAnsi="Calibri" w:cs="Arial"/>
        </w:rPr>
        <w:t>. Both antisense</w:t>
      </w:r>
      <w:r w:rsidR="006E74AE">
        <w:rPr>
          <w:rFonts w:ascii="Calibri" w:hAnsi="Calibri" w:cs="Arial"/>
        </w:rPr>
        <w:t xml:space="preserve"> and target levels were </w:t>
      </w:r>
      <w:r>
        <w:rPr>
          <w:rFonts w:ascii="Calibri" w:hAnsi="Calibri" w:cs="Arial"/>
        </w:rPr>
        <w:t>analyzed</w:t>
      </w:r>
      <w:r w:rsidR="006E74AE">
        <w:rPr>
          <w:rFonts w:ascii="Calibri" w:hAnsi="Calibri" w:cs="Arial"/>
        </w:rPr>
        <w:t xml:space="preserve"> at tissue level </w:t>
      </w:r>
      <w:r w:rsidR="006E74AE">
        <w:rPr>
          <w:rFonts w:ascii="Calibri" w:hAnsi="Calibri" w:cs="Arial"/>
        </w:rPr>
        <w:fldChar w:fldCharType="begin" w:fldLock="1"/>
      </w:r>
      <w:r w:rsidR="006E74AE">
        <w:rPr>
          <w:rFonts w:ascii="Calibri" w:hAnsi="Calibri" w:cs="Arial"/>
        </w:rPr>
        <w:instrText>ADDIN CSL_CITATION { "citationItems" : [ { "id" : "ITEM-1", "itemData" : { "DOI" : "10.1164/rccm.200408-1006OC", "ISSN" : "1073-449X", "PMID" : "15557129", "abstract" : "The p38 mitogen-activated protein kinase (MAPK) plays a critical role in the activation of inflammatory cells. Therefore, we investigated the antiinflammatory effects of a respirable p38alpha MAPK antisense oligonucleotide (p38alpha-ASO) in a mouse asthma model. A potent and selective p38alpha-ASO was characterized in vitro. Inhalation of aerosolized p38alpha-ASO using an aerosol chamber dosing system produced measurable lung deposition of ASO and significant reduction of ovalbumin (OVA-)-induced increases in total cells, eosinophils, and interleukin 4 (IL-4), IL-5, and IL-13 levels in bronchoalveolar lavage fluid, and dose-dependent inhibition of airway hyperresponsiveness in allergen-challenged mice. Furthermore, inhaled p38alpha-ASO markedly inhibited OVA-induced lung tissue eosinophilia and airway mucus hypersecretion. Quantitative polymerase chain reaction analysis of bronchoalveolar lavage fluid cells and peribronchial lymph node cells showed that p38alpha-ASO significantly reduced p38alpha MAPK mRNA expression. Nose-only aerosol exposure of mice verified the p38alpha-ASO-induced inhibition of OVA-induced pulmonary eosinophilia, mucus hypersecretion, and airway hyperresponsiveness. None of the effects of the p38alpha-ASO were produced by a six-base mismatched control oligonucleotide. These findings demonstrate antisense pharmacodynamic activity in the airways after aerosol delivery and suggest that a p38alpha MAPK ASO approach may have therapeutic potential for asthma and other inflammatory lung diseases.", "author" : [ { "dropping-particle" : "", "family" : "Duan", "given" : "Wei", "non-dropping-particle" : "", "parse-names" : false, "suffix" : "" }, { "dropping-particle" : "", "family" : "Chan", "given" : "Jasmine H P", "non-dropping-particle" : "", "parse-names" : false, "suffix" : "" }, { "dropping-particle" : "", "family" : "McKay", "given" : "Kelly", "non-dropping-particle" : "", "parse-names" : false, "suffix" : "" }, { "dropping-particle" : "", "family" : "Crosby", "given" : "Jeffrey R", "non-dropping-particle" : "", "parse-names" : false, "suffix" : "" }, { "dropping-particle" : "", "family" : "Choo", "given" : "Hui Hwa", "non-dropping-particle" : "", "parse-names" : false, "suffix" : "" }, { "dropping-particle" : "", "family" : "Leung", "given" : "Bernard P", "non-dropping-particle" : "", "parse-names" : false, "suffix" : "" }, { "dropping-particle" : "", "family" : "Karras", "given" : "James G", "non-dropping-particle" : "", "parse-names" : false, "suffix" : "" }, { "dropping-particle" : "", "family" : "Wong", "given" : "W S Fred", "non-dropping-particle" : "", "parse-names" : false, "suffix" : "" } ], "container-title" : "American journal of respiratory and critical care medicine", "id" : "ITEM-1", "issue" : "6", "issued" : { "date-parts" : [ [ "2005", "3", "15" ] ] }, "language" : "en", "page" : "571-8", "publisher" : "American Thoracic Society", "title" : "Inhaled p38alpha mitogen-activated protein kinase antisense oligonucleotide attenuates asthma in mice.", "type" : "article-journal", "volume" : "171" }, "uris" : [ "http://www.mendeley.com/documents/?uuid=9bfcf046-f793-4c71-8072-3bcbcec93548" ] }, { "id" : "ITEM-2", "itemData" : { "DOI" : "10.1165/rcmb.2005-0456OC", "ISSN" : "1044-1549", "PMID" : "16990616", "abstract" : "The Th2 cytokines IL-4 and IL-13 mediate allergic pulmonary inflammation and airways hyperreactivity (AHR) in asthma models through signaling dependent upon the IL-4 receptor-alpha chain (IL-4Ralpha). IL-13 has been further implicated in the overproduction of mucus by the airway epithelium and in lung remodeling that commonly accompanies chronic inflammation. IL-4Ralpha-deficient mice are resistant to allergen-induced asthma, highlighting the therapeutic promise of selective molecular inhibitors of IL-4Ralpha. We designed a chemically modified IL-4Ralpha antisense oligonucleotide (IL-4Ralpha ASO) that specifically inhibits IL-4Ralpha protein expression in lung eosinophils, macrophages, dendritic cells, and airway epithelium after inhalation in allergen-challenged mice. Inhalation of IL-4Ralpha ASO attenuated allergen-induced AHR, suppressed airway eosinophilia and neutrophilia, and inhibited production of airway Th2 cytokines and chemokines in previously allergen-primed and -challenged mice. Histologic analysis of lungs from these animals demonstrated reduced goblet cell metaplasia and mucus staining that correlated with inhibition of Muc5AC gene expression in lung tissue. Therapeutic administration of inhaled IL-4Ralpha ASO in chronically allergen-challenged mice produced a spectrum of anti-inflammatory activity similar to that of systemically administered Dexamethasone with the added benefit of reduced airway neutrophilia. These data support the potential utility of a dual IL-4 and IL-13 oligonucleotide inhibitor in allergy/asthma, and suggest that local inhibition of IL-4Ralpha in the lung is sufficient to suppress allergen-induced pulmonary inflammation and AHR.", "author" : [ { "dropping-particle" : "", "family" : "Karras", "given" : "James G", "non-dropping-particle" : "", "parse-names" : false, "suffix" : "" }, { "dropping-particle" : "", "family" : "Crosby", "given" : "Jeffrey R", "non-dropping-particle" : "", "parse-names" : false, "suffix" : "" }, { "dropping-particle" : "", "family" : "Guha", "given" : "Mausumee", "non-dropping-particle" : "", "parse-names" : false, "suffix" : "" }, { "dropping-particle" : "", "family" : "Tung", "given" : "David", "non-dropping-particle" : "", "parse-names" : false, "suffix" : "" }, { "dropping-particle" : "", "family" : "Miller", "given" : "Doreen A", "non-dropping-particle" : "", "parse-names" : false, "suffix" : "" }, { "dropping-particle" : "", "family" : "Gaarde", "given" : "William A", "non-dropping-particle" : "", "parse-names" : false, "suffix" : "" }, { "dropping-particle" : "", "family" : "Geary", "given" : "Richard S", "non-dropping-particle" : "", "parse-names" : false, "suffix" : "" }, { "dropping-particle" : "", "family" : "Monia", "given" : "Brett P", "non-dropping-particle" : "", "parse-names" : false, "suffix" : "" }, { "dropping-particle" : "", "family" : "Gregory", "given" : "Susan A", "non-dropping-particle" : "", "parse-names" : false, "suffix" : "" } ], "container-title" : "American journal of respiratory cell and molecular biology", "id" : "ITEM-2", "issue" : "3", "issued" : { "date-parts" : [ [ "2007", "3", "20" ] ] }, "language" : "en", "page" : "276-85", "publisher" : "American Thoracic Society", "title" : "Anti-inflammatory activity of inhaled IL-4 receptor-alpha antisense oligonucleotide in mice.", "type" : "article-journal", "volume" : "36" }, "uris" : [ "http://www.mendeley.com/documents/?uuid=bcbba9a9-8010-4ec9-aa1c-48bc0148561e" ] } ], "mendeley" : { "formattedCitation" : "(Duan et al., 2005; Karras et al., 2007)", "plainTextFormattedCitation" : "(Duan et al., 2005; Karras et al., 2007)", "previouslyFormattedCitation" : "(Duan et al., 2005; Karras et al., 2007)" }, "properties" : { "noteIndex" : 0 }, "schema" : "https://github.com/citation-style-language/schema/raw/master/csl-citation.json" }</w:instrText>
      </w:r>
      <w:r w:rsidR="006E74AE">
        <w:rPr>
          <w:rFonts w:ascii="Calibri" w:hAnsi="Calibri" w:cs="Arial"/>
        </w:rPr>
        <w:fldChar w:fldCharType="separate"/>
      </w:r>
      <w:r w:rsidR="006E74AE" w:rsidRPr="00853D8B">
        <w:rPr>
          <w:rFonts w:ascii="Calibri" w:hAnsi="Calibri" w:cs="Arial"/>
          <w:noProof/>
        </w:rPr>
        <w:t>(Duan et al., 2005; Karras et al., 2007)</w:t>
      </w:r>
      <w:r w:rsidR="006E74AE">
        <w:rPr>
          <w:rFonts w:ascii="Calibri" w:hAnsi="Calibri" w:cs="Arial"/>
        </w:rPr>
        <w:fldChar w:fldCharType="end"/>
      </w:r>
      <w:r w:rsidR="006E74AE">
        <w:rPr>
          <w:rFonts w:ascii="Calibri" w:hAnsi="Calibri" w:cs="Arial"/>
        </w:rPr>
        <w:t xml:space="preserve">. </w:t>
      </w:r>
      <w:r w:rsidR="00BF2977">
        <w:rPr>
          <w:rFonts w:ascii="Calibri" w:hAnsi="Calibri" w:cs="Arial"/>
        </w:rPr>
        <w:t>T</w:t>
      </w:r>
      <w:r>
        <w:rPr>
          <w:rFonts w:ascii="Calibri" w:hAnsi="Calibri" w:cs="Arial"/>
        </w:rPr>
        <w:t xml:space="preserve">arget </w:t>
      </w:r>
      <w:r w:rsidR="00F306F0">
        <w:rPr>
          <w:rFonts w:ascii="Calibri" w:hAnsi="Calibri" w:cs="Arial"/>
        </w:rPr>
        <w:t xml:space="preserve">mRNA levels were determined </w:t>
      </w:r>
      <w:r w:rsidR="006E74AE">
        <w:rPr>
          <w:rFonts w:ascii="Calibri" w:hAnsi="Calibri" w:cs="Arial"/>
        </w:rPr>
        <w:t>in the tissue (both species) and bronchoalveolar lavage cells (monkeys only)</w:t>
      </w:r>
      <w:r>
        <w:rPr>
          <w:rFonts w:ascii="Calibri" w:hAnsi="Calibri" w:cs="Arial"/>
        </w:rPr>
        <w:t>, but</w:t>
      </w:r>
      <w:r w:rsidR="006E74AE">
        <w:rPr>
          <w:rFonts w:ascii="Calibri" w:hAnsi="Calibri" w:cs="Arial"/>
        </w:rPr>
        <w:t xml:space="preserve"> were expressed with reference to total RNA levels determined by </w:t>
      </w:r>
      <w:r w:rsidR="002147BB">
        <w:rPr>
          <w:rFonts w:ascii="Calibri" w:hAnsi="Calibri" w:cs="Arial"/>
        </w:rPr>
        <w:t xml:space="preserve">substantially </w:t>
      </w:r>
      <w:r w:rsidR="006E74AE">
        <w:rPr>
          <w:rFonts w:ascii="Calibri" w:hAnsi="Calibri" w:cs="Arial"/>
        </w:rPr>
        <w:t>alternative methodologies</w:t>
      </w:r>
      <w:r w:rsidR="002147BB">
        <w:rPr>
          <w:rFonts w:ascii="Calibri" w:hAnsi="Calibri" w:cs="Arial"/>
        </w:rPr>
        <w:t xml:space="preserve">, an approach known to result in transcript </w:t>
      </w:r>
      <w:r w:rsidR="002147BB">
        <w:rPr>
          <w:rFonts w:ascii="Calibri" w:hAnsi="Calibri" w:cs="Arial"/>
        </w:rPr>
        <w:lastRenderedPageBreak/>
        <w:t>quantification artifacts</w:t>
      </w:r>
      <w:r w:rsidR="006E74AE">
        <w:rPr>
          <w:rFonts w:ascii="Calibri" w:hAnsi="Calibri" w:cs="Arial"/>
        </w:rPr>
        <w:t xml:space="preserve">. </w:t>
      </w:r>
      <w:r>
        <w:rPr>
          <w:rFonts w:ascii="Calibri" w:hAnsi="Calibri" w:cs="Arial"/>
        </w:rPr>
        <w:t>No</w:t>
      </w:r>
      <w:r w:rsidR="006E74AE">
        <w:rPr>
          <w:rFonts w:ascii="Calibri" w:hAnsi="Calibri" w:cs="Arial"/>
        </w:rPr>
        <w:t xml:space="preserve"> complement activation</w:t>
      </w:r>
      <w:r>
        <w:rPr>
          <w:rFonts w:ascii="Calibri" w:hAnsi="Calibri" w:cs="Arial"/>
        </w:rPr>
        <w:t xml:space="preserve"> was observed but up</w:t>
      </w:r>
      <w:r w:rsidR="006E74AE">
        <w:rPr>
          <w:rFonts w:ascii="Calibri" w:hAnsi="Calibri" w:cs="Arial"/>
        </w:rPr>
        <w:t xml:space="preserve"> to 24%, dose-dependent</w:t>
      </w:r>
      <w:r>
        <w:rPr>
          <w:rFonts w:ascii="Calibri" w:hAnsi="Calibri" w:cs="Arial"/>
        </w:rPr>
        <w:t xml:space="preserve">, </w:t>
      </w:r>
      <w:r w:rsidR="006E74AE">
        <w:rPr>
          <w:rFonts w:ascii="Calibri" w:hAnsi="Calibri" w:cs="Arial"/>
        </w:rPr>
        <w:t>lung weight increases were documented in mice</w:t>
      </w:r>
      <w:r>
        <w:rPr>
          <w:rFonts w:ascii="Calibri" w:hAnsi="Calibri" w:cs="Arial"/>
        </w:rPr>
        <w:t>. M</w:t>
      </w:r>
      <w:r w:rsidR="006E74AE">
        <w:rPr>
          <w:rFonts w:ascii="Calibri" w:hAnsi="Calibri" w:cs="Arial"/>
        </w:rPr>
        <w:t>acrophage recruitment and enlargement (</w:t>
      </w:r>
      <w:r w:rsidR="00C00491">
        <w:rPr>
          <w:rFonts w:ascii="Calibri" w:hAnsi="Calibri" w:cs="Arial"/>
        </w:rPr>
        <w:t>hystiocytosis; foamy macrophage phenotype</w:t>
      </w:r>
      <w:r w:rsidR="006E74AE">
        <w:rPr>
          <w:rFonts w:ascii="Calibri" w:hAnsi="Calibri" w:cs="Arial"/>
        </w:rPr>
        <w:t>) in the parenchyma and tracheobronchial lymph nodes</w:t>
      </w:r>
      <w:r>
        <w:rPr>
          <w:rFonts w:ascii="Calibri" w:hAnsi="Calibri" w:cs="Arial"/>
        </w:rPr>
        <w:t xml:space="preserve"> was observed</w:t>
      </w:r>
      <w:r w:rsidR="006E74AE">
        <w:rPr>
          <w:rFonts w:ascii="Calibri" w:hAnsi="Calibri" w:cs="Arial"/>
        </w:rPr>
        <w:t xml:space="preserve"> in both species, </w:t>
      </w:r>
      <w:r w:rsidR="00BF2977">
        <w:rPr>
          <w:rFonts w:ascii="Calibri" w:hAnsi="Calibri" w:cs="Arial"/>
        </w:rPr>
        <w:t>persisting</w:t>
      </w:r>
      <w:r w:rsidR="006E74AE">
        <w:rPr>
          <w:rFonts w:ascii="Calibri" w:hAnsi="Calibri" w:cs="Arial"/>
        </w:rPr>
        <w:t xml:space="preserve"> for 13 weeks. Dose-dependent pro-inflammatory infiltrates</w:t>
      </w:r>
      <w:r>
        <w:rPr>
          <w:rFonts w:ascii="Calibri" w:hAnsi="Calibri" w:cs="Arial"/>
        </w:rPr>
        <w:t xml:space="preserve"> were reported only in mice</w:t>
      </w:r>
      <w:r w:rsidR="006E74AE">
        <w:rPr>
          <w:rFonts w:ascii="Calibri" w:hAnsi="Calibri" w:cs="Arial"/>
        </w:rPr>
        <w:t xml:space="preserve">, </w:t>
      </w:r>
      <w:r w:rsidR="00BF2977">
        <w:rPr>
          <w:rFonts w:ascii="Calibri" w:hAnsi="Calibri" w:cs="Arial"/>
        </w:rPr>
        <w:t xml:space="preserve">with </w:t>
      </w:r>
      <w:r w:rsidR="006E74AE">
        <w:rPr>
          <w:rFonts w:ascii="Calibri" w:hAnsi="Calibri" w:cs="Arial"/>
        </w:rPr>
        <w:t xml:space="preserve">hystiocytosis </w:t>
      </w:r>
      <w:r>
        <w:rPr>
          <w:rFonts w:ascii="Calibri" w:hAnsi="Calibri" w:cs="Arial"/>
        </w:rPr>
        <w:t xml:space="preserve">ascribed </w:t>
      </w:r>
      <w:r w:rsidR="006E74AE">
        <w:rPr>
          <w:rFonts w:ascii="Calibri" w:hAnsi="Calibri" w:cs="Arial"/>
        </w:rPr>
        <w:t xml:space="preserve">to </w:t>
      </w:r>
      <w:r w:rsidR="006E5B60">
        <w:rPr>
          <w:rFonts w:ascii="Calibri" w:hAnsi="Calibri" w:cs="Arial"/>
        </w:rPr>
        <w:t>‘</w:t>
      </w:r>
      <w:r w:rsidR="006E74AE">
        <w:rPr>
          <w:rFonts w:ascii="Calibri" w:hAnsi="Calibri" w:cs="Arial"/>
        </w:rPr>
        <w:t>norm</w:t>
      </w:r>
      <w:r>
        <w:rPr>
          <w:rFonts w:ascii="Calibri" w:hAnsi="Calibri" w:cs="Arial"/>
        </w:rPr>
        <w:t>al</w:t>
      </w:r>
      <w:r w:rsidR="006E5B60">
        <w:rPr>
          <w:rFonts w:ascii="Calibri" w:hAnsi="Calibri" w:cs="Arial"/>
        </w:rPr>
        <w:t>’</w:t>
      </w:r>
      <w:r>
        <w:rPr>
          <w:rFonts w:ascii="Calibri" w:hAnsi="Calibri" w:cs="Arial"/>
        </w:rPr>
        <w:t xml:space="preserve"> alveolar macrophage function</w:t>
      </w:r>
      <w:r w:rsidR="00C00491">
        <w:rPr>
          <w:rFonts w:ascii="Calibri" w:hAnsi="Calibri" w:cs="Arial"/>
        </w:rPr>
        <w:t xml:space="preserve"> as defined by Nikula </w:t>
      </w:r>
      <w:r w:rsidR="00C00491">
        <w:rPr>
          <w:rFonts w:ascii="Calibri" w:hAnsi="Calibri" w:cs="Arial"/>
          <w:i/>
        </w:rPr>
        <w:t>et al.</w:t>
      </w:r>
      <w:r w:rsidR="006E74AE">
        <w:rPr>
          <w:rFonts w:ascii="Calibri" w:hAnsi="Calibri" w:cs="Arial"/>
        </w:rPr>
        <w:t xml:space="preserve"> </w:t>
      </w:r>
      <w:r w:rsidR="006E74AE">
        <w:rPr>
          <w:rFonts w:ascii="Calibri" w:hAnsi="Calibri" w:cs="Arial"/>
        </w:rPr>
        <w:fldChar w:fldCharType="begin" w:fldLock="1"/>
      </w:r>
      <w:r w:rsidR="006E74AE">
        <w:rPr>
          <w:rFonts w:ascii="Calibri" w:hAnsi="Calibri" w:cs="Arial"/>
        </w:rPr>
        <w:instrText>ADDIN CSL_CITATION { "citationItems" : [ { "id" : "ITEM-1", "itemData" : { "DOI" : "10.1177/0192623313507003", "ISSN" : "1533-1601", "PMID" : "24178583", "abstract" : "The Scientific and Regulatory Policy Committee of the Society of Toxicologic Pathology (STP) appointed a working group to address risk assessment for increases in alveolar macrophages following inhalation of pharmaceutical materials. This position paper provides recommendations for inhalation study-specific terminology and interpretation based on literature and information from marketed inhaled drugs. Based on a weight-of-the-evidence approach, and with appropriate consideration of the physical and pharmacological characteristics of the compound, uncomplicated increases in the size or number of alveolar macrophages in nonclinical species are interpreted as nonadverse.", "author" : [ { "dropping-particle" : "", "family" : "Nikula", "given" : "Kristen J", "non-dropping-particle" : "", "parse-names" : false, "suffix" : "" }, { "dropping-particle" : "", "family" : "McCartney", "given" : "Jeffrey E", "non-dropping-particle" : "", "parse-names" : false, "suffix" : "" }, { "dropping-particle" : "", "family" : "McGovern", "given" : "Timothy", "non-dropping-particle" : "", "parse-names" : false, "suffix" : "" }, { "dropping-particle" : "", "family" : "Miller", "given" : "Glen K", "non-dropping-particle" : "", "parse-names" : false, "suffix" : "" }, { "dropping-particle" : "", "family" : "Odin", "given" : "Marielle", "non-dropping-particle" : "", "parse-names" : false, "suffix" : "" }, { "dropping-particle" : "V", "family" : "Pino", "given" : "Michael", "non-dropping-particle" : "", "parse-names" : false, "suffix" : "" }, { "dropping-particle" : "", "family" : "Reed", "given" : "Matthew D", "non-dropping-particle" : "", "parse-names" : false, "suffix" : "" } ], "container-title" : "Toxicologic pathology", "id" : "ITEM-1", "issue" : "3", "issued" : { "date-parts" : [ [ "2014", "1" ] ] }, "page" : "472-86", "title" : "STP position paper: interpreting the significance of increased alveolar macrophages in rodents following inhalation of pharmaceutical materials.", "type" : "article-journal", "volume" : "42" }, "uris" : [ "http://www.mendeley.com/documents/?uuid=a2ff7e62-c646-4729-94b8-b356b1d54693" ] } ], "mendeley" : { "formattedCitation" : "(Nikula et al., 2014)", "plainTextFormattedCitation" : "(Nikula et al., 2014)", "previouslyFormattedCitation" : "(Nikula et al., 2014)" }, "properties" : { "noteIndex" : 0 }, "schema" : "https://github.com/citation-style-language/schema/raw/master/csl-citation.json" }</w:instrText>
      </w:r>
      <w:r w:rsidR="006E74AE">
        <w:rPr>
          <w:rFonts w:ascii="Calibri" w:hAnsi="Calibri" w:cs="Arial"/>
        </w:rPr>
        <w:fldChar w:fldCharType="separate"/>
      </w:r>
      <w:r w:rsidR="006E74AE" w:rsidRPr="008E18CB">
        <w:rPr>
          <w:rFonts w:ascii="Calibri" w:hAnsi="Calibri" w:cs="Arial"/>
          <w:noProof/>
        </w:rPr>
        <w:t>(Nikula et al., 2014)</w:t>
      </w:r>
      <w:r w:rsidR="006E74AE">
        <w:rPr>
          <w:rFonts w:ascii="Calibri" w:hAnsi="Calibri" w:cs="Arial"/>
        </w:rPr>
        <w:fldChar w:fldCharType="end"/>
      </w:r>
      <w:r w:rsidR="002147BB">
        <w:rPr>
          <w:rFonts w:ascii="Calibri" w:hAnsi="Calibri" w:cs="Arial"/>
        </w:rPr>
        <w:t xml:space="preserve">. Importantly, the Nikula </w:t>
      </w:r>
      <w:r w:rsidR="002147BB">
        <w:rPr>
          <w:rFonts w:ascii="Calibri" w:hAnsi="Calibri" w:cs="Arial"/>
          <w:i/>
        </w:rPr>
        <w:t xml:space="preserve">et al. </w:t>
      </w:r>
      <w:r w:rsidR="002147BB">
        <w:rPr>
          <w:rFonts w:ascii="Calibri" w:hAnsi="Calibri" w:cs="Arial"/>
        </w:rPr>
        <w:t>article is</w:t>
      </w:r>
      <w:r w:rsidR="006E5B60">
        <w:rPr>
          <w:rFonts w:ascii="Calibri" w:hAnsi="Calibri" w:cs="Arial"/>
        </w:rPr>
        <w:t xml:space="preserve"> an expert-level regulatory position paper on the impact of the foamy macrophage</w:t>
      </w:r>
      <w:r w:rsidR="002147BB">
        <w:rPr>
          <w:rFonts w:ascii="Calibri" w:hAnsi="Calibri" w:cs="Arial"/>
        </w:rPr>
        <w:t xml:space="preserve"> induction in response to</w:t>
      </w:r>
      <w:r w:rsidR="006E5B60">
        <w:rPr>
          <w:rFonts w:ascii="Calibri" w:hAnsi="Calibri" w:cs="Arial"/>
        </w:rPr>
        <w:t xml:space="preserve"> topically dosed lung therapies</w:t>
      </w:r>
      <w:r w:rsidR="006E74AE">
        <w:rPr>
          <w:rFonts w:ascii="Calibri" w:hAnsi="Calibri" w:cs="Arial"/>
        </w:rPr>
        <w:t xml:space="preserve">. It is worth noting, that Nikula </w:t>
      </w:r>
      <w:r w:rsidR="006E74AE">
        <w:rPr>
          <w:rFonts w:ascii="Calibri" w:hAnsi="Calibri" w:cs="Arial"/>
          <w:i/>
        </w:rPr>
        <w:t xml:space="preserve">et al. </w:t>
      </w:r>
      <w:r w:rsidR="006E74AE">
        <w:rPr>
          <w:rFonts w:ascii="Calibri" w:hAnsi="Calibri" w:cs="Arial"/>
        </w:rPr>
        <w:t xml:space="preserve">make a clear distinction between soluble </w:t>
      </w:r>
      <w:r>
        <w:rPr>
          <w:rFonts w:ascii="Calibri" w:hAnsi="Calibri" w:cs="Arial"/>
        </w:rPr>
        <w:t>drugs (</w:t>
      </w:r>
      <w:r w:rsidR="00BF2977">
        <w:rPr>
          <w:rFonts w:ascii="Calibri" w:hAnsi="Calibri" w:cs="Arial"/>
        </w:rPr>
        <w:t>i.e.</w:t>
      </w:r>
      <w:r w:rsidR="00F306F0">
        <w:rPr>
          <w:rFonts w:ascii="Calibri" w:hAnsi="Calibri" w:cs="Arial"/>
        </w:rPr>
        <w:t xml:space="preserve"> aqueous antisens</w:t>
      </w:r>
      <w:r w:rsidR="00C00491">
        <w:rPr>
          <w:rFonts w:ascii="Calibri" w:hAnsi="Calibri" w:cs="Arial"/>
        </w:rPr>
        <w:t>e</w:t>
      </w:r>
      <w:r>
        <w:rPr>
          <w:rFonts w:ascii="Calibri" w:hAnsi="Calibri" w:cs="Arial"/>
        </w:rPr>
        <w:t xml:space="preserve"> formulations</w:t>
      </w:r>
      <w:r w:rsidR="006E74AE">
        <w:rPr>
          <w:rFonts w:ascii="Calibri" w:hAnsi="Calibri" w:cs="Arial"/>
        </w:rPr>
        <w:t>) and insoluble particle</w:t>
      </w:r>
      <w:r w:rsidR="002147BB">
        <w:rPr>
          <w:rFonts w:ascii="Calibri" w:hAnsi="Calibri" w:cs="Arial"/>
        </w:rPr>
        <w:t>s, such as complex</w:t>
      </w:r>
      <w:r w:rsidR="006E5B60">
        <w:rPr>
          <w:rFonts w:ascii="Calibri" w:hAnsi="Calibri" w:cs="Arial"/>
        </w:rPr>
        <w:t xml:space="preserve"> formulations and small molecule aggregates (dry powders)</w:t>
      </w:r>
      <w:r w:rsidR="00C00491">
        <w:rPr>
          <w:rFonts w:ascii="Calibri" w:hAnsi="Calibri" w:cs="Arial"/>
        </w:rPr>
        <w:t>. Thus, insoluble particles do not rapidly clear from the lung and are removed specifically by macrophages (alveoli) and mucocilliary clearance (bronchial airways). This contrasts soluble antisense and siRNA which rapidly access circulation</w:t>
      </w:r>
      <w:r w:rsidR="006673D8">
        <w:rPr>
          <w:rFonts w:ascii="Calibri" w:hAnsi="Calibri" w:cs="Arial"/>
        </w:rPr>
        <w:t>, for which there is limited clinical data available</w:t>
      </w:r>
      <w:r w:rsidR="006E74AE">
        <w:rPr>
          <w:rFonts w:ascii="Calibri" w:hAnsi="Calibri" w:cs="Arial"/>
        </w:rPr>
        <w:t>.</w:t>
      </w:r>
      <w:r w:rsidR="006E5B60">
        <w:rPr>
          <w:rFonts w:ascii="Calibri" w:hAnsi="Calibri" w:cs="Arial"/>
        </w:rPr>
        <w:t xml:space="preserve"> The physiological impact of oligonucleotide-induced hystiocytosis requires further elucidation before safety is established</w:t>
      </w:r>
      <w:r w:rsidR="00C267FD">
        <w:rPr>
          <w:rFonts w:ascii="Calibri" w:hAnsi="Calibri" w:cs="Arial"/>
        </w:rPr>
        <w:t>,</w:t>
      </w:r>
      <w:r w:rsidR="002147BB">
        <w:rPr>
          <w:rFonts w:ascii="Calibri" w:hAnsi="Calibri" w:cs="Arial"/>
        </w:rPr>
        <w:t xml:space="preserve"> as </w:t>
      </w:r>
      <w:r w:rsidR="00C267FD">
        <w:rPr>
          <w:rFonts w:ascii="Calibri" w:hAnsi="Calibri" w:cs="Arial"/>
        </w:rPr>
        <w:t xml:space="preserve">is </w:t>
      </w:r>
      <w:r w:rsidR="002147BB">
        <w:rPr>
          <w:rFonts w:ascii="Calibri" w:hAnsi="Calibri" w:cs="Arial"/>
        </w:rPr>
        <w:t xml:space="preserve">suggested in Karras </w:t>
      </w:r>
      <w:r w:rsidR="002147BB">
        <w:rPr>
          <w:rFonts w:ascii="Calibri" w:hAnsi="Calibri" w:cs="Arial"/>
          <w:i/>
        </w:rPr>
        <w:t>et al</w:t>
      </w:r>
      <w:r w:rsidR="006E5B60">
        <w:rPr>
          <w:rFonts w:ascii="Calibri" w:hAnsi="Calibri" w:cs="Arial"/>
        </w:rPr>
        <w:t xml:space="preserve">. </w:t>
      </w:r>
      <w:r w:rsidR="006E74AE">
        <w:rPr>
          <w:rFonts w:ascii="Calibri" w:hAnsi="Calibri" w:cs="Arial"/>
        </w:rPr>
        <w:t xml:space="preserve"> </w:t>
      </w:r>
    </w:p>
    <w:p w14:paraId="3C7F4F1B" w14:textId="77777777" w:rsidR="00F306F0" w:rsidRDefault="00F306F0" w:rsidP="005837A4">
      <w:pPr>
        <w:spacing w:line="480" w:lineRule="auto"/>
        <w:jc w:val="both"/>
        <w:rPr>
          <w:rFonts w:ascii="Calibri" w:hAnsi="Calibri" w:cs="Arial"/>
        </w:rPr>
      </w:pPr>
    </w:p>
    <w:p w14:paraId="529EE135" w14:textId="7D8CE1E8" w:rsidR="006E74AE" w:rsidRDefault="006E74AE" w:rsidP="005837A4">
      <w:pPr>
        <w:spacing w:line="480" w:lineRule="auto"/>
        <w:jc w:val="both"/>
        <w:rPr>
          <w:rFonts w:ascii="Calibri" w:hAnsi="Calibri" w:cs="Arial"/>
        </w:rPr>
      </w:pPr>
      <w:r>
        <w:rPr>
          <w:rFonts w:ascii="Calibri" w:hAnsi="Calibri" w:cs="Arial"/>
        </w:rPr>
        <w:t xml:space="preserve">Fey </w:t>
      </w:r>
      <w:r>
        <w:rPr>
          <w:rFonts w:ascii="Calibri" w:hAnsi="Calibri" w:cs="Arial"/>
          <w:i/>
        </w:rPr>
        <w:t xml:space="preserve">et al. </w:t>
      </w:r>
      <w:r>
        <w:rPr>
          <w:rFonts w:ascii="Calibri" w:hAnsi="Calibri" w:cs="Arial"/>
        </w:rPr>
        <w:t>calculated the clearance half-life from the lung at nine days</w:t>
      </w:r>
      <w:r w:rsidR="00BF2977">
        <w:rPr>
          <w:rFonts w:ascii="Calibri" w:hAnsi="Calibri" w:cs="Arial"/>
        </w:rPr>
        <w:t xml:space="preserve"> and</w:t>
      </w:r>
      <w:r>
        <w:rPr>
          <w:rFonts w:ascii="Calibri" w:hAnsi="Calibri" w:cs="Arial"/>
        </w:rPr>
        <w:t xml:space="preserve"> reported dose-dependent loading in the liver and kidney</w:t>
      </w:r>
      <w:r w:rsidR="00696FB6">
        <w:rPr>
          <w:rFonts w:ascii="Calibri" w:hAnsi="Calibri" w:cs="Arial"/>
        </w:rPr>
        <w:t>. The data were</w:t>
      </w:r>
      <w:r w:rsidR="00BF2977">
        <w:rPr>
          <w:rFonts w:ascii="Calibri" w:hAnsi="Calibri" w:cs="Arial"/>
        </w:rPr>
        <w:t xml:space="preserve"> i</w:t>
      </w:r>
      <w:r>
        <w:rPr>
          <w:rFonts w:ascii="Calibri" w:hAnsi="Calibri" w:cs="Arial"/>
        </w:rPr>
        <w:t xml:space="preserve">n line with parallel </w:t>
      </w:r>
      <w:r w:rsidR="00696FB6">
        <w:rPr>
          <w:rFonts w:ascii="Calibri" w:hAnsi="Calibri" w:cs="Arial"/>
        </w:rPr>
        <w:t xml:space="preserve">studies </w:t>
      </w:r>
      <w:r>
        <w:rPr>
          <w:rFonts w:ascii="Calibri" w:hAnsi="Calibri" w:cs="Arial"/>
        </w:rPr>
        <w:t xml:space="preserve">supporting lower bioavailability for </w:t>
      </w:r>
      <w:r w:rsidR="00696FB6">
        <w:rPr>
          <w:rFonts w:ascii="Calibri" w:hAnsi="Calibri" w:cs="Arial"/>
        </w:rPr>
        <w:t xml:space="preserve">topically dosed </w:t>
      </w:r>
      <w:r>
        <w:rPr>
          <w:rFonts w:ascii="Calibri" w:hAnsi="Calibri" w:cs="Arial"/>
        </w:rPr>
        <w:t>2</w:t>
      </w:r>
      <w:r w:rsidRPr="008E18CB">
        <w:rPr>
          <w:rFonts w:ascii="Calibri" w:hAnsi="Calibri" w:cs="Arial"/>
          <w:vertAlign w:val="superscript"/>
        </w:rPr>
        <w:t>nd</w:t>
      </w:r>
      <w:r>
        <w:rPr>
          <w:rFonts w:ascii="Calibri" w:hAnsi="Calibri" w:cs="Arial"/>
        </w:rPr>
        <w:t xml:space="preserve"> generation ASO</w:t>
      </w:r>
      <w:r w:rsidR="00696FB6">
        <w:rPr>
          <w:rFonts w:ascii="Calibri" w:hAnsi="Calibri" w:cs="Arial"/>
        </w:rPr>
        <w:t>, but contrasted</w:t>
      </w:r>
      <w:r>
        <w:rPr>
          <w:rFonts w:ascii="Calibri" w:hAnsi="Calibri" w:cs="Arial"/>
        </w:rPr>
        <w:t xml:space="preserve"> earlier </w:t>
      </w:r>
      <w:r w:rsidR="00BF2977">
        <w:rPr>
          <w:rFonts w:ascii="Calibri" w:hAnsi="Calibri" w:cs="Arial"/>
        </w:rPr>
        <w:t>reports</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"ISBN" : "0724-8741 (Print)\r0724-8741 (Linking)", "PMID" : "9587955", "abstract" : "PURPOSE: Phosphorothioate antisense oligodeoxynucleotides are promising therapeutic candidates. When given systemically in clinical trials they are administered via slow intravenous infusion to avoid their putative plasma concentration-dependent haemodynamic side-effects. In this study, we have evaluated alternative parenteral and non-parenteral administration routes which have the potential to enhance the therapeutic and commercial potential of these agents. METHODS: The delivery of CGP 64128A by intravenous, subcutaneous, intra-peritoneal, oral and intra-tracheal (pulmonary) routes was investigated in rats using radiolabelled compound and supported by more specific capillary gel electrophoretic analyses. RESULTS: Intravenously administered CGP 64128A exhibited the rapid blood clearance and distinctive tissue distribution which are typical for phosphorothioate oligodeoxynucleotides. Subcutaneous and intraperitoneal administration resulted in significant bioavailabilities (30.9% and 28.1% over 360 min, respectively) and reduced peak plasma levels when compared with intravenous dosing. Administration via the gastrointestinal tract gave negligible bioavailability (&lt; 2%). Intra-tracheal administration resulted in significant but dose-dependent bioavailabilities of 3.2, 16.5 and 39.8% at 0.06, 0.6 and 6.0 mg/kg, respectively. CONCLUSIONS: Significant bioavailabilities of CGP 64128A were achieved following subcutaneous, intra-peritoneal and intra-tracheal administration. Pulmonary delivery represents a promising mode of non-parenteral dosing for antisense oligonucleotides. The dose-dependent increase in pulmonary bioavailability suggests that low doses may be retained in the lungs for local effects whereas higher doses may be suitable for the treatment of a broader spectrum of systemic diseases.", "author" : [ { "dropping-particle" : "", "family" : "Nicklin", "given" : "P L", "non-dropping-particle" : "", "parse-names" : false, "suffix" : "" }, { "dropping-particle" : "", "family" : "Bayley", "given" : "D", "non-dropping-particle" : "", "parse-names" : false, "suffix" : "" }, { "dropping-particle" : "", "family" : "Giddings", "given" : "J", "non-dropping-particle" : "", "parse-names" : false, "suffix" : "" }, { "dropping-particle" : "", "family" : "Craig", "given" : "S J", "non-dropping-particle" : "", "parse-names" : false, "suffix" : "" }, { "dropping-particle" : "", "family" : "Cummins", "given" : "L L", "non-dropping-particle" : "", "parse-names" : false, "suffix" : "" }, { "dropping-particle" : "", "family" : "Hastewell", "given" : "J G", "non-dropping-particle" : "", "parse-names" : false, "suffix" : "" }, { "dropping-particle" : "", "family" : "Phillips", "given" : "J A", "non-dropping-particle" : "", "parse-names" : false, "suffix" : "" } ], "container-title" : "Pharm Res", "edition" : "1998/05/20", "id" : "ITEM-1", "issue" : "4", "issued" : { "date-parts" : [ [ "1998" ] ] }, "language" : "eng", "note" : "Nicklin, P L\nBayley, D\nGiddings, J\nCraig, S J\nCummins, L L\nHastewell, J G\nPhillips, J A\nPharm Res. 1998 Apr;15(4):583-91.", "page" : "583-591", "title" : "Pulmonary bioavailability of a phosphorothioate oligonucleotide (CGP 64128A): comparison with other delivery routes", "type" : "article-journal", "volume" : "15" }, "uris" : [ "http://www.mendeley.com/documents/?uuid=faf0ba59-e4f1-46a0-9972-cb58a9aff5de" ] } ], "mendeley" : { "formattedCitation" : "(Nicklin et al., 1998)", "plainTextFormattedCitation" : "(Nicklin et al., 1998)", "previouslyFormattedCitation" : "(Nicklin et al., 1998)" }, "properties" : { "noteIndex" : 0 }, "schema" : "https://github.com/citation-style-language/schema/raw/master/csl-citation.json" }</w:instrText>
      </w:r>
      <w:r>
        <w:rPr>
          <w:rFonts w:ascii="Calibri" w:hAnsi="Calibri" w:cs="Arial"/>
        </w:rPr>
        <w:fldChar w:fldCharType="separate"/>
      </w:r>
      <w:r w:rsidRPr="00B23D65">
        <w:rPr>
          <w:rFonts w:ascii="Calibri" w:hAnsi="Calibri" w:cs="Arial"/>
          <w:noProof/>
        </w:rPr>
        <w:t>(Nicklin et al., 1998)</w:t>
      </w:r>
      <w:r>
        <w:rPr>
          <w:rFonts w:ascii="Calibri" w:hAnsi="Calibri" w:cs="Arial"/>
        </w:rPr>
        <w:fldChar w:fldCharType="end"/>
      </w:r>
      <w:r w:rsidR="00696FB6">
        <w:rPr>
          <w:rFonts w:ascii="Calibri" w:hAnsi="Calibri" w:cs="Arial"/>
        </w:rPr>
        <w:t>: t</w:t>
      </w:r>
      <w:r>
        <w:rPr>
          <w:rFonts w:ascii="Calibri" w:hAnsi="Calibri" w:cs="Arial"/>
        </w:rPr>
        <w:t>he</w:t>
      </w:r>
      <w:r w:rsidR="00BF2977">
        <w:rPr>
          <w:rFonts w:ascii="Calibri" w:hAnsi="Calibri" w:cs="Arial"/>
        </w:rPr>
        <w:t>se</w:t>
      </w:r>
      <w:r>
        <w:rPr>
          <w:rFonts w:ascii="Calibri" w:hAnsi="Calibri" w:cs="Arial"/>
        </w:rPr>
        <w:t xml:space="preserve"> difference</w:t>
      </w:r>
      <w:r w:rsidR="00BF2977">
        <w:rPr>
          <w:rFonts w:ascii="Calibri" w:hAnsi="Calibri" w:cs="Arial"/>
        </w:rPr>
        <w:t>s</w:t>
      </w:r>
      <w:r>
        <w:rPr>
          <w:rFonts w:ascii="Calibri" w:hAnsi="Calibri" w:cs="Arial"/>
        </w:rPr>
        <w:t xml:space="preserve"> </w:t>
      </w:r>
      <w:r w:rsidR="00BF2977">
        <w:rPr>
          <w:rFonts w:ascii="Calibri" w:hAnsi="Calibri" w:cs="Arial"/>
        </w:rPr>
        <w:t>c</w:t>
      </w:r>
      <w:r>
        <w:rPr>
          <w:rFonts w:ascii="Calibri" w:hAnsi="Calibri" w:cs="Arial"/>
        </w:rPr>
        <w:t xml:space="preserve">ould be ascribed to the </w:t>
      </w:r>
      <w:r w:rsidR="00BF2977">
        <w:rPr>
          <w:rFonts w:ascii="Calibri" w:hAnsi="Calibri" w:cs="Arial"/>
        </w:rPr>
        <w:t>use of 1</w:t>
      </w:r>
      <w:r w:rsidR="00BF2977">
        <w:rPr>
          <w:rFonts w:ascii="Calibri" w:hAnsi="Calibri" w:cs="Arial"/>
          <w:vertAlign w:val="superscript"/>
        </w:rPr>
        <w:t>st</w:t>
      </w:r>
      <w:r w:rsidR="00BF2977">
        <w:rPr>
          <w:rFonts w:ascii="Calibri" w:hAnsi="Calibri" w:cs="Arial"/>
        </w:rPr>
        <w:t xml:space="preserve"> generation ASOs by</w:t>
      </w:r>
      <w:r>
        <w:rPr>
          <w:rFonts w:ascii="Calibri" w:hAnsi="Calibri" w:cs="Arial"/>
        </w:rPr>
        <w:t xml:space="preserve"> Nicklin </w:t>
      </w:r>
      <w:r>
        <w:rPr>
          <w:rFonts w:ascii="Calibri" w:hAnsi="Calibri" w:cs="Arial"/>
          <w:i/>
        </w:rPr>
        <w:t>et al</w:t>
      </w:r>
      <w:r>
        <w:rPr>
          <w:rFonts w:ascii="Calibri" w:hAnsi="Calibri" w:cs="Arial"/>
        </w:rPr>
        <w:t xml:space="preserve">. Yet no appreciable change in IL-4R alpha chain mRNA levels was observed. Of note, as stated in Fey </w:t>
      </w:r>
      <w:r>
        <w:rPr>
          <w:rFonts w:ascii="Calibri" w:hAnsi="Calibri" w:cs="Arial"/>
          <w:i/>
        </w:rPr>
        <w:t>et al.</w:t>
      </w:r>
      <w:r>
        <w:rPr>
          <w:rFonts w:ascii="Calibri" w:hAnsi="Calibri" w:cs="Arial"/>
        </w:rPr>
        <w:t xml:space="preserve">, the 1000x lower doses of AIR645 used by Karras </w:t>
      </w:r>
      <w:r>
        <w:rPr>
          <w:rFonts w:ascii="Calibri" w:hAnsi="Calibri" w:cs="Arial"/>
          <w:i/>
        </w:rPr>
        <w:t xml:space="preserve">et al. </w:t>
      </w:r>
      <w:r>
        <w:rPr>
          <w:rFonts w:ascii="Calibri" w:hAnsi="Calibri" w:cs="Arial"/>
        </w:rPr>
        <w:t>were appare</w:t>
      </w:r>
      <w:r w:rsidR="000A487B">
        <w:rPr>
          <w:rFonts w:ascii="Calibri" w:hAnsi="Calibri" w:cs="Arial"/>
        </w:rPr>
        <w:t>ntly pharmacologically active</w:t>
      </w:r>
      <w:r w:rsidR="00B65305">
        <w:rPr>
          <w:rFonts w:ascii="Calibri" w:hAnsi="Calibri" w:cs="Arial"/>
        </w:rPr>
        <w:t>,</w:t>
      </w:r>
      <w:r w:rsidR="002147BB">
        <w:rPr>
          <w:rFonts w:ascii="Calibri" w:hAnsi="Calibri" w:cs="Arial"/>
        </w:rPr>
        <w:t xml:space="preserve"> where Fey </w:t>
      </w:r>
      <w:r w:rsidR="002147BB">
        <w:rPr>
          <w:rFonts w:ascii="Calibri" w:hAnsi="Calibri" w:cs="Arial"/>
          <w:i/>
        </w:rPr>
        <w:t xml:space="preserve">et al. </w:t>
      </w:r>
      <w:r w:rsidR="002147BB">
        <w:rPr>
          <w:rFonts w:ascii="Calibri" w:hAnsi="Calibri" w:cs="Arial"/>
        </w:rPr>
        <w:t xml:space="preserve">reported no target </w:t>
      </w:r>
      <w:r w:rsidR="002147BB">
        <w:rPr>
          <w:rFonts w:ascii="Calibri" w:hAnsi="Calibri" w:cs="Arial"/>
        </w:rPr>
        <w:lastRenderedPageBreak/>
        <w:t>modulation</w:t>
      </w:r>
      <w:r w:rsidR="000A487B">
        <w:rPr>
          <w:rFonts w:ascii="Calibri" w:hAnsi="Calibri" w:cs="Arial"/>
        </w:rPr>
        <w:t>.</w:t>
      </w:r>
      <w:r>
        <w:rPr>
          <w:rFonts w:ascii="Calibri" w:hAnsi="Calibri" w:cs="Arial"/>
        </w:rPr>
        <w:t xml:space="preserve"> </w:t>
      </w:r>
      <w:r w:rsidR="002147BB">
        <w:rPr>
          <w:rFonts w:ascii="Calibri" w:hAnsi="Calibri" w:cs="Arial"/>
        </w:rPr>
        <w:t>The</w:t>
      </w:r>
      <w:r w:rsidR="00B65305">
        <w:rPr>
          <w:rFonts w:ascii="Calibri" w:hAnsi="Calibri" w:cs="Arial"/>
        </w:rPr>
        <w:t xml:space="preserve"> notable</w:t>
      </w:r>
      <w:r w:rsidR="002147BB">
        <w:rPr>
          <w:rFonts w:ascii="Calibri" w:hAnsi="Calibri" w:cs="Arial"/>
        </w:rPr>
        <w:t xml:space="preserve"> discrepancy was ascribed</w:t>
      </w:r>
      <w:r>
        <w:rPr>
          <w:rFonts w:ascii="Calibri" w:hAnsi="Calibri" w:cs="Arial"/>
        </w:rPr>
        <w:t xml:space="preserve"> to </w:t>
      </w:r>
      <w:r w:rsidR="006E5B60">
        <w:rPr>
          <w:rFonts w:ascii="Calibri" w:hAnsi="Calibri" w:cs="Arial"/>
        </w:rPr>
        <w:t xml:space="preserve">the </w:t>
      </w:r>
      <w:r>
        <w:rPr>
          <w:rFonts w:ascii="Calibri" w:hAnsi="Calibri" w:cs="Arial"/>
        </w:rPr>
        <w:t xml:space="preserve">low-level target gene expression under naïve conditions </w:t>
      </w:r>
      <w:r w:rsidR="006E5B60">
        <w:rPr>
          <w:rFonts w:ascii="Calibri" w:hAnsi="Calibri" w:cs="Arial"/>
        </w:rPr>
        <w:t xml:space="preserve">in </w:t>
      </w:r>
      <w:r w:rsidR="002147BB">
        <w:rPr>
          <w:rFonts w:ascii="Calibri" w:hAnsi="Calibri" w:cs="Arial"/>
        </w:rPr>
        <w:t xml:space="preserve">the Fey </w:t>
      </w:r>
      <w:r w:rsidR="002147BB">
        <w:rPr>
          <w:rFonts w:ascii="Calibri" w:hAnsi="Calibri" w:cs="Arial"/>
          <w:i/>
        </w:rPr>
        <w:t xml:space="preserve">et al. </w:t>
      </w:r>
      <w:r w:rsidR="002147BB">
        <w:rPr>
          <w:rFonts w:ascii="Calibri" w:hAnsi="Calibri" w:cs="Arial"/>
        </w:rPr>
        <w:t>study.</w:t>
      </w:r>
      <w:r>
        <w:rPr>
          <w:rFonts w:ascii="Calibri" w:hAnsi="Calibri" w:cs="Arial"/>
        </w:rPr>
        <w:t xml:space="preserve"> </w:t>
      </w:r>
      <w:r w:rsidR="006E5B60">
        <w:rPr>
          <w:rFonts w:ascii="Calibri" w:hAnsi="Calibri" w:cs="Arial"/>
        </w:rPr>
        <w:t>In other words, targets expressed at</w:t>
      </w:r>
      <w:r>
        <w:rPr>
          <w:rFonts w:ascii="Calibri" w:hAnsi="Calibri" w:cs="Arial"/>
        </w:rPr>
        <w:t xml:space="preserve"> low-level</w:t>
      </w:r>
      <w:r w:rsidR="006E5B60">
        <w:rPr>
          <w:rFonts w:ascii="Calibri" w:hAnsi="Calibri" w:cs="Arial"/>
        </w:rPr>
        <w:t>s</w:t>
      </w:r>
      <w:r>
        <w:rPr>
          <w:rFonts w:ascii="Calibri" w:hAnsi="Calibri" w:cs="Arial"/>
        </w:rPr>
        <w:t xml:space="preserve"> would </w:t>
      </w:r>
      <w:r w:rsidR="00F83C2A">
        <w:rPr>
          <w:rFonts w:ascii="Calibri" w:hAnsi="Calibri" w:cs="Arial"/>
        </w:rPr>
        <w:t xml:space="preserve">appear to </w:t>
      </w:r>
      <w:r>
        <w:rPr>
          <w:rFonts w:ascii="Calibri" w:hAnsi="Calibri" w:cs="Arial"/>
        </w:rPr>
        <w:t>be recalcitrant to o</w:t>
      </w:r>
      <w:r w:rsidR="003700F4">
        <w:rPr>
          <w:rFonts w:ascii="Calibri" w:hAnsi="Calibri" w:cs="Arial"/>
        </w:rPr>
        <w:t xml:space="preserve">ligonucleotide-mediated </w:t>
      </w:r>
      <w:r>
        <w:rPr>
          <w:rFonts w:ascii="Calibri" w:hAnsi="Calibri" w:cs="Arial"/>
        </w:rPr>
        <w:t>downregulation</w:t>
      </w:r>
      <w:r w:rsidR="00F83C2A">
        <w:rPr>
          <w:rFonts w:ascii="Calibri" w:hAnsi="Calibri" w:cs="Arial"/>
        </w:rPr>
        <w:t>.</w:t>
      </w:r>
      <w:r w:rsidR="003700F4">
        <w:rPr>
          <w:rFonts w:ascii="Calibri" w:hAnsi="Calibri" w:cs="Arial"/>
        </w:rPr>
        <w:t xml:space="preserve"> </w:t>
      </w:r>
      <w:r w:rsidR="00F83C2A">
        <w:rPr>
          <w:rFonts w:ascii="Calibri" w:hAnsi="Calibri" w:cs="Arial"/>
        </w:rPr>
        <w:t xml:space="preserve">Instead, Fey </w:t>
      </w:r>
      <w:r w:rsidR="00F83C2A">
        <w:rPr>
          <w:rFonts w:ascii="Calibri" w:hAnsi="Calibri" w:cs="Arial"/>
          <w:i/>
        </w:rPr>
        <w:t xml:space="preserve">et al. </w:t>
      </w:r>
      <w:r w:rsidR="00F83C2A">
        <w:rPr>
          <w:rFonts w:ascii="Calibri" w:hAnsi="Calibri" w:cs="Arial"/>
        </w:rPr>
        <w:t>postulate</w:t>
      </w:r>
      <w:r w:rsidR="00C267FD">
        <w:rPr>
          <w:rFonts w:ascii="Calibri" w:hAnsi="Calibri" w:cs="Arial"/>
        </w:rPr>
        <w:t>d</w:t>
      </w:r>
      <w:r w:rsidR="00F83C2A">
        <w:rPr>
          <w:rFonts w:ascii="Calibri" w:hAnsi="Calibri" w:cs="Arial"/>
        </w:rPr>
        <w:t xml:space="preserve"> that a</w:t>
      </w:r>
      <w:r w:rsidR="006E5B60">
        <w:rPr>
          <w:rFonts w:ascii="Calibri" w:hAnsi="Calibri" w:cs="Arial"/>
        </w:rPr>
        <w:t>ntisense</w:t>
      </w:r>
      <w:r w:rsidR="00F83C2A">
        <w:rPr>
          <w:rFonts w:ascii="Calibri" w:hAnsi="Calibri" w:cs="Arial"/>
        </w:rPr>
        <w:t xml:space="preserve"> should be used</w:t>
      </w:r>
      <w:r w:rsidR="006E5B60">
        <w:rPr>
          <w:rFonts w:ascii="Calibri" w:hAnsi="Calibri" w:cs="Arial"/>
        </w:rPr>
        <w:t xml:space="preserve"> against transcripts </w:t>
      </w:r>
      <w:r w:rsidR="002147BB">
        <w:rPr>
          <w:rFonts w:ascii="Calibri" w:hAnsi="Calibri" w:cs="Arial"/>
        </w:rPr>
        <w:t>undergoing</w:t>
      </w:r>
      <w:r w:rsidR="006E5B60">
        <w:rPr>
          <w:rFonts w:ascii="Calibri" w:hAnsi="Calibri" w:cs="Arial"/>
        </w:rPr>
        <w:t xml:space="preserve"> </w:t>
      </w:r>
      <w:r w:rsidR="003700F4">
        <w:rPr>
          <w:rFonts w:ascii="Calibri" w:hAnsi="Calibri" w:cs="Arial"/>
        </w:rPr>
        <w:t>upregulation</w:t>
      </w:r>
      <w:r w:rsidR="002147BB">
        <w:rPr>
          <w:rFonts w:ascii="Calibri" w:hAnsi="Calibri" w:cs="Arial"/>
        </w:rPr>
        <w:t xml:space="preserve"> (e.g. activated pro-inflammatory response genes). Furthermore,</w:t>
      </w:r>
      <w:r w:rsidR="00F83C2A">
        <w:rPr>
          <w:rFonts w:ascii="Calibri" w:hAnsi="Calibri" w:cs="Arial"/>
        </w:rPr>
        <w:t xml:space="preserve"> antisense efficacy should be measured only when these transcripts are being upregulated, not under baseline conditions.</w:t>
      </w:r>
      <w:r w:rsidR="002147BB">
        <w:rPr>
          <w:rFonts w:ascii="Calibri" w:hAnsi="Calibri" w:cs="Arial"/>
        </w:rPr>
        <w:t xml:space="preserve"> </w:t>
      </w:r>
      <w:r w:rsidR="003F78E9">
        <w:rPr>
          <w:rFonts w:ascii="Calibri" w:hAnsi="Calibri" w:cs="Arial"/>
        </w:rPr>
        <w:t>This contrasts</w:t>
      </w:r>
      <w:r w:rsidR="002147BB">
        <w:rPr>
          <w:rFonts w:ascii="Calibri" w:hAnsi="Calibri" w:cs="Arial"/>
        </w:rPr>
        <w:t xml:space="preserve"> evidence</w:t>
      </w:r>
      <w:r w:rsidR="003F78E9">
        <w:rPr>
          <w:rFonts w:ascii="Calibri" w:hAnsi="Calibri" w:cs="Arial"/>
        </w:rPr>
        <w:t xml:space="preserve"> that transcripts expressed at</w:t>
      </w:r>
      <w:r w:rsidR="002147BB">
        <w:rPr>
          <w:rFonts w:ascii="Calibri" w:hAnsi="Calibri" w:cs="Arial"/>
        </w:rPr>
        <w:t xml:space="preserve"> low </w:t>
      </w:r>
      <w:r w:rsidR="003F78E9">
        <w:rPr>
          <w:rFonts w:ascii="Calibri" w:hAnsi="Calibri" w:cs="Arial"/>
        </w:rPr>
        <w:t xml:space="preserve">levels can be knocked down by antisense, provided the </w:t>
      </w:r>
      <w:r w:rsidR="002147BB">
        <w:rPr>
          <w:rFonts w:ascii="Calibri" w:hAnsi="Calibri" w:cs="Arial"/>
        </w:rPr>
        <w:t>tissue</w:t>
      </w:r>
      <w:r w:rsidR="003F78E9">
        <w:rPr>
          <w:rFonts w:ascii="Calibri" w:hAnsi="Calibri" w:cs="Arial"/>
        </w:rPr>
        <w:t xml:space="preserve"> i</w:t>
      </w:r>
      <w:r w:rsidR="002147BB">
        <w:rPr>
          <w:rFonts w:ascii="Calibri" w:hAnsi="Calibri" w:cs="Arial"/>
        </w:rPr>
        <w:t>s effectively transfected (e.g. apolipoprotein B downregulation</w:t>
      </w:r>
      <w:r w:rsidR="003F78E9">
        <w:rPr>
          <w:rFonts w:ascii="Calibri" w:hAnsi="Calibri" w:cs="Arial"/>
        </w:rPr>
        <w:t xml:space="preserve"> in the kidney </w:t>
      </w:r>
      <w:r w:rsidR="003F78E9">
        <w:rPr>
          <w:rFonts w:ascii="Calibri" w:hAnsi="Calibri" w:cs="Arial"/>
        </w:rPr>
        <w:fldChar w:fldCharType="begin" w:fldLock="1"/>
      </w:r>
      <w:r w:rsidR="00432B0D">
        <w:rPr>
          <w:rFonts w:ascii="Calibri" w:hAnsi="Calibri" w:cs="Arial"/>
        </w:rPr>
        <w:instrText>ADDIN CSL_CITATION { "citationItems" : [ { "id" : "ITEM-1", "itemData" : { "DOI" : "10.1038/mt.2011.206", "ISBN" : "1525-0024 (Electronic)\r1525-0016 (Linking)", "PMID" : "21971426", "abstract" : "Antisense oligonucleotides (ASOs) and small interfering RNA (siRNA) promise specific correction of disease-causing gene expression. Therapeutic implementation, however, has been forestalled by poor delivery to the appropriate tissue, cell type, and subcellular compartment. Topical administration is considered to circumvent these issues. The availability of inhalation devices and unmet medical need in lung disease has focused efforts in this tissue. We report the development of a novel cell sorting method for quantitative, cell type-specific analysis of siRNA, and locked nucleic acid (LNA) ASO uptake and efficacy after intratracheal (i.t.) administration in mice. Through fluorescent dye labeling, we compare the utility of this approach to whole animal and whole tissue analysis, and examine the extent of tissue distribution. We detail rapid systemic access and renal clearance for both therapeutic classes and lack of efficacy at the protein level in lung macrophages, epithelia, or other cell types. We nevertheless observe efficient redirection of i.t. administered phosphorothioate (PS) LNA ASO to the liver and kidney leading to targeted gene knockdown. These data suggest delivery remains a key obstacle to topically administered, naked oligonucleotide efficacy in the lung and introduce inhalation as a potentially viable alternative to injection for antisense administration to the liver and kidneys.", "author" : [ { "dropping-particle" : "", "family" : "Moschos", "given" : "S A", "non-dropping-particle" : "", "parse-names" : false, "suffix" : "" }, { "dropping-particle" : "", "family" : "Frick", "given" : "M", "non-dropping-particle" : "", "parse-names" : false, "suffix" : "" }, { "dropping-particle" : "", "family" : "Taylor", "given" : "B", "non-dropping-particle" : "", "parse-names" : false, "suffix" : "" }, { "dropping-particle" : "", "family" : "Turnpenny", "given" : "P", "non-dropping-particle" : "", "parse-names" : false, "suffix" : "" }, { "dropping-particle" : "", "family" : "Graves", "given" : "H", "non-dropping-particle" : "", "parse-names" : false, "suffix" : "" }, { "dropping-particle" : "", "family" : "Spink", "given" : "K G", "non-dropping-particle" : "", "parse-names" : false, "suffix" : "" }, { "dropping-particle" : "", "family" : "Brady", "given" : "K", "non-dropping-particle" : "", "parse-names" : false, "suffix" : "" }, { "dropping-particle" : "", "family" : "Lamb", "given" : "D", "non-dropping-particle" : "", "parse-names" : false, "suffix" : "" }, { "dropping-particle" : "", "family" : "Collins", "given" : "D", "non-dropping-particle" : "", "parse-names" : false, "suffix" : "" }, { "dropping-particle" : "", "family" : "Rockel", "given" : "T D", "non-dropping-particle" : "", "parse-names" : false, "suffix" : "" }, { "dropping-particle" : "", "family" : "Weber", "given" : "M", "non-dropping-particle" : "", "parse-names" : false, "suffix" : "" }, { "dropping-particle" : "", "family" : "Lazari", "given" : "O", "non-dropping-particle" : "", "parse-names" : false, "suffix" : "" }, { "dropping-particle" : "", "family" : "Perez-Tosar", "given" : "L", "non-dropping-particle" : "", "parse-names" : false, "suffix" : "" }, { "dropping-particle" : "", "family" : "Fancy", "given" : "S A", "non-dropping-particle" : "", "parse-names" : false, "suffix" : "" }, { "dropping-particle" : "", "family" : "Lapthorn", "given" : "C", "non-dropping-particle" : "", "parse-names" : false, "suffix" : "" }, { "dropping-particle" : "", "family" : "Green", "given" : "M X", "non-dropping-particle" : "", "parse-names" : false, "suffix" : "" }, { "dropping-particle" : "", "family" : "Evans", "given" : "S", "non-dropping-particle" : "", "parse-names" : false, "suffix" : "" }, { "dropping-particle" : "", "family" : "Selby", "given" : "M", "non-dropping-particle" : "", "parse-names" : false, "suffix" : "" }, { "dropping-particle" : "", "family" : "Jones", "given" : "G", "non-dropping-particle" : "", "parse-names" : false, "suffix" : "" }, { "dropping-particle" : "", "family" : "Jones", "given" : "L", "non-dropping-particle" : "", "parse-names" : false, "suffix" : "" }, { "dropping-particle" : "", "family" : "Kearney", "given" : "S", "non-dropping-particle" : "", "parse-names" : false, "suffix" : "" }, { "dropping-particle" : "", "family" : "Mechiche", "given" : "H", "non-dropping-particle" : "", "parse-names" : false, "suffix" : "" }, { "dropping-particle" : "", "family" : "Gikunju", "given" : "D", "non-dropping-particle" : "", "parse-names" : false, "suffix" : "" }, { "dropping-particle" : "", "family" : "Subramanian", "given" : "R", "non-dropping-particle" : "", "parse-names" : false, "suffix" : "" }, { "dropping-particle" : "", "family" : "Uhlmann", "given" : "E", "non-dropping-particle" : "", "parse-names" : false, "suffix" : "" }, { "dropping-particle" : "", "family" : "Jurk", "given" : "M", "non-dropping-particle" : "", "parse-names" : false, "suffix" : "" }, { "dropping-particle" : "", "family" : "Vollmer", "given" : "J", "non-dropping-particle" : "", "parse-names" : false, "suffix" : "" }, { "dropping-particle" : "", "family" : "Ciaramella", "given" : "G", "non-dropping-particle" : "", "parse-names" : false, "suffix" : "" }, { "dropping-particle" : "", "family" : "Yeadon", "given" : "M", "non-dropping-particle" : "", "parse-names" : false, "suffix" : "" } ], "container-title" : "Mol Ther", "edition" : "2011/10/06", "id" : "ITEM-1", "issue" : "12", "issued" : { "date-parts" : [ [ "2011" ] ] }, "language" : "eng", "note" : "Moschos, Sterghios A\nFrick, Manfred\nTaylor, Bruce\nTurnpenny, Paul\nGraves, Helen\nSpink, Karen G\nBrady, Kevin\nLamb, David\nCollins, David\nRockel, Thomas D\nWeber, Markus\nLazari, Ovadia\nPerez-Tosar, Luis\nFancy, Sally A\nLapthorn, Chris\nGreen, Martin X\nEvans, Steve\nSelby, Matthew\nJones, Gareth\nJones, Lyn\nKearney, Sarah\nMechiche, Houria\nGikunju, Diana\nSubramanian, Romesh\nUhlmann, Eugen\nJurk, Marion\nVollmer, Jorg\nCiaramella, Giuseppe\nYeadon, Michael\nMol Ther. 2011 Dec;19(12):2163-8. doi: 10.1038/mt.2011.206. Epub 2011 Oct 4.", "page" : "2163-2168", "title" : "Uptake, efficacy, and systemic distribution of naked, inhaled short interfering RNA (siRNA) and locked nucleic acid (LNA) antisense", "type" : "article-journal", "volume" : "19" }, "uris" : [ "http://www.mendeley.com/documents/?uuid=4748daf6-e4ed-4ef5-b072-f4709f195c25" ] } ], "mendeley" : { "formattedCitation" : "(Moschos et al., 2011)", "plainTextFormattedCitation" : "(Moschos et al., 2011)", "previouslyFormattedCitation" : "(Moschos et al., 2011)" }, "properties" : { "noteIndex" : 0 }, "schema" : "https://github.com/citation-style-language/schema/raw/master/csl-citation.json" }</w:instrText>
      </w:r>
      <w:r w:rsidR="003F78E9">
        <w:rPr>
          <w:rFonts w:ascii="Calibri" w:hAnsi="Calibri" w:cs="Arial"/>
        </w:rPr>
        <w:fldChar w:fldCharType="separate"/>
      </w:r>
      <w:r w:rsidR="003F78E9" w:rsidRPr="003F78E9">
        <w:rPr>
          <w:rFonts w:ascii="Calibri" w:hAnsi="Calibri" w:cs="Arial"/>
          <w:noProof/>
        </w:rPr>
        <w:t>(Moschos et al., 2011)</w:t>
      </w:r>
      <w:r w:rsidR="003F78E9">
        <w:rPr>
          <w:rFonts w:ascii="Calibri" w:hAnsi="Calibri" w:cs="Arial"/>
        </w:rPr>
        <w:fldChar w:fldCharType="end"/>
      </w:r>
      <w:r w:rsidR="002147BB">
        <w:rPr>
          <w:rFonts w:ascii="Calibri" w:hAnsi="Calibri" w:cs="Arial"/>
        </w:rPr>
        <w:t>)</w:t>
      </w:r>
      <w:r w:rsidR="00E17649">
        <w:rPr>
          <w:rFonts w:ascii="Calibri" w:hAnsi="Calibri" w:cs="Arial"/>
        </w:rPr>
        <w:t>.</w:t>
      </w:r>
      <w:r w:rsidR="00F83C2A">
        <w:rPr>
          <w:rFonts w:ascii="Calibri" w:hAnsi="Calibri" w:cs="Arial"/>
        </w:rPr>
        <w:t xml:space="preserve"> </w:t>
      </w:r>
      <w:r w:rsidR="003F78E9">
        <w:rPr>
          <w:rFonts w:ascii="Calibri" w:hAnsi="Calibri" w:cs="Arial"/>
        </w:rPr>
        <w:t>It remains to be determined if low</w:t>
      </w:r>
      <w:r w:rsidR="006C33A1">
        <w:rPr>
          <w:rFonts w:ascii="Calibri" w:hAnsi="Calibri" w:cs="Arial"/>
        </w:rPr>
        <w:t>-</w:t>
      </w:r>
      <w:r w:rsidR="003F78E9">
        <w:rPr>
          <w:rFonts w:ascii="Calibri" w:hAnsi="Calibri" w:cs="Arial"/>
        </w:rPr>
        <w:t xml:space="preserve">level </w:t>
      </w:r>
      <w:r w:rsidR="006C33A1" w:rsidRPr="006C33A1">
        <w:rPr>
          <w:rFonts w:ascii="Calibri" w:hAnsi="Calibri"/>
        </w:rPr>
        <w:t>expression</w:t>
      </w:r>
      <w:r w:rsidR="006C33A1">
        <w:rPr>
          <w:rFonts w:ascii="Calibri" w:hAnsi="Calibri" w:cs="Arial"/>
        </w:rPr>
        <w:t xml:space="preserve"> </w:t>
      </w:r>
      <w:r w:rsidR="003F78E9">
        <w:rPr>
          <w:rFonts w:ascii="Calibri" w:hAnsi="Calibri" w:cs="Arial"/>
        </w:rPr>
        <w:t xml:space="preserve">transcripts are malleable targets universally, or in a case-by-case basis. </w:t>
      </w:r>
      <w:r w:rsidR="00C267FD">
        <w:rPr>
          <w:rFonts w:ascii="Calibri" w:hAnsi="Calibri" w:cs="Arial"/>
        </w:rPr>
        <w:t xml:space="preserve">Importantly, one target of key clinical value, the </w:t>
      </w:r>
      <w:r w:rsidR="00C267FD">
        <w:rPr>
          <w:rFonts w:ascii="Calibri" w:hAnsi="Calibri" w:cs="Arial"/>
          <w:i/>
        </w:rPr>
        <w:t xml:space="preserve">CFTR </w:t>
      </w:r>
      <w:r w:rsidR="00C267FD">
        <w:rPr>
          <w:rFonts w:ascii="Calibri" w:hAnsi="Calibri" w:cs="Arial"/>
        </w:rPr>
        <w:t xml:space="preserve">gene, is one such low expression level lung target. </w:t>
      </w:r>
      <w:r w:rsidR="00F83C2A">
        <w:rPr>
          <w:rFonts w:ascii="Calibri" w:hAnsi="Calibri" w:cs="Arial"/>
        </w:rPr>
        <w:t>Clinical efficacy data have yet to reach the peer-reviewed public domain for AIR645.</w:t>
      </w:r>
    </w:p>
    <w:p w14:paraId="27536D4F" w14:textId="77777777" w:rsidR="003700F4" w:rsidRDefault="003700F4" w:rsidP="005837A4">
      <w:pPr>
        <w:spacing w:line="480" w:lineRule="auto"/>
        <w:jc w:val="both"/>
        <w:rPr>
          <w:rFonts w:ascii="Calibri" w:hAnsi="Calibri" w:cs="Arial"/>
        </w:rPr>
      </w:pPr>
    </w:p>
    <w:p w14:paraId="46952B0B" w14:textId="27A063D6" w:rsidR="003700F4" w:rsidRDefault="00366466" w:rsidP="005837A4">
      <w:pPr>
        <w:pStyle w:val="Heading3"/>
      </w:pPr>
      <w:r>
        <w:t>3.2.2</w:t>
      </w:r>
      <w:r w:rsidR="00A25217">
        <w:tab/>
      </w:r>
      <w:r w:rsidR="00F306F0">
        <w:t>Pharmaxis ASM8</w:t>
      </w:r>
      <w:r w:rsidR="00A45720">
        <w:t xml:space="preserve"> and the targeting of</w:t>
      </w:r>
      <w:r w:rsidR="006C33A1">
        <w:t xml:space="preserve"> CCR3 and</w:t>
      </w:r>
      <w:r w:rsidR="00A45720">
        <w:t xml:space="preserve"> the common </w:t>
      </w:r>
      <w:r w:rsidR="00E9727A" w:rsidRPr="0034141D">
        <w:rPr>
          <w:rFonts w:ascii="Symbol" w:hAnsi="Symbol"/>
        </w:rPr>
        <w:t></w:t>
      </w:r>
      <w:r w:rsidR="00E9727A">
        <w:t>c</w:t>
      </w:r>
      <w:r w:rsidR="00A45720">
        <w:t xml:space="preserve"> </w:t>
      </w:r>
      <w:r w:rsidR="00E9727A">
        <w:t>of IL-3R, IL-5R</w:t>
      </w:r>
      <w:r w:rsidR="006C33A1">
        <w:t xml:space="preserve">, </w:t>
      </w:r>
      <w:r w:rsidR="00E9727A">
        <w:t xml:space="preserve">and GM-CSF </w:t>
      </w:r>
      <w:r w:rsidR="00A45720">
        <w:t>in asthma</w:t>
      </w:r>
      <w:r w:rsidR="006C33A1">
        <w:t>.</w:t>
      </w:r>
    </w:p>
    <w:p w14:paraId="274A1857" w14:textId="77777777" w:rsidR="00F306F0" w:rsidRPr="00F306F0" w:rsidRDefault="00F306F0" w:rsidP="005837A4">
      <w:pPr>
        <w:spacing w:line="480" w:lineRule="auto"/>
      </w:pPr>
    </w:p>
    <w:p w14:paraId="74BED03E" w14:textId="520FA6A8" w:rsidR="00394ACA" w:rsidRDefault="006E74AE" w:rsidP="005837A4">
      <w:pPr>
        <w:spacing w:line="480" w:lineRule="auto"/>
        <w:jc w:val="both"/>
        <w:rPr>
          <w:rFonts w:ascii="Calibri" w:hAnsi="Calibri" w:cs="Arial"/>
          <w:lang w:val="en-GB"/>
        </w:rPr>
      </w:pPr>
      <w:r>
        <w:rPr>
          <w:rFonts w:ascii="Calibri" w:hAnsi="Calibri" w:cs="Arial"/>
          <w:lang w:val="en-GB"/>
        </w:rPr>
        <w:t xml:space="preserve">The </w:t>
      </w:r>
      <w:r w:rsidR="00A360A3">
        <w:rPr>
          <w:rFonts w:ascii="Calibri" w:hAnsi="Calibri" w:cs="Arial"/>
          <w:lang w:val="en-GB"/>
        </w:rPr>
        <w:t>pursuit of a</w:t>
      </w:r>
      <w:r w:rsidR="00FC78E7">
        <w:rPr>
          <w:rFonts w:ascii="Calibri" w:hAnsi="Calibri" w:cs="Arial"/>
          <w:lang w:val="en-GB"/>
        </w:rPr>
        <w:t xml:space="preserve"> dual</w:t>
      </w:r>
      <w:r>
        <w:rPr>
          <w:rFonts w:ascii="Calibri" w:hAnsi="Calibri" w:cs="Arial"/>
          <w:lang w:val="en-GB"/>
        </w:rPr>
        <w:t xml:space="preserve"> formulation</w:t>
      </w:r>
      <w:r w:rsidR="004121A3">
        <w:rPr>
          <w:rFonts w:ascii="Calibri" w:hAnsi="Calibri" w:cs="Arial"/>
          <w:lang w:val="en-GB"/>
        </w:rPr>
        <w:t xml:space="preserve"> consisting of two </w:t>
      </w:r>
      <w:r w:rsidR="00FC78E7">
        <w:rPr>
          <w:rFonts w:ascii="Calibri" w:hAnsi="Calibri" w:cs="Arial"/>
          <w:lang w:val="en-GB"/>
        </w:rPr>
        <w:t xml:space="preserve">antisense drugs </w:t>
      </w:r>
      <w:r w:rsidR="004121A3">
        <w:rPr>
          <w:rFonts w:ascii="Calibri" w:hAnsi="Calibri" w:cs="Arial"/>
          <w:lang w:val="en-GB"/>
        </w:rPr>
        <w:t>based on the FANA chemistry</w:t>
      </w:r>
      <w:r>
        <w:rPr>
          <w:rFonts w:ascii="Calibri" w:hAnsi="Calibri" w:cs="Arial"/>
          <w:lang w:val="en-GB"/>
        </w:rPr>
        <w:t xml:space="preserve"> (TOP004 and TOP005; ASM8</w:t>
      </w:r>
      <w:r w:rsidR="004121A3">
        <w:rPr>
          <w:rFonts w:ascii="Calibri" w:hAnsi="Calibri" w:cs="Arial"/>
          <w:lang w:val="en-GB"/>
        </w:rPr>
        <w:t xml:space="preserve">; Fig. </w:t>
      </w:r>
      <w:r w:rsidR="00C53CDB">
        <w:rPr>
          <w:rFonts w:ascii="Calibri" w:hAnsi="Calibri" w:cs="Arial"/>
          <w:lang w:val="en-GB"/>
        </w:rPr>
        <w:t>3</w:t>
      </w:r>
      <w:r>
        <w:rPr>
          <w:rFonts w:ascii="Calibri" w:hAnsi="Calibri" w:cs="Arial"/>
          <w:lang w:val="en-GB"/>
        </w:rPr>
        <w:t xml:space="preserve">) </w:t>
      </w:r>
      <w:r w:rsidR="00FC78E7">
        <w:rPr>
          <w:rFonts w:ascii="Calibri" w:hAnsi="Calibri" w:cs="Arial"/>
          <w:lang w:val="en-GB"/>
        </w:rPr>
        <w:t xml:space="preserve">targeting two different transcripts </w:t>
      </w:r>
      <w:r w:rsidR="00A360A3">
        <w:rPr>
          <w:rFonts w:ascii="Calibri" w:hAnsi="Calibri" w:cs="Arial"/>
          <w:lang w:val="en-GB"/>
        </w:rPr>
        <w:t>was b</w:t>
      </w:r>
      <w:r>
        <w:rPr>
          <w:rFonts w:ascii="Calibri" w:hAnsi="Calibri" w:cs="Arial"/>
          <w:lang w:val="en-GB"/>
        </w:rPr>
        <w:t xml:space="preserve">acked </w:t>
      </w:r>
      <w:r w:rsidR="004725F1">
        <w:rPr>
          <w:rFonts w:ascii="Calibri" w:hAnsi="Calibri" w:cs="Arial"/>
          <w:lang w:val="en-GB"/>
        </w:rPr>
        <w:t xml:space="preserve">by </w:t>
      </w:r>
      <w:r>
        <w:rPr>
          <w:rFonts w:ascii="Calibri" w:hAnsi="Calibri" w:cs="Arial"/>
          <w:lang w:val="en-GB"/>
        </w:rPr>
        <w:t xml:space="preserve">substantial confidence in rationale </w:t>
      </w:r>
      <w:r>
        <w:rPr>
          <w:rFonts w:ascii="Calibri" w:hAnsi="Calibri" w:cs="Arial"/>
          <w:lang w:val="en-GB"/>
        </w:rPr>
        <w:fldChar w:fldCharType="begin" w:fldLock="1"/>
      </w:r>
      <w:r>
        <w:rPr>
          <w:rFonts w:ascii="Calibri" w:hAnsi="Calibri" w:cs="Arial"/>
          <w:lang w:val="en-GB"/>
        </w:rPr>
        <w:instrText>ADDIN CSL_CITATION { "citationItems" : [ { "id" : "ITEM-1", "itemData" : { "author" : [ { "dropping-particle" : "", "family" : "Corren", "given" : "Jonathan", "non-dropping-particle" : "", "parse-names" : false, "suffix" : "" } ], "container-title" : "Discovery Medicine", "id" : "ITEM-1", "issue" : "71", "issued" : { "date-parts" : [ [ "2012", "4", "24" ] ] }, "page" : "305-312", "title" : "Inhibition of Interleukin-5 for the Treatment of Eosinophilic Diseases", "type" : "article-journal", "volume" : "13" }, "uris" : [ "http://www.mendeley.com/documents/?uuid=0a2ee9a1-8539-4d7a-b579-cd7581c560a4" ] } ], "mendeley" : { "formattedCitation" : "(Corren, 2012)", "plainTextFormattedCitation" : "(Corren, 2012)", "previouslyFormattedCitation" : "(Corren, 2012)" }, "properties" : { "noteIndex" : 0 }, "schema" : "https://github.com/citation-style-language/schema/raw/master/csl-citation.json" }</w:instrText>
      </w:r>
      <w:r>
        <w:rPr>
          <w:rFonts w:ascii="Calibri" w:hAnsi="Calibri" w:cs="Arial"/>
          <w:lang w:val="en-GB"/>
        </w:rPr>
        <w:fldChar w:fldCharType="separate"/>
      </w:r>
      <w:r w:rsidRPr="00336CAE">
        <w:rPr>
          <w:rFonts w:ascii="Calibri" w:hAnsi="Calibri" w:cs="Arial"/>
          <w:noProof/>
          <w:lang w:val="en-GB"/>
        </w:rPr>
        <w:t>(Corren, 2012)</w:t>
      </w:r>
      <w:r>
        <w:rPr>
          <w:rFonts w:ascii="Calibri" w:hAnsi="Calibri" w:cs="Arial"/>
          <w:lang w:val="en-GB"/>
        </w:rPr>
        <w:fldChar w:fldCharType="end"/>
      </w:r>
      <w:r w:rsidR="00394ACA">
        <w:rPr>
          <w:rFonts w:ascii="Calibri" w:hAnsi="Calibri" w:cs="Arial"/>
          <w:lang w:val="en-GB"/>
        </w:rPr>
        <w:t>.</w:t>
      </w:r>
      <w:r w:rsidR="00394ACA" w:rsidRPr="00394ACA">
        <w:rPr>
          <w:rFonts w:ascii="Calibri" w:hAnsi="Calibri" w:cs="Arial"/>
          <w:lang w:val="en-GB"/>
        </w:rPr>
        <w:t xml:space="preserve"> </w:t>
      </w:r>
      <w:r w:rsidR="00394ACA">
        <w:rPr>
          <w:rFonts w:ascii="Calibri" w:hAnsi="Calibri" w:cs="Arial"/>
          <w:lang w:val="en-GB"/>
        </w:rPr>
        <w:t>Thus, haematopoietic myeloid progenitor cells</w:t>
      </w:r>
      <w:r w:rsidR="00FF7407">
        <w:rPr>
          <w:rFonts w:ascii="Calibri" w:hAnsi="Calibri" w:cs="Arial"/>
          <w:lang w:val="en-GB"/>
        </w:rPr>
        <w:t xml:space="preserve"> (HMC)</w:t>
      </w:r>
      <w:r w:rsidR="00394ACA">
        <w:rPr>
          <w:rFonts w:ascii="Calibri" w:hAnsi="Calibri" w:cs="Arial"/>
          <w:lang w:val="en-GB"/>
        </w:rPr>
        <w:t xml:space="preserve"> are elevated in the circulation</w:t>
      </w:r>
      <w:r w:rsidR="0054346A">
        <w:rPr>
          <w:rFonts w:ascii="Calibri" w:hAnsi="Calibri" w:cs="Arial"/>
          <w:lang w:val="en-GB"/>
        </w:rPr>
        <w:t xml:space="preserve"> </w:t>
      </w:r>
      <w:r w:rsidR="00394ACA">
        <w:rPr>
          <w:rFonts w:ascii="Calibri" w:hAnsi="Calibri" w:cs="Arial"/>
          <w:lang w:val="en-GB"/>
        </w:rPr>
        <w:t>the lung tissue and sputum of asthmatics (and in murine models of asthma) under both naïve conditions and after allergen stimulation</w:t>
      </w:r>
      <w:r w:rsidR="000D5E1B">
        <w:rPr>
          <w:rFonts w:ascii="Calibri" w:hAnsi="Calibri" w:cs="Arial"/>
          <w:lang w:val="en-GB"/>
        </w:rPr>
        <w:t xml:space="preserve"> </w:t>
      </w:r>
      <w:r w:rsidR="00FF7407">
        <w:rPr>
          <w:rFonts w:ascii="Calibri" w:hAnsi="Calibri" w:cs="Arial"/>
          <w:lang w:val="en-GB"/>
        </w:rPr>
        <w:fldChar w:fldCharType="begin" w:fldLock="1"/>
      </w:r>
      <w:r w:rsidR="00FF7407">
        <w:rPr>
          <w:rFonts w:ascii="Calibri" w:hAnsi="Calibri" w:cs="Arial"/>
          <w:lang w:val="en-GB"/>
        </w:rPr>
        <w:instrText>ADDIN CSL_CITATION { "citationItems" : [ { "id" : "ITEM-1", "itemData" : { "DOI" : "10.1165/ajrcmb.15.5.8918371", "ISSN" : "1044-1549", "PMID" : "8918371", "abstract" : "We investigated the contribution of hemopoietic progenitors to the accumulation of inflammatory cells in allergic airways disease. Using a multiparameter flow-cytometric method, the detection of peripheral blood (PB) and bone marrow (BM) cells expressing CD34, a progenitor cell marker, was explored. True CD34+ blast cells were detected as a discrete cluster exhibiting low intensity CD45 expression, low granularity, and low to intermediate cell size. A significantly greater number of CD34+ cells was detected in the PB of atopic individuals (1,438 +/- 347/10(6) nonadherent mononuclear cells [NAMNC], n = 19) compared with nonatopics (236 +/- 77/10(6) NAMNC, n = 13; P = 0.006). Similarly, in BM samples, a significantly greater number of CD34+ cells was detected in atopic (17,537 +/- 4,986/10(6) NAMNC, n = 7) compared with nonatopic subjects (6,422 +/- 1,853/10(6) NAMNC, n = 13, P = 0.02). Greater numbers of total colony-forming units (CFU) (granulocyte/macrophage [GM] and Eo/Baso) were present in cultures of PB NAMNC from atopics (24 +/- 5 CFU/10(6) NAMNC) cultured with recombinant human interleukin 5 (rhIL-5) (1 ng/ml) compared with nonatopics (5 +/- 2 CFU/10(6) NAMNC; P = 0.003). Analyses of colony subtypes showed significantly greater numbers of IL-5-responsive Eo/Baso-CFU in cultures from atopics (15 +/- 2 CFU/10(6) NAMNC) compared with nonatopics (5 +/- 2 CFU/10(6) NAMNC; P = 0.011). In contrast, no significant differences in colony counts were found between the two subject groups in cultures with rhIL-3 (1 ng/ml) or rhGM-CSF (10 ng/ml). A positive correlation was observed between PB CD34+ cell numbers and total CFU in cultures with rhIL-5 (r = 0.43, n = 32, P = 0.01) and rhGM-CSF (r = 0.45, n = 32, P = 0.009). Purging BM NAMNC with an anti-CD34 monoclonal antibody completely abrogated in vitro colony growth, supporting the view that a subset of CD34+ cells represents the relevant population of progenitors growing in culture. These data indicate that flow cytometric estimation of CD34+ cells is predictive of the colony-forming capacity of the sample and may be a useful alternative tool to clonogenic assays for enumerating progenitors. In addition, raised levels of CD34+ cells and IL-5-responsive Eo/Baso-CFU in atopics, including patients with atopic asthma, indicate a role for progenitors in allergic airways disease.", "author" : [ { "dropping-particle" : "", "family" : "Sehmi", "given" : "R", "non-dropping-particle" : "", "parse-names" : false, "suffix" : "" }, { "dropping-particle" : "", "family" : "Howie", "given" : "K", "non-dropping-particle" : "", "parse-names" : false, "suffix" : "" }, { "dropping-particle" : "", "family" : "Sutherland", "given" : "D R", "non-dropping-particle" : "", "parse-names" : false, "suffix" : "" }, { "dropping-particle" : "", "family" : "Schragge", "given" : "W", "non-dropping-particle" : "", "parse-names" : false, "suffix" : "" }, { "dropping-particle" : "", "family" : "O'Byrne", "given" : "P M", "non-dropping-particle" : "", "parse-names" : false, "suffix" : "" }, { "dropping-particle" : "", "family" : "Denburg", "given" : "J A", "non-dropping-particle" : "", "parse-names" : false, "suffix" : "" } ], "container-title" : "American journal of respiratory cell and molecular biology", "id" : "ITEM-1", "issue" : "5", "issued" : { "date-parts" : [ [ "1996", "11" ] ] }, "page" : "645-55", "title" : "Increased levels of CD34+ hemopoietic progenitor cells in atopic subjects.", "type" : "article-journal", "volume" : "15" }, "uris" : [ "http://www.mendeley.com/documents/?uuid=c649f396-be29-4ea0-bd2e-6bcea757406a" ] }, { "id" : "ITEM-2", "itemData" : { "DOI" : "10.1165/ajrcmb.20.1.3449", "ISSN" : "1044-1549", "PMID" : "9870912", "abstract" : "Eosinophil differentiation is thought to occur by the action of interleukin (IL)-5 on CD34(+) progenitor cells. The allergen-induced increase in eosinophil numbers in isolated airway preparations in vitro, and detection of increased numbers of circulating CD34(+) cells in atopic subjects, led us to the hypothesis that the eosinophil infiltration of the airway in asthma may result from local mucosal differentiation, in addition to recruitment from the bone marrow. We examined CD34(+) cell numbers by immunohistochemistry and IL-5 receptor alpha (IL-5Ralpha) messenger RNA (mRNA) expression by in situ hybridization in bronchial biopsies from atopic asthmatic patients, and from atopic and nonatopic control subjects. CD34(+) cell numbers were increased in the airway in atopic asthmatic and atopic nonasthmatic subjects. In contrast, CD34(+)/ IL-5Ralpha mRNA+ cells were increased in asthmatic subjects when compared with both atopic and nonatopic control subjects. Airway numbers of CD34(+)/IL-5Ralpha mRNA+ cells were correlated to airway caliber in asthmatic subjects and to eosinophil numbers. These findings support the concept that eosinophils may differentiate locally in the airway in asthma.", "author" : [ { "dropping-particle" : "", "family" : "Robinson", "given" : "D S", "non-dropping-particle" : "", "parse-names" : false, "suffix" : "" }, { "dropping-particle" : "", "family" : "Damia", "given" : "R", "non-dropping-particle" : "", "parse-names" : false, "suffix" : "" }, { "dropping-particle" : "", "family" : "Zeibecoglou", "given" : "K", "non-dropping-particle" : "", "parse-names" : false, "suffix" : "" }, { "dropping-particle" : "", "family" : "Molet", "given" : "S", "non-dropping-particle" : "", "parse-names" : false, "suffix" : "" }, { "dropping-particle" : "", "family" : "North", "given" : "J", "non-dropping-particle" : "", "parse-names" : false, "suffix" : "" }, { "dropping-particle" : "", "family" : "Yamada", "given" : "T", "non-dropping-particle" : "", "parse-names" : false, "suffix" : "" }, { "dropping-particle" : "", "family" : "Kay", "given" : "A B", "non-dropping-particle" : "", "parse-names" : false, "suffix" : "" }, { "dropping-particle" : "", "family" : "Hamid", "given" : "Q", "non-dropping-particle" : "", "parse-names" : false, "suffix" : "" } ], "container-title" : "American journal of respiratory cell and molecular biology", "id" : "ITEM-2", "issue" : "1", "issued" : { "date-parts" : [ [ "1999", "1" ] ] }, "page" : "9-13", "title" : "CD34(+)/interleukin-5Ralpha messenger RNA+ cells in the bronchial mucosa in asthma: potential airway eosinophil progenitors.", "type" : "article-journal", "volume" : "20" }, "uris" : [ "http://www.mendeley.com/documents/?uuid=63f617fb-5d92-4020-8d33-6b265c207a9e" ] }, { "id" : "ITEM-3", "itemData" : { "ISSN" : "0022-1767", "PMID" : "10640772", "abstract" : "Eosinophil differentiation occurs within the bone marrow in response to eosinopoietic cytokines, particularly IL-5. Recently, however, eosinophil precursors (CD34/IL-5Ralpha+ cells) and IL-5 mRNA+ cells have been identified within the lungs of asthmatics, indicating that a population of eosinophils may differentiate in situ. In this report, we examined the presence of eosinophil precursors within allergic nasal mucosa and examined whether they undergo local differentiation following ex vivo stimulation. We cultured human nasal mucosa obtained from individuals with seasonal allergic rhinitis with either specific allergen, recombinant human IL-5 (rhIL-5), or allergen + soluble IL-5Ralpha (sIL-5Ralpha), shown to antagonize IL-5 function. Simultaneous immunocytochemistry and in situ hybridization demonstrated that there were fewer cells coexpressing CD34 immunoreactivity and IL-5Ralpha mRNA following culture with allergen or rhIL-5, compared with medium alone. Immunostaining revealed that the number of major basic protein (MBP) immunoreactive cells (eosinophils) was higher within tissue stimulated with allergen or rhIL-5, compared with unstimulated tissue. In situ hybridization detected an increase in IL-5 mRNA+ cells in sections from tissue cultured with allergen, compared with medium alone. These effects were not observed in tissue cultured with a combination of allergen and sIL-5Ralpha. Colocalization analysis indicated this expression to be mainly, but not exclusively, T cell (44%) and eosinophil (10%) derived. Our findings suggest that a subset of eosinophils may differentiate locally within allergic nasal mucosa, in what appears to be a highly IL-5-dependent fashion, and imply that this process might be regulated in vivo by endogenous production of sIL-5Ralpha.", "author" : [ { "dropping-particle" : "", "family" : "Cameron", "given" : "L", "non-dropping-particle" : "", "parse-names" : false, "suffix" : "" }, { "dropping-particle" : "", "family" : "Christodoulopoulos", "given" : "P", "non-dropping-particle" : "", "parse-names" : false, "suffix" : "" }, { "dropping-particle" : "", "family" : "Lavigne", "given" : "F", "non-dropping-particle" : "", "parse-names" : false, "suffix" : "" }, { "dropping-particle" : "", "family" : "Nakamura", "given" : "Y", "non-dropping-particle" : "", "parse-names" : false, "suffix" : "" }, { "dropping-particle" : "", "family" : "Eidelman", "given" : "D", "non-dropping-particle" : "", "parse-names" : false, "suffix" : "" }, { "dropping-particle" : "", "family" : "McEuen", "given" : "A", "non-dropping-particle" : "", "parse-names" : false, "suffix" : "" }, { "dropping-particle" : "", "family" : "Walls", "given" : "A", "non-dropping-particle" : "", "parse-names" : false, "suffix" : "" }, { "dropping-particle" : "", "family" : "Tavernier", "given" : "J", "non-dropping-particle" : "", "parse-names" : false, "suffix" : "" }, { "dropping-particle" : "", "family" : "Minshall", "given" : "E", "non-dropping-particle" : "", "parse-names" : false, "suffix" : "" }, { "dropping-particle" : "", "family" : "Moqbel", "given" : "R", "non-dropping-particle" : "", "parse-names" : false, "suffix" : "" }, { "dropping-particle" : "", "family" : "Hamid", "given" : "Q", "non-dropping-particle" : "", "parse-names" : false, "suffix" : "" } ], "container-title" : "Journal of immunology (Baltimore, Md. : 1950)", "id" : "ITEM-3", "issue" : "3", "issued" : { "date-parts" : [ [ "2000", "2", "1" ] ] }, "page" : "1538-45", "title" : "Evidence for local eosinophil differentiation within allergic nasal mucosa: inhibition with soluble IL-5 receptor.", "type" : "article-journal", "volume" : "164" }, "uris" : [ "http://www.mendeley.com/documents/?uuid=62a32d09-88ec-447c-8179-04e3501cdd05" ] }, { "id" : "ITEM-4", "itemData" : { "DOI" : "10.1164/rccm.200307-1004OC", "ISSN" : "1073-449X", "PMID" : "14630618", "abstract" : "Eosinophil lineage-committed progenitors increase in the bone marrow of subjects with asthma developing allergen-induced airway hyperresponsiveness and eosinophilia. Also, higher numbers of circulating eosinophil/basophil cfu have been demonstrated 24 hours after allergen inhalation and in bronchial and nasal biopsies of allergic individuals. These cells may undergo in situ eosinophilopoiesis, suggesting that after allergen inhalation, progenitor cells traffic from the bone marrow to the airways, providing an ongoing source of effector cells. To examine this possibility, CD34(+) and CD34(+)IL-5Ralpha(+) cells were measured in induced sputum from allergic subjects with asthma at baseline and at 7 and 24 hours after allergen and diluent inhalation, using flow cytometry. Isolated early responders (n = 9) were contrasted to dual responders (n = 9), who develop allergen-induced sputum and blood eosinophilia and airway hyperresponsiveness, and to normal control subjects. At baseline, there were significantly fewer sputum eosinophils and CD34(+) cells in normal control subjects compared with subjects with asthma. Sputum CD34(+) cells increased at 7 hours after allergen inhalation in both groups of subjects with asthma, which was sustained at 24 hours in the dual responder group only, associated with sustained increases in sputum CD34(+)IL-5Ralpha(+) cells, eosinophils, and interleukin-5. These results indicate that eosinophil progenitors can migrate to the airways and may differentiate toward an eosinophilic phenotype.", "author" : [ { "dropping-particle" : "", "family" : "Dorman", "given" : "Sandra C", "non-dropping-particle" : "", "parse-names" : false, "suffix" : "" }, { "dropping-particle" : "", "family" : "Efthimiadis", "given" : "Ann", "non-dropping-particle" : "", "parse-names" : false, "suffix" : "" }, { "dropping-particle" : "", "family" : "Babirad", "given" : "Irene", "non-dropping-particle" : "", "parse-names" : false, "suffix" : "" }, { "dropping-particle" : "", "family" : "Watson", "given" : "Rick M", "non-dropping-particle" : "", "parse-names" : false, "suffix" : "" }, { "dropping-particle" : "", "family" : "Denburg", "given" : "Judah A", "non-dropping-particle" : "", "parse-names" : false, "suffix" : "" }, { "dropping-particle" : "", "family" : "Hargreave", "given" : "Frederick E", "non-dropping-particle" : "", "parse-names" : false, "suffix" : "" }, { "dropping-particle" : "", "family" : "O'Byrne", "given" : "Paul M", "non-dropping-particle" : "", "parse-names" : false, "suffix" : "" }, { "dropping-particle" : "", "family" : "Sehmi", "given" : "Roma", "non-dropping-particle" : "", "parse-names" : false, "suffix" : "" } ], "container-title" : "American journal of respiratory and critical care medicine", "id" : "ITEM-4", "issue" : "5", "issued" : { "date-parts" : [ [ "2004", "3", "1" ] ] }, "page" : "573-7", "title" : "Sputum CD34+IL-5Ralpha+ cells increase after allergen: evidence for in situ eosinophilopoiesis.", "type" : "article-journal", "volume" : "169" }, "uris" : [ "http://www.mendeley.com/documents/?uuid=cc3992d4-ac1b-4a4f-af6e-720086867e5a" ] }, { "id" : "ITEM-5", "itemData" : { "DOI" : "10.1182/blood-2003-05-1618", "ISSN" : "0006-4971", "PMID" : "14512324", "abstract" : "We hypothesized that the allergen-induced increased number of airway eosinophils results from increased recruitment of eosinophils from bone marrow (BM) and local development of CD34(+) cells into eosinophils. We also assumed that the phenotype of airway eosinophils depends on whether these cells have differentiated within BM or airway. C57BL/6 mice were sensitized and subsequently exposed to ovalbumin (OVA) on 5 consecutive days. Newly produced cells were labeled with a thymidine analog. Clonogenic activity and interleukin 5 (IL-5) release from bronchoalveolar lavage fluid (BALf) CD34(+) cells were evaluated by using cell-culture techniques. Allergen exposure induces increase in CD135(+) primitive myeloid progenitors within the BM CD34(+) cell population, without significant changes in total number of CD34(+) cells or newly produced CD34(+) cells. CD34(+)/IL-5R alpha(+) cells in the first stage of cell differentiation were found only in BM, arguing that early commitment of CD34(+) cells into the eosinophil lineage is restricted to the BM compartment. Allergen exposure induces a shift in differentiation of BM, blood, and BALf eosinophillineage-committed CD34(+) cells toward mature eosinophils and recruitment of these cells via blood into airway. We further demonstrate in vitro that ability to multiply persists in BALf CD34(+) cells but not CD34(-) cells, likely via autocrine IL-5 release and IL-5-induced up-regulation of IL-5R alpha.", "author" : [ { "dropping-particle" : "", "family" : "Sergejeva", "given" : "Svetlana", "non-dropping-particle" : "", "parse-names" : false, "suffix" : "" }, { "dropping-particle" : "", "family" : "Johansson", "given" : "Anna-Karin", "non-dropping-particle" : "", "parse-names" : false, "suffix" : "" }, { "dropping-particle" : "", "family" : "Malmh\u00e4ll", "given" : "Carina", "non-dropping-particle" : "", "parse-names" : false, "suffix" : "" }, { "dropping-particle" : "", "family" : "L\u00f6tvall", "given" : "Jan", "non-dropping-particle" : "", "parse-names" : false, "suffix" : "" } ], "container-title" : "Blood", "id" : "ITEM-5", "issue" : "4", "issued" : { "date-parts" : [ [ "2004", "2", "15" ] ] }, "page" : "1270-7", "title" : "Allergen exposure-induced differences in CD34+ cell phenotype: relationship to eosinophilopoietic responses in different compartments.", "type" : "article-journal", "volume" : "103" }, "uris" : [ "http://www.mendeley.com/documents/?uuid=0e530acb-1854-43de-bb75-0ebdd4754be9" ] }, { "id" : "ITEM-6", "itemData" : { "DOI" : "10.1016/j.jaci.2004.09.022", "ISSN" : "0091-6749", "PMID" : "15637553", "abstract" : "BACKGROUND: There is increasing evidence that hemopoietic progenitor cells may traffic from bone marrow to sites of allergen exposure in asthma and undergo in situ differentiation, contributing to ongoing airway inflammation. However, the isolation and detailed phenotyping of true CD34 + progenitors from lung tissue during an allergen-induced airway eosinophilia has not been performed.\n\nOBJECTIVE: We attempted to isolate and investigate the in vivo kinetics of hemopoietic progenitor cells and production of eosinophilopoietic mediators in the lung.\n\nMETHODS: In a mouse model of allergic airway inflammation, cells were extracted from lung tissue by enzymatic digestion. Total (CD34 + 45 + ) and eosinophil lineage committed (CD34 + 45 + IL-5Ralpha + ) progenitors were enumerated by flow cytometry. Outcome measurements were made 2, 6, 12, 24, 48, and 72 hours and 7 and 14 days after allergen challenge.\n\nRESULTS: Compared with saline control, CD34 + 45 + progenitors were elevated between 6 and 48 hours ( P &lt; .05), attenuated by 72 hours and subsequently increased by 14 days ( P &gt; .05). CD34 + 45 + IL-5Ralpha + progenitors were transiently elevated at 6 hours ( P &lt; .05) before a return to preallergen levels by 12 hours and a subsequent increase at 14 days ( P &lt; .05). Bronchoalveolar lavage eosinophils were increased at 2 hours, peaking at 72 hours ( P &lt; .00625) and declining by 14 days. Both IL-5 and eotaxin levels were increased by 2 hours, peaking at 12 hours ( P &lt; .05) and 24 hours ( P &lt; .05), respectively.\n\nCONCLUSION: We propose that the increase in CD34 + 45 + IL-5Ralpha + cells and the eosinophilopoietic mediators IL-5 and eotaxin in the lung after allergen exposure may promote in situ differentiation of eosinophils that contribute to ongoing allergic airway inflammation.", "author" : [ { "dropping-particle" : "", "family" : "Southam", "given" : "David S", "non-dropping-particle" : "", "parse-names" : false, "suffix" : "" }, { "dropping-particle" : "", "family" : "Widmer", "given" : "Natasha", "non-dropping-particle" : "", "parse-names" : false, "suffix" : "" }, { "dropping-particle" : "", "family" : "Ellis", "given" : "Russ", "non-dropping-particle" : "", "parse-names" : false, "suffix" : "" }, { "dropping-particle" : "", "family" : "Hirota", "given" : "Jeremy A", "non-dropping-particle" : "", "parse-names" : false, "suffix" : "" }, { "dropping-particle" : "", "family" : "Inman", "given" : "Mark D", "non-dropping-particle" : "", "parse-names" : false, "suffix" : "" }, { "dropping-particle" : "", "family" : "Sehmi", "given" : "Roma", "non-dropping-particle" : "", "parse-names" : false, "suffix" : "" } ], "container-title" : "The Journal of allergy and clinical immunology", "id" : "ITEM-6", "issue" : "1", "issued" : { "date-parts" : [ [ "2005", "1" ] ] }, "page" : "95-102", "title" : "Increased eosinophil-lineage committed progenitors in the lung of allergen-challenged mice.", "type" : "article-journal", "volume" : "115" }, "uris" : [ "http://www.mendeley.com/documents/?uuid=53b43284-c9b7-4a31-b7ba-66704e05daba" ] } ], "mendeley" : { "formattedCitation" : "(Cameron et al., 2000; Dorman et al., 2004; D. S. Robinson et al., 1999; R Sehmi et al., 1996; Sergejeva, Johansson, Malmh\u00e4ll, &amp; L\u00f6tvall, 2004; Southam et al., 2005)", "plainTextFormattedCitation" : "(Cameron et al., 2000; Dorman et al., 2004; D. S. Robinson et al., 1999; R Sehmi et al., 1996; Sergejeva, Johansson, Malmh\u00e4ll, &amp; L\u00f6tvall, 2004; Southam et al., 2005)", "previouslyFormattedCitation" : "(Cameron et al., 2000; Dorman et al., 2004; D. S. Robinson et al., 1999; R Sehmi et al., 1996; Sergejeva, Johansson, Malmh\u00e4ll, &amp; L\u00f6tvall, 2004; Southam et al., 2005)" }, "properties" : { "noteIndex" : 0 }, "schema" : "https://github.com/citation-style-language/schema/raw/master/csl-citation.json" }</w:instrText>
      </w:r>
      <w:r w:rsidR="00FF7407">
        <w:rPr>
          <w:rFonts w:ascii="Calibri" w:hAnsi="Calibri" w:cs="Arial"/>
          <w:lang w:val="en-GB"/>
        </w:rPr>
        <w:fldChar w:fldCharType="separate"/>
      </w:r>
      <w:r w:rsidR="00FF7407" w:rsidRPr="00FF7407">
        <w:rPr>
          <w:rFonts w:ascii="Calibri" w:hAnsi="Calibri" w:cs="Arial"/>
          <w:noProof/>
          <w:lang w:val="en-GB"/>
        </w:rPr>
        <w:t>(Cameron et al., 2000; Dorman et al., 2004; D. S. Robinson et al., 1999; R Sehmi et al., 1996; Sergejeva, Johansson, Malmhäll, &amp; Lötvall, 2004; Southam et al., 2005)</w:t>
      </w:r>
      <w:r w:rsidR="00FF7407">
        <w:rPr>
          <w:rFonts w:ascii="Calibri" w:hAnsi="Calibri" w:cs="Arial"/>
          <w:lang w:val="en-GB"/>
        </w:rPr>
        <w:fldChar w:fldCharType="end"/>
      </w:r>
      <w:r w:rsidR="00FF7407">
        <w:rPr>
          <w:rFonts w:ascii="Calibri" w:hAnsi="Calibri" w:cs="Arial"/>
          <w:lang w:val="en-GB"/>
        </w:rPr>
        <w:t>. HPCs</w:t>
      </w:r>
      <w:r w:rsidR="00C5742D">
        <w:rPr>
          <w:rFonts w:ascii="Calibri" w:hAnsi="Calibri" w:cs="Arial"/>
          <w:lang w:val="en-GB"/>
        </w:rPr>
        <w:t xml:space="preserve"> </w:t>
      </w:r>
      <w:r w:rsidR="00C5742D">
        <w:rPr>
          <w:rFonts w:ascii="Calibri" w:hAnsi="Calibri" w:cs="Arial"/>
          <w:lang w:val="en-GB"/>
        </w:rPr>
        <w:lastRenderedPageBreak/>
        <w:t>express the receptors CCR3 and IL-5R, and</w:t>
      </w:r>
      <w:r w:rsidR="00394ACA">
        <w:rPr>
          <w:rFonts w:ascii="Calibri" w:hAnsi="Calibri" w:cs="Arial"/>
          <w:lang w:val="en-GB"/>
        </w:rPr>
        <w:t xml:space="preserve"> differentiate into eosinophils</w:t>
      </w:r>
      <w:r w:rsidR="00C5742D">
        <w:rPr>
          <w:rFonts w:ascii="Calibri" w:hAnsi="Calibri" w:cs="Arial"/>
          <w:lang w:val="en-GB"/>
        </w:rPr>
        <w:t xml:space="preserve"> in response to their activation</w:t>
      </w:r>
      <w:r w:rsidR="004725F1">
        <w:rPr>
          <w:rFonts w:ascii="Calibri" w:hAnsi="Calibri" w:cs="Arial"/>
          <w:lang w:val="en-GB"/>
        </w:rPr>
        <w:t xml:space="preserve"> </w:t>
      </w:r>
      <w:r w:rsidR="00C267FD">
        <w:rPr>
          <w:rFonts w:ascii="Calibri" w:hAnsi="Calibri" w:cs="Arial"/>
          <w:lang w:val="en-GB"/>
        </w:rPr>
        <w:fldChar w:fldCharType="begin" w:fldLock="1"/>
      </w:r>
      <w:r w:rsidR="00E7686F">
        <w:rPr>
          <w:rFonts w:ascii="Calibri" w:hAnsi="Calibri" w:cs="Arial"/>
          <w:lang w:val="en-GB"/>
        </w:rPr>
        <w:instrText>ADDIN CSL_CITATION { "citationItems" : [ { "id" : "ITEM-1", "itemData" : { "ISSN" : "0019-2805", "PMID" : "12871220", "abstract" : "There is increasing evidence that primitive progenitors migrate from the bone marrow (BM) via the peripheral circulation to tissue sites where they undergo in situ differentiation to provide a continued source of effector cells, such as eosinophils, during an allergic inflammatory response. To study mechanisms of progenitor cell mobilization in allergic reactions, we investigated fluctuations in the expression of the eotaxin receptor, CC chemokine receptor 3 (CCR3), on CD34+ cells from stable asthmatics following allergen (i.e. antigen) challenge. BM aspirates were taken from seven early responder (ER) and 10 dual responder (DR) asthmatics who, following antigen challenge developed only an early bronchoconstrictor response and an early and late- bronchoconstrictor response, respectively. Expression of CCR3 was detected on primitive (CD34+ cells) and eosinophil-lineage committed progenitors (CD34+ interleukin-5 receptor alpha-subunit+ cells) by flow cytometry and confirmed by co-localization of CCR3 messenger RNA to CD34 immunopositive cells using in situ hybridization. When preantigen levels were compared to 24-hr postantigen levels, significant increases in BM CD34+ CCR3+ cells were detected in DR, who also developed a significant sputum and blood eosinophilia and increased methacholine airway responsiveness. In contrast, a significant attenuation of BM CD34+ CCR3+ cells was observed in ER. In a dose-dependent manner eotaxin, but not interleukin (IL)-5, stimulated CD34+ progenitor cell migration in vitro. This migrational response to eotaxin was abrogated by anti-CCR3 monoclonal antibody and primed by preincubation with IL-5. We propose that fluctuations in CCR3 expression on human BM CD34+ cells may facilitate chemokine-mediated progenitor cell mobilization to the peripheral circulation and the resultant development of pulmonary eosinophilia, a cardinal feature of asthma.", "author" : [ { "dropping-particle" : "", "family" : "Sehmi", "given" : "Roma", "non-dropping-particle" : "", "parse-names" : false, "suffix" : "" }, { "dropping-particle" : "", "family" : "Dorman", "given" : "Sandra", "non-dropping-particle" : "", "parse-names" : false, "suffix" : "" }, { "dropping-particle" : "", "family" : "Baatjes", "given" : "Adrian", "non-dropping-particle" : "", "parse-names" : false, "suffix" : "" }, { "dropping-particle" : "", "family" : "Watson", "given" : "Rick", "non-dropping-particle" : "", "parse-names" : false, "suffix" : "" }, { "dropping-particle" : "", "family" : "Foley", "given" : "Ronan", "non-dropping-particle" : "", "parse-names" : false, "suffix" : "" }, { "dropping-particle" : "", "family" : "Ying", "given" : "Sun", "non-dropping-particle" : "", "parse-names" : false, "suffix" : "" }, { "dropping-particle" : "", "family" : "Robinson", "given" : "Douglas S", "non-dropping-particle" : "", "parse-names" : false, "suffix" : "" }, { "dropping-particle" : "", "family" : "Kay", "given" : "A Barry", "non-dropping-particle" : "", "parse-names" : false, "suffix" : "" }, { "dropping-particle" : "", "family" : "O'Byrne", "given" : "Paul M", "non-dropping-particle" : "", "parse-names" : false, "suffix" : "" }, { "dropping-particle" : "", "family" : "Denburg", "given" : "Judah A", "non-dropping-particle" : "", "parse-names" : false, "suffix" : "" } ], "container-title" : "Immunology", "id" : "ITEM-1", "issue" : "4", "issued" : { "date-parts" : [ [ "2003", "8" ] ] }, "page" : "536-46", "title" : "Allergen-induced fluctuation in CC chemokine receptor 3 expression on bone marrow CD34+ cells from asthmatic subjects: significance for mobilization of haemopoietic progenitor cells in allergic inflammation.", "type" : "article-journal", "volume" : "109" }, "uris" : [ "http://www.mendeley.com/documents/?uuid=66ace3db-40da-45de-92b8-d8892477f052" ] }, { "id" : "ITEM-2", "itemData" : { "DOI" : "10.1164/rccm.200307-1004OC", "ISSN" : "1073-449X", "PMID" : "14630618", "abstract" : "Eosinophil lineage-committed progenitors increase in the bone marrow of subjects with asthma developing allergen-induced airway hyperresponsiveness and eosinophilia. Also, higher numbers of circulating eosinophil/basophil cfu have been demonstrated 24 hours after allergen inhalation and in bronchial and nasal biopsies of allergic individuals. These cells may undergo in situ eosinophilopoiesis, suggesting that after allergen inhalation, progenitor cells traffic from the bone marrow to the airways, providing an ongoing source of effector cells. To examine this possibility, CD34(+) and CD34(+)IL-5Ralpha(+) cells were measured in induced sputum from allergic subjects with asthma at baseline and at 7 and 24 hours after allergen and diluent inhalation, using flow cytometry. Isolated early responders (n = 9) were contrasted to dual responders (n = 9), who develop allergen-induced sputum and blood eosinophilia and airway hyperresponsiveness, and to normal control subjects. At baseline, there were significantly fewer sputum eosinophils and CD34(+) cells in normal control subjects compared with subjects with asthma. Sputum CD34(+) cells increased at 7 hours after allergen inhalation in both groups of subjects with asthma, which was sustained at 24 hours in the dual responder group only, associated with sustained increases in sputum CD34(+)IL-5Ralpha(+) cells, eosinophils, and interleukin-5. These results indicate that eosinophil progenitors can migrate to the airways and may differentiate toward an eosinophilic phenotype.", "author" : [ { "dropping-particle" : "", "family" : "Dorman", "given" : "Sandra C", "non-dropping-particle" : "", "parse-names" : false, "suffix" : "" }, { "dropping-particle" : "", "family" : "Efthimiadis", "given" : "Ann", "non-dropping-particle" : "", "parse-names" : false, "suffix" : "" }, { "dropping-particle" : "", "family" : "Babirad", "given" : "Irene", "non-dropping-particle" : "", "parse-names" : false, "suffix" : "" }, { "dropping-particle" : "", "family" : "Watson", "given" : "Rick M", "non-dropping-particle" : "", "parse-names" : false, "suffix" : "" }, { "dropping-particle" : "", "family" : "Denburg", "given" : "Judah A", "non-dropping-particle" : "", "parse-names" : false, "suffix" : "" }, { "dropping-particle" : "", "family" : "Hargreave", "given" : "Frederick E", "non-dropping-particle" : "", "parse-names" : false, "suffix" : "" }, { "dropping-particle" : "", "family" : "O'Byrne", "given" : "Paul M", "non-dropping-particle" : "", "parse-names" : false, "suffix" : "" }, { "dropping-particle" : "", "family" : "Sehmi", "given" : "Roma", "non-dropping-particle" : "", "parse-names" : false, "suffix" : "" } ], "container-title" : "American journal of respiratory and critical care medicine", "id" : "ITEM-2", "issue" : "5", "issued" : { "date-parts" : [ [ "2004", "3", "1" ] ] }, "page" : "573-7", "title" : "Sputum CD34+IL-5Ralpha+ cells increase after allergen: evidence for in situ eosinophilopoiesis.", "type" : "article-journal", "volume" : "169" }, "uris" : [ "http://www.mendeley.com/documents/?uuid=cc3992d4-ac1b-4a4f-af6e-720086867e5a" ] }, { "id" : "ITEM-3", "itemData" : { "DOI" : "10.1172/JCI119789", "ISSN" : "0021-9738", "PMID" : "9366561", "abstract" : "We have proposed previously that hemopoietic myeloid progenitors contribute to the ongoing recruitment of proinflammatory cells, namely eosinophils, to sites of allergen challenge in allergic diseases such as asthma. In this study, we investigated the involvement of bone marrow-derived progenitors in the development of allergen-induced pulmonary inflammation in mild asthmatic subjects. By flow cytometry, we enumerated the level of expression of CD34, a hemopoietic progenitor cell marker, on bone marrow aspirates taken before and 24 h after allergen challenge. In addition, the coexpression of the alpha-subunits of IL-3 receptor (IL-3R) and IL-5 receptor (IL-5R) on CD34+ cells was investigated. After allergen-challenge, although no significant change in total BM CD34+ cell numbers was observed, a significant increase in the proportion of CD34+ cells expressing IL-5R alpha, but not IL-3R alpha, was detected in the 24-h post-allergen, compared with the pre-allergen bone marrow. This was associated with a significant blood and sputum eosinophilia and increased methacholine airway responsiveness, 24 h post-allergen. Using simultaneous in situ hybridization and immunocytochemistry, we colocalized the expression of messenger RNA for membrane-bound IL-5R alpha to CD34+ cells. In summary, our data suggest that increased expression of IL-5R alpha on CD34+ cells favors eosinophilopoiesis and may thus contribute to the subsequent development of blood and tissue eosinophilia, a hallmark of allergic inflammation.", "author" : [ { "dropping-particle" : "", "family" : "Sehmi", "given" : "R", "non-dropping-particle" : "", "parse-names" : false, "suffix" : "" }, { "dropping-particle" : "", "family" : "Wood", "given" : "L J", "non-dropping-particle" : "", "parse-names" : false, "suffix" : "" }, { "dropping-particle" : "", "family" : "Watson", "given" : "R", "non-dropping-particle" : "", "parse-names" : false, "suffix" : "" }, { "dropping-particle" : "", "family" : "Foley", "given" : "R", "non-dropping-particle" : "", "parse-names" : false, "suffix" : "" }, { "dropping-particle" : "", "family" : "Hamid", "given" : "Q", "non-dropping-particle" : "", "parse-names" : false, "suffix" : "" }, { "dropping-particle" : "", "family" : "O'Byrne", "given" : "P M", "non-dropping-particle" : "", "parse-names" : false, "suffix" : "" }, { "dropping-particle" : "", "family" : "Denburg", "given" : "J A", "non-dropping-particle" : "", "parse-names" : false, "suffix" : "" } ], "container-title" : "The Journal of clinical investigation", "id" : "ITEM-3", "issue" : "10", "issued" : { "date-parts" : [ [ "1997", "11", "15" ] ] }, "page" : "2466-75", "title" : "Allergen-induced increases in IL-5 receptor alpha-subunit expression on bone marrow-derived CD34+ cells from asthmatic subjects. A novel marker of progenitor cell commitment towards eosinophilic differentiation.", "type" : "article-journal", "volume" : "100" }, "uris" : [ "http://www.mendeley.com/documents/?uuid=e021712f-6ee9-4dc0-9085-9fbef5132e5a" ] } ], "mendeley" : { "formattedCitation" : "(Dorman et al., 2004; R Sehmi et al., 1997; Roma Sehmi et al., 2003)", "plainTextFormattedCitation" : "(Dorman et al., 2004; R Sehmi et al., 1997; Roma Sehmi et al., 2003)", "previouslyFormattedCitation" : "(Dorman et al., 2004; R Sehmi et al., 1997; Roma Sehmi et al., 2003)" }, "properties" : { "noteIndex" : 0 }, "schema" : "https://github.com/citation-style-language/schema/raw/master/csl-citation.json" }</w:instrText>
      </w:r>
      <w:r w:rsidR="00C267FD">
        <w:rPr>
          <w:rFonts w:ascii="Calibri" w:hAnsi="Calibri" w:cs="Arial"/>
          <w:lang w:val="en-GB"/>
        </w:rPr>
        <w:fldChar w:fldCharType="separate"/>
      </w:r>
      <w:r w:rsidR="00C267FD" w:rsidRPr="00C267FD">
        <w:rPr>
          <w:rFonts w:ascii="Calibri" w:hAnsi="Calibri" w:cs="Arial"/>
          <w:noProof/>
          <w:lang w:val="en-GB"/>
        </w:rPr>
        <w:t>(Dorman et al., 2004; R Sehmi et al., 1997; Roma Sehmi et al., 2003)</w:t>
      </w:r>
      <w:r w:rsidR="00C267FD">
        <w:rPr>
          <w:rFonts w:ascii="Calibri" w:hAnsi="Calibri" w:cs="Arial"/>
          <w:lang w:val="en-GB"/>
        </w:rPr>
        <w:fldChar w:fldCharType="end"/>
      </w:r>
      <w:r w:rsidR="00C5742D">
        <w:rPr>
          <w:rFonts w:ascii="Calibri" w:hAnsi="Calibri" w:cs="Arial"/>
          <w:lang w:val="en-GB"/>
        </w:rPr>
        <w:t>. Eosinophils are</w:t>
      </w:r>
      <w:r w:rsidR="00394ACA">
        <w:rPr>
          <w:rFonts w:ascii="Calibri" w:hAnsi="Calibri" w:cs="Arial"/>
          <w:lang w:val="en-GB"/>
        </w:rPr>
        <w:t xml:space="preserve"> a cell type hallmark of allergic responses</w:t>
      </w:r>
      <w:r w:rsidR="00C5742D">
        <w:rPr>
          <w:rFonts w:ascii="Calibri" w:hAnsi="Calibri" w:cs="Arial"/>
          <w:lang w:val="en-GB"/>
        </w:rPr>
        <w:t xml:space="preserve"> </w:t>
      </w:r>
      <w:r w:rsidR="00C5742D">
        <w:rPr>
          <w:rFonts w:ascii="Calibri" w:hAnsi="Calibri" w:cs="Arial"/>
          <w:lang w:val="en-GB"/>
        </w:rPr>
        <w:fldChar w:fldCharType="begin" w:fldLock="1"/>
      </w:r>
      <w:r w:rsidR="00C5742D">
        <w:rPr>
          <w:rFonts w:ascii="Calibri" w:hAnsi="Calibri" w:cs="Arial"/>
          <w:lang w:val="en-GB"/>
        </w:rPr>
        <w:instrText>ADDIN CSL_CITATION { "citationItems" : [ { "id" : "ITEM-1", "itemData" : { "DOI" : "10.1016/S0140-6736(06)69290-8", "ISSN" : "1474-547X", "PMID" : "16935691", "abstract" : "The common disease asthma is probably not a single disease, but rather a complex of multiple, separate syndromes that overlap. Although clinicians have recognised these different phenotypes for many years, they have remained poorly characterised, with little known about the underlying pathobiology contributing to them. Development of targeted therapies for asthma, and phenotype-specific clinical trials have raised interest in these phenotypes. Improved understanding of these phenotypes in complex diseases such as asthma will also improve our ability to link specific genotypes to their associated disease, which should help development of biomarkers. However, there is no standardised method to define asthma phenotypes. This Review analyses some of the methods that have been used to define asthma phenotypes and proposes an integrated method of classification to improve our understanding of these phenotypes.", "author" : [ { "dropping-particle" : "", "family" : "Wenzel", "given" : "Sally E", "non-dropping-particle" : "", "parse-names" : false, "suffix" : "" } ], "container-title" : "Lancet (London, England)", "id" : "ITEM-1", "issue" : "9537", "issued" : { "date-parts" : [ [ "2006", "8", "26" ] ] }, "page" : "804-13", "title" : "Asthma: defining of the persistent adult phenotypes.", "type" : "article-journal", "volume" : "368" }, "uris" : [ "http://www.mendeley.com/documents/?uuid=92ed684d-1083-4c96-885f-f52b748a2f6a" ] } ], "mendeley" : { "formattedCitation" : "(Wenzel, 2006)", "plainTextFormattedCitation" : "(Wenzel, 2006)", "previouslyFormattedCitation" : "(Wenzel, 2006)" }, "properties" : { "noteIndex" : 0 }, "schema" : "https://github.com/citation-style-language/schema/raw/master/csl-citation.json" }</w:instrText>
      </w:r>
      <w:r w:rsidR="00C5742D">
        <w:rPr>
          <w:rFonts w:ascii="Calibri" w:hAnsi="Calibri" w:cs="Arial"/>
          <w:lang w:val="en-GB"/>
        </w:rPr>
        <w:fldChar w:fldCharType="separate"/>
      </w:r>
      <w:r w:rsidR="00C5742D" w:rsidRPr="00C5742D">
        <w:rPr>
          <w:rFonts w:ascii="Calibri" w:hAnsi="Calibri" w:cs="Arial"/>
          <w:noProof/>
          <w:lang w:val="en-GB"/>
        </w:rPr>
        <w:t>(Wenzel, 2006)</w:t>
      </w:r>
      <w:r w:rsidR="00C5742D">
        <w:rPr>
          <w:rFonts w:ascii="Calibri" w:hAnsi="Calibri" w:cs="Arial"/>
          <w:lang w:val="en-GB"/>
        </w:rPr>
        <w:fldChar w:fldCharType="end"/>
      </w:r>
      <w:r w:rsidR="00394ACA">
        <w:rPr>
          <w:rFonts w:ascii="Calibri" w:hAnsi="Calibri" w:cs="Arial"/>
          <w:lang w:val="en-GB"/>
        </w:rPr>
        <w:t>, whose concentration in the lung correlates with asthmatic disease severity</w:t>
      </w:r>
      <w:r w:rsidR="00C5742D">
        <w:rPr>
          <w:rFonts w:ascii="Calibri" w:hAnsi="Calibri" w:cs="Arial"/>
          <w:lang w:val="en-GB"/>
        </w:rPr>
        <w:t xml:space="preserve"> </w:t>
      </w:r>
      <w:r w:rsidR="00C5742D">
        <w:rPr>
          <w:rFonts w:ascii="Calibri" w:hAnsi="Calibri" w:cs="Arial"/>
          <w:lang w:val="en-GB"/>
        </w:rPr>
        <w:fldChar w:fldCharType="begin" w:fldLock="1"/>
      </w:r>
      <w:r w:rsidR="00C5742D">
        <w:rPr>
          <w:rFonts w:ascii="Calibri" w:hAnsi="Calibri" w:cs="Arial"/>
          <w:lang w:val="en-GB"/>
        </w:rPr>
        <w:instrText>ADDIN CSL_CITATION { "citationItems" : [ { "id" : "ITEM-1", "itemData" : { "DOI" : "10.1056/NEJM199010113231505", "ISSN" : "0028-4793", "PMID" : "2215562", "abstract" : "BACKGROUND AND METHODS: The importance of eosinophils in the pathogenesis of bronchial asthma is not established. In an attempt to evaluate the role of eosinophilic inflammation in asthma, we compared 10 normal subjects with 43 patients with chronic asthma, 19 of whom had severe disease as assessed by a clinical scoring method described by Aas and by pulmonary-function tests. Eosinophils were counted in peripheral blood and bronchoalveolar-lavage fluid, and in biopsy specimens obtained from the patients and post mortem from 8 subjects without asthma, but not from the 10 normal controls. Eosinophil cationic protein was titrated by radioimmunoassay in the bronchoalveolar-lavage fluid from all subjects and studied by immunohistochemistry in the biopsy specimens.\n\nRESULTS: There was a significant increase in the number of peripheral-blood eosinophils in the patients that was correlated with the clinical severity of asthma (P less than 0.001) and pulmonary function (P less than 0.03). Levels of eosinophils and eosinophil cationic protein were increased in the bronchoalveolar-lavage fluid from the patients and were also correlated with the severity of asthma (P less than 0.001 and P less than 0.002, respectively). Hematoxylin-eosin staining of bronchial-biopsy specimens showed that intraepithelial eosinophils were present only in patients with asthma. Immunohistochemical analysis of eosinophil cationic protein revealed that normal subjects had only a few nondegranulated eosinophils deep in the submucosa, whereas all the patients had degranulated eosinophils beneath the basement membrane and among epithelial cells. In some patients there was a relation between the presence of degranulated eosinophils and epithelial damage.\n\nCONCLUSIONS: Eosinophilic inflammation of the airways is correlated with the severity of asthma. These cells are likely to play a part in the epithelial damage seen in this disease.", "author" : [ { "dropping-particle" : "", "family" : "Bousquet", "given" : "J", "non-dropping-particle" : "", "parse-names" : false, "suffix" : "" }, { "dropping-particle" : "", "family" : "Chanez", "given" : "P", "non-dropping-particle" : "", "parse-names" : false, "suffix" : "" }, { "dropping-particle" : "", "family" : "Lacoste", "given" : "J Y", "non-dropping-particle" : "", "parse-names" : false, "suffix" : "" }, { "dropping-particle" : "", "family" : "Barn\u00e9on", "given" : "G", "non-dropping-particle" : "", "parse-names" : false, "suffix" : "" }, { "dropping-particle" : "", "family" : "Ghavanian", "given" : "N", "non-dropping-particle" : "", "parse-names" : false, "suffix" : "" }, { "dropping-particle" : "", "family" : "Enander", "given" : "I", "non-dropping-particle" : "", "parse-names" : false, "suffix" : "" }, { "dropping-particle" : "", "family" : "Venge", "given" : "P", "non-dropping-particle" : "", "parse-names" : false, "suffix" : "" }, { "dropping-particle" : "", "family" : "Ahlstedt", "given" : "S", "non-dropping-particle" : "", "parse-names" : false, "suffix" : "" }, { "dropping-particle" : "", "family" : "Simony-Lafontaine", "given" : "J", "non-dropping-particle" : "", "parse-names" : false, "suffix" : "" }, { "dropping-particle" : "", "family" : "Godard", "given" : "P", "non-dropping-particle" : "", "parse-names" : false, "suffix" : "" } ], "container-title" : "The New England journal of medicine", "id" : "ITEM-1", "issue" : "15", "issued" : { "date-parts" : [ [ "1990", "10", "11" ] ] }, "page" : "1033-9", "title" : "Eosinophilic inflammation in asthma.", "type" : "article-journal", "volume" : "323" }, "uris" : [ "http://www.mendeley.com/documents/?uuid=9754262a-ac83-45d6-a870-9284881bac5e" ] } ], "mendeley" : { "formattedCitation" : "(Bousquet et al., 1990)", "plainTextFormattedCitation" : "(Bousquet et al., 1990)", "previouslyFormattedCitation" : "(Bousquet et al., 1990)" }, "properties" : { "noteIndex" : 0 }, "schema" : "https://github.com/citation-style-language/schema/raw/master/csl-citation.json" }</w:instrText>
      </w:r>
      <w:r w:rsidR="00C5742D">
        <w:rPr>
          <w:rFonts w:ascii="Calibri" w:hAnsi="Calibri" w:cs="Arial"/>
          <w:lang w:val="en-GB"/>
        </w:rPr>
        <w:fldChar w:fldCharType="separate"/>
      </w:r>
      <w:r w:rsidR="00C5742D" w:rsidRPr="00C5742D">
        <w:rPr>
          <w:rFonts w:ascii="Calibri" w:hAnsi="Calibri" w:cs="Arial"/>
          <w:noProof/>
          <w:lang w:val="en-GB"/>
        </w:rPr>
        <w:t>(Bousquet et al., 1990)</w:t>
      </w:r>
      <w:r w:rsidR="00C5742D">
        <w:rPr>
          <w:rFonts w:ascii="Calibri" w:hAnsi="Calibri" w:cs="Arial"/>
          <w:lang w:val="en-GB"/>
        </w:rPr>
        <w:fldChar w:fldCharType="end"/>
      </w:r>
      <w:r w:rsidR="00394ACA">
        <w:rPr>
          <w:rFonts w:ascii="Calibri" w:hAnsi="Calibri" w:cs="Arial"/>
          <w:lang w:val="en-GB"/>
        </w:rPr>
        <w:t xml:space="preserve">. </w:t>
      </w:r>
      <w:r w:rsidR="00C5742D">
        <w:rPr>
          <w:rFonts w:ascii="Calibri" w:hAnsi="Calibri" w:cs="Arial"/>
          <w:lang w:val="en-GB"/>
        </w:rPr>
        <w:t xml:space="preserve">In asthmatic disease, </w:t>
      </w:r>
      <w:r w:rsidR="00FF7407">
        <w:rPr>
          <w:rFonts w:ascii="Calibri" w:hAnsi="Calibri" w:cs="Arial"/>
          <w:lang w:val="en-GB"/>
        </w:rPr>
        <w:t>HPCs</w:t>
      </w:r>
      <w:r w:rsidR="00394ACA">
        <w:rPr>
          <w:rFonts w:ascii="Calibri" w:hAnsi="Calibri" w:cs="Arial"/>
          <w:lang w:val="en-GB"/>
        </w:rPr>
        <w:t xml:space="preserve"> overexpress the</w:t>
      </w:r>
      <w:r w:rsidR="004725F1">
        <w:rPr>
          <w:rFonts w:ascii="Calibri" w:hAnsi="Calibri" w:cs="Arial"/>
          <w:lang w:val="en-GB"/>
        </w:rPr>
        <w:t>se</w:t>
      </w:r>
      <w:r w:rsidR="00394ACA">
        <w:rPr>
          <w:rFonts w:ascii="Calibri" w:hAnsi="Calibri" w:cs="Arial"/>
          <w:lang w:val="en-GB"/>
        </w:rPr>
        <w:t xml:space="preserve"> receptors </w:t>
      </w:r>
      <w:r w:rsidR="0054346A">
        <w:rPr>
          <w:rFonts w:ascii="Calibri" w:hAnsi="Calibri" w:cs="Arial"/>
          <w:lang w:val="en-GB"/>
        </w:rPr>
        <w:fldChar w:fldCharType="begin" w:fldLock="1"/>
      </w:r>
      <w:r w:rsidR="000D5E1B">
        <w:rPr>
          <w:rFonts w:ascii="Calibri" w:hAnsi="Calibri" w:cs="Arial"/>
          <w:lang w:val="en-GB"/>
        </w:rPr>
        <w:instrText>ADDIN CSL_CITATION { "citationItems" : [ { "id" : "ITEM-1", "itemData" : { "DOI" : "10.1172/JCI119789", "ISSN" : "0021-9738", "PMID" : "9366561", "abstract" : "We have proposed previously that hemopoietic myeloid progenitors contribute to the ongoing recruitment of proinflammatory cells, namely eosinophils, to sites of allergen challenge in allergic diseases such as asthma. In this study, we investigated the involvement of bone marrow-derived progenitors in the development of allergen-induced pulmonary inflammation in mild asthmatic subjects. By flow cytometry, we enumerated the level of expression of CD34, a hemopoietic progenitor cell marker, on bone marrow aspirates taken before and 24 h after allergen challenge. In addition, the coexpression of the alpha-subunits of IL-3 receptor (IL-3R) and IL-5 receptor (IL-5R) on CD34+ cells was investigated. After allergen-challenge, although no significant change in total BM CD34+ cell numbers was observed, a significant increase in the proportion of CD34+ cells expressing IL-5R alpha, but not IL-3R alpha, was detected in the 24-h post-allergen, compared with the pre-allergen bone marrow. This was associated with a significant blood and sputum eosinophilia and increased methacholine airway responsiveness, 24 h post-allergen. Using simultaneous in situ hybridization and immunocytochemistry, we colocalized the expression of messenger RNA for membrane-bound IL-5R alpha to CD34+ cells. In summary, our data suggest that increased expression of IL-5R alpha on CD34+ cells favors eosinophilopoiesis and may thus contribute to the subsequent development of blood and tissue eosinophilia, a hallmark of allergic inflammation.", "author" : [ { "dropping-particle" : "", "family" : "Sehmi", "given" : "R", "non-dropping-particle" : "", "parse-names" : false, "suffix" : "" }, { "dropping-particle" : "", "family" : "Wood", "given" : "L J", "non-dropping-particle" : "", "parse-names" : false, "suffix" : "" }, { "dropping-particle" : "", "family" : "Watson", "given" : "R", "non-dropping-particle" : "", "parse-names" : false, "suffix" : "" }, { "dropping-particle" : "", "family" : "Foley", "given" : "R", "non-dropping-particle" : "", "parse-names" : false, "suffix" : "" }, { "dropping-particle" : "", "family" : "Hamid", "given" : "Q", "non-dropping-particle" : "", "parse-names" : false, "suffix" : "" }, { "dropping-particle" : "", "family" : "O'Byrne", "given" : "P M", "non-dropping-particle" : "", "parse-names" : false, "suffix" : "" }, { "dropping-particle" : "", "family" : "Denburg", "given" : "J A", "non-dropping-particle" : "", "parse-names" : false, "suffix" : "" } ], "container-title" : "The Journal of clinical investigation", "id" : "ITEM-1", "issue" : "10", "issued" : { "date-parts" : [ [ "1997", "11", "15" ] ] }, "page" : "2466-75", "title" : "Allergen-induced increases in IL-5 receptor alpha-subunit expression on bone marrow-derived CD34+ cells from asthmatic subjects. A novel marker of progenitor cell commitment towards eosinophilic differentiation.", "type" : "article-journal", "volume" : "100" }, "uris" : [ "http://www.mendeley.com/documents/?uuid=e021712f-6ee9-4dc0-9085-9fbef5132e5a" ] } ], "mendeley" : { "formattedCitation" : "(R Sehmi et al., 1997)", "plainTextFormattedCitation" : "(R Sehmi et al., 1997)", "previouslyFormattedCitation" : "(R Sehmi et al., 1997)" }, "properties" : { "noteIndex" : 0 }, "schema" : "https://github.com/citation-style-language/schema/raw/master/csl-citation.json" }</w:instrText>
      </w:r>
      <w:r w:rsidR="0054346A">
        <w:rPr>
          <w:rFonts w:ascii="Calibri" w:hAnsi="Calibri" w:cs="Arial"/>
          <w:lang w:val="en-GB"/>
        </w:rPr>
        <w:fldChar w:fldCharType="separate"/>
      </w:r>
      <w:r w:rsidR="007248F5" w:rsidRPr="007248F5">
        <w:rPr>
          <w:rFonts w:ascii="Calibri" w:hAnsi="Calibri" w:cs="Arial"/>
          <w:noProof/>
          <w:lang w:val="en-GB"/>
        </w:rPr>
        <w:t>(R Sehmi et al., 1997)</w:t>
      </w:r>
      <w:r w:rsidR="0054346A">
        <w:rPr>
          <w:rFonts w:ascii="Calibri" w:hAnsi="Calibri" w:cs="Arial"/>
          <w:lang w:val="en-GB"/>
        </w:rPr>
        <w:fldChar w:fldCharType="end"/>
      </w:r>
      <w:r w:rsidR="0054346A">
        <w:rPr>
          <w:rFonts w:ascii="Calibri" w:hAnsi="Calibri" w:cs="Arial"/>
          <w:lang w:val="en-GB"/>
        </w:rPr>
        <w:t xml:space="preserve">, </w:t>
      </w:r>
      <w:r w:rsidR="00394ACA">
        <w:rPr>
          <w:rFonts w:ascii="Calibri" w:hAnsi="Calibri" w:cs="Arial"/>
          <w:lang w:val="en-GB"/>
        </w:rPr>
        <w:t>parall</w:t>
      </w:r>
      <w:r w:rsidR="004725F1">
        <w:rPr>
          <w:rFonts w:ascii="Calibri" w:hAnsi="Calibri" w:cs="Arial"/>
          <w:lang w:val="en-GB"/>
        </w:rPr>
        <w:t>el to</w:t>
      </w:r>
      <w:r w:rsidR="00394ACA">
        <w:rPr>
          <w:rFonts w:ascii="Calibri" w:hAnsi="Calibri" w:cs="Arial"/>
          <w:lang w:val="en-GB"/>
        </w:rPr>
        <w:t xml:space="preserve"> </w:t>
      </w:r>
      <w:r w:rsidR="00FF7407">
        <w:rPr>
          <w:rFonts w:ascii="Calibri" w:hAnsi="Calibri" w:cs="Arial"/>
          <w:lang w:val="en-GB"/>
        </w:rPr>
        <w:t xml:space="preserve">the </w:t>
      </w:r>
      <w:r w:rsidR="00394ACA">
        <w:rPr>
          <w:rFonts w:ascii="Calibri" w:hAnsi="Calibri" w:cs="Arial"/>
          <w:lang w:val="en-GB"/>
        </w:rPr>
        <w:t>increased levels of these cytokines</w:t>
      </w:r>
      <w:r w:rsidR="00C5742D">
        <w:rPr>
          <w:rFonts w:ascii="Calibri" w:hAnsi="Calibri" w:cs="Arial"/>
          <w:lang w:val="en-GB"/>
        </w:rPr>
        <w:t xml:space="preserve"> </w:t>
      </w:r>
      <w:r w:rsidR="00FF7407">
        <w:rPr>
          <w:rFonts w:ascii="Calibri" w:hAnsi="Calibri" w:cs="Arial"/>
          <w:lang w:val="en-GB"/>
        </w:rPr>
        <w:fldChar w:fldCharType="begin" w:fldLock="1"/>
      </w:r>
      <w:r w:rsidR="00C5768B">
        <w:rPr>
          <w:rFonts w:ascii="Calibri" w:hAnsi="Calibri" w:cs="Arial"/>
          <w:lang w:val="en-GB"/>
        </w:rPr>
        <w:instrText>ADDIN CSL_CITATION { "citationItems" : [ { "id" : "ITEM-1", "itemData" : { "DOI" : "10.1172/JCI115166", "ISSN" : "0021-9738", "PMID" : "2022726", "abstract" : "We have attempted to identify mRNA for IL-5 in endobronchial mucosal biopsies from asthmatics and controls, using the technique of in situ hybridization. Bronchial biopsies were obtained from 10 asthmatics and 9 nonatopic normal controls. A radio-labeled cRNA probe was prepared from an IL-5 cDNA and hybridized to permeabilized sections. These were washed extensively before processing for autoradiography. An IL-5-producing T cell clone derived from a patient with the hyper-IgE syndrome was used as a positive control. As a negative control, sections were also treated with a \"sense\" IL-5 probe. Specific hybridization signals for IL-5 mRNA were demonstrated within the bronchial mucosa in 6 out of the 10 asthmatic subjects. Cells exhibiting hybridization signals were located beneath the epithelial basement membrane. In contrast, there was no hybridization in the control group. No hybridization was observed with the sense probe. The six IL-5 mRNA-positive asthmatics tended to have more severe disease than the negative asthmatics, as assessed by symptoms and lung function, and showed a significant increase in the degree of infiltration of the bronchial mucosa by secreting (EG2+) eosinophils and activated (CD25+) T lymphocytes. Within the subjects who showed positive IL-5 mRNA, there was a correlation between IL-5 mRNA expression and the number of CD25+ and EG2+ cells and total eosinophil count. This study provides evidence for the cellular localization of IL-5 mRNA in the bronchial mucosa of asthmatics and supports the concept that this cytokine regulates eosinophil function in bronchial asthma.", "author" : [ { "dropping-particle" : "", "family" : "Hamid", "given" : "Q", "non-dropping-particle" : "", "parse-names" : false, "suffix" : "" }, { "dropping-particle" : "", "family" : "Azzawi", "given" : "M", "non-dropping-particle" : "", "parse-names" : false, "suffix" : "" }, { "dropping-particle" : "", "family" : "Ying", "given" : "S", "non-dropping-particle" : "", "parse-names" : false, "suffix" : "" }, { "dropping-particle" : "", "family" : "Moqbel", "given" : "R", "non-dropping-particle" : "", "parse-names" : false, "suffix" : "" }, { "dropping-particle" : "", "family" : "Wardlaw", "given" : "A J", "non-dropping-particle" : "", "parse-names" : false, "suffix" : "" }, { "dropping-particle" : "", "family" : "Corrigan", "given" : "C J", "non-dropping-particle" : "", "parse-names" : false, "suffix" : "" }, { "dropping-particle" : "", "family" : "Bradley", "given" : "B", "non-dropping-particle" : "", "parse-names" : false, "suffix" : "" }, { "dropping-particle" : "", "family" : "Durham", "given" : "S R", "non-dropping-particle" : "", "parse-names" : false, "suffix" : "" }, { "dropping-particle" : "V", "family" : "Collins", "given" : "J", "non-dropping-particle" : "", "parse-names" : false, "suffix" : "" }, { "dropping-particle" : "", "family" : "Jeffery", "given" : "P K", "non-dropping-particle" : "", "parse-names" : false, "suffix" : "" } ], "container-title" : "The Journal of clinical investigation", "id" : "ITEM-1", "issue" : "5", "issued" : { "date-parts" : [ [ "1991", "5" ] ] }, "page" : "1541-6", "title" : "Expression of mRNA for interleukin-5 in mucosal bronchial biopsies from asthma.", "type" : "article-journal", "volume" : "87" }, "uris" : [ "http://www.mendeley.com/documents/?uuid=288a3143-e5ff-471f-9092-b7e5f155ce16" ] }, { "id" : "ITEM-2", "itemData" : { "DOI" : "10.1164/ajrccm.156.3.9610033", "ISSN" : "1073-449X", "PMID" : "9309982", "abstract" : "Atopic asthma is characterized by chronic inflammation of the bronchial mucosa in which eosinophil- and immunoglobulin E (IgE)-dependent mechanisms are believed to be prominent. Therefore, specific proeosinophilic mediators such as interleukin (IL)-5 and essential cofactors for IgE switching in B-lymphocytes such as IL-4 could play a pivotal role in asthma. However, the exact role that individual inflammatory mediators play in the development of the disease in humans is still unknown. Using semiquantitative reverse transcriptase-polymerase chain reaction amplification in bronchial biopsies from 10 atopic asthmatics, we have tested the hypothesis that IL-4 and IL-5 mRNA expression relative to beta-actin mRNA correlates with validated indicators of disease severity. IL-4 and IL-5 mRNA copies relative to beta-actin mRNA were detected in bronchial biopsies from atopic asthmatics. The numbers of IL-5 mRNA copies relative to beta-actin mRNA correlated with disease severity assessed by the Aas asthma score (r = 0.70, p = 0.01), baseline FEV1 (r = -0.94, p = 0.001), baseline peak expiratory flow rate (r = -0.77, p = 0.01), peak expiratory flow rate variability over 2 wk (r = 0.69, p = 0.028), and the histamine PC20 (r = -0.72, p = 0.018). Conversely, the numbers of IL-4 mRNA copies relative to beta-actin mRNA did not correlate with asthma severity, but they positively correlated with total serum IgE concentrations (r = -0.90, p = 0.001). Our present results support the concept that IL-5 may determine asthma clinical expression and severity, and by inference they support the development of IL-5 targeted therapies.", "author" : [ { "dropping-particle" : "", "family" : "Humbert", "given" : "M", "non-dropping-particle" : "", "parse-names" : false, "suffix" : "" }, { "dropping-particle" : "", "family" : "Corrigan", "given" : "C J", "non-dropping-particle" : "", "parse-names" : false, "suffix" : "" }, { "dropping-particle" : "", "family" : "Kimmitt", "given" : "P", "non-dropping-particle" : "", "parse-names" : false, "suffix" : "" }, { "dropping-particle" : "", "family" : "Till", "given" : "S J", "non-dropping-particle" : "", "parse-names" : false, "suffix" : "" }, { "dropping-particle" : "", "family" : "Kay", "given" : "A B", "non-dropping-particle" : "", "parse-names" : false, "suffix" : "" }, { "dropping-particle" : "", "family" : "Durham", "given" : "S R", "non-dropping-particle" : "", "parse-names" : false, "suffix" : "" } ], "container-title" : "American journal of respiratory and critical care medicine", "id" : "ITEM-2", "issue" : "3 Pt 1", "issued" : { "date-parts" : [ [ "1997", "9" ] ] }, "page" : "704-8", "title" : "Relationship between IL-4 and IL-5 mRNA expression and disease severity in atopic asthma.", "type" : "article-journal", "volume" : "156" }, "uris" : [ "http://www.mendeley.com/documents/?uuid=b08d03f3-4f56-4a2e-ac07-5c1da8581efe" ] }, { "id" : "ITEM-3", "itemData" : { "ISSN" : "0091-6749", "PMID" : "8349942", "abstract" : "BACKGROUND: We have examined whether the local eosinophilia provoked by inhalational allergen challenge of patients with atopic asthma is associated with the appearance, in vivo, of activated TH2-type T helper lymphocytes.\n\nMETHODS: Fifteen patients with atopic asthma had bronchial wash and bronchoalveolar lavage (BAL) 24 hours after allergen or diluent challenge separated by at least 21 days.\n\nRESULTS: There was an increase in eosinophils in both bronchial wash (p = 0.01) and BAL (p = 0.02) after allergen challenge but not after diluent challenge. Activation of CD4+ BAL T cells was suggested by an increase in the expression of CD25 shown by flow cytometry after allergen challenge, when compared with diluent (p = 0.02). There was no evidence of activation of CD8 T cells. By in situ hybridization after allergen challenge as compared with diluent, increases were shown in the numbers of cells expressing mRNA for interleukin-4 (IL-4) (p = 0.005), IL-5 (p = 0.01), and granulocyte-macrophage colony-stimulating factor (p = 0.03) but not IL-3, IL-2, or interferon-gamma. In situ hybridization of BAL cells after immunomagnetic separation of CD2-positive and CD2-negative cell populations showed that IL-4 and IL-5 mRNAs were associated with T lymphocytes after allergen challenge. BAL and bronchial wash eosinophilia closely correlated with maximal late fall in forced expiratory volume in 1 second after allergen challenge.\n\nCONCLUSION: Cytokines produced by activated TH2-type CD4+ T cells in the airway may contribute to late asthmatic responses by mechanisms that include eosinophil accumulation.", "author" : [ { "dropping-particle" : "", "family" : "Robinson", "given" : "D", "non-dropping-particle" : "", "parse-names" : false, "suffix" : "" }, { "dropping-particle" : "", "family" : "Hamid", "given" : "Q", "non-dropping-particle" : "", "parse-names" : false, "suffix" : "" }, { "dropping-particle" : "", "family" : "Bentley", "given" : "A", "non-dropping-particle" : "", "parse-names" : false, "suffix" : "" }, { "dropping-particle" : "", "family" : "Ying", "given" : "S", "non-dropping-particle" : "", "parse-names" : false, "suffix" : "" }, { "dropping-particle" : "", "family" : "Kay", "given" : "A B", "non-dropping-particle" : "", "parse-names" : false, "suffix" : "" }, { "dropping-particle" : "", "family" : "Durham", "given" : "S R", "non-dropping-particle" : "", "parse-names" : false, "suffix" : "" } ], "container-title" : "The Journal of allergy and clinical immunology", "id" : "ITEM-3", "issue" : "2", "issued" : { "date-parts" : [ [ "1993", "8" ] ] }, "page" : "313-24", "title" : "Activation of CD4+ T cells, increased TH2-type cytokine mRNA expression, and eosinophil recruitment in bronchoalveolar lavage after allergen inhalation challenge in patients with atopic asthma.", "type" : "article-journal", "volume" : "92" }, "uris" : [ "http://www.mendeley.com/documents/?uuid=92f011c8-a868-4d76-86f7-044f43dd596f" ] } ], "mendeley" : { "formattedCitation" : "(Hamid et al., 1991; Humbert et al., 1997; D. Robinson et al., 1993)", "plainTextFormattedCitation" : "(Hamid et al., 1991; Humbert et al., 1997; D. Robinson et al., 1993)", "previouslyFormattedCitation" : "(Hamid et al., 1991; Humbert et al., 1997; D. Robinson et al., 1993)" }, "properties" : { "noteIndex" : 0 }, "schema" : "https://github.com/citation-style-language/schema/raw/master/csl-citation.json" }</w:instrText>
      </w:r>
      <w:r w:rsidR="00FF7407">
        <w:rPr>
          <w:rFonts w:ascii="Calibri" w:hAnsi="Calibri" w:cs="Arial"/>
          <w:lang w:val="en-GB"/>
        </w:rPr>
        <w:fldChar w:fldCharType="separate"/>
      </w:r>
      <w:r w:rsidR="00FF7407" w:rsidRPr="00FF7407">
        <w:rPr>
          <w:rFonts w:ascii="Calibri" w:hAnsi="Calibri" w:cs="Arial"/>
          <w:noProof/>
          <w:lang w:val="en-GB"/>
        </w:rPr>
        <w:t>(Hamid et al., 1991; Humbert et al., 1997; D. Robinson et al., 1993)</w:t>
      </w:r>
      <w:r w:rsidR="00FF7407">
        <w:rPr>
          <w:rFonts w:ascii="Calibri" w:hAnsi="Calibri" w:cs="Arial"/>
          <w:lang w:val="en-GB"/>
        </w:rPr>
        <w:fldChar w:fldCharType="end"/>
      </w:r>
      <w:r w:rsidR="00C34DFB">
        <w:rPr>
          <w:rFonts w:ascii="Calibri" w:hAnsi="Calibri" w:cs="Arial"/>
          <w:lang w:val="en-GB"/>
        </w:rPr>
        <w:t xml:space="preserve">. </w:t>
      </w:r>
      <w:r w:rsidR="004725F1">
        <w:rPr>
          <w:rFonts w:ascii="Calibri" w:hAnsi="Calibri" w:cs="Arial"/>
          <w:i/>
          <w:lang w:val="en-GB"/>
        </w:rPr>
        <w:t>Ex vivo</w:t>
      </w:r>
      <w:r w:rsidR="004725F1">
        <w:rPr>
          <w:rFonts w:ascii="Calibri" w:hAnsi="Calibri" w:cs="Arial"/>
          <w:lang w:val="en-GB"/>
        </w:rPr>
        <w:t>,</w:t>
      </w:r>
      <w:r w:rsidR="004725F1">
        <w:rPr>
          <w:rFonts w:ascii="Calibri" w:hAnsi="Calibri" w:cs="Arial"/>
          <w:i/>
          <w:lang w:val="en-GB"/>
        </w:rPr>
        <w:t xml:space="preserve"> </w:t>
      </w:r>
      <w:r w:rsidR="004725F1">
        <w:rPr>
          <w:rFonts w:ascii="Calibri" w:hAnsi="Calibri" w:cs="Arial"/>
          <w:lang w:val="en-GB"/>
        </w:rPr>
        <w:t xml:space="preserve">soluble receptors were shown to attenuate </w:t>
      </w:r>
      <w:r w:rsidR="00FF7407">
        <w:rPr>
          <w:rFonts w:ascii="Calibri" w:hAnsi="Calibri" w:cs="Arial"/>
          <w:lang w:val="en-GB"/>
        </w:rPr>
        <w:t>HPC</w:t>
      </w:r>
      <w:r w:rsidR="004725F1">
        <w:rPr>
          <w:rFonts w:ascii="Calibri" w:hAnsi="Calibri" w:cs="Arial"/>
          <w:lang w:val="en-GB"/>
        </w:rPr>
        <w:t xml:space="preserve"> differentiation </w:t>
      </w:r>
      <w:r w:rsidR="004725F1">
        <w:rPr>
          <w:rFonts w:ascii="Calibri" w:hAnsi="Calibri" w:cs="Arial"/>
          <w:lang w:val="en-GB"/>
        </w:rPr>
        <w:fldChar w:fldCharType="begin" w:fldLock="1"/>
      </w:r>
      <w:r w:rsidR="00221162">
        <w:rPr>
          <w:rFonts w:ascii="Calibri" w:hAnsi="Calibri" w:cs="Arial"/>
          <w:lang w:val="en-GB"/>
        </w:rPr>
        <w:instrText>ADDIN CSL_CITATION { "citationItems" : [ { "id" : "ITEM-1", "itemData" : { "ISSN" : "0022-1767", "PMID" : "10640772", "abstract" : "Eosinophil differentiation occurs within the bone marrow in response to eosinopoietic cytokines, particularly IL-5. Recently, however, eosinophil precursors (CD34/IL-5Ralpha+ cells) and IL-5 mRNA+ cells have been identified within the lungs of asthmatics, indicating that a population of eosinophils may differentiate in situ. In this report, we examined the presence of eosinophil precursors within allergic nasal mucosa and examined whether they undergo local differentiation following ex vivo stimulation. We cultured human nasal mucosa obtained from individuals with seasonal allergic rhinitis with either specific allergen, recombinant human IL-5 (rhIL-5), or allergen + soluble IL-5Ralpha (sIL-5Ralpha), shown to antagonize IL-5 function. Simultaneous immunocytochemistry and in situ hybridization demonstrated that there were fewer cells coexpressing CD34 immunoreactivity and IL-5Ralpha mRNA following culture with allergen or rhIL-5, compared with medium alone. Immunostaining revealed that the number of major basic protein (MBP) immunoreactive cells (eosinophils) was higher within tissue stimulated with allergen or rhIL-5, compared with unstimulated tissue. In situ hybridization detected an increase in IL-5 mRNA+ cells in sections from tissue cultured with allergen, compared with medium alone. These effects were not observed in tissue cultured with a combination of allergen and sIL-5Ralpha. Colocalization analysis indicated this expression to be mainly, but not exclusively, T cell (44%) and eosinophil (10%) derived. Our findings suggest that a subset of eosinophils may differentiate locally within allergic nasal mucosa, in what appears to be a highly IL-5-dependent fashion, and imply that this process might be regulated in vivo by endogenous production of sIL-5Ralpha.", "author" : [ { "dropping-particle" : "", "family" : "Cameron", "given" : "L", "non-dropping-particle" : "", "parse-names" : false, "suffix" : "" }, { "dropping-particle" : "", "family" : "Christodoulopoulos", "given" : "P", "non-dropping-particle" : "", "parse-names" : false, "suffix" : "" }, { "dropping-particle" : "", "family" : "Lavigne", "given" : "F", "non-dropping-particle" : "", "parse-names" : false, "suffix" : "" }, { "dropping-particle" : "", "family" : "Nakamura", "given" : "Y", "non-dropping-particle" : "", "parse-names" : false, "suffix" : "" }, { "dropping-particle" : "", "family" : "Eidelman", "given" : "D", "non-dropping-particle" : "", "parse-names" : false, "suffix" : "" }, { "dropping-particle" : "", "family" : "McEuen", "given" : "A", "non-dropping-particle" : "", "parse-names" : false, "suffix" : "" }, { "dropping-particle" : "", "family" : "Walls", "given" : "A", "non-dropping-particle" : "", "parse-names" : false, "suffix" : "" }, { "dropping-particle" : "", "family" : "Tavernier", "given" : "J", "non-dropping-particle" : "", "parse-names" : false, "suffix" : "" }, { "dropping-particle" : "", "family" : "Minshall", "given" : "E", "non-dropping-particle" : "", "parse-names" : false, "suffix" : "" }, { "dropping-particle" : "", "family" : "Moqbel", "given" : "R", "non-dropping-particle" : "", "parse-names" : false, "suffix" : "" }, { "dropping-particle" : "", "family" : "Hamid", "given" : "Q", "non-dropping-particle" : "", "parse-names" : false, "suffix" : "" } ], "container-title" : "Journal of immunology (Baltimore, Md. : 1950)", "id" : "ITEM-1", "issue" : "3", "issued" : { "date-parts" : [ [ "2000", "2", "1" ] ] }, "page" : "1538-45", "title" : "Evidence for local eosinophil differentiation within allergic nasal mucosa: inhibition with soluble IL-5 receptor.", "type" : "article-journal", "volume" : "164" }, "uris" : [ "http://www.mendeley.com/documents/?uuid=62a32d09-88ec-447c-8179-04e3501cdd05" ] } ], "mendeley" : { "formattedCitation" : "(Cameron et al., 2000)", "plainTextFormattedCitation" : "(Cameron et al., 2000)", "previouslyFormattedCitation" : "(Cameron et al., 2000)" }, "properties" : { "noteIndex" : 0 }, "schema" : "https://github.com/citation-style-language/schema/raw/master/csl-citation.json" }</w:instrText>
      </w:r>
      <w:r w:rsidR="004725F1">
        <w:rPr>
          <w:rFonts w:ascii="Calibri" w:hAnsi="Calibri" w:cs="Arial"/>
          <w:lang w:val="en-GB"/>
        </w:rPr>
        <w:fldChar w:fldCharType="separate"/>
      </w:r>
      <w:r w:rsidR="004725F1" w:rsidRPr="004725F1">
        <w:rPr>
          <w:rFonts w:ascii="Calibri" w:hAnsi="Calibri" w:cs="Arial"/>
          <w:noProof/>
          <w:lang w:val="en-GB"/>
        </w:rPr>
        <w:t>(Cameron et al., 2000)</w:t>
      </w:r>
      <w:r w:rsidR="004725F1">
        <w:rPr>
          <w:rFonts w:ascii="Calibri" w:hAnsi="Calibri" w:cs="Arial"/>
          <w:lang w:val="en-GB"/>
        </w:rPr>
        <w:fldChar w:fldCharType="end"/>
      </w:r>
      <w:r w:rsidR="00394ACA">
        <w:rPr>
          <w:rFonts w:ascii="Calibri" w:hAnsi="Calibri" w:cs="Arial"/>
          <w:lang w:val="en-GB"/>
        </w:rPr>
        <w:t>. Furthermore, clinical and primate studies with injectable monoclonal antibodies against these receptors or their corresponding cytokines</w:t>
      </w:r>
      <w:r w:rsidR="004725F1">
        <w:rPr>
          <w:rFonts w:ascii="Calibri" w:hAnsi="Calibri" w:cs="Arial"/>
          <w:lang w:val="en-GB"/>
        </w:rPr>
        <w:t>,</w:t>
      </w:r>
      <w:r w:rsidR="001D77B5">
        <w:rPr>
          <w:rFonts w:ascii="Calibri" w:hAnsi="Calibri" w:cs="Arial"/>
          <w:lang w:val="en-GB"/>
        </w:rPr>
        <w:t xml:space="preserve"> as pioneered by Leckie </w:t>
      </w:r>
      <w:r w:rsidR="001D77B5">
        <w:rPr>
          <w:rFonts w:ascii="Calibri" w:hAnsi="Calibri" w:cs="Arial"/>
          <w:i/>
          <w:lang w:val="en-GB"/>
        </w:rPr>
        <w:t xml:space="preserve">et al. </w:t>
      </w:r>
      <w:r w:rsidR="001D77B5">
        <w:rPr>
          <w:rFonts w:ascii="Calibri" w:hAnsi="Calibri" w:cs="Arial"/>
          <w:i/>
          <w:lang w:val="en-GB"/>
        </w:rPr>
        <w:fldChar w:fldCharType="begin" w:fldLock="1"/>
      </w:r>
      <w:r w:rsidR="0054346A">
        <w:rPr>
          <w:rFonts w:ascii="Calibri" w:hAnsi="Calibri" w:cs="Arial"/>
          <w:i/>
          <w:lang w:val="en-GB"/>
        </w:rPr>
        <w:instrText>ADDIN CSL_CITATION { "citationItems" : [ { "id" : "ITEM-1", "itemData" : { "ISSN" : "0140-6736", "PMID" : "11191542", "abstract" : "BACKGROUND: Interleukin-5 (IL-5) is essential for the formation of eosinophils, which are thought to have a major role in the pathogenesis of asthma and other allergic diseases. We aimed to assess the effects of monoclonal antibody to IL-5 on blood and sputum eosinophils, airway hyper-responsiveness, and the late asthmatic reaction to inhaled allergen in patients with mild asthma. METHODS: We did a double-blind randomised placebo-controlled trial, in which a single intravenous infusion of humanised (IgG-K) monoclonal antibody to IL-5 (SB-240563) was given at doses of 2.5 mg/kg (n=8) or 10.0 mg/kg (n=8). The effects of treatment on responses to inhaled allergen challenge, sputum eosinophils, and airway hyper-responsiveness to histamine were measured at weeks 1 and 4 with monitoring of blood eosinophil counts for up to 16 weeks. FINDINGS: Monoclonal antibody against IL-5 lowered the mean blood eosinophil count at day 29 from 0.25x10(9)/L (95% CI 0.16-0.34) in the placebo group to 0.04x10(9)/L (0.00-0.07) in the 10 mg/kg group (p&lt;0.0001), and prevented the blood eosinophilia that follows allergen challenge. After inhaled allergen challenge, 9 days after treatment, the percentage sputum eosinophils were 12.2% in the placebo group and lowered to 0.9% (-1.2 to 3.0; p=0.0076) in the 10 mg/kg group, and this effect persisted at day 30 after the dose. There was no significant effect of monoclonal antibody to IL-5 on the late asthmatic response or on airway hyper-responsiveness to histamine. INTERPRETATION: A single dose of monoclonal antibody to IL-5 decreased blood eosinophils for up to 16 weeks and sputum eosinophils at 4 weeks, which has considerable therapeutic potential for asthma and allergy. However, our findings question the role of eosinophils in mediating the late asthmatic response and causing airway hyper-responsiveness.", "author" : [ { "dropping-particle" : "", "family" : "Leckie", "given" : "M J", "non-dropping-particle" : "", "parse-names" : false, "suffix" : "" }, { "dropping-particle" : "", "family" : "Brinke", "given" : "A", "non-dropping-particle" : "ten", "parse-names" : false, "suffix" : "" }, { "dropping-particle" : "", "family" : "Khan", "given" : "J", "non-dropping-particle" : "", "parse-names" : false, "suffix" : "" }, { "dropping-particle" : "", "family" : "Diamant", "given" : "Z", "non-dropping-particle" : "", "parse-names" : false, "suffix" : "" }, { "dropping-particle" : "", "family" : "O'Connor", "given" : "B J", "non-dropping-particle" : "", "parse-names" : false, "suffix" : "" }, { "dropping-particle" : "", "family" : "Walls", "given" : "C M", "non-dropping-particle" : "", "parse-names" : false, "suffix" : "" }, { "dropping-particle" : "", "family" : "Mathur", "given" : "A K", "non-dropping-particle" : "", "parse-names" : false, "suffix" : "" }, { "dropping-particle" : "", "family" : "Cowley", "given" : "H C", "non-dropping-particle" : "", "parse-names" : false, "suffix" : "" }, { "dropping-particle" : "", "family" : "Chung", "given" : "K F", "non-dropping-particle" : "", "parse-names" : false, "suffix" : "" }, { "dropping-particle" : "", "family" : "Djukanovic", "given" : "R", "non-dropping-particle" : "", "parse-names" : false, "suffix" : "" }, { "dropping-particle" : "", "family" : "Hansel", "given" : "T T", "non-dropping-particle" : "", "parse-names" : false, "suffix" : "" }, { "dropping-particle" : "", "family" : "Holgate", "given" : "S T", "non-dropping-particle" : "", "parse-names" : false, "suffix" : "" }, { "dropping-particle" : "", "family" : "Sterk", "given" : "P J", "non-dropping-particle" : "", "parse-names" : false, "suffix" : "" }, { "dropping-particle" : "", "family" : "Barnes", "given" : "P J", "non-dropping-particle" : "", "parse-names" : false, "suffix" : "" } ], "container-title" : "Lancet (London, England)", "id" : "ITEM-1", "issue" : "9248", "issued" : { "date-parts" : [ [ "2000", "1" ] ] }, "page" : "2144-8", "title" : "Effects of an interleukin-5 blocking monoclonal antibody on eosinophils, airway hyper-responsiveness, and the late asthmatic response.", "type" : "article-journal", "volume" : "356" }, "uris" : [ "http://www.mendeley.com/documents/?uuid=9d07ee59-9a96-4a57-8d3f-6083b776aa09" ] } ], "mendeley" : { "formattedCitation" : "(Leckie et al., 2000)", "plainTextFormattedCitation" : "(Leckie et al., 2000)", "previouslyFormattedCitation" : "(Leckie et al., 2000)" }, "properties" : { "noteIndex" : 0 }, "schema" : "https://github.com/citation-style-language/schema/raw/master/csl-citation.json" }</w:instrText>
      </w:r>
      <w:r w:rsidR="001D77B5">
        <w:rPr>
          <w:rFonts w:ascii="Calibri" w:hAnsi="Calibri" w:cs="Arial"/>
          <w:i/>
          <w:lang w:val="en-GB"/>
        </w:rPr>
        <w:fldChar w:fldCharType="separate"/>
      </w:r>
      <w:r w:rsidR="001D77B5" w:rsidRPr="001D77B5">
        <w:rPr>
          <w:rFonts w:ascii="Calibri" w:hAnsi="Calibri" w:cs="Arial"/>
          <w:noProof/>
          <w:lang w:val="en-GB"/>
        </w:rPr>
        <w:t>(Leckie et al., 2000)</w:t>
      </w:r>
      <w:r w:rsidR="001D77B5">
        <w:rPr>
          <w:rFonts w:ascii="Calibri" w:hAnsi="Calibri" w:cs="Arial"/>
          <w:i/>
          <w:lang w:val="en-GB"/>
        </w:rPr>
        <w:fldChar w:fldCharType="end"/>
      </w:r>
      <w:r w:rsidR="001D77B5">
        <w:rPr>
          <w:rFonts w:ascii="Calibri" w:hAnsi="Calibri" w:cs="Arial"/>
          <w:i/>
          <w:lang w:val="en-GB"/>
        </w:rPr>
        <w:t xml:space="preserve">, </w:t>
      </w:r>
      <w:r w:rsidR="004725F1">
        <w:rPr>
          <w:rFonts w:ascii="Calibri" w:hAnsi="Calibri" w:cs="Arial"/>
          <w:lang w:val="en-GB"/>
        </w:rPr>
        <w:t xml:space="preserve">indicated asthma </w:t>
      </w:r>
      <w:r w:rsidR="00D75128">
        <w:rPr>
          <w:rFonts w:ascii="Calibri" w:hAnsi="Calibri" w:cs="Arial"/>
          <w:lang w:val="en-GB"/>
        </w:rPr>
        <w:t>exacerbation</w:t>
      </w:r>
      <w:r w:rsidR="004725F1">
        <w:rPr>
          <w:rFonts w:ascii="Calibri" w:hAnsi="Calibri" w:cs="Arial"/>
          <w:lang w:val="en-GB"/>
        </w:rPr>
        <w:t xml:space="preserve"> management could be achieved by manipulating this immune axis. </w:t>
      </w:r>
      <w:r w:rsidR="0054346A">
        <w:rPr>
          <w:rFonts w:ascii="Calibri" w:hAnsi="Calibri" w:cs="Arial"/>
          <w:lang w:val="en-GB"/>
        </w:rPr>
        <w:t xml:space="preserve"> Indeed, reslizumab (anti-IL-5; Teva Pharmaceutical Industries Ltd.) is presently the third monoclonal antibody on track for market approval in the USA for the treatment of asthma, and the second a</w:t>
      </w:r>
      <w:r w:rsidR="00C267FD">
        <w:rPr>
          <w:rFonts w:ascii="Calibri" w:hAnsi="Calibri" w:cs="Arial"/>
          <w:lang w:val="en-GB"/>
        </w:rPr>
        <w:t>nti-IL-5 agent after mepolizumab</w:t>
      </w:r>
      <w:r w:rsidR="0054346A">
        <w:rPr>
          <w:rFonts w:ascii="Calibri" w:hAnsi="Calibri" w:cs="Arial"/>
          <w:lang w:val="en-GB"/>
        </w:rPr>
        <w:t xml:space="preserve"> (GlaxoSmithKline Plc.); benralizumab (anti-IL5-R</w:t>
      </w:r>
      <w:r w:rsidR="0054346A" w:rsidRPr="00600AEA">
        <w:rPr>
          <w:rFonts w:ascii="Symbol" w:hAnsi="Symbol" w:cs="Arial"/>
          <w:lang w:val="en-GB"/>
        </w:rPr>
        <w:t></w:t>
      </w:r>
      <w:r w:rsidR="0054346A">
        <w:rPr>
          <w:rFonts w:ascii="Calibri" w:hAnsi="Calibri" w:cs="Arial"/>
          <w:lang w:val="en-GB"/>
        </w:rPr>
        <w:t xml:space="preserve">; MedImmune LLC.) has also been successful in reducing asthma exacerbations at phase IIb </w:t>
      </w:r>
      <w:r w:rsidR="0054346A">
        <w:rPr>
          <w:rFonts w:ascii="Calibri" w:hAnsi="Calibri" w:cs="Arial"/>
          <w:lang w:val="en-GB"/>
        </w:rPr>
        <w:fldChar w:fldCharType="begin" w:fldLock="1"/>
      </w:r>
      <w:r w:rsidR="0054346A">
        <w:rPr>
          <w:rFonts w:ascii="Calibri" w:hAnsi="Calibri" w:cs="Arial"/>
          <w:lang w:val="en-GB"/>
        </w:rPr>
        <w:instrText>ADDIN CSL_CITATION { "citationItems" : [ { "id" : "ITEM-1", "itemData" : { "DOI" : "10.1016/S2213-2600(14)70201-2", "ISSN" : "2213-2619", "PMID" : "25306557", "abstract" : "BACKGROUND: Persistent eosinophilic airway inflammation in asthma increases the risk of exacerbations. In a phase 2b dose-ranging study, we aimed to assess the efficacy and safety of benralizumab, an anti-interleukin 5 receptor \u03b1 monoclonal antibody that depletes blood and airway eosinophils, in adults with uncontrolled eosinophilic asthma.\n\nMETHODS: We did a randomised, controlled, double-blind, dose-ranging phase 2b study. Eligible participants were adults aged 18-75 years with uncontrolled asthma using medium-dose or high-dose inhaled corticosteroids and longacting \u03b2 agonists, with two to six exacerbations in the past year. Current or former smokers were excluded. We used the ELEN index (an algorithm to predict elevated sputum eosinophils) or baseline fraction of exhaled nitric oxide to stratify patients by eosinophilic status, and with an interactive web-voice response system randomly assigned eosinophilic individuals in a 1:1:1:1 ratio to receive placebo, 2 mg benralizumab, 20 mg benralizumab, or 100 mg benralizumab, and non-eosinophilic individuals in a 1:1 ratio to receive placebo or 100 mg benralizumab. Study drugs were given as two subcutaneous injections every 4 weeks for the first three doses, then every 8 weeks, for 1 year. Patients, treating physicians, and study investigators were masked to treatment allocation. The primary endpoint was annual exacerbation rate in eosinophilic individuals after 1 year of follow-up. Analysis was by modified intention to treat. This study was designed with a two-sided \u03b1 of 0\u00b72 and powered at 78% for the primary outcome in the eosinophilic population. This study is registered with ClinicalTrials.gov, number NCT01238861.\n\nFINDINGS: Between Jan 3, 2011, and March 6, 2012, we randomly assigned 324 eosinophilic individuals to placebo (n=80) or benralizumab 2 mg dose (n=81), 20 mg dose, (n=81), or 100 mg dose (n=82), and 285 non-eosinophilic individuals to 100 mg benralizumab (n=142, 140 included in analysis) or placebo (n=143, 142 included in analysis). In eosinophilic individuals, benralizumab reduced exacerbation rates compared with placebo in the 100 mg group (0\u00b734 vs 0\u00b757, reduction 41%, 80% CI 11 to 60, p=0\u00b7096) but not in the 2 mg group (0\u00b765 vs 0\u00b757, difference -9%, 80% CI -59 to 26, p=0\u00b7781) or the 20 mg group (0\u00b737 vs 0\u00b757, reduction 36%, 80% CI 3 to 58, p=0\u00b7173). In patients with a baseline blood eosinophil cutoff of at least 300 cells per \u03bcL, exacerbation rates in the benralizumab 20 mg group (n=70) an\u2026", "author" : [ { "dropping-particle" : "", "family" : "Castro", "given" : "Mario", "non-dropping-particle" : "", "parse-names" : false, "suffix" : "" }, { "dropping-particle" : "", "family" : "Wenzel", "given" : "Sally E", "non-dropping-particle" : "", "parse-names" : false, "suffix" : "" }, { "dropping-particle" : "", "family" : "Bleecker", "given" : "Eugene R", "non-dropping-particle" : "", "parse-names" : false, "suffix" : "" }, { "dropping-particle" : "", "family" : "Pizzichini", "given" : "Emilio", "non-dropping-particle" : "", "parse-names" : false, "suffix" : "" }, { "dropping-particle" : "", "family" : "Kuna", "given" : "Piotr", "non-dropping-particle" : "", "parse-names" : false, "suffix" : "" }, { "dropping-particle" : "", "family" : "Busse", "given" : "William W", "non-dropping-particle" : "", "parse-names" : false, "suffix" : "" }, { "dropping-particle" : "", "family" : "Gossage", "given" : "David L", "non-dropping-particle" : "", "parse-names" : false, "suffix" : "" }, { "dropping-particle" : "", "family" : "Ward", "given" : "Christine K", "non-dropping-particle" : "", "parse-names" : false, "suffix" : "" }, { "dropping-particle" : "", "family" : "Wu", "given" : "Yanping", "non-dropping-particle" : "", "parse-names" : false, "suffix" : "" }, { "dropping-particle" : "", "family" : "Wang", "given" : "Bing", "non-dropping-particle" : "", "parse-names" : false, "suffix" : "" }, { "dropping-particle" : "", "family" : "Khatry", "given" : "Deepak B", "non-dropping-particle" : "", "parse-names" : false, "suffix" : "" }, { "dropping-particle" : "", "family" : "Merwe", "given" : "Ren\u00e9", "non-dropping-particle" : "van der", "parse-names" : false, "suffix" : "" }, { "dropping-particle" : "", "family" : "Kolbeck", "given" : "Roland", "non-dropping-particle" : "", "parse-names" : false, "suffix" : "" }, { "dropping-particle" : "", "family" : "Molfino", "given" : "Nestor A", "non-dropping-particle" : "", "parse-names" : false, "suffix" : "" }, { "dropping-particle" : "", "family" : "Raible", "given" : "Donald G", "non-dropping-particle" : "", "parse-names" : false, "suffix" : "" } ], "container-title" : "The Lancet. Respiratory medicine", "id" : "ITEM-1", "issue" : "11", "issued" : { "date-parts" : [ [ "2014", "11" ] ] }, "page" : "879-90", "title" : "Benralizumab, an anti-interleukin 5 receptor \u03b1 monoclonal antibody, versus placebo for uncontrolled eosinophilic asthma: a phase 2b randomised dose-ranging study.", "type" : "article-journal", "volume" : "2" }, "uris" : [ "http://www.mendeley.com/documents/?uuid=54f63d72-1c6f-4fab-b440-1b1196fd3dbd" ] } ], "mendeley" : { "formattedCitation" : "(Castro et al., 2014)", "plainTextFormattedCitation" : "(Castro et al., 2014)", "previouslyFormattedCitation" : "(Castro et al., 2014)" }, "properties" : { "noteIndex" : 0 }, "schema" : "https://github.com/citation-style-language/schema/raw/master/csl-citation.json" }</w:instrText>
      </w:r>
      <w:r w:rsidR="0054346A">
        <w:rPr>
          <w:rFonts w:ascii="Calibri" w:hAnsi="Calibri" w:cs="Arial"/>
          <w:lang w:val="en-GB"/>
        </w:rPr>
        <w:fldChar w:fldCharType="separate"/>
      </w:r>
      <w:r w:rsidR="0054346A" w:rsidRPr="00432B0D">
        <w:rPr>
          <w:rFonts w:ascii="Calibri" w:hAnsi="Calibri" w:cs="Arial"/>
          <w:noProof/>
          <w:lang w:val="en-GB"/>
        </w:rPr>
        <w:t>(Castro et al., 2014)</w:t>
      </w:r>
      <w:r w:rsidR="0054346A">
        <w:rPr>
          <w:rFonts w:ascii="Calibri" w:hAnsi="Calibri" w:cs="Arial"/>
          <w:lang w:val="en-GB"/>
        </w:rPr>
        <w:fldChar w:fldCharType="end"/>
      </w:r>
      <w:r w:rsidR="0054346A">
        <w:rPr>
          <w:rFonts w:ascii="Calibri" w:hAnsi="Calibri" w:cs="Arial"/>
          <w:lang w:val="en-GB"/>
        </w:rPr>
        <w:t>. Thus, both underlying biology and clinical data</w:t>
      </w:r>
      <w:r w:rsidR="00394ACA">
        <w:rPr>
          <w:rFonts w:ascii="Calibri" w:hAnsi="Calibri" w:cs="Arial"/>
          <w:lang w:val="en-GB"/>
        </w:rPr>
        <w:t xml:space="preserve"> </w:t>
      </w:r>
      <w:r w:rsidR="00C5742D">
        <w:rPr>
          <w:rFonts w:ascii="Calibri" w:hAnsi="Calibri" w:cs="Arial"/>
          <w:lang w:val="en-GB"/>
        </w:rPr>
        <w:t xml:space="preserve">contemporary to the development of ASM8 </w:t>
      </w:r>
      <w:r w:rsidR="00432B0D">
        <w:rPr>
          <w:rFonts w:ascii="Calibri" w:hAnsi="Calibri" w:cs="Arial"/>
          <w:lang w:val="en-GB"/>
        </w:rPr>
        <w:t xml:space="preserve">suggested </w:t>
      </w:r>
      <w:r w:rsidR="0054346A">
        <w:rPr>
          <w:rFonts w:ascii="Calibri" w:hAnsi="Calibri" w:cs="Arial"/>
          <w:lang w:val="en-GB"/>
        </w:rPr>
        <w:t xml:space="preserve">that </w:t>
      </w:r>
      <w:r w:rsidR="00432B0D">
        <w:rPr>
          <w:rFonts w:ascii="Calibri" w:hAnsi="Calibri" w:cs="Arial"/>
          <w:lang w:val="en-GB"/>
        </w:rPr>
        <w:t xml:space="preserve">dual action </w:t>
      </w:r>
      <w:r w:rsidR="0054346A">
        <w:rPr>
          <w:rFonts w:ascii="Calibri" w:hAnsi="Calibri" w:cs="Arial"/>
          <w:lang w:val="en-GB"/>
        </w:rPr>
        <w:t xml:space="preserve">against CCR3 and IL-5R </w:t>
      </w:r>
      <w:r w:rsidR="00D75128">
        <w:rPr>
          <w:rFonts w:ascii="Calibri" w:hAnsi="Calibri" w:cs="Arial"/>
          <w:lang w:val="en-GB"/>
        </w:rPr>
        <w:t>c</w:t>
      </w:r>
      <w:r w:rsidR="00432B0D">
        <w:rPr>
          <w:rFonts w:ascii="Calibri" w:hAnsi="Calibri" w:cs="Arial"/>
          <w:lang w:val="en-GB"/>
        </w:rPr>
        <w:t>ould</w:t>
      </w:r>
      <w:r w:rsidR="00D75128">
        <w:rPr>
          <w:rFonts w:ascii="Calibri" w:hAnsi="Calibri" w:cs="Arial"/>
          <w:lang w:val="en-GB"/>
        </w:rPr>
        <w:t xml:space="preserve"> potentially</w:t>
      </w:r>
      <w:r w:rsidR="00432B0D">
        <w:rPr>
          <w:rFonts w:ascii="Calibri" w:hAnsi="Calibri" w:cs="Arial"/>
          <w:lang w:val="en-GB"/>
        </w:rPr>
        <w:t xml:space="preserve"> achieve broader ablation of asthma exacerbation</w:t>
      </w:r>
      <w:r w:rsidR="00394ACA">
        <w:rPr>
          <w:rFonts w:ascii="Calibri" w:hAnsi="Calibri" w:cs="Arial"/>
          <w:lang w:val="en-GB"/>
        </w:rPr>
        <w:t xml:space="preserve">. </w:t>
      </w:r>
    </w:p>
    <w:p w14:paraId="7957320F" w14:textId="77777777" w:rsidR="00394ACA" w:rsidRDefault="00394ACA" w:rsidP="005837A4">
      <w:pPr>
        <w:spacing w:line="480" w:lineRule="auto"/>
        <w:jc w:val="both"/>
        <w:rPr>
          <w:rFonts w:ascii="Calibri" w:hAnsi="Calibri" w:cs="Arial"/>
          <w:lang w:val="en-GB"/>
        </w:rPr>
      </w:pPr>
    </w:p>
    <w:p w14:paraId="1C3F0F76" w14:textId="4E33C861" w:rsidR="00A360A3" w:rsidRDefault="00432B0D" w:rsidP="005837A4">
      <w:pPr>
        <w:spacing w:line="480" w:lineRule="auto"/>
        <w:jc w:val="both"/>
        <w:rPr>
          <w:rFonts w:ascii="Calibri" w:hAnsi="Calibri" w:cs="Arial"/>
          <w:lang w:val="en-GB"/>
        </w:rPr>
      </w:pPr>
      <w:r>
        <w:rPr>
          <w:rFonts w:ascii="Calibri" w:hAnsi="Calibri" w:cs="Arial"/>
          <w:lang w:val="en-GB"/>
        </w:rPr>
        <w:t>Encouragingly,</w:t>
      </w:r>
      <w:r w:rsidR="00F306F0">
        <w:rPr>
          <w:rFonts w:ascii="Calibri" w:hAnsi="Calibri" w:cs="Arial"/>
          <w:lang w:val="en-GB"/>
        </w:rPr>
        <w:t xml:space="preserve"> single antisense</w:t>
      </w:r>
      <w:r w:rsidR="006E74AE">
        <w:rPr>
          <w:rFonts w:ascii="Calibri" w:hAnsi="Calibri" w:cs="Arial"/>
          <w:lang w:val="en-GB"/>
        </w:rPr>
        <w:t xml:space="preserve"> studies </w:t>
      </w:r>
      <w:r w:rsidR="006E74AE">
        <w:rPr>
          <w:rFonts w:ascii="Calibri" w:hAnsi="Calibri" w:cs="Arial"/>
          <w:i/>
          <w:lang w:val="en-GB"/>
        </w:rPr>
        <w:t>in vitro</w:t>
      </w:r>
      <w:r w:rsidR="00043BDF">
        <w:rPr>
          <w:rFonts w:ascii="Calibri" w:hAnsi="Calibri" w:cs="Arial"/>
          <w:lang w:val="en-GB"/>
        </w:rPr>
        <w:t>,</w:t>
      </w:r>
      <w:r w:rsidR="006E74AE">
        <w:rPr>
          <w:rFonts w:ascii="Calibri" w:hAnsi="Calibri" w:cs="Arial"/>
          <w:i/>
          <w:lang w:val="en-GB"/>
        </w:rPr>
        <w:t xml:space="preserve"> </w:t>
      </w:r>
      <w:r w:rsidR="006E74AE">
        <w:rPr>
          <w:rFonts w:ascii="Calibri" w:hAnsi="Calibri" w:cs="Arial"/>
          <w:lang w:val="en-GB"/>
        </w:rPr>
        <w:t>in rodents</w:t>
      </w:r>
      <w:r w:rsidR="00043BDF">
        <w:rPr>
          <w:rFonts w:ascii="Calibri" w:hAnsi="Calibri" w:cs="Arial"/>
          <w:lang w:val="en-GB"/>
        </w:rPr>
        <w:t xml:space="preserve"> and non-human primates</w:t>
      </w:r>
      <w:r w:rsidR="006E74AE">
        <w:rPr>
          <w:rFonts w:ascii="Calibri" w:hAnsi="Calibri" w:cs="Arial"/>
          <w:lang w:val="en-GB"/>
        </w:rPr>
        <w:t xml:space="preserve"> </w:t>
      </w:r>
      <w:r w:rsidR="00221162">
        <w:rPr>
          <w:rFonts w:ascii="Calibri" w:hAnsi="Calibri" w:cs="Arial"/>
          <w:lang w:val="en-GB"/>
        </w:rPr>
        <w:fldChar w:fldCharType="begin" w:fldLock="1"/>
      </w:r>
      <w:r w:rsidR="00FF7407">
        <w:rPr>
          <w:rFonts w:ascii="Calibri" w:hAnsi="Calibri" w:cs="Arial"/>
          <w:lang w:val="en-GB"/>
        </w:rPr>
        <w:instrText>ADDIN CSL_CITATION { "citationItems" : [ { "id" : "ITEM-1", "itemData" : { "DOI" : "10.1089/108729001753231678", "ISSN" : "1087-2906", "PMID" : "11763346", "abstract" : "Granulocyte-macrophage colony-stimulating factor (GM-CSF), interleukin-3 (IL-3), and IL-5 play a key role in allergic inflammation. They mediate their effect via receptors that consist of two distinct subunits, a cytokine-specific alpha subunit and a common beta subunit (betac) that transduces cell signaling. We sought to down-regulate the biologic activities of GM-CSF, IL-3, and IL-5 simultaneously by inhibiting betac mRNA expression with antisense technology. Experiments were performed with TF-1 cells (a human erythroleukemia cell line expressing GM-CSF, IL-3, and IL-5 receptors, which proliferates in response to these cytokines), monocytic U937 cells, which require these cytokines for differentiation, and purified human eosinophils. Cells were treated with antisense phosphorothioate oligodeoxynucleotides (ODN) targeting betac mRNA. In contrast to nontreated cells and cells treated by sense or mismatched ODN, antisense ODN inhibited betac mRNA expression and significantly decreased the level of cell surface betac protein expression on TF-1 and U937 cells. Receptor function was also affected. Antisense ODN were able to inhibit TF-1 cell proliferation in vitro in the presence of GM-CSF, IL-3, or IL-5 in the culture medium and eosinophil survival. We suggest that antisense ODN against betac may provide a new therapeutic alternative for the treatment of neoplastic or allergic diseases associated with eosinophilic inflammation.", "author" : [ { "dropping-particle" : "", "family" : "Allam", "given" : "M", "non-dropping-particle" : "", "parse-names" : false, "suffix" : "" }, { "dropping-particle" : "", "family" : "Renzi", "given" : "P M", "non-dropping-particle" : "", "parse-names" : false, "suffix" : "" } ], "container-title" : "Antisense &amp; nucleic acid drug development", "id" : "ITEM-1", "issue" : "5", "issued" : { "date-parts" : [ [ "2001", "10" ] ] }, "page" : "289-300", "title" : "Inhibition of GM-CSF/IL-3/IL-5 signaling by antisense oligodeoxynucleotides targeting the common beta chain of their receptors.", "type" : "article-journal", "volume" : "11" }, "uris" : [ "http://www.mendeley.com/documents/?uuid=4718f6f1-823e-48c8-ac88-e72026614ffb" ] }, { "id" : "ITEM-2", "itemData" : { "DOI" : "10.1164/ajrccm.165.7.2109095", "ISSN" : "1073-449X", "PMID" : "11934731", "abstract" : "Airway obstruction, hyperresponsiveness, and the accumulation and persistence within the airways of inflammatory cells characterize asthma. Interleukin (IL)-3, granulocyte macrophage colony- stimulating factor (GM-CSF), and IL-5 are among several cytokines that have been shown to be increased in asthma and to contribute to atopic inflammation. They mediate their effect via receptors that have a common beta subunit (beta(c)). We hypothesized that blocking of this common beta(c) would impair the airway response to antigen. We report that an antisense (AS) phosphorothioate oligodeoxynucleotide (ODN) found to specifically inhibit transcription of the beta(c) in rat bone marrow cells also caused inhibition of beta(c) mRNA expression and of immunoreactive cells within the lungs of Brown Norway (BN) rats when injected intratracheally (p &lt; 0.01). Inhibition of beta(c) significantly reduced (p &lt; 0.01) experimentally induced eosinophilia in vivo in ovalbumin (OVA)-sensitized BN rats after antigen challenge. Furthermore, when compared with mismatch-treated rats, beta(c) AS-ODN caused inhibition of antigen-induced airway hyperresponsiveness to leukotriene D4. Taken together, our findings demonstrate that the common beta(c) of IL-3, IL-5, and GM-CSF receptors is involved in the eosinophil influx and airway hyperresponsiveness that follow OVA challenge and underscore the potential utility of a topical antisense approach targeting beta(c) for the treatment of asthma.", "author" : [ { "dropping-particle" : "", "family" : "Allakhverdi", "given" : "Zoulfia", "non-dropping-particle" : "", "parse-names" : false, "suffix" : "" }, { "dropping-particle" : "", "family" : "Allam", "given" : "Mustapha", "non-dropping-particle" : "", "parse-names" : false, "suffix" : "" }, { "dropping-particle" : "", "family" : "Renzi", "given" : "Paolo M", "non-dropping-particle" : "", "parse-names" : false, "suffix" : "" } ], "container-title" : "American journal of respiratory and critical care medicine", "id" : "ITEM-2", "issue" : "7", "issued" : { "date-parts" : [ [ "2002", "4", "1" ] ] }, "language" : "EN", "page" : "1015-21", "publisher" : "American Thoracic SocietyNew York, NY", "title" : "Inhibition of antigen-induced eosinophilia and airway hyperresponsiveness by antisense oligonucleotides directed against the common beta chain of IL-3, IL-5, GM-CSF receptors in a rat model of allergic asthma.", "type" : "article-journal", "volume" : "165" }, "uris" : [ "http://www.mendeley.com/documents/?uuid=1c5c61ca-3caa-45e3-9580-4dcce8fd71ea" ] }, { "id" : "ITEM-3", "itemData" : { "DOI" : "10.1089/oli.2006.16.203", "ISSN" : "1545-4576", "PMID" : "16978084", "abstract" : "Asthma is characterized by airway hyperresponsiveness (AHR) and inflammation, consisting predominantly of eosinophils within the airway lumen and walls. Eosinophil recruitment to the airways is mediated mainly by eotaxin and other chemokines that bind to the CC-chemokine receptor-3 (CCR3), which is highly expressed on eosinophils. This study assessed whether topical inhibition of CCR3 mRNA expression by phosphorothioate antisense oligodeoxynucleotides (AS-ODNs) modifies pulmonary eosinophilia and AHR in an antigen-induced allergic asthma model in Brown Norway (BN) rats. Results show that specific inhibition of CCR3 expression in the lungs by an AS-ODN (AS4) reduced total eosinophil infiltration and the percentage of eosinophils into the airways of ovalbumin challenged rats. Moreover, reduction in CCR3 mRNA levels was correlated with a decrease in CCR3 protein in lung tissue. In addition, AS4 treatment had no effect on circulating eosinophils or on eosinophils in the bone marrow. Finally, AHR was significantly decreased in AS4-treated rats when compared with rats treated with a mismatch AS-ODN. In conclusion, inhibition of the expression of CCR3 decreased pulmonary eosinophilia and reduced AHR after antigen challenge in rats. Topical inhibition of CCR3 expression, using an AS-ODN, could represent a novel approach for the treatment of asthma.", "author" : [ { "dropping-particle" : "", "family" : "Fortin", "given" : "Maryl\u00e8ne", "non-dropping-particle" : "", "parse-names" : false, "suffix" : "" }, { "dropping-particle" : "", "family" : "Ferrari", "given" : "Nicolay", "non-dropping-particle" : "", "parse-names" : false, "suffix" : "" }, { "dropping-particle" : "", "family" : "Higgins", "given" : "Marie-Eve", "non-dropping-particle" : "", "parse-names" : false, "suffix" : "" }, { "dropping-particle" : "", "family" : "S\u00e9guin", "given" : "Serge", "non-dropping-particle" : "", "parse-names" : false, "suffix" : "" }, { "dropping-particle" : "", "family" : "Allam", "given" : "Mustapha", "non-dropping-particle" : "", "parse-names" : false, "suffix" : "" }, { "dropping-particle" : "", "family" : "Allakhverdi", "given" : "Zoulfia", "non-dropping-particle" : "", "parse-names" : false, "suffix" : "" }, { "dropping-particle" : "", "family" : "Piaget-Rodriguez", "given" : "Carmen", "non-dropping-particle" : "", "parse-names" : false, "suffix" : "" }, { "dropping-particle" : "", "family" : "Paquet", "given" : "Luc", "non-dropping-particle" : "", "parse-names" : false, "suffix" : "" }, { "dropping-particle" : "", "family" : "Renzi", "given" : "Paolo M", "non-dropping-particle" : "", "parse-names" : false, "suffix" : "" } ], "container-title" : "Oligonucleotides", "id" : "ITEM-3", "issue" : "3", "issued" : { "date-parts" : [ [ "2006", "1" ] ] }, "page" : "203-12", "title" : "Effects of antisense oligodeoxynucleotides targeting CCR3 on the airway response to antigen in rats.", "type" : "article-journal", "volume" : "16" }, "uris" : [ "http://www.mendeley.com/documents/?uuid=3361e6cd-8c05-47cf-bb5f-9dd53a24e938" ] }, { "id" : "ITEM-4", "itemData" : { "DOI" : "10.1196/annals.1348.047", "ISSN" : "0077-8923", "PMID" : "17145927", "abstract" : "Asthma is characterized by inflammation and hyperresponsiveness related to the accumulation of inflammatory cells, particularly eosinophils, within the airways. We tested the hypothesis that a multitargeted approach is better than a single-targeted approach in a rat model of asthma. We simultaneously delivered oligonucleotides (ODNs) targeting the chemokine receptor CCR3 and the common beta chain subunit of the receptors for IL-3, IL-5, and GM-CSF at the time of ovalbumin challenge in sensitized Brown Norway rats. Fewer eosinophils were detected in bronchoalveolar lavage (BAL) of rats treated with both ODNs as compared to each ODN alone. Moreover, airway responsiveness to LTD(4) was significantly decreased at lower doses in the 2 ODN-treated groups compared to a single ODN. As ODN therapy has raised concerns of toxicity we therefore examined ODNs prepared with modified DNA bases, specifically 2'amino, 2'deoxyadenosine (DAP) in place of adenosine. In vivo, administration of individual DAP-ODN was efficacious in inhibiting airway hyperresponsiveness, whereas delivery of 2 DAP-ODNs (targeting CCR3 and common beta chain) reduced the influx not only of eosinophils but also lymphocytes and macrophages in the lungs of rats as compared to the unmodified ODNs. Blocking multiple inflammatory pathways simultaneously is more effective in preventing eosinophilia and airway hyperresponsiveness than inhibiting either pathway alone. The challenges associated with the development of a product containing two oligonucleotides in humans are discussed.", "author" : [ { "dropping-particle" : "", "family" : "Allakhverdi", "given" : "Z", "non-dropping-particle" : "", "parse-names" : false, "suffix" : "" }, { "dropping-particle" : "", "family" : "Allam", "given" : "M", "non-dropping-particle" : "", "parse-names" : false, "suffix" : "" }, { "dropping-particle" : "", "family" : "Guimond", "given" : "A", "non-dropping-particle" : "", "parse-names" : false, "suffix" : "" }, { "dropping-particle" : "", "family" : "Ferrari", "given" : "N", "non-dropping-particle" : "", "parse-names" : false, "suffix" : "" }, { "dropping-particle" : "", "family" : "Zemzoumi", "given" : "K", "non-dropping-particle" : "", "parse-names" : false, "suffix" : "" }, { "dropping-particle" : "", "family" : "S\u00e9guin", "given" : "R", "non-dropping-particle" : "", "parse-names" : false, "suffix" : "" }, { "dropping-particle" : "", "family" : "Paquet", "given" : "L", "non-dropping-particle" : "", "parse-names" : false, "suffix" : "" }, { "dropping-particle" : "", "family" : "Renzi", "given" : "P M", "non-dropping-particle" : "", "parse-names" : false, "suffix" : "" } ], "container-title" : "Annals of the New York Academy of Sciences", "id" : "ITEM-4", "issued" : { "date-parts" : [ [ "2006", "10" ] ] }, "page" : "62-73", "title" : "Multitargeted approach using antisense oligonucleotides for the treatment of asthma.", "type" : "article-journal", "volume" : "1082" }, "uris" : [ "http://www.mendeley.com/documents/?uuid=6e0ec2ab-8fe5-4515-9586-9476d72dc854" ] } ], "mendeley" : { "formattedCitation" : "(Z Allakhverdi et al., 2006; Zoulfia Allakhverdi, Allam, &amp; Renzi, 2002; Allam &amp; Renzi, 2001; Fortin et al., 2006)", "plainTextFormattedCitation" : "(Z Allakhverdi et al., 2006; Zoulfia Allakhverdi, Allam, &amp; Renzi, 2002; Allam &amp; Renzi, 2001; Fortin et al., 2006)", "previouslyFormattedCitation" : "(Z Allakhverdi et al., 2006; Zoulfia Allakhverdi, Allam, &amp; Renzi, 2002; Allam &amp; Renzi, 2001; Fortin et al., 2006)" }, "properties" : { "noteIndex" : 0 }, "schema" : "https://github.com/citation-style-language/schema/raw/master/csl-citation.json" }</w:instrText>
      </w:r>
      <w:r w:rsidR="00221162">
        <w:rPr>
          <w:rFonts w:ascii="Calibri" w:hAnsi="Calibri" w:cs="Arial"/>
          <w:lang w:val="en-GB"/>
        </w:rPr>
        <w:fldChar w:fldCharType="separate"/>
      </w:r>
      <w:r w:rsidR="00221162" w:rsidRPr="00221162">
        <w:rPr>
          <w:rFonts w:ascii="Calibri" w:hAnsi="Calibri" w:cs="Arial"/>
          <w:noProof/>
          <w:lang w:val="en-GB"/>
        </w:rPr>
        <w:t>(Z Allakhverdi et al., 2006; Zoulfia Allakhverdi, Allam, &amp; Renzi, 2002; Allam &amp; Renzi, 2001; Fortin et al., 2006)</w:t>
      </w:r>
      <w:r w:rsidR="00221162">
        <w:rPr>
          <w:rFonts w:ascii="Calibri" w:hAnsi="Calibri" w:cs="Arial"/>
          <w:lang w:val="en-GB"/>
        </w:rPr>
        <w:fldChar w:fldCharType="end"/>
      </w:r>
      <w:r>
        <w:rPr>
          <w:rFonts w:ascii="Calibri" w:hAnsi="Calibri" w:cs="Arial"/>
          <w:lang w:val="en-GB"/>
        </w:rPr>
        <w:t xml:space="preserve"> were positive, suggesting effective target </w:t>
      </w:r>
      <w:r w:rsidR="00043BDF">
        <w:rPr>
          <w:rFonts w:ascii="Calibri" w:hAnsi="Calibri" w:cs="Arial"/>
          <w:lang w:val="en-GB"/>
        </w:rPr>
        <w:t>knockdown</w:t>
      </w:r>
      <w:r>
        <w:rPr>
          <w:rFonts w:ascii="Calibri" w:hAnsi="Calibri" w:cs="Arial"/>
          <w:lang w:val="en-GB"/>
        </w:rPr>
        <w:t xml:space="preserve"> at </w:t>
      </w:r>
      <w:r w:rsidR="00D75128">
        <w:rPr>
          <w:rFonts w:ascii="Calibri" w:hAnsi="Calibri" w:cs="Arial"/>
          <w:lang w:val="en-GB"/>
        </w:rPr>
        <w:t xml:space="preserve">both </w:t>
      </w:r>
      <w:r>
        <w:rPr>
          <w:rFonts w:ascii="Calibri" w:hAnsi="Calibri" w:cs="Arial"/>
          <w:lang w:val="en-GB"/>
        </w:rPr>
        <w:t>the</w:t>
      </w:r>
      <w:r w:rsidR="006E74AE">
        <w:rPr>
          <w:rFonts w:ascii="Calibri" w:hAnsi="Calibri" w:cs="Arial"/>
          <w:lang w:val="en-GB"/>
        </w:rPr>
        <w:t xml:space="preserve"> </w:t>
      </w:r>
      <w:r w:rsidR="00696FB6">
        <w:rPr>
          <w:rFonts w:ascii="Calibri" w:hAnsi="Calibri" w:cs="Arial"/>
          <w:lang w:val="en-GB"/>
        </w:rPr>
        <w:t xml:space="preserve">RNA </w:t>
      </w:r>
      <w:r w:rsidR="006E74AE">
        <w:rPr>
          <w:rFonts w:ascii="Calibri" w:hAnsi="Calibri" w:cs="Arial"/>
          <w:lang w:val="en-GB"/>
        </w:rPr>
        <w:t xml:space="preserve">and </w:t>
      </w:r>
      <w:r w:rsidR="00696FB6">
        <w:rPr>
          <w:rFonts w:ascii="Calibri" w:hAnsi="Calibri" w:cs="Arial"/>
          <w:lang w:val="en-GB"/>
        </w:rPr>
        <w:t>protein</w:t>
      </w:r>
      <w:r>
        <w:rPr>
          <w:rFonts w:ascii="Calibri" w:hAnsi="Calibri" w:cs="Arial"/>
          <w:lang w:val="en-GB"/>
        </w:rPr>
        <w:t xml:space="preserve"> level</w:t>
      </w:r>
      <w:r w:rsidR="00221162">
        <w:rPr>
          <w:rFonts w:ascii="Calibri" w:hAnsi="Calibri" w:cs="Arial"/>
          <w:lang w:val="en-GB"/>
        </w:rPr>
        <w:t xml:space="preserve"> </w:t>
      </w:r>
      <w:r w:rsidR="00651307">
        <w:rPr>
          <w:rFonts w:ascii="Calibri" w:hAnsi="Calibri" w:cs="Arial"/>
          <w:lang w:val="en-GB"/>
        </w:rPr>
        <w:t xml:space="preserve">(CCR3 and </w:t>
      </w:r>
      <w:r w:rsidR="00651307" w:rsidRPr="00D450D2">
        <w:rPr>
          <w:rFonts w:ascii="Symbol" w:hAnsi="Symbol"/>
        </w:rPr>
        <w:t></w:t>
      </w:r>
      <w:r w:rsidR="00651307">
        <w:t>c)</w:t>
      </w:r>
      <w:r w:rsidR="00651307">
        <w:rPr>
          <w:rFonts w:ascii="Calibri" w:hAnsi="Calibri" w:cs="Arial"/>
          <w:lang w:val="en-GB"/>
        </w:rPr>
        <w:t xml:space="preserve"> </w:t>
      </w:r>
      <w:r w:rsidR="00221162">
        <w:rPr>
          <w:rFonts w:ascii="Calibri" w:hAnsi="Calibri" w:cs="Arial"/>
          <w:lang w:val="en-GB"/>
        </w:rPr>
        <w:t xml:space="preserve">in tissue and </w:t>
      </w:r>
      <w:r w:rsidR="00221162">
        <w:rPr>
          <w:rFonts w:ascii="Calibri" w:hAnsi="Calibri" w:cs="Arial"/>
          <w:i/>
          <w:lang w:val="en-GB"/>
        </w:rPr>
        <w:t xml:space="preserve">ex vivo </w:t>
      </w:r>
      <w:r w:rsidR="00221162">
        <w:rPr>
          <w:rFonts w:ascii="Calibri" w:hAnsi="Calibri" w:cs="Arial"/>
          <w:lang w:val="en-GB"/>
        </w:rPr>
        <w:t>cell studies,</w:t>
      </w:r>
      <w:r w:rsidR="00D75128">
        <w:rPr>
          <w:rFonts w:ascii="Calibri" w:hAnsi="Calibri" w:cs="Arial"/>
          <w:lang w:val="en-GB"/>
        </w:rPr>
        <w:t xml:space="preserve"> in </w:t>
      </w:r>
      <w:r w:rsidR="00043BDF">
        <w:rPr>
          <w:rFonts w:ascii="Calibri" w:hAnsi="Calibri" w:cs="Arial"/>
          <w:lang w:val="en-GB"/>
        </w:rPr>
        <w:t>line with reduced airway eosinophilia and hyper</w:t>
      </w:r>
      <w:r w:rsidR="00FF7407">
        <w:rPr>
          <w:rFonts w:ascii="Calibri" w:hAnsi="Calibri" w:cs="Arial"/>
          <w:lang w:val="en-GB"/>
        </w:rPr>
        <w:t>-</w:t>
      </w:r>
      <w:r w:rsidR="00043BDF">
        <w:rPr>
          <w:rFonts w:ascii="Calibri" w:hAnsi="Calibri" w:cs="Arial"/>
          <w:lang w:val="en-GB"/>
        </w:rPr>
        <w:t>responsiveness after allergen challenge</w:t>
      </w:r>
      <w:r w:rsidR="00B138A9">
        <w:rPr>
          <w:rFonts w:ascii="Calibri" w:hAnsi="Calibri" w:cs="Arial"/>
          <w:lang w:val="en-GB"/>
        </w:rPr>
        <w:t>.</w:t>
      </w:r>
      <w:r w:rsidR="000A487B">
        <w:rPr>
          <w:rFonts w:ascii="Calibri" w:hAnsi="Calibri" w:cs="Arial"/>
          <w:lang w:val="en-GB"/>
        </w:rPr>
        <w:t xml:space="preserve"> </w:t>
      </w:r>
      <w:r w:rsidR="00221162">
        <w:rPr>
          <w:rFonts w:ascii="Calibri" w:hAnsi="Calibri" w:cs="Arial"/>
          <w:lang w:val="en-GB"/>
        </w:rPr>
        <w:t xml:space="preserve">However, the </w:t>
      </w:r>
      <w:r w:rsidR="00651307">
        <w:rPr>
          <w:rFonts w:ascii="Calibri" w:hAnsi="Calibri" w:cs="Arial"/>
          <w:lang w:val="en-GB"/>
        </w:rPr>
        <w:t xml:space="preserve">gel-based </w:t>
      </w:r>
      <w:r w:rsidR="00221162">
        <w:rPr>
          <w:rFonts w:ascii="Calibri" w:hAnsi="Calibri" w:cs="Arial"/>
          <w:lang w:val="en-GB"/>
        </w:rPr>
        <w:t xml:space="preserve">RNA quantification methodology used was poorly quantitative and </w:t>
      </w:r>
      <w:r w:rsidR="000A487B">
        <w:rPr>
          <w:rFonts w:ascii="Calibri" w:hAnsi="Calibri" w:cs="Arial"/>
          <w:lang w:val="en-GB"/>
        </w:rPr>
        <w:t>no</w:t>
      </w:r>
      <w:r>
        <w:rPr>
          <w:rFonts w:ascii="Calibri" w:hAnsi="Calibri" w:cs="Arial"/>
          <w:lang w:val="en-GB"/>
        </w:rPr>
        <w:t xml:space="preserve"> explicit MOA results </w:t>
      </w:r>
      <w:r>
        <w:rPr>
          <w:rFonts w:ascii="Calibri" w:hAnsi="Calibri" w:cs="Arial"/>
          <w:lang w:val="en-GB"/>
        </w:rPr>
        <w:lastRenderedPageBreak/>
        <w:t>such as</w:t>
      </w:r>
      <w:r w:rsidR="000A487B">
        <w:rPr>
          <w:rFonts w:ascii="Calibri" w:hAnsi="Calibri" w:cs="Arial"/>
          <w:lang w:val="en-GB"/>
        </w:rPr>
        <w:t xml:space="preserve"> 5’-RACE</w:t>
      </w:r>
      <w:r w:rsidR="00D75128">
        <w:rPr>
          <w:rFonts w:ascii="Calibri" w:hAnsi="Calibri" w:cs="Arial"/>
          <w:lang w:val="en-GB"/>
        </w:rPr>
        <w:t xml:space="preserve"> were reported</w:t>
      </w:r>
      <w:r w:rsidR="00221162">
        <w:rPr>
          <w:rFonts w:ascii="Calibri" w:hAnsi="Calibri" w:cs="Arial"/>
          <w:lang w:val="en-GB"/>
        </w:rPr>
        <w:t xml:space="preserve"> throughout this work</w:t>
      </w:r>
      <w:r w:rsidR="00A360A3">
        <w:rPr>
          <w:rFonts w:ascii="Calibri" w:hAnsi="Calibri" w:cs="Arial"/>
          <w:lang w:val="en-GB"/>
        </w:rPr>
        <w:t xml:space="preserve">. </w:t>
      </w:r>
      <w:r w:rsidR="00DA7FEC">
        <w:rPr>
          <w:rFonts w:ascii="Calibri" w:hAnsi="Calibri" w:cs="Arial"/>
          <w:lang w:val="en-GB"/>
        </w:rPr>
        <w:t>Interestingly</w:t>
      </w:r>
      <w:r w:rsidR="00A360A3">
        <w:rPr>
          <w:rFonts w:ascii="Calibri" w:hAnsi="Calibri" w:cs="Arial"/>
          <w:lang w:val="en-GB"/>
        </w:rPr>
        <w:t xml:space="preserve">, </w:t>
      </w:r>
      <w:r w:rsidR="00DA7FEC">
        <w:rPr>
          <w:rFonts w:ascii="Calibri" w:hAnsi="Calibri" w:cs="Arial"/>
          <w:lang w:val="en-GB"/>
        </w:rPr>
        <w:t xml:space="preserve">additive </w:t>
      </w:r>
      <w:r w:rsidR="006E74AE">
        <w:rPr>
          <w:rFonts w:ascii="Calibri" w:hAnsi="Calibri" w:cs="Arial"/>
          <w:lang w:val="en-GB"/>
        </w:rPr>
        <w:t xml:space="preserve">effects were </w:t>
      </w:r>
      <w:r w:rsidR="00D75128">
        <w:rPr>
          <w:rFonts w:ascii="Calibri" w:hAnsi="Calibri" w:cs="Arial"/>
          <w:lang w:val="en-GB"/>
        </w:rPr>
        <w:t>observed</w:t>
      </w:r>
      <w:r w:rsidR="00651307">
        <w:rPr>
          <w:rFonts w:ascii="Calibri" w:hAnsi="Calibri" w:cs="Arial"/>
          <w:lang w:val="en-GB"/>
        </w:rPr>
        <w:t xml:space="preserve"> for the two drugs</w:t>
      </w:r>
      <w:r w:rsidR="00D75128">
        <w:rPr>
          <w:rFonts w:ascii="Calibri" w:hAnsi="Calibri" w:cs="Arial"/>
          <w:lang w:val="en-GB"/>
        </w:rPr>
        <w:t xml:space="preserve"> </w:t>
      </w:r>
      <w:r w:rsidR="006E74AE">
        <w:rPr>
          <w:rFonts w:ascii="Calibri" w:hAnsi="Calibri" w:cs="Arial"/>
          <w:lang w:val="en-GB"/>
        </w:rPr>
        <w:t>in rat models</w:t>
      </w:r>
      <w:r w:rsidR="00AE7E22">
        <w:rPr>
          <w:rFonts w:ascii="Calibri" w:hAnsi="Calibri" w:cs="Arial"/>
          <w:lang w:val="en-GB"/>
        </w:rPr>
        <w:t xml:space="preserve">, such as reduction of lymphocyte and macrophage recruitment after challenge </w:t>
      </w:r>
      <w:r w:rsidR="006E74AE">
        <w:rPr>
          <w:rFonts w:ascii="Calibri" w:hAnsi="Calibri" w:cs="Arial"/>
          <w:lang w:val="en-GB"/>
        </w:rPr>
        <w:fldChar w:fldCharType="begin" w:fldLock="1"/>
      </w:r>
      <w:r w:rsidR="006E74AE">
        <w:rPr>
          <w:rFonts w:ascii="Calibri" w:hAnsi="Calibri" w:cs="Arial"/>
          <w:lang w:val="en-GB"/>
        </w:rPr>
        <w:instrText>ADDIN CSL_CITATION { "citationItems" : [ { "id" : "ITEM-1", "itemData" : { "DOI" : "10.1196/annals.1348.047", "ISSN" : "0077-8923", "PMID" : "17145927", "abstract" : "Asthma is characterized by inflammation and hyperresponsiveness related to the accumulation of inflammatory cells, particularly eosinophils, within the airways. We tested the hypothesis that a multitargeted approach is better than a single-targeted approach in a rat model of asthma. We simultaneously delivered oligonucleotides (ODNs) targeting the chemokine receptor CCR3 and the common beta chain subunit of the receptors for IL-3, IL-5, and GM-CSF at the time of ovalbumin challenge in sensitized Brown Norway rats. Fewer eosinophils were detected in bronchoalveolar lavage (BAL) of rats treated with both ODNs as compared to each ODN alone. Moreover, airway responsiveness to LTD(4) was significantly decreased at lower doses in the 2 ODN-treated groups compared to a single ODN. As ODN therapy has raised concerns of toxicity we therefore examined ODNs prepared with modified DNA bases, specifically 2'amino, 2'deoxyadenosine (DAP) in place of adenosine. In vivo, administration of individual DAP-ODN was efficacious in inhibiting airway hyperresponsiveness, whereas delivery of 2 DAP-ODNs (targeting CCR3 and common beta chain) reduced the influx not only of eosinophils but also lymphocytes and macrophages in the lungs of rats as compared to the unmodified ODNs. Blocking multiple inflammatory pathways simultaneously is more effective in preventing eosinophilia and airway hyperresponsiveness than inhibiting either pathway alone. The challenges associated with the development of a product containing two oligonucleotides in humans are discussed.", "author" : [ { "dropping-particle" : "", "family" : "Allakhverdi", "given" : "Z", "non-dropping-particle" : "", "parse-names" : false, "suffix" : "" }, { "dropping-particle" : "", "family" : "Allam", "given" : "M", "non-dropping-particle" : "", "parse-names" : false, "suffix" : "" }, { "dropping-particle" : "", "family" : "Guimond", "given" : "A", "non-dropping-particle" : "", "parse-names" : false, "suffix" : "" }, { "dropping-particle" : "", "family" : "Ferrari", "given" : "N", "non-dropping-particle" : "", "parse-names" : false, "suffix" : "" }, { "dropping-particle" : "", "family" : "Zemzoumi", "given" : "K", "non-dropping-particle" : "", "parse-names" : false, "suffix" : "" }, { "dropping-particle" : "", "family" : "S\u00e9guin", "given" : "R", "non-dropping-particle" : "", "parse-names" : false, "suffix" : "" }, { "dropping-particle" : "", "family" : "Paquet", "given" : "L", "non-dropping-particle" : "", "parse-names" : false, "suffix" : "" }, { "dropping-particle" : "", "family" : "Renzi", "given" : "P M", "non-dropping-particle" : "", "parse-names" : false, "suffix" : "" } ], "container-title" : "Annals of the New York Academy of Sciences", "id" : "ITEM-1", "issued" : { "date-parts" : [ [ "2006", "10" ] ] }, "page" : "62-73", "title" : "Multitargeted approach using antisense oligonucleotides for the treatment of asthma.", "type" : "article-journal", "volume" : "1082" }, "uris" : [ "http://www.mendeley.com/documents/?uuid=6e0ec2ab-8fe5-4515-9586-9476d72dc854" ] } ], "mendeley" : { "formattedCitation" : "(Z Allakhverdi et al., 2006)", "plainTextFormattedCitation" : "(Z Allakhverdi et al., 2006)", "previouslyFormattedCitation" : "(Z Allakhverdi et al., 2006)" }, "properties" : { "noteIndex" : 0 }, "schema" : "https://github.com/citation-style-language/schema/raw/master/csl-citation.json" }</w:instrText>
      </w:r>
      <w:r w:rsidR="006E74AE">
        <w:rPr>
          <w:rFonts w:ascii="Calibri" w:hAnsi="Calibri" w:cs="Arial"/>
          <w:lang w:val="en-GB"/>
        </w:rPr>
        <w:fldChar w:fldCharType="separate"/>
      </w:r>
      <w:r w:rsidR="006E74AE" w:rsidRPr="00E542D7">
        <w:rPr>
          <w:rFonts w:ascii="Calibri" w:hAnsi="Calibri" w:cs="Arial"/>
          <w:noProof/>
          <w:lang w:val="en-GB"/>
        </w:rPr>
        <w:t>(Z Allakhverdi et al., 2006)</w:t>
      </w:r>
      <w:r w:rsidR="006E74AE">
        <w:rPr>
          <w:rFonts w:ascii="Calibri" w:hAnsi="Calibri" w:cs="Arial"/>
          <w:lang w:val="en-GB"/>
        </w:rPr>
        <w:fldChar w:fldCharType="end"/>
      </w:r>
      <w:r w:rsidR="00A360A3">
        <w:rPr>
          <w:rFonts w:ascii="Calibri" w:hAnsi="Calibri" w:cs="Arial"/>
          <w:lang w:val="en-GB"/>
        </w:rPr>
        <w:t xml:space="preserve">. </w:t>
      </w:r>
      <w:r w:rsidR="00AE7E22">
        <w:rPr>
          <w:rFonts w:ascii="Calibri" w:hAnsi="Calibri" w:cs="Arial"/>
          <w:lang w:val="en-GB"/>
        </w:rPr>
        <w:t>Yet</w:t>
      </w:r>
      <w:r w:rsidR="00651307">
        <w:rPr>
          <w:rFonts w:ascii="Calibri" w:hAnsi="Calibri" w:cs="Arial"/>
          <w:lang w:val="en-GB"/>
        </w:rPr>
        <w:t xml:space="preserve"> the result</w:t>
      </w:r>
      <w:r w:rsidR="00DA7FEC">
        <w:rPr>
          <w:rFonts w:ascii="Calibri" w:hAnsi="Calibri" w:cs="Arial"/>
          <w:lang w:val="en-GB"/>
        </w:rPr>
        <w:t>s</w:t>
      </w:r>
      <w:r w:rsidR="00651307">
        <w:rPr>
          <w:rFonts w:ascii="Calibri" w:hAnsi="Calibri" w:cs="Arial"/>
          <w:lang w:val="en-GB"/>
        </w:rPr>
        <w:t xml:space="preserve"> </w:t>
      </w:r>
      <w:r w:rsidR="00DA7FEC">
        <w:rPr>
          <w:rFonts w:ascii="Calibri" w:hAnsi="Calibri" w:cs="Arial"/>
          <w:lang w:val="en-GB"/>
        </w:rPr>
        <w:t>o</w:t>
      </w:r>
      <w:r w:rsidR="00651307">
        <w:rPr>
          <w:rFonts w:ascii="Calibri" w:hAnsi="Calibri" w:cs="Arial"/>
          <w:lang w:val="en-GB"/>
        </w:rPr>
        <w:t>btained in non-human primates</w:t>
      </w:r>
      <w:r w:rsidR="00DA7FEC">
        <w:rPr>
          <w:rFonts w:ascii="Calibri" w:hAnsi="Calibri" w:cs="Arial"/>
          <w:lang w:val="en-GB"/>
        </w:rPr>
        <w:t xml:space="preserve"> was contradictory </w:t>
      </w:r>
      <w:r w:rsidR="00DA7FEC">
        <w:rPr>
          <w:rFonts w:ascii="Calibri" w:hAnsi="Calibri" w:cs="Arial"/>
          <w:lang w:val="en-GB"/>
        </w:rPr>
        <w:fldChar w:fldCharType="begin" w:fldLock="1"/>
      </w:r>
      <w:r w:rsidR="00DA7FEC">
        <w:rPr>
          <w:rFonts w:ascii="Calibri" w:hAnsi="Calibri" w:cs="Arial"/>
          <w:lang w:val="en-GB"/>
        </w:rPr>
        <w:instrText>ADDIN CSL_CITATION { "citationItems" : [ { "id" : "ITEM-1", "itemData" : { "DOI" : "10.1016/j.pupt.2008.08.001", "ISSN" : "1094-5539", "PMID" : "18761414", "abstract" : "TPI ASM8 and TPI 1100 are two products containing modified phosphorothioate antisense oligonucleotides (AONs), which are undergoing development for the treatment of asthma and chronic obstructive pulmonary disease (COPD), respectively. TPI ASM8 is comprised of two AONs, one targeting the human chemokine receptor 3 (CCR3) and the other targeting the common beta-chain of the IL-3/IL-5/GM-CSF receptors. TPI 1100 is also a dual-AON compound targeting the phosphodiesterase (PDE) 4 and 7 isotypes. For both products, the AONs are present in a 1:1 ratio by weight. Both products will be administered by inhalation to patients, and TPI ASM8 is currently undergoing Phase 2 clinical trials. As part of the safety assessment of both products, the toxicity and disposition (i.e., pharmacokinetics of the AON components in plasma and tissues) were investigated in 14-day inhalation studies in monkeys at doses ranging from 0.05 to 2.5mg/kg/day. Results indicated that both products were safe and well tolerated at all dose levels. Reversible treatment-related alterations were only observed at the high dose levels tested and were limited to changes in the respiratory tract which were characterized primarily by the presence of alveolar macrophages in the absence of a generalized inflammatory response. Plasma pharmacokinetic profiles showed very low plasma concentrations, and no plasma accumulation was observed after repeated doses. While significant amounts of the AONs of both TPI ASM8 and TPI 1100 were measured in trachea and lung, only limited amounts of the AONs could be measured in kidney and liver, which, in combination with the low plasma level data, is indicative of very low systemic exposure. Taken together, these results demonstrate that these two new AON-based products are safe and that delivery via the inhaled route achieves localized deposition in the pulmonary tract with very limited systemic exposure and reduced toxicity compared to other routes of AON administration.", "author" : [ { "dropping-particle" : "", "family" : "Guimond", "given" : "Alain", "non-dropping-particle" : "", "parse-names" : false, "suffix" : "" }, { "dropping-particle" : "", "family" : "Viau", "given" : "Elisabeth", "non-dropping-particle" : "", "parse-names" : false, "suffix" : "" }, { "dropping-particle" : "", "family" : "Aub\u00e9", "given" : "Pam\u00e9la", "non-dropping-particle" : "", "parse-names" : false, "suffix" : "" }, { "dropping-particle" : "", "family" : "Renzi", "given" : "Paolo M", "non-dropping-particle" : "", "parse-names" : false, "suffix" : "" }, { "dropping-particle" : "", "family" : "Paquet", "given" : "Luc", "non-dropping-particle" : "", "parse-names" : false, "suffix" : "" }, { "dropping-particle" : "", "family" : "Ferrari", "given" : "Nicolay", "non-dropping-particle" : "", "parse-names" : false, "suffix" : "" } ], "container-title" : "Pulmonary pharmacology &amp; therapeutics", "id" : "ITEM-1", "issue" : "6", "issued" : { "date-parts" : [ [ "2008", "12" ] ] }, "page" : "845-54", "title" : "Advantageous toxicity profile of inhaled antisense oligonucleotides following chronic dosing in non-human primates.", "type" : "article-journal", "volume" : "21" }, "uris" : [ "http://www.mendeley.com/documents/?uuid=823c9175-e5e9-4707-96d1-6cee0ee884fe" ] } ], "mendeley" : { "formattedCitation" : "(Guimond et al., 2008)", "plainTextFormattedCitation" : "(Guimond et al., 2008)", "previouslyFormattedCitation" : "(Guimond et al., 2008)" }, "properties" : { "noteIndex" : 0 }, "schema" : "https://github.com/citation-style-language/schema/raw/master/csl-citation.json" }</w:instrText>
      </w:r>
      <w:r w:rsidR="00DA7FEC">
        <w:rPr>
          <w:rFonts w:ascii="Calibri" w:hAnsi="Calibri" w:cs="Arial"/>
          <w:lang w:val="en-GB"/>
        </w:rPr>
        <w:fldChar w:fldCharType="separate"/>
      </w:r>
      <w:r w:rsidR="00DA7FEC" w:rsidRPr="00F90CD9">
        <w:rPr>
          <w:rFonts w:ascii="Calibri" w:hAnsi="Calibri" w:cs="Arial"/>
          <w:noProof/>
          <w:lang w:val="en-GB"/>
        </w:rPr>
        <w:t>(Guimond et al., 2008)</w:t>
      </w:r>
      <w:r w:rsidR="00DA7FEC">
        <w:rPr>
          <w:rFonts w:ascii="Calibri" w:hAnsi="Calibri" w:cs="Arial"/>
          <w:lang w:val="en-GB"/>
        </w:rPr>
        <w:fldChar w:fldCharType="end"/>
      </w:r>
      <w:r w:rsidR="00DA7FEC">
        <w:rPr>
          <w:rFonts w:ascii="Calibri" w:hAnsi="Calibri" w:cs="Arial"/>
          <w:lang w:val="en-GB"/>
        </w:rPr>
        <w:t>.</w:t>
      </w:r>
      <w:r w:rsidR="00651307">
        <w:rPr>
          <w:rFonts w:ascii="Calibri" w:hAnsi="Calibri" w:cs="Arial"/>
          <w:lang w:val="en-GB"/>
        </w:rPr>
        <w:t xml:space="preserve"> Thus,</w:t>
      </w:r>
      <w:r w:rsidR="00AE7E22">
        <w:rPr>
          <w:rFonts w:ascii="Calibri" w:hAnsi="Calibri" w:cs="Arial"/>
          <w:lang w:val="en-GB"/>
        </w:rPr>
        <w:t xml:space="preserve"> a</w:t>
      </w:r>
      <w:r w:rsidR="00A360A3">
        <w:rPr>
          <w:rFonts w:ascii="Calibri" w:hAnsi="Calibri" w:cs="Arial"/>
          <w:lang w:val="en-GB"/>
        </w:rPr>
        <w:t xml:space="preserve">s with AIR645, </w:t>
      </w:r>
      <w:r w:rsidR="006E74AE">
        <w:rPr>
          <w:rFonts w:ascii="Calibri" w:hAnsi="Calibri" w:cs="Arial"/>
          <w:lang w:val="en-GB"/>
        </w:rPr>
        <w:t>sporadic</w:t>
      </w:r>
      <w:r w:rsidR="00651307">
        <w:rPr>
          <w:rFonts w:ascii="Calibri" w:hAnsi="Calibri" w:cs="Arial"/>
          <w:lang w:val="en-GB"/>
        </w:rPr>
        <w:t>, but dose-dependent</w:t>
      </w:r>
      <w:r w:rsidR="006E74AE">
        <w:rPr>
          <w:rFonts w:ascii="Calibri" w:hAnsi="Calibri" w:cs="Arial"/>
          <w:lang w:val="en-GB"/>
        </w:rPr>
        <w:t xml:space="preserve"> evidence </w:t>
      </w:r>
      <w:r w:rsidR="00651307">
        <w:rPr>
          <w:rFonts w:ascii="Calibri" w:hAnsi="Calibri" w:cs="Arial"/>
          <w:lang w:val="en-GB"/>
        </w:rPr>
        <w:t xml:space="preserve">of </w:t>
      </w:r>
      <w:r w:rsidR="006E74AE">
        <w:rPr>
          <w:rFonts w:ascii="Calibri" w:hAnsi="Calibri" w:cs="Arial"/>
          <w:lang w:val="en-GB"/>
        </w:rPr>
        <w:t>macrophage accumulation and inflammation</w:t>
      </w:r>
      <w:r w:rsidR="00651307">
        <w:rPr>
          <w:rFonts w:ascii="Calibri" w:hAnsi="Calibri" w:cs="Arial"/>
          <w:lang w:val="en-GB"/>
        </w:rPr>
        <w:t xml:space="preserve"> was reported, </w:t>
      </w:r>
      <w:r w:rsidR="006E74AE">
        <w:rPr>
          <w:rFonts w:ascii="Calibri" w:hAnsi="Calibri" w:cs="Arial"/>
          <w:lang w:val="en-GB"/>
        </w:rPr>
        <w:t>principally at high doses; plasma detection</w:t>
      </w:r>
      <w:r w:rsidR="00AE7E22">
        <w:rPr>
          <w:rFonts w:ascii="Calibri" w:hAnsi="Calibri" w:cs="Arial"/>
          <w:lang w:val="en-GB"/>
        </w:rPr>
        <w:t xml:space="preserve"> of the drugs</w:t>
      </w:r>
      <w:r w:rsidR="006E74AE">
        <w:rPr>
          <w:rFonts w:ascii="Calibri" w:hAnsi="Calibri" w:cs="Arial"/>
          <w:lang w:val="en-GB"/>
        </w:rPr>
        <w:t xml:space="preserve"> was only achieved at the 2.5 mg/kg dose, with follow-on compounds detected also in the liver and kidney at the high dose only</w:t>
      </w:r>
      <w:r w:rsidR="00DA7FEC">
        <w:rPr>
          <w:rFonts w:ascii="Calibri" w:hAnsi="Calibri" w:cs="Arial"/>
          <w:lang w:val="en-GB"/>
        </w:rPr>
        <w:t>.</w:t>
      </w:r>
      <w:r w:rsidR="006E74AE">
        <w:rPr>
          <w:rFonts w:ascii="Calibri" w:hAnsi="Calibri" w:cs="Arial"/>
          <w:lang w:val="en-GB"/>
        </w:rPr>
        <w:t xml:space="preserve"> Curiously, very modest target </w:t>
      </w:r>
      <w:r w:rsidR="00F544E4">
        <w:rPr>
          <w:rFonts w:ascii="Calibri" w:hAnsi="Calibri" w:cs="Arial"/>
          <w:lang w:val="en-GB"/>
        </w:rPr>
        <w:t xml:space="preserve">knockdown </w:t>
      </w:r>
      <w:r w:rsidR="006E74AE">
        <w:rPr>
          <w:rFonts w:ascii="Calibri" w:hAnsi="Calibri" w:cs="Arial"/>
          <w:lang w:val="en-GB"/>
        </w:rPr>
        <w:t>was reported</w:t>
      </w:r>
      <w:r w:rsidR="00F544E4">
        <w:rPr>
          <w:rFonts w:ascii="Calibri" w:hAnsi="Calibri" w:cs="Arial"/>
          <w:lang w:val="en-GB"/>
        </w:rPr>
        <w:t xml:space="preserve"> (16% for CCR3 and 20% for </w:t>
      </w:r>
      <w:r w:rsidR="00F544E4" w:rsidRPr="00D450D2">
        <w:rPr>
          <w:rFonts w:ascii="Symbol" w:hAnsi="Symbol"/>
        </w:rPr>
        <w:t></w:t>
      </w:r>
      <w:r w:rsidR="00F544E4" w:rsidRPr="0034141D">
        <w:rPr>
          <w:rFonts w:ascii="Calibri" w:hAnsi="Calibri"/>
        </w:rPr>
        <w:t>c</w:t>
      </w:r>
      <w:r w:rsidR="00F544E4" w:rsidRPr="0047550C">
        <w:rPr>
          <w:rFonts w:ascii="Calibri" w:hAnsi="Calibri" w:cs="Arial"/>
          <w:lang w:val="en-GB"/>
        </w:rPr>
        <w:t>)</w:t>
      </w:r>
      <w:r w:rsidR="006E74AE">
        <w:rPr>
          <w:rFonts w:ascii="Calibri" w:hAnsi="Calibri" w:cs="Arial"/>
          <w:lang w:val="en-GB"/>
        </w:rPr>
        <w:t xml:space="preserve">, only </w:t>
      </w:r>
      <w:r w:rsidR="00F544E4">
        <w:rPr>
          <w:rFonts w:ascii="Calibri" w:hAnsi="Calibri" w:cs="Arial"/>
          <w:lang w:val="en-GB"/>
        </w:rPr>
        <w:t xml:space="preserve">in the </w:t>
      </w:r>
      <w:r w:rsidR="006E74AE">
        <w:rPr>
          <w:rFonts w:ascii="Calibri" w:hAnsi="Calibri" w:cs="Arial"/>
          <w:lang w:val="en-GB"/>
        </w:rPr>
        <w:t xml:space="preserve">tracheal tissue and not </w:t>
      </w:r>
      <w:r w:rsidR="00F544E4">
        <w:rPr>
          <w:rFonts w:ascii="Calibri" w:hAnsi="Calibri" w:cs="Arial"/>
          <w:lang w:val="en-GB"/>
        </w:rPr>
        <w:t xml:space="preserve">in </w:t>
      </w:r>
      <w:r w:rsidR="006E74AE">
        <w:rPr>
          <w:rFonts w:ascii="Calibri" w:hAnsi="Calibri" w:cs="Arial"/>
          <w:lang w:val="en-GB"/>
        </w:rPr>
        <w:t xml:space="preserve">the lung parenchyma. </w:t>
      </w:r>
    </w:p>
    <w:p w14:paraId="4DAC5EE8" w14:textId="77777777" w:rsidR="00F306F0" w:rsidRDefault="00F306F0" w:rsidP="005837A4">
      <w:pPr>
        <w:spacing w:line="480" w:lineRule="auto"/>
        <w:jc w:val="both"/>
        <w:rPr>
          <w:rFonts w:ascii="Calibri" w:hAnsi="Calibri" w:cs="Arial"/>
          <w:lang w:val="en-GB"/>
        </w:rPr>
      </w:pPr>
    </w:p>
    <w:p w14:paraId="537AFDCD" w14:textId="3DDF0B46" w:rsidR="004075E7" w:rsidRDefault="00A360A3" w:rsidP="005837A4">
      <w:pPr>
        <w:spacing w:line="480" w:lineRule="auto"/>
        <w:jc w:val="both"/>
        <w:rPr>
          <w:rFonts w:ascii="Calibri" w:hAnsi="Calibri" w:cs="Arial"/>
          <w:lang w:val="en-GB"/>
        </w:rPr>
      </w:pPr>
      <w:r>
        <w:rPr>
          <w:rFonts w:ascii="Calibri" w:hAnsi="Calibri" w:cs="Arial"/>
          <w:lang w:val="en-GB"/>
        </w:rPr>
        <w:t>Clinical</w:t>
      </w:r>
      <w:r w:rsidR="006E74AE">
        <w:rPr>
          <w:rFonts w:ascii="Calibri" w:hAnsi="Calibri" w:cs="Arial"/>
          <w:lang w:val="en-GB"/>
        </w:rPr>
        <w:t xml:space="preserve"> studies</w:t>
      </w:r>
      <w:r w:rsidR="00FF7407">
        <w:rPr>
          <w:rFonts w:ascii="Calibri" w:hAnsi="Calibri" w:cs="Arial"/>
          <w:lang w:val="en-GB"/>
        </w:rPr>
        <w:t xml:space="preserve"> </w:t>
      </w:r>
      <w:r w:rsidR="00FF7407">
        <w:rPr>
          <w:rFonts w:ascii="Calibri" w:hAnsi="Calibri" w:cs="Arial"/>
          <w:lang w:val="en-GB"/>
        </w:rPr>
        <w:fldChar w:fldCharType="begin" w:fldLock="1"/>
      </w:r>
      <w:r w:rsidR="00FF7407">
        <w:rPr>
          <w:rFonts w:ascii="Calibri" w:hAnsi="Calibri" w:cs="Arial"/>
          <w:lang w:val="en-GB"/>
        </w:rPr>
        <w:instrText>ADDIN CSL_CITATION { "citationItems" : [ { "id" : "ITEM-1", "itemData" : { "DOI" : "10.1164/rccm.200708-1251OC", "ISSN" : "1535-4970", "PMID" : "18244953", "abstract" : "RATIONALE: The drug product TPI ASM8 contains two modified phosphorothioate antisense oligonucleotides designed to inhibit allergic inflammation by down-regulating human CCR3 and the common beta chain (beta(c)) of IL-3, IL-5, and granulocyte-macrophage colony-stimulating factor receptors.\n\nOBJECTIVES: This study examined the effects of inhaled TPI ASM8 on sputum cellular influx, CCR3 and beta(c) mRNA and protein levels, and the airway physiologic response after inhaled allergen.\n\nMETHODS: Seventeen subjects with mild atopic asthma were randomized in a crossover study to inhale 1,500 microg TPI ASM8 or placebo by nebulizer, once daily for 4 days. On Day 3, subjects underwent allergen inhalation challenge. Sputum samples were collected before and after allergen. CCR3 and beta(c) protein levels were measured by flow cytometry, mRNA was measured using real-time quantitative polymerase chain reaction, and the FEV1 was measured over 7 hours after challenge.\n\nMEASUREMENTS AND MAIN RESULTS: Compared with placebo, TPI ASM8 inhibited sputum eosinophil influx by 46% (P = 0.02) and blunted the increase in total cells (63%) after allergen challenge. TPI ASM8 significantly reduced the early asthmatic response (P = 0.04) with a trend for the late asthmatic response (P = 0.08). The allergen-induced (Day 2 to Day 3) levels of beta(c) mRNA and CCR3 mRNA in sputum-derived cells were inhibited by TPI ASM8 (P = 0.039 and P = 0.054, respectively), with no significant effects on the cell surface protein expression of CCR3 and beta(c) (P &gt; 0.05). No serious adverse events were reported.\n\nCONCLUSIONS: TPI ASM8 attenuates the allergen-induced increase in target gene mRNA and airway responses in subjects with mild asthma. Clinical trial registered with www.clinicaltrials.gov (NCT 00264966).", "author" : [ { "dropping-particle" : "", "family" : "Gauvreau", "given" : "Gail M", "non-dropping-particle" : "", "parse-names" : false, "suffix" : "" }, { "dropping-particle" : "", "family" : "Boulet", "given" : "Louis Philippe", "non-dropping-particle" : "", "parse-names" : false, "suffix" : "" }, { "dropping-particle" : "", "family" : "Cockcroft", "given" : "Donald W", "non-dropping-particle" : "", "parse-names" : false, "suffix" : "" }, { "dropping-particle" : "", "family" : "Baatjes", "given" : "Adrian", "non-dropping-particle" : "", "parse-names" : false, "suffix" : "" }, { "dropping-particle" : "", "family" : "Cote", "given" : "Johanne", "non-dropping-particle" : "", "parse-names" : false, "suffix" : "" }, { "dropping-particle" : "", "family" : "Deschesnes", "given" : "Francine", "non-dropping-particle" : "", "parse-names" : false, "suffix" : "" }, { "dropping-particle" : "", "family" : "Davis", "given" : "Beth", "non-dropping-particle" : "", "parse-names" : false, "suffix" : "" }, { "dropping-particle" : "", "family" : "Strinich", "given" : "Tara", "non-dropping-particle" : "", "parse-names" : false, "suffix" : "" }, { "dropping-particle" : "", "family" : "Howie", "given" : "Karen", "non-dropping-particle" : "", "parse-names" : false, "suffix" : "" }, { "dropping-particle" : "", "family" : "Duong", "given" : "Mylinh", "non-dropping-particle" : "", "parse-names" : false, "suffix" : "" }, { "dropping-particle" : "", "family" : "Watson", "given" : "Richard M", "non-dropping-particle" : "", "parse-names" : false, "suffix" : "" }, { "dropping-particle" : "", "family" : "Renzi", "given" : "Paolo M", "non-dropping-particle" : "", "parse-names" : false, "suffix" : "" }, { "dropping-particle" : "", "family" : "O'Byrne", "given" : "Paul M", "non-dropping-particle" : "", "parse-names" : false, "suffix" : "" } ], "container-title" : "American journal of respiratory and critical care medicine", "id" : "ITEM-1", "issue" : "9", "issued" : { "date-parts" : [ [ "2008", "5", "1" ] ] }, "page" : "952-8", "title" : "Antisense therapy against CCR3 and the common beta chain attenuates allergen-induced eosinophilic responses.", "type" : "article-journal", "volume" : "177" }, "uris" : [ "http://www.mendeley.com/documents/?uuid=be754172-6e74-4a0c-aefc-3599feef54fc" ] } ], "mendeley" : { "formattedCitation" : "(Gail M Gauvreau et al., 2008)", "plainTextFormattedCitation" : "(Gail M Gauvreau et al., 2008)", "previouslyFormattedCitation" : "(Gail M Gauvreau et al., 2008)" }, "properties" : { "noteIndex" : 0 }, "schema" : "https://github.com/citation-style-language/schema/raw/master/csl-citation.json" }</w:instrText>
      </w:r>
      <w:r w:rsidR="00FF7407">
        <w:rPr>
          <w:rFonts w:ascii="Calibri" w:hAnsi="Calibri" w:cs="Arial"/>
          <w:lang w:val="en-GB"/>
        </w:rPr>
        <w:fldChar w:fldCharType="separate"/>
      </w:r>
      <w:r w:rsidR="00FF7407" w:rsidRPr="00B318D8">
        <w:rPr>
          <w:rFonts w:ascii="Calibri" w:hAnsi="Calibri" w:cs="Arial"/>
          <w:noProof/>
          <w:lang w:val="en-GB"/>
        </w:rPr>
        <w:t>(Gail M Gauvreau et al., 2008)</w:t>
      </w:r>
      <w:r w:rsidR="00FF7407">
        <w:rPr>
          <w:rFonts w:ascii="Calibri" w:hAnsi="Calibri" w:cs="Arial"/>
          <w:lang w:val="en-GB"/>
        </w:rPr>
        <w:fldChar w:fldCharType="end"/>
      </w:r>
      <w:r w:rsidR="006E74AE">
        <w:rPr>
          <w:rFonts w:ascii="Calibri" w:hAnsi="Calibri" w:cs="Arial"/>
          <w:lang w:val="en-GB"/>
        </w:rPr>
        <w:t xml:space="preserve"> evidenced </w:t>
      </w:r>
      <w:r>
        <w:rPr>
          <w:rFonts w:ascii="Calibri" w:hAnsi="Calibri" w:cs="Arial"/>
          <w:lang w:val="en-GB"/>
        </w:rPr>
        <w:t xml:space="preserve">ASM8 </w:t>
      </w:r>
      <w:r w:rsidR="006E74AE">
        <w:rPr>
          <w:rFonts w:ascii="Calibri" w:hAnsi="Calibri" w:cs="Arial"/>
          <w:lang w:val="en-GB"/>
        </w:rPr>
        <w:t xml:space="preserve">recovery in lung sputum and ablation of </w:t>
      </w:r>
      <w:r w:rsidR="0047550C">
        <w:rPr>
          <w:rFonts w:ascii="Calibri" w:hAnsi="Calibri" w:cs="Arial"/>
          <w:lang w:val="en-GB"/>
        </w:rPr>
        <w:t>the six-fold</w:t>
      </w:r>
      <w:r w:rsidR="006E74AE">
        <w:rPr>
          <w:rFonts w:ascii="Calibri" w:hAnsi="Calibri" w:cs="Arial"/>
          <w:lang w:val="en-GB"/>
        </w:rPr>
        <w:t xml:space="preserve"> increase</w:t>
      </w:r>
      <w:r w:rsidR="0047550C">
        <w:rPr>
          <w:rFonts w:ascii="Calibri" w:hAnsi="Calibri" w:cs="Arial"/>
          <w:lang w:val="en-GB"/>
        </w:rPr>
        <w:t xml:space="preserve"> of </w:t>
      </w:r>
      <w:r w:rsidR="0047550C" w:rsidRPr="00D450D2">
        <w:rPr>
          <w:rFonts w:ascii="Symbol" w:hAnsi="Symbol"/>
        </w:rPr>
        <w:t></w:t>
      </w:r>
      <w:r w:rsidR="0047550C" w:rsidRPr="0034141D">
        <w:rPr>
          <w:rFonts w:ascii="Calibri" w:hAnsi="Calibri"/>
        </w:rPr>
        <w:t>c mRNA (p = 0.039)</w:t>
      </w:r>
      <w:r w:rsidR="0047550C" w:rsidRPr="0047550C">
        <w:rPr>
          <w:rFonts w:ascii="Calibri" w:hAnsi="Calibri" w:cs="Arial"/>
          <w:lang w:val="en-GB"/>
        </w:rPr>
        <w:t xml:space="preserve"> </w:t>
      </w:r>
      <w:r w:rsidR="0047550C">
        <w:rPr>
          <w:rFonts w:ascii="Calibri" w:hAnsi="Calibri" w:cs="Arial"/>
          <w:lang w:val="en-GB"/>
        </w:rPr>
        <w:t>induced by allergen challenge</w:t>
      </w:r>
      <w:r w:rsidR="00FF7407">
        <w:rPr>
          <w:rFonts w:ascii="Calibri" w:hAnsi="Calibri" w:cs="Arial"/>
          <w:lang w:val="en-GB"/>
        </w:rPr>
        <w:t>.</w:t>
      </w:r>
      <w:r w:rsidR="0047550C">
        <w:rPr>
          <w:rFonts w:ascii="Calibri" w:hAnsi="Calibri" w:cs="Arial"/>
          <w:lang w:val="en-GB"/>
        </w:rPr>
        <w:t xml:space="preserve"> </w:t>
      </w:r>
      <w:r w:rsidR="00FF7407">
        <w:rPr>
          <w:rFonts w:ascii="Calibri" w:hAnsi="Calibri" w:cs="Arial"/>
          <w:lang w:val="en-GB"/>
        </w:rPr>
        <w:t>H</w:t>
      </w:r>
      <w:r w:rsidR="0047550C">
        <w:rPr>
          <w:rFonts w:ascii="Calibri" w:hAnsi="Calibri" w:cs="Arial"/>
          <w:lang w:val="en-GB"/>
        </w:rPr>
        <w:t>owever</w:t>
      </w:r>
      <w:r w:rsidR="00FF7407">
        <w:rPr>
          <w:rFonts w:ascii="Calibri" w:hAnsi="Calibri" w:cs="Arial"/>
          <w:lang w:val="en-GB"/>
        </w:rPr>
        <w:t>,</w:t>
      </w:r>
      <w:r w:rsidR="0047550C">
        <w:rPr>
          <w:rFonts w:ascii="Calibri" w:hAnsi="Calibri" w:cs="Arial"/>
          <w:lang w:val="en-GB"/>
        </w:rPr>
        <w:t xml:space="preserve"> the effect on CCR3 mRNA was not statistically significant, </w:t>
      </w:r>
      <w:r w:rsidR="00FF7407">
        <w:rPr>
          <w:rFonts w:ascii="Calibri" w:hAnsi="Calibri" w:cs="Arial"/>
          <w:lang w:val="en-GB"/>
        </w:rPr>
        <w:t>nor was that on</w:t>
      </w:r>
      <w:r w:rsidR="0047550C">
        <w:rPr>
          <w:rFonts w:ascii="Calibri" w:hAnsi="Calibri" w:cs="Arial"/>
          <w:lang w:val="en-GB"/>
        </w:rPr>
        <w:t xml:space="preserve"> </w:t>
      </w:r>
      <w:r w:rsidR="00FF7407">
        <w:rPr>
          <w:rFonts w:ascii="Calibri" w:hAnsi="Calibri" w:cs="Arial"/>
          <w:lang w:val="en-GB"/>
        </w:rPr>
        <w:t xml:space="preserve">the </w:t>
      </w:r>
      <w:r w:rsidR="0047550C">
        <w:rPr>
          <w:rFonts w:ascii="Calibri" w:hAnsi="Calibri" w:cs="Arial"/>
          <w:lang w:val="en-GB"/>
        </w:rPr>
        <w:t>protein level</w:t>
      </w:r>
      <w:r w:rsidR="00FF7407">
        <w:rPr>
          <w:rFonts w:ascii="Calibri" w:hAnsi="Calibri" w:cs="Arial"/>
          <w:lang w:val="en-GB"/>
        </w:rPr>
        <w:t>s</w:t>
      </w:r>
      <w:r w:rsidR="0047550C">
        <w:rPr>
          <w:rFonts w:ascii="Calibri" w:hAnsi="Calibri" w:cs="Arial"/>
          <w:lang w:val="en-GB"/>
        </w:rPr>
        <w:t xml:space="preserve"> </w:t>
      </w:r>
      <w:r w:rsidR="00FF7407">
        <w:rPr>
          <w:rFonts w:ascii="Calibri" w:hAnsi="Calibri" w:cs="Arial"/>
          <w:lang w:val="en-GB"/>
        </w:rPr>
        <w:t>o</w:t>
      </w:r>
      <w:r w:rsidR="0047550C">
        <w:rPr>
          <w:rFonts w:ascii="Calibri" w:hAnsi="Calibri" w:cs="Arial"/>
          <w:lang w:val="en-GB"/>
        </w:rPr>
        <w:t>f either target. Similar</w:t>
      </w:r>
      <w:r w:rsidR="00FF7407">
        <w:rPr>
          <w:rFonts w:ascii="Calibri" w:hAnsi="Calibri" w:cs="Arial"/>
          <w:lang w:val="en-GB"/>
        </w:rPr>
        <w:t xml:space="preserve"> observations were reported in</w:t>
      </w:r>
      <w:r w:rsidR="0047550C">
        <w:rPr>
          <w:rFonts w:ascii="Calibri" w:hAnsi="Calibri" w:cs="Arial"/>
          <w:lang w:val="en-GB"/>
        </w:rPr>
        <w:t xml:space="preserve"> some, but not all </w:t>
      </w:r>
      <w:r>
        <w:rPr>
          <w:rFonts w:ascii="Calibri" w:hAnsi="Calibri" w:cs="Arial"/>
          <w:lang w:val="en-GB"/>
        </w:rPr>
        <w:t>clinical markers</w:t>
      </w:r>
      <w:r w:rsidR="006E74AE">
        <w:rPr>
          <w:rFonts w:ascii="Calibri" w:hAnsi="Calibri" w:cs="Arial"/>
          <w:lang w:val="en-GB"/>
        </w:rPr>
        <w:t xml:space="preserve"> </w:t>
      </w:r>
      <w:r w:rsidR="00C5742D">
        <w:rPr>
          <w:rFonts w:ascii="Calibri" w:hAnsi="Calibri" w:cs="Arial"/>
          <w:lang w:val="en-GB"/>
        </w:rPr>
        <w:t>of efficacy</w:t>
      </w:r>
      <w:r w:rsidR="00FF7407">
        <w:rPr>
          <w:rFonts w:ascii="Calibri" w:hAnsi="Calibri" w:cs="Arial"/>
          <w:lang w:val="en-GB"/>
        </w:rPr>
        <w:t>.</w:t>
      </w:r>
      <w:r w:rsidR="0047550C">
        <w:rPr>
          <w:rFonts w:ascii="Calibri" w:hAnsi="Calibri" w:cs="Arial"/>
          <w:lang w:val="en-GB"/>
        </w:rPr>
        <w:t xml:space="preserve"> </w:t>
      </w:r>
      <w:r w:rsidR="00FF7407">
        <w:rPr>
          <w:rFonts w:ascii="Calibri" w:hAnsi="Calibri" w:cs="Arial"/>
          <w:lang w:val="en-GB"/>
        </w:rPr>
        <w:t xml:space="preserve">Thus, </w:t>
      </w:r>
      <w:r w:rsidR="0047550C">
        <w:rPr>
          <w:rFonts w:ascii="Calibri" w:hAnsi="Calibri" w:cs="Arial"/>
          <w:lang w:val="en-GB"/>
        </w:rPr>
        <w:t xml:space="preserve">a 46% </w:t>
      </w:r>
      <w:r w:rsidR="00C5742D">
        <w:rPr>
          <w:rFonts w:ascii="Calibri" w:hAnsi="Calibri" w:cs="Arial"/>
          <w:lang w:val="en-GB"/>
        </w:rPr>
        <w:t>reduction of</w:t>
      </w:r>
      <w:r w:rsidR="0047550C">
        <w:rPr>
          <w:rFonts w:ascii="Calibri" w:hAnsi="Calibri" w:cs="Arial"/>
          <w:lang w:val="en-GB"/>
        </w:rPr>
        <w:t xml:space="preserve"> sputum</w:t>
      </w:r>
      <w:r w:rsidR="00C5742D">
        <w:rPr>
          <w:rFonts w:ascii="Calibri" w:hAnsi="Calibri" w:cs="Arial"/>
          <w:lang w:val="en-GB"/>
        </w:rPr>
        <w:t xml:space="preserve"> eosinophilia</w:t>
      </w:r>
      <w:r w:rsidR="00FF7407">
        <w:rPr>
          <w:rFonts w:ascii="Calibri" w:hAnsi="Calibri" w:cs="Arial"/>
          <w:lang w:val="en-GB"/>
        </w:rPr>
        <w:t xml:space="preserve"> did achieve statistical significance,</w:t>
      </w:r>
      <w:r w:rsidR="00C5742D">
        <w:rPr>
          <w:rFonts w:ascii="Calibri" w:hAnsi="Calibri" w:cs="Arial"/>
          <w:lang w:val="en-GB"/>
        </w:rPr>
        <w:t xml:space="preserve"> </w:t>
      </w:r>
      <w:r w:rsidR="00FF7407">
        <w:rPr>
          <w:rFonts w:ascii="Calibri" w:hAnsi="Calibri" w:cs="Arial"/>
          <w:lang w:val="en-GB"/>
        </w:rPr>
        <w:t>but the trend towards total leukocyte recruitment ablation</w:t>
      </w:r>
      <w:r w:rsidR="0047550C">
        <w:rPr>
          <w:rFonts w:ascii="Calibri" w:hAnsi="Calibri" w:cs="Arial"/>
          <w:lang w:val="en-GB"/>
        </w:rPr>
        <w:t xml:space="preserve"> </w:t>
      </w:r>
      <w:r w:rsidR="00FF7407">
        <w:rPr>
          <w:rFonts w:ascii="Calibri" w:hAnsi="Calibri" w:cs="Arial"/>
          <w:lang w:val="en-GB"/>
        </w:rPr>
        <w:t>did not; slightly elevated levels of macrophages were also observed. D</w:t>
      </w:r>
      <w:r w:rsidR="00BB324D">
        <w:rPr>
          <w:rFonts w:ascii="Calibri" w:hAnsi="Calibri" w:cs="Arial"/>
          <w:lang w:val="en-GB"/>
        </w:rPr>
        <w:t xml:space="preserve">ose-dependent, </w:t>
      </w:r>
      <w:r>
        <w:rPr>
          <w:rFonts w:ascii="Calibri" w:hAnsi="Calibri" w:cs="Arial"/>
          <w:lang w:val="en-GB"/>
        </w:rPr>
        <w:t>~</w:t>
      </w:r>
      <w:r w:rsidR="006E74AE">
        <w:rPr>
          <w:rFonts w:ascii="Calibri" w:hAnsi="Calibri" w:cs="Arial"/>
          <w:lang w:val="en-GB"/>
        </w:rPr>
        <w:t>40% ablati</w:t>
      </w:r>
      <w:r w:rsidR="00BB324D">
        <w:rPr>
          <w:rFonts w:ascii="Calibri" w:hAnsi="Calibri" w:cs="Arial"/>
          <w:lang w:val="en-GB"/>
        </w:rPr>
        <w:t>on of the inflammatory response was</w:t>
      </w:r>
      <w:r w:rsidR="006E74AE">
        <w:rPr>
          <w:rFonts w:ascii="Calibri" w:hAnsi="Calibri" w:cs="Arial"/>
          <w:lang w:val="en-GB"/>
        </w:rPr>
        <w:t xml:space="preserve"> reproduced in the ensuing dose escalation study </w:t>
      </w:r>
      <w:r w:rsidR="006E74AE">
        <w:rPr>
          <w:rFonts w:ascii="Calibri" w:hAnsi="Calibri" w:cs="Arial"/>
          <w:lang w:val="en-GB"/>
        </w:rPr>
        <w:fldChar w:fldCharType="begin" w:fldLock="1"/>
      </w:r>
      <w:r w:rsidR="006E74AE">
        <w:rPr>
          <w:rFonts w:ascii="Calibri" w:hAnsi="Calibri" w:cs="Arial"/>
          <w:lang w:val="en-GB"/>
        </w:rPr>
        <w:instrText>ADDIN CSL_CITATION { "citationItems" : [ { "id" : "ITEM-1", "itemData" : { "DOI" : "10.1111/j.1398-9995.2011.02638.x", "ISSN" : "1398-9995", "PMID" : "21605124", "abstract" : "BACKGROUND: TPI ASM8 contains two modified antisense oligonucleotides (AON) targeting the beta subunit (\u03b2(c) ) of the IL-3, IL-5, GM-CSF receptors and the chemokine receptor CCR3. A previous study suggested that TPI ASM8 had broader effects than just inhibition of eosinophils in asthmatics.\n\nOBJECTIVE: We assessed whether TPI ASM8 caused a dose-dependent attenuation in the inflammatory and physiological changes after inhaled allergen challenge (AIC).\n\nMETHODS: This single-center, open-label, stepwise-ascending dose study was conducted in fourteen stable, mild allergic asthmatics. Following placebo AIC, subjects underwent AIC after 4 days treatment with 1, 2, and 4 mg BID and finally 8 mg once daily (OD) of TPI ASM8, inhaled via the I-Neb\u2122 nebuliser. Treatments were separated by 2-3-week washout periods.\n\nRESULTS: TPI ASM8 was safe and well tolerated at all doses. TPI ASM8 8\u2003mg OD reduced eosinophils in sputum after AIC (by 60.9% at 7 h and 68.4% at 24 h post-AIC, P=0.016 and P=0.007, respectively). Additionally, TPI ASM8 8 mg OD significantly attenuated the early and late airway responses as shown by the reduction in the area under the curve by 45% (P=0.016) and 59%, (P=0.0015), respectively, the increase in eosinophil cationic protein (ECP) by up to 57% (P=0.021), and airway responsiveness to methacholine by more than 1 doubling dose (P=0.012). A dose-response relationship was noted, and efficacy was maintained with once per day administration.\n\nCONCLUSIONS: TPI ASM8 attenuated a broad range of inflammatory and physiological changes after AIC, suggesting that CCR3, IL-3, and GM-CSF also are important targets for the management of asthma.", "author" : [ { "dropping-particle" : "", "family" : "Gauvreau", "given" : "G M", "non-dropping-particle" : "", "parse-names" : false, "suffix" : "" }, { "dropping-particle" : "", "family" : "Pageau", "given" : "R", "non-dropping-particle" : "", "parse-names" : false, "suffix" : "" }, { "dropping-particle" : "", "family" : "S\u00e9guin", "given" : "R", "non-dropping-particle" : "", "parse-names" : false, "suffix" : "" }, { "dropping-particle" : "", "family" : "Carballo", "given" : "D", "non-dropping-particle" : "", "parse-names" : false, "suffix" : "" }, { "dropping-particle" : "", "family" : "Gauthier", "given" : "J", "non-dropping-particle" : "", "parse-names" : false, "suffix" : "" }, { "dropping-particle" : "", "family" : "D'Anjou", "given" : "H", "non-dropping-particle" : "", "parse-names" : false, "suffix" : "" }, { "dropping-particle" : "", "family" : "Campbell", "given" : "H", "non-dropping-particle" : "", "parse-names" : false, "suffix" : "" }, { "dropping-particle" : "", "family" : "Watson", "given" : "R", "non-dropping-particle" : "", "parse-names" : false, "suffix" : "" }, { "dropping-particle" : "", "family" : "Mistry", "given" : "M", "non-dropping-particle" : "", "parse-names" : false, "suffix" : "" }, { "dropping-particle" : "", "family" : "Parry-Billings", "given" : "M", "non-dropping-particle" : "", "parse-names" : false, "suffix" : "" }, { "dropping-particle" : "", "family" : "Killian", "given" : "K", "non-dropping-particle" : "", "parse-names" : false, "suffix" : "" }, { "dropping-particle" : "", "family" : "Renzi", "given" : "P M", "non-dropping-particle" : "", "parse-names" : false, "suffix" : "" } ], "container-title" : "Allergy", "id" : "ITEM-1", "issue" : "9", "issued" : { "date-parts" : [ [ "2011", "9" ] ] }, "page" : "1242-8", "title" : "Dose-response effects of TPI ASM8 in asthmatics after allergen.", "type" : "article-journal", "volume" : "66" }, "uris" : [ "http://www.mendeley.com/documents/?uuid=deafdfeb-145d-4fd7-afc2-28f0437543b9" ] } ], "mendeley" : { "formattedCitation" : "(G M Gauvreau et al., 2011)", "plainTextFormattedCitation" : "(G M Gauvreau et al., 2011)", "previouslyFormattedCitation" : "(G M Gauvreau et al., 2011)" }, "properties" : { "noteIndex" : 0 }, "schema" : "https://github.com/citation-style-language/schema/raw/master/csl-citation.json" }</w:instrText>
      </w:r>
      <w:r w:rsidR="006E74AE">
        <w:rPr>
          <w:rFonts w:ascii="Calibri" w:hAnsi="Calibri" w:cs="Arial"/>
          <w:lang w:val="en-GB"/>
        </w:rPr>
        <w:fldChar w:fldCharType="separate"/>
      </w:r>
      <w:r w:rsidR="006E74AE" w:rsidRPr="00B318D8">
        <w:rPr>
          <w:rFonts w:ascii="Calibri" w:hAnsi="Calibri" w:cs="Arial"/>
          <w:noProof/>
          <w:lang w:val="en-GB"/>
        </w:rPr>
        <w:t>(G M Gauvreau et al., 2011)</w:t>
      </w:r>
      <w:r w:rsidR="006E74AE">
        <w:rPr>
          <w:rFonts w:ascii="Calibri" w:hAnsi="Calibri" w:cs="Arial"/>
          <w:lang w:val="en-GB"/>
        </w:rPr>
        <w:fldChar w:fldCharType="end"/>
      </w:r>
      <w:r w:rsidR="00FF7407">
        <w:rPr>
          <w:rFonts w:ascii="Calibri" w:hAnsi="Calibri" w:cs="Arial"/>
          <w:lang w:val="en-GB"/>
        </w:rPr>
        <w:t xml:space="preserve">, but this </w:t>
      </w:r>
      <w:r w:rsidR="00DA7FEC">
        <w:rPr>
          <w:rFonts w:ascii="Calibri" w:hAnsi="Calibri" w:cs="Arial"/>
          <w:lang w:val="en-GB"/>
        </w:rPr>
        <w:t xml:space="preserve">also </w:t>
      </w:r>
      <w:r w:rsidR="00FF7407">
        <w:rPr>
          <w:rFonts w:ascii="Calibri" w:hAnsi="Calibri" w:cs="Arial"/>
          <w:lang w:val="en-GB"/>
        </w:rPr>
        <w:t>coincided with a</w:t>
      </w:r>
      <w:r w:rsidR="006E74AE">
        <w:rPr>
          <w:rFonts w:ascii="Calibri" w:hAnsi="Calibri" w:cs="Arial"/>
          <w:lang w:val="en-GB"/>
        </w:rPr>
        <w:t xml:space="preserve"> dose-dependent increase in </w:t>
      </w:r>
      <w:r w:rsidR="00BB324D">
        <w:rPr>
          <w:rFonts w:ascii="Calibri" w:hAnsi="Calibri" w:cs="Arial"/>
          <w:lang w:val="en-GB"/>
        </w:rPr>
        <w:t xml:space="preserve">sputum </w:t>
      </w:r>
      <w:r w:rsidR="006E74AE">
        <w:rPr>
          <w:rFonts w:ascii="Calibri" w:hAnsi="Calibri" w:cs="Arial"/>
          <w:lang w:val="en-GB"/>
        </w:rPr>
        <w:t>macrophage</w:t>
      </w:r>
      <w:r w:rsidR="00BB324D">
        <w:rPr>
          <w:rFonts w:ascii="Calibri" w:hAnsi="Calibri" w:cs="Arial"/>
          <w:lang w:val="en-GB"/>
        </w:rPr>
        <w:t>s</w:t>
      </w:r>
      <w:r w:rsidR="006E74AE">
        <w:rPr>
          <w:rFonts w:ascii="Calibri" w:hAnsi="Calibri" w:cs="Arial"/>
          <w:lang w:val="en-GB"/>
        </w:rPr>
        <w:t xml:space="preserve"> </w:t>
      </w:r>
      <w:r w:rsidR="006E74AE">
        <w:rPr>
          <w:rFonts w:ascii="Calibri" w:hAnsi="Calibri" w:cs="Arial"/>
          <w:lang w:val="en-GB"/>
        </w:rPr>
        <w:fldChar w:fldCharType="begin" w:fldLock="1"/>
      </w:r>
      <w:r w:rsidR="006E74AE">
        <w:rPr>
          <w:rFonts w:ascii="Calibri" w:hAnsi="Calibri" w:cs="Arial"/>
          <w:lang w:val="en-GB"/>
        </w:rPr>
        <w:instrText>ADDIN CSL_CITATION { "citationItems" : [ { "id" : "ITEM-1", "itemData" : { "DOI" : "10.1111/j.1398-9995.2011.02638.x", "ISSN" : "1398-9995", "PMID" : "21605124", "abstract" : "BACKGROUND: TPI ASM8 contains two modified antisense oligonucleotides (AON) targeting the beta subunit (\u03b2(c) ) of the IL-3, IL-5, GM-CSF receptors and the chemokine receptor CCR3. A previous study suggested that TPI ASM8 had broader effects than just inhibition of eosinophils in asthmatics.\n\nOBJECTIVE: We assessed whether TPI ASM8 caused a dose-dependent attenuation in the inflammatory and physiological changes after inhaled allergen challenge (AIC).\n\nMETHODS: This single-center, open-label, stepwise-ascending dose study was conducted in fourteen stable, mild allergic asthmatics. Following placebo AIC, subjects underwent AIC after 4 days treatment with 1, 2, and 4 mg BID and finally 8 mg once daily (OD) of TPI ASM8, inhaled via the I-Neb\u2122 nebuliser. Treatments were separated by 2-3-week washout periods.\n\nRESULTS: TPI ASM8 was safe and well tolerated at all doses. TPI ASM8 8\u2003mg OD reduced eosinophils in sputum after AIC (by 60.9% at 7 h and 68.4% at 24 h post-AIC, P=0.016 and P=0.007, respectively). Additionally, TPI ASM8 8 mg OD significantly attenuated the early and late airway responses as shown by the reduction in the area under the curve by 45% (P=0.016) and 59%, (P=0.0015), respectively, the increase in eosinophil cationic protein (ECP) by up to 57% (P=0.021), and airway responsiveness to methacholine by more than 1 doubling dose (P=0.012). A dose-response relationship was noted, and efficacy was maintained with once per day administration.\n\nCONCLUSIONS: TPI ASM8 attenuated a broad range of inflammatory and physiological changes after AIC, suggesting that CCR3, IL-3, and GM-CSF also are important targets for the management of asthma.", "author" : [ { "dropping-particle" : "", "family" : "Gauvreau", "given" : "G M", "non-dropping-particle" : "", "parse-names" : false, "suffix" : "" }, { "dropping-particle" : "", "family" : "Pageau", "given" : "R", "non-dropping-particle" : "", "parse-names" : false, "suffix" : "" }, { "dropping-particle" : "", "family" : "S\u00e9guin", "given" : "R", "non-dropping-particle" : "", "parse-names" : false, "suffix" : "" }, { "dropping-particle" : "", "family" : "Carballo", "given" : "D", "non-dropping-particle" : "", "parse-names" : false, "suffix" : "" }, { "dropping-particle" : "", "family" : "Gauthier", "given" : "J", "non-dropping-particle" : "", "parse-names" : false, "suffix" : "" }, { "dropping-particle" : "", "family" : "D'Anjou", "given" : "H", "non-dropping-particle" : "", "parse-names" : false, "suffix" : "" }, { "dropping-particle" : "", "family" : "Campbell", "given" : "H", "non-dropping-particle" : "", "parse-names" : false, "suffix" : "" }, { "dropping-particle" : "", "family" : "Watson", "given" : "R", "non-dropping-particle" : "", "parse-names" : false, "suffix" : "" }, { "dropping-particle" : "", "family" : "Mistry", "given" : "M", "non-dropping-particle" : "", "parse-names" : false, "suffix" : "" }, { "dropping-particle" : "", "family" : "Parry-Billings", "given" : "M", "non-dropping-particle" : "", "parse-names" : false, "suffix" : "" }, { "dropping-particle" : "", "family" : "Killian", "given" : "K", "non-dropping-particle" : "", "parse-names" : false, "suffix" : "" }, { "dropping-particle" : "", "family" : "Renzi", "given" : "P M", "non-dropping-particle" : "", "parse-names" : false, "suffix" : "" } ], "container-title" : "Allergy", "id" : "ITEM-1", "issue" : "9", "issued" : { "date-parts" : [ [ "2011", "9" ] ] }, "page" : "1242-8", "title" : "Dose-response effects of TPI ASM8 in asthmatics after allergen.", "type" : "article-journal", "volume" : "66" }, "uris" : [ "http://www.mendeley.com/documents/?uuid=deafdfeb-145d-4fd7-afc2-28f0437543b9" ] } ], "mendeley" : { "formattedCitation" : "(G M Gauvreau et al., 2011)", "plainTextFormattedCitation" : "(G M Gauvreau et al., 2011)", "previouslyFormattedCitation" : "(G M Gauvreau et al., 2011)" }, "properties" : { "noteIndex" : 0 }, "schema" : "https://github.com/citation-style-language/schema/raw/master/csl-citation.json" }</w:instrText>
      </w:r>
      <w:r w:rsidR="006E74AE">
        <w:rPr>
          <w:rFonts w:ascii="Calibri" w:hAnsi="Calibri" w:cs="Arial"/>
          <w:lang w:val="en-GB"/>
        </w:rPr>
        <w:fldChar w:fldCharType="separate"/>
      </w:r>
      <w:r w:rsidR="006E74AE" w:rsidRPr="00CF6AD6">
        <w:rPr>
          <w:rFonts w:ascii="Calibri" w:hAnsi="Calibri" w:cs="Arial"/>
          <w:noProof/>
          <w:lang w:val="en-GB"/>
        </w:rPr>
        <w:t>(G M Gauvreau et al., 2011)</w:t>
      </w:r>
      <w:r w:rsidR="006E74AE">
        <w:rPr>
          <w:rFonts w:ascii="Calibri" w:hAnsi="Calibri" w:cs="Arial"/>
          <w:lang w:val="en-GB"/>
        </w:rPr>
        <w:fldChar w:fldCharType="end"/>
      </w:r>
      <w:r w:rsidR="00BB324D">
        <w:rPr>
          <w:rFonts w:ascii="Calibri" w:hAnsi="Calibri" w:cs="Arial"/>
          <w:lang w:val="en-GB"/>
        </w:rPr>
        <w:t xml:space="preserve">. </w:t>
      </w:r>
      <w:r w:rsidR="00DA7FEC">
        <w:rPr>
          <w:rFonts w:ascii="Calibri" w:hAnsi="Calibri" w:cs="Arial"/>
          <w:lang w:val="en-GB"/>
        </w:rPr>
        <w:t>In later work</w:t>
      </w:r>
      <w:r w:rsidR="004075E7">
        <w:rPr>
          <w:rFonts w:ascii="Calibri" w:hAnsi="Calibri" w:cs="Arial"/>
          <w:lang w:val="en-GB"/>
        </w:rPr>
        <w:t xml:space="preserve"> </w:t>
      </w:r>
      <w:r w:rsidR="004075E7">
        <w:rPr>
          <w:rFonts w:ascii="Calibri" w:hAnsi="Calibri" w:cs="Arial"/>
          <w:lang w:val="en-GB"/>
        </w:rPr>
        <w:fldChar w:fldCharType="begin" w:fldLock="1"/>
      </w:r>
      <w:r w:rsidR="004075E7">
        <w:rPr>
          <w:rFonts w:ascii="Calibri" w:hAnsi="Calibri" w:cs="Arial"/>
          <w:lang w:val="en-GB"/>
        </w:rPr>
        <w:instrText>ADDIN CSL_CITATION { "citationItems" : [ { "id" : "ITEM-1", "itemData" : { "DOI" : "10.1111/j.1365-2222.2011.03816.x", "ISSN" : "1365-2222", "PMID" : "21762225", "abstract" : "BACKGROUND: TPI ASM8 contains two modified phosphorothioate antisense oligonucleotides (AON), one targeting the common beta chain (\u03b2c) of the IL-3/IL-5/GM-CSF receptors and the other targeting the chemokine receptor CCR3. Inhalation of TPI ASM8 significantly improves lung function and sputum eosinophilia after allergen inhalation challenge in asthmatics.\n\nOBJECTIVE: This study assessed whether TPI ASM8 reduces airway levels of haemopoietic progenitor cells.\n\nMETHODS: This open-label study was conducted in 14 stable, allergic mild asthmatic subjects with early- and late-phase allergen-induced bronchoconstriction. Subjects underwent allergen challenges after 4-day treatment with placebo, 4 mg b.i.d. and 8 mg o.d. of TPI ASM8. Sputum was induced before, 7 and 24 h after allergen challenges for progenitor measurements. Treatments were separated by 2-3 weeks.\n\nRESULTS: TPI ASM8 reduced allergen-induced sputum eosinophils, and the early and late asthmatic responses (P&lt;0.05). TPI ASM8 also reduced the number of CD34(+) CCR3(+) cells (P=0.004) and CD34(+) IL-5R\u03b1(+) cells (P=0.016), and the proportion of CD34(+) cells expressing IL-5R\u03b1 (P=0.036).\n\nCONCLUSIONS AND CLINICAL RELEVANCE: TPI ASM8 was safe and well tolerated. The results of this study demonstrate blocking of CCR3 and \u03b2c expression by TPI ASM8 significantly inhibits the accumulation of eosinophils and eosinophil progenitors in the airways after allergen challenge. Inhibition of airway progenitor cell accumulation presents a novel therapeutic target.", "author" : [ { "dropping-particle" : "", "family" : "Imaoka", "given" : "H", "non-dropping-particle" : "", "parse-names" : false, "suffix" : "" }, { "dropping-particle" : "", "family" : "Campbell", "given" : "H", "non-dropping-particle" : "", "parse-names" : false, "suffix" : "" }, { "dropping-particle" : "", "family" : "Babirad", "given" : "I", "non-dropping-particle" : "", "parse-names" : false, "suffix" : "" }, { "dropping-particle" : "", "family" : "Watson", "given" : "R M", "non-dropping-particle" : "", "parse-names" : false, "suffix" : "" }, { "dropping-particle" : "", "family" : "Mistry", "given" : "M", "non-dropping-particle" : "", "parse-names" : false, "suffix" : "" }, { "dropping-particle" : "", "family" : "Sehmi", "given" : "R", "non-dropping-particle" : "", "parse-names" : false, "suffix" : "" }, { "dropping-particle" : "", "family" : "Gauvreau", "given" : "G M", "non-dropping-particle" : "", "parse-names" : false, "suffix" : "" } ], "container-title" : "Clinical and experimental allergy : journal of the British Society for Allergy and Clinical Immunology", "id" : "ITEM-1", "issue" : "12", "issued" : { "date-parts" : [ [ "2011", "12" ] ] }, "page" : "1740-6", "title" : "TPI ASM8 reduces eosinophil progenitors in sputum after allergen challenge.", "type" : "article-journal", "volume" : "41" }, "uris" : [ "http://www.mendeley.com/documents/?uuid=ad0d7892-0336-4afa-a503-6bf6015c0339" ] } ], "mendeley" : { "formattedCitation" : "(Imaoka et al., 2011)", "plainTextFormattedCitation" : "(Imaoka et al., 2011)", "previouslyFormattedCitation" : "(Imaoka et al., 2011)" }, "properties" : { "noteIndex" : 0 }, "schema" : "https://github.com/citation-style-language/schema/raw/master/csl-citation.json" }</w:instrText>
      </w:r>
      <w:r w:rsidR="004075E7">
        <w:rPr>
          <w:rFonts w:ascii="Calibri" w:hAnsi="Calibri" w:cs="Arial"/>
          <w:lang w:val="en-GB"/>
        </w:rPr>
        <w:fldChar w:fldCharType="separate"/>
      </w:r>
      <w:r w:rsidR="004075E7" w:rsidRPr="00B318D8">
        <w:rPr>
          <w:rFonts w:ascii="Calibri" w:hAnsi="Calibri" w:cs="Arial"/>
          <w:noProof/>
          <w:lang w:val="en-GB"/>
        </w:rPr>
        <w:t>(Imaoka et al., 2011)</w:t>
      </w:r>
      <w:r w:rsidR="004075E7">
        <w:rPr>
          <w:rFonts w:ascii="Calibri" w:hAnsi="Calibri" w:cs="Arial"/>
          <w:lang w:val="en-GB"/>
        </w:rPr>
        <w:fldChar w:fldCharType="end"/>
      </w:r>
      <w:r w:rsidR="00DA7FEC">
        <w:rPr>
          <w:rFonts w:ascii="Calibri" w:hAnsi="Calibri" w:cs="Arial"/>
          <w:lang w:val="en-GB"/>
        </w:rPr>
        <w:t xml:space="preserve">, ASM8 succeeded in reducing the early </w:t>
      </w:r>
      <w:r w:rsidR="004075E7">
        <w:rPr>
          <w:rFonts w:ascii="Calibri" w:hAnsi="Calibri" w:cs="Arial"/>
          <w:lang w:val="en-GB"/>
        </w:rPr>
        <w:t xml:space="preserve">(0-2 hours) </w:t>
      </w:r>
      <w:r w:rsidR="00DA7FEC">
        <w:rPr>
          <w:rFonts w:ascii="Calibri" w:hAnsi="Calibri" w:cs="Arial"/>
          <w:lang w:val="en-GB"/>
        </w:rPr>
        <w:t xml:space="preserve">and late </w:t>
      </w:r>
      <w:r w:rsidR="004075E7">
        <w:rPr>
          <w:rFonts w:ascii="Calibri" w:hAnsi="Calibri" w:cs="Arial"/>
          <w:lang w:val="en-GB"/>
        </w:rPr>
        <w:t xml:space="preserve">(3-7 hours) </w:t>
      </w:r>
      <w:r w:rsidR="00DA7FEC">
        <w:rPr>
          <w:rFonts w:ascii="Calibri" w:hAnsi="Calibri" w:cs="Arial"/>
          <w:lang w:val="en-GB"/>
        </w:rPr>
        <w:t xml:space="preserve">asthmatic responses </w:t>
      </w:r>
      <w:r w:rsidR="004075E7">
        <w:rPr>
          <w:rFonts w:ascii="Calibri" w:hAnsi="Calibri" w:cs="Arial"/>
          <w:lang w:val="en-GB"/>
        </w:rPr>
        <w:t xml:space="preserve">measured as a loss of </w:t>
      </w:r>
      <w:r w:rsidR="00DA7FEC">
        <w:rPr>
          <w:rFonts w:ascii="Calibri" w:hAnsi="Calibri" w:cs="Arial"/>
          <w:lang w:val="en-GB"/>
        </w:rPr>
        <w:t>forced expiratory volume in one second</w:t>
      </w:r>
      <w:r w:rsidR="004075E7">
        <w:rPr>
          <w:rFonts w:ascii="Calibri" w:hAnsi="Calibri" w:cs="Arial"/>
          <w:lang w:val="en-GB"/>
        </w:rPr>
        <w:t xml:space="preserve"> after allergen challenge. However, both phases of the response were ablated only by the </w:t>
      </w:r>
      <w:r w:rsidR="00DA7FEC">
        <w:rPr>
          <w:rFonts w:ascii="Calibri" w:hAnsi="Calibri" w:cs="Arial"/>
          <w:lang w:val="en-GB"/>
        </w:rPr>
        <w:t xml:space="preserve">high, 8 mg once </w:t>
      </w:r>
      <w:r w:rsidR="004075E7">
        <w:rPr>
          <w:rFonts w:ascii="Calibri" w:hAnsi="Calibri" w:cs="Arial"/>
          <w:lang w:val="en-GB"/>
        </w:rPr>
        <w:t>daily, inhaled</w:t>
      </w:r>
      <w:r w:rsidR="00DA7FEC">
        <w:rPr>
          <w:rFonts w:ascii="Calibri" w:hAnsi="Calibri" w:cs="Arial"/>
          <w:lang w:val="en-GB"/>
        </w:rPr>
        <w:t xml:space="preserve"> dose</w:t>
      </w:r>
      <w:r w:rsidR="004075E7">
        <w:rPr>
          <w:rFonts w:ascii="Calibri" w:hAnsi="Calibri" w:cs="Arial"/>
          <w:lang w:val="en-GB"/>
        </w:rPr>
        <w:t>;</w:t>
      </w:r>
      <w:r w:rsidR="00DA7FEC">
        <w:rPr>
          <w:rFonts w:ascii="Calibri" w:hAnsi="Calibri" w:cs="Arial"/>
          <w:lang w:val="en-GB"/>
        </w:rPr>
        <w:t xml:space="preserve"> the early response </w:t>
      </w:r>
      <w:r w:rsidR="004075E7">
        <w:rPr>
          <w:rFonts w:ascii="Calibri" w:hAnsi="Calibri" w:cs="Arial"/>
          <w:lang w:val="en-GB"/>
        </w:rPr>
        <w:t>was not</w:t>
      </w:r>
      <w:r w:rsidR="00DA7FEC">
        <w:rPr>
          <w:rFonts w:ascii="Calibri" w:hAnsi="Calibri" w:cs="Arial"/>
          <w:lang w:val="en-GB"/>
        </w:rPr>
        <w:t xml:space="preserve"> affected </w:t>
      </w:r>
      <w:r w:rsidR="004075E7">
        <w:rPr>
          <w:rFonts w:ascii="Calibri" w:hAnsi="Calibri" w:cs="Arial"/>
          <w:lang w:val="en-GB"/>
        </w:rPr>
        <w:t>by a 4 mg dose. In these patients</w:t>
      </w:r>
      <w:r w:rsidR="00DA7FEC">
        <w:rPr>
          <w:rFonts w:ascii="Calibri" w:hAnsi="Calibri" w:cs="Arial"/>
          <w:lang w:val="en-GB"/>
        </w:rPr>
        <w:t xml:space="preserve"> </w:t>
      </w:r>
      <w:r w:rsidR="00DA7FEC">
        <w:rPr>
          <w:rFonts w:ascii="Calibri" w:hAnsi="Calibri" w:cs="Arial"/>
          <w:lang w:val="en-GB"/>
        </w:rPr>
        <w:lastRenderedPageBreak/>
        <w:t>e</w:t>
      </w:r>
      <w:r w:rsidR="006E74AE">
        <w:rPr>
          <w:rFonts w:ascii="Calibri" w:hAnsi="Calibri" w:cs="Arial"/>
          <w:lang w:val="en-GB"/>
        </w:rPr>
        <w:t xml:space="preserve">osinophil progenitor recruitment was </w:t>
      </w:r>
      <w:r w:rsidR="00DA7FEC">
        <w:rPr>
          <w:rFonts w:ascii="Calibri" w:hAnsi="Calibri" w:cs="Arial"/>
          <w:lang w:val="en-GB"/>
        </w:rPr>
        <w:t>also</w:t>
      </w:r>
      <w:r w:rsidR="006E74AE">
        <w:rPr>
          <w:rFonts w:ascii="Calibri" w:hAnsi="Calibri" w:cs="Arial"/>
          <w:lang w:val="en-GB"/>
        </w:rPr>
        <w:t xml:space="preserve"> significantly </w:t>
      </w:r>
      <w:r w:rsidR="00FF7407">
        <w:rPr>
          <w:rFonts w:ascii="Calibri" w:hAnsi="Calibri" w:cs="Arial"/>
          <w:lang w:val="en-GB"/>
        </w:rPr>
        <w:t>reduced in sputum after allergen challenge, accompanied by statistically significant reduction of CCR3</w:t>
      </w:r>
      <w:r w:rsidR="00FF7407">
        <w:rPr>
          <w:rFonts w:ascii="Calibri" w:hAnsi="Calibri" w:cs="Arial"/>
          <w:vertAlign w:val="superscript"/>
          <w:lang w:val="en-GB"/>
        </w:rPr>
        <w:t>+</w:t>
      </w:r>
      <w:r w:rsidR="00FF7407">
        <w:rPr>
          <w:rFonts w:ascii="Calibri" w:hAnsi="Calibri" w:cs="Arial"/>
          <w:lang w:val="en-GB"/>
        </w:rPr>
        <w:t xml:space="preserve"> and IL-5R</w:t>
      </w:r>
      <w:r w:rsidR="00FF7407">
        <w:rPr>
          <w:rFonts w:ascii="Calibri" w:hAnsi="Calibri" w:cs="Arial"/>
          <w:vertAlign w:val="superscript"/>
          <w:lang w:val="en-GB"/>
        </w:rPr>
        <w:t>+</w:t>
      </w:r>
      <w:r w:rsidR="00FF7407">
        <w:rPr>
          <w:rFonts w:ascii="Calibri" w:hAnsi="Calibri" w:cs="Arial"/>
          <w:lang w:val="en-GB"/>
        </w:rPr>
        <w:t xml:space="preserve"> </w:t>
      </w:r>
      <w:r w:rsidR="00DA7FEC">
        <w:rPr>
          <w:rFonts w:ascii="Calibri" w:hAnsi="Calibri" w:cs="Arial"/>
          <w:lang w:val="en-GB"/>
        </w:rPr>
        <w:t>HPC</w:t>
      </w:r>
      <w:r w:rsidR="00FF7407">
        <w:rPr>
          <w:rFonts w:ascii="Calibri" w:hAnsi="Calibri" w:cs="Arial"/>
          <w:lang w:val="en-GB"/>
        </w:rPr>
        <w:t xml:space="preserve"> numbers,</w:t>
      </w:r>
      <w:r w:rsidR="00DA7FEC">
        <w:rPr>
          <w:rFonts w:ascii="Calibri" w:hAnsi="Calibri" w:cs="Arial"/>
          <w:lang w:val="en-GB"/>
        </w:rPr>
        <w:t xml:space="preserve"> but not total HPC level</w:t>
      </w:r>
      <w:r w:rsidR="004075E7">
        <w:rPr>
          <w:rFonts w:ascii="Calibri" w:hAnsi="Calibri" w:cs="Arial"/>
          <w:lang w:val="en-GB"/>
        </w:rPr>
        <w:t>.</w:t>
      </w:r>
      <w:r w:rsidR="006E74AE">
        <w:rPr>
          <w:rFonts w:ascii="Calibri" w:hAnsi="Calibri" w:cs="Arial"/>
          <w:lang w:val="en-GB"/>
        </w:rPr>
        <w:t xml:space="preserve"> </w:t>
      </w:r>
    </w:p>
    <w:p w14:paraId="2049B9C3" w14:textId="77777777" w:rsidR="00C34DFB" w:rsidRDefault="00C34DFB" w:rsidP="005837A4">
      <w:pPr>
        <w:spacing w:line="480" w:lineRule="auto"/>
        <w:jc w:val="both"/>
        <w:rPr>
          <w:rFonts w:ascii="Calibri" w:hAnsi="Calibri" w:cs="Arial"/>
          <w:lang w:val="en-GB"/>
        </w:rPr>
      </w:pPr>
    </w:p>
    <w:p w14:paraId="34328971" w14:textId="1D8A5965" w:rsidR="006E74AE" w:rsidRDefault="00DA7FEC" w:rsidP="005837A4">
      <w:pPr>
        <w:spacing w:line="480" w:lineRule="auto"/>
        <w:jc w:val="both"/>
        <w:rPr>
          <w:rFonts w:ascii="Calibri" w:hAnsi="Calibri" w:cs="Arial"/>
          <w:lang w:val="en-GB"/>
        </w:rPr>
      </w:pPr>
      <w:r>
        <w:rPr>
          <w:rFonts w:ascii="Calibri" w:hAnsi="Calibri" w:cs="Arial"/>
          <w:lang w:val="en-GB"/>
        </w:rPr>
        <w:t>Overall,</w:t>
      </w:r>
      <w:r w:rsidR="004075E7">
        <w:rPr>
          <w:rFonts w:ascii="Calibri" w:hAnsi="Calibri" w:cs="Arial"/>
          <w:lang w:val="en-GB"/>
        </w:rPr>
        <w:t xml:space="preserve"> despite the robust rationale, encouraging pre-clinical data and clinical success with other, injectable therapeutic modalities (antibodies) targeting the same immune signalling axis, the</w:t>
      </w:r>
      <w:r>
        <w:rPr>
          <w:rFonts w:ascii="Calibri" w:hAnsi="Calibri" w:cs="Arial"/>
          <w:lang w:val="en-GB"/>
        </w:rPr>
        <w:t xml:space="preserve"> clinical </w:t>
      </w:r>
      <w:r w:rsidR="004075E7">
        <w:rPr>
          <w:rFonts w:ascii="Calibri" w:hAnsi="Calibri" w:cs="Arial"/>
          <w:lang w:val="en-GB"/>
        </w:rPr>
        <w:t>progress of ASM8</w:t>
      </w:r>
      <w:r>
        <w:rPr>
          <w:rFonts w:ascii="Calibri" w:hAnsi="Calibri" w:cs="Arial"/>
          <w:lang w:val="en-GB"/>
        </w:rPr>
        <w:t xml:space="preserve"> </w:t>
      </w:r>
      <w:r w:rsidR="004075E7">
        <w:rPr>
          <w:rFonts w:ascii="Calibri" w:hAnsi="Calibri" w:cs="Arial"/>
          <w:lang w:val="en-GB"/>
        </w:rPr>
        <w:t xml:space="preserve">was marred by lack of explicit MOA data, inconclusive bioanalytical results on target RNA and protein levels and mixed clinical outcomes. It is important to note at this point that both ASM8 and </w:t>
      </w:r>
      <w:r w:rsidR="00B138A9">
        <w:rPr>
          <w:rFonts w:ascii="Calibri" w:hAnsi="Calibri" w:cs="Arial"/>
          <w:lang w:val="en-GB"/>
        </w:rPr>
        <w:t>the</w:t>
      </w:r>
      <w:r w:rsidR="004075E7">
        <w:rPr>
          <w:rFonts w:ascii="Calibri" w:hAnsi="Calibri" w:cs="Arial"/>
          <w:lang w:val="en-GB"/>
        </w:rPr>
        <w:t xml:space="preserve"> competitor</w:t>
      </w:r>
      <w:r w:rsidR="00B138A9">
        <w:rPr>
          <w:rFonts w:ascii="Calibri" w:hAnsi="Calibri" w:cs="Arial"/>
          <w:lang w:val="en-GB"/>
        </w:rPr>
        <w:t xml:space="preserve"> ASO</w:t>
      </w:r>
      <w:r w:rsidR="004075E7">
        <w:rPr>
          <w:rFonts w:ascii="Calibri" w:hAnsi="Calibri" w:cs="Arial"/>
          <w:lang w:val="en-GB"/>
        </w:rPr>
        <w:t xml:space="preserve"> AIR645 have consistently induced macrophage recruitment into the airways, a phenotype not yet cleared as safe with regards to soluble therapeutic compounds.</w:t>
      </w:r>
    </w:p>
    <w:p w14:paraId="3B9BEC27" w14:textId="77777777" w:rsidR="00A45720" w:rsidRDefault="00A45720" w:rsidP="005837A4">
      <w:pPr>
        <w:spacing w:line="480" w:lineRule="auto"/>
        <w:jc w:val="both"/>
        <w:rPr>
          <w:rFonts w:ascii="Calibri" w:hAnsi="Calibri" w:cs="Arial"/>
          <w:lang w:val="en-GB"/>
        </w:rPr>
      </w:pPr>
    </w:p>
    <w:p w14:paraId="64DC6D00" w14:textId="77777777" w:rsidR="00F94C0D" w:rsidRDefault="00F94C0D" w:rsidP="005837A4">
      <w:pPr>
        <w:spacing w:line="480" w:lineRule="auto"/>
        <w:jc w:val="both"/>
        <w:rPr>
          <w:rFonts w:ascii="Calibri" w:hAnsi="Calibri" w:cs="Arial"/>
          <w:lang w:val="en-GB"/>
        </w:rPr>
      </w:pPr>
    </w:p>
    <w:p w14:paraId="4DDBF1A4" w14:textId="473987DD" w:rsidR="00F94C0D" w:rsidRDefault="00A25217" w:rsidP="005837A4">
      <w:pPr>
        <w:pStyle w:val="Heading2"/>
      </w:pPr>
      <w:r>
        <w:t>3.3</w:t>
      </w:r>
      <w:r>
        <w:tab/>
      </w:r>
      <w:r w:rsidR="00D5673C">
        <w:t xml:space="preserve">Third </w:t>
      </w:r>
      <w:r w:rsidR="00EE773D">
        <w:t>generation ASO.</w:t>
      </w:r>
    </w:p>
    <w:p w14:paraId="75A52D9E" w14:textId="77777777" w:rsidR="00A45720" w:rsidRPr="00A45720" w:rsidRDefault="00A45720" w:rsidP="005837A4">
      <w:pPr>
        <w:spacing w:line="480" w:lineRule="auto"/>
      </w:pPr>
    </w:p>
    <w:p w14:paraId="6A18BA4F" w14:textId="23B66862" w:rsidR="00CA7DA2" w:rsidRDefault="00F94C0D" w:rsidP="005837A4">
      <w:pPr>
        <w:spacing w:line="480" w:lineRule="auto"/>
        <w:jc w:val="both"/>
        <w:rPr>
          <w:rFonts w:ascii="Calibri" w:hAnsi="Calibri" w:cs="Arial"/>
        </w:rPr>
      </w:pPr>
      <w:r>
        <w:rPr>
          <w:rFonts w:ascii="Calibri" w:hAnsi="Calibri" w:cs="Arial"/>
        </w:rPr>
        <w:t xml:space="preserve">The utility of &lt;20 nt LNA ASO was first evaluated in the same study that examined siRNA delivery </w:t>
      </w:r>
      <w:r w:rsidR="00EE773D">
        <w:rPr>
          <w:rFonts w:ascii="Calibri" w:hAnsi="Calibri" w:cs="Arial"/>
        </w:rPr>
        <w:t xml:space="preserve">to the lung </w:t>
      </w:r>
      <w:r>
        <w:rPr>
          <w:rFonts w:ascii="Calibri" w:hAnsi="Calibri" w:cs="Arial"/>
        </w:rPr>
        <w:t xml:space="preserve">at the cell type-specific level </w:t>
      </w:r>
      <w:r>
        <w:rPr>
          <w:rFonts w:ascii="Calibri" w:hAnsi="Calibri" w:cs="Arial"/>
        </w:rPr>
        <w:fldChar w:fldCharType="begin" w:fldLock="1"/>
      </w:r>
      <w:r>
        <w:rPr>
          <w:rFonts w:ascii="Calibri" w:hAnsi="Calibri" w:cs="Arial"/>
        </w:rPr>
        <w:instrText>ADDIN CSL_CITATION { "citationItems" : [ { "id" : "ITEM-1", "itemData" : { "DOI" : "10.1038/mt.2011.206", "ISBN" : "1525-0024 (Electronic)\r1525-0016 (Linking)", "PMID" : "21971426", "abstract" : "Antisense oligonucleotides (ASOs) and small interfering RNA (siRNA) promise specific correction of disease-causing gene expression. Therapeutic implementation, however, has been forestalled by poor delivery to the appropriate tissue, cell type, and subcellular compartment. Topical administration is considered to circumvent these issues. The availability of inhalation devices and unmet medical need in lung disease has focused efforts in this tissue. We report the development of a novel cell sorting method for quantitative, cell type-specific analysis of siRNA, and locked nucleic acid (LNA) ASO uptake and efficacy after intratracheal (i.t.) administration in mice. Through fluorescent dye labeling, we compare the utility of this approach to whole animal and whole tissue analysis, and examine the extent of tissue distribution. We detail rapid systemic access and renal clearance for both therapeutic classes and lack of efficacy at the protein level in lung macrophages, epithelia, or other cell types. We nevertheless observe efficient redirection of i.t. administered phosphorothioate (PS) LNA ASO to the liver and kidney leading to targeted gene knockdown. These data suggest delivery remains a key obstacle to topically administered, naked oligonucleotide efficacy in the lung and introduce inhalation as a potentially viable alternative to injection for antisense administration to the liver and kidneys.", "author" : [ { "dropping-particle" : "", "family" : "Moschos", "given" : "S A", "non-dropping-particle" : "", "parse-names" : false, "suffix" : "" }, { "dropping-particle" : "", "family" : "Frick", "given" : "M", "non-dropping-particle" : "", "parse-names" : false, "suffix" : "" }, { "dropping-particle" : "", "family" : "Taylor", "given" : "B", "non-dropping-particle" : "", "parse-names" : false, "suffix" : "" }, { "dropping-particle" : "", "family" : "Turnpenny", "given" : "P", "non-dropping-particle" : "", "parse-names" : false, "suffix" : "" }, { "dropping-particle" : "", "family" : "Graves", "given" : "H", "non-dropping-particle" : "", "parse-names" : false, "suffix" : "" }, { "dropping-particle" : "", "family" : "Spink", "given" : "K G", "non-dropping-particle" : "", "parse-names" : false, "suffix" : "" }, { "dropping-particle" : "", "family" : "Brady", "given" : "K", "non-dropping-particle" : "", "parse-names" : false, "suffix" : "" }, { "dropping-particle" : "", "family" : "Lamb", "given" : "D", "non-dropping-particle" : "", "parse-names" : false, "suffix" : "" }, { "dropping-particle" : "", "family" : "Collins", "given" : "D", "non-dropping-particle" : "", "parse-names" : false, "suffix" : "" }, { "dropping-particle" : "", "family" : "Rockel", "given" : "T D", "non-dropping-particle" : "", "parse-names" : false, "suffix" : "" }, { "dropping-particle" : "", "family" : "Weber", "given" : "M", "non-dropping-particle" : "", "parse-names" : false, "suffix" : "" }, { "dropping-particle" : "", "family" : "Lazari", "given" : "O", "non-dropping-particle" : "", "parse-names" : false, "suffix" : "" }, { "dropping-particle" : "", "family" : "Perez-Tosar", "given" : "L", "non-dropping-particle" : "", "parse-names" : false, "suffix" : "" }, { "dropping-particle" : "", "family" : "Fancy", "given" : "S A", "non-dropping-particle" : "", "parse-names" : false, "suffix" : "" }, { "dropping-particle" : "", "family" : "Lapthorn", "given" : "C", "non-dropping-particle" : "", "parse-names" : false, "suffix" : "" }, { "dropping-particle" : "", "family" : "Green", "given" : "M X", "non-dropping-particle" : "", "parse-names" : false, "suffix" : "" }, { "dropping-particle" : "", "family" : "Evans", "given" : "S", "non-dropping-particle" : "", "parse-names" : false, "suffix" : "" }, { "dropping-particle" : "", "family" : "Selby", "given" : "M", "non-dropping-particle" : "", "parse-names" : false, "suffix" : "" }, { "dropping-particle" : "", "family" : "Jones", "given" : "G", "non-dropping-particle" : "", "parse-names" : false, "suffix" : "" }, { "dropping-particle" : "", "family" : "Jones", "given" : "L", "non-dropping-particle" : "", "parse-names" : false, "suffix" : "" }, { "dropping-particle" : "", "family" : "Kearney", "given" : "S", "non-dropping-particle" : "", "parse-names" : false, "suffix" : "" }, { "dropping-particle" : "", "family" : "Mechiche", "given" : "H", "non-dropping-particle" : "", "parse-names" : false, "suffix" : "" }, { "dropping-particle" : "", "family" : "Gikunju", "given" : "D", "non-dropping-particle" : "", "parse-names" : false, "suffix" : "" }, { "dropping-particle" : "", "family" : "Subramanian", "given" : "R", "non-dropping-particle" : "", "parse-names" : false, "suffix" : "" }, { "dropping-particle" : "", "family" : "Uhlmann", "given" : "E", "non-dropping-particle" : "", "parse-names" : false, "suffix" : "" }, { "dropping-particle" : "", "family" : "Jurk", "given" : "M", "non-dropping-particle" : "", "parse-names" : false, "suffix" : "" }, { "dropping-particle" : "", "family" : "Vollmer", "given" : "J", "non-dropping-particle" : "", "parse-names" : false, "suffix" : "" }, { "dropping-particle" : "", "family" : "Ciaramella", "given" : "G", "non-dropping-particle" : "", "parse-names" : false, "suffix" : "" }, { "dropping-particle" : "", "family" : "Yeadon", "given" : "M", "non-dropping-particle" : "", "parse-names" : false, "suffix" : "" } ], "container-title" : "Mol Ther", "edition" : "2011/10/06", "id" : "ITEM-1", "issue" : "12", "issued" : { "date-parts" : [ [ "2011" ] ] }, "language" : "eng", "note" : "Moschos, Sterghios A\nFrick, Manfred\nTaylor, Bruce\nTurnpenny, Paul\nGraves, Helen\nSpink, Karen G\nBrady, Kevin\nLamb, David\nCollins, David\nRockel, Thomas D\nWeber, Markus\nLazari, Ovadia\nPerez-Tosar, Luis\nFancy, Sally A\nLapthorn, Chris\nGreen, Martin X\nEvans, Steve\nSelby, Matthew\nJones, Gareth\nJones, Lyn\nKearney, Sarah\nMechiche, Houria\nGikunju, Diana\nSubramanian, Romesh\nUhlmann, Eugen\nJurk, Marion\nVollmer, Jorg\nCiaramella, Giuseppe\nYeadon, Michael\nMol Ther. 2011 Dec;19(12):2163-8. doi: 10.1038/mt.2011.206. Epub 2011 Oct 4.", "page" : "2163-2168", "title" : "Uptake, efficacy, and systemic distribution of naked, inhaled short interfering RNA (siRNA) and locked nucleic acid (LNA) antisense", "type" : "article-journal", "volume" : "19" }, "uris" : [ "http://www.mendeley.com/documents/?uuid=4748daf6-e4ed-4ef5-b072-f4709f195c25" ] } ], "mendeley" : { "formattedCitation" : "(Moschos et al., 2011)", "plainTextFormattedCitation" : "(Moschos et al., 2011)", "previouslyFormattedCitation" : "(Moschos et al., 2011)" }, "properties" : { "noteIndex" : 0 }, "schema" : "https://github.com/citation-style-language/schema/raw/master/csl-citation.json" }</w:instrText>
      </w:r>
      <w:r>
        <w:rPr>
          <w:rFonts w:ascii="Calibri" w:hAnsi="Calibri" w:cs="Arial"/>
        </w:rPr>
        <w:fldChar w:fldCharType="separate"/>
      </w:r>
      <w:r w:rsidRPr="004C64A5">
        <w:rPr>
          <w:rFonts w:ascii="Calibri" w:hAnsi="Calibri" w:cs="Arial"/>
          <w:noProof/>
        </w:rPr>
        <w:t>(Moschos et al., 2011)</w:t>
      </w:r>
      <w:r>
        <w:rPr>
          <w:rFonts w:ascii="Calibri" w:hAnsi="Calibri" w:cs="Arial"/>
        </w:rPr>
        <w:fldChar w:fldCharType="end"/>
      </w:r>
      <w:r w:rsidR="00EE773D">
        <w:rPr>
          <w:rFonts w:ascii="Calibri" w:hAnsi="Calibri" w:cs="Arial"/>
        </w:rPr>
        <w:t xml:space="preserve">. </w:t>
      </w:r>
      <w:r>
        <w:rPr>
          <w:rFonts w:ascii="Calibri" w:hAnsi="Calibri" w:cs="Arial"/>
        </w:rPr>
        <w:t>Unfortunately, as with the siRNA arm of this work, no activity was observed with LNA ASO</w:t>
      </w:r>
      <w:r w:rsidR="00FA43F3">
        <w:rPr>
          <w:rFonts w:ascii="Calibri" w:hAnsi="Calibri" w:cs="Arial"/>
        </w:rPr>
        <w:t xml:space="preserve"> in the lung</w:t>
      </w:r>
      <w:r>
        <w:rPr>
          <w:rFonts w:ascii="Calibri" w:hAnsi="Calibri" w:cs="Arial"/>
        </w:rPr>
        <w:t>. However, whilst siRNA and phosphodiester LNA ASO were rapidly</w:t>
      </w:r>
      <w:r w:rsidR="00EE773D">
        <w:rPr>
          <w:rFonts w:ascii="Calibri" w:hAnsi="Calibri" w:cs="Arial"/>
        </w:rPr>
        <w:t xml:space="preserve"> (&lt;15 min)</w:t>
      </w:r>
      <w:r>
        <w:rPr>
          <w:rFonts w:ascii="Calibri" w:hAnsi="Calibri" w:cs="Arial"/>
        </w:rPr>
        <w:t xml:space="preserve"> </w:t>
      </w:r>
      <w:r w:rsidR="00FA43F3">
        <w:rPr>
          <w:rFonts w:ascii="Calibri" w:hAnsi="Calibri" w:cs="Arial"/>
        </w:rPr>
        <w:t>eliminated in urine</w:t>
      </w:r>
      <w:r>
        <w:rPr>
          <w:rFonts w:ascii="Calibri" w:hAnsi="Calibri" w:cs="Arial"/>
        </w:rPr>
        <w:t xml:space="preserve">, phosphorothioate LNA ASO formed punctate structures within lung epithelia across </w:t>
      </w:r>
      <w:r w:rsidR="00EE773D">
        <w:rPr>
          <w:rFonts w:ascii="Calibri" w:hAnsi="Calibri" w:cs="Arial"/>
        </w:rPr>
        <w:t>upper and lower</w:t>
      </w:r>
      <w:r>
        <w:rPr>
          <w:rFonts w:ascii="Calibri" w:hAnsi="Calibri" w:cs="Arial"/>
        </w:rPr>
        <w:t xml:space="preserve"> airways. These </w:t>
      </w:r>
      <w:r w:rsidR="00EE773D">
        <w:rPr>
          <w:rFonts w:ascii="Calibri" w:hAnsi="Calibri" w:cs="Arial"/>
        </w:rPr>
        <w:t xml:space="preserve">interactions </w:t>
      </w:r>
      <w:r>
        <w:rPr>
          <w:rFonts w:ascii="Calibri" w:hAnsi="Calibri" w:cs="Arial"/>
        </w:rPr>
        <w:t>appeared to be extracellular</w:t>
      </w:r>
      <w:r w:rsidR="00EE773D">
        <w:rPr>
          <w:rFonts w:ascii="Calibri" w:hAnsi="Calibri" w:cs="Arial"/>
        </w:rPr>
        <w:t xml:space="preserve"> and</w:t>
      </w:r>
      <w:r>
        <w:rPr>
          <w:rFonts w:ascii="Calibri" w:hAnsi="Calibri" w:cs="Arial"/>
        </w:rPr>
        <w:t xml:space="preserve"> membrane</w:t>
      </w:r>
      <w:r w:rsidR="00EE773D">
        <w:rPr>
          <w:rFonts w:ascii="Calibri" w:hAnsi="Calibri" w:cs="Arial"/>
        </w:rPr>
        <w:t xml:space="preserve"> </w:t>
      </w:r>
      <w:r>
        <w:rPr>
          <w:rFonts w:ascii="Calibri" w:hAnsi="Calibri" w:cs="Arial"/>
        </w:rPr>
        <w:t>s</w:t>
      </w:r>
      <w:r w:rsidR="00EE773D">
        <w:rPr>
          <w:rFonts w:ascii="Calibri" w:hAnsi="Calibri" w:cs="Arial"/>
        </w:rPr>
        <w:t>pecific</w:t>
      </w:r>
      <w:r>
        <w:rPr>
          <w:rFonts w:ascii="Calibri" w:hAnsi="Calibri" w:cs="Arial"/>
        </w:rPr>
        <w:t xml:space="preserve"> rather than endocyt</w:t>
      </w:r>
      <w:r w:rsidR="00EE773D">
        <w:rPr>
          <w:rFonts w:ascii="Calibri" w:hAnsi="Calibri" w:cs="Arial"/>
        </w:rPr>
        <w:t xml:space="preserve">ic, </w:t>
      </w:r>
      <w:r w:rsidR="003924A5">
        <w:rPr>
          <w:rFonts w:ascii="Calibri" w:hAnsi="Calibri" w:cs="Arial"/>
        </w:rPr>
        <w:t>cytosol</w:t>
      </w:r>
      <w:r w:rsidR="00EE773D">
        <w:rPr>
          <w:rFonts w:ascii="Calibri" w:hAnsi="Calibri" w:cs="Arial"/>
        </w:rPr>
        <w:t>ic or nuclear</w:t>
      </w:r>
      <w:r>
        <w:rPr>
          <w:rFonts w:ascii="Calibri" w:hAnsi="Calibri" w:cs="Arial"/>
        </w:rPr>
        <w:t xml:space="preserve">. </w:t>
      </w:r>
      <w:r w:rsidR="00EE773D">
        <w:rPr>
          <w:rFonts w:ascii="Calibri" w:hAnsi="Calibri" w:cs="Arial"/>
        </w:rPr>
        <w:t>Q</w:t>
      </w:r>
      <w:r>
        <w:rPr>
          <w:rFonts w:ascii="Calibri" w:hAnsi="Calibri" w:cs="Arial"/>
        </w:rPr>
        <w:t xml:space="preserve">uantifiable amounts of phosphorothioate LNA ASO were </w:t>
      </w:r>
      <w:r w:rsidR="00EE773D">
        <w:rPr>
          <w:rFonts w:ascii="Calibri" w:hAnsi="Calibri" w:cs="Arial"/>
        </w:rPr>
        <w:t>reported</w:t>
      </w:r>
      <w:r>
        <w:rPr>
          <w:rFonts w:ascii="Calibri" w:hAnsi="Calibri" w:cs="Arial"/>
        </w:rPr>
        <w:t xml:space="preserve"> only in lung macrophages, the liver and the kidney. Crucially, whereas </w:t>
      </w:r>
      <w:r w:rsidR="00EE773D">
        <w:rPr>
          <w:rFonts w:ascii="Calibri" w:hAnsi="Calibri" w:cs="Arial"/>
        </w:rPr>
        <w:t>there was no</w:t>
      </w:r>
      <w:r>
        <w:rPr>
          <w:rFonts w:ascii="Calibri" w:hAnsi="Calibri" w:cs="Arial"/>
        </w:rPr>
        <w:t xml:space="preserve"> activity in lung macrophages, efficacy was observed </w:t>
      </w:r>
      <w:r>
        <w:rPr>
          <w:rFonts w:ascii="Calibri" w:hAnsi="Calibri" w:cs="Arial"/>
        </w:rPr>
        <w:lastRenderedPageBreak/>
        <w:t>in both the kidney and the liver: t</w:t>
      </w:r>
      <w:r w:rsidR="00B138A9">
        <w:rPr>
          <w:rFonts w:ascii="Calibri" w:hAnsi="Calibri" w:cs="Arial"/>
        </w:rPr>
        <w:t>arget modulation in t</w:t>
      </w:r>
      <w:r>
        <w:rPr>
          <w:rFonts w:ascii="Calibri" w:hAnsi="Calibri" w:cs="Arial"/>
        </w:rPr>
        <w:t xml:space="preserve">he </w:t>
      </w:r>
      <w:r w:rsidR="00B138A9">
        <w:rPr>
          <w:rFonts w:ascii="Calibri" w:hAnsi="Calibri" w:cs="Arial"/>
        </w:rPr>
        <w:t xml:space="preserve">liver </w:t>
      </w:r>
      <w:r>
        <w:rPr>
          <w:rFonts w:ascii="Calibri" w:hAnsi="Calibri" w:cs="Arial"/>
        </w:rPr>
        <w:t>was found to be indeed comparable to intravenous administration</w:t>
      </w:r>
      <w:r w:rsidR="00CA7DA2">
        <w:rPr>
          <w:rFonts w:ascii="Calibri" w:hAnsi="Calibri" w:cs="Arial"/>
        </w:rPr>
        <w:t>.</w:t>
      </w:r>
    </w:p>
    <w:p w14:paraId="7F5A9D3C" w14:textId="713187E5" w:rsidR="003924A5" w:rsidRDefault="003924A5" w:rsidP="005837A4">
      <w:pPr>
        <w:spacing w:line="480" w:lineRule="auto"/>
        <w:jc w:val="both"/>
        <w:rPr>
          <w:rFonts w:ascii="Calibri" w:hAnsi="Calibri" w:cs="Arial"/>
        </w:rPr>
      </w:pPr>
    </w:p>
    <w:p w14:paraId="55D45FD0" w14:textId="3C7E002C" w:rsidR="00F94C0D" w:rsidRDefault="00F94C0D" w:rsidP="005837A4">
      <w:pPr>
        <w:spacing w:line="480" w:lineRule="auto"/>
        <w:jc w:val="both"/>
        <w:rPr>
          <w:rFonts w:ascii="Calibri" w:hAnsi="Calibri" w:cs="Arial"/>
        </w:rPr>
      </w:pPr>
      <w:r>
        <w:rPr>
          <w:rFonts w:ascii="Calibri" w:hAnsi="Calibri" w:cs="Arial"/>
        </w:rPr>
        <w:t xml:space="preserve">These data suggested inhalation might actually be a viable </w:t>
      </w:r>
      <w:r w:rsidR="003924A5">
        <w:rPr>
          <w:rFonts w:ascii="Calibri" w:hAnsi="Calibri" w:cs="Arial"/>
        </w:rPr>
        <w:t xml:space="preserve">needle-free dosing </w:t>
      </w:r>
      <w:r>
        <w:rPr>
          <w:rFonts w:ascii="Calibri" w:hAnsi="Calibri" w:cs="Arial"/>
        </w:rPr>
        <w:t>solution for 3</w:t>
      </w:r>
      <w:r w:rsidRPr="00D54597">
        <w:rPr>
          <w:rFonts w:ascii="Calibri" w:hAnsi="Calibri" w:cs="Arial"/>
          <w:vertAlign w:val="superscript"/>
        </w:rPr>
        <w:t>rd</w:t>
      </w:r>
      <w:r>
        <w:rPr>
          <w:rFonts w:ascii="Calibri" w:hAnsi="Calibri" w:cs="Arial"/>
        </w:rPr>
        <w:t xml:space="preserve"> generation ASO therapies </w:t>
      </w:r>
      <w:r w:rsidR="003924A5">
        <w:rPr>
          <w:rFonts w:ascii="Calibri" w:hAnsi="Calibri" w:cs="Arial"/>
        </w:rPr>
        <w:t xml:space="preserve">targeting systemic tissues </w:t>
      </w:r>
      <w:r>
        <w:rPr>
          <w:rFonts w:ascii="Calibri" w:hAnsi="Calibri" w:cs="Arial"/>
        </w:rPr>
        <w:t>rather than the lung, when the oral bioavailability of 2</w:t>
      </w:r>
      <w:r w:rsidRPr="00072270">
        <w:rPr>
          <w:rFonts w:ascii="Calibri" w:hAnsi="Calibri" w:cs="Arial"/>
          <w:vertAlign w:val="superscript"/>
        </w:rPr>
        <w:t>nd</w:t>
      </w:r>
      <w:r>
        <w:rPr>
          <w:rFonts w:ascii="Calibri" w:hAnsi="Calibri" w:cs="Arial"/>
        </w:rPr>
        <w:t xml:space="preserve"> generation ASO varies between 2-12% even with the use of uptake enhancers </w:t>
      </w:r>
      <w:r>
        <w:rPr>
          <w:rFonts w:ascii="Calibri" w:hAnsi="Calibri" w:cs="Arial"/>
        </w:rPr>
        <w:fldChar w:fldCharType="begin" w:fldLock="1"/>
      </w:r>
      <w:r>
        <w:rPr>
          <w:rFonts w:ascii="Calibri" w:hAnsi="Calibri" w:cs="Arial"/>
        </w:rPr>
        <w:instrText>ADDIN CSL_CITATION { "citationItems" : [ { "id" : "ITEM-1", "itemData" : { "ISBN" : "0724-8741 (Print)\r0724-8741 (Linking)", "PMID" : "9587955", "abstract" : "PURPOSE: Phosphorothioate antisense oligodeoxynucleotides are promising therapeutic candidates. When given systemically in clinical trials they are administered via slow intravenous infusion to avoid their putative plasma concentration-dependent haemodynamic side-effects. In this study, we have evaluated alternative parenteral and non-parenteral administration routes which have the potential to enhance the therapeutic and commercial potential of these agents. METHODS: The delivery of CGP 64128A by intravenous, subcutaneous, intra-peritoneal, oral and intra-tracheal (pulmonary) routes was investigated in rats using radiolabelled compound and supported by more specific capillary gel electrophoretic analyses. RESULTS: Intravenously administered CGP 64128A exhibited the rapid blood clearance and distinctive tissue distribution which are typical for phosphorothioate oligodeoxynucleotides. Subcutaneous and intraperitoneal administration resulted in significant bioavailabilities (30.9% and 28.1% over 360 min, respectively) and reduced peak plasma levels when compared with intravenous dosing. Administration via the gastrointestinal tract gave negligible bioavailability (&lt; 2%). Intra-tracheal administration resulted in significant but dose-dependent bioavailabilities of 3.2, 16.5 and 39.8% at 0.06, 0.6 and 6.0 mg/kg, respectively. CONCLUSIONS: Significant bioavailabilities of CGP 64128A were achieved following subcutaneous, intra-peritoneal and intra-tracheal administration. Pulmonary delivery represents a promising mode of non-parenteral dosing for antisense oligonucleotides. The dose-dependent increase in pulmonary bioavailability suggests that low doses may be retained in the lungs for local effects whereas higher doses may be suitable for the treatment of a broader spectrum of systemic diseases.", "author" : [ { "dropping-particle" : "", "family" : "Nicklin", "given" : "P L", "non-dropping-particle" : "", "parse-names" : false, "suffix" : "" }, { "dropping-particle" : "", "family" : "Bayley", "given" : "D", "non-dropping-particle" : "", "parse-names" : false, "suffix" : "" }, { "dropping-particle" : "", "family" : "Giddings", "given" : "J", "non-dropping-particle" : "", "parse-names" : false, "suffix" : "" }, { "dropping-particle" : "", "family" : "Craig", "given" : "S J", "non-dropping-particle" : "", "parse-names" : false, "suffix" : "" }, { "dropping-particle" : "", "family" : "Cummins", "given" : "L L", "non-dropping-particle" : "", "parse-names" : false, "suffix" : "" }, { "dropping-particle" : "", "family" : "Hastewell", "given" : "J G", "non-dropping-particle" : "", "parse-names" : false, "suffix" : "" }, { "dropping-particle" : "", "family" : "Phillips", "given" : "J A", "non-dropping-particle" : "", "parse-names" : false, "suffix" : "" } ], "container-title" : "Pharm Res", "edition" : "1998/05/20", "id" : "ITEM-1", "issue" : "4", "issued" : { "date-parts" : [ [ "1998" ] ] }, "language" : "eng", "note" : "Nicklin, P L\nBayley, D\nGiddings, J\nCraig, S J\nCummins, L L\nHastewell, J G\nPhillips, J A\nPharm Res. 1998 Apr;15(4):583-91.", "page" : "583-591", "title" : "Pulmonary bioavailability of a phosphorothioate oligonucleotide (CGP 64128A): comparison with other delivery routes", "type" : "article-journal", "volume" : "15" }, "uris" : [ "http://www.mendeley.com/documents/?uuid=faf0ba59-e4f1-46a0-9972-cb58a9aff5de" ] }, { "id" : "ITEM-2", "itemData" : { "DOI" : "10.1002/jps.20051", "ISBN" : "0022-3549 (Print)\r0022-3549 (Linking)", "PMID" : "15124202", "abstract" : "In vivo study was performed to determine the tolerability and pharmacokinetics of ISIS 104838, a phosphorothioate antisense oligonucleotide targetting human tumour necrosis factor alpha (TNF-alpha) mRNA, following multi-dose administration via intravenous and oral routes. Oral tablet formulations of ISIS 104838 were pre-formulated with the permeation enhancer, sodium caprate, in an enteric-coated solid dosage form. The average plasma bioavailability of ISIS 104838 was 1.4% relative to IV. The tissue distribution profile was similar following both routes of administration, with highest concentrations observed in the kidney followed by the liver, lymph nodes and spleen. Plasma bioavailability underestimated the tissue accumulation of ISIS 104838 observed 1 day after the last dose. Mean systemic tissue bioavailability ranged from 2.0 to 4.3%, relative to IV tissues, and was dependent on tissue type. No marked differences were noted in the pharmacokinetic parameters following multi-dosing either via intravenous or oral routes. All formulations administered were well tolerated. This paper reports the first evaluation of solid oral dosage forms comprising sodium caprate and an antisense oligonucleotide. Furthermore, this study demonstrates the oral delivery of ISIS 104838 from solid oral dose formulations, with the achievement of comparable tissue concentrations of the oligonucleotide to that of the intravenous treatment.", "author" : [ { "dropping-particle" : "", "family" : "Raoof", "given" : "A A", "non-dropping-particle" : "", "parse-names" : false, "suffix" : "" }, { "dropping-particle" : "", "family" : "Chiu", "given" : "P", "non-dropping-particle" : "", "parse-names" : false, "suffix" : "" }, { "dropping-particle" : "", "family" : "Ramtoola", "given" : "Z", "non-dropping-particle" : "", "parse-names" : false, "suffix" : "" }, { "dropping-particle" : "", "family" : "Cumming", "given" : "I K", "non-dropping-particle" : "", "parse-names" : false, "suffix" : "" }, { "dropping-particle" : "", "family" : "Teng", "given" : "C", "non-dropping-particle" : "", "parse-names" : false, "suffix" : "" }, { "dropping-particle" : "", "family" : "Weinbach", "given" : "S P", "non-dropping-particle" : "", "parse-names" : false, "suffix" : "" }, { "dropping-particle" : "", "family" : "Hardee", "given" : "G E", "non-dropping-particle" : "", "parse-names" : false, "suffix" : "" }, { "dropping-particle" : "", "family" : "Levin", "given" : "A A", "non-dropping-particle" : "", "parse-names" : false, "suffix" : "" }, { "dropping-particle" : "", "family" : "Geary", "given" : "R S", "non-dropping-particle" : "", "parse-names" : false, "suffix" : "" } ], "container-title" : "J Pharm Sci", "edition" : "2004/05/05", "id" : "ITEM-2", "issue" : "6", "issued" : { "date-parts" : [ [ "2004" ] ] }, "language" : "eng", "note" : "Raoof, Araz A\nChiu, Peter\nRamtoola, Zeibun\nCumming, Iain K\nTeng, Chingleou\nWeinbach, Susan P\nHardee, Greg E\nLevin, Arthur A\nGeary, R S\nJ Pharm Sci. 2004 Jun;93(6):1431-9.", "page" : "1431-1439", "title" : "Oral bioavailability and multiple dose tolerability of an antisense oligonucleotide tablet formulated with sodium caprate", "type" : "article-journal", "volume" : "93" }, "uris" : [ "http://www.mendeley.com/documents/?uuid=573ae089-b04e-4694-9950-da067667abed" ] } ], "mendeley" : { "formattedCitation" : "(Nicklin et al., 1998; Raoof et al., 2004)", "plainTextFormattedCitation" : "(Nicklin et al., 1998; Raoof et al., 2004)", "previouslyFormattedCitation" : "(Nicklin et al., 1998; Raoof et al., 2004)" }, "properties" : { "noteIndex" : 0 }, "schema" : "https://github.com/citation-style-language/schema/raw/master/csl-citation.json" }</w:instrText>
      </w:r>
      <w:r>
        <w:rPr>
          <w:rFonts w:ascii="Calibri" w:hAnsi="Calibri" w:cs="Arial"/>
        </w:rPr>
        <w:fldChar w:fldCharType="separate"/>
      </w:r>
      <w:r w:rsidRPr="001D5B0E">
        <w:rPr>
          <w:rFonts w:ascii="Calibri" w:hAnsi="Calibri" w:cs="Arial"/>
          <w:noProof/>
        </w:rPr>
        <w:t>(Nicklin et al., 1998; Raoof et al., 2004)</w:t>
      </w:r>
      <w:r>
        <w:rPr>
          <w:rFonts w:ascii="Calibri" w:hAnsi="Calibri" w:cs="Arial"/>
        </w:rPr>
        <w:fldChar w:fldCharType="end"/>
      </w:r>
      <w:r>
        <w:rPr>
          <w:rFonts w:ascii="Calibri" w:hAnsi="Calibri" w:cs="Arial"/>
        </w:rPr>
        <w:t xml:space="preserve">. Given the differences in </w:t>
      </w:r>
      <w:r w:rsidR="003924A5">
        <w:rPr>
          <w:rFonts w:ascii="Calibri" w:hAnsi="Calibri" w:cs="Arial"/>
        </w:rPr>
        <w:t>ASO</w:t>
      </w:r>
      <w:r>
        <w:rPr>
          <w:rFonts w:ascii="Calibri" w:hAnsi="Calibri" w:cs="Arial"/>
        </w:rPr>
        <w:t xml:space="preserve"> structure, </w:t>
      </w:r>
      <w:r w:rsidR="003924A5">
        <w:rPr>
          <w:rFonts w:ascii="Calibri" w:hAnsi="Calibri" w:cs="Arial"/>
        </w:rPr>
        <w:t xml:space="preserve">molecular weight (length), </w:t>
      </w:r>
      <w:r>
        <w:rPr>
          <w:rFonts w:ascii="Calibri" w:hAnsi="Calibri" w:cs="Arial"/>
        </w:rPr>
        <w:t>target a</w:t>
      </w:r>
      <w:r w:rsidR="003924A5">
        <w:rPr>
          <w:rFonts w:ascii="Calibri" w:hAnsi="Calibri" w:cs="Arial"/>
        </w:rPr>
        <w:t xml:space="preserve">ffinity and mismatch propensity </w:t>
      </w:r>
      <w:r>
        <w:rPr>
          <w:rFonts w:ascii="Calibri" w:hAnsi="Calibri" w:cs="Arial"/>
        </w:rPr>
        <w:t>between 2</w:t>
      </w:r>
      <w:r w:rsidRPr="00894558">
        <w:rPr>
          <w:rFonts w:ascii="Calibri" w:hAnsi="Calibri" w:cs="Arial"/>
          <w:vertAlign w:val="superscript"/>
        </w:rPr>
        <w:t>nd</w:t>
      </w:r>
      <w:r>
        <w:rPr>
          <w:rFonts w:ascii="Calibri" w:hAnsi="Calibri" w:cs="Arial"/>
        </w:rPr>
        <w:t xml:space="preserve"> and 3</w:t>
      </w:r>
      <w:r w:rsidRPr="00894558">
        <w:rPr>
          <w:rFonts w:ascii="Calibri" w:hAnsi="Calibri" w:cs="Arial"/>
          <w:vertAlign w:val="superscript"/>
        </w:rPr>
        <w:t>rd</w:t>
      </w:r>
      <w:r>
        <w:rPr>
          <w:rFonts w:ascii="Calibri" w:hAnsi="Calibri" w:cs="Arial"/>
        </w:rPr>
        <w:t xml:space="preserve"> generation ASO, extrapolation of the LNA findings</w:t>
      </w:r>
      <w:r w:rsidR="003924A5">
        <w:rPr>
          <w:rFonts w:ascii="Calibri" w:hAnsi="Calibri" w:cs="Arial"/>
        </w:rPr>
        <w:t xml:space="preserve"> </w:t>
      </w:r>
      <w:r>
        <w:rPr>
          <w:rFonts w:ascii="Calibri" w:hAnsi="Calibri" w:cs="Arial"/>
        </w:rPr>
        <w:t>to 2</w:t>
      </w:r>
      <w:r w:rsidRPr="00D54597">
        <w:rPr>
          <w:rFonts w:ascii="Calibri" w:hAnsi="Calibri" w:cs="Arial"/>
          <w:vertAlign w:val="superscript"/>
        </w:rPr>
        <w:t>nd</w:t>
      </w:r>
      <w:r>
        <w:rPr>
          <w:rFonts w:ascii="Calibri" w:hAnsi="Calibri" w:cs="Arial"/>
        </w:rPr>
        <w:t xml:space="preserve"> generation ASO was actively </w:t>
      </w:r>
      <w:r w:rsidR="00B138A9">
        <w:rPr>
          <w:rFonts w:ascii="Calibri" w:hAnsi="Calibri" w:cs="Arial"/>
        </w:rPr>
        <w:t xml:space="preserve">discouraged </w:t>
      </w:r>
      <w:r w:rsidR="00B138A9">
        <w:rPr>
          <w:rFonts w:ascii="Calibri" w:hAnsi="Calibri" w:cs="Arial"/>
        </w:rPr>
        <w:fldChar w:fldCharType="begin" w:fldLock="1"/>
      </w:r>
      <w:r w:rsidR="00B138A9">
        <w:rPr>
          <w:rFonts w:ascii="Calibri" w:hAnsi="Calibri" w:cs="Arial"/>
        </w:rPr>
        <w:instrText>ADDIN CSL_CITATION { "citationItems" : [ { "id" : "ITEM-1", "itemData" : { "DOI" : "10.1038/mt.2011.206", "ISBN" : "1525-0024 (Electronic)\r1525-0016 (Linking)", "PMID" : "21971426", "abstract" : "Antisense oligonucleotides (ASOs) and small interfering RNA (siRNA) promise specific correction of disease-causing gene expression. Therapeutic implementation, however, has been forestalled by poor delivery to the appropriate tissue, cell type, and subcellular compartment. Topical administration is considered to circumvent these issues. The availability of inhalation devices and unmet medical need in lung disease has focused efforts in this tissue. We report the development of a novel cell sorting method for quantitative, cell type-specific analysis of siRNA, and locked nucleic acid (LNA) ASO uptake and efficacy after intratracheal (i.t.) administration in mice. Through fluorescent dye labeling, we compare the utility of this approach to whole animal and whole tissue analysis, and examine the extent of tissue distribution. We detail rapid systemic access and renal clearance for both therapeutic classes and lack of efficacy at the protein level in lung macrophages, epithelia, or other cell types. We nevertheless observe efficient redirection of i.t. administered phosphorothioate (PS) LNA ASO to the liver and kidney leading to targeted gene knockdown. These data suggest delivery remains a key obstacle to topically administered, naked oligonucleotide efficacy in the lung and introduce inhalation as a potentially viable alternative to injection for antisense administration to the liver and kidneys.", "author" : [ { "dropping-particle" : "", "family" : "Moschos", "given" : "S A", "non-dropping-particle" : "", "parse-names" : false, "suffix" : "" }, { "dropping-particle" : "", "family" : "Frick", "given" : "M", "non-dropping-particle" : "", "parse-names" : false, "suffix" : "" }, { "dropping-particle" : "", "family" : "Taylor", "given" : "B", "non-dropping-particle" : "", "parse-names" : false, "suffix" : "" }, { "dropping-particle" : "", "family" : "Turnpenny", "given" : "P", "non-dropping-particle" : "", "parse-names" : false, "suffix" : "" }, { "dropping-particle" : "", "family" : "Graves", "given" : "H", "non-dropping-particle" : "", "parse-names" : false, "suffix" : "" }, { "dropping-particle" : "", "family" : "Spink", "given" : "K G", "non-dropping-particle" : "", "parse-names" : false, "suffix" : "" }, { "dropping-particle" : "", "family" : "Brady", "given" : "K", "non-dropping-particle" : "", "parse-names" : false, "suffix" : "" }, { "dropping-particle" : "", "family" : "Lamb", "given" : "D", "non-dropping-particle" : "", "parse-names" : false, "suffix" : "" }, { "dropping-particle" : "", "family" : "Collins", "given" : "D", "non-dropping-particle" : "", "parse-names" : false, "suffix" : "" }, { "dropping-particle" : "", "family" : "Rockel", "given" : "T D", "non-dropping-particle" : "", "parse-names" : false, "suffix" : "" }, { "dropping-particle" : "", "family" : "Weber", "given" : "M", "non-dropping-particle" : "", "parse-names" : false, "suffix" : "" }, { "dropping-particle" : "", "family" : "Lazari", "given" : "O", "non-dropping-particle" : "", "parse-names" : false, "suffix" : "" }, { "dropping-particle" : "", "family" : "Perez-Tosar", "given" : "L", "non-dropping-particle" : "", "parse-names" : false, "suffix" : "" }, { "dropping-particle" : "", "family" : "Fancy", "given" : "S A", "non-dropping-particle" : "", "parse-names" : false, "suffix" : "" }, { "dropping-particle" : "", "family" : "Lapthorn", "given" : "C", "non-dropping-particle" : "", "parse-names" : false, "suffix" : "" }, { "dropping-particle" : "", "family" : "Green", "given" : "M X", "non-dropping-particle" : "", "parse-names" : false, "suffix" : "" }, { "dropping-particle" : "", "family" : "Evans", "given" : "S", "non-dropping-particle" : "", "parse-names" : false, "suffix" : "" }, { "dropping-particle" : "", "family" : "Selby", "given" : "M", "non-dropping-particle" : "", "parse-names" : false, "suffix" : "" }, { "dropping-particle" : "", "family" : "Jones", "given" : "G", "non-dropping-particle" : "", "parse-names" : false, "suffix" : "" }, { "dropping-particle" : "", "family" : "Jones", "given" : "L", "non-dropping-particle" : "", "parse-names" : false, "suffix" : "" }, { "dropping-particle" : "", "family" : "Kearney", "given" : "S", "non-dropping-particle" : "", "parse-names" : false, "suffix" : "" }, { "dropping-particle" : "", "family" : "Mechiche", "given" : "H", "non-dropping-particle" : "", "parse-names" : false, "suffix" : "" }, { "dropping-particle" : "", "family" : "Gikunju", "given" : "D", "non-dropping-particle" : "", "parse-names" : false, "suffix" : "" }, { "dropping-particle" : "", "family" : "Subramanian", "given" : "R", "non-dropping-particle" : "", "parse-names" : false, "suffix" : "" }, { "dropping-particle" : "", "family" : "Uhlmann", "given" : "E", "non-dropping-particle" : "", "parse-names" : false, "suffix" : "" }, { "dropping-particle" : "", "family" : "Jurk", "given" : "M", "non-dropping-particle" : "", "parse-names" : false, "suffix" : "" }, { "dropping-particle" : "", "family" : "Vollmer", "given" : "J", "non-dropping-particle" : "", "parse-names" : false, "suffix" : "" }, { "dropping-particle" : "", "family" : "Ciaramella", "given" : "G", "non-dropping-particle" : "", "parse-names" : false, "suffix" : "" }, { "dropping-particle" : "", "family" : "Yeadon", "given" : "M", "non-dropping-particle" : "", "parse-names" : false, "suffix" : "" } ], "container-title" : "Mol Ther", "edition" : "2011/10/06", "id" : "ITEM-1", "issue" : "12", "issued" : { "date-parts" : [ [ "2011" ] ] }, "language" : "eng", "note" : "Moschos, Sterghios A\nFrick, Manfred\nTaylor, Bruce\nTurnpenny, Paul\nGraves, Helen\nSpink, Karen G\nBrady, Kevin\nLamb, David\nCollins, David\nRockel, Thomas D\nWeber, Markus\nLazari, Ovadia\nPerez-Tosar, Luis\nFancy, Sally A\nLapthorn, Chris\nGreen, Martin X\nEvans, Steve\nSelby, Matthew\nJones, Gareth\nJones, Lyn\nKearney, Sarah\nMechiche, Houria\nGikunju, Diana\nSubramanian, Romesh\nUhlmann, Eugen\nJurk, Marion\nVollmer, Jorg\nCiaramella, Giuseppe\nYeadon, Michael\nMol Ther. 2011 Dec;19(12):2163-8. doi: 10.1038/mt.2011.206. Epub 2011 Oct 4.", "page" : "2163-2168", "title" : "Uptake, efficacy, and systemic distribution of naked, inhaled short interfering RNA (siRNA) and locked nucleic acid (LNA) antisense", "type" : "article-journal", "volume" : "19" }, "uris" : [ "http://www.mendeley.com/documents/?uuid=4748daf6-e4ed-4ef5-b072-f4709f195c25" ] } ], "mendeley" : { "formattedCitation" : "(Moschos et al., 2011)", "plainTextFormattedCitation" : "(Moschos et al., 2011)", "previouslyFormattedCitation" : "(Moschos et al., 2011)" }, "properties" : { "noteIndex" : 0 }, "schema" : "https://github.com/citation-style-language/schema/raw/master/csl-citation.json" }</w:instrText>
      </w:r>
      <w:r w:rsidR="00B138A9">
        <w:rPr>
          <w:rFonts w:ascii="Calibri" w:hAnsi="Calibri" w:cs="Arial"/>
        </w:rPr>
        <w:fldChar w:fldCharType="separate"/>
      </w:r>
      <w:r w:rsidR="00B138A9" w:rsidRPr="004C64A5">
        <w:rPr>
          <w:rFonts w:ascii="Calibri" w:hAnsi="Calibri" w:cs="Arial"/>
          <w:noProof/>
        </w:rPr>
        <w:t>(Moschos et al., 2011)</w:t>
      </w:r>
      <w:r w:rsidR="00B138A9">
        <w:rPr>
          <w:rFonts w:ascii="Calibri" w:hAnsi="Calibri" w:cs="Arial"/>
        </w:rPr>
        <w:fldChar w:fldCharType="end"/>
      </w:r>
      <w:r>
        <w:rPr>
          <w:rFonts w:ascii="Calibri" w:hAnsi="Calibri" w:cs="Arial"/>
        </w:rPr>
        <w:t>.</w:t>
      </w:r>
      <w:r w:rsidR="003924A5">
        <w:rPr>
          <w:rFonts w:ascii="Calibri" w:hAnsi="Calibri" w:cs="Arial"/>
        </w:rPr>
        <w:t xml:space="preserve"> However,</w:t>
      </w:r>
      <w:r>
        <w:rPr>
          <w:rFonts w:ascii="Calibri" w:hAnsi="Calibri" w:cs="Arial"/>
        </w:rPr>
        <w:t xml:space="preserve"> </w:t>
      </w:r>
      <w:r w:rsidR="003924A5">
        <w:rPr>
          <w:rFonts w:ascii="Calibri" w:hAnsi="Calibri" w:cs="Arial"/>
        </w:rPr>
        <w:t xml:space="preserve">comparable doses of the phosphorothioate AIR645 </w:t>
      </w:r>
      <w:r w:rsidR="003924A5">
        <w:rPr>
          <w:rFonts w:ascii="Calibri" w:hAnsi="Calibri" w:cs="Arial"/>
        </w:rPr>
        <w:fldChar w:fldCharType="begin" w:fldLock="1"/>
      </w:r>
      <w:r w:rsidR="003924A5">
        <w:rPr>
          <w:rFonts w:ascii="Calibri" w:hAnsi="Calibri" w:cs="Arial"/>
        </w:rPr>
        <w:instrText>ADDIN CSL_CITATION { "citationItems" : [ { "id" : "ITEM-1", "itemData" : { "abstract" : "AbstractAntisense oligonucleotides (ASOs) bind and facilitate degradation of RNA and inhibit protein expression in pathways not easily targeted with small molecules or antibodies. Interleukin (IL)-4 and IL-13 potentiate signaling through the shared IL-4 receptor-\u03b1 (IL-4R\u03b1) subunit of their receptors. ASO targeting of IL-4R\u03b1 mRNA in a mouse model of asthma led to attenuation of airway hyperactivity, demonstrating potential benefit in asthma patients. This study focused on tolerability of inhaled IL-4R\u03b1-targeting ASOs. Toxicity studies were performed with mouse- (ISIS 23189) and human-specific (ISIS 369645) sequences administered by inhalation. Four week (monkey) or 13 week (mouse) repeat doses at levels of up to 15\u2009mg/kg/exposure (exp) and 50\u2009mg/kg/exp, respectively, demonstrated dose-dependent effects limited to increases in macrophage size and number in lung and tracheobronchial lymph nodes. The changes were largely non-specific, reflecting adaptive responses that occur during active exposure and deposit...", "author" : [ { "dropping-particle" : "", "family" : "Fey", "given" : "Robert A.", "non-dropping-particle" : "", "parse-names" : false, "suffix" : "" }, { "dropping-particle" : "V.", "family" : "Templin", "given" : "Michael", "non-dropping-particle" : "", "parse-names" : false, "suffix" : "" }, { "dropping-particle" : "", "family" : "McDonald", "given" : "Jacob D.", "non-dropping-particle" : "", "parse-names" : false, "suffix" : "" }, { "dropping-particle" : "", "family" : "Yu", "given" : "Rosie Z.", "non-dropping-particle" : "", "parse-names" : false, "suffix" : "" }, { "dropping-particle" : "", "family" : "Hutt", "given" : "Julie A.", "non-dropping-particle" : "", "parse-names" : false, "suffix" : "" }, { "dropping-particle" : "", "family" : "Gigliotti", "given" : "Andrew P.", "non-dropping-particle" : "", "parse-names" : false, "suffix" : "" }, { "dropping-particle" : "", "family" : "Henry", "given" : "Scott P.", "non-dropping-particle" : "", "parse-names" : false, "suffix" : "" }, { "dropping-particle" : "", "family" : "Reed", "given" : "Matthew D.", "non-dropping-particle" : "", "parse-names" : false, "suffix" : "" } ], "container-title" : "Inhalation Toxicology", "id" : "ITEM-1", "issued" : { "date-parts" : [ [ "2014", "7", "2" ] ] }, "language" : "en", "publisher" : "Taylor &amp; Francis", "title" : "Local and systemic tolerability of a 2\u2032O-methoxyethyl antisense oligonucleotide targeting interleukin-4 receptor-\u03b1 delivery by inhalation in mouse and monkey", "type" : "article-journal" }, "uris" : [ "http://www.mendeley.com/documents/?uuid=bb4e0c49-ace3-445e-a07a-3a90368eaab2" ] } ], "mendeley" : { "formattedCitation" : "(Fey et al., 2014)", "plainTextFormattedCitation" : "(Fey et al., 2014)", "previouslyFormattedCitation" : "(Fey et al., 2014)" }, "properties" : { "noteIndex" : 0 }, "schema" : "https://github.com/citation-style-language/schema/raw/master/csl-citation.json" }</w:instrText>
      </w:r>
      <w:r w:rsidR="003924A5">
        <w:rPr>
          <w:rFonts w:ascii="Calibri" w:hAnsi="Calibri" w:cs="Arial"/>
        </w:rPr>
        <w:fldChar w:fldCharType="separate"/>
      </w:r>
      <w:r w:rsidR="003924A5" w:rsidRPr="00900833">
        <w:rPr>
          <w:rFonts w:ascii="Calibri" w:hAnsi="Calibri" w:cs="Arial"/>
          <w:noProof/>
        </w:rPr>
        <w:t>(Fey et al., 2014)</w:t>
      </w:r>
      <w:r w:rsidR="003924A5">
        <w:rPr>
          <w:rFonts w:ascii="Calibri" w:hAnsi="Calibri" w:cs="Arial"/>
        </w:rPr>
        <w:fldChar w:fldCharType="end"/>
      </w:r>
      <w:r w:rsidR="003924A5">
        <w:rPr>
          <w:rFonts w:ascii="Calibri" w:hAnsi="Calibri" w:cs="Arial"/>
        </w:rPr>
        <w:t xml:space="preserve"> and LNA ASO </w:t>
      </w:r>
      <w:r w:rsidR="003924A5">
        <w:rPr>
          <w:rFonts w:ascii="Calibri" w:hAnsi="Calibri" w:cs="Arial"/>
        </w:rPr>
        <w:fldChar w:fldCharType="begin" w:fldLock="1"/>
      </w:r>
      <w:r w:rsidR="003924A5">
        <w:rPr>
          <w:rFonts w:ascii="Calibri" w:hAnsi="Calibri" w:cs="Arial"/>
        </w:rPr>
        <w:instrText>ADDIN CSL_CITATION { "citationItems" : [ { "id" : "ITEM-1", "itemData" : { "DOI" : "10.1038/mt.2011.206", "ISBN" : "1525-0024 (Electronic)\r1525-0016 (Linking)", "PMID" : "21971426", "abstract" : "Antisense oligonucleotides (ASOs) and small interfering RNA (siRNA) promise specific correction of disease-causing gene expression. Therapeutic implementation, however, has been forestalled by poor delivery to the appropriate tissue, cell type, and subcellular compartment. Topical administration is considered to circumvent these issues. The availability of inhalation devices and unmet medical need in lung disease has focused efforts in this tissue. We report the development of a novel cell sorting method for quantitative, cell type-specific analysis of siRNA, and locked nucleic acid (LNA) ASO uptake and efficacy after intratracheal (i.t.) administration in mice. Through fluorescent dye labeling, we compare the utility of this approach to whole animal and whole tissue analysis, and examine the extent of tissue distribution. We detail rapid systemic access and renal clearance for both therapeutic classes and lack of efficacy at the protein level in lung macrophages, epithelia, or other cell types. We nevertheless observe efficient redirection of i.t. administered phosphorothioate (PS) LNA ASO to the liver and kidney leading to targeted gene knockdown. These data suggest delivery remains a key obstacle to topically administered, naked oligonucleotide efficacy in the lung and introduce inhalation as a potentially viable alternative to injection for antisense administration to the liver and kidneys.", "author" : [ { "dropping-particle" : "", "family" : "Moschos", "given" : "S A", "non-dropping-particle" : "", "parse-names" : false, "suffix" : "" }, { "dropping-particle" : "", "family" : "Frick", "given" : "M", "non-dropping-particle" : "", "parse-names" : false, "suffix" : "" }, { "dropping-particle" : "", "family" : "Taylor", "given" : "B", "non-dropping-particle" : "", "parse-names" : false, "suffix" : "" }, { "dropping-particle" : "", "family" : "Turnpenny", "given" : "P", "non-dropping-particle" : "", "parse-names" : false, "suffix" : "" }, { "dropping-particle" : "", "family" : "Graves", "given" : "H", "non-dropping-particle" : "", "parse-names" : false, "suffix" : "" }, { "dropping-particle" : "", "family" : "Spink", "given" : "K G", "non-dropping-particle" : "", "parse-names" : false, "suffix" : "" }, { "dropping-particle" : "", "family" : "Brady", "given" : "K", "non-dropping-particle" : "", "parse-names" : false, "suffix" : "" }, { "dropping-particle" : "", "family" : "Lamb", "given" : "D", "non-dropping-particle" : "", "parse-names" : false, "suffix" : "" }, { "dropping-particle" : "", "family" : "Collins", "given" : "D", "non-dropping-particle" : "", "parse-names" : false, "suffix" : "" }, { "dropping-particle" : "", "family" : "Rockel", "given" : "T D", "non-dropping-particle" : "", "parse-names" : false, "suffix" : "" }, { "dropping-particle" : "", "family" : "Weber", "given" : "M", "non-dropping-particle" : "", "parse-names" : false, "suffix" : "" }, { "dropping-particle" : "", "family" : "Lazari", "given" : "O", "non-dropping-particle" : "", "parse-names" : false, "suffix" : "" }, { "dropping-particle" : "", "family" : "Perez-Tosar", "given" : "L", "non-dropping-particle" : "", "parse-names" : false, "suffix" : "" }, { "dropping-particle" : "", "family" : "Fancy", "given" : "S A", "non-dropping-particle" : "", "parse-names" : false, "suffix" : "" }, { "dropping-particle" : "", "family" : "Lapthorn", "given" : "C", "non-dropping-particle" : "", "parse-names" : false, "suffix" : "" }, { "dropping-particle" : "", "family" : "Green", "given" : "M X", "non-dropping-particle" : "", "parse-names" : false, "suffix" : "" }, { "dropping-particle" : "", "family" : "Evans", "given" : "S", "non-dropping-particle" : "", "parse-names" : false, "suffix" : "" }, { "dropping-particle" : "", "family" : "Selby", "given" : "M", "non-dropping-particle" : "", "parse-names" : false, "suffix" : "" }, { "dropping-particle" : "", "family" : "Jones", "given" : "G", "non-dropping-particle" : "", "parse-names" : false, "suffix" : "" }, { "dropping-particle" : "", "family" : "Jones", "given" : "L", "non-dropping-particle" : "", "parse-names" : false, "suffix" : "" }, { "dropping-particle" : "", "family" : "Kearney", "given" : "S", "non-dropping-particle" : "", "parse-names" : false, "suffix" : "" }, { "dropping-particle" : "", "family" : "Mechiche", "given" : "H", "non-dropping-particle" : "", "parse-names" : false, "suffix" : "" }, { "dropping-particle" : "", "family" : "Gikunju", "given" : "D", "non-dropping-particle" : "", "parse-names" : false, "suffix" : "" }, { "dropping-particle" : "", "family" : "Subramanian", "given" : "R", "non-dropping-particle" : "", "parse-names" : false, "suffix" : "" }, { "dropping-particle" : "", "family" : "Uhlmann", "given" : "E", "non-dropping-particle" : "", "parse-names" : false, "suffix" : "" }, { "dropping-particle" : "", "family" : "Jurk", "given" : "M", "non-dropping-particle" : "", "parse-names" : false, "suffix" : "" }, { "dropping-particle" : "", "family" : "Vollmer", "given" : "J", "non-dropping-particle" : "", "parse-names" : false, "suffix" : "" }, { "dropping-particle" : "", "family" : "Ciaramella", "given" : "G", "non-dropping-particle" : "", "parse-names" : false, "suffix" : "" }, { "dropping-particle" : "", "family" : "Yeadon", "given" : "M", "non-dropping-particle" : "", "parse-names" : false, "suffix" : "" } ], "container-title" : "Mol Ther", "edition" : "2011/10/06", "id" : "ITEM-1", "issue" : "12", "issued" : { "date-parts" : [ [ "2011" ] ] }, "language" : "eng", "note" : "Moschos, Sterghios A\nFrick, Manfred\nTaylor, Bruce\nTurnpenny, Paul\nGraves, Helen\nSpink, Karen G\nBrady, Kevin\nLamb, David\nCollins, David\nRockel, Thomas D\nWeber, Markus\nLazari, Ovadia\nPerez-Tosar, Luis\nFancy, Sally A\nLapthorn, Chris\nGreen, Martin X\nEvans, Steve\nSelby, Matthew\nJones, Gareth\nJones, Lyn\nKearney, Sarah\nMechiche, Houria\nGikunju, Diana\nSubramanian, Romesh\nUhlmann, Eugen\nJurk, Marion\nVollmer, Jorg\nCiaramella, Giuseppe\nYeadon, Michael\nMol Ther. 2011 Dec;19(12):2163-8. doi: 10.1038/mt.2011.206. Epub 2011 Oct 4.", "page" : "2163-2168", "title" : "Uptake, efficacy, and systemic distribution of naked, inhaled short interfering RNA (siRNA) and locked nucleic acid (LNA) antisense", "type" : "article-journal", "volume" : "19" }, "uris" : [ "http://www.mendeley.com/documents/?uuid=4748daf6-e4ed-4ef5-b072-f4709f195c25" ] } ], "mendeley" : { "formattedCitation" : "(Moschos et al., 2011)", "plainTextFormattedCitation" : "(Moschos et al., 2011)", "previouslyFormattedCitation" : "(Moschos et al., 2011)" }, "properties" : { "noteIndex" : 0 }, "schema" : "https://github.com/citation-style-language/schema/raw/master/csl-citation.json" }</w:instrText>
      </w:r>
      <w:r w:rsidR="003924A5">
        <w:rPr>
          <w:rFonts w:ascii="Calibri" w:hAnsi="Calibri" w:cs="Arial"/>
        </w:rPr>
        <w:fldChar w:fldCharType="separate"/>
      </w:r>
      <w:r w:rsidR="003924A5" w:rsidRPr="004C64A5">
        <w:rPr>
          <w:rFonts w:ascii="Calibri" w:hAnsi="Calibri" w:cs="Arial"/>
          <w:noProof/>
        </w:rPr>
        <w:t>(Moschos et al., 2011)</w:t>
      </w:r>
      <w:r w:rsidR="003924A5">
        <w:rPr>
          <w:rFonts w:ascii="Calibri" w:hAnsi="Calibri" w:cs="Arial"/>
        </w:rPr>
        <w:fldChar w:fldCharType="end"/>
      </w:r>
      <w:r w:rsidR="003924A5">
        <w:rPr>
          <w:rFonts w:ascii="Calibri" w:hAnsi="Calibri" w:cs="Arial"/>
        </w:rPr>
        <w:t xml:space="preserve"> resulted in 10x lower kidney retention of AIR645. Moreover, the low kidney expression of the RNA targeted by the LNA ASO did not prevent ASO activity as </w:t>
      </w:r>
      <w:r w:rsidR="00EE773D">
        <w:rPr>
          <w:rFonts w:ascii="Calibri" w:hAnsi="Calibri" w:cs="Arial"/>
        </w:rPr>
        <w:t>suggested</w:t>
      </w:r>
      <w:r w:rsidR="003924A5">
        <w:rPr>
          <w:rFonts w:ascii="Calibri" w:hAnsi="Calibri" w:cs="Arial"/>
        </w:rPr>
        <w:t xml:space="preserve"> for AIR645</w:t>
      </w:r>
      <w:r w:rsidR="003055A1">
        <w:rPr>
          <w:rFonts w:ascii="Calibri" w:hAnsi="Calibri" w:cs="Arial"/>
        </w:rPr>
        <w:t xml:space="preserve"> </w:t>
      </w:r>
      <w:r w:rsidR="003055A1">
        <w:rPr>
          <w:rFonts w:ascii="Calibri" w:hAnsi="Calibri" w:cs="Arial"/>
        </w:rPr>
        <w:fldChar w:fldCharType="begin" w:fldLock="1"/>
      </w:r>
      <w:r w:rsidR="003055A1">
        <w:rPr>
          <w:rFonts w:ascii="Calibri" w:hAnsi="Calibri" w:cs="Arial"/>
        </w:rPr>
        <w:instrText>ADDIN CSL_CITATION { "citationItems" : [ { "id" : "ITEM-1", "itemData" : { "abstract" : "AbstractAntisense oligonucleotides (ASOs) bind and facilitate degradation of RNA and inhibit protein expression in pathways not easily targeted with small molecules or antibodies. Interleukin (IL)-4 and IL-13 potentiate signaling through the shared IL-4 receptor-\u03b1 (IL-4R\u03b1) subunit of their receptors. ASO targeting of IL-4R\u03b1 mRNA in a mouse model of asthma led to attenuation of airway hyperactivity, demonstrating potential benefit in asthma patients. This study focused on tolerability of inhaled IL-4R\u03b1-targeting ASOs. Toxicity studies were performed with mouse- (ISIS 23189) and human-specific (ISIS 369645) sequences administered by inhalation. Four week (monkey) or 13 week (mouse) repeat doses at levels of up to 15\u2009mg/kg/exposure (exp) and 50\u2009mg/kg/exp, respectively, demonstrated dose-dependent effects limited to increases in macrophage size and number in lung and tracheobronchial lymph nodes. The changes were largely non-specific, reflecting adaptive responses that occur during active exposure and deposit...", "author" : [ { "dropping-particle" : "", "family" : "Fey", "given" : "Robert A.", "non-dropping-particle" : "", "parse-names" : false, "suffix" : "" }, { "dropping-particle" : "V.", "family" : "Templin", "given" : "Michael", "non-dropping-particle" : "", "parse-names" : false, "suffix" : "" }, { "dropping-particle" : "", "family" : "McDonald", "given" : "Jacob D.", "non-dropping-particle" : "", "parse-names" : false, "suffix" : "" }, { "dropping-particle" : "", "family" : "Yu", "given" : "Rosie Z.", "non-dropping-particle" : "", "parse-names" : false, "suffix" : "" }, { "dropping-particle" : "", "family" : "Hutt", "given" : "Julie A.", "non-dropping-particle" : "", "parse-names" : false, "suffix" : "" }, { "dropping-particle" : "", "family" : "Gigliotti", "given" : "Andrew P.", "non-dropping-particle" : "", "parse-names" : false, "suffix" : "" }, { "dropping-particle" : "", "family" : "Henry", "given" : "Scott P.", "non-dropping-particle" : "", "parse-names" : false, "suffix" : "" }, { "dropping-particle" : "", "family" : "Reed", "given" : "Matthew D.", "non-dropping-particle" : "", "parse-names" : false, "suffix" : "" } ], "container-title" : "Inhalation Toxicology", "id" : "ITEM-1", "issued" : { "date-parts" : [ [ "2014", "7", "2" ] ] }, "language" : "en", "publisher" : "Taylor &amp; Francis", "title" : "Local and systemic tolerability of a 2\u2032O-methoxyethyl antisense oligonucleotide targeting interleukin-4 receptor-\u03b1 delivery by inhalation in mouse and monkey", "type" : "article-journal" }, "uris" : [ "http://www.mendeley.com/documents/?uuid=bb4e0c49-ace3-445e-a07a-3a90368eaab2" ] } ], "mendeley" : { "formattedCitation" : "(Fey et al., 2014)", "plainTextFormattedCitation" : "(Fey et al., 2014)", "previouslyFormattedCitation" : "(Fey et al., 2014)" }, "properties" : { "noteIndex" : 0 }, "schema" : "https://github.com/citation-style-language/schema/raw/master/csl-citation.json" }</w:instrText>
      </w:r>
      <w:r w:rsidR="003055A1">
        <w:rPr>
          <w:rFonts w:ascii="Calibri" w:hAnsi="Calibri" w:cs="Arial"/>
        </w:rPr>
        <w:fldChar w:fldCharType="separate"/>
      </w:r>
      <w:r w:rsidR="003055A1" w:rsidRPr="00900833">
        <w:rPr>
          <w:rFonts w:ascii="Calibri" w:hAnsi="Calibri" w:cs="Arial"/>
          <w:noProof/>
        </w:rPr>
        <w:t>(Fey et al., 2014)</w:t>
      </w:r>
      <w:r w:rsidR="003055A1">
        <w:rPr>
          <w:rFonts w:ascii="Calibri" w:hAnsi="Calibri" w:cs="Arial"/>
        </w:rPr>
        <w:fldChar w:fldCharType="end"/>
      </w:r>
      <w:r w:rsidR="003924A5">
        <w:rPr>
          <w:rFonts w:ascii="Calibri" w:hAnsi="Calibri" w:cs="Arial"/>
        </w:rPr>
        <w:t xml:space="preserve">. </w:t>
      </w:r>
      <w:r w:rsidR="003055A1">
        <w:rPr>
          <w:rFonts w:ascii="Calibri" w:hAnsi="Calibri" w:cs="Arial"/>
        </w:rPr>
        <w:t>It is unclear</w:t>
      </w:r>
      <w:r w:rsidR="00EE773D">
        <w:rPr>
          <w:rFonts w:ascii="Calibri" w:hAnsi="Calibri" w:cs="Arial"/>
        </w:rPr>
        <w:t xml:space="preserve"> if such limitations are target-</w:t>
      </w:r>
      <w:r w:rsidR="003055A1">
        <w:rPr>
          <w:rFonts w:ascii="Calibri" w:hAnsi="Calibri" w:cs="Arial"/>
        </w:rPr>
        <w:t>specific or ASO-class specific</w:t>
      </w:r>
      <w:r w:rsidR="001B0C59">
        <w:rPr>
          <w:rFonts w:ascii="Calibri" w:hAnsi="Calibri" w:cs="Arial"/>
        </w:rPr>
        <w:t>, nor whether prolonged lung dosing of LNA ASO also drive macrophage recruitment</w:t>
      </w:r>
      <w:r w:rsidR="003055A1">
        <w:rPr>
          <w:rFonts w:ascii="Calibri" w:hAnsi="Calibri" w:cs="Arial"/>
        </w:rPr>
        <w:t xml:space="preserve">. </w:t>
      </w:r>
    </w:p>
    <w:p w14:paraId="658A0F2D" w14:textId="77777777" w:rsidR="00BB324D" w:rsidRDefault="00BB324D" w:rsidP="005837A4">
      <w:pPr>
        <w:spacing w:line="480" w:lineRule="auto"/>
        <w:jc w:val="both"/>
        <w:rPr>
          <w:rFonts w:ascii="Calibri" w:hAnsi="Calibri" w:cs="Arial"/>
          <w:lang w:val="en-GB"/>
        </w:rPr>
      </w:pPr>
    </w:p>
    <w:p w14:paraId="6261B999" w14:textId="6AD81AE4" w:rsidR="00D705FF" w:rsidRDefault="00A25217" w:rsidP="005837A4">
      <w:pPr>
        <w:pStyle w:val="Heading1"/>
      </w:pPr>
      <w:bookmarkStart w:id="3" w:name="_Toc322260968"/>
      <w:r>
        <w:t>4.</w:t>
      </w:r>
      <w:r>
        <w:tab/>
      </w:r>
      <w:r w:rsidR="00D705FF" w:rsidRPr="00A25217">
        <w:t>Oligonucleotide Pharmacology: Time for a Reboot</w:t>
      </w:r>
      <w:r w:rsidR="00CA7DA2">
        <w:t>?</w:t>
      </w:r>
      <w:bookmarkEnd w:id="3"/>
    </w:p>
    <w:p w14:paraId="023A9936" w14:textId="77777777" w:rsidR="00825A68" w:rsidRPr="00825A68" w:rsidRDefault="00825A68" w:rsidP="005837A4">
      <w:pPr>
        <w:spacing w:line="480" w:lineRule="auto"/>
      </w:pPr>
    </w:p>
    <w:p w14:paraId="5210505F" w14:textId="0866BF4A" w:rsidR="00F21CCE" w:rsidRDefault="00BC7D82" w:rsidP="005837A4">
      <w:pPr>
        <w:pStyle w:val="Heading2"/>
      </w:pPr>
      <w:r>
        <w:t xml:space="preserve">4.1 </w:t>
      </w:r>
      <w:r w:rsidR="00A25217">
        <w:tab/>
      </w:r>
      <w:r>
        <w:t>Identifying off-target actions</w:t>
      </w:r>
      <w:r w:rsidR="00366466">
        <w:t>.</w:t>
      </w:r>
      <w:r>
        <w:t xml:space="preserve"> </w:t>
      </w:r>
    </w:p>
    <w:p w14:paraId="1D146172" w14:textId="77777777" w:rsidR="00825A68" w:rsidRPr="00825A68" w:rsidRDefault="00825A68" w:rsidP="005837A4">
      <w:pPr>
        <w:spacing w:line="480" w:lineRule="auto"/>
      </w:pPr>
    </w:p>
    <w:p w14:paraId="7B94B36D" w14:textId="24DC20B1" w:rsidR="00D705FF" w:rsidRDefault="00D705FF" w:rsidP="005837A4">
      <w:pPr>
        <w:spacing w:line="480" w:lineRule="auto"/>
        <w:jc w:val="both"/>
        <w:rPr>
          <w:rFonts w:ascii="Calibri" w:hAnsi="Calibri" w:cs="Arial"/>
        </w:rPr>
      </w:pPr>
      <w:r>
        <w:rPr>
          <w:rFonts w:ascii="Calibri" w:hAnsi="Calibri" w:cs="Arial"/>
        </w:rPr>
        <w:t>The plurality</w:t>
      </w:r>
      <w:r w:rsidR="00BC7D82">
        <w:rPr>
          <w:rFonts w:ascii="Calibri" w:hAnsi="Calibri" w:cs="Arial"/>
        </w:rPr>
        <w:t xml:space="preserve"> of biological actions mediated via </w:t>
      </w:r>
      <w:r>
        <w:rPr>
          <w:rFonts w:ascii="Calibri" w:hAnsi="Calibri" w:cs="Arial"/>
        </w:rPr>
        <w:t>RISC</w:t>
      </w:r>
      <w:r w:rsidRPr="00C4343E">
        <w:rPr>
          <w:rFonts w:ascii="Calibri" w:hAnsi="Calibri" w:cs="Arial"/>
        </w:rPr>
        <w:t xml:space="preserve"> </w:t>
      </w:r>
      <w:r>
        <w:rPr>
          <w:rFonts w:ascii="Calibri" w:hAnsi="Calibri" w:cs="Arial"/>
        </w:rPr>
        <w:t xml:space="preserve">(Fig. 2 and Table 1), and the </w:t>
      </w:r>
      <w:r w:rsidR="00BC7D82">
        <w:rPr>
          <w:rFonts w:ascii="Calibri" w:hAnsi="Calibri" w:cs="Arial"/>
        </w:rPr>
        <w:t>current observations from c</w:t>
      </w:r>
      <w:r>
        <w:rPr>
          <w:rFonts w:ascii="Calibri" w:hAnsi="Calibri" w:cs="Arial"/>
        </w:rPr>
        <w:t xml:space="preserve">linical development of siRNA and ASO therapeutics have </w:t>
      </w:r>
      <w:r w:rsidR="006033CF">
        <w:rPr>
          <w:rFonts w:ascii="Calibri" w:hAnsi="Calibri" w:cs="Arial"/>
        </w:rPr>
        <w:t xml:space="preserve">questioned the </w:t>
      </w:r>
      <w:r w:rsidR="00E93928">
        <w:rPr>
          <w:rFonts w:ascii="Calibri" w:hAnsi="Calibri" w:cs="Arial"/>
        </w:rPr>
        <w:t xml:space="preserve">generalized </w:t>
      </w:r>
      <w:r w:rsidR="006033CF">
        <w:rPr>
          <w:rFonts w:ascii="Calibri" w:hAnsi="Calibri" w:cs="Arial"/>
        </w:rPr>
        <w:t>u</w:t>
      </w:r>
      <w:r w:rsidR="00B138A9">
        <w:rPr>
          <w:rFonts w:ascii="Calibri" w:hAnsi="Calibri" w:cs="Arial"/>
        </w:rPr>
        <w:t>tility</w:t>
      </w:r>
      <w:r w:rsidR="006033CF">
        <w:rPr>
          <w:rFonts w:ascii="Calibri" w:hAnsi="Calibri" w:cs="Arial"/>
        </w:rPr>
        <w:t xml:space="preserve"> of this drug class</w:t>
      </w:r>
      <w:r w:rsidR="00E93928">
        <w:rPr>
          <w:rFonts w:ascii="Calibri" w:hAnsi="Calibri" w:cs="Arial"/>
        </w:rPr>
        <w:t>, especially when compared to the high hopes of monoclonal antibody-like specificity initially proposed</w:t>
      </w:r>
      <w:r>
        <w:rPr>
          <w:rFonts w:ascii="Calibri" w:hAnsi="Calibri" w:cs="Arial"/>
        </w:rPr>
        <w:t>. It is th</w:t>
      </w:r>
      <w:r w:rsidR="00341874">
        <w:rPr>
          <w:rFonts w:ascii="Calibri" w:hAnsi="Calibri" w:cs="Arial"/>
        </w:rPr>
        <w:t xml:space="preserve">e view of the authors that </w:t>
      </w:r>
      <w:r w:rsidR="00341874">
        <w:rPr>
          <w:rFonts w:ascii="Calibri" w:hAnsi="Calibri" w:cs="Arial"/>
        </w:rPr>
        <w:lastRenderedPageBreak/>
        <w:t xml:space="preserve">these issues are </w:t>
      </w:r>
      <w:r w:rsidR="00814069">
        <w:rPr>
          <w:rFonts w:ascii="Calibri" w:hAnsi="Calibri" w:cs="Arial"/>
        </w:rPr>
        <w:t xml:space="preserve">also </w:t>
      </w:r>
      <w:r>
        <w:rPr>
          <w:rFonts w:ascii="Calibri" w:hAnsi="Calibri" w:cs="Arial"/>
        </w:rPr>
        <w:t xml:space="preserve">relevant to </w:t>
      </w:r>
      <w:r w:rsidR="00341874">
        <w:rPr>
          <w:rFonts w:ascii="Calibri" w:hAnsi="Calibri" w:cs="Arial"/>
        </w:rPr>
        <w:t>laboratory</w:t>
      </w:r>
      <w:r w:rsidR="00B138A9">
        <w:rPr>
          <w:rFonts w:ascii="Calibri" w:hAnsi="Calibri" w:cs="Arial"/>
        </w:rPr>
        <w:t>-</w:t>
      </w:r>
      <w:r w:rsidR="00341874">
        <w:rPr>
          <w:rFonts w:ascii="Calibri" w:hAnsi="Calibri" w:cs="Arial"/>
        </w:rPr>
        <w:t>based research</w:t>
      </w:r>
      <w:r w:rsidR="00B138A9">
        <w:rPr>
          <w:rFonts w:ascii="Calibri" w:hAnsi="Calibri" w:cs="Arial"/>
        </w:rPr>
        <w:t xml:space="preserve"> that make</w:t>
      </w:r>
      <w:r w:rsidR="00087564">
        <w:rPr>
          <w:rFonts w:ascii="Calibri" w:hAnsi="Calibri" w:cs="Arial"/>
        </w:rPr>
        <w:t>s</w:t>
      </w:r>
      <w:r w:rsidR="00B138A9">
        <w:rPr>
          <w:rFonts w:ascii="Calibri" w:hAnsi="Calibri" w:cs="Arial"/>
        </w:rPr>
        <w:t xml:space="preserve"> use of</w:t>
      </w:r>
      <w:r>
        <w:rPr>
          <w:rFonts w:ascii="Calibri" w:hAnsi="Calibri" w:cs="Arial"/>
        </w:rPr>
        <w:t xml:space="preserve"> siRNAs, miRNA mimics and, perhaps less so, antisense drugs</w:t>
      </w:r>
      <w:r w:rsidRPr="00C4343E">
        <w:rPr>
          <w:rFonts w:ascii="Calibri" w:hAnsi="Calibri" w:cs="Arial"/>
        </w:rPr>
        <w:t>. Crucially, the vast majority of</w:t>
      </w:r>
      <w:r>
        <w:rPr>
          <w:rFonts w:ascii="Calibri" w:hAnsi="Calibri" w:cs="Arial"/>
        </w:rPr>
        <w:t xml:space="preserve"> studies </w:t>
      </w:r>
      <w:r w:rsidR="00341874">
        <w:rPr>
          <w:rFonts w:ascii="Calibri" w:hAnsi="Calibri" w:cs="Arial"/>
        </w:rPr>
        <w:t xml:space="preserve">fail to demonstrate </w:t>
      </w:r>
      <w:r>
        <w:rPr>
          <w:rFonts w:ascii="Calibri" w:hAnsi="Calibri" w:cs="Arial"/>
        </w:rPr>
        <w:t>on-target MOA</w:t>
      </w:r>
      <w:r w:rsidR="00CA7DA2">
        <w:rPr>
          <w:rFonts w:ascii="Calibri" w:hAnsi="Calibri" w:cs="Arial"/>
        </w:rPr>
        <w:t xml:space="preserve"> and supporting evidence is provided almost universally in an indirect fashion</w:t>
      </w:r>
      <w:r>
        <w:rPr>
          <w:rFonts w:ascii="Calibri" w:hAnsi="Calibri" w:cs="Arial"/>
        </w:rPr>
        <w:t>.</w:t>
      </w:r>
      <w:r w:rsidRPr="00C4343E">
        <w:rPr>
          <w:rFonts w:ascii="Calibri" w:hAnsi="Calibri" w:cs="Arial"/>
        </w:rPr>
        <w:t xml:space="preserve"> </w:t>
      </w:r>
      <w:r>
        <w:rPr>
          <w:rFonts w:ascii="Calibri" w:hAnsi="Calibri" w:cs="Arial"/>
        </w:rPr>
        <w:t>F</w:t>
      </w:r>
      <w:r w:rsidRPr="00C4343E">
        <w:rPr>
          <w:rFonts w:ascii="Calibri" w:hAnsi="Calibri" w:cs="Arial"/>
        </w:rPr>
        <w:t xml:space="preserve">rom a systems </w:t>
      </w:r>
      <w:r>
        <w:rPr>
          <w:rFonts w:ascii="Calibri" w:hAnsi="Calibri" w:cs="Arial"/>
        </w:rPr>
        <w:t xml:space="preserve">pharmacology and </w:t>
      </w:r>
      <w:r w:rsidRPr="00C4343E">
        <w:rPr>
          <w:rFonts w:ascii="Calibri" w:hAnsi="Calibri" w:cs="Arial"/>
        </w:rPr>
        <w:t xml:space="preserve">toxicology perspective </w:t>
      </w:r>
      <w:r w:rsidRPr="00C4343E">
        <w:rPr>
          <w:rFonts w:ascii="Calibri" w:hAnsi="Calibri" w:cs="Arial"/>
        </w:rPr>
        <w:fldChar w:fldCharType="begin" w:fldLock="1"/>
      </w:r>
      <w:r w:rsidRPr="00C4343E">
        <w:rPr>
          <w:rFonts w:ascii="Calibri" w:hAnsi="Calibri" w:cs="Arial"/>
        </w:rPr>
        <w:instrText>ADDIN CSL_CITATION { "citationItems" : [ { "id" : "ITEM-1", "itemData" : { "DOI" : "10.1038/nrd4309", "ISSN" : "1474-1784", "PMID" : "24833294", "abstract" : "Maintaining research and development (R&amp;D) productivity at a sustainable level is one of the main challenges currently facing the pharmaceutical industry. In this article, we discuss the results of a comprehensive longitudinal review of AstraZeneca's small-molecule drug projects from 2005 to 2010. The analysis allowed us to establish a framework based on the five most important technical determinants of project success and pipeline quality, which we describe as the five 'R's: the right target, the right patient, the right tissue, the right safety and the right commercial potential. A sixth factor - the right culture - is also crucial in encouraging effective decision-making based on these technical determinants. AstraZeneca is currently applying this framework to guide its R&amp;D teams, and although it is too early to demonstrate whether this has improved the company's R&amp;D productivity, we present our data and analysis here in the hope that it may assist the industry overall in addressing this key challenge.", "author" : [ { "dropping-particle" : "", "family" : "Cook", "given" : "David", "non-dropping-particle" : "", "parse-names" : false, "suffix" : "" }, { "dropping-particle" : "", "family" : "Brown", "given" : "Dearg", "non-dropping-particle" : "", "parse-names" : false, "suffix" : "" }, { "dropping-particle" : "", "family" : "Alexander", "given" : "Robert", "non-dropping-particle" : "", "parse-names" : false, "suffix" : "" }, { "dropping-particle" : "", "family" : "March", "given" : "Ruth", "non-dropping-particle" : "", "parse-names" : false, "suffix" : "" }, { "dropping-particle" : "", "family" : "Morgan", "given" : "Paul", "non-dropping-particle" : "", "parse-names" : false, "suffix" : "" }, { "dropping-particle" : "", "family" : "Satterthwaite", "given" : "Gemma", "non-dropping-particle" : "", "parse-names" : false, "suffix" : "" }, { "dropping-particle" : "", "family" : "Pangalos", "given" : "Menelas N", "non-dropping-particle" : "", "parse-names" : false, "suffix" : "" } ], "container-title" : "Nature reviews. Drug discovery", "id" : "ITEM-1", "issue" : "6", "issued" : { "date-parts" : [ [ "2014", "6" ] ] }, "page" : "419-31", "publisher" : "Nature Publishing Group, a division of Macmillan Publishers Limited. All Rights Reserved.", "title" : "Lessons learned from the fate of AstraZeneca's drug pipeline: a five-dimensional framework.", "title-short" : "Nat Rev Drug Discov", "type" : "article-journal", "volume" : "13" }, "uris" : [ "http://www.mendeley.com/documents/?uuid=2fe0814f-c7bc-4dd0-bbb3-c9290917d7ae" ] } ], "mendeley" : { "formattedCitation" : "(Cook et al., 2014)", "plainTextFormattedCitation" : "(Cook et al., 2014)", "previouslyFormattedCitation" : "(Cook et al., 2014)"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(Cook et al., 2014)</w:t>
      </w:r>
      <w:r w:rsidRPr="00C4343E">
        <w:rPr>
          <w:rFonts w:ascii="Calibri" w:hAnsi="Calibri" w:cs="Arial"/>
        </w:rPr>
        <w:fldChar w:fldCharType="end"/>
      </w:r>
      <w:r w:rsidRPr="00C4343E">
        <w:rPr>
          <w:rFonts w:ascii="Calibri" w:hAnsi="Calibri" w:cs="Arial"/>
        </w:rPr>
        <w:t xml:space="preserve">, </w:t>
      </w:r>
      <w:r>
        <w:rPr>
          <w:rFonts w:ascii="Calibri" w:hAnsi="Calibri" w:cs="Arial"/>
        </w:rPr>
        <w:t>confidence in safety requires elimination of</w:t>
      </w:r>
      <w:r w:rsidR="00341874">
        <w:rPr>
          <w:rFonts w:ascii="Calibri" w:hAnsi="Calibri" w:cs="Arial"/>
        </w:rPr>
        <w:t xml:space="preserve"> unintended, </w:t>
      </w:r>
      <w:r>
        <w:rPr>
          <w:rFonts w:ascii="Calibri" w:hAnsi="Calibri" w:cs="Arial"/>
        </w:rPr>
        <w:t xml:space="preserve">off-target mechanisms </w:t>
      </w:r>
      <w:r w:rsidR="00341874">
        <w:rPr>
          <w:rFonts w:ascii="Calibri" w:hAnsi="Calibri" w:cs="Arial"/>
        </w:rPr>
        <w:t>throughout the</w:t>
      </w:r>
      <w:r>
        <w:rPr>
          <w:rFonts w:ascii="Calibri" w:hAnsi="Calibri" w:cs="Arial"/>
        </w:rPr>
        <w:t xml:space="preserve"> drug</w:t>
      </w:r>
      <w:r w:rsidR="00E93928">
        <w:rPr>
          <w:rFonts w:ascii="Calibri" w:hAnsi="Calibri" w:cs="Arial"/>
        </w:rPr>
        <w:t xml:space="preserve"> discovery and</w:t>
      </w:r>
      <w:r>
        <w:rPr>
          <w:rFonts w:ascii="Calibri" w:hAnsi="Calibri" w:cs="Arial"/>
        </w:rPr>
        <w:t xml:space="preserve"> development program</w:t>
      </w:r>
      <w:r w:rsidR="00341874">
        <w:rPr>
          <w:rFonts w:ascii="Calibri" w:hAnsi="Calibri" w:cs="Arial"/>
        </w:rPr>
        <w:t xml:space="preserve">, using robust and </w:t>
      </w:r>
      <w:r>
        <w:rPr>
          <w:rFonts w:ascii="Calibri" w:hAnsi="Calibri" w:cs="Arial"/>
        </w:rPr>
        <w:t>reproducible methods</w:t>
      </w:r>
      <w:r w:rsidRPr="00C4343E">
        <w:rPr>
          <w:rFonts w:ascii="Calibri" w:hAnsi="Calibri" w:cs="Arial"/>
        </w:rPr>
        <w:t>.</w:t>
      </w:r>
      <w:r>
        <w:rPr>
          <w:rFonts w:ascii="Calibri" w:hAnsi="Calibri" w:cs="Arial"/>
        </w:rPr>
        <w:t xml:space="preserve"> </w:t>
      </w:r>
    </w:p>
    <w:p w14:paraId="35A94893" w14:textId="77777777" w:rsidR="00814069" w:rsidRDefault="00814069" w:rsidP="005837A4">
      <w:pPr>
        <w:spacing w:line="480" w:lineRule="auto"/>
        <w:jc w:val="both"/>
        <w:rPr>
          <w:rFonts w:ascii="Calibri" w:hAnsi="Calibri" w:cs="Arial"/>
        </w:rPr>
      </w:pPr>
    </w:p>
    <w:p w14:paraId="32995349" w14:textId="0BDF1859" w:rsidR="00EB5C87" w:rsidRDefault="00D705FF" w:rsidP="005837A4">
      <w:pPr>
        <w:spacing w:line="480" w:lineRule="auto"/>
        <w:jc w:val="both"/>
        <w:rPr>
          <w:rFonts w:ascii="Calibri" w:hAnsi="Calibri" w:cs="Arial"/>
        </w:rPr>
      </w:pPr>
      <w:r>
        <w:rPr>
          <w:rFonts w:ascii="Calibri" w:hAnsi="Calibri" w:cs="Arial"/>
        </w:rPr>
        <w:t>Essential in the process is the use of multiple positive and negative controls. Thus, independent verification through alternative tool compounds acting on th</w:t>
      </w:r>
      <w:r w:rsidR="00BC7D82">
        <w:rPr>
          <w:rFonts w:ascii="Calibri" w:hAnsi="Calibri" w:cs="Arial"/>
        </w:rPr>
        <w:t xml:space="preserve">e same molecular target or </w:t>
      </w:r>
      <w:r>
        <w:rPr>
          <w:rFonts w:ascii="Calibri" w:hAnsi="Calibri" w:cs="Arial"/>
        </w:rPr>
        <w:t xml:space="preserve">pools such as multiple siRNA targeting the same gene </w:t>
      </w:r>
      <w:r>
        <w:rPr>
          <w:rFonts w:ascii="Calibri" w:hAnsi="Calibri" w:cs="Arial"/>
        </w:rPr>
        <w:fldChar w:fldCharType="begin" w:fldLock="1"/>
      </w:r>
      <w:r>
        <w:rPr>
          <w:rFonts w:ascii="Calibri" w:hAnsi="Calibri" w:cs="Arial"/>
        </w:rPr>
        <w:instrText>ADDIN CSL_CITATION { "citationItems" : [ { "id" : "ITEM-1", "itemData" : { "DOI" : "10.1093/nar/gku480", "ISSN" : "1362-4962", "PMID" : "24875475", "abstract" : "Short interfering RNAs (siRNAs) are widely used as tool for gene inactivation in basic research and therapeutic applications. One of the major shortcomings of siRNA experiments are sequence-specific off-target effects. Such effects are largely unpredictable because siRNAs can affect partially complementary sequences and function like microRNAs (miRNAs), which inhibit gene expression on mRNA stability or translational levels. Here we demonstrate that novel, enzymatically generated siRNA pools-referred to as siPools-containing up to 60 accurately defined siRNAs eliminate off-target effects. This is achieved by the low concentration of each individual siRNA diluting sequence-specific off-target effects below detection limits. In fact, whole transcriptome analyses reveal that single siRNA transfections can severely affect global gene expression. However, when complex siRNA pools are transfected, almost no transcriptome alterations are observed. Taken together, we present enzymatically produced complex but accurately defined siRNA pools with potent on-target silencing but without detectable off-target effects.", "author" : [ { "dropping-particle" : "", "family" : "Hannus", "given" : "Michael", "non-dropping-particle" : "", "parse-names" : false, "suffix" : "" }, { "dropping-particle" : "", "family" : "Beitzinger", "given" : "Michaela", "non-dropping-particle" : "", "parse-names" : false, "suffix" : "" }, { "dropping-particle" : "", "family" : "Engelmann", "given" : "Julia C", "non-dropping-particle" : "", "parse-names" : false, "suffix" : "" }, { "dropping-particle" : "", "family" : "Weickert", "given" : "Marie-Theresa", "non-dropping-particle" : "", "parse-names" : false, "suffix" : "" }, { "dropping-particle" : "", "family" : "Spang", "given" : "Rainer", "non-dropping-particle" : "", "parse-names" : false, "suffix" : "" }, { "dropping-particle" : "", "family" : "Hannus", "given" : "Stefan", "non-dropping-particle" : "", "parse-names" : false, "suffix" : "" }, { "dropping-particle" : "", "family" : "Meister", "given" : "Gunter", "non-dropping-particle" : "", "parse-names" : false, "suffix" : "" } ], "container-title" : "Nucleic acids research", "id" : "ITEM-1", "issue" : "12", "issued" : { "date-parts" : [ [ "2014", "7" ] ] }, "page" : "8049-61", "title" : "siPools: highly complex but accurately defined siRNA pools eliminate off-target effects.", "type" : "article-journal", "volume" : "42" }, "uris" : [ "http://www.mendeley.com/documents/?uuid=9d5d1ce8-3dd6-4a33-bdd8-4802cfe84fa6" ] } ], "mendeley" : { "formattedCitation" : "(Hannus et al., 2014)", "plainTextFormattedCitation" : "(Hannus et al., 2014)", "previouslyFormattedCitation" : "(Hannus et al., 2014)" }, "properties" : { "noteIndex" : 0 }, "schema" : "https://github.com/citation-style-language/schema/raw/master/csl-citation.json" }</w:instrText>
      </w:r>
      <w:r>
        <w:rPr>
          <w:rFonts w:ascii="Calibri" w:hAnsi="Calibri" w:cs="Arial"/>
        </w:rPr>
        <w:fldChar w:fldCharType="separate"/>
      </w:r>
      <w:r w:rsidRPr="00E55ED9">
        <w:rPr>
          <w:rFonts w:ascii="Calibri" w:hAnsi="Calibri" w:cs="Arial"/>
          <w:noProof/>
        </w:rPr>
        <w:t>(Hannus et al., 2014)</w:t>
      </w:r>
      <w:r>
        <w:rPr>
          <w:rFonts w:ascii="Calibri" w:hAnsi="Calibri" w:cs="Arial"/>
        </w:rPr>
        <w:fldChar w:fldCharType="end"/>
      </w:r>
      <w:r>
        <w:rPr>
          <w:rFonts w:ascii="Calibri" w:hAnsi="Calibri" w:cs="Arial"/>
        </w:rPr>
        <w:t xml:space="preserve"> can be employed. Equally, multiple negative controls are also valuable to deconvolute off-target phenomena. Unfortunately, common practice appears to be restricted to one or two (random or habitual) selections (Table 2). Crucially, </w:t>
      </w:r>
      <w:r w:rsidR="00895E5D">
        <w:rPr>
          <w:rFonts w:ascii="Calibri" w:hAnsi="Calibri" w:cs="Arial"/>
        </w:rPr>
        <w:t>it is also important to continuous</w:t>
      </w:r>
      <w:r w:rsidR="00E93928">
        <w:rPr>
          <w:rFonts w:ascii="Calibri" w:hAnsi="Calibri" w:cs="Arial"/>
        </w:rPr>
        <w:t>ly</w:t>
      </w:r>
      <w:r w:rsidR="00895E5D">
        <w:rPr>
          <w:rFonts w:ascii="Calibri" w:hAnsi="Calibri" w:cs="Arial"/>
        </w:rPr>
        <w:t xml:space="preserve"> assess the potential immunomodulatory actions of oligonucleotides</w:t>
      </w:r>
      <w:r w:rsidR="00EB5C87">
        <w:rPr>
          <w:rFonts w:ascii="Calibri" w:hAnsi="Calibri" w:cs="Arial"/>
        </w:rPr>
        <w:t xml:space="preserve"> </w:t>
      </w:r>
      <w:r w:rsidR="00895E5D">
        <w:rPr>
          <w:rFonts w:ascii="Calibri" w:hAnsi="Calibri" w:cs="Arial"/>
        </w:rPr>
        <w:t xml:space="preserve">and not to restrict these investigations to specific time-points or </w:t>
      </w:r>
      <w:r w:rsidR="00E93928">
        <w:rPr>
          <w:rFonts w:ascii="Calibri" w:hAnsi="Calibri" w:cs="Arial"/>
        </w:rPr>
        <w:t xml:space="preserve">subsets of </w:t>
      </w:r>
      <w:r w:rsidR="00895E5D">
        <w:rPr>
          <w:rFonts w:ascii="Calibri" w:hAnsi="Calibri" w:cs="Arial"/>
        </w:rPr>
        <w:t xml:space="preserve">inflammatory </w:t>
      </w:r>
      <w:r>
        <w:rPr>
          <w:rFonts w:ascii="Calibri" w:hAnsi="Calibri" w:cs="Arial"/>
        </w:rPr>
        <w:t>markers.</w:t>
      </w:r>
      <w:r w:rsidR="00E93928">
        <w:rPr>
          <w:rFonts w:ascii="Calibri" w:hAnsi="Calibri" w:cs="Arial"/>
        </w:rPr>
        <w:t xml:space="preserve"> Similarly, as </w:t>
      </w:r>
      <w:r w:rsidR="00EB5C87">
        <w:rPr>
          <w:rFonts w:ascii="Calibri" w:hAnsi="Calibri" w:cs="Arial"/>
        </w:rPr>
        <w:t>knowledge of pathogen associated molecular pattern</w:t>
      </w:r>
      <w:r w:rsidR="00E93928">
        <w:rPr>
          <w:rFonts w:ascii="Calibri" w:hAnsi="Calibri" w:cs="Arial"/>
        </w:rPr>
        <w:t xml:space="preserve"> receptors and their agonists </w:t>
      </w:r>
      <w:r w:rsidR="00EB5C87">
        <w:rPr>
          <w:rFonts w:ascii="Calibri" w:hAnsi="Calibri" w:cs="Arial"/>
        </w:rPr>
        <w:t>expands</w:t>
      </w:r>
      <w:r w:rsidR="00E93928">
        <w:rPr>
          <w:rFonts w:ascii="Calibri" w:hAnsi="Calibri" w:cs="Arial"/>
        </w:rPr>
        <w:t xml:space="preserve">, the value of </w:t>
      </w:r>
      <w:r w:rsidR="00EB5C87">
        <w:rPr>
          <w:rFonts w:ascii="Calibri" w:hAnsi="Calibri" w:cs="Arial"/>
        </w:rPr>
        <w:t xml:space="preserve">established </w:t>
      </w:r>
      <w:r w:rsidR="00DD647A">
        <w:rPr>
          <w:rFonts w:ascii="Calibri" w:hAnsi="Calibri" w:cs="Arial"/>
        </w:rPr>
        <w:t xml:space="preserve">chemical </w:t>
      </w:r>
      <w:r w:rsidR="00E93928">
        <w:rPr>
          <w:rFonts w:ascii="Calibri" w:hAnsi="Calibri" w:cs="Arial"/>
        </w:rPr>
        <w:t xml:space="preserve">modifications </w:t>
      </w:r>
      <w:r w:rsidR="00DD647A">
        <w:rPr>
          <w:rFonts w:ascii="Calibri" w:hAnsi="Calibri" w:cs="Arial"/>
        </w:rPr>
        <w:t>known to</w:t>
      </w:r>
      <w:r w:rsidR="00EB5C87">
        <w:rPr>
          <w:rFonts w:ascii="Calibri" w:hAnsi="Calibri" w:cs="Arial"/>
        </w:rPr>
        <w:t xml:space="preserve"> evad</w:t>
      </w:r>
      <w:r w:rsidR="00DD647A">
        <w:rPr>
          <w:rFonts w:ascii="Calibri" w:hAnsi="Calibri" w:cs="Arial"/>
        </w:rPr>
        <w:t>e some</w:t>
      </w:r>
      <w:r w:rsidR="00E93928">
        <w:rPr>
          <w:rFonts w:ascii="Calibri" w:hAnsi="Calibri" w:cs="Arial"/>
        </w:rPr>
        <w:t xml:space="preserve"> </w:t>
      </w:r>
      <w:r w:rsidR="00EB5C87">
        <w:rPr>
          <w:rFonts w:ascii="Calibri" w:hAnsi="Calibri" w:cs="Arial"/>
        </w:rPr>
        <w:t>immune</w:t>
      </w:r>
      <w:r w:rsidR="00E93928">
        <w:rPr>
          <w:rFonts w:ascii="Calibri" w:hAnsi="Calibri" w:cs="Arial"/>
        </w:rPr>
        <w:t xml:space="preserve"> recept</w:t>
      </w:r>
      <w:r w:rsidR="00EB5C87">
        <w:rPr>
          <w:rFonts w:ascii="Calibri" w:hAnsi="Calibri" w:cs="Arial"/>
        </w:rPr>
        <w:t xml:space="preserve">ors </w:t>
      </w:r>
      <w:r w:rsidR="00E93928">
        <w:rPr>
          <w:rFonts w:ascii="Calibri" w:hAnsi="Calibri" w:cs="Arial"/>
        </w:rPr>
        <w:t xml:space="preserve">needs to be </w:t>
      </w:r>
      <w:r w:rsidR="00EB5C87">
        <w:rPr>
          <w:rFonts w:ascii="Calibri" w:hAnsi="Calibri" w:cs="Arial"/>
        </w:rPr>
        <w:t>re-affirmed against newly described risks.</w:t>
      </w:r>
      <w:r w:rsidR="00E93928">
        <w:rPr>
          <w:rFonts w:ascii="Calibri" w:hAnsi="Calibri" w:cs="Arial"/>
        </w:rPr>
        <w:t xml:space="preserve"> </w:t>
      </w:r>
    </w:p>
    <w:p w14:paraId="532AE1B1" w14:textId="77777777" w:rsidR="00EB5C87" w:rsidRDefault="00EB5C87" w:rsidP="005837A4">
      <w:pPr>
        <w:spacing w:line="480" w:lineRule="auto"/>
        <w:jc w:val="both"/>
        <w:rPr>
          <w:rFonts w:ascii="Calibri" w:hAnsi="Calibri" w:cs="Arial"/>
        </w:rPr>
      </w:pPr>
    </w:p>
    <w:p w14:paraId="14C72119" w14:textId="0D039BC7" w:rsidR="00EB5C87" w:rsidRDefault="00EB5C87" w:rsidP="005837A4">
      <w:pPr>
        <w:spacing w:line="480" w:lineRule="auto"/>
        <w:jc w:val="both"/>
        <w:rPr>
          <w:rFonts w:ascii="Calibri" w:hAnsi="Calibri" w:cs="Arial"/>
        </w:rPr>
      </w:pPr>
      <w:r>
        <w:rPr>
          <w:rFonts w:ascii="Calibri" w:hAnsi="Calibri" w:cs="Arial"/>
        </w:rPr>
        <w:t>O</w:t>
      </w:r>
      <w:r w:rsidR="00D705FF">
        <w:rPr>
          <w:rFonts w:ascii="Calibri" w:hAnsi="Calibri" w:cs="Arial"/>
        </w:rPr>
        <w:t xml:space="preserve">ne approach </w:t>
      </w:r>
      <w:r w:rsidR="00DD647A">
        <w:rPr>
          <w:rFonts w:ascii="Calibri" w:hAnsi="Calibri" w:cs="Arial"/>
        </w:rPr>
        <w:t xml:space="preserve">to circumvent this issue </w:t>
      </w:r>
      <w:r w:rsidR="00D705FF">
        <w:rPr>
          <w:rFonts w:ascii="Calibri" w:hAnsi="Calibri" w:cs="Arial"/>
        </w:rPr>
        <w:t xml:space="preserve">proposes the use of </w:t>
      </w:r>
      <w:r w:rsidR="00D705FF" w:rsidRPr="001470C3">
        <w:rPr>
          <w:rFonts w:ascii="Calibri" w:hAnsi="Calibri" w:cs="Arial"/>
        </w:rPr>
        <w:t xml:space="preserve">modifications of </w:t>
      </w:r>
      <w:r>
        <w:rPr>
          <w:rFonts w:ascii="Calibri" w:hAnsi="Calibri" w:cs="Arial"/>
        </w:rPr>
        <w:t xml:space="preserve">e.g. </w:t>
      </w:r>
      <w:r w:rsidR="00D705FF" w:rsidRPr="001470C3">
        <w:rPr>
          <w:rFonts w:ascii="Calibri" w:hAnsi="Calibri" w:cs="Arial"/>
        </w:rPr>
        <w:t>the passeng</w:t>
      </w:r>
      <w:r w:rsidR="00895E5D">
        <w:rPr>
          <w:rFonts w:ascii="Calibri" w:hAnsi="Calibri" w:cs="Arial"/>
        </w:rPr>
        <w:t xml:space="preserve">er strand </w:t>
      </w:r>
      <w:r>
        <w:rPr>
          <w:rFonts w:ascii="Calibri" w:hAnsi="Calibri" w:cs="Arial"/>
        </w:rPr>
        <w:t xml:space="preserve">of an siRNA </w:t>
      </w:r>
      <w:r w:rsidR="00895E5D">
        <w:rPr>
          <w:rFonts w:ascii="Calibri" w:hAnsi="Calibri" w:cs="Arial"/>
        </w:rPr>
        <w:t>as a universal tool for</w:t>
      </w:r>
      <w:r w:rsidR="00D705FF" w:rsidRPr="001470C3">
        <w:rPr>
          <w:rFonts w:ascii="Calibri" w:hAnsi="Calibri" w:cs="Arial"/>
        </w:rPr>
        <w:t xml:space="preserve"> ablating TLR7/8 stimulation </w:t>
      </w:r>
      <w:r w:rsidR="00D705FF" w:rsidRPr="001470C3">
        <w:rPr>
          <w:rFonts w:ascii="Calibri" w:hAnsi="Calibri" w:cs="Arial"/>
        </w:rPr>
        <w:fldChar w:fldCharType="begin" w:fldLock="1"/>
      </w:r>
      <w:r w:rsidR="00D705FF" w:rsidRPr="001470C3">
        <w:rPr>
          <w:rFonts w:ascii="Calibri" w:hAnsi="Calibri" w:cs="Arial"/>
        </w:rPr>
        <w:instrText>ADDIN CSL_CITATION { "citationItems" : [ { "id" : "ITEM-1", "itemData" : { "DOI" : "10.1016/j.imbio.2009.09.003", "ISSN" : "1878-3279", "PMID" : "19854535", "abstract" : "Small interfering RNA (siRNA) is widely used to modulate gene expression, but its potential induction of cytokines via Toll-like receptors (TLR) strongly impairs its use. Selective 2'-O-ribose methylation of sense or antisense strand can abolish the immunostimulatory potential, however, no universal approach is available and the mechanism of action is unknown. Here, we demonstrate that alternating 2'-O-ribose methylation of the sense strand within a siRNA duplex specific for eGFP or beta(2)-microglobulin destroyed its immunostimulatory function in primary immune cells, while reduction in target gene expression was functional. Furthermore, addition of siRNA containing a 2'-O-ribose-methylated sense strand to immunostimulatory siRNA abolished its stimulatory activity and binding studies revealed that 2'-O-ribose-methylated RNA bound stronger to TLR7 than unmodified RNA. We conclude that 2'-O-ribose methylation acts as inhibitor for RNA-driven immune stimulation via TLR7 and recommend alternating 2'-O-ribose methylation of the sense strand as a universal approach for the generation of non-immunostimulatory siRNA.", "author" : [ { "dropping-particle" : "", "family" : "Hamm", "given" : "Svetlana", "non-dropping-particle" : "", "parse-names" : false, "suffix" : "" }, { "dropping-particle" : "", "family" : "Latz", "given" : "Eicke", "non-dropping-particle" : "", "parse-names" : false, "suffix" : "" }, { "dropping-particle" : "", "family" : "Hangel", "given" : "Doris", "non-dropping-particle" : "", "parse-names" : false, "suffix" : "" }, { "dropping-particle" : "", "family" : "M\u00fcller", "given" : "Thomas", "non-dropping-particle" : "", "parse-names" : false, "suffix" : "" }, { "dropping-particle" : "", "family" : "Yu", "given" : "Philipp", "non-dropping-particle" : "", "parse-names" : false, "suffix" : "" }, { "dropping-particle" : "", "family" : "Golenbock", "given" : "Douglas", "non-dropping-particle" : "", "parse-names" : false, "suffix" : "" }, { "dropping-particle" : "", "family" : "Sparwasser", "given" : "Tim", "non-dropping-particle" : "", "parse-names" : false, "suffix" : "" }, { "dropping-particle" : "", "family" : "Wagner", "given" : "Hermann", "non-dropping-particle" : "", "parse-names" : false, "suffix" : "" }, { "dropping-particle" : "", "family" : "Bauer", "given" : "Stefan", "non-dropping-particle" : "", "parse-names" : false, "suffix" : "" } ], "container-title" : "Immunobiology", "id" : "ITEM-1", "issue" : "7", "issued" : { "date-parts" : [ [ "2010", "7" ] ] }, "page" : "559-69", "title" : "Alternating 2'-O-ribose methylation is a universal approach for generating non-stimulatory siRNA by acting as TLR7 antagonist.", "type" : "article-journal", "volume" : "215" }, "uris" : [ "http://www.mendeley.com/documents/?uuid=0a6c920e-199a-4568-adcd-b47f4c0be4ce" ] } ], "mendeley" : { "formattedCitation" : "(Hamm et al., 2010)", "plainTextFormattedCitation" : "(Hamm et al., 2010)", "previouslyFormattedCitation" : "(Hamm et al., 2010)" }, "properties" : { "noteIndex" : 0 }, "schema" : "https://github.com/citation-style-language/schema/raw/master/csl-citation.json" }</w:instrText>
      </w:r>
      <w:r w:rsidR="00D705FF" w:rsidRPr="001470C3">
        <w:rPr>
          <w:rFonts w:ascii="Calibri" w:hAnsi="Calibri" w:cs="Arial"/>
        </w:rPr>
        <w:fldChar w:fldCharType="separate"/>
      </w:r>
      <w:r w:rsidR="00D705FF" w:rsidRPr="001470C3">
        <w:rPr>
          <w:rFonts w:ascii="Calibri" w:hAnsi="Calibri" w:cs="Arial"/>
          <w:noProof/>
        </w:rPr>
        <w:t>(Hamm et al., 2010)</w:t>
      </w:r>
      <w:r w:rsidR="00D705FF" w:rsidRPr="001470C3">
        <w:rPr>
          <w:rFonts w:ascii="Calibri" w:hAnsi="Calibri" w:cs="Arial"/>
        </w:rPr>
        <w:fldChar w:fldCharType="end"/>
      </w:r>
      <w:r w:rsidR="00D705FF">
        <w:rPr>
          <w:rFonts w:ascii="Calibri" w:hAnsi="Calibri" w:cs="Arial"/>
        </w:rPr>
        <w:t xml:space="preserve">. </w:t>
      </w:r>
      <w:r w:rsidR="00DD647A">
        <w:rPr>
          <w:rFonts w:ascii="Calibri" w:hAnsi="Calibri" w:cs="Arial"/>
        </w:rPr>
        <w:t xml:space="preserve">Conversely, where immunomodulation might be therapeutically relevant (e.g. antivirals), immunostimulatory potential can be purposefully engineered and isolated onto </w:t>
      </w:r>
      <w:r w:rsidR="00DD647A">
        <w:rPr>
          <w:rFonts w:ascii="Calibri" w:hAnsi="Calibri" w:cs="Arial"/>
        </w:rPr>
        <w:lastRenderedPageBreak/>
        <w:t xml:space="preserve">the passenger strand of an RNAi mediator </w:t>
      </w:r>
      <w:r w:rsidR="00D705FF">
        <w:rPr>
          <w:rFonts w:ascii="Calibri" w:hAnsi="Calibri" w:cs="Arial"/>
        </w:rPr>
        <w:fldChar w:fldCharType="begin" w:fldLock="1"/>
      </w:r>
      <w:r w:rsidR="00D705FF">
        <w:rPr>
          <w:rFonts w:ascii="Calibri" w:hAnsi="Calibri" w:cs="Arial"/>
        </w:rPr>
        <w:instrText>ADDIN CSL_CITATION { "citationItems" : [ { "id" : "ITEM-1", "itemData" : { "DOI" : "10.1038/nm1191", "ISSN" : "1078-8956", "PMID" : "15723075", "abstract" : "Short interfering RNA (siRNA) is used in RNA interference technology to avoid non-target-related induction of type I interferon (IFN) typical for long double-stranded RNA. Here we show that in plasmacytoid dendritic cells (PDC), an immune cell subset specialized in the detection of viral nucleic acids and production of type I IFN, some siRNA sequences, independent of their GU content, are potent stimuli of IFN-alpha production. Localization of the immunostimulatory motif on the sense strand of a potent IFN-alpha-inducing siRNA allowed dissection of immunostimulation and target silencing. Injection into mice of immunostimulatory siRNA, when complexed with cationic liposomes, induced systemic immune responses in the same range as the TLR9 ligand CpG, including IFN-alpha in serum and activation of T cells and dendritic cells in spleen. Immunostimulation by siRNA was absent in TLR7-deficient mice. Thus sequence-specific TLR7-dependent immune recognition in PDC needs to be considered as an additional biological activity of siRNA, which then should be termed immunostimulatory RNA (isRNA).", "author" : [ { "dropping-particle" : "", "family" : "Hornung", "given" : "Veit", "non-dropping-particle" : "", "parse-names" : false, "suffix" : "" }, { "dropping-particle" : "", "family" : "Guenthner-Biller", "given" : "Margit", "non-dropping-particle" : "", "parse-names" : false, "suffix" : "" }, { "dropping-particle" : "", "family" : "Bourquin", "given" : "Carole", "non-dropping-particle" : "", "parse-names" : false, "suffix" : "" }, { "dropping-particle" : "", "family" : "Ablasser", "given" : "Andrea", "non-dropping-particle" : "", "parse-names" : false, "suffix" : "" }, { "dropping-particle" : "", "family" : "Schlee", "given" : "Martin", "non-dropping-particle" : "", "parse-names" : false, "suffix" : "" }, { "dropping-particle" : "", "family" : "Uematsu", "given" : "Satoshi", "non-dropping-particle" : "", "parse-names" : false, "suffix" : "" }, { "dropping-particle" : "", "family" : "Noronha", "given" : "Anne", "non-dropping-particle" : "", "parse-names" : false, "suffix" : "" }, { "dropping-particle" : "", "family" : "Manoharan", "given" : "Muthiah", "non-dropping-particle" : "", "parse-names" : false, "suffix" : "" }, { "dropping-particle" : "", "family" : "Akira", "given" : "Shizuo", "non-dropping-particle" : "", "parse-names" : false, "suffix" : "" }, { "dropping-particle" : "", "family" : "Fougerolles", "given" : "Antonin", "non-dropping-particle" : "de", "parse-names" : false, "suffix" : "" }, { "dropping-particle" : "", "family" : "Endres", "given" : "Stefan", "non-dropping-particle" : "", "parse-names" : false, "suffix" : "" }, { "dropping-particle" : "", "family" : "Hartmann", "given" : "Gunther", "non-dropping-particle" : "", "parse-names" : false, "suffix" : "" } ], "container-title" : "Nature medicine", "id" : "ITEM-1", "issue" : "3", "issued" : { "date-parts" : [ [ "2005", "3" ] ] }, "page" : "263-70", "title" : "Sequence-specific potent induction of IFN-alpha by short interfering RNA in plasmacytoid dendritic cells through TLR7.", "type" : "article-journal", "volume" : "11" }, "uris" : [ "http://www.mendeley.com/documents/?uuid=aab1ab2a-c0db-4673-9d57-1e99e20b0831" ] } ], "mendeley" : { "formattedCitation" : "(Hornung et al., 2005)", "plainTextFormattedCitation" : "(Hornung et al., 2005)", "previouslyFormattedCitation" : "(Hornung et al., 2005)" }, "properties" : { "noteIndex" : 0 }, "schema" : "https://github.com/citation-style-language/schema/raw/master/csl-citation.json" }</w:instrText>
      </w:r>
      <w:r w:rsidR="00D705FF">
        <w:rPr>
          <w:rFonts w:ascii="Calibri" w:hAnsi="Calibri" w:cs="Arial"/>
        </w:rPr>
        <w:fldChar w:fldCharType="separate"/>
      </w:r>
      <w:r w:rsidR="00D705FF" w:rsidRPr="00B85352">
        <w:rPr>
          <w:rFonts w:ascii="Calibri" w:hAnsi="Calibri" w:cs="Arial"/>
          <w:noProof/>
        </w:rPr>
        <w:t>(Hornung et al., 2005)</w:t>
      </w:r>
      <w:r w:rsidR="00D705FF">
        <w:rPr>
          <w:rFonts w:ascii="Calibri" w:hAnsi="Calibri" w:cs="Arial"/>
        </w:rPr>
        <w:fldChar w:fldCharType="end"/>
      </w:r>
      <w:r w:rsidR="00DD647A">
        <w:rPr>
          <w:rFonts w:ascii="Calibri" w:hAnsi="Calibri" w:cs="Arial"/>
        </w:rPr>
        <w:t>. It is unclear to what extent the</w:t>
      </w:r>
      <w:r w:rsidR="00D705FF">
        <w:rPr>
          <w:rFonts w:ascii="Calibri" w:hAnsi="Calibri" w:cs="Arial"/>
        </w:rPr>
        <w:t>s</w:t>
      </w:r>
      <w:r w:rsidR="00DD647A">
        <w:rPr>
          <w:rFonts w:ascii="Calibri" w:hAnsi="Calibri" w:cs="Arial"/>
        </w:rPr>
        <w:t>e approaches</w:t>
      </w:r>
      <w:r w:rsidR="00D705FF">
        <w:rPr>
          <w:rFonts w:ascii="Calibri" w:hAnsi="Calibri" w:cs="Arial"/>
        </w:rPr>
        <w:t xml:space="preserve"> </w:t>
      </w:r>
      <w:r w:rsidR="00DD647A">
        <w:rPr>
          <w:rFonts w:ascii="Calibri" w:hAnsi="Calibri" w:cs="Arial"/>
        </w:rPr>
        <w:t>are</w:t>
      </w:r>
      <w:r w:rsidR="00D705FF">
        <w:rPr>
          <w:rFonts w:ascii="Calibri" w:hAnsi="Calibri" w:cs="Arial"/>
        </w:rPr>
        <w:t xml:space="preserve"> adequate beyond TLR7/8 activation</w:t>
      </w:r>
      <w:r>
        <w:rPr>
          <w:rFonts w:ascii="Calibri" w:hAnsi="Calibri" w:cs="Arial"/>
        </w:rPr>
        <w:t>,</w:t>
      </w:r>
      <w:r w:rsidR="00D705FF">
        <w:rPr>
          <w:rFonts w:ascii="Calibri" w:hAnsi="Calibri" w:cs="Arial"/>
        </w:rPr>
        <w:t xml:space="preserve"> within which cell type/tissue context</w:t>
      </w:r>
      <w:r>
        <w:rPr>
          <w:rFonts w:ascii="Calibri" w:hAnsi="Calibri" w:cs="Arial"/>
        </w:rPr>
        <w:t xml:space="preserve"> and whether similar approaches can be used with </w:t>
      </w:r>
      <w:r w:rsidR="00DD647A">
        <w:rPr>
          <w:rFonts w:ascii="Calibri" w:hAnsi="Calibri" w:cs="Arial"/>
        </w:rPr>
        <w:t>antisense through conjugation or</w:t>
      </w:r>
      <w:r>
        <w:rPr>
          <w:rFonts w:ascii="Calibri" w:hAnsi="Calibri" w:cs="Arial"/>
        </w:rPr>
        <w:t xml:space="preserve"> partial duplex formation</w:t>
      </w:r>
      <w:r w:rsidR="00D705FF">
        <w:rPr>
          <w:rFonts w:ascii="Calibri" w:hAnsi="Calibri" w:cs="Arial"/>
        </w:rPr>
        <w:t xml:space="preserve">. </w:t>
      </w:r>
    </w:p>
    <w:p w14:paraId="71DEBE7A" w14:textId="77777777" w:rsidR="00DD647A" w:rsidRDefault="00DD647A" w:rsidP="005837A4">
      <w:pPr>
        <w:spacing w:line="480" w:lineRule="auto"/>
        <w:jc w:val="both"/>
        <w:rPr>
          <w:rFonts w:ascii="Calibri" w:hAnsi="Calibri" w:cs="Arial"/>
        </w:rPr>
      </w:pPr>
    </w:p>
    <w:p w14:paraId="53F7BBA3" w14:textId="18A70F78" w:rsidR="00CA7DA2" w:rsidRDefault="00EB5C87" w:rsidP="005837A4">
      <w:pPr>
        <w:spacing w:line="480" w:lineRule="auto"/>
        <w:jc w:val="both"/>
        <w:rPr>
          <w:rFonts w:ascii="Calibri" w:hAnsi="Calibri" w:cs="Arial"/>
        </w:rPr>
      </w:pPr>
      <w:r>
        <w:rPr>
          <w:rFonts w:ascii="Calibri" w:hAnsi="Calibri" w:cs="Arial"/>
        </w:rPr>
        <w:t>The challenge of handling the immune potential of oligonucleotide therapeutics, especially for RNA duplexes, is likely the main driver behind the slow progression of miRNA analogues to the clinic. Thus, o</w:t>
      </w:r>
      <w:r w:rsidR="00D705FF">
        <w:rPr>
          <w:rFonts w:ascii="Calibri" w:hAnsi="Calibri" w:cs="Arial"/>
        </w:rPr>
        <w:t>nly two tumor suppressive miRNA analogues,</w:t>
      </w:r>
      <w:r w:rsidR="00D705FF" w:rsidRPr="003506F4">
        <w:rPr>
          <w:rFonts w:ascii="Calibri" w:hAnsi="Calibri" w:cs="Arial"/>
        </w:rPr>
        <w:t xml:space="preserve"> </w:t>
      </w:r>
      <w:r w:rsidR="00D705FF">
        <w:rPr>
          <w:rFonts w:ascii="Calibri" w:hAnsi="Calibri" w:cs="Arial"/>
        </w:rPr>
        <w:t xml:space="preserve">miRNA-16 (TargomiRs; EnGeneIC Ltd.) and miRNA-34 (MRX34; Mirna Therapeutics Inc.), have entered clinical trials to date </w:t>
      </w:r>
      <w:r w:rsidR="00D705FF">
        <w:rPr>
          <w:rFonts w:ascii="Calibri" w:hAnsi="Calibri" w:cs="Arial"/>
        </w:rPr>
        <w:fldChar w:fldCharType="begin" w:fldLock="1"/>
      </w:r>
      <w:r w:rsidR="00432B0D">
        <w:rPr>
          <w:rFonts w:ascii="Calibri" w:hAnsi="Calibri" w:cs="Arial"/>
        </w:rPr>
        <w:instrText>ADDIN CSL_CITATION { "citationItems" : [ { "id" : "ITEM-1", "itemData" : { "DOI" : "10.1038/mtna.2015.23", "ISSN" : "2162-2531", "PMID" : "26372022", "abstract" : "Discovered a little over two decades ago, small interfering RNAs (siRNAs) and microRNAs (miRNAs) are noncoding RNAs with important roles in gene regulation. They have recently been investigated as novel classes of therapeutic agents for the treatment of a wide range of disorders including cancers and infections. Clinical trials of siRNA- and miRNA-based drugs have already been initiated. siRNAs and miRNAs share many similarities, both are short duplex RNA molecules that exert gene silencing effects at the post-transcriptional level by targeting messenger RNA (mRNA), yet their mechanisms of action and clinical applications are distinct. The major difference between siRNAs and miRNAs is that the former are highly specific with only one mRNA target, whereas the latter have multiple targets. The therapeutic approaches of siRNAs and miRNAs are therefore very different. Hence, this review provides a comparison between therapeutic siRNAs and miRNAs in terms of their mechanisms of action, physicochemical properties, delivery, and clinical applications. Moreover, the challenges in developing both classes of RNA as therapeutics are also discussed.", "author" : [ { "dropping-particle" : "", "family" : "Lam", "given" : "Jenny K W", "non-dropping-particle" : "", "parse-names" : false, "suffix" : "" }, { "dropping-particle" : "", "family" : "Chow", "given" : "Michael Y T", "non-dropping-particle" : "", "parse-names" : false, "suffix" : "" }, { "dropping-particle" : "", "family" : "Zhang", "given" : "Yu", "non-dropping-particle" : "", "parse-names" : false, "suffix" : "" }, { "dropping-particle" : "", "family" : "Leung", "given" : "Susan W S", "non-dropping-particle" : "", "parse-names" : false, "suffix" : "" } ], "container-title" : "Molecular therapy. Nucleic acids", "id" : "ITEM-1", "issued" : { "date-parts" : [ [ "2015", "1", "15" ] ] }, "page" : "e252", "publisher" : "Official journal of the American Society of Gene &amp; Cell Therapy", "title" : "siRNA Versus miRNA as Therapeutics for Gene Silencing.", "title-short" : "Mol Ther Nucleic Acids", "type" : "article-journal", "volume" : "4" }, "uris" : [ "http://www.mendeley.com/documents/?uuid=a00a1097-3c8f-493a-b55f-79bac7dcba6c" ] } ], "mendeley" : { "formattedCitation" : "(Lam, Chow, Zhang, &amp; Leung, 2015)", "plainTextFormattedCitation" : "(Lam, Chow, Zhang, &amp; Leung, 2015)", "previouslyFormattedCitation" : "(Lam, Chow, Zhang, &amp; Leung, 2015)" }, "properties" : { "noteIndex" : 0 }, "schema" : "https://github.com/citation-style-language/schema/raw/master/csl-citation.json" }</w:instrText>
      </w:r>
      <w:r w:rsidR="00D705FF">
        <w:rPr>
          <w:rFonts w:ascii="Calibri" w:hAnsi="Calibri" w:cs="Arial"/>
        </w:rPr>
        <w:fldChar w:fldCharType="separate"/>
      </w:r>
      <w:r w:rsidR="003F78E9" w:rsidRPr="003F78E9">
        <w:rPr>
          <w:rFonts w:ascii="Calibri" w:hAnsi="Calibri" w:cs="Arial"/>
          <w:noProof/>
        </w:rPr>
        <w:t>(Lam, Chow, Zhang, &amp; Leung, 2015)</w:t>
      </w:r>
      <w:r w:rsidR="00D705FF">
        <w:rPr>
          <w:rFonts w:ascii="Calibri" w:hAnsi="Calibri" w:cs="Arial"/>
        </w:rPr>
        <w:fldChar w:fldCharType="end"/>
      </w:r>
      <w:r w:rsidR="00007E50">
        <w:rPr>
          <w:rFonts w:ascii="Calibri" w:hAnsi="Calibri" w:cs="Arial"/>
        </w:rPr>
        <w:t>, by adopting strategies proposed for immune evasion for siRNAs</w:t>
      </w:r>
      <w:r w:rsidR="00D705FF">
        <w:rPr>
          <w:rFonts w:ascii="Calibri" w:hAnsi="Calibri" w:cs="Arial"/>
        </w:rPr>
        <w:t>.</w:t>
      </w:r>
      <w:r w:rsidR="00007E50">
        <w:rPr>
          <w:rFonts w:ascii="Calibri" w:hAnsi="Calibri" w:cs="Arial"/>
        </w:rPr>
        <w:t xml:space="preserve"> Thus,</w:t>
      </w:r>
      <w:r w:rsidR="00D705FF">
        <w:rPr>
          <w:rFonts w:ascii="Calibri" w:hAnsi="Calibri" w:cs="Arial"/>
        </w:rPr>
        <w:t xml:space="preserve"> </w:t>
      </w:r>
      <w:r w:rsidR="00007E50">
        <w:rPr>
          <w:rFonts w:ascii="Calibri" w:hAnsi="Calibri" w:cs="Arial"/>
        </w:rPr>
        <w:t>a</w:t>
      </w:r>
      <w:r w:rsidR="00D705FF">
        <w:rPr>
          <w:rFonts w:ascii="Calibri" w:hAnsi="Calibri" w:cs="Arial"/>
        </w:rPr>
        <w:t xml:space="preserve"> modified passenger strand drives careful RISC loading of the canonical miRNA-34 guide strand by MRX34 </w:t>
      </w:r>
      <w:r w:rsidR="00D705FF">
        <w:rPr>
          <w:rFonts w:ascii="Calibri" w:hAnsi="Calibri" w:cs="Arial"/>
        </w:rPr>
        <w:fldChar w:fldCharType="begin" w:fldLock="1"/>
      </w:r>
      <w:r w:rsidR="00D705FF">
        <w:rPr>
          <w:rFonts w:ascii="Calibri" w:hAnsi="Calibri" w:cs="Arial"/>
        </w:rPr>
        <w:instrText>ADDIN CSL_CITATION { "citationItems" : [ { "id" : "ITEM-1", "itemData" : { "DOI" : "10.1158/1535-7163.MCT-14-0209", "ISSN" : "1538-8514", "PMID" : "25053820", "abstract" : "miR34a is a tumor-suppressor miRNA that functions within the p53 pathway to regulate cell-cycle progression and apoptosis. With apparent roles in metastasis and cancer stem cell development, miR34a provides an interesting opportunity for therapeutic development. A mimic of miR34a was complexed with an amphoteric liposomal formulation and tested in two different orthotopic models of liver cancer. Systemic dosing of the formulated miR34a mimic increased the levels of miR34a in tumors by approximately 1,000-fold and caused statistically significant decreases in the mRNA levels of several miR34a targets. The administration of the formulated miR34a mimic caused significant tumor growth inhibition in both models of liver cancer, and tumor regression was observed in more than one third of the animals. The antitumor activity was observed in the absence of any immunostimulatory effects or dose-limiting toxicities. Accumulation of the formulated miR34a mimic was also noted in the spleen, lung, and kidney, suggesting the potential for therapeutic use in other cancers.", "author" : [ { "dropping-particle" : "", "family" : "Daige", "given" : "Christopher L", "non-dropping-particle" : "", "parse-names" : false, "suffix" : "" }, { "dropping-particle" : "", "family" : "Wiggins", "given" : "Jason F", "non-dropping-particle" : "", "parse-names" : false, "suffix" : "" }, { "dropping-particle" : "", "family" : "Priddy", "given" : "Leslie", "non-dropping-particle" : "", "parse-names" : false, "suffix" : "" }, { "dropping-particle" : "", "family" : "Nelligan-Davis", "given" : "Terri", "non-dropping-particle" : "", "parse-names" : false, "suffix" : "" }, { "dropping-particle" : "", "family" : "Zhao", "given" : "Jane", "non-dropping-particle" : "", "parse-names" : false, "suffix" : "" }, { "dropping-particle" : "", "family" : "Brown", "given" : "David", "non-dropping-particle" : "", "parse-names" : false, "suffix" : "" } ], "container-title" : "Molecular cancer therapeutics", "id" : "ITEM-1", "issue" : "10", "issued" : { "date-parts" : [ [ "2014", "10", "22" ] ] }, "page" : "2352-60", "title" : "Systemic delivery of a miR34a mimic as a potential therapeutic for liver cancer.", "type" : "article-journal", "volume" : "13" }, "uris" : [ "http://www.mendeley.com/documents/?uuid=10215064-594e-4927-ac3a-b99cfc5b1e90" ] } ], "mendeley" : { "formattedCitation" : "(Daige et al., 2014)", "plainTextFormattedCitation" : "(Daige et al., 2014)", "previouslyFormattedCitation" : "(Daige et al., 2014)" }, "properties" : { "noteIndex" : 0 }, "schema" : "https://github.com/citation-style-language/schema/raw/master/csl-citation.json" }</w:instrText>
      </w:r>
      <w:r w:rsidR="00D705FF">
        <w:rPr>
          <w:rFonts w:ascii="Calibri" w:hAnsi="Calibri" w:cs="Arial"/>
        </w:rPr>
        <w:fldChar w:fldCharType="separate"/>
      </w:r>
      <w:r w:rsidR="00D705FF" w:rsidRPr="00D003CE">
        <w:rPr>
          <w:rFonts w:ascii="Calibri" w:hAnsi="Calibri" w:cs="Arial"/>
          <w:noProof/>
        </w:rPr>
        <w:t>(Daige et al., 2014)</w:t>
      </w:r>
      <w:r w:rsidR="00D705FF">
        <w:rPr>
          <w:rFonts w:ascii="Calibri" w:hAnsi="Calibri" w:cs="Arial"/>
        </w:rPr>
        <w:fldChar w:fldCharType="end"/>
      </w:r>
      <w:r w:rsidR="00D705FF">
        <w:rPr>
          <w:rFonts w:ascii="Calibri" w:hAnsi="Calibri" w:cs="Arial"/>
        </w:rPr>
        <w:t>. Presumably, this also enables evasion of TLR7/8 activation</w:t>
      </w:r>
      <w:r w:rsidR="00E7686F">
        <w:rPr>
          <w:rFonts w:ascii="Calibri" w:hAnsi="Calibri" w:cs="Arial"/>
        </w:rPr>
        <w:t xml:space="preserve">, but the impact of </w:t>
      </w:r>
      <w:r w:rsidR="00007E50">
        <w:rPr>
          <w:rFonts w:ascii="Calibri" w:hAnsi="Calibri" w:cs="Arial"/>
        </w:rPr>
        <w:t>skewing strand loading on the biological functions of the miR-34 passenger strand</w:t>
      </w:r>
      <w:r w:rsidR="00347B8D">
        <w:rPr>
          <w:rFonts w:ascii="Calibri" w:hAnsi="Calibri" w:cs="Arial"/>
        </w:rPr>
        <w:t xml:space="preserve"> have not been described. Importantly, this strand, designated miR-34-3p, appear to target</w:t>
      </w:r>
      <w:r w:rsidR="00007E50">
        <w:rPr>
          <w:rFonts w:ascii="Calibri" w:hAnsi="Calibri" w:cs="Arial"/>
        </w:rPr>
        <w:t xml:space="preserve"> the cell cycle and stem-ness regulator OCT4</w:t>
      </w:r>
      <w:r w:rsidR="00347B8D">
        <w:rPr>
          <w:rFonts w:ascii="Calibri" w:hAnsi="Calibri" w:cs="Arial"/>
        </w:rPr>
        <w:t xml:space="preserve"> </w:t>
      </w:r>
      <w:r w:rsidR="00347B8D">
        <w:rPr>
          <w:rFonts w:ascii="Calibri" w:hAnsi="Calibri" w:cs="Arial"/>
        </w:rPr>
        <w:fldChar w:fldCharType="begin" w:fldLock="1"/>
      </w:r>
      <w:r w:rsidR="00347B8D">
        <w:rPr>
          <w:rFonts w:ascii="Calibri" w:hAnsi="Calibri" w:cs="Arial"/>
        </w:rPr>
        <w:instrText>ADDIN CSL_CITATION { "citationItems" : [ { "id" : "ITEM-1", "itemData" : { "DOI" : "10.1038/cddis.2013.563", "ISSN" : "2041-4889", "PMID" : "24457968", "abstract" : "Human cell transformation is a key step for oncogenic development, which involves multiple pathways; however, the mechanism remains unclear. To test our hypothesis whether cell oncogenic transformation shares some mechanisms with the process of reprogramming non-stem cells to induced pluripotent stem cells (iPSC), we studied the relationship among the key factors for promoting or inhibiting iPSC in radiation-transformed human epithelial cell lines derived from different tissues (lung, breast and colon). We unexpectedly found that p63 and OCT4 were highly expressed (accompanied by low expressed p53 and miR-34a) in all transformed cell lines examined when compared with their non-transformed counterparts. We further elucidated the relationship of these factors: the 3p strand of miR-34a directly targeted OCT4 by binding to the 3' untranslated region (3'-UTR) of OCT4 and, OCT4, in turn, stimulated p63 but inhibited p53 expression by binding to a specific region of the p63 or p53 promoter. Moreover, we revealed that the effects of OCT4 on promoting cell oncogenic transformation were by affecting p63 and p53. These results support that a positive loop exists in human cells: OCT4 upregulation as a consequence of inhibition of miR-34a, promotes p63 but suppresses p53 expression, which further stimulates OCT4 upregulation by downregulating miR-34a. This functional loop contributes significantly to cell transformation and, most likely, also to the iPSC process.", "author" : [ { "dropping-particle" : "", "family" : "Ng", "given" : "W L", "non-dropping-particle" : "", "parse-names" : false, "suffix" : "" }, { "dropping-particle" : "", "family" : "Chen", "given" : "G", "non-dropping-particle" : "", "parse-names" : false, "suffix" : "" }, { "dropping-particle" : "", "family" : "Wang", "given" : "M", "non-dropping-particle" : "", "parse-names" : false, "suffix" : "" }, { "dropping-particle" : "", "family" : "Wang", "given" : "H", "non-dropping-particle" : "", "parse-names" : false, "suffix" : "" }, { "dropping-particle" : "", "family" : "Story", "given" : "M", "non-dropping-particle" : "", "parse-names" : false, "suffix" : "" }, { "dropping-particle" : "", "family" : "Shay", "given" : "J W", "non-dropping-particle" : "", "parse-names" : false, "suffix" : "" }, { "dropping-particle" : "", "family" : "Zhang", "given" : "X", "non-dropping-particle" : "", "parse-names" : false, "suffix" : "" }, { "dropping-particle" : "", "family" : "Wang", "given" : "J", "non-dropping-particle" : "", "parse-names" : false, "suffix" : "" }, { "dropping-particle" : "", "family" : "Amin", "given" : "A R M R", "non-dropping-particle" : "", "parse-names" : false, "suffix" : "" }, { "dropping-particle" : "", "family" : "Hu", "given" : "B", "non-dropping-particle" : "", "parse-names" : false, "suffix" : "" }, { "dropping-particle" : "", "family" : "Cucinotta", "given" : "F A", "non-dropping-particle" : "", "parse-names" : false, "suffix" : "" }, { "dropping-particle" : "", "family" : "Wang", "given" : "Y", "non-dropping-particle" : "", "parse-names" : false, "suffix" : "" } ], "container-title" : "Cell death &amp; disease", "id" : "ITEM-1", "issued" : { "date-parts" : [ [ "2014", "1", "23" ] ] }, "page" : "e1024", "publisher" : "Macmillan Publishers Limited", "title" : "OCT4 as a target of miR-34a stimulates p63 but inhibits p53 to promote human cell transformation.", "title-short" : "Cell Death Dis", "type" : "article-journal", "volume" : "5" }, "uris" : [ "http://www.mendeley.com/documents/?uuid=2f34e0d8-732b-4966-b033-bd8f0fa6f067" ] } ], "mendeley" : { "formattedCitation" : "(Ng et al., 2014)", "plainTextFormattedCitation" : "(Ng et al., 2014)", "previouslyFormattedCitation" : "(Ng et al., 2014)" }, "properties" : { "noteIndex" : 0 }, "schema" : "https://github.com/citation-style-language/schema/raw/master/csl-citation.json" }</w:instrText>
      </w:r>
      <w:r w:rsidR="00347B8D">
        <w:rPr>
          <w:rFonts w:ascii="Calibri" w:hAnsi="Calibri" w:cs="Arial"/>
        </w:rPr>
        <w:fldChar w:fldCharType="separate"/>
      </w:r>
      <w:r w:rsidR="00347B8D" w:rsidRPr="00007E50">
        <w:rPr>
          <w:rFonts w:ascii="Calibri" w:hAnsi="Calibri" w:cs="Arial"/>
          <w:noProof/>
        </w:rPr>
        <w:t>(Ng et al., 2014)</w:t>
      </w:r>
      <w:r w:rsidR="00347B8D">
        <w:rPr>
          <w:rFonts w:ascii="Calibri" w:hAnsi="Calibri" w:cs="Arial"/>
        </w:rPr>
        <w:fldChar w:fldCharType="end"/>
      </w:r>
      <w:r w:rsidR="00347B8D">
        <w:rPr>
          <w:rFonts w:ascii="Calibri" w:hAnsi="Calibri" w:cs="Arial"/>
        </w:rPr>
        <w:t xml:space="preserve"> and suppress apoptotic (</w:t>
      </w:r>
      <w:r w:rsidR="00347B8D" w:rsidRPr="00347B8D">
        <w:rPr>
          <w:rFonts w:ascii="Calibri" w:hAnsi="Calibri" w:cs="Arial"/>
          <w:i/>
        </w:rPr>
        <w:t>SP4</w:t>
      </w:r>
      <w:r w:rsidR="00347B8D">
        <w:rPr>
          <w:rFonts w:ascii="Calibri" w:hAnsi="Calibri" w:cs="Arial"/>
        </w:rPr>
        <w:t>) and immune (</w:t>
      </w:r>
      <w:r w:rsidR="00347B8D">
        <w:rPr>
          <w:rFonts w:ascii="Calibri" w:hAnsi="Calibri" w:cs="Arial"/>
          <w:i/>
        </w:rPr>
        <w:t>TNF</w:t>
      </w:r>
      <w:r w:rsidR="00347B8D">
        <w:rPr>
          <w:rFonts w:ascii="Calibri" w:hAnsi="Calibri" w:cs="Arial"/>
        </w:rPr>
        <w:t>)</w:t>
      </w:r>
      <w:r w:rsidR="00347B8D">
        <w:rPr>
          <w:rFonts w:ascii="Calibri" w:hAnsi="Calibri" w:cs="Arial"/>
          <w:i/>
        </w:rPr>
        <w:t xml:space="preserve"> </w:t>
      </w:r>
      <w:r w:rsidR="00347B8D">
        <w:rPr>
          <w:rFonts w:ascii="Calibri" w:hAnsi="Calibri" w:cs="Arial"/>
        </w:rPr>
        <w:t xml:space="preserve">transcripts </w:t>
      </w:r>
      <w:r w:rsidR="00347B8D">
        <w:rPr>
          <w:rFonts w:ascii="Calibri" w:hAnsi="Calibri" w:cs="Arial"/>
        </w:rPr>
        <w:fldChar w:fldCharType="begin" w:fldLock="1"/>
      </w:r>
      <w:r w:rsidR="00BF7CCB">
        <w:rPr>
          <w:rFonts w:ascii="Calibri" w:hAnsi="Calibri" w:cs="Arial"/>
        </w:rPr>
        <w:instrText>ADDIN CSL_CITATION { "citationItems" : [ { "id" : "ITEM-1", "itemData" : { "DOI" : "10.1261/rna.038968.113", "ISSN" : "1469-9001", "PMID" : "24249224", "abstract" : "Functional microRNAs (miRNAs) are produced from both arms of their precursors (pre-miRNAs). Their abundances vary in context-dependent fashion spatiotemporarily and there is mounting evidence of regulatory interplay between them. Here, we introduce chemically synthesized pre-miRNAs (syn-pre-miRNAs) as a general class of accessible, easily transfectable mimics of pre-miRNAs. These are RNA hairpins, identical in sequence to natural pre-miRNAs. They differ from commercially available miRNA mimics through their complete hairpin structure, including any regulatory elements in their terminal-loop regions and their potential to introduce both strands into RISC. They are distinguished from transcribed pre-miRNAs by their terminal 5' hydroxyl groups and their precisely defined terminal nucleotides. We demonstrate with several examples how they fully recapitulate the properties of pre-miRNAs, including their processing by Dicer into functionally active 5p; and 3p-derived mature miRNAs. We use syn-pre-miRNAs to show that miR-34a uses its 5p and 3p miRNAs in two pathways: apoptosis during TGF-\u03b2 signaling, where SIRT1 and SP4 are suppressed by miR-34a-5p and miR-34a-3p, respectively; and the lipopolysaccharide (LPS)-activation of primary human monocyte-derived macrophages, where TNF (TNF\u03b1) is suppressed by miR-34a-5p indirectly and miR-34a-3p directly. Our results add to growing evidence that the use of both arms of a miRNA may be a widely used mechanism. We further suggest that syn-pre-miRNAs are ideal and affordable tools to investigate these mechanisms.", "author" : [ { "dropping-particle" : "", "family" : "Guennewig", "given" : "Boris", "non-dropping-particle" : "", "parse-names" : false, "suffix" : "" }, { "dropping-particle" : "", "family" : "Roos", "given" : "Martina", "non-dropping-particle" : "", "parse-names" : false, "suffix" : "" }, { "dropping-particle" : "", "family" : "Dogar", "given" : "Afzal M", "non-dropping-particle" : "", "parse-names" : false, "suffix" : "" }, { "dropping-particle" : "", "family" : "Gebert", "given" : "Luca F R", "non-dropping-particle" : "", "parse-names" : false, "suffix" : "" }, { "dropping-particle" : "", "family" : "Zagalak", "given" : "Julian A", "non-dropping-particle" : "", "parse-names" : false, "suffix" : "" }, { "dropping-particle" : "", "family" : "Vongrad", "given" : "Valentina", "non-dropping-particle" : "", "parse-names" : false, "suffix" : "" }, { "dropping-particle" : "", "family" : "Metzner", "given" : "Karin J", "non-dropping-particle" : "", "parse-names" : false, "suffix" : "" }, { "dropping-particle" : "", "family" : "Hall", "given" : "Jonathan", "non-dropping-particle" : "", "parse-names" : false, "suffix" : "" } ], "container-title" : "RNA (New York, N.Y.)", "id" : "ITEM-1", "issue" : "1", "issued" : { "date-parts" : [ [ "2014", "1" ] ] }, "page" : "61-75", "title" : "Synthetic pre-microRNAs reveal dual-strand activity of miR-34a on TNF-\u03b1.", "type" : "article-journal", "volume" : "20" }, "uris" : [ "http://www.mendeley.com/documents/?uuid=38eff4d5-d9ff-4a84-82c0-b97210b669bc" ] } ], "mendeley" : { "formattedCitation" : "(Guennewig et al., 2014)", "plainTextFormattedCitation" : "(Guennewig et al., 2014)", "previouslyFormattedCitation" : "(Guennewig et al., 2014)" }, "properties" : { "noteIndex" : 0 }, "schema" : "https://github.com/citation-style-language/schema/raw/master/csl-citation.json" }</w:instrText>
      </w:r>
      <w:r w:rsidR="00347B8D">
        <w:rPr>
          <w:rFonts w:ascii="Calibri" w:hAnsi="Calibri" w:cs="Arial"/>
        </w:rPr>
        <w:fldChar w:fldCharType="separate"/>
      </w:r>
      <w:r w:rsidR="00347B8D" w:rsidRPr="00347B8D">
        <w:rPr>
          <w:rFonts w:ascii="Calibri" w:hAnsi="Calibri" w:cs="Arial"/>
          <w:noProof/>
        </w:rPr>
        <w:t>(Guennewig et al., 2014)</w:t>
      </w:r>
      <w:r w:rsidR="00347B8D">
        <w:rPr>
          <w:rFonts w:ascii="Calibri" w:hAnsi="Calibri" w:cs="Arial"/>
        </w:rPr>
        <w:fldChar w:fldCharType="end"/>
      </w:r>
      <w:r w:rsidR="00347B8D">
        <w:rPr>
          <w:rFonts w:ascii="Calibri" w:hAnsi="Calibri" w:cs="Arial"/>
        </w:rPr>
        <w:t>. Conversely</w:t>
      </w:r>
      <w:r w:rsidR="00D705FF">
        <w:rPr>
          <w:rFonts w:ascii="Calibri" w:hAnsi="Calibri" w:cs="Arial"/>
        </w:rPr>
        <w:t xml:space="preserve">, modified nucleotides are used in the 5’ ends of both strands of the miRNA-16 mimic TargomiRs </w:t>
      </w:r>
      <w:r w:rsidR="00D705FF">
        <w:rPr>
          <w:rFonts w:ascii="Calibri" w:hAnsi="Calibri" w:cs="Arial"/>
        </w:rPr>
        <w:fldChar w:fldCharType="begin" w:fldLock="1"/>
      </w:r>
      <w:r w:rsidR="00D705FF">
        <w:rPr>
          <w:rFonts w:ascii="Calibri" w:hAnsi="Calibri" w:cs="Arial"/>
        </w:rPr>
        <w:instrText>ADDIN CSL_CITATION { "citationItems" : [ { "id" : "ITEM-1", "itemData" : { "DOI" : "10.1093/annonc/mdt412", "ISSN" : "1569-8041", "PMID" : "24148817", "abstract" : "BACKGROUND: Malignant pleural mesothelioma (MPM) is recalcitrant to treatment and new approaches to therapy are needed. Reduced expression of miR-15/16 in a range of cancer types has suggested a tumour suppressor function for these microRNAs, and re-expression has been shown to inhibit tumour cell proliferation. The miR-15/16 status in MPM is largely unknown.\n\nMATERIALS AND METHODS: MicroRNA expression was analysed by TaqMan-based RT-qPCR in MPM tumour specimens and cell lines. MicroRNA expression was restored in vitro using microRNA mimics, and effects on proliferation, drug sensitivity and target gene expression were assessed. Xenograft-bearing mice were treated with miR-16 mimic packaged in minicells targeted with epidermal growth factor receptor (EGFR)-specific antibodies.\n\nRESULTS: Expression of the miR-15 family was consistently downregulated in MPM tumour specimens and cell lines. A decrease of 4- to 22-fold was found when tumour specimens were compared with normal pleura. When MPM cell lines were compared with the normal mesothelial cell line MeT-5A, the downregulation of miR-15/16 was 2- to 10-fold. Using synthetic mimics to restore miR-15/16 expression led to growth inhibition in MPM cell lines but not in MeT-5A cells. Growth inhibition caused by miR-16 correlated with downregulation of target genes including Bcl-2 and CCND1, and miR-16 re-expression sensitised MPM cells to pemetrexed and gemcitabine. In xenograft-bearing nude mice, intravenous administration of miR-16 mimics packaged in minicells led to consistent and dose-dependent inhibition of MPM tumour growth.\n\nCONCLUSIONS: The miR-15/16 family is downregulated and has tumour suppressor function in MPM. Restoring miR-16 expression represents a novel therapeutic approach for MPM.", "author" : [ { "dropping-particle" : "", "family" : "Reid", "given" : "G", "non-dropping-particle" : "", "parse-names" : false, "suffix" : "" }, { "dropping-particle" : "", "family" : "Pel", "given" : "M E", "non-dropping-particle" : "", "parse-names" : false, "suffix" : "" }, { "dropping-particle" : "", "family" : "Kirschner", "given" : "M B", "non-dropping-particle" : "", "parse-names" : false, "suffix" : "" }, { "dropping-particle" : "", "family" : "Cheng", "given" : "Y Y", "non-dropping-particle" : "", "parse-names" : false, "suffix" : "" }, { "dropping-particle" : "", "family" : "Mugridge", "given" : "N", "non-dropping-particle" : "", "parse-names" : false, "suffix" : "" }, { "dropping-particle" : "", "family" : "Weiss", "given" : "J", "non-dropping-particle" : "", "parse-names" : false, "suffix" : "" }, { "dropping-particle" : "", "family" : "Williams", "given" : "M", "non-dropping-particle" : "", "parse-names" : false, "suffix" : "" }, { "dropping-particle" : "", "family" : "Wright", "given" : "C", "non-dropping-particle" : "", "parse-names" : false, "suffix" : "" }, { "dropping-particle" : "", "family" : "Edelman", "given" : "J J B", "non-dropping-particle" : "", "parse-names" : false, "suffix" : "" }, { "dropping-particle" : "", "family" : "Vallely", "given" : "M P", "non-dropping-particle" : "", "parse-names" : false, "suffix" : "" }, { "dropping-particle" : "", "family" : "McCaughan", "given" : "B C", "non-dropping-particle" : "", "parse-names" : false, "suffix" : "" }, { "dropping-particle" : "", "family" : "Klebe", "given" : "S", "non-dropping-particle" : "", "parse-names" : false, "suffix" : "" }, { "dropping-particle" : "", "family" : "Brahmbhatt", "given" : "H", "non-dropping-particle" : "", "parse-names" : false, "suffix" : "" }, { "dropping-particle" : "", "family" : "MacDiarmid", "given" : "J A", "non-dropping-particle" : "", "parse-names" : false, "suffix" : "" }, { "dropping-particle" : "", "family" : "Zandwijk", "given" : "N", "non-dropping-particle" : "van", "parse-names" : false, "suffix" : "" } ], "container-title" : "Annals of oncology : official journal of the European Society for Medical Oncology / ESMO", "id" : "ITEM-1", "issue" : "12", "issued" : { "date-parts" : [ [ "2013", "12", "1" ] ] }, "page" : "3128-35", "title" : "Restoring expression of miR-16: a novel approach to therapy for malignant pleural mesothelioma.", "type" : "article-journal", "volume" : "24" }, "uris" : [ "http://www.mendeley.com/documents/?uuid=94294a42-ce58-410a-8089-ade8501d7145" ] } ], "mendeley" : { "formattedCitation" : "(Reid et al., 2013)", "plainTextFormattedCitation" : "(Reid et al., 2013)", "previouslyFormattedCitation" : "(Reid et al., 2013)" }, "properties" : { "noteIndex" : 0 }, "schema" : "https://github.com/citation-style-language/schema/raw/master/csl-citation.json" }</w:instrText>
      </w:r>
      <w:r w:rsidR="00D705FF">
        <w:rPr>
          <w:rFonts w:ascii="Calibri" w:hAnsi="Calibri" w:cs="Arial"/>
        </w:rPr>
        <w:fldChar w:fldCharType="separate"/>
      </w:r>
      <w:r w:rsidR="00D705FF" w:rsidRPr="00F63040">
        <w:rPr>
          <w:rFonts w:ascii="Calibri" w:hAnsi="Calibri" w:cs="Arial"/>
          <w:noProof/>
        </w:rPr>
        <w:t>(Reid et al., 2013)</w:t>
      </w:r>
      <w:r w:rsidR="00D705FF">
        <w:rPr>
          <w:rFonts w:ascii="Calibri" w:hAnsi="Calibri" w:cs="Arial"/>
        </w:rPr>
        <w:fldChar w:fldCharType="end"/>
      </w:r>
      <w:r w:rsidR="00D705FF">
        <w:rPr>
          <w:rFonts w:ascii="Calibri" w:hAnsi="Calibri" w:cs="Arial"/>
        </w:rPr>
        <w:t xml:space="preserve">, i.e. within the seed sequence </w:t>
      </w:r>
      <w:r w:rsidR="00D705FF">
        <w:rPr>
          <w:rFonts w:ascii="Calibri" w:hAnsi="Calibri" w:cs="Arial"/>
        </w:rPr>
        <w:fldChar w:fldCharType="begin" w:fldLock="1"/>
      </w:r>
      <w:r w:rsidR="00D705FF">
        <w:rPr>
          <w:rFonts w:ascii="Calibri" w:hAnsi="Calibri" w:cs="Arial"/>
        </w:rPr>
        <w:instrText>ADDIN CSL_CITATION { "citationItems" : [ { "id" : "ITEM-1", "itemData" : { "DOI" : "10.1261/rna.28106", "ISSN" : "1355-8382", "PMID" : "16682561", "abstract" : "Although recent microarray studies have provided evidence of RNA interference (RNAi)-mediated off-target gene modulation, little is known about whether these changes induce observable phenotypic outcomes. Here we show that a fraction of randomly selected small inhibitory RNAs (siRNAs) can induce changes in cell viability in a target-independent fashion. The observed toxicity requires an intact RNAi pathway and can be eliminated by the addition of chemical modifications that reduce off-target effects. Furthermore, an analysis of toxic and nontoxic duplexes identifies a strong correlation between the toxicity and the presence of a 4-base-pair motif (UGGC) in the RISC-entering strand of toxic siRNA. This article provides further evidence of siRNA-induced off-target effects generating a measurable phenotype and also provides an example of how such undesirable phenotypes can be mitigated by addition of chemical modifications to the siRNA.", "author" : [ { "dropping-particle" : "", "family" : "Fedorov", "given" : "Yuriy", "non-dropping-particle" : "", "parse-names" : false, "suffix" : "" }, { "dropping-particle" : "", "family" : "Anderson", "given" : "Emily M", "non-dropping-particle" : "", "parse-names" : false, "suffix" : "" }, { "dropping-particle" : "", "family" : "Birmingham", "given" : "Amanda", "non-dropping-particle" : "", "parse-names" : false, "suffix" : "" }, { "dropping-particle" : "", "family" : "Reynolds", "given" : "Angela", "non-dropping-particle" : "", "parse-names" : false, "suffix" : "" }, { "dropping-particle" : "", "family" : "Karpilow", "given" : "Jon", "non-dropping-particle" : "", "parse-names" : false, "suffix" : "" }, { "dropping-particle" : "", "family" : "Robinson", "given" : "Kathryn", "non-dropping-particle" : "", "parse-names" : false, "suffix" : "" }, { "dropping-particle" : "", "family" : "Leake", "given" : "Devin", "non-dropping-particle" : "", "parse-names" : false, "suffix" : "" }, { "dropping-particle" : "", "family" : "Marshall", "given" : "William S", "non-dropping-particle" : "", "parse-names" : false, "suffix" : "" }, { "dropping-particle" : "", "family" : "Khvorova", "given" : "Anastasia", "non-dropping-particle" : "", "parse-names" : false, "suffix" : "" } ], "container-title" : "RNA (New York, N.Y.)", "id" : "ITEM-1", "issue" : "7", "issued" : { "date-parts" : [ [ "2006", "7" ] ] }, "page" : "1188-96", "title" : "Off-target effects by siRNA can induce toxic phenotype.", "type" : "article-journal", "volume" : "12" }, "uris" : [ "http://www.mendeley.com/documents/?uuid=6639b0a4-a603-4b99-97dc-6c71c72b7a71" ] }, { "id" : "ITEM-2", "itemData" : { "DOI" : "10.1261/rna.30706", "ISSN" : "1355-8382", "PMID" : "16682562", "abstract" : "Transfected siRNAs regulate numerous transcripts sharing limited complementarity to the RNA duplex. This unintended (\"off-target\") silencing can hinder the use of RNAi to define gene function. Here we describe position-specific, sequence-independent chemical modifications that reduced silencing of partially complementary transcripts by all siRNAs tested. Silencing of perfectly matched targets was unaffected by these modifications. The chemical modification also reduced off-target phenotypes in growth inhibition studies. Key to the modification was 2'-O-methyl ribosyl substitution at position 2 in the guide strand, which reduced silencing of most off-target transcripts with complementarity to the seed region of the siRNA guide strand. The sharp position dependence of 2'-O-methyl ribosyl modification contrasts with the broader position dependence of base-pair substitutions within the seed region, suggesting a role for position 2 of the guide strand distinct from its effects on pairing to target transcripts.", "author" : [ { "dropping-particle" : "", "family" : "Jackson", "given" : "Aimee L", "non-dropping-particle" : "", "parse-names" : false, "suffix" : "" }, { "dropping-particle" : "", "family" : "Burchard", "given" : "Julja", "non-dropping-particle" : "", "parse-names" : false, "suffix" : "" }, { "dropping-particle" : "", "family" : "Leake", "given" : "Devin", "non-dropping-particle" : "", "parse-names" : false, "suffix" : "" }, { "dropping-particle" : "", "family" : "Reynolds", "given" : "Angela", "non-dropping-particle" : "", "parse-names" : false, "suffix" : "" }, { "dropping-particle" : "", "family" : "Schelter", "given" : "Janell", "non-dropping-particle" : "", "parse-names" : false, "suffix" : "" }, { "dropping-particle" : "", "family" : "Guo", "given" : "Jie", "non-dropping-particle" : "", "parse-names" : false, "suffix" : "" }, { "dropping-particle" : "", "family" : "Johnson", "given" : "Jason M", "non-dropping-particle" : "", "parse-names" : false, "suffix" : "" }, { "dropping-particle" : "", "family" : "Lim", "given" : "Lee", "non-dropping-particle" : "", "parse-names" : false, "suffix" : "" }, { "dropping-particle" : "", "family" : "Karpilow", "given" : "Jon", "non-dropping-particle" : "", "parse-names" : false, "suffix" : "" }, { "dropping-particle" : "", "family" : "Nichols", "given" : "Kim", "non-dropping-particle" : "", "parse-names" : false, "suffix" : "" }, { "dropping-particle" : "", "family" : "Marshall", "given" : "William", "non-dropping-particle" : "", "parse-names" : false, "suffix" : "" }, { "dropping-particle" : "", "family" : "Khvorova", "given" : "Anastasia", "non-dropping-particle" : "", "parse-names" : false, "suffix" : "" }, { "dropping-particle" : "", "family" : "Linsley", "given" : "Peter S", "non-dropping-particle" : "", "parse-names" : false, "suffix" : "" } ], "container-title" : "RNA (New York, N.Y.)", "id" : "ITEM-2", "issue" : "7", "issued" : { "date-parts" : [ [ "2006", "7", "1" ] ] }, "page" : "1197-205", "title" : "Position-specific chemical modification of siRNAs reduces \"off-target\" transcript silencing.", "type" : "article-journal", "volume" : "12" }, "uris" : [ "http://www.mendeley.com/documents/?uuid=bb2f81b5-23bd-45b0-8802-e9e81a0b5128" ] } ], "mendeley" : { "formattedCitation" : "(Fedorov et al., 2006; Jackson et al., 2006)", "plainTextFormattedCitation" : "(Fedorov et al., 2006; Jackson et al., 2006)", "previouslyFormattedCitation" : "(Fedorov et al., 2006; Jackson et al., 2006)" }, "properties" : { "noteIndex" : 0 }, "schema" : "https://github.com/citation-style-language/schema/raw/master/csl-citation.json" }</w:instrText>
      </w:r>
      <w:r w:rsidR="00D705FF">
        <w:rPr>
          <w:rFonts w:ascii="Calibri" w:hAnsi="Calibri" w:cs="Arial"/>
        </w:rPr>
        <w:fldChar w:fldCharType="separate"/>
      </w:r>
      <w:r w:rsidR="00D705FF" w:rsidRPr="00963022">
        <w:rPr>
          <w:rFonts w:ascii="Calibri" w:hAnsi="Calibri" w:cs="Arial"/>
          <w:noProof/>
        </w:rPr>
        <w:t>(Fedorov et al., 2006; Jackson et al., 2006)</w:t>
      </w:r>
      <w:r w:rsidR="00D705FF">
        <w:rPr>
          <w:rFonts w:ascii="Calibri" w:hAnsi="Calibri" w:cs="Arial"/>
        </w:rPr>
        <w:fldChar w:fldCharType="end"/>
      </w:r>
      <w:r w:rsidR="00007E50">
        <w:rPr>
          <w:rFonts w:ascii="Calibri" w:hAnsi="Calibri" w:cs="Arial"/>
        </w:rPr>
        <w:t>.</w:t>
      </w:r>
      <w:r w:rsidR="00E7686F">
        <w:rPr>
          <w:rFonts w:ascii="Calibri" w:hAnsi="Calibri" w:cs="Arial"/>
        </w:rPr>
        <w:t xml:space="preserve"> </w:t>
      </w:r>
      <w:r w:rsidR="00007E50">
        <w:rPr>
          <w:rFonts w:ascii="Calibri" w:hAnsi="Calibri" w:cs="Arial"/>
        </w:rPr>
        <w:t>Here,</w:t>
      </w:r>
      <w:r w:rsidR="00E7686F">
        <w:rPr>
          <w:rFonts w:ascii="Calibri" w:hAnsi="Calibri" w:cs="Arial"/>
        </w:rPr>
        <w:t xml:space="preserve"> the effects on isomiR levels</w:t>
      </w:r>
      <w:r w:rsidR="00007E50">
        <w:rPr>
          <w:rFonts w:ascii="Calibri" w:hAnsi="Calibri" w:cs="Arial"/>
        </w:rPr>
        <w:t xml:space="preserve"> and MRE engagement as a result of these modifications</w:t>
      </w:r>
      <w:r w:rsidR="00E7686F">
        <w:rPr>
          <w:rFonts w:ascii="Calibri" w:hAnsi="Calibri" w:cs="Arial"/>
        </w:rPr>
        <w:t xml:space="preserve"> are unclear</w:t>
      </w:r>
      <w:r w:rsidR="00D705FF" w:rsidRPr="00C4343E">
        <w:rPr>
          <w:rFonts w:ascii="Calibri" w:hAnsi="Calibri" w:cs="Arial"/>
        </w:rPr>
        <w:t>.</w:t>
      </w:r>
      <w:r w:rsidR="00D705FF">
        <w:rPr>
          <w:rFonts w:ascii="Calibri" w:hAnsi="Calibri" w:cs="Arial"/>
        </w:rPr>
        <w:t xml:space="preserve"> </w:t>
      </w:r>
    </w:p>
    <w:p w14:paraId="5721EF5A" w14:textId="77777777" w:rsidR="00CA7DA2" w:rsidRDefault="00CA7DA2" w:rsidP="005837A4">
      <w:pPr>
        <w:spacing w:line="480" w:lineRule="auto"/>
        <w:jc w:val="both"/>
        <w:rPr>
          <w:rFonts w:ascii="Calibri" w:hAnsi="Calibri" w:cs="Arial"/>
        </w:rPr>
      </w:pPr>
    </w:p>
    <w:p w14:paraId="1F1163DC" w14:textId="61E6323B" w:rsidR="00D705FF" w:rsidRDefault="00D705FF" w:rsidP="005837A4">
      <w:pPr>
        <w:spacing w:line="480" w:lineRule="auto"/>
        <w:jc w:val="both"/>
        <w:rPr>
          <w:rFonts w:ascii="Calibri" w:hAnsi="Calibri" w:cs="Arial"/>
        </w:rPr>
      </w:pPr>
      <w:r>
        <w:rPr>
          <w:rFonts w:ascii="Calibri" w:hAnsi="Calibri" w:cs="Arial"/>
        </w:rPr>
        <w:t xml:space="preserve">Are TLR’s 3, 7 and 8 the only concerns of the community? Natural killer cell activation has also been reported with synthetic miRNA analogues both </w:t>
      </w:r>
      <w:r>
        <w:rPr>
          <w:rFonts w:ascii="Calibri" w:hAnsi="Calibri" w:cs="Arial"/>
          <w:i/>
        </w:rPr>
        <w:t xml:space="preserve">in vitro </w:t>
      </w:r>
      <w:r>
        <w:rPr>
          <w:rFonts w:ascii="Calibri" w:hAnsi="Calibri" w:cs="Arial"/>
        </w:rPr>
        <w:t xml:space="preserve">and </w:t>
      </w:r>
      <w:r>
        <w:rPr>
          <w:rFonts w:ascii="Calibri" w:hAnsi="Calibri" w:cs="Arial"/>
          <w:i/>
        </w:rPr>
        <w:t>in vivo</w:t>
      </w:r>
      <w:r>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"10.1182/blood-2012-07-441360", "ISSN" : "1528-0020", "PMID" : "23580661", "abstract" : "MicroRNAs (miRNAs) bind to complementary sequences of target mRNAs, resulting in translational repression or target degradation and thus gene silencing. miRNAs are abundant in circulating blood, yet it is not known whether, as a class of regulatory molecules, they interact with human natural killer (NK) cells. Here we found that the treatment of human NK cells with several mature miRNAs in the presence of a low concentration of interleukin-12 induced CD69 expression, interferon-\u03b3 production, and degranulation marker CD107a expression. In vivo, infusion of several miRNAs alone in murine peripheral blood also resulted in comparable NK-cell activation, but not T-cell activation. Furthermore, miRNA administration significantly protected mice from tumor development in an NK cell-dependent manner. Mechanistically, we found that miRNA stimulation led to downstream activation of nuclear factor \u03baB (NF-\u03baB), an effect that was blunted by a block in Toll-like receptor 1(TLR1) signaling and attenuated in lymphoma patients. Knockdown of TLR1 resulted in less activation by miRNAs. Collectively, we show that miRNAs have a capacity to selectively activate innate immune effector cells that is, at least in part, via the TLR1-NF-\u03baB signaling pathway. This may be important in the normal host defense against infection and/or malignant transformation.", "author" : [ { "dropping-particle" : "", "family" : "He", "given" : "Shun", "non-dropping-particle" : "", "parse-names" : false, "suffix" : "" }, { "dropping-particle" : "", "family" : "Chu", "given" : "Jianhong", "non-dropping-particle" : "", "parse-names" : false, "suffix" : "" }, { "dropping-particle" : "", "family" : "Wu", "given" : "Lai-Chu", "non-dropping-particle" : "", "parse-names" : false, "suffix" : "" }, { "dropping-particle" : "", "family" : "Mao", "given" : "Hsiaoyin", "non-dropping-particle" : "", "parse-names" : false, "suffix" : "" }, { "dropping-particle" : "", "family" : "Peng", "given" : "Yong", "non-dropping-particle" : "", "parse-names" : false, "suffix" : "" }, { "dropping-particle" : "", "family" : "Alvarez-Breckenridge", "given" : "Christopher A", "non-dropping-particle" : "", "parse-names" : false, "suffix" : "" }, { "dropping-particle" : "", "family" : "Hughes", "given" : "Tiffany", "non-dropping-particle" : "", "parse-names" : false, "suffix" : "" }, { "dropping-particle" : "", "family" : "Wei", "given" : "Min", "non-dropping-particle" : "", "parse-names" : false, "suffix" : "" }, { "dropping-particle" : "", "family" : "Zhang", "given" : "Jianying", "non-dropping-particle" : "", "parse-names" : false, "suffix" : "" }, { "dropping-particle" : "", "family" : "Yuan", "given" : "Shunzong", "non-dropping-particle" : "", "parse-names" : false, "suffix" : "" }, { "dropping-particle" : "", "family" : "Sandhu", "given" : "Sumeet", "non-dropping-particle" : "", "parse-names" : false, "suffix" : "" }, { "dropping-particle" : "", "family" : "Vasu", "given" : "Sumithira", "non-dropping-particle" : "", "parse-names" : false, "suffix" : "" }, { "dropping-particle" : "", "family" : "Benson", "given" : "Don M", "non-dropping-particle" : "", "parse-names" : false, "suffix" : "" }, { "dropping-particle" : "", "family" : "Hofmeister", "given" : "Craig C", "non-dropping-particle" : "", "parse-names" : false, "suffix" : "" }, { "dropping-particle" : "", "family" : "He", "given" : "Xiaoming", "non-dropping-particle" : "", "parse-names" : false, "suffix" : "" }, { "dropping-particle" : "", "family" : "Ghoshal", "given" : "Kalpana", "non-dropping-particle" : "", "parse-names" : false, "suffix" : "" }, { "dropping-particle" : "", "family" : "Devine", "given" : "Steven M", "non-dropping-particle" : "", "parse-names" : false, "suffix" : "" }, { "dropping-particle" : "", "family" : "Caligiuri", "given" : "Michael A", "non-dropping-particle" : "", "parse-names" : false, "suffix" : "" }, { "dropping-particle" : "", "family" : "Yu", "given" : "Jianhua", "non-dropping-particle" : "", "parse-names" : false, "suffix" : "" } ], "container-title" : "Blood", "id" : "ITEM-1", "issue" : "23", "issued" : { "date-parts" : [ [ "2013", "6", "6" ] ] }, "page" : "4663-71", "title" : "MicroRNAs activate natural killer cells through Toll-like receptor signaling.", "type" : "article-journal", "volume" : "121" }, "uris" : [ "http://www.mendeley.com/documents/?uuid=721c6926-06c3-4e2e-894f-1c996448cb31" ] } ], "mendeley" : { "formattedCitation" : "(S. He et al., 2013)", "plainTextFormattedCitation" : "(S. He et al., 2013)", "previouslyFormattedCitation" : "(S. He et al., 2013)" }, "properties" : { "noteIndex" : 0 }, "schema" : "https://github.com/citation-style-language/schema/raw/master/csl-citation.json" }</w:instrText>
      </w:r>
      <w:r>
        <w:rPr>
          <w:rFonts w:ascii="Calibri" w:hAnsi="Calibri" w:cs="Arial"/>
        </w:rPr>
        <w:fldChar w:fldCharType="separate"/>
      </w:r>
      <w:r w:rsidRPr="00B60782">
        <w:rPr>
          <w:rFonts w:ascii="Calibri" w:hAnsi="Calibri" w:cs="Arial"/>
          <w:noProof/>
        </w:rPr>
        <w:t>(S. He et al., 2013)</w:t>
      </w:r>
      <w:r>
        <w:rPr>
          <w:rFonts w:ascii="Calibri" w:hAnsi="Calibri" w:cs="Arial"/>
        </w:rPr>
        <w:fldChar w:fldCharType="end"/>
      </w:r>
      <w:r>
        <w:rPr>
          <w:rFonts w:ascii="Calibri" w:hAnsi="Calibri" w:cs="Arial"/>
        </w:rPr>
        <w:t xml:space="preserve">. Importantly, this report is unusual as the toll-like receptor implicated, TLR1, is not </w:t>
      </w:r>
      <w:r>
        <w:rPr>
          <w:rFonts w:ascii="Calibri" w:hAnsi="Calibri" w:cs="Arial"/>
        </w:rPr>
        <w:lastRenderedPageBreak/>
        <w:t>understood to be a (oligo)nucleotide pattern recognition receptor. Further studies are urgently needed.</w:t>
      </w:r>
      <w:r w:rsidRPr="00281F68">
        <w:rPr>
          <w:rFonts w:ascii="Calibri" w:hAnsi="Calibri" w:cs="Arial"/>
        </w:rPr>
        <w:t xml:space="preserve"> </w:t>
      </w:r>
    </w:p>
    <w:p w14:paraId="03C0C911" w14:textId="77777777" w:rsidR="00CA7DA2" w:rsidRDefault="00CA7DA2" w:rsidP="005837A4">
      <w:pPr>
        <w:spacing w:line="480" w:lineRule="auto"/>
        <w:jc w:val="both"/>
        <w:rPr>
          <w:rFonts w:ascii="Calibri" w:hAnsi="Calibri" w:cs="Arial"/>
        </w:rPr>
      </w:pPr>
    </w:p>
    <w:p w14:paraId="0CD726C4" w14:textId="77777777" w:rsidR="008D4EFF" w:rsidRDefault="00007E50" w:rsidP="005837A4">
      <w:pPr>
        <w:spacing w:line="480" w:lineRule="auto"/>
        <w:jc w:val="both"/>
        <w:rPr>
          <w:rFonts w:ascii="Calibri" w:hAnsi="Calibri" w:cs="Arial"/>
        </w:rPr>
      </w:pPr>
      <w:r>
        <w:rPr>
          <w:rFonts w:ascii="Calibri" w:hAnsi="Calibri" w:cs="Arial"/>
        </w:rPr>
        <w:t>An alternative</w:t>
      </w:r>
      <w:r w:rsidR="00D705FF" w:rsidRPr="00C46CAB">
        <w:rPr>
          <w:rFonts w:ascii="Calibri" w:hAnsi="Calibri" w:cs="Arial"/>
        </w:rPr>
        <w:t xml:space="preserve"> solution proposed to circumvent </w:t>
      </w:r>
      <w:r w:rsidR="00D705FF">
        <w:rPr>
          <w:rFonts w:ascii="Calibri" w:hAnsi="Calibri" w:cs="Arial"/>
        </w:rPr>
        <w:t>immune receptor</w:t>
      </w:r>
      <w:r w:rsidR="00D705FF" w:rsidRPr="00C46CAB">
        <w:rPr>
          <w:rFonts w:ascii="Calibri" w:hAnsi="Calibri" w:cs="Arial"/>
        </w:rPr>
        <w:t xml:space="preserve"> activation has involved the use of corticosteroid inhibitors of TLR signaling </w:t>
      </w:r>
      <w:r w:rsidR="00D705FF" w:rsidRPr="00C46CAB">
        <w:rPr>
          <w:rFonts w:ascii="Calibri" w:hAnsi="Calibri" w:cs="Arial"/>
        </w:rPr>
        <w:fldChar w:fldCharType="begin" w:fldLock="1"/>
      </w:r>
      <w:r w:rsidR="00C8187C">
        <w:rPr>
          <w:rFonts w:ascii="Calibri" w:hAnsi="Calibri" w:cs="Arial"/>
        </w:rPr>
        <w:instrText>ADDIN CSL_CITATION { "citationItems" : [ { "id" : "ITEM-1", "itemData" : { "DOI" : "10.1164/rccm.201003-0422OC", "ISSN" : "1535-4970", "PMID" : "20851929", "abstract" : "RATIONALE: Lower respiratory tract infections due to respiratory syncytial virus (RSV) are associated with development of bronchiolitis obliterans syndrome in lung transplant (LTX) recipients. ALN-RSV01 is a small interfering RNA targeting RSV replication.\n\nOBJECTIVES: To determine the safety and explore the efficacy of ALN-RSV01 in RSV infection.\n\nMETHODS: We performed a randomized, double-blind, placebo-controlled trial in LTX recipients with RSV respiratory tract infection. Patients were permitted to receive standard of care for RSV. Aerosolized ALN-RSV01 (0.6 mg/kg) or placebo was administered daily for 3 days. Viral load was determined by quantitative reverse transcriptase-polymerase chain reaction on serial nasal swabs. Patients completed symptom score cards twice daily. Lung function, including the incidence of new-onset or progressive bronchiolitis obliterans syndrome, was recorded at Day 90.\n\nMEASUREMENTS AND MAIN RESULTS: We enrolled 24 patients (ALN-RSV01, n = 16; placebo, n = 8); randomization was stratified by ribavirin use. ALN-RSV01 was well tolerated, with no drug-related serious adverse events or post-inhalation perturbations in lung function. Interpretation of viral measures was confounded by baseline differences between the two groups in viral load and time from symptom onset to first dose. Mean daily symptom scores were lower in subjects receiving ALN-RSV01, and the mean cumulative daily total symptom score was significantly lower with ALN-RSV01 (114.7 \u00b1 63.13 vs. 189.3 \u00b1 99.59, P = 0.035). At Day 90, incidence of new or progressive bronchiolitis obliterans syndrome was significantly reduced in ALN-RSV01 recipients compared with placebo (6.3% vs. 50%, P = 0.027).\n\nCONCLUSIONS: ALN-RSV01 was safe and may have beneficial effects on long-term allograft function in LTX patients infected with RSV. Clinical trial registered with www.clinicaltrials.gov (NCT 00658086).", "author" : [ { "dropping-particle" : "", "family" : "Zamora", "given" : "Martin R", "non-dropping-particle" : "", "parse-names" : false, "suffix" : "" }, { "dropping-particle" : "", "family" : "Budev", "given" : "Marie", "non-dropping-particle" : "", "parse-names" : false, "suffix" : "" }, { "dropping-particle" : "", "family" : "Rolfe", "given" : "Mark", "non-dropping-particle" : "", "parse-names" : false, "suffix" : "" }, { "dropping-particle" : "", "family" : "Gottlieb", "given" : "Jens", "non-dropping-particle" : "", "parse-names" : false, "suffix" : "" }, { "dropping-particle" : "", "family" : "Humar", "given" : "Atul", "non-dropping-particle" : "", "parse-names" : false, "suffix" : "" }, { "dropping-particle" : "", "family" : "Devincenzo", "given" : "John", "non-dropping-particle" : "", "parse-names" : false, "suffix" : "" }, { "dropping-particle" : "", "family" : "Vaishnaw", "given" : "Akshay", "non-dropping-particle" : "", "parse-names" : false, "suffix" : "" }, { "dropping-particle" : "", "family" : "Cehelsky", "given" : "Jeffrey", "non-dropping-particle" : "", "parse-names" : false, "suffix" : "" }, { "dropping-particle" : "", "family" : "Albert", "given" : "Gary", "non-dropping-particle" : "", "parse-names" : false, "suffix" : "" }, { "dropping-particle" : "", "family" : "Nochur", "given" : "Sara", "non-dropping-particle" : "", "parse-names" : false, "suffix" : "" }, { "dropping-particle" : "", "family" : "Gollob", "given" : "Jared A", "non-dropping-particle" : "", "parse-names" : false, "suffix" : "" }, { "dropping-particle" : "", "family" : "Glanville", "given" : "Allan R", "non-dropping-particle" : "", "parse-names" : false, "suffix" : "" } ], "container-title" : "American journal of respiratory and critical care medicine", "id" : "ITEM-1", "issue" : "4", "issued" : { "date-parts" : [ [ "2011", "2", "15" ] ] }, "page" : "531-8", "title" : "RNA interference therapy in lung transplant patients infected with respiratory syncytial virus.", "type" : "article-journal", "volume" : "183" }, "uris" : [ "http://www.mendeley.com/documents/?uuid=a96da741-5846-47bf-8e6d-c1525245fc1a", "http://www.mendeley.com/documents/?uuid=c629f185-ed6f-4467-9866-eecfa1d01923" ] } ], "mendeley" : { "formattedCitation" : "(Zamora et al., 2011b)", "plainTextFormattedCitation" : "(Zamora et al., 2011b)", "previouslyFormattedCitation" : "(Zamora et al., 2011b)" }, "properties" : { "noteIndex" : 0 }, "schema" : "https://github.com/citation-style-language/schema/raw/master/csl-citation.json" }</w:instrText>
      </w:r>
      <w:r w:rsidR="00D705FF" w:rsidRPr="00C46CAB">
        <w:rPr>
          <w:rFonts w:ascii="Calibri" w:hAnsi="Calibri" w:cs="Arial"/>
        </w:rPr>
        <w:fldChar w:fldCharType="separate"/>
      </w:r>
      <w:r w:rsidR="002A25D9" w:rsidRPr="002A25D9">
        <w:rPr>
          <w:rFonts w:ascii="Calibri" w:hAnsi="Calibri" w:cs="Arial"/>
          <w:noProof/>
        </w:rPr>
        <w:t>(Zamora et al., 2011b)</w:t>
      </w:r>
      <w:r w:rsidR="00D705FF" w:rsidRPr="00C46CAB">
        <w:rPr>
          <w:rFonts w:ascii="Calibri" w:hAnsi="Calibri" w:cs="Arial"/>
        </w:rPr>
        <w:fldChar w:fldCharType="end"/>
      </w:r>
      <w:r w:rsidR="00D705FF" w:rsidRPr="00C46CAB">
        <w:rPr>
          <w:rFonts w:ascii="Calibri" w:hAnsi="Calibri" w:cs="Arial"/>
        </w:rPr>
        <w:t>. This might be questionable for some indications</w:t>
      </w:r>
      <w:r>
        <w:rPr>
          <w:rFonts w:ascii="Calibri" w:hAnsi="Calibri" w:cs="Arial"/>
        </w:rPr>
        <w:t>,</w:t>
      </w:r>
      <w:r w:rsidR="00D705FF">
        <w:rPr>
          <w:rFonts w:ascii="Calibri" w:hAnsi="Calibri" w:cs="Arial"/>
        </w:rPr>
        <w:t xml:space="preserve"> but</w:t>
      </w:r>
      <w:r w:rsidR="00D705FF" w:rsidRPr="00C46CAB">
        <w:rPr>
          <w:rFonts w:ascii="Calibri" w:hAnsi="Calibri" w:cs="Arial"/>
        </w:rPr>
        <w:t xml:space="preserve"> can be advantageous in asthma, chronic obstructive pulmonary disease, sarcoidosis and acute lung injury where corticosteroid treatment is recommended, </w:t>
      </w:r>
      <w:r w:rsidR="00D705FF">
        <w:rPr>
          <w:rFonts w:ascii="Calibri" w:hAnsi="Calibri" w:cs="Arial"/>
        </w:rPr>
        <w:t xml:space="preserve">or even pulmonary fibrosis </w:t>
      </w:r>
      <w:r>
        <w:rPr>
          <w:rFonts w:ascii="Calibri" w:hAnsi="Calibri" w:cs="Arial"/>
        </w:rPr>
        <w:t>where</w:t>
      </w:r>
      <w:r w:rsidR="004B3032">
        <w:rPr>
          <w:rFonts w:ascii="Calibri" w:hAnsi="Calibri" w:cs="Arial"/>
        </w:rPr>
        <w:t xml:space="preserve"> unnecessary</w:t>
      </w:r>
      <w:r w:rsidR="00D705FF">
        <w:rPr>
          <w:rFonts w:ascii="Calibri" w:hAnsi="Calibri" w:cs="Arial"/>
        </w:rPr>
        <w:t xml:space="preserve"> habitual </w:t>
      </w:r>
      <w:r>
        <w:rPr>
          <w:rFonts w:ascii="Calibri" w:hAnsi="Calibri" w:cs="Arial"/>
        </w:rPr>
        <w:t>prescription is reported</w:t>
      </w:r>
      <w:r w:rsidR="00D705FF">
        <w:rPr>
          <w:rFonts w:ascii="Calibri" w:hAnsi="Calibri" w:cs="Arial"/>
        </w:rPr>
        <w:t xml:space="preserve"> </w:t>
      </w:r>
      <w:r w:rsidR="00D705FF" w:rsidRPr="00C46CAB">
        <w:rPr>
          <w:rFonts w:ascii="Calibri" w:hAnsi="Calibri" w:cs="Arial"/>
        </w:rPr>
        <w:fldChar w:fldCharType="begin" w:fldLock="1"/>
      </w:r>
      <w:r w:rsidR="00D705FF" w:rsidRPr="00C46CAB">
        <w:rPr>
          <w:rFonts w:ascii="Calibri" w:hAnsi="Calibri" w:cs="Arial"/>
        </w:rPr>
        <w:instrText>ADDIN CSL_CITATION { "citationItems" : [ { "id" : "ITEM-1", "itemData" : { "DOI" : "10.1016/j.arbr.2013.06.003", "ISSN" : "15792129", "author" : [ { "dropping-particle" : "", "family" : "Xaubet", "given" : "Antoni", "non-dropping-particle" : "", "parse-names" : false, "suffix" : "" }, { "dropping-particle" : "", "family" : "Ancochea", "given" : "Julio", "non-dropping-particle" : "", "parse-names" : false, "suffix" : "" }, { "dropping-particle" : "", "family" : "Bollo", "given" : "Elena", "non-dropping-particle" : "", "parse-names" : false, "suffix" : "" }, { "dropping-particle" : "", "family" : "Fern\u00e1ndez-Fabrellas", "given" : "Estrella", "non-dropping-particle" : "", "parse-names" : false, "suffix" : "" }, { "dropping-particle" : "", "family" : "Franquet", "given" : "Tom\u00e1s", "non-dropping-particle" : "", "parse-names" : false, "suffix" : "" }, { "dropping-particle" : "", "family" : "Molina-Molina", "given" : "Maria", "non-dropping-particle" : "", "parse-names" : false, "suffix" : "" }, { "dropping-particle" : "", "family" : "Montero", "given" : "Maria Angeles", "non-dropping-particle" : "", "parse-names" : false, "suffix" : "" }, { "dropping-particle" : "", "family" : "Serrano-Mollar", "given" : "Anna", "non-dropping-particle" : "", "parse-names" : false, "suffix" : "" } ], "container-title" : "Archivos de Bronconeumolog\u00eda (English Edition)", "id" : "ITEM-1", "issue" : "8", "issued" : { "date-parts" : [ [ "2013", "8", "1" ] ] }, "language" : "es", "page" : "343-353", "publisher" : "Elsevier", "title" : "Guidelines for the Diagnosis and Treatment of Idiopathic Pulmonary Fibrosis", "type" : "article-journal", "volume" : "49" }, "uris" : [ "http://www.mendeley.com/documents/?uuid=01e4417d-ae5d-4858-aaba-dd633cdb4d69" ] } ], "mendeley" : { "formattedCitation" : "(Xaubet et al., 2013)", "plainTextFormattedCitation" : "(Xaubet et al., 2013)", "previouslyFormattedCitation" : "(Xaubet et al., 2013)" }, "properties" : { "noteIndex" : 0 }, "schema" : "https://github.com/citation-style-language/schema/raw/master/csl-citation.json" }</w:instrText>
      </w:r>
      <w:r w:rsidR="00D705FF" w:rsidRPr="00C46CAB">
        <w:rPr>
          <w:rFonts w:ascii="Calibri" w:hAnsi="Calibri" w:cs="Arial"/>
        </w:rPr>
        <w:fldChar w:fldCharType="separate"/>
      </w:r>
      <w:r w:rsidR="00D705FF" w:rsidRPr="00C46CAB">
        <w:rPr>
          <w:rFonts w:ascii="Calibri" w:hAnsi="Calibri" w:cs="Arial"/>
          <w:noProof/>
        </w:rPr>
        <w:t>(Xaubet et al., 2013)</w:t>
      </w:r>
      <w:r w:rsidR="00D705FF" w:rsidRPr="00C46CAB">
        <w:rPr>
          <w:rFonts w:ascii="Calibri" w:hAnsi="Calibri" w:cs="Arial"/>
        </w:rPr>
        <w:fldChar w:fldCharType="end"/>
      </w:r>
      <w:r w:rsidR="00D705FF" w:rsidRPr="00C46CAB">
        <w:rPr>
          <w:rFonts w:ascii="Calibri" w:hAnsi="Calibri" w:cs="Arial"/>
        </w:rPr>
        <w:t>.</w:t>
      </w:r>
      <w:r w:rsidR="00D705FF" w:rsidRPr="00C4343E">
        <w:rPr>
          <w:rFonts w:ascii="Calibri" w:hAnsi="Calibri" w:cs="Arial"/>
        </w:rPr>
        <w:t xml:space="preserve"> </w:t>
      </w:r>
      <w:r w:rsidR="00D705FF">
        <w:rPr>
          <w:rFonts w:ascii="Calibri" w:hAnsi="Calibri" w:cs="Arial"/>
        </w:rPr>
        <w:t xml:space="preserve">Corticosteroids and </w:t>
      </w:r>
      <w:r w:rsidR="00D705FF" w:rsidRPr="00AB3937">
        <w:rPr>
          <w:rFonts w:ascii="Calibri" w:hAnsi="Calibri" w:cs="Arial"/>
        </w:rPr>
        <w:t xml:space="preserve">kinase inhibitors </w:t>
      </w:r>
      <w:r w:rsidR="00D705FF" w:rsidRPr="00AB3937">
        <w:rPr>
          <w:rFonts w:ascii="Calibri" w:hAnsi="Calibri"/>
        </w:rPr>
        <w:t xml:space="preserve">may also </w:t>
      </w:r>
      <w:r w:rsidR="00D705FF">
        <w:rPr>
          <w:rFonts w:ascii="Calibri" w:hAnsi="Calibri"/>
        </w:rPr>
        <w:t xml:space="preserve">be of use </w:t>
      </w:r>
      <w:r>
        <w:rPr>
          <w:rFonts w:ascii="Calibri" w:hAnsi="Calibri"/>
          <w:i/>
        </w:rPr>
        <w:t xml:space="preserve">in vitro </w:t>
      </w:r>
      <w:r w:rsidR="00D705FF">
        <w:rPr>
          <w:rFonts w:ascii="Calibri" w:hAnsi="Calibri"/>
        </w:rPr>
        <w:t xml:space="preserve">in deconvoluting off-target </w:t>
      </w:r>
      <w:r w:rsidR="00D705FF">
        <w:rPr>
          <w:rFonts w:ascii="Calibri" w:hAnsi="Calibri" w:cs="Arial"/>
        </w:rPr>
        <w:t>pro-inflammatory response induction in drug discovery efforts.</w:t>
      </w:r>
      <w:r w:rsidR="004B3032">
        <w:rPr>
          <w:rFonts w:ascii="Calibri" w:hAnsi="Calibri" w:cs="Arial"/>
        </w:rPr>
        <w:t xml:space="preserve"> </w:t>
      </w:r>
    </w:p>
    <w:p w14:paraId="7D446E52" w14:textId="77777777" w:rsidR="008D4EFF" w:rsidRDefault="008D4EFF" w:rsidP="005837A4">
      <w:pPr>
        <w:spacing w:line="480" w:lineRule="auto"/>
        <w:jc w:val="both"/>
        <w:rPr>
          <w:rFonts w:ascii="Calibri" w:hAnsi="Calibri" w:cs="Arial"/>
        </w:rPr>
      </w:pPr>
    </w:p>
    <w:p w14:paraId="7930C2C3" w14:textId="08917C18" w:rsidR="00D705FF" w:rsidRDefault="004B3032" w:rsidP="005837A4">
      <w:pPr>
        <w:spacing w:line="480" w:lineRule="auto"/>
        <w:jc w:val="both"/>
        <w:rPr>
          <w:rFonts w:ascii="Calibri" w:hAnsi="Calibri" w:cs="Arial"/>
        </w:rPr>
      </w:pPr>
      <w:r>
        <w:rPr>
          <w:rFonts w:ascii="Calibri" w:hAnsi="Calibri" w:cs="Arial"/>
        </w:rPr>
        <w:t xml:space="preserve">Overall, the risk presented by oligonucleotide therapy for conditions often exacerbated by inflammation, such as COPD and asthma, underlines </w:t>
      </w:r>
      <w:r w:rsidR="008D4EFF">
        <w:rPr>
          <w:rFonts w:ascii="Calibri" w:hAnsi="Calibri" w:cs="Arial"/>
        </w:rPr>
        <w:t>the need for constructing confidence in safety by confirming minimal or no pro-inflammatory off-target effects</w:t>
      </w:r>
      <w:r>
        <w:rPr>
          <w:rFonts w:ascii="Calibri" w:hAnsi="Calibri" w:cs="Arial"/>
        </w:rPr>
        <w:t xml:space="preserve"> </w:t>
      </w:r>
      <w:r w:rsidR="008D4EFF">
        <w:rPr>
          <w:rFonts w:ascii="Calibri" w:hAnsi="Calibri" w:cs="Arial"/>
        </w:rPr>
        <w:t xml:space="preserve">in relevant models of inflammatory disease. Resolving this challenge will require discovery and advancement of </w:t>
      </w:r>
      <w:r w:rsidR="00AC1DF6">
        <w:rPr>
          <w:rFonts w:ascii="Calibri" w:hAnsi="Calibri" w:cs="Arial"/>
        </w:rPr>
        <w:t xml:space="preserve">novel and mechanistically specific </w:t>
      </w:r>
      <w:r w:rsidR="008D4EFF">
        <w:rPr>
          <w:rFonts w:ascii="Calibri" w:hAnsi="Calibri" w:cs="Arial"/>
        </w:rPr>
        <w:t>translational biomarkers</w:t>
      </w:r>
      <w:r w:rsidR="00AC1DF6">
        <w:rPr>
          <w:rFonts w:ascii="Calibri" w:hAnsi="Calibri" w:cs="Arial"/>
        </w:rPr>
        <w:t>, causally linked to oligonucleotide-associated proinflammatory responses,</w:t>
      </w:r>
      <w:r w:rsidR="008D4EFF">
        <w:rPr>
          <w:rFonts w:ascii="Calibri" w:hAnsi="Calibri" w:cs="Arial"/>
        </w:rPr>
        <w:t xml:space="preserve"> across the pharmacologically relevant species, thereby reducing late stage failure risk. </w:t>
      </w:r>
    </w:p>
    <w:p w14:paraId="07B26CDE" w14:textId="77777777" w:rsidR="00F21CCE" w:rsidRDefault="00F21CCE" w:rsidP="005837A4">
      <w:pPr>
        <w:spacing w:line="480" w:lineRule="auto"/>
        <w:jc w:val="both"/>
        <w:rPr>
          <w:rFonts w:ascii="Calibri" w:hAnsi="Calibri" w:cs="Arial"/>
        </w:rPr>
      </w:pPr>
    </w:p>
    <w:p w14:paraId="7EAC7E2C" w14:textId="031193D3" w:rsidR="00F21CCE" w:rsidRDefault="00A25217" w:rsidP="005837A4">
      <w:pPr>
        <w:pStyle w:val="Heading2"/>
      </w:pPr>
      <w:r>
        <w:t>4.2</w:t>
      </w:r>
      <w:r>
        <w:tab/>
      </w:r>
      <w:r w:rsidR="000D47E8">
        <w:t>siRNA therapeutics</w:t>
      </w:r>
      <w:r w:rsidR="00F21CCE">
        <w:t xml:space="preserve">: The case for next generation </w:t>
      </w:r>
      <w:r w:rsidR="00F21CCE" w:rsidRPr="0034141D">
        <w:rPr>
          <w:i/>
        </w:rPr>
        <w:t>in vivo</w:t>
      </w:r>
      <w:r w:rsidR="00F21CCE">
        <w:t xml:space="preserve"> pharmacology.</w:t>
      </w:r>
    </w:p>
    <w:p w14:paraId="0DDE55D8" w14:textId="0EAA8D17" w:rsidR="00F21CCE" w:rsidRDefault="00F21CCE" w:rsidP="005837A4">
      <w:pPr>
        <w:spacing w:line="480" w:lineRule="auto"/>
        <w:jc w:val="both"/>
        <w:rPr>
          <w:rFonts w:ascii="Calibri" w:hAnsi="Calibri" w:cs="Arial"/>
        </w:rPr>
      </w:pPr>
      <w:r>
        <w:rPr>
          <w:rFonts w:ascii="Calibri" w:hAnsi="Calibri" w:cs="Arial"/>
        </w:rPr>
        <w:t xml:space="preserve">The preclinical and clinical studies on pulmonary </w:t>
      </w:r>
      <w:r w:rsidR="000D47E8">
        <w:rPr>
          <w:rFonts w:ascii="Calibri" w:hAnsi="Calibri" w:cs="Arial"/>
        </w:rPr>
        <w:t>dosing of</w:t>
      </w:r>
      <w:r>
        <w:rPr>
          <w:rFonts w:ascii="Calibri" w:hAnsi="Calibri" w:cs="Arial"/>
        </w:rPr>
        <w:t xml:space="preserve"> siRNA showed that topical administration of unmodified </w:t>
      </w:r>
      <w:r w:rsidR="000D47E8">
        <w:rPr>
          <w:rFonts w:ascii="Calibri" w:hAnsi="Calibri" w:cs="Arial"/>
        </w:rPr>
        <w:t>compounds</w:t>
      </w:r>
      <w:r>
        <w:rPr>
          <w:rFonts w:ascii="Calibri" w:hAnsi="Calibri" w:cs="Arial"/>
        </w:rPr>
        <w:t xml:space="preserve"> could rapidly (&lt;10 min) access circulation and be mildly immunogenic. Success was </w:t>
      </w:r>
      <w:r w:rsidR="00895E5D">
        <w:rPr>
          <w:rFonts w:ascii="Calibri" w:hAnsi="Calibri" w:cs="Arial"/>
        </w:rPr>
        <w:t xml:space="preserve">assessed using </w:t>
      </w:r>
      <w:r>
        <w:rPr>
          <w:rFonts w:ascii="Calibri" w:hAnsi="Calibri" w:cs="Arial"/>
        </w:rPr>
        <w:t xml:space="preserve">clinical outcome metrics and not molecular </w:t>
      </w:r>
      <w:r>
        <w:rPr>
          <w:rFonts w:ascii="Calibri" w:hAnsi="Calibri" w:cs="Arial"/>
        </w:rPr>
        <w:lastRenderedPageBreak/>
        <w:t>pharmacology: no 5’-RACE data in man were disclosed. Thus, it remains unknown if topical siRNA administration to the lung in simple formulations such as physiological saline (referred to as ‘naked’ siRNA) can drive on-target RNAi in man. Notwithstanding the contri</w:t>
      </w:r>
      <w:r w:rsidR="00895E5D">
        <w:rPr>
          <w:rFonts w:ascii="Calibri" w:hAnsi="Calibri" w:cs="Arial"/>
        </w:rPr>
        <w:t>bution of the immune response by</w:t>
      </w:r>
      <w:r>
        <w:rPr>
          <w:rFonts w:ascii="Calibri" w:hAnsi="Calibri" w:cs="Arial"/>
        </w:rPr>
        <w:t xml:space="preserve"> ALN-RSV01 activity, the correct target tissue (nasal and lower airways</w:t>
      </w:r>
      <w:r w:rsidRPr="00ED78F9">
        <w:rPr>
          <w:rFonts w:ascii="Calibri" w:hAnsi="Calibri" w:cs="Arial"/>
        </w:rPr>
        <w:t xml:space="preserve"> </w:t>
      </w:r>
      <w:r>
        <w:rPr>
          <w:rFonts w:ascii="Calibri" w:hAnsi="Calibri" w:cs="Arial"/>
        </w:rPr>
        <w:t xml:space="preserve">epithelia) was not fully defined, administration methodology was not consistent and drug loading was not evidenced directly or followed up adequately given the systemic access outcomes. </w:t>
      </w:r>
    </w:p>
    <w:p w14:paraId="258FE72F" w14:textId="77777777" w:rsidR="00F21CCE" w:rsidRDefault="00F21CCE" w:rsidP="005837A4">
      <w:pPr>
        <w:spacing w:line="480" w:lineRule="auto"/>
        <w:jc w:val="both"/>
        <w:rPr>
          <w:rFonts w:ascii="Calibri" w:hAnsi="Calibri" w:cs="Arial"/>
        </w:rPr>
      </w:pPr>
    </w:p>
    <w:p w14:paraId="63072270" w14:textId="322B33D6" w:rsidR="00F21CCE" w:rsidRPr="00450D3F" w:rsidRDefault="00F21CCE" w:rsidP="005837A4">
      <w:pPr>
        <w:spacing w:line="480" w:lineRule="auto"/>
        <w:jc w:val="both"/>
        <w:rPr>
          <w:rFonts w:ascii="Calibri" w:hAnsi="Calibri" w:cs="Arial"/>
          <w:i/>
        </w:rPr>
      </w:pPr>
      <w:r>
        <w:rPr>
          <w:rFonts w:ascii="Calibri" w:hAnsi="Calibri" w:cs="Arial"/>
        </w:rPr>
        <w:t xml:space="preserve">Separate preclinical studies sought to determine which cell types within the lung were differentially loaded with oligonucleotide drugs </w:t>
      </w:r>
      <w:r>
        <w:rPr>
          <w:rFonts w:ascii="Calibri" w:hAnsi="Calibri" w:cs="Arial"/>
        </w:rPr>
        <w:fldChar w:fldCharType="begin" w:fldLock="1"/>
      </w:r>
      <w:r>
        <w:rPr>
          <w:rFonts w:ascii="Calibri" w:hAnsi="Calibri" w:cs="Arial"/>
        </w:rPr>
        <w:instrText>ADDIN CSL_CITATION { "citationItems" : [ { "id" : "ITEM-1", "itemData" : { "DOI" : "10.1038/mt.2011.206", "ISBN" : "1525-0024 (Electronic)\r1525-0016 (Linking)", "PMID" : "21971426", "abstract" : "Antisense oligonucleotides (ASOs) and small interfering RNA (siRNA) promise specific correction of disease-causing gene expression. Therapeutic implementation, however, has been forestalled by poor delivery to the appropriate tissue, cell type, and subcellular compartment. Topical administration is considered to circumvent these issues. The availability of inhalation devices and unmet medical need in lung disease has focused efforts in this tissue. We report the development of a novel cell sorting method for quantitative, cell type-specific analysis of siRNA, and locked nucleic acid (LNA) ASO uptake and efficacy after intratracheal (i.t.) administration in mice. Through fluorescent dye labeling, we compare the utility of this approach to whole animal and whole tissue analysis, and examine the extent of tissue distribution. We detail rapid systemic access and renal clearance for both therapeutic classes and lack of efficacy at the protein level in lung macrophages, epithelia, or other cell types. We nevertheless observe efficient redirection of i.t. administered phosphorothioate (PS) LNA ASO to the liver and kidney leading to targeted gene knockdown. These data suggest delivery remains a key obstacle to topically administered, naked oligonucleotide efficacy in the lung and introduce inhalation as a potentially viable alternative to injection for antisense administration to the liver and kidneys.", "author" : [ { "dropping-particle" : "", "family" : "Moschos", "given" : "S A", "non-dropping-particle" : "", "parse-names" : false, "suffix" : "" }, { "dropping-particle" : "", "family" : "Frick", "given" : "M", "non-dropping-particle" : "", "parse-names" : false, "suffix" : "" }, { "dropping-particle" : "", "family" : "Taylor", "given" : "B", "non-dropping-particle" : "", "parse-names" : false, "suffix" : "" }, { "dropping-particle" : "", "family" : "Turnpenny", "given" : "P", "non-dropping-particle" : "", "parse-names" : false, "suffix" : "" }, { "dropping-particle" : "", "family" : "Graves", "given" : "H", "non-dropping-particle" : "", "parse-names" : false, "suffix" : "" }, { "dropping-particle" : "", "family" : "Spink", "given" : "K G", "non-dropping-particle" : "", "parse-names" : false, "suffix" : "" }, { "dropping-particle" : "", "family" : "Brady", "given" : "K", "non-dropping-particle" : "", "parse-names" : false, "suffix" : "" }, { "dropping-particle" : "", "family" : "Lamb", "given" : "D", "non-dropping-particle" : "", "parse-names" : false, "suffix" : "" }, { "dropping-particle" : "", "family" : "Collins", "given" : "D", "non-dropping-particle" : "", "parse-names" : false, "suffix" : "" }, { "dropping-particle" : "", "family" : "Rockel", "given" : "T D", "non-dropping-particle" : "", "parse-names" : false, "suffix" : "" }, { "dropping-particle" : "", "family" : "Weber", "given" : "M", "non-dropping-particle" : "", "parse-names" : false, "suffix" : "" }, { "dropping-particle" : "", "family" : "Lazari", "given" : "O", "non-dropping-particle" : "", "parse-names" : false, "suffix" : "" }, { "dropping-particle" : "", "family" : "Perez-Tosar", "given" : "L", "non-dropping-particle" : "", "parse-names" : false, "suffix" : "" }, { "dropping-particle" : "", "family" : "Fancy", "given" : "S A", "non-dropping-particle" : "", "parse-names" : false, "suffix" : "" }, { "dropping-particle" : "", "family" : "Lapthorn", "given" : "C", "non-dropping-particle" : "", "parse-names" : false, "suffix" : "" }, { "dropping-particle" : "", "family" : "Green", "given" : "M X", "non-dropping-particle" : "", "parse-names" : false, "suffix" : "" }, { "dropping-particle" : "", "family" : "Evans", "given" : "S", "non-dropping-particle" : "", "parse-names" : false, "suffix" : "" }, { "dropping-particle" : "", "family" : "Selby", "given" : "M", "non-dropping-particle" : "", "parse-names" : false, "suffix" : "" }, { "dropping-particle" : "", "family" : "Jones", "given" : "G", "non-dropping-particle" : "", "parse-names" : false, "suffix" : "" }, { "dropping-particle" : "", "family" : "Jones", "given" : "L", "non-dropping-particle" : "", "parse-names" : false, "suffix" : "" }, { "dropping-particle" : "", "family" : "Kearney", "given" : "S", "non-dropping-particle" : "", "parse-names" : false, "suffix" : "" }, { "dropping-particle" : "", "family" : "Mechiche", "given" : "H", "non-dropping-particle" : "", "parse-names" : false, "suffix" : "" }, { "dropping-particle" : "", "family" : "Gikunju", "given" : "D", "non-dropping-particle" : "", "parse-names" : false, "suffix" : "" }, { "dropping-particle" : "", "family" : "Subramanian", "given" : "R", "non-dropping-particle" : "", "parse-names" : false, "suffix" : "" }, { "dropping-particle" : "", "family" : "Uhlmann", "given" : "E", "non-dropping-particle" : "", "parse-names" : false, "suffix" : "" }, { "dropping-particle" : "", "family" : "Jurk", "given" : "M", "non-dropping-particle" : "", "parse-names" : false, "suffix" : "" }, { "dropping-particle" : "", "family" : "Vollmer", "given" : "J", "non-dropping-particle" : "", "parse-names" : false, "suffix" : "" }, { "dropping-particle" : "", "family" : "Ciaramella", "given" : "G", "non-dropping-particle" : "", "parse-names" : false, "suffix" : "" }, { "dropping-particle" : "", "family" : "Yeadon", "given" : "M", "non-dropping-particle" : "", "parse-names" : false, "suffix" : "" } ], "container-title" : "Mol Ther", "edition" : "2011/10/06", "id" : "ITEM-1", "issue" : "12", "issued" : { "date-parts" : [ [ "2011" ] ] }, "language" : "eng", "note" : "Moschos, Sterghios A\nFrick, Manfred\nTaylor, Bruce\nTurnpenny, Paul\nGraves, Helen\nSpink, Karen G\nBrady, Kevin\nLamb, David\nCollins, David\nRockel, Thomas D\nWeber, Markus\nLazari, Ovadia\nPerez-Tosar, Luis\nFancy, Sally A\nLapthorn, Chris\nGreen, Martin X\nEvans, Steve\nSelby, Matthew\nJones, Gareth\nJones, Lyn\nKearney, Sarah\nMechiche, Houria\nGikunju, Diana\nSubramanian, Romesh\nUhlmann, Eugen\nJurk, Marion\nVollmer, Jorg\nCiaramella, Giuseppe\nYeadon, Michael\nMol Ther. 2011 Dec;19(12):2163-8. doi: 10.1038/mt.2011.206. Epub 2011 Oct 4.", "page" : "2163-2168", "title" : "Uptake, efficacy, and systemic distribution of naked, inhaled short interfering RNA (siRNA) and locked nucleic acid (LNA) antisense", "type" : "article-journal", "volume" : "19" }, "uris" : [ "http://www.mendeley.com/documents/?uuid=f854d0eb-871b-45a2-898a-aa0d10b14140" ] } ], "mendeley" : { "formattedCitation" : "(Moschos et al., 2011)", "plainTextFormattedCitation" : "(Moschos et al., 2011)", "previouslyFormattedCitation" : "(Moschos et al., 2011)" }, "properties" : { "noteIndex" : 0 }, "schema" : "https://github.com/citation-style-language/schema/raw/master/csl-citation.json" }</w:instrText>
      </w:r>
      <w:r>
        <w:rPr>
          <w:rFonts w:ascii="Calibri" w:hAnsi="Calibri" w:cs="Arial"/>
        </w:rPr>
        <w:fldChar w:fldCharType="separate"/>
      </w:r>
      <w:r w:rsidRPr="0088045A">
        <w:rPr>
          <w:rFonts w:ascii="Calibri" w:hAnsi="Calibri" w:cs="Arial"/>
          <w:noProof/>
        </w:rPr>
        <w:t>(Moschos et al., 2011)</w:t>
      </w:r>
      <w:r>
        <w:rPr>
          <w:rFonts w:ascii="Calibri" w:hAnsi="Calibri" w:cs="Arial"/>
        </w:rPr>
        <w:fldChar w:fldCharType="end"/>
      </w:r>
      <w:r>
        <w:rPr>
          <w:rFonts w:ascii="Calibri" w:hAnsi="Calibri" w:cs="Arial"/>
        </w:rPr>
        <w:t xml:space="preserve">, by using cell sorting and confocal microscopy after </w:t>
      </w:r>
      <w:r w:rsidRPr="00E7686F">
        <w:rPr>
          <w:rFonts w:ascii="Calibri" w:hAnsi="Calibri" w:cs="Arial"/>
          <w:i/>
        </w:rPr>
        <w:t>in vivo</w:t>
      </w:r>
      <w:r>
        <w:rPr>
          <w:rFonts w:ascii="Calibri" w:hAnsi="Calibri" w:cs="Arial"/>
        </w:rPr>
        <w:t xml:space="preserve"> dosing. Unlike previous efforts </w:t>
      </w:r>
      <w:r>
        <w:rPr>
          <w:rFonts w:ascii="Calibri" w:hAnsi="Calibri" w:cs="Arial"/>
        </w:rPr>
        <w:fldChar w:fldCharType="begin" w:fldLock="1"/>
      </w:r>
      <w:r>
        <w:rPr>
          <w:rFonts w:ascii="Calibri" w:hAnsi="Calibri" w:cs="Arial"/>
        </w:rPr>
        <w:instrText>ADDIN CSL_CITATION { "citationItems" : [ { "id" : "ITEM-1", "itemData" : { "DOI" : "10.1021/bc070077d", "ISBN" : "1043-1802 (Print)\r1043-1802 (Linking)", "PMID" : "17711319", "abstract" : "The therapeutic application of siRNA shows promise as an alternative approach to small-molecule inhibitors for the treatment of human disease. However, the major obstacle to its use has been the difficulty in delivering these large anionic molecules in vivo. In this study, we have investigated whether siRNA-mediated knockdown of p38 MAP kinase mRNA in mouse lung is influenced by conjugation to the nonviral delivery vector cholesterol and the cell penetrating peptides (CPP) TAT(48-60) and penetratin. Initial studies in the mouse fibroblast L929 cell line showed that siRNA conjugated to cholesterol, TAT(48-60), and penetratin, but not siRNA alone, achieved a limited reduction of p38 MAP kinase mRNA expression. Intratracheal administration of siRNA resulted in localization within macrophages and scattered epithelial cells and produced a 30-45% knockdown of p38 MAP kinase mRNA at 6 h. As with increasing doses of siRNA, conjugation to cholesterol improved upon the duration but not the magnitude of mRNA knockdown, while penetratin and TAT(48-60) had no effect. Importantly, administration of the penetratin or TAT(48-60) peptides alone caused significant reduction in p38 MAP kinase mRNA expression, while the penetratin-siRNA conjugate activated the innate immune response. Overall, these studies suggest that conjugation to cholesterol may extend but not increase siRNA-mediated p38 MAP kinase mRNA knockdown in the lung. Furthermore, the use of CPP may be limited due to as yet uncharacterized effects upon gene expression and a potential for immune activation.", "author" : [ { "dropping-particle" : "", "family" : "Moschos", "given" : "S A", "non-dropping-particle" : "", "parse-names" : false, "suffix" : "" }, { "dropping-particle" : "", "family" : "Jones", "given" : "S W", "non-dropping-particle" : "", "parse-names" : false, "suffix" : "" }, { "dropping-particle" : "", "family" : "Perry", "given" : "M M", "non-dropping-particle" : "", "parse-names" : false, "suffix" : "" }, { "dropping-particle" : "", "family" : "Williams", "given" : "A E", "non-dropping-particle" : "", "parse-names" : false, "suffix" : "" }, { "dropping-particle" : "", "family" : "Erjefalt", "given" : "J S", "non-dropping-particle" : "", "parse-names" : false, "suffix" : "" }, { "dropping-particle" : "", "family" : "Turner", "given" : "J J", "non-dropping-particle" : "", "parse-names" : false, "suffix" : "" }, { "dropping-particle" : "", "family" : "Barnes", "given" : "P J", "non-dropping-particle" : "", "parse-names" : false, "suffix" : "" }, { "dropping-particle" : "", "family" : "Sproat", "given" : "B S", "non-dropping-particle" : "", "parse-names" : false, "suffix" : "" }, { "dropping-particle" : "", "family" : "Gait", "given" : "M J", "non-dropping-particle" : "", "parse-names" : false, "suffix" : "" }, { "dropping-particle" : "", "family" : "Lindsay", "given" : "M A", "non-dropping-particle" : "", "parse-names" : false, "suffix" : "" } ], "container-title" : "Bioconjug Chem", "edition" : "2007/08/23", "id" : "ITEM-1", "issue" : "5", "issued" : { "date-parts" : [ [ "2007" ] ] }, "language" : "eng", "note" : "Moschos, Sterghios Athanasios\nJones, Simon Wyn\nPerry, Mark Michael\nWilliams, Andrew Evan\nErjefalt, Jonas Sten\nTurner, John James\nBarnes, Peter John\nSproat, Brian Stephen\nGait, Michael John\nLindsay, Mark Andrew\n076111/Wellcome Trust/United Kingdom\nBB/C508234/1/Biotechnology and Biological Sciences Research Council/United Kingdom\nBioconjug Chem. 2007 Sep-Oct;18(5):1450-9. Epub 2007 Aug 21.", "page" : "1450-1459", "title" : "Lung delivery studies using siRNA conjugated to TAT(48-60) and penetratin reveal peptide induced reduction in gene expression and induction of innate immunity", "type" : "article-journal", "volume" : "18" }, "uris" : [ "http://www.mendeley.com/documents/?uuid=adc9266f-3899-4f79-9be6-a0804058ada0" ] }, { "id" : "ITEM-2", "itemData" : { "DOI" : "10.1189/jlb.1004617", "ISSN" : "0741-5400", "PMID" : "15695553", "abstract" : "Lung injury in trauma patients exposed to a secondary infectious/septic challenge contributes to the high morbidity/mortality observed in this population. Associated pathology involves a dys-regulation of immune function, specifically, sequestration of activated polymorphonuclear neutrophils (PMN) in the lungs. The targeting of PMN is thought to involve the release of chemokines from cells within the local environment, creating a concentration gradient along which PMN migrate to the focus of inflammation. Keratinocyte-derived chemokine (KC) and macrophage-inflammatory protein-2 (MIP-2) are murine neutrophil chemokines identified as playing significant but potentially divergent roles in the pathogenesis of acute lung injury (ALI). In the current study, we examined the contribution of local pulmonary cells to the production of KC and MIP-2 and the pathogenesis of ALI. We hypothesized that local silencing of KC or MIP-2, via the local administration of small interference RNA (siRNA) against KC or MIP-2, following traumatic shock/hemorrhage (Hem), would suppress signaling for PMN influx to the lung, thereby reducing ALI associated with a secondary septic challenge (cecal ligation and puncture). Assessment of siRNA local gene silencing was done in green fluorescent protein (GFP)-transgenic, overexpressing mice. A marked suppression of GFP expression was observed in the lung 24 h following intratracheal (i.t.) instillation of GFP siRNA, which was not observed in the liver. To test our hypothesis, siRNA against KC or MIP-2 (75 ug/C3H/Hen mouse) was instilled (i.t.) 2 h post-Hem (35 mm Hg for 90 min, 4x LRS Rx.). Twenty-four hours after, mice were subjected to septic challenge and then killed 24 h later. i.t. MIP-2 siRNA significantly (P &lt; 0.05, ANOVA-Tukey's test, n = 5-6/group) reduced tissue and plasma interleukin (IL)-6, tissue MIP-2 (enzyme-linked immunosorbent assay), as well as neutrophil influx [myeloperoxidase (MPO) activity]. In contrast, KC siRNA treatment reduced plasma KC, tissue KC, and IL-6 but produced no significant reduction in plasma IL-6 or MPO. Neither treatment reduced tissue or plasma levels of tumor necrosis factor alpha compared with vehicle. These data support not only our hypothesis that local pulmonary chemokine production of MIP-2, to a greater extent than KC, contributes to the pathogenesis of PMN-associated ALI following Hem but also the use of siRNA as a potential therapeutic.", "author" : [ { "dropping-particle" : "", "family" : "Lomas-Neira", "given" : "Joanne L", "non-dropping-particle" : "", "parse-names" : false, "suffix" : "" }, { "dropping-particle" : "", "family" : "Chung", "given" : "Chun-Shiang", "non-dropping-particle" : "", "parse-names" : false, "suffix" : "" }, { "dropping-particle" : "", "family" : "Wesche", "given" : "Doreen E", "non-dropping-particle" : "", "parse-names" : false, "suffix" : "" }, { "dropping-particle" : "", "family" : "Perl", "given" : "Mario", "non-dropping-particle" : "", "parse-names" : false, "suffix" : "" }, { "dropping-particle" : "", "family" : "Ayala", "given" : "Alfred", "non-dropping-particle" : "", "parse-names" : false, "suffix" : "" } ], "container-title" : "Journal of leukocyte biology", "id" : "ITEM-2", "issue" : "6", "issued" : { "date-parts" : [ [ "2005", "6", "1" ] ] }, "page" : "846-53", "title" : "In vivo gene silencing (with siRNA) of pulmonary expression of MIP-2 versus KC results in divergent effects on hemorrhage-induced, neutrophil-mediated septic acute lung injury.", "type" : "article-journal", "volume" : "77" }, "uris" : [ "http://www.mendeley.com/documents/?uuid=5b29f71c-40d2-4df6-9919-f84ef7ce6cf2" ] }, { "id" : "ITEM-3", "itemData" : { "DOI" : "10.1016/S0002-9440(10)61240-0", "ISSN" : "0002-9440", "PMID" : "16314469", "abstract" : "Apoptosis and inflammation play an important role in the pathogenesis of direct/pulmonary acute lung injury (ALI). However, the role of the Fas receptor-driven apoptotic pathway in indirect/nonpulmonary ALI is virtually unstudied. We hypothesized that if Fas or caspase-8 plays a role in the induction of indirect ALI, their local silencing using small interfering RNA (siRNA) should be protective in hemorrhage-induced septic ALI. Initially, as a proof of principle, green fluorescent protein-siRNA was administered intratracheally into transgenic mice overexpressing green fluorescent protein. Twenty-four hours after siRNA delivery, lung sections revealed a significant decrease in green fluorescence. Intratracheally administered Cy-5-labeled Fas-siRNA localized primarily in pulmonary epithelial cells. Intratracheal instillation of siRNA did not induce lung inflammation via toll-like receptor or protein kinase PKR pathways as assessed by lung tissue interferon-alpha, tumor necrosis factor-alpha, and interleukin (IL)-6 levels. Mice subjected to hemorrhagic shock and sepsis received either Fas-, caspase-8-, or control-siRNA intratracheally 4 hours after hemorrhage. Fas- or caspase-8-siRNA significantly reduced lung tissue Fas or caspase-8 mRNA, respectively. Only Fas-siRNA markedly diminished lung tissue tumor necrosis factor-alpha, IL-6, IL-10, interferon-gamma, IL-12, and caspase-3 activity. Fas-siRNA also preserved alveolar architecture and reduced lung neutrophil infiltration and pulmonary epithelial apoptosis. These data indicate the pathophysiological significance of Fas activation in nonpulmonary/shock-induced ALI and the feasibility of intrapulmonary administration of anti-apoptotic siRNA in vivo.", "author" : [ { "dropping-particle" : "", "family" : "Perl", "given" : "Mario", "non-dropping-particle" : "", "parse-names" : false, "suffix" : "" }, { "dropping-particle" : "", "family" : "Chung", "given" : "Chun-Shiang", "non-dropping-particle" : "", "parse-names" : false, "suffix" : "" }, { "dropping-particle" : "", "family" : "Lomas-Neira", "given" : "Joanne", "non-dropping-particle" : "", "parse-names" : false, "suffix" : "" }, { "dropping-particle" : "", "family" : "Rachel", "given" : "Tina-Marie", "non-dropping-particle" : "", "parse-names" : false, "suffix" : "" }, { "dropping-particle" : "", "family" : "Biffl", "given" : "Walter L", "non-dropping-particle" : "", "parse-names" : false, "suffix" : "" }, { "dropping-particle" : "", "family" : "Cioffi", "given" : "William G", "non-dropping-particle" : "", "parse-names" : false, "suffix" : "" }, { "dropping-particle" : "", "family" : "Ayala", "given" : "Alfred", "non-dropping-particle" : "", "parse-names" : false, "suffix" : "" } ], "container-title" : "The American journal of pathology", "id" : "ITEM-3", "issue" : "6", "issued" : { "date-parts" : [ [ "2005", "12" ] ] }, "page" : "1545-59", "title" : "Silencing of Fas, but not caspase-8, in lung epithelial cells ameliorates pulmonary apoptosis, inflammation, and neutrophil influx after hemorrhagic shock and sepsis.", "type" : "article-journal", "volume" : "167" }, "uris" : [ "http://www.mendeley.com/documents/?uuid=bf666aed-41bb-470a-9991-2678dcc7188e" ] }, { "id" : "ITEM-4", "itemData" : { "DOI" : "10.1074/jbc.M312941200", "ISSN" : "0021-9258", "PMID" : "14688267", "abstract" : "Heme oxygenase-1 (HO-1) is emerging as an important cytoprotective enzyme system in a variety of injury models. To optimize future therapeutic applications of HO-1, it is necessary to delineate the precise functions and mechanisms as well as modes of externally regulating HO-1 expression. Investigations have been limited by difficulties with the generation of HO-1 null mice and the lack of specific HO-1 inhibitors. Lung ischemia-reperfusion (I-R) injury is the inciting event in acute lung failure following transplantation, surgery, and shock. To study the function of HO-1 in I-R-induced lung injury, we designed small interfering RNA (siRNA) sequences that effectively suppress HO-1 expression both in vitro and in vivo in an organ-specific manner. In this study we show that there is enhanced apoptosis, via increased Fas expression and caspase 3 activity, in the presence of HO-1 siRNA in endothelial cells and mouse lung during I-R injury, whereas HO-1 overexpression attenuates apoptosis. To the best of our knowledge, we are the first to demonstrate that lung-specific siRNA delivery can be achieved by intranasal administration without the need for viral vectors or transfection agents in vivo, thereby obviating potential concerns for toxicity if siRNA technology is to have clinical application in the future.", "author" : [ { "dropping-particle" : "", "family" : "Zhang", "given" : "Xuchen", "non-dropping-particle" : "", "parse-names" : false, "suffix" : "" }, { "dropping-particle" : "", "family" : "Shan", "given" : "Peiying", "non-dropping-particle" : "", "parse-names" : false, "suffix" : "" }, { "dropping-particle" : "", "family" : "Jiang", "given" : "Dianhua", "non-dropping-particle" : "", "parse-names" : false, "suffix" : "" }, { "dropping-particle" : "", "family" : "Noble", "given" : "Paul W", "non-dropping-particle" : "", "parse-names" : false, "suffix" : "" }, { "dropping-particle" : "", "family" : "Abraham", "given" : "Nader G", "non-dropping-particle" : "", "parse-names" : false, "suffix" : "" }, { "dropping-particle" : "", "family" : "Kappas", "given" : "Attallah", "non-dropping-particle" : "", "parse-names" : false, "suffix" : "" }, { "dropping-particle" : "", "family" : "Lee", "given" : "Patty J", "non-dropping-particle" : "", "parse-names" : false, "suffix" : "" } ], "container-title" : "The Journal of biological chemistry", "id" : "ITEM-4", "issue" : "11", "issued" : { "date-parts" : [ [ "2004", "3", "12" ] ] }, "page" : "10677-84", "title" : "Small interfering RNA targeting heme oxygenase-1 enhances ischemia-reperfusion-induced lung apoptosis.", "type" : "article-journal", "volume" : "279" }, "uris" : [ "http://www.mendeley.com/documents/?uuid=adc15433-5c07-491d-a2f1-e2c3aaac4dfa" ] } ], "mendeley" : { "formattedCitation" : "(Lomas-Neira, Chung, Wesche, Perl, &amp; Ayala, 2005; Moschos et al., 2007; Perl et al., 2005; Xuchen Zhang et al., 2004)", "plainTextFormattedCitation" : "(Lomas-Neira, Chung, Wesche, Perl, &amp; Ayala, 2005; Moschos et al., 2007; Perl et al., 2005; Xuchen Zhang et al., 2004)", "previouslyFormattedCitation" : "(Lomas-Neira, Chung, Wesche, Perl, &amp; Ayala, 2005; Moschos et al., 2007; Perl et al., 2005; Xuchen Zhang et al., 2004)" }, "properties" : { "noteIndex" : 0 }, "schema" : "https://github.com/citation-style-language/schema/raw/master/csl-citation.json" }</w:instrText>
      </w:r>
      <w:r>
        <w:rPr>
          <w:rFonts w:ascii="Calibri" w:hAnsi="Calibri" w:cs="Arial"/>
        </w:rPr>
        <w:fldChar w:fldCharType="separate"/>
      </w:r>
      <w:r w:rsidRPr="00CC18B0">
        <w:rPr>
          <w:rFonts w:ascii="Calibri" w:hAnsi="Calibri" w:cs="Arial"/>
          <w:noProof/>
        </w:rPr>
        <w:t>(Lomas-Neira, Chung, Wesche, Perl, &amp; Ayala, 2005; Moschos et al., 2007; Perl et al., 2005; Xuchen Zhang et al., 2004)</w:t>
      </w:r>
      <w:r>
        <w:rPr>
          <w:rFonts w:ascii="Calibri" w:hAnsi="Calibri" w:cs="Arial"/>
        </w:rPr>
        <w:fldChar w:fldCharType="end"/>
      </w:r>
      <w:r>
        <w:rPr>
          <w:rFonts w:ascii="Calibri" w:hAnsi="Calibri" w:cs="Arial"/>
        </w:rPr>
        <w:t xml:space="preserve"> this group sought to quantify drug uptake and activity in specific cell types relevant to lung disease rather than reporting qualitative, low resolution (microscopy), or tissue-level data. In addition, the far-red fluorophore used in these studies, sulphonated Cy5, had an emission wavelength with very limited tissue fluorescence background, and lower lipophilicity (</w:t>
      </w:r>
      <w:r w:rsidRPr="006541A1">
        <w:rPr>
          <w:rFonts w:ascii="Symbol" w:hAnsi="Symbol" w:cs="Arial"/>
        </w:rPr>
        <w:t></w:t>
      </w:r>
      <w:r>
        <w:rPr>
          <w:rFonts w:ascii="Calibri" w:hAnsi="Calibri" w:cs="Arial"/>
        </w:rPr>
        <w:t xml:space="preserve">clogD) to plain Cy5. Indeed, lipophilicity is a feature of many siRNA modifications like cholesterol (similar molecular weight and </w:t>
      </w:r>
      <w:r w:rsidRPr="006541A1">
        <w:rPr>
          <w:rFonts w:ascii="Symbol" w:hAnsi="Symbol" w:cs="Arial"/>
        </w:rPr>
        <w:t></w:t>
      </w:r>
      <w:r>
        <w:rPr>
          <w:rFonts w:ascii="Calibri" w:hAnsi="Calibri" w:cs="Arial"/>
        </w:rPr>
        <w:t xml:space="preserve">clogD to Cy5), which induce better cellular uptake of oligonucleotides </w:t>
      </w:r>
      <w:r>
        <w:rPr>
          <w:rFonts w:ascii="Calibri" w:hAnsi="Calibri" w:cs="Arial"/>
          <w:i/>
        </w:rPr>
        <w:t xml:space="preserve">in vivo </w:t>
      </w:r>
      <w:r>
        <w:rPr>
          <w:rFonts w:ascii="Calibri" w:hAnsi="Calibri" w:cs="Arial"/>
          <w:i/>
        </w:rPr>
        <w:fldChar w:fldCharType="begin" w:fldLock="1"/>
      </w:r>
      <w:r>
        <w:rPr>
          <w:rFonts w:ascii="Calibri" w:hAnsi="Calibri" w:cs="Arial"/>
          <w:i/>
        </w:rPr>
        <w:instrText>ADDIN CSL_CITATION { "citationItems" : [ { "id" : "ITEM-1", "itemData" : { "ISSN" : "1362-4962", "PMID" : "10908328", "abstract" : "Several studies have shown improved efficacy of cholesteryl-conjugated phosphorothioate antisense oligodeoxynucleotides. To gain insight into the mechanisms of the improved efficacy in vivo, we investigated the disposition of ISIS-9388, the 3'-cholesterol analog of the ICAM-1-specific phosphorothioate oligodeoxynucleotide ISIS-3082, in rats. Intravenously injected [(3)H]ISIS-9388 was cleared from the circulation with a half-life of 49.9 +/- 2.2 min (ISIS-3082, 23.3 +/- 3.8 min). At 3 h after injection, the liver contained 63.7 +/- 3. 3% of the dose. Compared to ISIS-3082, the hepatic uptake of ISIS-9388 is approximately 2-fold higher. Endothelial, Kupffer and parenchymal cells accounted for 45.7 +/- 5.7, 33.0 +/- 5.9 and 21.3 +/- 2.6% of the liver uptake of [(3)H]ISIS-9388, respectively, and intracellular concentrations of approximately 2, 75 and 50 microM, respectively, could be reached in these cells (1 mg/kg dose). Preinjection with polyinosinic acid or poly-adenylic acid reduced the hepatic uptake of [(3)H]ISIS-9388, which suggests the involvement of (multiple) scavenger receptors. Size exclusion chromatography of mixtures of the oligonucleotides and rat plasma indicated that ISIS-9388 binds to a larger extent to high molecular weight proteins than ISIS-3082. Analysis by agarose gel electrophoresis indicated that ISIS-9388 binds more tightly to plasma proteins than ISIS-3082. The different interaction of the oligonucleotides with plasma proteins possibly explains their different dispositions. We conclude that cholesterol conjugation results in high accumulation of phosphorothioate oligodeoxynucleotides in various liver cell types, which is likely to be beneficial for antisense therapy of liver-associated diseases.", "author" : [ { "dropping-particle" : "", "family" : "Bijsterbosch", "given" : "M K", "non-dropping-particle" : "", "parse-names" : false, "suffix" : "" }, { "dropping-particle" : "", "family" : "Rump", "given" : "E T", "non-dropping-particle" : "", "parse-names" : false, "suffix" : "" }, { "dropping-particle" : "", "family" : "Vrueh", "given" : "R L", "non-dropping-particle" : "De", "parse-names" : false, "suffix" : "" }, { "dropping-particle" : "", "family" : "Dorland", "given" : "R", "non-dropping-particle" : "", "parse-names" : false, "suffix" : "" }, { "dropping-particle" : "", "family" : "Veghel", "given" : "R", "non-dropping-particle" : "van", "parse-names" : false, "suffix" : "" }, { "dropping-particle" : "", "family" : "Tivel", "given" : "K L", "non-dropping-particle" : "", "parse-names" : false, "suffix" : "" }, { "dropping-particle" : "", "family" : "Biessen", "given" : "E A", "non-dropping-particle" : "", "parse-names" : false, "suffix" : "" }, { "dropping-particle" : "", "family" : "Berkel", "given" : "T J", "non-dropping-particle" : "van", "parse-names" : false, "suffix" : "" }, { "dropping-particle" : "", "family" : "Manoharan", "given" : "M", "non-dropping-particle" : "", "parse-names" : false, "suffix" : "" } ], "container-title" : "Nucleic acids research", "id" : "ITEM-1", "issue" : "14", "issued" : { "date-parts" : [ [ "2000", "7", "15" ] ] }, "page" : "2717-25", "title" : "Modulation of plasma protein binding and in vivo liver cell uptake of phosphorothioate oligodeoxynucleotides by cholesterol conjugation.", "type" : "article-journal", "volume" : "28" }, "uris" : [ "http://www.mendeley.com/documents/?uuid=c446045d-aab8-4dad-816c-173bdeb34edf" ] }, { "id" : "ITEM-2", "itemData" : { "DOI" : "10.1016/j.bmcl.2004.07.018", "ISSN" : "0960-894X", "PMID" : "15341962", "abstract" : "Double-stranded short interfering RNAs (siRNAs) mediate post-transcriptional inhibition of gene expression in a variety of biological systems. However, human liver cells show poor uptake of these nucleic acids. In order to improve the delivery of siRNA into these cells without transfection agents, we have synthesized two series of lipophilic siRNAs conjugated with derivatives of cholesterol, lithocholic acid or lauric acid. The lipid moieties were covalently linked to the 5'-ends of the RNAs using phosphoramidite chemistry. The potency of these chemically modified siRNAs to inhibit reporter gene expression was further investigated in vitro with beta-galactosidase expressing liver cells.", "author" : [ { "dropping-particle" : "", "family" : "Lorenz", "given" : "Christina", "non-dropping-particle" : "", "parse-names" : false, "suffix" : "" }, { "dropping-particle" : "", "family" : "Hadwiger", "given" : "Philipp", "non-dropping-particle" : "", "parse-names" : false, "suffix" : "" }, { "dropping-particle" : "", "family" : "John", "given" : "Matthias", "non-dropping-particle" : "", "parse-names" : false, "suffix" : "" }, { "dropping-particle" : "", "family" : "Vornlocher", "given" : "Hans-Peter", "non-dropping-particle" : "", "parse-names" : false, "suffix" : "" }, { "dropping-particle" : "", "family" : "Unverzagt", "given" : "Carlo", "non-dropping-particle" : "", "parse-names" : false, "suffix" : "" } ], "container-title" : "Bioorganic &amp; medicinal chemistry letters", "id" : "ITEM-2", "issue" : "19", "issued" : { "date-parts" : [ [ "2004", "10", "4" ] ] }, "page" : "4975-7", "title" : "Steroid and lipid conjugates of siRNAs to enhance cellular uptake and gene silencing in liver cells.", "type" : "article-journal", "volume" : "14" }, "uris" : [ "http://www.mendeley.com/documents/?uuid=ff13c7f4-bd4e-40e4-bf2c-bfbd4e335d86" ] }, { "id" : "ITEM-3", "itemData" : { "DOI" : "10.1038/nature03121", "ISSN" : "1476-4687", "PMID" : "15538359", "abstract" : "RNA interference (RNAi) holds considerable promise as a therapeutic approach to silence disease-causing genes, particularly those that encode so-called 'non-druggable' targets that are not amenable to conventional therapeutics such as small molecules, proteins, or monoclonal antibodies. The main obstacle to achieving in vivo gene silencing by RNAi technologies is delivery. Here we show that chemically modified short interfering RNAs (siRNAs) can silence an endogenous gene encoding apolipoprotein B (apoB) after intravenous injection in mice. Administration of chemically modified siRNAs resulted in silencing of the apoB messenger RNA in liver and jejunum, decreased plasma levels of apoB protein, and reduced total cholesterol. We also show that these siRNAs can silence human apoB in a transgenic mouse model. In our in vivo study, the mechanism of action for the siRNAs was proven to occur through RNAi-mediated mRNA degradation, and we determined that cleavage of the apoB mRNA occurred specifically at the predicted site. These findings demonstrate the therapeutic potential of siRNAs for the treatment of disease.", "author" : [ { "dropping-particle" : "", "family" : "Soutschek", "given" : "J\u00fcrgen", "non-dropping-particle" : "", "parse-names" : false, "suffix" : "" }, { "dropping-particle" : "", "family" : "Akinc", "given" : "Akin", "non-dropping-particle" : "", "parse-names" : false, "suffix" : "" }, { "dropping-particle" : "", "family" : "Bramlage", "given" : "Birgit", "non-dropping-particle" : "", "parse-names" : false, "suffix" : "" }, { "dropping-particle" : "", "family" : "Charisse", "given" : "Klaus", "non-dropping-particle" : "", "parse-names" : false, "suffix" : "" }, { "dropping-particle" : "", "family" : "Constien", "given" : "Rainer", "non-dropping-particle" : "", "parse-names" : false, "suffix" : "" }, { "dropping-particle" : "", "family" : "Donoghue", "given" : "Mary", "non-dropping-particle" : "", "parse-names" : false, "suffix" : "" }, { "dropping-particle" : "", "family" : "Elbashir", "given" : "Sayda", "non-dropping-particle" : "", "parse-names" : false, "suffix" : "" }, { "dropping-particle" : "", "family" : "Geick", "given" : "Anke", "non-dropping-particle" : "", "parse-names" : false, "suffix" : "" }, { "dropping-particle" : "", "family" : "Hadwiger", "given" : "Philipp", "non-dropping-particle" : "", "parse-names" : false, "suffix" : "" }, { "dropping-particle" : "", "family" : "Harborth", "given" : "Jens", "non-dropping-particle" : "", "parse-names" : false, "suffix" : "" }, { "dropping-particle" : "", "family" : "John", "given" : "Matthias", "non-dropping-particle" : "", "parse-names" : false, "suffix" : "" }, { "dropping-particle" : "", "family" : "Kesavan", "given" : "Venkitasamy", "non-dropping-particle" : "", "parse-names" : false, "suffix" : "" }, { "dropping-particle" : "", "family" : "Lavine", "given" : "Gary", "non-dropping-particle" : "", "parse-names" : false, "suffix" : "" }, { "dropping-particle" : "", "family" : "Pandey", "given" : "Rajendra K", "non-dropping-particle" : "", "parse-names" : false, "suffix" : "" }, { "dropping-particle" : "", "family" : "Racie", "given" : "Timothy", "non-dropping-particle" : "", "parse-names" : false, "suffix" : "" }, { "dropping-particle" : "", "family" : "Rajeev", "given" : "Kallanthottathil G", "non-dropping-particle" : "", "parse-names" : false, "suffix" : "" }, { "dropping-particle" : "", "family" : "R\u00f6hl", "given" : "Ingo", "non-dropping-particle" : "", "parse-names" : false, "suffix" : "" }, { "dropping-particle" : "", "family" : "Toudjarska", "given" : "Ivanka", "non-dropping-particle" : "", "parse-names" : false, "suffix" : "" }, { "dropping-particle" : "", "family" : "Wang", "given" : "Gang", "non-dropping-particle" : "", "parse-names" : false, "suffix" : "" }, { "dropping-particle" : "", "family" : "Wuschko", "given" : "Silvio", "non-dropping-particle" : "", "parse-names" : false, "suffix" : "" }, { "dropping-particle" : "", "family" : "Bumcrot", "given" : "David", "non-dropping-particle" : "", "parse-names" : false, "suffix" : "" }, { "dropping-particle" : "", "family" : "Koteliansky", "given" : "Victor", "non-dropping-particle" : "", "parse-names" : false, "suffix" : "" }, { "dropping-particle" : "", "family" : "Limmer", "given" : "Stefan", "non-dropping-particle" : "", "parse-names" : false, "suffix" : "" }, { "dropping-particle" : "", "family" : "Manoharan", "given" : "Muthiah", "non-dropping-particle" : "", "parse-names" : false, "suffix" : "" }, { "dropping-particle" : "", "family" : "Vornlocher", "given" : "Hans-Peter", "non-dropping-particle" : "", "parse-names" : false, "suffix" : "" } ], "container-title" : "Nature", "id" : "ITEM-3", "issue" : "7014", "issued" : { "date-parts" : [ [ "2004", "11", "11" ] ] }, "page" : "173-8", "title" : "Therapeutic silencing of an endogenous gene by systemic administration of modified siRNAs.", "type" : "article-journal", "volume" : "432" }, "uris" : [ "http://www.mendeley.com/documents/?uuid=73d99fb3-3172-4e24-970c-ac39f8e74cb8" ] }, { "id" : "ITEM-4", "itemData" : { "DOI" : "10.1038/nbt1339", "ISSN" : "1087-0156", "PMID" : "17873866", "abstract" : "Cholesterol-conjugated siRNAs can silence gene expression in vivo. Here we synthesize a variety of lipophilic siRNAs and use them to elucidate the requirements for siRNA delivery in vivo. We show that conjugation to bile acids and long-chain fatty acids, in addition to cholesterol, mediates siRNA uptake into cells and gene silencing in vivo. Efficient and selective uptake of these siRNA conjugates depends on interactions with lipoprotein particles, lipoprotein receptors and transmembrane proteins. High-density lipoprotein (HDL) directs siRNA delivery into liver, gut, kidney and steroidogenic organs, whereas low-density lipoprotein (LDL) targets siRNA primarily to the liver. LDL-receptor expression is essential for siRNA delivery by LDL particles, and SR-BI receptor expression is required for uptake of HDL-bound siRNAs. Cellular uptake also requires the mammalian homolog of the Caenorhabditis elegans transmembrane protein Sid1. Our results demonstrate that conjugation to lipophilic molecules enables effective siRNA uptake through a common mechanism that can be exploited to optimize therapeutic siRNA delivery.", "author" : [ { "dropping-particle" : "", "family" : "Wolfrum", "given" : "Christian", "non-dropping-particle" : "", "parse-names" : false, "suffix" : "" }, { "dropping-particle" : "", "family" : "Shi", "given" : "Shuanping", "non-dropping-particle" : "", "parse-names" : false, "suffix" : "" }, { "dropping-particle" : "", "family" : "Jayaprakash", "given" : "K Narayanannair", "non-dropping-particle" : "", "parse-names" : false, "suffix" : "" }, { "dropping-particle" : "", "family" : "Jayaraman", "given" : "Muthusamy", "non-dropping-particle" : "", "parse-names" : false, "suffix" : "" }, { "dropping-particle" : "", "family" : "Wang", "given" : "Gang", "non-dropping-particle" : "", "parse-names" : false, "suffix" : "" }, { "dropping-particle" : "", "family" : "Pandey", "given" : "Rajendra K", "non-dropping-particle" : "", "parse-names" : false, "suffix" : "" }, { "dropping-particle" : "", "family" : "Rajeev", "given" : "Kallanthottathil G", "non-dropping-particle" : "", "parse-names" : false, "suffix" : "" }, { "dropping-particle" : "", "family" : "Nakayama", "given" : "Tomoko", "non-dropping-particle" : "", "parse-names" : false, "suffix" : "" }, { "dropping-particle" : "", "family" : "Charrise", "given" : "Klaus", "non-dropping-particle" : "", "parse-names" : false, "suffix" : "" }, { "dropping-particle" : "", "family" : "Ndungo", "given" : "Esther M", "non-dropping-particle" : "", "parse-names" : false, "suffix" : "" }, { "dropping-particle" : "", "family" : "Zimmermann", "given" : "Tracy", "non-dropping-particle" : "", "parse-names" : false, "suffix" : "" }, { "dropping-particle" : "", "family" : "Koteliansky", "given" : "Victor", "non-dropping-particle" : "", "parse-names" : false, "suffix" : "" }, { "dropping-particle" : "", "family" : "Manoharan", "given" : "Muthiah", "non-dropping-particle" : "", "parse-names" : false, "suffix" : "" }, { "dropping-particle" : "", "family" : "Stoffel", "given" : "Markus", "non-dropping-particle" : "", "parse-names" : false, "suffix" : "" } ], "container-title" : "Nature biotechnology", "id" : "ITEM-4", "issue" : "10", "issued" : { "date-parts" : [ [ "2007", "10" ] ] }, "page" : "1149-57", "title" : "Mechanisms and optimization of in vivo delivery of lipophilic siRNAs.", "type" : "article-journal", "volume" : "25" }, "uris" : [ "http://www.mendeley.com/documents/?uuid=00587359-ec6a-4688-88e6-783ec9a97fc6" ] } ], "mendeley" : { "formattedCitation" : "(Bijsterbosch et al., 2000; C. Lorenz, Hadwiger, John, Vornlocher, &amp; Unverzagt, 2004; Soutschek et al., 2004; Wolfrum et al., 2007)", "plainTextFormattedCitation" : "(Bijsterbosch et al., 2000; C. Lorenz, Hadwiger, John, Vornlocher, &amp; Unverzagt, 2004; Soutschek et al., 2004; Wolfrum et al., 2007)", "previouslyFormattedCitation" : "(Bijsterbosch et al., 2000; C. Lorenz, Hadwiger, John, Vornlocher, &amp; Unverzagt, 2004; Soutschek et al., 2004; Wolfrum et al., 2007)" }, "properties" : { "noteIndex" : 0 }, "schema" : "https://github.com/citation-style-language/schema/raw/master/csl-citation.json" }</w:instrText>
      </w:r>
      <w:r>
        <w:rPr>
          <w:rFonts w:ascii="Calibri" w:hAnsi="Calibri" w:cs="Arial"/>
          <w:i/>
        </w:rPr>
        <w:fldChar w:fldCharType="separate"/>
      </w:r>
      <w:r w:rsidRPr="003850D8">
        <w:rPr>
          <w:rFonts w:ascii="Calibri" w:hAnsi="Calibri" w:cs="Arial"/>
          <w:noProof/>
        </w:rPr>
        <w:t>(Bijsterbosch et al., 2000; C. Lorenz, Hadwiger, John, Vornlocher, &amp; Unverzagt, 2004; Soutschek et al., 2004; Wolfrum et al., 2007)</w:t>
      </w:r>
      <w:r>
        <w:rPr>
          <w:rFonts w:ascii="Calibri" w:hAnsi="Calibri" w:cs="Arial"/>
          <w:i/>
        </w:rPr>
        <w:fldChar w:fldCharType="end"/>
      </w:r>
      <w:r>
        <w:rPr>
          <w:rFonts w:ascii="Calibri" w:hAnsi="Calibri" w:cs="Arial"/>
          <w:i/>
        </w:rPr>
        <w:t>.</w:t>
      </w:r>
      <w:r w:rsidR="00895E5D">
        <w:rPr>
          <w:rFonts w:ascii="Calibri" w:hAnsi="Calibri" w:cs="Arial"/>
          <w:i/>
        </w:rPr>
        <w:t xml:space="preserve"> </w:t>
      </w:r>
      <w:r>
        <w:rPr>
          <w:rFonts w:ascii="Calibri" w:hAnsi="Calibri" w:cs="Arial"/>
        </w:rPr>
        <w:t xml:space="preserve">It was thus shown that </w:t>
      </w:r>
      <w:r w:rsidR="00895E5D">
        <w:rPr>
          <w:rFonts w:ascii="Calibri" w:hAnsi="Calibri" w:cs="Arial"/>
        </w:rPr>
        <w:t xml:space="preserve">although </w:t>
      </w:r>
      <w:r>
        <w:rPr>
          <w:rFonts w:ascii="Calibri" w:hAnsi="Calibri" w:cs="Arial"/>
        </w:rPr>
        <w:t xml:space="preserve">2’-O-methylated siRNA </w:t>
      </w:r>
      <w:r w:rsidR="00895E5D">
        <w:rPr>
          <w:rFonts w:ascii="Calibri" w:hAnsi="Calibri" w:cs="Arial"/>
        </w:rPr>
        <w:t xml:space="preserve">does </w:t>
      </w:r>
      <w:r>
        <w:rPr>
          <w:rFonts w:ascii="Calibri" w:hAnsi="Calibri" w:cs="Arial"/>
        </w:rPr>
        <w:t xml:space="preserve">indeed interact with the lung tissue, </w:t>
      </w:r>
      <w:r w:rsidR="00895E5D">
        <w:rPr>
          <w:rFonts w:ascii="Calibri" w:hAnsi="Calibri" w:cs="Arial"/>
        </w:rPr>
        <w:t xml:space="preserve">it was not subsequently </w:t>
      </w:r>
      <w:r>
        <w:rPr>
          <w:rFonts w:ascii="Calibri" w:hAnsi="Calibri" w:cs="Arial"/>
        </w:rPr>
        <w:t>adsorb</w:t>
      </w:r>
      <w:r w:rsidR="00895E5D">
        <w:rPr>
          <w:rFonts w:ascii="Calibri" w:hAnsi="Calibri" w:cs="Arial"/>
        </w:rPr>
        <w:t>ed</w:t>
      </w:r>
      <w:r w:rsidR="00450D3F">
        <w:rPr>
          <w:rFonts w:ascii="Calibri" w:hAnsi="Calibri" w:cs="Arial"/>
        </w:rPr>
        <w:t xml:space="preserve">, </w:t>
      </w:r>
      <w:r>
        <w:rPr>
          <w:rFonts w:ascii="Calibri" w:hAnsi="Calibri" w:cs="Arial"/>
        </w:rPr>
        <w:t xml:space="preserve">endocytosed or </w:t>
      </w:r>
      <w:r w:rsidR="00450D3F">
        <w:rPr>
          <w:rFonts w:ascii="Calibri" w:hAnsi="Calibri" w:cs="Arial"/>
        </w:rPr>
        <w:t xml:space="preserve">delivered into the cytosol of </w:t>
      </w:r>
      <w:r>
        <w:rPr>
          <w:rFonts w:ascii="Calibri" w:hAnsi="Calibri" w:cs="Arial"/>
        </w:rPr>
        <w:t xml:space="preserve">epithelia, alveolar macrophages or endothelia. No </w:t>
      </w:r>
      <w:r w:rsidR="00450D3F">
        <w:rPr>
          <w:rFonts w:ascii="Calibri" w:hAnsi="Calibri" w:cs="Arial"/>
        </w:rPr>
        <w:t xml:space="preserve">biological </w:t>
      </w:r>
      <w:r>
        <w:rPr>
          <w:rFonts w:ascii="Calibri" w:hAnsi="Calibri" w:cs="Arial"/>
        </w:rPr>
        <w:t>activity was observed in any of the examined cell types</w:t>
      </w:r>
      <w:r w:rsidR="000D47E8">
        <w:rPr>
          <w:rFonts w:ascii="Calibri" w:hAnsi="Calibri" w:cs="Arial"/>
        </w:rPr>
        <w:t xml:space="preserve">, even though the study was powered at &gt;94% (n=5) to measure </w:t>
      </w:r>
      <w:r w:rsidR="000D47E8">
        <w:rPr>
          <w:rFonts w:ascii="Calibri" w:hAnsi="Calibri" w:cs="Arial"/>
        </w:rPr>
        <w:lastRenderedPageBreak/>
        <w:t>50% reduction in target levels</w:t>
      </w:r>
      <w:r>
        <w:rPr>
          <w:rFonts w:ascii="Calibri" w:hAnsi="Calibri" w:cs="Arial"/>
        </w:rPr>
        <w:t xml:space="preserve">. Instead, </w:t>
      </w:r>
      <w:r w:rsidR="00450D3F">
        <w:rPr>
          <w:rFonts w:ascii="Calibri" w:hAnsi="Calibri" w:cs="Arial"/>
        </w:rPr>
        <w:t xml:space="preserve">mass spectrometry showed that </w:t>
      </w:r>
      <w:r>
        <w:rPr>
          <w:rFonts w:ascii="Calibri" w:hAnsi="Calibri" w:cs="Arial"/>
        </w:rPr>
        <w:t xml:space="preserve">fully intact, sulphonated Cy5-labelled siRNA was recovered at substantial quantities </w:t>
      </w:r>
      <w:r w:rsidR="00450D3F">
        <w:rPr>
          <w:rFonts w:ascii="Calibri" w:hAnsi="Calibri" w:cs="Arial"/>
        </w:rPr>
        <w:t xml:space="preserve">within the </w:t>
      </w:r>
      <w:r>
        <w:rPr>
          <w:rFonts w:ascii="Calibri" w:hAnsi="Calibri" w:cs="Arial"/>
        </w:rPr>
        <w:t xml:space="preserve">urine </w:t>
      </w:r>
      <w:r w:rsidR="00450D3F">
        <w:rPr>
          <w:rFonts w:ascii="Calibri" w:hAnsi="Calibri" w:cs="Arial"/>
        </w:rPr>
        <w:t xml:space="preserve">of </w:t>
      </w:r>
      <w:r>
        <w:rPr>
          <w:rFonts w:ascii="Calibri" w:hAnsi="Calibri" w:cs="Arial"/>
        </w:rPr>
        <w:t xml:space="preserve">mice within 15 min of intratracheal administration </w:t>
      </w:r>
      <w:r>
        <w:rPr>
          <w:rFonts w:ascii="Calibri" w:hAnsi="Calibri" w:cs="Arial"/>
        </w:rPr>
        <w:fldChar w:fldCharType="begin" w:fldLock="1"/>
      </w:r>
      <w:r>
        <w:rPr>
          <w:rFonts w:ascii="Calibri" w:hAnsi="Calibri" w:cs="Arial"/>
        </w:rPr>
        <w:instrText>ADDIN CSL_CITATION { "citationItems" : [ { "id" : "ITEM-1", "itemData" : { "DOI" : "10.1038/mt.2011.206", "ISBN" : "1525-0024 (Electronic)\r1525-0016 (Linking)", "PMID" : "21971426", "abstract" : "Antisense oligonucleotides (ASOs) and small interfering RNA (siRNA) promise specific correction of disease-causing gene expression. Therapeutic implementation, however, has been forestalled by poor delivery to the appropriate tissue, cell type, and subcellular compartment. Topical administration is considered to circumvent these issues. The availability of inhalation devices and unmet medical need in lung disease has focused efforts in this tissue. We report the development of a novel cell sorting method for quantitative, cell type-specific analysis of siRNA, and locked nucleic acid (LNA) ASO uptake and efficacy after intratracheal (i.t.) administration in mice. Through fluorescent dye labeling, we compare the utility of this approach to whole animal and whole tissue analysis, and examine the extent of tissue distribution. We detail rapid systemic access and renal clearance for both therapeutic classes and lack of efficacy at the protein level in lung macrophages, epithelia, or other cell types. We nevertheless observe efficient redirection of i.t. administered phosphorothioate (PS) LNA ASO to the liver and kidney leading to targeted gene knockdown. These data suggest delivery remains a key obstacle to topically administered, naked oligonucleotide efficacy in the lung and introduce inhalation as a potentially viable alternative to injection for antisense administration to the liver and kidneys.", "author" : [ { "dropping-particle" : "", "family" : "Moschos", "given" : "S A", "non-dropping-particle" : "", "parse-names" : false, "suffix" : "" }, { "dropping-particle" : "", "family" : "Frick", "given" : "M", "non-dropping-particle" : "", "parse-names" : false, "suffix" : "" }, { "dropping-particle" : "", "family" : "Taylor", "given" : "B", "non-dropping-particle" : "", "parse-names" : false, "suffix" : "" }, { "dropping-particle" : "", "family" : "Turnpenny", "given" : "P", "non-dropping-particle" : "", "parse-names" : false, "suffix" : "" }, { "dropping-particle" : "", "family" : "Graves", "given" : "H", "non-dropping-particle" : "", "parse-names" : false, "suffix" : "" }, { "dropping-particle" : "", "family" : "Spink", "given" : "K G", "non-dropping-particle" : "", "parse-names" : false, "suffix" : "" }, { "dropping-particle" : "", "family" : "Brady", "given" : "K", "non-dropping-particle" : "", "parse-names" : false, "suffix" : "" }, { "dropping-particle" : "", "family" : "Lamb", "given" : "D", "non-dropping-particle" : "", "parse-names" : false, "suffix" : "" }, { "dropping-particle" : "", "family" : "Collins", "given" : "D", "non-dropping-particle" : "", "parse-names" : false, "suffix" : "" }, { "dropping-particle" : "", "family" : "Rockel", "given" : "T D", "non-dropping-particle" : "", "parse-names" : false, "suffix" : "" }, { "dropping-particle" : "", "family" : "Weber", "given" : "M", "non-dropping-particle" : "", "parse-names" : false, "suffix" : "" }, { "dropping-particle" : "", "family" : "Lazari", "given" : "O", "non-dropping-particle" : "", "parse-names" : false, "suffix" : "" }, { "dropping-particle" : "", "family" : "Perez-Tosar", "given" : "L", "non-dropping-particle" : "", "parse-names" : false, "suffix" : "" }, { "dropping-particle" : "", "family" : "Fancy", "given" : "S A", "non-dropping-particle" : "", "parse-names" : false, "suffix" : "" }, { "dropping-particle" : "", "family" : "Lapthorn", "given" : "C", "non-dropping-particle" : "", "parse-names" : false, "suffix" : "" }, { "dropping-particle" : "", "family" : "Green", "given" : "M X", "non-dropping-particle" : "", "parse-names" : false, "suffix" : "" }, { "dropping-particle" : "", "family" : "Evans", "given" : "S", "non-dropping-particle" : "", "parse-names" : false, "suffix" : "" }, { "dropping-particle" : "", "family" : "Selby", "given" : "M", "non-dropping-particle" : "", "parse-names" : false, "suffix" : "" }, { "dropping-particle" : "", "family" : "Jones", "given" : "G", "non-dropping-particle" : "", "parse-names" : false, "suffix" : "" }, { "dropping-particle" : "", "family" : "Jones", "given" : "L", "non-dropping-particle" : "", "parse-names" : false, "suffix" : "" }, { "dropping-particle" : "", "family" : "Kearney", "given" : "S", "non-dropping-particle" : "", "parse-names" : false, "suffix" : "" }, { "dropping-particle" : "", "family" : "Mechiche", "given" : "H", "non-dropping-particle" : "", "parse-names" : false, "suffix" : "" }, { "dropping-particle" : "", "family" : "Gikunju", "given" : "D", "non-dropping-particle" : "", "parse-names" : false, "suffix" : "" }, { "dropping-particle" : "", "family" : "Subramanian", "given" : "R", "non-dropping-particle" : "", "parse-names" : false, "suffix" : "" }, { "dropping-particle" : "", "family" : "Uhlmann", "given" : "E", "non-dropping-particle" : "", "parse-names" : false, "suffix" : "" }, { "dropping-particle" : "", "family" : "Jurk", "given" : "M", "non-dropping-particle" : "", "parse-names" : false, "suffix" : "" }, { "dropping-particle" : "", "family" : "Vollmer", "given" : "J", "non-dropping-particle" : "", "parse-names" : false, "suffix" : "" }, { "dropping-particle" : "", "family" : "Ciaramella", "given" : "G", "non-dropping-particle" : "", "parse-names" : false, "suffix" : "" }, { "dropping-particle" : "", "family" : "Yeadon", "given" : "M", "non-dropping-particle" : "", "parse-names" : false, "suffix" : "" } ], "container-title" : "Mol Ther", "edition" : "2011/10/06", "id" : "ITEM-1", "issue" : "12", "issued" : { "date-parts" : [ [ "2011" ] ] }, "language" : "eng", "note" : "Moschos, Sterghios A\nFrick, Manfred\nTaylor, Bruce\nTurnpenny, Paul\nGraves, Helen\nSpink, Karen G\nBrady, Kevin\nLamb, David\nCollins, David\nRockel, Thomas D\nWeber, Markus\nLazari, Ovadia\nPerez-Tosar, Luis\nFancy, Sally A\nLapthorn, Chris\nGreen, Martin X\nEvans, Steve\nSelby, Matthew\nJones, Gareth\nJones, Lyn\nKearney, Sarah\nMechiche, Houria\nGikunju, Diana\nSubramanian, Romesh\nUhlmann, Eugen\nJurk, Marion\nVollmer, Jorg\nCiaramella, Giuseppe\nYeadon, Michael\nMol Ther. 2011 Dec;19(12):2163-8. doi: 10.1038/mt.2011.206. Epub 2011 Oct 4.", "page" : "2163-2168", "title" : "Uptake, efficacy, and systemic distribution of naked, inhaled short interfering RNA (siRNA) and locked nucleic acid (LNA) antisense", "type" : "article-journal", "volume" : "19" }, "uris" : [ "http://www.mendeley.com/documents/?uuid=4748daf6-e4ed-4ef5-b072-f4709f195c25" ] } ], "mendeley" : { "formattedCitation" : "(Moschos et al., 2011)", "plainTextFormattedCitation" : "(Moschos et al., 2011)", "previouslyFormattedCitation" : "(Moschos et al., 2011)" }, "properties" : { "noteIndex" : 0 }, "schema" : "https://github.com/citation-style-language/schema/raw/master/csl-citation.json" }</w:instrText>
      </w:r>
      <w:r>
        <w:rPr>
          <w:rFonts w:ascii="Calibri" w:hAnsi="Calibri" w:cs="Arial"/>
        </w:rPr>
        <w:fldChar w:fldCharType="separate"/>
      </w:r>
      <w:r w:rsidRPr="004C64A5">
        <w:rPr>
          <w:rFonts w:ascii="Calibri" w:hAnsi="Calibri" w:cs="Arial"/>
          <w:noProof/>
        </w:rPr>
        <w:t>(Moschos et al., 2011)</w:t>
      </w:r>
      <w:r>
        <w:rPr>
          <w:rFonts w:ascii="Calibri" w:hAnsi="Calibri" w:cs="Arial"/>
        </w:rPr>
        <w:fldChar w:fldCharType="end"/>
      </w:r>
      <w:r>
        <w:rPr>
          <w:rFonts w:ascii="Calibri" w:hAnsi="Calibri" w:cs="Arial"/>
        </w:rPr>
        <w:t>. Most convincingly, the colour of the urine was deep blue, i.e. the same naked eye colour of the sulphonated Cy5 dye. Indeed, a similar</w:t>
      </w:r>
      <w:r w:rsidR="00D2409A">
        <w:rPr>
          <w:rFonts w:ascii="Calibri" w:hAnsi="Calibri" w:cs="Arial"/>
        </w:rPr>
        <w:t>, unreported</w:t>
      </w:r>
      <w:r>
        <w:rPr>
          <w:rFonts w:ascii="Calibri" w:hAnsi="Calibri" w:cs="Arial"/>
        </w:rPr>
        <w:t xml:space="preserve"> observation in the red (Cy3) spectrum </w:t>
      </w:r>
      <w:r>
        <w:rPr>
          <w:rFonts w:ascii="Calibri" w:hAnsi="Calibri" w:cs="Arial"/>
        </w:rPr>
        <w:fldChar w:fldCharType="begin" w:fldLock="1"/>
      </w:r>
      <w:r>
        <w:rPr>
          <w:rFonts w:ascii="Calibri" w:hAnsi="Calibri" w:cs="Arial"/>
        </w:rPr>
        <w:instrText>ADDIN CSL_CITATION { "citationItems" : [ { "id" : "ITEM-1", "itemData" : { "DOI" : "10.1021/bc070077d", "ISBN" : "1043-1802 (Print)\r1043-1802 (Linking)", "PMID" : "17711319", "abstract" : "The therapeutic application of siRNA shows promise as an alternative approach to small-molecule inhibitors for the treatment of human disease. However, the major obstacle to its use has been the difficulty in delivering these large anionic molecules in vivo. In this study, we have investigated whether siRNA-mediated knockdown of p38 MAP kinase mRNA in mouse lung is influenced by conjugation to the nonviral delivery vector cholesterol and the cell penetrating peptides (CPP) TAT(48-60) and penetratin. Initial studies in the mouse fibroblast L929 cell line showed that siRNA conjugated to cholesterol, TAT(48-60), and penetratin, but not siRNA alone, achieved a limited reduction of p38 MAP kinase mRNA expression. Intratracheal administration of siRNA resulted in localization within macrophages and scattered epithelial cells and produced a 30-45% knockdown of p38 MAP kinase mRNA at 6 h. As with increasing doses of siRNA, conjugation to cholesterol improved upon the duration but not the magnitude of mRNA knockdown, while penetratin and TAT(48-60) had no effect. Importantly, administration of the penetratin or TAT(48-60) peptides alone caused significant reduction in p38 MAP kinase mRNA expression, while the penetratin-siRNA conjugate activated the innate immune response. Overall, these studies suggest that conjugation to cholesterol may extend but not increase siRNA-mediated p38 MAP kinase mRNA knockdown in the lung. Furthermore, the use of CPP may be limited due to as yet uncharacterized effects upon gene expression and a potential for immune activation.", "author" : [ { "dropping-particle" : "", "family" : "Moschos", "given" : "S A", "non-dropping-particle" : "", "parse-names" : false, "suffix" : "" }, { "dropping-particle" : "", "family" : "Jones", "given" : "S W", "non-dropping-particle" : "", "parse-names" : false, "suffix" : "" }, { "dropping-particle" : "", "family" : "Perry", "given" : "M M", "non-dropping-particle" : "", "parse-names" : false, "suffix" : "" }, { "dropping-particle" : "", "family" : "Williams", "given" : "A E", "non-dropping-particle" : "", "parse-names" : false, "suffix" : "" }, { "dropping-particle" : "", "family" : "Erjefalt", "given" : "J S", "non-dropping-particle" : "", "parse-names" : false, "suffix" : "" }, { "dropping-particle" : "", "family" : "Turner", "given" : "J J", "non-dropping-particle" : "", "parse-names" : false, "suffix" : "" }, { "dropping-particle" : "", "family" : "Barnes", "given" : "P J", "non-dropping-particle" : "", "parse-names" : false, "suffix" : "" }, { "dropping-particle" : "", "family" : "Sproat", "given" : "B S", "non-dropping-particle" : "", "parse-names" : false, "suffix" : "" }, { "dropping-particle" : "", "family" : "Gait", "given" : "M J", "non-dropping-particle" : "", "parse-names" : false, "suffix" : "" }, { "dropping-particle" : "", "family" : "Lindsay", "given" : "M A", "non-dropping-particle" : "", "parse-names" : false, "suffix" : "" } ], "container-title" : "Bioconjug Chem", "edition" : "2007/08/23", "id" : "ITEM-1", "issue" : "5", "issued" : { "date-parts" : [ [ "2007" ] ] }, "language" : "eng", "note" : "Moschos, Sterghios Athanasios\nJones, Simon Wyn\nPerry, Mark Michael\nWilliams, Andrew Evan\nErjefalt, Jonas Sten\nTurner, John James\nBarnes, Peter John\nSproat, Brian Stephen\nGait, Michael John\nLindsay, Mark Andrew\n076111/Wellcome Trust/United Kingdom\nBB/C508234/1/Biotechnology and Biological Sciences Research Council/United Kingdom\nBioconjug Chem. 2007 Sep-Oct;18(5):1450-9. Epub 2007 Aug 21.", "page" : "1450-1459", "title" : "Lung delivery studies using siRNA conjugated to TAT(48-60) and penetratin reveal peptide induced reduction in gene expression and induction of innate immunity", "type" : "article-journal", "volume" : "18" }, "uris" : [ "http://www.mendeley.com/documents/?uuid=adc9266f-3899-4f79-9be6-a0804058ada0" ] } ], "mendeley" : { "formattedCitation" : "(Moschos et al., 2007)", "plainTextFormattedCitation" : "(Moschos et al., 2007)", "previouslyFormattedCitation" : "(Moschos et al., 2007)" }, "properties" : { "noteIndex" : 0 }, "schema" : "https://github.com/citation-style-language/schema/raw/master/csl-citation.json" }</w:instrText>
      </w:r>
      <w:r>
        <w:rPr>
          <w:rFonts w:ascii="Calibri" w:hAnsi="Calibri" w:cs="Arial"/>
        </w:rPr>
        <w:fldChar w:fldCharType="separate"/>
      </w:r>
      <w:r w:rsidRPr="003850D8">
        <w:rPr>
          <w:rFonts w:ascii="Calibri" w:hAnsi="Calibri" w:cs="Arial"/>
          <w:noProof/>
        </w:rPr>
        <w:t>(Moschos et al., 2007)</w:t>
      </w:r>
      <w:r>
        <w:rPr>
          <w:rFonts w:ascii="Calibri" w:hAnsi="Calibri" w:cs="Arial"/>
        </w:rPr>
        <w:fldChar w:fldCharType="end"/>
      </w:r>
      <w:r>
        <w:rPr>
          <w:rFonts w:ascii="Calibri" w:hAnsi="Calibri" w:cs="Arial"/>
        </w:rPr>
        <w:t xml:space="preserve"> had been previously dismissed as incidental hematuria and remained uninvestigated.</w:t>
      </w:r>
      <w:r w:rsidR="00450D3F">
        <w:rPr>
          <w:rFonts w:ascii="Calibri" w:hAnsi="Calibri" w:cs="Arial"/>
          <w:i/>
        </w:rPr>
        <w:t xml:space="preserve"> </w:t>
      </w:r>
      <w:r>
        <w:rPr>
          <w:rFonts w:ascii="Calibri" w:hAnsi="Calibri" w:cs="Arial"/>
        </w:rPr>
        <w:t xml:space="preserve">Simple allometric scaling on heart rates between species would translate these findings to siRNA detection in urine ~140 min after administration in man. Although direct comparisons of the compounds tested in mice </w:t>
      </w:r>
      <w:r>
        <w:rPr>
          <w:rFonts w:ascii="Calibri" w:hAnsi="Calibri" w:cs="Arial"/>
        </w:rPr>
        <w:fldChar w:fldCharType="begin" w:fldLock="1"/>
      </w:r>
      <w:r w:rsidR="003F78E9">
        <w:rPr>
          <w:rFonts w:ascii="Calibri" w:hAnsi="Calibri" w:cs="Arial"/>
        </w:rPr>
        <w:instrText>ADDIN CSL_CITATION { "citationItems" : [ { "id" : "ITEM-1", "itemData" : { "DOI" : "10.1021/bc070077d", "ISBN" : "1043-1802 (Print)\r1043-1802 (Linking)", "PMID" : "17711319", "abstract" : "The therapeutic application of siRNA shows promise as an alternative approach to small-molecule inhibitors for the treatment of human disease. However, the major obstacle to its use has been the difficulty in delivering these large anionic molecules in vivo. In this study, we have investigated whether siRNA-mediated knockdown of p38 MAP kinase mRNA in mouse lung is influenced by conjugation to the nonviral delivery vector cholesterol and the cell penetrating peptides (CPP) TAT(48-60) and penetratin. Initial studies in the mouse fibroblast L929 cell line showed that siRNA conjugated to cholesterol, TAT(48-60), and penetratin, but not siRNA alone, achieved a limited reduction of p38 MAP kinase mRNA expression. Intratracheal administration of siRNA resulted in localization within macrophages and scattered epithelial cells and produced a 30-45% knockdown of p38 MAP kinase mRNA at 6 h. As with increasing doses of siRNA, conjugation to cholesterol improved upon the duration but not the magnitude of mRNA knockdown, while penetratin and TAT(48-60) had no effect. Importantly, administration of the penetratin or TAT(48-60) peptides alone caused significant reduction in p38 MAP kinase mRNA expression, while the penetratin-siRNA conjugate activated the innate immune response. Overall, these studies suggest that conjugation to cholesterol may extend but not increase siRNA-mediated p38 MAP kinase mRNA knockdown in the lung. Furthermore, the use of CPP may be limited due to as yet uncharacterized effects upon gene expression and a potential for immune activation.", "author" : [ { "dropping-particle" : "", "family" : "Moschos", "given" : "S A", "non-dropping-particle" : "", "parse-names" : false, "suffix" : "" }, { "dropping-particle" : "", "family" : "Jones", "given" : "S W", "non-dropping-particle" : "", "parse-names" : false, "suffix" : "" }, { "dropping-particle" : "", "family" : "Perry", "given" : "M M", "non-dropping-particle" : "", "parse-names" : false, "suffix" : "" }, { "dropping-particle" : "", "family" : "Williams", "given" : "A E", "non-dropping-particle" : "", "parse-names" : false, "suffix" : "" }, { "dropping-particle" : "", "family" : "Erjefalt", "given" : "J S", "non-dropping-particle" : "", "parse-names" : false, "suffix" : "" }, { "dropping-particle" : "", "family" : "Turner", "given" : "J J", "non-dropping-particle" : "", "parse-names" : false, "suffix" : "" }, { "dropping-particle" : "", "family" : "Barnes", "given" : "P J", "non-dropping-particle" : "", "parse-names" : false, "suffix" : "" }, { "dropping-particle" : "", "family" : "Sproat", "given" : "B S", "non-dropping-particle" : "", "parse-names" : false, "suffix" : "" }, { "dropping-particle" : "", "family" : "Gait", "given" : "M J", "non-dropping-particle" : "", "parse-names" : false, "suffix" : "" }, { "dropping-particle" : "", "family" : "Lindsay", "given" : "M A", "non-dropping-particle" : "", "parse-names" : false, "suffix" : "" } ], "container-title" : "Bioconjug Chem", "edition" : "2007/08/23", "id" : "ITEM-1", "issue" : "5", "issued" : { "date-parts" : [ [ "2007" ] ] }, "language" : "eng", "note" : "Moschos, Sterghios Athanasios\nJones, Simon Wyn\nPerry, Mark Michael\nWilliams, Andrew Evan\nErjefalt, Jonas Sten\nTurner, John James\nBarnes, Peter John\nSproat, Brian Stephen\nGait, Michael John\nLindsay, Mark Andrew\n076111/Wellcome Trust/United Kingdom\nBB/C508234/1/Biotechnology and Biological Sciences Research Council/United Kingdom\nBioconjug Chem. 2007 Sep-Oct;18(5):1450-9. Epub 2007 Aug 21.", "page" : "1450-1459", "title" : "Lung delivery studies using siRNA conjugated to TAT(48-60) and penetratin reveal peptide induced reduction in gene expression and induction of innate immunity", "type" : "article-journal", "volume" : "18" }, "uris" : [ "http://www.mendeley.com/documents/?uuid=adc9266f-3899-4f79-9be6-a0804058ada0" ] }, { "id" : "ITEM-2", "itemData" : { "DOI" : "10.1038/mt.2011.206", "ISBN" : "1525-0024 (Electronic)\r1525-0016 (Linking)", "PMID" : "21971426", "abstract" : "Antisense oligonucleotides (ASOs) and small interfering RNA (siRNA) promise specific correction of disease-causing gene expression. Therapeutic implementation, however, has been forestalled by poor delivery to the appropriate tissue, cell type, and subcellular compartment. Topical administration is considered to circumvent these issues. The availability of inhalation devices and unmet medical need in lung disease has focused efforts in this tissue. We report the development of a novel cell sorting method for quantitative, cell type-specific analysis of siRNA, and locked nucleic acid (LNA) ASO uptake and efficacy after intratracheal (i.t.) administration in mice. Through fluorescent dye labeling, we compare the utility of this approach to whole animal and whole tissue analysis, and examine the extent of tissue distribution. We detail rapid systemic access and renal clearance for both therapeutic classes and lack of efficacy at the protein level in lung macrophages, epithelia, or other cell types. We nevertheless observe efficient redirection of i.t. administered phosphorothioate (PS) LNA ASO to the liver and kidney leading to targeted gene knockdown. These data suggest delivery remains a key obstacle to topically administered, naked oligonucleotide efficacy in the lung and introduce inhalation as a potentially viable alternative to injection for antisense administration to the liver and kidneys.", "author" : [ { "dropping-particle" : "", "family" : "Moschos", "given" : "S A", "non-dropping-particle" : "", "parse-names" : false, "suffix" : "" }, { "dropping-particle" : "", "family" : "Frick", "given" : "M", "non-dropping-particle" : "", "parse-names" : false, "suffix" : "" }, { "dropping-particle" : "", "family" : "Taylor", "given" : "B", "non-dropping-particle" : "", "parse-names" : false, "suffix" : "" }, { "dropping-particle" : "", "family" : "Turnpenny", "given" : "P", "non-dropping-particle" : "", "parse-names" : false, "suffix" : "" }, { "dropping-particle" : "", "family" : "Graves", "given" : "H", "non-dropping-particle" : "", "parse-names" : false, "suffix" : "" }, { "dropping-particle" : "", "family" : "Spink", "given" : "K G", "non-dropping-particle" : "", "parse-names" : false, "suffix" : "" }, { "dropping-particle" : "", "family" : "Brady", "given" : "K", "non-dropping-particle" : "", "parse-names" : false, "suffix" : "" }, { "dropping-particle" : "", "family" : "Lamb", "given" : "D", "non-dropping-particle" : "", "parse-names" : false, "suffix" : "" }, { "dropping-particle" : "", "family" : "Collins", "given" : "D", "non-dropping-particle" : "", "parse-names" : false, "suffix" : "" }, { "dropping-particle" : "", "family" : "Rockel", "given" : "T D", "non-dropping-particle" : "", "parse-names" : false, "suffix" : "" }, { "dropping-particle" : "", "family" : "Weber", "given" : "M", "non-dropping-particle" : "", "parse-names" : false, "suffix" : "" }, { "dropping-particle" : "", "family" : "Lazari", "given" : "O", "non-dropping-particle" : "", "parse-names" : false, "suffix" : "" }, { "dropping-particle" : "", "family" : "Perez-Tosar", "given" : "L", "non-dropping-particle" : "", "parse-names" : false, "suffix" : "" }, { "dropping-particle" : "", "family" : "Fancy", "given" : "S A", "non-dropping-particle" : "", "parse-names" : false, "suffix" : "" }, { "dropping-particle" : "", "family" : "Lapthorn", "given" : "C", "non-dropping-particle" : "", "parse-names" : false, "suffix" : "" }, { "dropping-particle" : "", "family" : "Green", "given" : "M X", "non-dropping-particle" : "", "parse-names" : false, "suffix" : "" }, { "dropping-particle" : "", "family" : "Evans", "given" : "S", "non-dropping-particle" : "", "parse-names" : false, "suffix" : "" }, { "dropping-particle" : "", "family" : "Selby", "given" : "M", "non-dropping-particle" : "", "parse-names" : false, "suffix" : "" }, { "dropping-particle" : "", "family" : "Jones", "given" : "G", "non-dropping-particle" : "", "parse-names" : false, "suffix" : "" }, { "dropping-particle" : "", "family" : "Jones", "given" : "L", "non-dropping-particle" : "", "parse-names" : false, "suffix" : "" }, { "dropping-particle" : "", "family" : "Kearney", "given" : "S", "non-dropping-particle" : "", "parse-names" : false, "suffix" : "" }, { "dropping-particle" : "", "family" : "Mechiche", "given" : "H", "non-dropping-particle" : "", "parse-names" : false, "suffix" : "" }, { "dropping-particle" : "", "family" : "Gikunju", "given" : "D", "non-dropping-particle" : "", "parse-names" : false, "suffix" : "" }, { "dropping-particle" : "", "family" : "Subramanian", "given" : "R", "non-dropping-particle" : "", "parse-names" : false, "suffix" : "" }, { "dropping-particle" : "", "family" : "Uhlmann", "given" : "E", "non-dropping-particle" : "", "parse-names" : false, "suffix" : "" }, { "dropping-particle" : "", "family" : "Jurk", "given" : "M", "non-dropping-particle" : "", "parse-names" : false, "suffix" : "" }, { "dropping-particle" : "", "family" : "Vollmer", "given" : "J", "non-dropping-particle" : "", "parse-names" : false, "suffix" : "" }, { "dropping-particle" : "", "family" : "Ciaramella", "given" : "G", "non-dropping-particle" : "", "parse-names" : false, "suffix" : "" }, { "dropping-particle" : "", "family" : "Yeadon", "given" : "M", "non-dropping-particle" : "", "parse-names" : false, "suffix" : "" } ], "container-title" : "Mol Ther", "edition" : "2011/10/06", "id" : "ITEM-2", "issue" : "12", "issued" : { "date-parts" : [ [ "2011" ] ] }, "language" : "eng", "note" : "Moschos, Sterghios A\nFrick, Manfred\nTaylor, Bruce\nTurnpenny, Paul\nGraves, Helen\nSpink, Karen G\nBrady, Kevin\nLamb, David\nCollins, David\nRockel, Thomas D\nWeber, Markus\nLazari, Ovadia\nPerez-Tosar, Luis\nFancy, Sally A\nLapthorn, Chris\nGreen, Martin X\nEvans, Steve\nSelby, Matthew\nJones, Gareth\nJones, Lyn\nKearney, Sarah\nMechiche, Houria\nGikunju, Diana\nSubramanian, Romesh\nUhlmann, Eugen\nJurk, Marion\nVollmer, Jorg\nCiaramella, Giuseppe\nYeadon, Michael\nMol Ther. 2011 Dec;19(12):2163-8. doi: 10.1038/mt.2011.206. Epub 2011 Oct 4.", "page" : "2163-2168", "title" : "Uptake, efficacy, and systemic distribution of naked, inhaled short interfering RNA (siRNA) and locked nucleic acid (LNA) antisense", "type" : "article-journal", "volume" : "19" }, "uris" : [ "http://www.mendeley.com/documents/?uuid=4748daf6-e4ed-4ef5-b072-f4709f195c25" ] } ], "mendeley" : { "formattedCitation" : "(Moschos et al., 2007, 2011)", "plainTextFormattedCitation" : "(Moschos et al., 2007, 2011)", "previouslyFormattedCitation" : "(Moschos et al., 2007, 2011)" }, "properties" : { "noteIndex" : 0 }, "schema" : "https://github.com/citation-style-language/schema/raw/master/csl-citation.json" }</w:instrText>
      </w:r>
      <w:r>
        <w:rPr>
          <w:rFonts w:ascii="Calibri" w:hAnsi="Calibri" w:cs="Arial"/>
        </w:rPr>
        <w:fldChar w:fldCharType="separate"/>
      </w:r>
      <w:r w:rsidRPr="003850D8">
        <w:rPr>
          <w:rFonts w:ascii="Calibri" w:hAnsi="Calibri" w:cs="Arial"/>
          <w:noProof/>
        </w:rPr>
        <w:t>(Moschos et al., 2007, 2011)</w:t>
      </w:r>
      <w:r>
        <w:rPr>
          <w:rFonts w:ascii="Calibri" w:hAnsi="Calibri" w:cs="Arial"/>
        </w:rPr>
        <w:fldChar w:fldCharType="end"/>
      </w:r>
      <w:r>
        <w:rPr>
          <w:rFonts w:ascii="Calibri" w:hAnsi="Calibri" w:cs="Arial"/>
        </w:rPr>
        <w:t xml:space="preserve"> to ALN-RSV01 </w:t>
      </w:r>
      <w:r>
        <w:rPr>
          <w:rFonts w:ascii="Calibri" w:hAnsi="Calibri" w:cs="Arial"/>
        </w:rPr>
        <w:fldChar w:fldCharType="begin" w:fldLock="1"/>
      </w:r>
      <w:r>
        <w:rPr>
          <w:rFonts w:ascii="Calibri" w:hAnsi="Calibri" w:cs="Arial"/>
        </w:rPr>
        <w:instrText>ADDIN CSL_CITATION { "citationItems" : [ { "id" : "ITEM-1", "itemData" : { "DOI" : "10.1016/j.antiviral.2007.11.009", "ISSN" : "0166-3542", "PMID" : "18242722", "abstract" : "Small interfering RNAs (siRNAs) work through RNA interference (RNAi), the natural RNA inhibitory pathway, to down-regulate protein production by inhibiting targeted mRNA in a sequence-specific manner. ALN-RSV01 is an siRNA directed against the mRNA encoding the N-protein of respiratory syncytial virus (RSV) that exhibits specific in vitro and in vivo anti-RSV activity. The results of two safety and tolerability studies with ALN-RSV01 involving 101 healthy adults (65 active, 36 placebo, single- and multiple dose, observer-blind, randomized dose-escalation) are described. Intranasal administration of ALN-RSV01 was well tolerated over a dose range up through 150mg as a single dose and for five daily doses. Adverse events were similar in frequency and severity to placebo (normal saline) and were transient, mild to moderate, with no dose-dependent trend. The frequency or severity of adverse events did not increase with increasing ALN-RSV01 exposure. All subjects completed all treatments and assessments with no early withdrawals or serious adverse events. Physical examinations, vital signs, ECGs and laboratory tests were normal. Systemic bioavailability of ALN-RSV01 was minimal. ALN-RSV01 appears safe and well tolerated when delivered intranasally and is a promising therapeutic candidate for further clinical development.", "author" : [ { "dropping-particle" : "", "family" : "DeVincenzo", "given" : "John", "non-dropping-particle" : "", "parse-names" : false, "suffix" : "" }, { "dropping-particle" : "", "family" : "Cehelsky", "given" : "Jeffrey E", "non-dropping-particle" : "", "parse-names" : false, "suffix" : "" }, { "dropping-particle" : "", "family" : "Alvarez", "given" : "Rene", "non-dropping-particle" : "", "parse-names" : false, "suffix" : "" }, { "dropping-particle" : "", "family" : "Elbashir", "given" : "Sayda", "non-dropping-particle" : "", "parse-names" : false, "suffix" : "" }, { "dropping-particle" : "", "family" : "Harborth", "given" : "Jens", "non-dropping-particle" : "", "parse-names" : false, "suffix" : "" }, { "dropping-particle" : "", "family" : "Toudjarska", "given" : "Iva", "non-dropping-particle" : "", "parse-names" : false, "suffix" : "" }, { "dropping-particle" : "", "family" : "Nechev", "given" : "Lubomir", "non-dropping-particle" : "", "parse-names" : false, "suffix" : "" }, { "dropping-particle" : "", "family" : "Murugaiah", "given" : "Veeravagu", "non-dropping-particle" : "", "parse-names" : false, "suffix" : "" }, { "dropping-particle" : "", "family" : "Vliet", "given" : "Andre", "non-dropping-particle" : "Van", "parse-names" : false, "suffix" : "" }, { "dropping-particle" : "", "family" : "Vaishnaw", "given" : "Akshay K", "non-dropping-particle" : "", "parse-names" : false, "suffix" : "" }, { "dropping-particle" : "", "family" : "Meyers", "given" : "Rachel", "non-dropping-particle" : "", "parse-names" : false, "suffix" : "" } ], "container-title" : "Antiviral research", "id" : "ITEM-1", "issue" : "3", "issued" : { "date-parts" : [ [ "2008", "3" ] ] }, "page" : "225-31", "title" : "Evaluation of the safety, tolerability and pharmacokinetics of ALN-RSV01, a novel RNAi antiviral therapeutic directed against respiratory syncytial virus (RSV).", "type" : "article-journal", "volume" : "77" }, "uris" : [ "http://www.mendeley.com/documents/?uuid=9ee452bc-6de8-4ccd-a725-01b79398ee48" ] }, { "id" : "ITEM-2", "itemData" : { "DOI" : "10.1164/rccm.201003-0422OC", "ISSN" : "1535-4970", "PMID" : "20851929", "abstract" : "RATIONALE: Lower respiratory tract infections due to respiratory syncytial virus (RSV) are associated with development of bronchiolitis obliterans syndrome in lung transplant (LTX) recipients. ALN-RSV01 is a small interfering RNA targeting RSV replication.\n\nOBJECTIVES: To determine the safety and explore the efficacy of ALN-RSV01 in RSV infection.\n\nMETHODS: We performed a randomized, double-blind, placebo-controlled trial in LTX recipients with RSV respiratory tract infection. Patients were permitted to receive standard of care for RSV. Aerosolized ALN-RSV01 (0.6 mg/kg) or placebo was administered daily for 3 days. Viral load was determined by quantitative reverse transcriptase-polymerase chain reaction on serial nasal swabs. Patients completed symptom score cards twice daily. Lung function, including the incidence of new-onset or progressive bronchiolitis obliterans syndrome, was recorded at Day 90.\n\nMEASUREMENTS AND MAIN RESULTS: We enrolled 24 patients (ALN-RSV01, n = 16; placebo, n = 8); randomization was stratified by ribavirin use. ALN-RSV01 was well tolerated, with no drug-related serious adverse events or post-inhalation perturbations in lung function. Interpretation of viral measures was confounded by baseline differences between the two groups in viral load and time from symptom onset to first dose. Mean daily symptom scores were lower in subjects receiving ALN-RSV01, and the mean cumulative daily total symptom score was significantly lower with ALN-RSV01 (114.7 \u00b1 63.13 vs. 189.3 \u00b1 99.59, P = 0.035). At Day 90, incidence of new or progressive bronchiolitis obliterans syndrome was significantly reduced in ALN-RSV01 recipients compared with placebo (6.3% vs. 50%, P = 0.027).\n\nCONCLUSIONS: ALN-RSV01 was safe and may have beneficial effects on long-term allograft function in LTX patients infected with RSV. Clinical trial registered with www.clinicaltrials.gov (NCT 00658086).", "author" : [ { "dropping-particle" : "", "family" : "Zamora", "given" : "Martin R", "non-dropping-particle" : "", "parse-names" : false, "suffix" : "" }, { "dropping-particle" : "", "family" : "Budev", "given" : "Marie", "non-dropping-particle" : "", "parse-names" : false, "suffix" : "" }, { "dropping-particle" : "", "family" : "Rolfe", "given" : "Mark", "non-dropping-particle" : "", "parse-names" : false, "suffix" : "" }, { "dropping-particle" : "", "family" : "Gottlieb", "given" : "Jens", "non-dropping-particle" : "", "parse-names" : false, "suffix" : "" }, { "dropping-particle" : "", "family" : "Humar", "given" : "Atul", "non-dropping-particle" : "", "parse-names" : false, "suffix" : "" }, { "dropping-particle" : "", "family" : "Devincenzo", "given" : "John", "non-dropping-particle" : "", "parse-names" : false, "suffix" : "" }, { "dropping-particle" : "", "family" : "Vaishnaw", "given" : "Akshay", "non-dropping-particle" : "", "parse-names" : false, "suffix" : "" }, { "dropping-particle" : "", "family" : "Cehelsky", "given" : "Jeffrey", "non-dropping-particle" : "", "parse-names" : false, "suffix" : "" }, { "dropping-particle" : "", "family" : "Albert", "given" : "Gary", "non-dropping-particle" : "", "parse-names" : false, "suffix" : "" }, { "dropping-particle" : "", "family" : "Nochur", "given" : "Sara", "non-dropping-particle" : "", "parse-names" : false, "suffix" : "" }, { "dropping-particle" : "", "family" : "Gollob", "given" : "Jared A", "non-dropping-particle" : "", "parse-names" : false, "suffix" : "" }, { "dropping-particle" : "", "family" : "Glanville", "given" : "Allan R", "non-dropping-particle" : "", "parse-names" : false, "suffix" : "" } ], "container-title" : "American journal of respiratory and critical care medicine", "id" : "ITEM-2", "issue" : "4", "issued" : { "date-parts" : [ [ "2011", "2" ] ] }, "page" : "531-8", "title" : "RNA interference therapy in lung transplant patients infected with respiratory syncytial virus.", "type" : "article-journal", "volume" : "183" }, "uris" : [ "http://www.mendeley.com/documents/?uuid=c629f185-ed6f-4467-9866-eecfa1d01923", "http://www.mendeley.com/documents/?uuid=a96da741-5846-47bf-8e6d-c1525245fc1a" ] } ], "mendeley" : { "formattedCitation" : "(DeVincenzo et al., 2008; Zamora et al., 2011a)", "plainTextFormattedCitation" : "(DeVincenzo et al., 2008; Zamora et al., 2011a)", "previouslyFormattedCitation" : "(DeVincenzo et al., 2008; Zamora et al., 2011a)" }, "properties" : { "noteIndex" : 0 }, "schema" : "https://github.com/citation-style-language/schema/raw/master/csl-citation.json" }</w:instrText>
      </w:r>
      <w:r>
        <w:rPr>
          <w:rFonts w:ascii="Calibri" w:hAnsi="Calibri" w:cs="Arial"/>
        </w:rPr>
        <w:fldChar w:fldCharType="separate"/>
      </w:r>
      <w:r w:rsidRPr="002A25D9">
        <w:rPr>
          <w:rFonts w:ascii="Calibri" w:hAnsi="Calibri" w:cs="Arial"/>
          <w:noProof/>
        </w:rPr>
        <w:t>(DeVincenzo et al., 2008; Zamora et al., 2011a)</w:t>
      </w:r>
      <w:r>
        <w:rPr>
          <w:rFonts w:ascii="Calibri" w:hAnsi="Calibri" w:cs="Arial"/>
        </w:rPr>
        <w:fldChar w:fldCharType="end"/>
      </w:r>
      <w:r>
        <w:rPr>
          <w:rFonts w:ascii="Calibri" w:hAnsi="Calibri" w:cs="Arial"/>
        </w:rPr>
        <w:t xml:space="preserve"> is difficult, rapid (&lt;10 min) circulation access in clinical subjects supports a common absorption and elimination mechanism in both species. As 5’-RACE was not attempted in these studies, it remains unclear if non-quantitative 5’-RACE can report residual RNAi and contribute towards misinterpretation of off-target phenomena as on-target ‘slicer’ RNAi. </w:t>
      </w:r>
    </w:p>
    <w:p w14:paraId="648A3EE9" w14:textId="77777777" w:rsidR="00D2409A" w:rsidRDefault="00D2409A" w:rsidP="005837A4">
      <w:pPr>
        <w:spacing w:line="480" w:lineRule="auto"/>
        <w:jc w:val="both"/>
        <w:rPr>
          <w:rFonts w:ascii="Calibri" w:hAnsi="Calibri" w:cs="Arial"/>
        </w:rPr>
      </w:pPr>
    </w:p>
    <w:p w14:paraId="062C25B8" w14:textId="77777777" w:rsidR="00D705FF" w:rsidRPr="00D705FF" w:rsidRDefault="00D705FF" w:rsidP="005837A4">
      <w:pPr>
        <w:spacing w:line="480" w:lineRule="auto"/>
      </w:pPr>
    </w:p>
    <w:p w14:paraId="00929436" w14:textId="4F22E2E1" w:rsidR="00BB324D" w:rsidRDefault="00D705FF" w:rsidP="005837A4">
      <w:pPr>
        <w:pStyle w:val="Heading1"/>
      </w:pPr>
      <w:bookmarkStart w:id="4" w:name="_Toc322260969"/>
      <w:r>
        <w:t>5</w:t>
      </w:r>
      <w:r w:rsidR="00A25217">
        <w:t>.</w:t>
      </w:r>
      <w:r w:rsidR="00A25217">
        <w:tab/>
      </w:r>
      <w:r w:rsidR="000D6E32">
        <w:t>Concluding remarks and future challenges</w:t>
      </w:r>
      <w:r w:rsidR="00366466">
        <w:t>.</w:t>
      </w:r>
      <w:bookmarkEnd w:id="4"/>
    </w:p>
    <w:p w14:paraId="2A2EBD70" w14:textId="77777777" w:rsidR="00A45720" w:rsidRPr="00A45720" w:rsidRDefault="00A45720" w:rsidP="005837A4">
      <w:pPr>
        <w:spacing w:line="480" w:lineRule="auto"/>
      </w:pPr>
    </w:p>
    <w:p w14:paraId="6ED686A3" w14:textId="0FB2A034" w:rsidR="00D2409A" w:rsidRPr="0025637F" w:rsidRDefault="00450D3F" w:rsidP="005837A4">
      <w:pPr>
        <w:spacing w:line="480" w:lineRule="auto"/>
        <w:jc w:val="both"/>
        <w:rPr>
          <w:rFonts w:ascii="Calibri" w:hAnsi="Calibri" w:cs="Arial"/>
        </w:rPr>
      </w:pPr>
      <w:r>
        <w:rPr>
          <w:rFonts w:ascii="Calibri" w:hAnsi="Calibri" w:cs="Arial"/>
        </w:rPr>
        <w:t>At the time of writing</w:t>
      </w:r>
      <w:r w:rsidR="00D2409A">
        <w:rPr>
          <w:rFonts w:ascii="Calibri" w:hAnsi="Calibri" w:cs="Arial"/>
        </w:rPr>
        <w:t>, Alnylam programs in</w:t>
      </w:r>
      <w:r>
        <w:rPr>
          <w:rFonts w:ascii="Calibri" w:hAnsi="Calibri" w:cs="Arial"/>
        </w:rPr>
        <w:t xml:space="preserve">volving siRNAs-based approaches </w:t>
      </w:r>
      <w:r w:rsidR="00E9269B">
        <w:rPr>
          <w:rFonts w:ascii="Calibri" w:hAnsi="Calibri" w:cs="Arial"/>
        </w:rPr>
        <w:t>for</w:t>
      </w:r>
      <w:r>
        <w:rPr>
          <w:rFonts w:ascii="Calibri" w:hAnsi="Calibri" w:cs="Arial"/>
        </w:rPr>
        <w:t xml:space="preserve"> the treatment of</w:t>
      </w:r>
      <w:r w:rsidR="00D2409A">
        <w:rPr>
          <w:rFonts w:ascii="Calibri" w:hAnsi="Calibri" w:cs="Arial"/>
        </w:rPr>
        <w:t xml:space="preserve"> genetic and cardiometabolic disease have eclipsed ALN-RSV01 and associated projects, with RSV product development apparently focused in Japan. Elsewhere, attention on RNAi mediator therapeutics for the lung has shifted onto solving the problem of cytosolic delivery </w:t>
      </w:r>
      <w:r w:rsidR="00D2409A">
        <w:rPr>
          <w:rFonts w:ascii="Calibri" w:hAnsi="Calibri" w:cs="Arial"/>
        </w:rPr>
        <w:fldChar w:fldCharType="begin" w:fldLock="1"/>
      </w:r>
      <w:r w:rsidR="00D2409A">
        <w:rPr>
          <w:rFonts w:ascii="Calibri" w:hAnsi="Calibri" w:cs="Arial"/>
        </w:rPr>
        <w:instrText>ADDIN CSL_CITATION { "citationItems" : [ { "id" : "ITEM-1", "itemData" : { "DOI" : "10.1038/mtna.2012.57", "ISSN" : "2162-2531", "PMID" : "23322014", "abstract" : "Lung pathology in cystic fibrosis is linked to dehydration of the airways epithelial surface which in part results from inappropriately raised sodium reabsorption through the epithelial sodium channel (ENaC). To identify a small-interfering RNA (siRNA) which selectively inhibits ENaC expression, chemically modified 21-mer siRNAs targeting human ENaC\u03b1 were designed and screened. GSK2225745, was identified as a potent inhibitor of ENaC\u03b1 mRNA (EC(50) (half maximal effective concentration) = 0.4\u2009nmol/l, maximum knockdown = 85%) and protein levels in A549 cells. Engagement of the RNA interference (RNAi) pathway was confirmed using 5' RACE. Further profiling was carried out in therapeutically relevant human primary cells. In bronchial epithelial cells, GSK2225745 elicited potent suppression of ENaC\u03b1 mRNA (EC(50) = 1.6\u2009nmol/l, maximum knockdown = 82%). In human nasal epithelial cells, GSK2225745 also produced potent and long-lasting (\u226572 hours) suppression of ENaC\u03b1 mRNA levels which was associated with significant inhibition of ENaC function (69% inhibition of amiloride-sensitive current in cells treated with GSK2225745 at 10\u2009nmol/l). GSK2225745 showed no evidence for potential to stimulate toll-like receptor (TLR)3, 7 or 8. In vivo, topical delivery of GSK2225745 in a lipid nanoparticle formulation to the airways of mice resulted in significant inhibition of the expression of ENaC\u03b1 in the lungs. In conclusion, GSK2225745 is a potent inhibitor of ENaC\u03b1 expression and warrants further evaluation as a potential novel inhaled therapeutic for cystic fibrosis.Molecular Therapy - Nucleic Acids (2013) 2, e65; doi:10.1038/mtna.2012.57; published online 15 January 2013.", "author" : [ { "dropping-particle" : "", "family" : "Clark", "given" : "Kenneth L", "non-dropping-particle" : "", "parse-names" : false, "suffix" : "" }, { "dropping-particle" : "", "family" : "Hughes", "given" : "Stephen A", "non-dropping-particle" : "", "parse-names" : false, "suffix" : "" }, { "dropping-particle" : "", "family" : "Bulsara", "given" : "Pallav", "non-dropping-particle" : "", "parse-names" : false, "suffix" : "" }, { "dropping-particle" : "", "family" : "Coates", "given" : "Jill", "non-dropping-particle" : "", "parse-names" : false, "suffix" : "" }, { "dropping-particle" : "", "family" : "Moores", "given" : "Kitty", "non-dropping-particle" : "", "parse-names" : false, "suffix" : "" }, { "dropping-particle" : "", "family" : "Parry", "given" : "Joel", "non-dropping-particle" : "", "parse-names" : false, "suffix" : "" }, { "dropping-particle" : "", "family" : "Carr", "given" : "Michael", "non-dropping-particle" : "", "parse-names" : false, "suffix" : "" }, { "dropping-particle" : "", "family" : "Mayer", "given" : "Ruth J", "non-dropping-particle" : "", "parse-names" : false, "suffix" : "" }, { "dropping-particle" : "", "family" : "Wilson", "given" : "Paul", "non-dropping-particle" : "", "parse-names" : false, "suffix" : "" }, { "dropping-particle" : "", "family" : "Gruenloh", "given" : "Chris", "non-dropping-particle" : "", "parse-names" : false, "suffix" : "" }, { "dropping-particle" : "", "family" : "Levin", "given" : "Daren", "non-dropping-particle" : "", "parse-names" : false, "suffix" : "" }, { "dropping-particle" : "", "family" : "Darton", "given" : "Jill", "non-dropping-particle" : "", "parse-names" : false, "suffix" : "" }, { "dropping-particle" : "", "family" : "Weber", "given" : "Wolf-Michael", "non-dropping-particle" : "", "parse-names" : false, "suffix" : "" }, { "dropping-particle" : "", "family" : "Sobczak", "given" : "Katja", "non-dropping-particle" : "", "parse-names" : false, "suffix" : "" }, { "dropping-particle" : "", "family" : "Gill", "given" : "Deborah R", "non-dropping-particle" : "", "parse-names" : false, "suffix" : "" }, { "dropping-particle" : "", "family" : "Hyde", "given" : "Stephen C", "non-dropping-particle" : "", "parse-names" : false, "suffix" : "" }, { "dropping-particle" : "", "family" : "Davies", "given" : "Lee A", "non-dropping-particle" : "", "parse-names" : false, "suffix" : "" }, { "dropping-particle" : "", "family" : "Pringle", "given" : "Ian A", "non-dropping-particle" : "", "parse-names" : false, "suffix" : "" }, { "dropping-particle" : "", "family" : "Sumner-Jones", "given" : "Stephanie G", "non-dropping-particle" : "", "parse-names" : false, "suffix" : "" }, { "dropping-particle" : "", "family" : "Jadhav", "given" : "Vasant", "non-dropping-particle" : "", "parse-names" : false, "suffix" : "" }, { "dropping-particle" : "", "family" : "Jamison", "given" : "Sharon", "non-dropping-particle" : "", "parse-names" : false, "suffix" : "" }, { "dropping-particle" : "", "family" : "Strapps", "given" : "Walter R", "non-dropping-particle" : "", "parse-names" : false, "suffix" : "" }, { "dropping-particle" : "", "family" : "Pickering", "given" : "Victoria", "non-dropping-particle" : "", "parse-names" : false, "suffix" : "" }, { "dropping-particle" : "", "family" : "Edbrooke", "given" : "Mark R", "non-dropping-particle" : "", "parse-names" : false, "suffix" : "" } ], "container-title" : "Molecular therapy. Nucleic acids", "id" : "ITEM-1", "issued" : { "date-parts" : [ [ "2013", "1" ] ] }, "page" : "e65", "title" : "Pharmacological Characterization of a Novel ENaC\u03b1 siRNA (GSK2225745) With Potential for the Treatment of Cystic Fibrosis.", "type" : "article-journal", "volume" : "2" }, "uris" : [ "http://www.mendeley.com/documents/?uuid=417d8776-79d1-48b0-8387-63b83bddd1bf" ] } ], "mendeley" : { "formattedCitation" : "(Clark et al., 2013)", "plainTextFormattedCitation" : "(Clark et al., 2013)", "previouslyFormattedCitation" : "(Clark et al., 2013)" }, "properties" : { "noteIndex" : 0 }, "schema" : "https://github.com/citation-style-language/schema/raw/master/csl-citation.json" }</w:instrText>
      </w:r>
      <w:r w:rsidR="00D2409A">
        <w:rPr>
          <w:rFonts w:ascii="Calibri" w:hAnsi="Calibri" w:cs="Arial"/>
        </w:rPr>
        <w:fldChar w:fldCharType="separate"/>
      </w:r>
      <w:r w:rsidR="00D2409A" w:rsidRPr="009719CE">
        <w:rPr>
          <w:rFonts w:ascii="Calibri" w:hAnsi="Calibri" w:cs="Arial"/>
          <w:noProof/>
        </w:rPr>
        <w:t>(Clark et al., 2013)</w:t>
      </w:r>
      <w:r w:rsidR="00D2409A">
        <w:rPr>
          <w:rFonts w:ascii="Calibri" w:hAnsi="Calibri" w:cs="Arial"/>
        </w:rPr>
        <w:fldChar w:fldCharType="end"/>
      </w:r>
      <w:r w:rsidR="00D2409A">
        <w:rPr>
          <w:rFonts w:ascii="Calibri" w:hAnsi="Calibri" w:cs="Arial"/>
        </w:rPr>
        <w:t>, whereas ongoing clinical trials in the USA are concerned with systemic, non-lung cancer, skin and ocular disorders</w:t>
      </w:r>
      <w:r w:rsidR="00353305">
        <w:rPr>
          <w:rFonts w:ascii="Calibri" w:hAnsi="Calibri" w:cs="Arial"/>
        </w:rPr>
        <w:t xml:space="preserve">, almost invariably involving advanced </w:t>
      </w:r>
      <w:r w:rsidR="00353305">
        <w:rPr>
          <w:rFonts w:ascii="Calibri" w:hAnsi="Calibri" w:cs="Arial"/>
        </w:rPr>
        <w:lastRenderedPageBreak/>
        <w:t>drug delivery systems</w:t>
      </w:r>
      <w:r w:rsidR="00D2409A">
        <w:rPr>
          <w:rFonts w:ascii="Calibri" w:hAnsi="Calibri" w:cs="Arial"/>
        </w:rPr>
        <w:t xml:space="preserve"> </w:t>
      </w:r>
      <w:r w:rsidR="00D2409A">
        <w:rPr>
          <w:rFonts w:ascii="Calibri" w:hAnsi="Calibri" w:cs="Arial"/>
        </w:rPr>
        <w:fldChar w:fldCharType="begin" w:fldLock="1"/>
      </w:r>
      <w:r w:rsidR="00D2409A">
        <w:rPr>
          <w:rFonts w:ascii="Calibri" w:hAnsi="Calibri" w:cs="Arial"/>
        </w:rPr>
        <w:instrText>ADDIN CSL_CITATION { "citationItems" : [ { "id" : "ITEM-1", "itemData" : { "DOI" : "10.1038/mtna.2015.23", "ISSN" : "2162-2531", "PMID" : "26372022", "abstract" : "Discovered a little over two decades ago, small interfering RNAs (siRNAs) and microRNAs (miRNAs) are noncoding RNAs with important roles in gene regulation. They have recently been investigated as novel classes of therapeutic agents for the treatment of a wide range of disorders including cancers and infections. Clinical trials of siRNA- and miRNA-based drugs have already been initiated. siRNAs and miRNAs share many similarities, both are short duplex RNA molecules that exert gene silencing effects at the post-transcriptional level by targeting messenger RNA (mRNA), yet their mechanisms of action and clinical applications are distinct. The major difference between siRNAs and miRNAs is that the former are highly specific with only one mRNA target, whereas the latter have multiple targets. The therapeutic approaches of siRNAs and miRNAs are therefore very different. Hence, this review provides a comparison between therapeutic siRNAs and miRNAs in terms of their mechanisms of action, physicochemical properties, delivery, and clinical applications. Moreover, the challenges in developing both classes of RNA as therapeutics are also discussed.", "author" : [ { "dropping-particle" : "", "family" : "Lam", "given" : "Jenny K W", "non-dropping-particle" : "", "parse-names" : false, "suffix" : "" }, { "dropping-particle" : "", "family" : "Chow", "given" : "Michael Y T", "non-dropping-particle" : "", "parse-names" : false, "suffix" : "" }, { "dropping-particle" : "", "family" : "Zhang", "given" : "Yu", "non-dropping-particle" : "", "parse-names" : false, "suffix" : "" }, { "dropping-particle" : "", "family" : "Leung", "given" : "Susan W S", "non-dropping-particle" : "", "parse-names" : false, "suffix" : "" } ], "container-title" : "Molecular therapy. Nucleic acids", "id" : "ITEM-1", "issued" : { "date-parts" : [ [ "2015", "1", "15" ] ] }, "page" : "e252", "publisher" : "Official journal of the American Society of Gene &amp; Cell Therapy", "title" : "siRNA Versus miRNA as Therapeutics for Gene Silencing.", "title-short" : "Mol Ther Nucleic Acids", "type" : "article-journal", "volume" : "4" }, "uris" : [ "http://www.mendeley.com/documents/?uuid=a00a1097-3c8f-493a-b55f-79bac7dcba6c" ] } ], "mendeley" : { "formattedCitation" : "(Lam et al., 2015)", "plainTextFormattedCitation" : "(Lam et al., 2015)", "previouslyFormattedCitation" : "(Lam et al., 2015)" }, "properties" : { "noteIndex" : 0 }, "schema" : "https://github.com/citation-style-language/schema/raw/master/csl-citation.json" }</w:instrText>
      </w:r>
      <w:r w:rsidR="00D2409A">
        <w:rPr>
          <w:rFonts w:ascii="Calibri" w:hAnsi="Calibri" w:cs="Arial"/>
        </w:rPr>
        <w:fldChar w:fldCharType="separate"/>
      </w:r>
      <w:r w:rsidR="00D2409A" w:rsidRPr="003F78E9">
        <w:rPr>
          <w:rFonts w:ascii="Calibri" w:hAnsi="Calibri" w:cs="Arial"/>
          <w:noProof/>
        </w:rPr>
        <w:t>(Lam et al., 2015)</w:t>
      </w:r>
      <w:r w:rsidR="00D2409A">
        <w:rPr>
          <w:rFonts w:ascii="Calibri" w:hAnsi="Calibri" w:cs="Arial"/>
        </w:rPr>
        <w:fldChar w:fldCharType="end"/>
      </w:r>
      <w:r w:rsidR="00D2409A">
        <w:rPr>
          <w:rFonts w:ascii="Calibri" w:hAnsi="Calibri" w:cs="Arial"/>
        </w:rPr>
        <w:t xml:space="preserve">. </w:t>
      </w:r>
      <w:r w:rsidR="00353305" w:rsidRPr="00C4343E">
        <w:rPr>
          <w:rFonts w:ascii="Calibri" w:hAnsi="Calibri" w:cs="Arial"/>
        </w:rPr>
        <w:t xml:space="preserve">Nevertheless, respiratory medicine is </w:t>
      </w:r>
      <w:r w:rsidR="00353305">
        <w:rPr>
          <w:rFonts w:ascii="Calibri" w:hAnsi="Calibri" w:cs="Arial"/>
        </w:rPr>
        <w:t>rich</w:t>
      </w:r>
      <w:r w:rsidR="00353305" w:rsidRPr="00C4343E">
        <w:rPr>
          <w:rFonts w:ascii="Calibri" w:hAnsi="Calibri" w:cs="Arial"/>
        </w:rPr>
        <w:t xml:space="preserve"> </w:t>
      </w:r>
      <w:r w:rsidR="00353305">
        <w:rPr>
          <w:rFonts w:ascii="Calibri" w:hAnsi="Calibri" w:cs="Arial"/>
        </w:rPr>
        <w:t>in</w:t>
      </w:r>
      <w:r w:rsidR="00353305" w:rsidRPr="00C4343E">
        <w:rPr>
          <w:rFonts w:ascii="Calibri" w:hAnsi="Calibri" w:cs="Arial"/>
        </w:rPr>
        <w:t xml:space="preserve"> marketed and clinically advanced </w:t>
      </w:r>
      <w:r w:rsidR="00353305">
        <w:rPr>
          <w:rFonts w:ascii="Calibri" w:hAnsi="Calibri" w:cs="Arial"/>
        </w:rPr>
        <w:t xml:space="preserve">candidates, some of which are </w:t>
      </w:r>
      <w:r w:rsidR="00353305" w:rsidRPr="00C4343E">
        <w:rPr>
          <w:rFonts w:ascii="Calibri" w:hAnsi="Calibri" w:cs="Arial"/>
        </w:rPr>
        <w:t>small molecule</w:t>
      </w:r>
      <w:r w:rsidR="00353305">
        <w:rPr>
          <w:rFonts w:ascii="Calibri" w:hAnsi="Calibri" w:cs="Arial"/>
        </w:rPr>
        <w:t xml:space="preserve">s cleverly designed for topical administration </w:t>
      </w:r>
      <w:r w:rsidR="00353305" w:rsidRPr="00C4343E">
        <w:rPr>
          <w:rFonts w:ascii="Calibri" w:hAnsi="Calibri" w:cs="Arial"/>
        </w:rPr>
        <w:fldChar w:fldCharType="begin" w:fldLock="1"/>
      </w:r>
      <w:r w:rsidR="00A21669">
        <w:rPr>
          <w:rFonts w:ascii="Calibri" w:hAnsi="Calibri" w:cs="Arial"/>
        </w:rPr>
        <w:instrText>ADDIN CSL_CITATION { "citationItems" : [ { "id" : "ITEM-1", "itemData" : { "DOI" : "10.1016/j.bmcl.2010.10.132", "ISSN" : "1464-3405", "PMID" : "21075627", "abstract" : "This paper describes the successful design and development of dual pharmacology \u03b2-2 agonists-M3 antagonists, for the treatment of chronic obstructive pulmonary disorder using the principles of 'inhalation by design'. A key feature of this work is the combination of balanced potency and pharmacodynamic duration with desirable pharmacokinetic and material properties, whilst keeping synthetic complexity to a minimum.", "author" : [ { "dropping-particle" : "", "family" : "Jones", "given" : "Lyn H", "non-dropping-particle" : "", "parse-names" : false, "suffix" : "" }, { "dropping-particle" : "", "family" : "Baldock", "given" : "Helen", "non-dropping-particle" : "", "parse-names" : false, "suffix" : "" }, { "dropping-particle" : "", "family" : "Bunnage", "given" : "Mark E", "non-dropping-particle" : "", "parse-names" : false, "suffix" : "" }, { "dropping-particle" : "", "family" : "Burrows", "given" : "Jane", "non-dropping-particle" : "", "parse-names" : false, "suffix" : "" }, { "dropping-particle" : "", "family" : "Clarke", "given" : "Nick", "non-dropping-particle" : "", "parse-names" : false, "suffix" : "" }, { "dropping-particle" : "", "family" : "Coghlan", "given" : "Michele", "non-dropping-particle" : "", "parse-names" : false, "suffix" : "" }, { "dropping-particle" : "", "family" : "Entwistle", "given" : "David", "non-dropping-particle" : "", "parse-names" : false, "suffix" : "" }, { "dropping-particle" : "", "family" : "Fairman", "given" : "David", "non-dropping-particle" : "", "parse-names" : false, "suffix" : "" }, { "dropping-particle" : "", "family" : "Feeder", "given" : "Neil", "non-dropping-particle" : "", "parse-names" : false, "suffix" : "" }, { "dropping-particle" : "", "family" : "Fulton", "given" : "Craig", "non-dropping-particle" : "", "parse-names" : false, "suffix" : "" }, { "dropping-particle" : "", "family" : "Hilton", "given" : "Laura", "non-dropping-particle" : "", "parse-names" : false, "suffix" : "" }, { "dropping-particle" : "", "family" : "James", "given" : "Kim", "non-dropping-particle" : "", "parse-names" : false, "suffix" : "" }, { "dropping-particle" : "", "family" : "Jones", "given" : "Rhys M", "non-dropping-particle" : "", "parse-names" : false, "suffix" : "" }, { "dropping-particle" : "", "family" : "Kenyon", "given" : "Amy S", "non-dropping-particle" : "", "parse-names" : false, "suffix" : "" }, { "dropping-particle" : "", "family" : "Marshall", "given" : "Stuart", "non-dropping-particle" : "", "parse-names" : false, "suffix" : "" }, { "dropping-particle" : "", "family" : "Newman", "given" : "Sandra D", "non-dropping-particle" : "", "parse-names" : false, "suffix" : "" }, { "dropping-particle" : "", "family" : "Osborne", "given" : "Rachel", "non-dropping-particle" : "", "parse-names" : false, "suffix" : "" }, { "dropping-particle" : "", "family" : "Patel", "given" : "Sheena", "non-dropping-particle" : "", "parse-names" : false, "suffix" : "" }, { "dropping-particle" : "", "family" : "Selby", "given" : "Matthew D", "non-dropping-particle" : "", "parse-names" : false, "suffix" : "" }, { "dropping-particle" : "", "family" : "Stuart", "given" : "Emilio F", "non-dropping-particle" : "", "parse-names" : false, "suffix" : "" }, { "dropping-particle" : "", "family" : "Trevethick", "given" : "Michael A", "non-dropping-particle" : "", "parse-names" : false, "suffix" : "" }, { "dropping-particle" : "", "family" : "Wright", "given" : "Karen N", "non-dropping-particle" : "", "parse-names" : false, "suffix" : "" }, { "dropping-particle" : "", "family" : "Price", "given" : "David A", "non-dropping-particle" : "", "parse-names" : false, "suffix" : "" } ], "container-title" : "Bioorganic &amp; medicinal chemistry letters", "id" : "ITEM-1", "issue" : "9", "issued" : { "date-parts" : [ [ "2011", "5", "1" ] ] }, "page" : "2759-63", "title" : "Inhalation by design: dual pharmacology \u03b2-2 agonists/M3 antagonists for the treatment of COPD.", "type" : "article-journal", "volume" : "21" }, "uris" : [ "http://www.mendeley.com/documents/?uuid=d02b5702-538b-4a83-8b11-83a2a39bf828" ] } ], "mendeley" : { "formattedCitation" : "(L. H. Jones et al., 2011)", "plainTextFormattedCitation" : "(L. H. Jones et al., 2011)", "previouslyFormattedCitation" : "(L. H. Jones et al., 2011)" }, "properties" : { "noteIndex" : 0 }, "schema" : "https://github.com/citation-style-language/schema/raw/master/csl-citation.json" }</w:instrText>
      </w:r>
      <w:r w:rsidR="00353305" w:rsidRPr="00C4343E">
        <w:rPr>
          <w:rFonts w:ascii="Calibri" w:hAnsi="Calibri" w:cs="Arial"/>
        </w:rPr>
        <w:fldChar w:fldCharType="separate"/>
      </w:r>
      <w:r w:rsidR="00E31E0A" w:rsidRPr="00E31E0A">
        <w:rPr>
          <w:rFonts w:ascii="Calibri" w:hAnsi="Calibri" w:cs="Arial"/>
          <w:noProof/>
        </w:rPr>
        <w:t>(L. H. Jones et al., 2011)</w:t>
      </w:r>
      <w:r w:rsidR="00353305" w:rsidRPr="00C4343E">
        <w:rPr>
          <w:rFonts w:ascii="Calibri" w:hAnsi="Calibri" w:cs="Arial"/>
        </w:rPr>
        <w:fldChar w:fldCharType="end"/>
      </w:r>
      <w:r w:rsidR="00353305">
        <w:rPr>
          <w:rFonts w:ascii="Calibri" w:hAnsi="Calibri" w:cs="Arial"/>
        </w:rPr>
        <w:t xml:space="preserve"> and thus are exceptionally competitive commercial propositions against modalities with more complex chemistry, manufacturing and controls requirements.</w:t>
      </w:r>
    </w:p>
    <w:p w14:paraId="36F806AA" w14:textId="77777777" w:rsidR="00D2409A" w:rsidRDefault="00D2409A" w:rsidP="005837A4">
      <w:pPr>
        <w:spacing w:line="480" w:lineRule="auto"/>
        <w:jc w:val="both"/>
        <w:rPr>
          <w:rFonts w:ascii="Calibri" w:hAnsi="Calibri" w:cs="Arial"/>
        </w:rPr>
      </w:pPr>
    </w:p>
    <w:p w14:paraId="47B6C1E9" w14:textId="2437E0B6" w:rsidR="00D53DC4" w:rsidRDefault="00BB324D" w:rsidP="005837A4">
      <w:pPr>
        <w:spacing w:line="480" w:lineRule="auto"/>
        <w:jc w:val="both"/>
        <w:rPr>
          <w:rFonts w:ascii="Calibri" w:hAnsi="Calibri" w:cs="Arial"/>
          <w:lang w:val="en-GB"/>
        </w:rPr>
      </w:pPr>
      <w:r>
        <w:rPr>
          <w:rFonts w:ascii="Calibri" w:hAnsi="Calibri" w:cs="Arial"/>
        </w:rPr>
        <w:t>The</w:t>
      </w:r>
      <w:r w:rsidR="00D53DC4">
        <w:rPr>
          <w:rFonts w:ascii="Calibri" w:hAnsi="Calibri" w:cs="Arial"/>
        </w:rPr>
        <w:t xml:space="preserve"> studies on the antisense based AIR645, </w:t>
      </w:r>
      <w:r w:rsidR="006E74AE">
        <w:rPr>
          <w:rFonts w:ascii="Calibri" w:hAnsi="Calibri" w:cs="Arial"/>
        </w:rPr>
        <w:t xml:space="preserve">ASM8 and associated compounds </w:t>
      </w:r>
      <w:r w:rsidR="00E9269B">
        <w:rPr>
          <w:rFonts w:ascii="Calibri" w:hAnsi="Calibri" w:cs="Arial"/>
        </w:rPr>
        <w:t>suggested</w:t>
      </w:r>
      <w:r w:rsidR="006E74AE">
        <w:rPr>
          <w:rFonts w:ascii="Calibri" w:hAnsi="Calibri" w:cs="Arial"/>
        </w:rPr>
        <w:t xml:space="preserve"> </w:t>
      </w:r>
      <w:r w:rsidR="00D53DC4">
        <w:rPr>
          <w:rFonts w:ascii="Calibri" w:hAnsi="Calibri" w:cs="Arial"/>
        </w:rPr>
        <w:t>effective tissue/cell</w:t>
      </w:r>
      <w:r w:rsidR="00A45720">
        <w:rPr>
          <w:rFonts w:ascii="Calibri" w:hAnsi="Calibri" w:cs="Arial"/>
        </w:rPr>
        <w:t xml:space="preserve"> loading, </w:t>
      </w:r>
      <w:r w:rsidR="006E74AE">
        <w:rPr>
          <w:rFonts w:ascii="Calibri" w:hAnsi="Calibri" w:cs="Arial"/>
        </w:rPr>
        <w:t xml:space="preserve">potentially on-target (mRNA) molecular activity for ASM8 </w:t>
      </w:r>
      <w:r w:rsidR="00D53DC4">
        <w:rPr>
          <w:rFonts w:ascii="Calibri" w:hAnsi="Calibri" w:cs="Arial"/>
        </w:rPr>
        <w:t>(</w:t>
      </w:r>
      <w:r w:rsidR="006E74AE">
        <w:rPr>
          <w:rFonts w:ascii="Calibri" w:hAnsi="Calibri" w:cs="Arial"/>
        </w:rPr>
        <w:t>but not necessarily fo</w:t>
      </w:r>
      <w:r w:rsidR="00A45720">
        <w:rPr>
          <w:rFonts w:ascii="Calibri" w:hAnsi="Calibri" w:cs="Arial"/>
        </w:rPr>
        <w:t>r AIR645</w:t>
      </w:r>
      <w:r w:rsidR="00D53DC4">
        <w:rPr>
          <w:rFonts w:ascii="Calibri" w:hAnsi="Calibri" w:cs="Arial"/>
        </w:rPr>
        <w:t>)</w:t>
      </w:r>
      <w:r w:rsidR="006E74AE">
        <w:rPr>
          <w:rFonts w:ascii="Calibri" w:hAnsi="Calibri" w:cs="Arial"/>
        </w:rPr>
        <w:t xml:space="preserve"> and effective ablation of asthma</w:t>
      </w:r>
      <w:r w:rsidR="00A45720">
        <w:rPr>
          <w:rFonts w:ascii="Calibri" w:hAnsi="Calibri" w:cs="Arial"/>
        </w:rPr>
        <w:t>tic phenotypes</w:t>
      </w:r>
      <w:r w:rsidR="006E74AE">
        <w:rPr>
          <w:rFonts w:ascii="Calibri" w:hAnsi="Calibri" w:cs="Arial"/>
        </w:rPr>
        <w:t xml:space="preserve">. However, no explicit 5’-RACE </w:t>
      </w:r>
      <w:r w:rsidR="00D2409A">
        <w:rPr>
          <w:rFonts w:ascii="Calibri" w:hAnsi="Calibri" w:cs="Arial"/>
        </w:rPr>
        <w:t>MOA</w:t>
      </w:r>
      <w:r w:rsidR="00696FB6">
        <w:rPr>
          <w:rFonts w:ascii="Calibri" w:hAnsi="Calibri" w:cs="Arial"/>
        </w:rPr>
        <w:t xml:space="preserve"> </w:t>
      </w:r>
      <w:r w:rsidR="006E74AE">
        <w:rPr>
          <w:rFonts w:ascii="Calibri" w:hAnsi="Calibri" w:cs="Arial"/>
        </w:rPr>
        <w:t>data</w:t>
      </w:r>
      <w:r w:rsidR="00D53DC4">
        <w:rPr>
          <w:rFonts w:ascii="Calibri" w:hAnsi="Calibri" w:cs="Arial"/>
        </w:rPr>
        <w:t xml:space="preserve">, evidence of </w:t>
      </w:r>
      <w:r w:rsidR="006E74AE">
        <w:rPr>
          <w:rFonts w:ascii="Calibri" w:hAnsi="Calibri" w:cs="Arial"/>
        </w:rPr>
        <w:t xml:space="preserve">sub-cellular localization </w:t>
      </w:r>
      <w:r w:rsidR="00D53DC4">
        <w:rPr>
          <w:rFonts w:ascii="Calibri" w:hAnsi="Calibri" w:cs="Arial"/>
        </w:rPr>
        <w:t xml:space="preserve">or </w:t>
      </w:r>
      <w:r w:rsidR="00EE773D">
        <w:rPr>
          <w:rFonts w:ascii="Calibri" w:hAnsi="Calibri" w:cs="Arial"/>
        </w:rPr>
        <w:t xml:space="preserve">ASO </w:t>
      </w:r>
      <w:r w:rsidR="006E74AE">
        <w:rPr>
          <w:rFonts w:ascii="Calibri" w:hAnsi="Calibri" w:cs="Arial"/>
        </w:rPr>
        <w:t>association with RNase</w:t>
      </w:r>
      <w:r>
        <w:rPr>
          <w:rFonts w:ascii="Calibri" w:hAnsi="Calibri" w:cs="Arial"/>
        </w:rPr>
        <w:t xml:space="preserve"> </w:t>
      </w:r>
      <w:r w:rsidR="00A45720">
        <w:rPr>
          <w:rFonts w:ascii="Calibri" w:hAnsi="Calibri" w:cs="Arial"/>
        </w:rPr>
        <w:t>H/</w:t>
      </w:r>
      <w:r>
        <w:rPr>
          <w:rFonts w:ascii="Calibri" w:hAnsi="Calibri" w:cs="Arial"/>
        </w:rPr>
        <w:t>intended molecular targets</w:t>
      </w:r>
      <w:r w:rsidR="00D53DC4">
        <w:rPr>
          <w:rFonts w:ascii="Calibri" w:hAnsi="Calibri" w:cs="Arial"/>
        </w:rPr>
        <w:t xml:space="preserve"> was reported,</w:t>
      </w:r>
      <w:r w:rsidR="00D2409A">
        <w:rPr>
          <w:rFonts w:ascii="Calibri" w:hAnsi="Calibri" w:cs="Arial"/>
        </w:rPr>
        <w:t xml:space="preserve"> in line with the so-called three pillars of drug survival </w:t>
      </w:r>
      <w:r w:rsidR="00D2409A" w:rsidRPr="00C4343E">
        <w:rPr>
          <w:rFonts w:ascii="Calibri" w:hAnsi="Calibri" w:cs="Arial"/>
        </w:rPr>
        <w:fldChar w:fldCharType="begin" w:fldLock="1"/>
      </w:r>
      <w:r w:rsidR="00D2409A" w:rsidRPr="00C4343E">
        <w:rPr>
          <w:rFonts w:ascii="Calibri" w:hAnsi="Calibri" w:cs="Arial"/>
        </w:rPr>
        <w:instrText>ADDIN CSL_CITATION { "citationItems" : [ { "id" : "ITEM-1", "itemData" : { "DOI" : "10.1016/j.drudis.2011.12.020", "ISSN" : "1878-5832", "PMID" : "22227532", "abstract" : "In an effort to uncover systematic learnings that can be applied to improve compound survival, an analysis was performed on data from Phase II decisions for 44 programs at Pfizer. It was found that not only were the majority of failures caused by lack of efficacy but also that, in a large number of cases (43%), it was not possible to conclude whether the mechanism had been tested adequately. A key finding was that an integrated understanding of the fundamental pharmacokinetic/pharmacodynamic principles of exposure at the site of action, target binding and expression of functional pharmacological activity (termed together as the 'three Pillars of survival') all determine the likelihood of candidate survival in Phase II trials and improve the chance of progression to Phase III.", "author" : [ { "dropping-particle" : "", "family" : "Morgan", "given" : "Paul", "non-dropping-particle" : "", "parse-names" : false, "suffix" : "" }, { "dropping-particle" : "", "family" : "Graaf", "given" : "Piet H", "non-dropping-particle" : "Van Der", "parse-names" : false, "suffix" : "" }, { "dropping-particle" : "", "family" : "Arrowsmith", "given" : "John", "non-dropping-particle" : "", "parse-names" : false, "suffix" : "" }, { "dropping-particle" : "", "family" : "Feltner", "given" : "Doug E", "non-dropping-particle" : "", "parse-names" : false, "suffix" : "" }, { "dropping-particle" : "", "family" : "Drummond", "given" : "Kira S", "non-dropping-particle" : "", "parse-names" : false, "suffix" : "" }, { "dropping-particle" : "", "family" : "Wegner", "given" : "Craig D", "non-dropping-particle" : "", "parse-names" : false, "suffix" : "" }, { "dropping-particle" : "", "family" : "Street", "given" : "Steve D A", "non-dropping-particle" : "", "parse-names" : false, "suffix" : "" } ], "container-title" : "Drug discovery today", "id" : "ITEM-1", "issue" : "9-10", "issued" : { "date-parts" : [ [ "2012", "5" ] ] }, "page" : "419-24", "title" : "Can the flow of medicines be improved? Fundamental pharmacokinetic and pharmacological principles toward improving Phase II survival.", "type" : "article-journal", "volume" : "17" }, "uris" : [ "http://www.mendeley.com/documents/?uuid=ccae29ce-7eaf-496d-9da2-d7e0126eea64" ] } ], "mendeley" : { "formattedCitation" : "(Morgan et al., 2012)", "plainTextFormattedCitation" : "(Morgan et al., 2012)", "previouslyFormattedCitation" : "(Morgan et al., 2012)" }, "properties" : { "noteIndex" : 0 }, "schema" : "https://github.com/citation-style-language/schema/raw/master/csl-citation.json" }</w:instrText>
      </w:r>
      <w:r w:rsidR="00D2409A" w:rsidRPr="00C4343E">
        <w:rPr>
          <w:rFonts w:ascii="Calibri" w:hAnsi="Calibri" w:cs="Arial"/>
        </w:rPr>
        <w:fldChar w:fldCharType="separate"/>
      </w:r>
      <w:r w:rsidR="00D2409A" w:rsidRPr="00C4343E">
        <w:rPr>
          <w:rFonts w:ascii="Calibri" w:hAnsi="Calibri" w:cs="Arial"/>
          <w:noProof/>
        </w:rPr>
        <w:t>(Morgan et al., 2012)</w:t>
      </w:r>
      <w:r w:rsidR="00D2409A" w:rsidRPr="00C4343E">
        <w:rPr>
          <w:rFonts w:ascii="Calibri" w:hAnsi="Calibri" w:cs="Arial"/>
        </w:rPr>
        <w:fldChar w:fldCharType="end"/>
      </w:r>
      <w:r w:rsidR="00D53DC4">
        <w:rPr>
          <w:rFonts w:ascii="Calibri" w:hAnsi="Calibri" w:cs="Arial"/>
        </w:rPr>
        <w:t xml:space="preserve"> and subsequent</w:t>
      </w:r>
      <w:r w:rsidR="00E9269B">
        <w:rPr>
          <w:rFonts w:ascii="Calibri" w:hAnsi="Calibri" w:cs="Arial"/>
        </w:rPr>
        <w:t>,</w:t>
      </w:r>
      <w:r w:rsidR="00D2409A">
        <w:rPr>
          <w:rFonts w:ascii="Calibri" w:hAnsi="Calibri" w:cs="Arial"/>
        </w:rPr>
        <w:t xml:space="preserve"> emerging principles in drug development </w:t>
      </w:r>
      <w:r w:rsidR="00D2409A" w:rsidRPr="00C4343E">
        <w:rPr>
          <w:rFonts w:ascii="Calibri" w:hAnsi="Calibri" w:cs="Arial"/>
        </w:rPr>
        <w:fldChar w:fldCharType="begin" w:fldLock="1"/>
      </w:r>
      <w:r w:rsidR="00D2409A" w:rsidRPr="00C4343E">
        <w:rPr>
          <w:rFonts w:ascii="Calibri" w:hAnsi="Calibri" w:cs="Arial"/>
        </w:rPr>
        <w:instrText>ADDIN CSL_CITATION { "citationItems" : [ { "id" : "ITEM-1", "itemData" : { "DOI" : "10.1038/nrd4309", "ISSN" : "1474-1784", "PMID" : "24833294", "abstract" : "Maintaining research and development (R&amp;D) productivity at a sustainable level is one of the main challenges currently facing the pharmaceutical industry. In this article, we discuss the results of a comprehensive longitudinal review of AstraZeneca's small-molecule drug projects from 2005 to 2010. The analysis allowed us to establish a framework based on the five most important technical determinants of project success and pipeline quality, which we describe as the five 'R's: the right target, the right patient, the right tissue, the right safety and the right commercial potential. A sixth factor - the right culture - is also crucial in encouraging effective decision-making based on these technical determinants. AstraZeneca is currently applying this framework to guide its R&amp;D teams, and although it is too early to demonstrate whether this has improved the company's R&amp;D productivity, we present our data and analysis here in the hope that it may assist the industry overall in addressing this key challenge.", "author" : [ { "dropping-particle" : "", "family" : "Cook", "given" : "David", "non-dropping-particle" : "", "parse-names" : false, "suffix" : "" }, { "dropping-particle" : "", "family" : "Brown", "given" : "Dearg", "non-dropping-particle" : "", "parse-names" : false, "suffix" : "" }, { "dropping-particle" : "", "family" : "Alexander", "given" : "Robert", "non-dropping-particle" : "", "parse-names" : false, "suffix" : "" }, { "dropping-particle" : "", "family" : "March", "given" : "Ruth", "non-dropping-particle" : "", "parse-names" : false, "suffix" : "" }, { "dropping-particle" : "", "family" : "Morgan", "given" : "Paul", "non-dropping-particle" : "", "parse-names" : false, "suffix" : "" }, { "dropping-particle" : "", "family" : "Satterthwaite", "given" : "Gemma", "non-dropping-particle" : "", "parse-names" : false, "suffix" : "" }, { "dropping-particle" : "", "family" : "Pangalos", "given" : "Menelas N", "non-dropping-particle" : "", "parse-names" : false, "suffix" : "" } ], "container-title" : "Nature reviews. Drug discovery", "id" : "ITEM-1", "issue" : "6", "issued" : { "date-parts" : [ [ "2014", "6" ] ] }, "page" : "419-31", "publisher" : "Nature Publishing Group, a division of Macmillan Publishers Limited. All Rights Reserved.", "title" : "Lessons learned from the fate of AstraZeneca's drug pipeline: a five-dimensional framework.", "title-short" : "Nat Rev Drug Discov", "type" : "article-journal", "volume" : "13" }, "uris" : [ "http://www.mendeley.com/documents/?uuid=2fe0814f-c7bc-4dd0-bbb3-c9290917d7ae" ] } ], "mendeley" : { "formattedCitation" : "(Cook et al., 2014)", "plainTextFormattedCitation" : "(Cook et al., 2014)", "previouslyFormattedCitation" : "(Cook et al., 2014)" }, "properties" : { "noteIndex" : 0 }, "schema" : "https://github.com/citation-style-language/schema/raw/master/csl-citation.json" }</w:instrText>
      </w:r>
      <w:r w:rsidR="00D2409A" w:rsidRPr="00C4343E">
        <w:rPr>
          <w:rFonts w:ascii="Calibri" w:hAnsi="Calibri" w:cs="Arial"/>
        </w:rPr>
        <w:fldChar w:fldCharType="separate"/>
      </w:r>
      <w:r w:rsidR="00D2409A" w:rsidRPr="00C4343E">
        <w:rPr>
          <w:rFonts w:ascii="Calibri" w:hAnsi="Calibri" w:cs="Arial"/>
          <w:noProof/>
        </w:rPr>
        <w:t>(Cook et al., 2014)</w:t>
      </w:r>
      <w:r w:rsidR="00D2409A" w:rsidRPr="00C4343E">
        <w:rPr>
          <w:rFonts w:ascii="Calibri" w:hAnsi="Calibri" w:cs="Arial"/>
        </w:rPr>
        <w:fldChar w:fldCharType="end"/>
      </w:r>
      <w:r>
        <w:rPr>
          <w:rFonts w:ascii="Calibri" w:hAnsi="Calibri" w:cs="Arial"/>
        </w:rPr>
        <w:t>. The</w:t>
      </w:r>
      <w:r w:rsidR="006E74AE">
        <w:rPr>
          <w:rFonts w:ascii="Calibri" w:hAnsi="Calibri" w:cs="Arial"/>
        </w:rPr>
        <w:t xml:space="preserve"> primary outcome of a phase IIa study for AIR645 (</w:t>
      </w:r>
      <w:r w:rsidR="006E74AE" w:rsidRPr="004A028B">
        <w:rPr>
          <w:rFonts w:ascii="Calibri" w:hAnsi="Calibri" w:cs="Arial"/>
          <w:lang w:val="en-GB"/>
        </w:rPr>
        <w:t>NCT00941577</w:t>
      </w:r>
      <w:r w:rsidR="006E74AE">
        <w:rPr>
          <w:rFonts w:ascii="Calibri" w:hAnsi="Calibri" w:cs="Arial"/>
          <w:lang w:val="en-GB"/>
        </w:rPr>
        <w:t>) was not met, and Altair Therapeutics was eventually shut down. In contrast, the efficacy of ASM8 at phase II has not lead to the termination of the programme. A follow up phase II study was withdrawn before enrolment in 2012 (</w:t>
      </w:r>
      <w:r w:rsidR="006E74AE" w:rsidRPr="00A92863">
        <w:rPr>
          <w:rFonts w:ascii="Calibri" w:hAnsi="Calibri" w:cs="Arial"/>
          <w:lang w:val="en-GB"/>
        </w:rPr>
        <w:t>NCT01380236</w:t>
      </w:r>
      <w:r w:rsidR="006E74AE">
        <w:rPr>
          <w:rFonts w:ascii="Calibri" w:hAnsi="Calibri" w:cs="Arial"/>
          <w:lang w:val="en-GB"/>
        </w:rPr>
        <w:t>), however ASM8 is listed as an active programme</w:t>
      </w:r>
      <w:r w:rsidR="00D2409A">
        <w:rPr>
          <w:rFonts w:ascii="Calibri" w:hAnsi="Calibri" w:cs="Arial"/>
          <w:lang w:val="en-GB"/>
        </w:rPr>
        <w:t xml:space="preserve"> by Pharmaxis</w:t>
      </w:r>
      <w:r w:rsidR="006E74AE">
        <w:rPr>
          <w:rFonts w:ascii="Calibri" w:hAnsi="Calibri" w:cs="Arial"/>
          <w:lang w:val="en-GB"/>
        </w:rPr>
        <w:t>. Importantly, none of the adverse events observed w</w:t>
      </w:r>
      <w:r>
        <w:rPr>
          <w:rFonts w:ascii="Calibri" w:hAnsi="Calibri" w:cs="Arial"/>
          <w:lang w:val="en-GB"/>
        </w:rPr>
        <w:t>ith ASM8 were definitively drug-</w:t>
      </w:r>
      <w:r w:rsidR="006E74AE">
        <w:rPr>
          <w:rFonts w:ascii="Calibri" w:hAnsi="Calibri" w:cs="Arial"/>
          <w:lang w:val="en-GB"/>
        </w:rPr>
        <w:t>related desp</w:t>
      </w:r>
      <w:r w:rsidR="00D53DC4">
        <w:rPr>
          <w:rFonts w:ascii="Calibri" w:hAnsi="Calibri" w:cs="Arial"/>
          <w:lang w:val="en-GB"/>
        </w:rPr>
        <w:t>ite the dose-dependent effect on</w:t>
      </w:r>
      <w:r w:rsidR="006E74AE">
        <w:rPr>
          <w:rFonts w:ascii="Calibri" w:hAnsi="Calibri" w:cs="Arial"/>
          <w:lang w:val="en-GB"/>
        </w:rPr>
        <w:t xml:space="preserve"> alveolar macrophage</w:t>
      </w:r>
      <w:r w:rsidR="00F94C0D">
        <w:rPr>
          <w:rFonts w:ascii="Calibri" w:hAnsi="Calibri" w:cs="Arial"/>
          <w:lang w:val="en-GB"/>
        </w:rPr>
        <w:t>s</w:t>
      </w:r>
      <w:r w:rsidR="006E74AE">
        <w:rPr>
          <w:rFonts w:ascii="Calibri" w:hAnsi="Calibri" w:cs="Arial"/>
          <w:lang w:val="en-GB"/>
        </w:rPr>
        <w:t xml:space="preserve">, and no complement activation was observed </w:t>
      </w:r>
      <w:r w:rsidR="006E74AE">
        <w:rPr>
          <w:rFonts w:ascii="Calibri" w:hAnsi="Calibri" w:cs="Arial"/>
          <w:lang w:val="en-GB"/>
        </w:rPr>
        <w:fldChar w:fldCharType="begin" w:fldLock="1"/>
      </w:r>
      <w:r w:rsidR="006E74AE">
        <w:rPr>
          <w:rFonts w:ascii="Calibri" w:hAnsi="Calibri" w:cs="Arial"/>
          <w:lang w:val="en-GB"/>
        </w:rPr>
        <w:instrText>ADDIN CSL_CITATION { "citationItems" : [ { "id" : "ITEM-1", "itemData" : { "DOI" : "10.1111/j.1398-9995.2011.02638.x", "ISSN" : "1398-9995", "PMID" : "21605124", "abstract" : "BACKGROUND: TPI ASM8 contains two modified antisense oligonucleotides (AON) targeting the beta subunit (\u03b2(c) ) of the IL-3, IL-5, GM-CSF receptors and the chemokine receptor CCR3. A previous study suggested that TPI ASM8 had broader effects than just inhibition of eosinophils in asthmatics.\n\nOBJECTIVE: We assessed whether TPI ASM8 caused a dose-dependent attenuation in the inflammatory and physiological changes after inhaled allergen challenge (AIC).\n\nMETHODS: This single-center, open-label, stepwise-ascending dose study was conducted in fourteen stable, mild allergic asthmatics. Following placebo AIC, subjects underwent AIC after 4 days treatment with 1, 2, and 4 mg BID and finally 8 mg once daily (OD) of TPI ASM8, inhaled via the I-Neb\u2122 nebuliser. Treatments were separated by 2-3-week washout periods.\n\nRESULTS: TPI ASM8 was safe and well tolerated at all doses. TPI ASM8 8\u2003mg OD reduced eosinophils in sputum after AIC (by 60.9% at 7 h and 68.4% at 24 h post-AIC, P=0.016 and P=0.007, respectively). Additionally, TPI ASM8 8 mg OD significantly attenuated the early and late airway responses as shown by the reduction in the area under the curve by 45% (P=0.016) and 59%, (P=0.0015), respectively, the increase in eosinophil cationic protein (ECP) by up to 57% (P=0.021), and airway responsiveness to methacholine by more than 1 doubling dose (P=0.012). A dose-response relationship was noted, and efficacy was maintained with once per day administration.\n\nCONCLUSIONS: TPI ASM8 attenuated a broad range of inflammatory and physiological changes after AIC, suggesting that CCR3, IL-3, and GM-CSF also are important targets for the management of asthma.", "author" : [ { "dropping-particle" : "", "family" : "Gauvreau", "given" : "G M", "non-dropping-particle" : "", "parse-names" : false, "suffix" : "" }, { "dropping-particle" : "", "family" : "Pageau", "given" : "R", "non-dropping-particle" : "", "parse-names" : false, "suffix" : "" }, { "dropping-particle" : "", "family" : "S\u00e9guin", "given" : "R", "non-dropping-particle" : "", "parse-names" : false, "suffix" : "" }, { "dropping-particle" : "", "family" : "Carballo", "given" : "D", "non-dropping-particle" : "", "parse-names" : false, "suffix" : "" }, { "dropping-particle" : "", "family" : "Gauthier", "given" : "J", "non-dropping-particle" : "", "parse-names" : false, "suffix" : "" }, { "dropping-particle" : "", "family" : "D'Anjou", "given" : "H", "non-dropping-particle" : "", "parse-names" : false, "suffix" : "" }, { "dropping-particle" : "", "family" : "Campbell", "given" : "H", "non-dropping-particle" : "", "parse-names" : false, "suffix" : "" }, { "dropping-particle" : "", "family" : "Watson", "given" : "R", "non-dropping-particle" : "", "parse-names" : false, "suffix" : "" }, { "dropping-particle" : "", "family" : "Mistry", "given" : "M", "non-dropping-particle" : "", "parse-names" : false, "suffix" : "" }, { "dropping-particle" : "", "family" : "Parry-Billings", "given" : "M", "non-dropping-particle" : "", "parse-names" : false, "suffix" : "" }, { "dropping-particle" : "", "family" : "Killian", "given" : "K", "non-dropping-particle" : "", "parse-names" : false, "suffix" : "" }, { "dropping-particle" : "", "family" : "Renzi", "given" : "P M", "non-dropping-particle" : "", "parse-names" : false, "suffix" : "" } ], "container-title" : "Allergy", "id" : "ITEM-1", "issue" : "9", "issued" : { "date-parts" : [ [ "2011", "9" ] ] }, "page" : "1242-8", "title" : "Dose-response effects of TPI ASM8 in asthmatics after allergen.", "type" : "article-journal", "volume" : "66" }, "uris" : [ "http://www.mendeley.com/documents/?uuid=deafdfeb-145d-4fd7-afc2-28f0437543b9" ] } ], "mendeley" : { "formattedCitation" : "(G M Gauvreau et al., 2011)", "plainTextFormattedCitation" : "(G M Gauvreau et al., 2011)", "previouslyFormattedCitation" : "(G M Gauvreau et al., 2011)" }, "properties" : { "noteIndex" : 0 }, "schema" : "https://github.com/citation-style-language/schema/raw/master/csl-citation.json" }</w:instrText>
      </w:r>
      <w:r w:rsidR="006E74AE">
        <w:rPr>
          <w:rFonts w:ascii="Calibri" w:hAnsi="Calibri" w:cs="Arial"/>
          <w:lang w:val="en-GB"/>
        </w:rPr>
        <w:fldChar w:fldCharType="separate"/>
      </w:r>
      <w:r w:rsidR="006E74AE" w:rsidRPr="009F0DBA">
        <w:rPr>
          <w:rFonts w:ascii="Calibri" w:hAnsi="Calibri" w:cs="Arial"/>
          <w:noProof/>
          <w:lang w:val="en-GB"/>
        </w:rPr>
        <w:t>(G M Gauvreau et al., 2011)</w:t>
      </w:r>
      <w:r w:rsidR="006E74AE">
        <w:rPr>
          <w:rFonts w:ascii="Calibri" w:hAnsi="Calibri" w:cs="Arial"/>
          <w:lang w:val="en-GB"/>
        </w:rPr>
        <w:fldChar w:fldCharType="end"/>
      </w:r>
      <w:r w:rsidR="006E74AE">
        <w:rPr>
          <w:rFonts w:ascii="Calibri" w:hAnsi="Calibri" w:cs="Arial"/>
          <w:lang w:val="en-GB"/>
        </w:rPr>
        <w:t xml:space="preserve">. </w:t>
      </w:r>
      <w:r w:rsidR="00D2409A">
        <w:rPr>
          <w:rFonts w:ascii="Calibri" w:hAnsi="Calibri" w:cs="Arial"/>
          <w:lang w:val="en-GB"/>
        </w:rPr>
        <w:t xml:space="preserve">Thus, </w:t>
      </w:r>
      <w:r w:rsidR="00D53DC4">
        <w:rPr>
          <w:rFonts w:ascii="Calibri" w:hAnsi="Calibri" w:cs="Arial"/>
          <w:lang w:val="en-GB"/>
        </w:rPr>
        <w:t xml:space="preserve">without recourse to drug delivery systems, </w:t>
      </w:r>
      <w:r w:rsidR="00D2409A">
        <w:rPr>
          <w:rFonts w:ascii="Calibri" w:hAnsi="Calibri" w:cs="Arial"/>
          <w:lang w:val="en-GB"/>
        </w:rPr>
        <w:t>the FANA antisense chemistry remains presently the most promising candidate in realising the clinical potential of oligonucleotide therapeutics for the lung.</w:t>
      </w:r>
      <w:r w:rsidR="00D53DC4">
        <w:rPr>
          <w:rFonts w:ascii="Calibri" w:hAnsi="Calibri" w:cs="Arial"/>
          <w:lang w:val="en-GB"/>
        </w:rPr>
        <w:t xml:space="preserve"> </w:t>
      </w:r>
      <w:r w:rsidR="00D2409A">
        <w:rPr>
          <w:rFonts w:ascii="Calibri" w:hAnsi="Calibri" w:cs="Arial"/>
          <w:lang w:val="en-GB"/>
        </w:rPr>
        <w:t>However, i</w:t>
      </w:r>
      <w:r w:rsidR="006E74AE">
        <w:rPr>
          <w:rFonts w:ascii="Calibri" w:hAnsi="Calibri" w:cs="Arial"/>
          <w:lang w:val="en-GB"/>
        </w:rPr>
        <w:t>n the absence of explicit 5’-R</w:t>
      </w:r>
      <w:r w:rsidR="00D53DC4">
        <w:rPr>
          <w:rFonts w:ascii="Calibri" w:hAnsi="Calibri" w:cs="Arial"/>
          <w:lang w:val="en-GB"/>
        </w:rPr>
        <w:t>ACE data</w:t>
      </w:r>
      <w:r w:rsidR="002D3299">
        <w:rPr>
          <w:rFonts w:ascii="Calibri" w:hAnsi="Calibri" w:cs="Arial"/>
          <w:lang w:val="en-GB"/>
        </w:rPr>
        <w:t xml:space="preserve"> and</w:t>
      </w:r>
      <w:r w:rsidR="00F932BB">
        <w:rPr>
          <w:rFonts w:ascii="Calibri" w:hAnsi="Calibri" w:cs="Arial"/>
          <w:lang w:val="en-GB"/>
        </w:rPr>
        <w:t xml:space="preserve"> translationally relevant biomarker evidence of </w:t>
      </w:r>
      <w:r w:rsidR="00925E56">
        <w:rPr>
          <w:rFonts w:ascii="Calibri" w:hAnsi="Calibri" w:cs="Arial"/>
          <w:lang w:val="en-GB"/>
        </w:rPr>
        <w:t>no pro-inflammatory risks</w:t>
      </w:r>
      <w:r w:rsidR="00D53DC4">
        <w:rPr>
          <w:rFonts w:ascii="Calibri" w:hAnsi="Calibri" w:cs="Arial"/>
          <w:lang w:val="en-GB"/>
        </w:rPr>
        <w:t xml:space="preserve"> it is presently </w:t>
      </w:r>
      <w:r w:rsidR="00D53DC4">
        <w:rPr>
          <w:rFonts w:ascii="Calibri" w:hAnsi="Calibri" w:cs="Arial"/>
          <w:lang w:val="en-GB"/>
        </w:rPr>
        <w:lastRenderedPageBreak/>
        <w:t xml:space="preserve">uncertain </w:t>
      </w:r>
      <w:r w:rsidR="009378D4">
        <w:rPr>
          <w:rFonts w:ascii="Calibri" w:hAnsi="Calibri" w:cs="Arial"/>
          <w:lang w:val="en-GB"/>
        </w:rPr>
        <w:t xml:space="preserve">whether </w:t>
      </w:r>
      <w:r w:rsidR="006E74AE">
        <w:rPr>
          <w:rFonts w:ascii="Calibri" w:hAnsi="Calibri" w:cs="Arial"/>
          <w:lang w:val="en-GB"/>
        </w:rPr>
        <w:t xml:space="preserve">the </w:t>
      </w:r>
      <w:r w:rsidR="00D53DC4">
        <w:rPr>
          <w:rFonts w:ascii="Calibri" w:hAnsi="Calibri" w:cs="Arial"/>
          <w:lang w:val="en-GB"/>
        </w:rPr>
        <w:t>action</w:t>
      </w:r>
      <w:r w:rsidR="007563B0">
        <w:rPr>
          <w:rFonts w:ascii="Calibri" w:hAnsi="Calibri" w:cs="Arial"/>
          <w:lang w:val="en-GB"/>
        </w:rPr>
        <w:t xml:space="preserve"> of</w:t>
      </w:r>
      <w:r w:rsidR="006E74AE">
        <w:rPr>
          <w:rFonts w:ascii="Calibri" w:hAnsi="Calibri" w:cs="Arial"/>
          <w:lang w:val="en-GB"/>
        </w:rPr>
        <w:t xml:space="preserve"> ASM8 can be ascribed, fully or in part, on an on-target </w:t>
      </w:r>
      <w:r>
        <w:rPr>
          <w:rFonts w:ascii="Calibri" w:hAnsi="Calibri" w:cs="Arial"/>
          <w:lang w:val="en-GB"/>
        </w:rPr>
        <w:t>MOA</w:t>
      </w:r>
      <w:r w:rsidR="006E74AE">
        <w:rPr>
          <w:rFonts w:ascii="Calibri" w:hAnsi="Calibri" w:cs="Arial"/>
          <w:lang w:val="en-GB"/>
        </w:rPr>
        <w:t xml:space="preserve">. </w:t>
      </w:r>
    </w:p>
    <w:p w14:paraId="4A69FC4A" w14:textId="77777777" w:rsidR="00D53DC4" w:rsidRDefault="00D53DC4" w:rsidP="005837A4">
      <w:pPr>
        <w:spacing w:line="480" w:lineRule="auto"/>
        <w:jc w:val="both"/>
        <w:rPr>
          <w:rFonts w:ascii="Calibri" w:hAnsi="Calibri" w:cs="Arial"/>
          <w:lang w:val="en-GB"/>
        </w:rPr>
      </w:pPr>
    </w:p>
    <w:p w14:paraId="5F068D4D" w14:textId="598645A5" w:rsidR="001B0C59" w:rsidRDefault="0007546D" w:rsidP="005837A4">
      <w:pPr>
        <w:spacing w:line="480" w:lineRule="auto"/>
        <w:jc w:val="both"/>
        <w:rPr>
          <w:rFonts w:ascii="Calibri" w:hAnsi="Calibri" w:cs="Arial"/>
          <w:lang w:val="en-GB"/>
        </w:rPr>
      </w:pPr>
      <w:r>
        <w:rPr>
          <w:rFonts w:ascii="Calibri" w:hAnsi="Calibri" w:cs="Arial"/>
          <w:lang w:val="en-GB"/>
        </w:rPr>
        <w:t>In moving forward</w:t>
      </w:r>
      <w:r w:rsidR="00D53DC4">
        <w:rPr>
          <w:rFonts w:ascii="Calibri" w:hAnsi="Calibri" w:cs="Arial"/>
          <w:lang w:val="en-GB"/>
        </w:rPr>
        <w:t xml:space="preserve">, it will also be important to </w:t>
      </w:r>
      <w:r>
        <w:rPr>
          <w:rFonts w:ascii="Calibri" w:hAnsi="Calibri" w:cs="Arial"/>
          <w:lang w:val="en-GB"/>
        </w:rPr>
        <w:t>take into consideration that</w:t>
      </w:r>
      <w:r w:rsidR="006E74AE">
        <w:rPr>
          <w:rFonts w:ascii="Calibri" w:hAnsi="Calibri" w:cs="Arial"/>
          <w:lang w:val="en-GB"/>
        </w:rPr>
        <w:t xml:space="preserve"> both 2</w:t>
      </w:r>
      <w:r w:rsidR="006E74AE" w:rsidRPr="003765C1">
        <w:rPr>
          <w:rFonts w:ascii="Calibri" w:hAnsi="Calibri" w:cs="Arial"/>
          <w:vertAlign w:val="superscript"/>
          <w:lang w:val="en-GB"/>
        </w:rPr>
        <w:t>nd</w:t>
      </w:r>
      <w:r w:rsidR="006E74AE">
        <w:rPr>
          <w:rFonts w:ascii="Calibri" w:hAnsi="Calibri" w:cs="Arial"/>
          <w:lang w:val="en-GB"/>
        </w:rPr>
        <w:t xml:space="preserve"> and 3</w:t>
      </w:r>
      <w:r w:rsidR="006E74AE" w:rsidRPr="003765C1">
        <w:rPr>
          <w:rFonts w:ascii="Calibri" w:hAnsi="Calibri" w:cs="Arial"/>
          <w:vertAlign w:val="superscript"/>
          <w:lang w:val="en-GB"/>
        </w:rPr>
        <w:t>rd</w:t>
      </w:r>
      <w:r w:rsidR="006E74AE">
        <w:rPr>
          <w:rFonts w:ascii="Calibri" w:hAnsi="Calibri" w:cs="Arial"/>
          <w:lang w:val="en-GB"/>
        </w:rPr>
        <w:t xml:space="preserve"> generation ASO are principally loaded in</w:t>
      </w:r>
      <w:r w:rsidR="009378D4">
        <w:rPr>
          <w:rFonts w:ascii="Calibri" w:hAnsi="Calibri" w:cs="Arial"/>
          <w:lang w:val="en-GB"/>
        </w:rPr>
        <w:t>to</w:t>
      </w:r>
      <w:r w:rsidR="006E74AE">
        <w:rPr>
          <w:rFonts w:ascii="Calibri" w:hAnsi="Calibri" w:cs="Arial"/>
          <w:lang w:val="en-GB"/>
        </w:rPr>
        <w:t xml:space="preserve"> alveolar macrophages, and administration of 2</w:t>
      </w:r>
      <w:r w:rsidR="006E74AE" w:rsidRPr="0095120F">
        <w:rPr>
          <w:rFonts w:ascii="Calibri" w:hAnsi="Calibri" w:cs="Arial"/>
          <w:vertAlign w:val="superscript"/>
          <w:lang w:val="en-GB"/>
        </w:rPr>
        <w:t>nd</w:t>
      </w:r>
      <w:r w:rsidR="006E74AE">
        <w:rPr>
          <w:rFonts w:ascii="Calibri" w:hAnsi="Calibri" w:cs="Arial"/>
          <w:lang w:val="en-GB"/>
        </w:rPr>
        <w:t xml:space="preserve"> generation ASO (at least) promotes macrophage accumulation </w:t>
      </w:r>
      <w:r w:rsidR="00BB324D">
        <w:rPr>
          <w:rFonts w:ascii="Calibri" w:hAnsi="Calibri" w:cs="Arial"/>
          <w:lang w:val="en-GB"/>
        </w:rPr>
        <w:t>in</w:t>
      </w:r>
      <w:r w:rsidR="006E74AE">
        <w:rPr>
          <w:rFonts w:ascii="Calibri" w:hAnsi="Calibri" w:cs="Arial"/>
          <w:lang w:val="en-GB"/>
        </w:rPr>
        <w:t xml:space="preserve"> the airways</w:t>
      </w:r>
      <w:r w:rsidR="00E42C3C">
        <w:rPr>
          <w:rFonts w:ascii="Calibri" w:hAnsi="Calibri" w:cs="Arial"/>
          <w:lang w:val="en-GB"/>
        </w:rPr>
        <w:t>.</w:t>
      </w:r>
      <w:r w:rsidR="006E74AE">
        <w:rPr>
          <w:rFonts w:ascii="Calibri" w:hAnsi="Calibri" w:cs="Arial"/>
          <w:lang w:val="en-GB"/>
        </w:rPr>
        <w:t xml:space="preserve"> Indeed</w:t>
      </w:r>
      <w:r w:rsidR="00BB324D">
        <w:rPr>
          <w:rFonts w:ascii="Calibri" w:hAnsi="Calibri" w:cs="Arial"/>
          <w:lang w:val="en-GB"/>
        </w:rPr>
        <w:t>,</w:t>
      </w:r>
      <w:r w:rsidR="006E74AE">
        <w:rPr>
          <w:rFonts w:ascii="Calibri" w:hAnsi="Calibri" w:cs="Arial"/>
          <w:lang w:val="en-GB"/>
        </w:rPr>
        <w:t xml:space="preserve"> concerns around </w:t>
      </w:r>
      <w:r w:rsidR="00BB324D">
        <w:rPr>
          <w:rFonts w:ascii="Calibri" w:hAnsi="Calibri" w:cs="Arial"/>
          <w:lang w:val="en-GB"/>
        </w:rPr>
        <w:t xml:space="preserve">lung </w:t>
      </w:r>
      <w:r w:rsidR="006E74AE">
        <w:rPr>
          <w:rFonts w:ascii="Calibri" w:hAnsi="Calibri" w:cs="Arial"/>
          <w:lang w:val="en-GB"/>
        </w:rPr>
        <w:t xml:space="preserve">macrophage </w:t>
      </w:r>
      <w:r w:rsidR="007563B0">
        <w:rPr>
          <w:rFonts w:ascii="Calibri" w:hAnsi="Calibri" w:cs="Arial"/>
          <w:lang w:val="en-GB"/>
        </w:rPr>
        <w:t xml:space="preserve">effects </w:t>
      </w:r>
      <w:r w:rsidR="006E74AE">
        <w:rPr>
          <w:rFonts w:ascii="Calibri" w:hAnsi="Calibri" w:cs="Arial"/>
          <w:lang w:val="en-GB"/>
        </w:rPr>
        <w:t xml:space="preserve">have been </w:t>
      </w:r>
      <w:r w:rsidR="007563B0">
        <w:rPr>
          <w:rFonts w:ascii="Calibri" w:hAnsi="Calibri" w:cs="Arial"/>
          <w:lang w:val="en-GB"/>
        </w:rPr>
        <w:t>upgraded to</w:t>
      </w:r>
      <w:r w:rsidR="006E74AE">
        <w:rPr>
          <w:rFonts w:ascii="Calibri" w:hAnsi="Calibri" w:cs="Arial"/>
          <w:i/>
          <w:lang w:val="en-GB"/>
        </w:rPr>
        <w:t xml:space="preserve"> </w:t>
      </w:r>
      <w:r w:rsidR="007563B0">
        <w:rPr>
          <w:rFonts w:ascii="Calibri" w:hAnsi="Calibri" w:cs="Arial"/>
          <w:lang w:val="en-GB"/>
        </w:rPr>
        <w:t xml:space="preserve">promote </w:t>
      </w:r>
      <w:r w:rsidR="006E74AE">
        <w:rPr>
          <w:rFonts w:ascii="Calibri" w:hAnsi="Calibri" w:cs="Arial"/>
          <w:lang w:val="en-GB"/>
        </w:rPr>
        <w:t xml:space="preserve">use of </w:t>
      </w:r>
      <w:r w:rsidR="00BB324D">
        <w:rPr>
          <w:rFonts w:ascii="Calibri" w:hAnsi="Calibri" w:cs="Arial"/>
          <w:lang w:val="en-GB"/>
        </w:rPr>
        <w:t xml:space="preserve">exploratory </w:t>
      </w:r>
      <w:r w:rsidR="006E74AE">
        <w:rPr>
          <w:rFonts w:ascii="Calibri" w:hAnsi="Calibri" w:cs="Arial"/>
          <w:lang w:val="en-GB"/>
        </w:rPr>
        <w:t xml:space="preserve">inflammatory </w:t>
      </w:r>
      <w:r w:rsidR="00BB324D">
        <w:rPr>
          <w:rFonts w:ascii="Calibri" w:hAnsi="Calibri" w:cs="Arial"/>
          <w:lang w:val="en-GB"/>
        </w:rPr>
        <w:t xml:space="preserve">/ </w:t>
      </w:r>
      <w:r w:rsidR="006E74AE">
        <w:rPr>
          <w:rFonts w:ascii="Calibri" w:hAnsi="Calibri" w:cs="Arial"/>
          <w:lang w:val="en-GB"/>
        </w:rPr>
        <w:t xml:space="preserve">toxicology biomarkers </w:t>
      </w:r>
      <w:r w:rsidR="006E74AE">
        <w:rPr>
          <w:rFonts w:ascii="Calibri" w:hAnsi="Calibri" w:cs="Arial"/>
          <w:lang w:val="en-GB"/>
        </w:rPr>
        <w:fldChar w:fldCharType="begin" w:fldLock="1"/>
      </w:r>
      <w:r w:rsidR="006E74AE">
        <w:rPr>
          <w:rFonts w:ascii="Calibri" w:hAnsi="Calibri" w:cs="Arial"/>
          <w:lang w:val="en-GB"/>
        </w:rPr>
        <w:instrText>ADDIN CSL_CITATION { "citationItems" : [ { "id" : "ITEM-1", "itemData" : { "DOI" : "10.1089/nat.2012.0345", "ISSN" : "2159-3345", "PMID" : "22809313", "abstract" : "Oligonucleotides (ONs) are an emerging class of drugs being developed for the treatment of a wide variety of diseases including the treatment of respiratory diseases by the inhalation route. As a class, their toxicity on human lungs has not been fully characterized, and predictive toxicity biomarkers have not been identified. To that end, identification of sensitive methods and biomarkers that can detect toxicity in humans before any long term and/or irreversible side effects occur would be helpful. In light of the public's greater interests, the Inhalation Subcommittee of the Oligonucleotide Safety Working Group (OSWG) held expert panel discussions focusing on the potential toxicity of inhaled ONs and assessing the strengths and weaknesses of different monitoring techniques for use during the clinical evaluation of inhaled ON candidates. This white paper summarizes the key discussions and captures the panelists' perspectives and recommendations which, we propose, could be used as a framework to guide both industry and regulatory scientists in future clinical research to characterize and monitor the short and long term lung response to inhaled ONs.", "author" : [ { "dropping-particle" : "", "family" : "Alton", "given" : "Eric W", "non-dropping-particle" : "", "parse-names" : false, "suffix" : "" }, { "dropping-particle" : "", "family" : "Boushey", "given" : "Homer A", "non-dropping-particle" : "", "parse-names" : false, "suffix" : "" }, { "dropping-particle" : "", "family" : "Garn", "given" : "Holger", "non-dropping-particle" : "", "parse-names" : false, "suffix" : "" }, { "dropping-particle" : "", "family" : "Green", "given" : "Francis H", "non-dropping-particle" : "", "parse-names" : false, "suffix" : "" }, { "dropping-particle" : "", "family" : "Hodges", "given" : "Michael", "non-dropping-particle" : "", "parse-names" : false, "suffix" : "" }, { "dropping-particle" : "", "family" : "Martin", "given" : "Richard J", "non-dropping-particle" : "", "parse-names" : false, "suffix" : "" }, { "dropping-particle" : "", "family" : "Murdoch", "given" : "Robert D", "non-dropping-particle" : "", "parse-names" : false, "suffix" : "" }, { "dropping-particle" : "", "family" : "Renz", "given" : "Harald", "non-dropping-particle" : "", "parse-names" : false, "suffix" : "" }, { "dropping-particle" : "", "family" : "Shrewsbury", "given" : "Stephen B", "non-dropping-particle" : "", "parse-names" : false, "suffix" : "" }, { "dropping-particle" : "", "family" : "Seguin", "given" : "Rosanne", "non-dropping-particle" : "", "parse-names" : false, "suffix" : "" }, { "dropping-particle" : "", "family" : "Johnson", "given" : "Graham", "non-dropping-particle" : "", "parse-names" : false, "suffix" : "" }, { "dropping-particle" : "", "family" : "Parry", "given" : "Joel D", "non-dropping-particle" : "", "parse-names" : false, "suffix" : "" }, { "dropping-particle" : "", "family" : "Tepper", "given" : "Jeff", "non-dropping-particle" : "", "parse-names" : false, "suffix" : "" }, { "dropping-particle" : "", "family" : "Renzi", "given" : "Paolo", "non-dropping-particle" : "", "parse-names" : false, "suffix" : "" }, { "dropping-particle" : "", "family" : "Cavagnaro", "given" : "Joy", "non-dropping-particle" : "", "parse-names" : false, "suffix" : "" }, { "dropping-particle" : "", "family" : "Ferrari", "given" : "Nicolay", "non-dropping-particle" : "", "parse-names" : false, "suffix" : "" } ], "container-title" : "Nucleic acid therapeutics", "id" : "ITEM-1", "issue" : "4", "issued" : { "date-parts" : [ [ "2012", "8" ] ] }, "page" : "246-54", "title" : "Clinical expert panel on monitoring potential lung toxicity of inhaled oligonucleotides: consensus points and recommendations.", "type" : "article-journal", "volume" : "22" }, "uris" : [ "http://www.mendeley.com/documents/?uuid=e3b4531e-f30a-43b4-9b35-332ca8e23c92" ] } ], "mendeley" : { "formattedCitation" : "(Alton et al., 2012)", "plainTextFormattedCitation" : "(Alton et al., 2012)", "previouslyFormattedCitation" : "(Alton et al., 2012)" }, "properties" : { "noteIndex" : 0 }, "schema" : "https://github.com/citation-style-language/schema/raw/master/csl-citation.json" }</w:instrText>
      </w:r>
      <w:r w:rsidR="006E74AE">
        <w:rPr>
          <w:rFonts w:ascii="Calibri" w:hAnsi="Calibri" w:cs="Arial"/>
          <w:lang w:val="en-GB"/>
        </w:rPr>
        <w:fldChar w:fldCharType="separate"/>
      </w:r>
      <w:r w:rsidR="006E74AE" w:rsidRPr="0097074F">
        <w:rPr>
          <w:rFonts w:ascii="Calibri" w:hAnsi="Calibri" w:cs="Arial"/>
          <w:noProof/>
          <w:lang w:val="en-GB"/>
        </w:rPr>
        <w:t>(Alton et al., 2012)</w:t>
      </w:r>
      <w:r w:rsidR="006E74AE">
        <w:rPr>
          <w:rFonts w:ascii="Calibri" w:hAnsi="Calibri" w:cs="Arial"/>
          <w:lang w:val="en-GB"/>
        </w:rPr>
        <w:fldChar w:fldCharType="end"/>
      </w:r>
      <w:r w:rsidR="00E9269B">
        <w:rPr>
          <w:rFonts w:ascii="Calibri" w:hAnsi="Calibri" w:cs="Arial"/>
          <w:lang w:val="en-GB"/>
        </w:rPr>
        <w:t>,</w:t>
      </w:r>
      <w:r w:rsidR="00C5768B">
        <w:rPr>
          <w:rFonts w:ascii="Calibri" w:hAnsi="Calibri" w:cs="Arial"/>
          <w:lang w:val="en-GB"/>
        </w:rPr>
        <w:t xml:space="preserve"> as encouraged by Cook </w:t>
      </w:r>
      <w:r w:rsidR="00C5768B">
        <w:rPr>
          <w:rFonts w:ascii="Calibri" w:hAnsi="Calibri" w:cs="Arial"/>
          <w:i/>
          <w:lang w:val="en-GB"/>
        </w:rPr>
        <w:t>et al</w:t>
      </w:r>
      <w:r w:rsidR="006E74AE">
        <w:rPr>
          <w:rFonts w:ascii="Calibri" w:hAnsi="Calibri" w:cs="Arial"/>
          <w:lang w:val="en-GB"/>
        </w:rPr>
        <w:t>.</w:t>
      </w:r>
      <w:r w:rsidR="00E9269B">
        <w:rPr>
          <w:rFonts w:ascii="Calibri" w:hAnsi="Calibri" w:cs="Arial"/>
          <w:lang w:val="en-GB"/>
        </w:rPr>
        <w:t xml:space="preserve"> in the context of high confidence drug discovery.</w:t>
      </w:r>
      <w:r w:rsidR="006E74AE">
        <w:rPr>
          <w:rFonts w:ascii="Calibri" w:hAnsi="Calibri" w:cs="Arial"/>
          <w:lang w:val="en-GB"/>
        </w:rPr>
        <w:t xml:space="preserve"> To date, the activation status of resident and recruited macrophages in the lung and </w:t>
      </w:r>
      <w:r w:rsidR="00BB324D">
        <w:rPr>
          <w:rFonts w:ascii="Calibri" w:hAnsi="Calibri" w:cs="Arial"/>
          <w:lang w:val="en-GB"/>
        </w:rPr>
        <w:t xml:space="preserve">any </w:t>
      </w:r>
      <w:r w:rsidR="006E74AE">
        <w:rPr>
          <w:rFonts w:ascii="Calibri" w:hAnsi="Calibri" w:cs="Arial"/>
          <w:lang w:val="en-GB"/>
        </w:rPr>
        <w:t xml:space="preserve">chronic tissue effects remain unclear </w:t>
      </w:r>
      <w:r w:rsidR="006E74AE">
        <w:rPr>
          <w:rFonts w:ascii="Calibri" w:hAnsi="Calibri" w:cs="Arial"/>
          <w:lang w:val="en-GB"/>
        </w:rPr>
        <w:fldChar w:fldCharType="begin" w:fldLock="1"/>
      </w:r>
      <w:r w:rsidR="006E74AE">
        <w:rPr>
          <w:rFonts w:ascii="Calibri" w:hAnsi="Calibri" w:cs="Arial"/>
          <w:lang w:val="en-GB"/>
        </w:rPr>
        <w:instrText>ADDIN CSL_CITATION { "citationItems" : [ { "id" : "ITEM-1", "itemData" : { "DOI" : "10.1016/j.addr.2014.02.001", "ISSN" : "1872-8294", "PMID" : "24530633", "abstract" : "Alveolar macrophage (AM) responses are commonly induced in inhalation toxicology studies, typically being observed as an increase in number or a vacuolated 'foamy' morphology. Discriminating between adaptive AM responses and adverse events during nonclinical and clinical development is a major scientific challenge. When measuring and interpreting induced AM responses, an understanding of macrophage biology is essential; this includes 'sub-types' of AMs with different roles in health and disease and mechanisms of induction/resolution of AM responses to inhalation of pharmaceutical aerosols. In this context, emerging assay techniques, the utility of toxicokinetics and the requirement for new biomarkers are considered. Risk assessment for nonclinical toxicology findings and their translation to effects in humans is discussed from a scientific and regulatory perspective. At present, when apparently adaptive macrophage-only responses to inhaled investigational products are observed in nonclinical studies, this poses a challenge for risk assessment and an improved understanding of induced AM responses to inhaled pharmaceuticals is required.", "author" : [ { "dropping-particle" : "", "family" : "Forbes", "given" : "Ben", "non-dropping-particle" : "", "parse-names" : false, "suffix" : "" }, { "dropping-particle" : "", "family" : "O'Lone", "given" : "Raegan", "non-dropping-particle" : "", "parse-names" : false, "suffix" : "" }, { "dropping-particle" : "", "family" : "Allen", "given" : "Philippa Pribul", "non-dropping-particle" : "", "parse-names" : false, "suffix" : "" }, { "dropping-particle" : "", "family" : "Cahn", "given" : "Anthony", "non-dropping-particle" : "", "parse-names" : false, "suffix" : "" }, { "dropping-particle" : "", "family" : "Clarke", "given" : "Chris", "non-dropping-particle" : "", "parse-names" : false, "suffix" : "" }, { "dropping-particle" : "", "family" : "Collinge", "given" : "Mark", "non-dropping-particle" : "", "parse-names" : false, "suffix" : "" }, { "dropping-particle" : "", "family" : "Dailey", "given" : "Lea Ann", "non-dropping-particle" : "", "parse-names" : false, "suffix" : "" }, { "dropping-particle" : "", "family" : "Donnelly", "given" : "Louise E", "non-dropping-particle" : "", "parse-names" : false, "suffix" : "" }, { "dropping-particle" : "", "family" : "Dybowski", "given" : "Joseph", "non-dropping-particle" : "", "parse-names" : false, "suffix" : "" }, { "dropping-particle" : "", "family" : "Hassall", "given" : "David", "non-dropping-particle" : "", "parse-names" : false, "suffix" : "" }, { "dropping-particle" : "", "family" : "Hildebrand", "given" : "Deon", "non-dropping-particle" : "", "parse-names" : false, "suffix" : "" }, { "dropping-particle" : "", "family" : "Jones", "given" : "Rhys", "non-dropping-particle" : "", "parse-names" : false, "suffix" : "" }, { "dropping-particle" : "", "family" : "Kilgour", "given" : "Joanne", "non-dropping-particle" : "", "parse-names" : false, "suffix" : "" }, { "dropping-particle" : "", "family" : "Klapwijk", "given" : "Jan", "non-dropping-particle" : "", "parse-names" : false, "suffix" : "" }, { "dropping-particle" : "", "family" : "Maier", "given" : "Curtis C", "non-dropping-particle" : "", "parse-names" : false, "suffix" : "" }, { "dropping-particle" : "", "family" : "McGovern", "given" : "Tim", "non-dropping-particle" : "", "parse-names" : false, "suffix" : "" }, { "dropping-particle" : "", "family" : "Nikula", "given" : "Kristen", "non-dropping-particle" : "", "parse-names" : false, "suffix" : "" }, { "dropping-particle" : "", "family" : "Parry", "given" : "Joel D", "non-dropping-particle" : "", "parse-names" : false, "suffix" : "" }, { "dropping-particle" : "", "family" : "Reed", "given" : "Matthew D", "non-dropping-particle" : "", "parse-names" : false, "suffix" : "" }, { "dropping-particle" : "", "family" : "Robinson", "given" : "Ian", "non-dropping-particle" : "", "parse-names" : false, "suffix" : "" }, { "dropping-particle" : "", "family" : "Tomlinson", "given" : "Lindsay", "non-dropping-particle" : "", "parse-names" : false, "suffix" : "" }, { "dropping-particle" : "", "family" : "Wolfreys", "given" : "Alison", "non-dropping-particle" : "", "parse-names" : false, "suffix" : "" } ], "container-title" : "Advanced drug delivery reviews", "id" : "ITEM-1", "issued" : { "date-parts" : [ [ "2014", "5" ] ] }, "page" : "15-33", "title" : "Challenges for inhaled drug discovery and development: Induced alveolar macrophage responses.", "type" : "article-journal", "volume" : "71" }, "uris" : [ "http://www.mendeley.com/documents/?uuid=ca5dc17c-8bbe-48ea-9b33-4321e7f612d7" ] } ], "mendeley" : { "formattedCitation" : "(Forbes et al., 2014)", "plainTextFormattedCitation" : "(Forbes et al., 2014)", "previouslyFormattedCitation" : "(Forbes et al., 2014)" }, "properties" : { "noteIndex" : 0 }, "schema" : "https://github.com/citation-style-language/schema/raw/master/csl-citation.json" }</w:instrText>
      </w:r>
      <w:r w:rsidR="006E74AE">
        <w:rPr>
          <w:rFonts w:ascii="Calibri" w:hAnsi="Calibri" w:cs="Arial"/>
          <w:lang w:val="en-GB"/>
        </w:rPr>
        <w:fldChar w:fldCharType="separate"/>
      </w:r>
      <w:r w:rsidR="006E74AE" w:rsidRPr="00DA2CA3">
        <w:rPr>
          <w:rFonts w:ascii="Calibri" w:hAnsi="Calibri" w:cs="Arial"/>
          <w:noProof/>
          <w:lang w:val="en-GB"/>
        </w:rPr>
        <w:t>(Forbes et al., 2014)</w:t>
      </w:r>
      <w:r w:rsidR="006E74AE">
        <w:rPr>
          <w:rFonts w:ascii="Calibri" w:hAnsi="Calibri" w:cs="Arial"/>
          <w:lang w:val="en-GB"/>
        </w:rPr>
        <w:fldChar w:fldCharType="end"/>
      </w:r>
      <w:r w:rsidR="006E74AE">
        <w:rPr>
          <w:rFonts w:ascii="Calibri" w:hAnsi="Calibri" w:cs="Arial"/>
          <w:lang w:val="en-GB"/>
        </w:rPr>
        <w:t xml:space="preserve">. Crucially, macrophage recruitment may result in </w:t>
      </w:r>
      <w:r w:rsidR="00FA43F3">
        <w:rPr>
          <w:rFonts w:ascii="Calibri" w:hAnsi="Calibri" w:cs="Arial"/>
          <w:lang w:val="en-GB"/>
        </w:rPr>
        <w:t>re</w:t>
      </w:r>
      <w:r w:rsidR="00A45720">
        <w:rPr>
          <w:rFonts w:ascii="Calibri" w:hAnsi="Calibri" w:cs="Arial"/>
          <w:lang w:val="en-GB"/>
        </w:rPr>
        <w:t>s</w:t>
      </w:r>
      <w:r w:rsidR="00FA43F3">
        <w:rPr>
          <w:rFonts w:ascii="Calibri" w:hAnsi="Calibri" w:cs="Arial"/>
          <w:lang w:val="en-GB"/>
        </w:rPr>
        <w:t xml:space="preserve">piratory </w:t>
      </w:r>
      <w:r w:rsidR="006E74AE">
        <w:rPr>
          <w:rFonts w:ascii="Calibri" w:hAnsi="Calibri" w:cs="Arial"/>
          <w:lang w:val="en-GB"/>
        </w:rPr>
        <w:t xml:space="preserve">disease exacerbation </w:t>
      </w:r>
      <w:r w:rsidR="006E74AE">
        <w:rPr>
          <w:rFonts w:ascii="Calibri" w:hAnsi="Calibri" w:cs="Arial"/>
          <w:lang w:val="en-GB"/>
        </w:rPr>
        <w:fldChar w:fldCharType="begin" w:fldLock="1"/>
      </w:r>
      <w:r w:rsidR="006E74AE">
        <w:rPr>
          <w:rFonts w:ascii="Calibri" w:hAnsi="Calibri" w:cs="Arial"/>
          <w:lang w:val="en-GB"/>
        </w:rPr>
        <w:instrText>ADDIN CSL_CITATION { "citationItems" : [ { "id" : "ITEM-1", "itemData" : { "DOI" : "10.4049/jimmunol.1400580", "ISSN" : "1550-6606", "PMID" : "25225663", "abstract" : "The role and origin of alveolar macrophages (AMs) in asthma are incompletely defined. We sought to clarify these issues in the context of acute allergic lung inflammation using house dust mite and OVA murine models. Use of liposomal clodronate to deplete resident AMs (rAMs) resulted in increased levels of inflammatory cytokines and eosinophil numbers in lavage fluid and augmented the histopathologic evidence of lung inflammation, suggesting a suppressive role for rAMs. Lung digests of asthmatic mice revealed an increased percentage of Ly6C(high)/CD11b(pos) inflammatory monocytes. Clodronate depletion of circulating monocytes, by contrast, resulted in an attenuation of allergic inflammation. A CD45.1/CD45.2 chimera model demonstrated that recruitment at least partially contributes to the AM pool in irradiated nonasthmatic mice, but its contribution was no greater in asthma. Ki-67 staining of AMs supported a role for local proliferation, which was increased in asthma. Our data demonstrate that rAMs dampen, whereas circulating monocytes promote, early events in allergic lung inflammation. Moreover, maintenance of the AM pool in the early stages of asthmatic inflammation depends on local proliferation, but not recruitment.", "author" : [ { "dropping-particle" : "", "family" : "Zas\u0142ona", "given" : "Zbigniew", "non-dropping-particle" : "", "parse-names" : false, "suffix" : "" }, { "dropping-particle" : "", "family" : "Przybranowski", "given" : "Sally", "non-dropping-particle" : "", "parse-names" : false, "suffix" : "" }, { "dropping-particle" : "", "family" : "Wilke", "given" : "Carol", "non-dropping-particle" : "", "parse-names" : false, "suffix" : "" }, { "dropping-particle" : "", "family" : "Rooijen", "given" : "Nico", "non-dropping-particle" : "van", "parse-names" : false, "suffix" : "" }, { "dropping-particle" : "", "family" : "Teitz-Tennenbaum", "given" : "Seagal", "non-dropping-particle" : "", "parse-names" : false, "suffix" : "" }, { "dropping-particle" : "", "family" : "Osterholzer", "given" : "John J", "non-dropping-particle" : "", "parse-names" : false, "suffix" : "" }, { "dropping-particle" : "", "family" : "Wilkinson", "given" : "John E", "non-dropping-particle" : "", "parse-names" : false, "suffix" : "" }, { "dropping-particle" : "", "family" : "Moore", "given" : "Bethany B", "non-dropping-particle" : "", "parse-names" : false, "suffix" : "" }, { "dropping-particle" : "", "family" : "Peters-Golden", "given" : "Marc", "non-dropping-particle" : "", "parse-names" : false, "suffix" : "" } ], "container-title" : "Journal of immunology (Baltimore, Md. : 1950)", "id" : "ITEM-1", "issue" : "8", "issued" : { "date-parts" : [ [ "2014", "10", "15" ] ] }, "language" : "en", "page" : "4245-53", "publisher" : "American Association of Immunologists", "title" : "Resident alveolar macrophages suppress, whereas recruited monocytes promote, allergic lung inflammation in murine models of asthma.", "type" : "article-journal", "volume" : "193" }, "uris" : [ "http://www.mendeley.com/documents/?uuid=7610860a-27f6-44fc-a65f-44f20f1922e1" ] } ], "mendeley" : { "formattedCitation" : "(Zas\u0142ona et al., 2014)", "plainTextFormattedCitation" : "(Zas\u0142ona et al., 2014)", "previouslyFormattedCitation" : "(Zas\u0142ona et al., 2014)" }, "properties" : { "noteIndex" : 0 }, "schema" : "https://github.com/citation-style-language/schema/raw/master/csl-citation.json" }</w:instrText>
      </w:r>
      <w:r w:rsidR="006E74AE">
        <w:rPr>
          <w:rFonts w:ascii="Calibri" w:hAnsi="Calibri" w:cs="Arial"/>
          <w:lang w:val="en-GB"/>
        </w:rPr>
        <w:fldChar w:fldCharType="separate"/>
      </w:r>
      <w:r w:rsidR="006E74AE" w:rsidRPr="000A23E1">
        <w:rPr>
          <w:rFonts w:ascii="Calibri" w:hAnsi="Calibri" w:cs="Arial"/>
          <w:noProof/>
          <w:lang w:val="en-GB"/>
        </w:rPr>
        <w:t>(Zasłona et al., 2014)</w:t>
      </w:r>
      <w:r w:rsidR="006E74AE">
        <w:rPr>
          <w:rFonts w:ascii="Calibri" w:hAnsi="Calibri" w:cs="Arial"/>
          <w:lang w:val="en-GB"/>
        </w:rPr>
        <w:fldChar w:fldCharType="end"/>
      </w:r>
      <w:r w:rsidR="00E42C3C">
        <w:rPr>
          <w:rFonts w:ascii="Calibri" w:hAnsi="Calibri" w:cs="Arial"/>
          <w:lang w:val="en-GB"/>
        </w:rPr>
        <w:t>.</w:t>
      </w:r>
      <w:r w:rsidR="00D2409A">
        <w:rPr>
          <w:rFonts w:ascii="Calibri" w:hAnsi="Calibri" w:cs="Arial"/>
          <w:lang w:val="en-GB"/>
        </w:rPr>
        <w:t xml:space="preserve"> </w:t>
      </w:r>
      <w:r w:rsidR="00E42C3C">
        <w:rPr>
          <w:rFonts w:ascii="Calibri" w:hAnsi="Calibri" w:cs="Arial"/>
          <w:lang w:val="en-GB"/>
        </w:rPr>
        <w:t>This</w:t>
      </w:r>
      <w:r w:rsidR="00D2409A">
        <w:rPr>
          <w:rFonts w:ascii="Calibri" w:hAnsi="Calibri" w:cs="Arial"/>
          <w:lang w:val="en-GB"/>
        </w:rPr>
        <w:t xml:space="preserve"> observation </w:t>
      </w:r>
      <w:r w:rsidR="00E42C3C">
        <w:rPr>
          <w:rFonts w:ascii="Calibri" w:hAnsi="Calibri" w:cs="Arial"/>
          <w:lang w:val="en-GB"/>
        </w:rPr>
        <w:t xml:space="preserve">is </w:t>
      </w:r>
      <w:r w:rsidR="00D2409A">
        <w:rPr>
          <w:rFonts w:ascii="Calibri" w:hAnsi="Calibri" w:cs="Arial"/>
          <w:lang w:val="en-GB"/>
        </w:rPr>
        <w:t>particular</w:t>
      </w:r>
      <w:r w:rsidR="00E42C3C">
        <w:rPr>
          <w:rFonts w:ascii="Calibri" w:hAnsi="Calibri" w:cs="Arial"/>
          <w:lang w:val="en-GB"/>
        </w:rPr>
        <w:t>ly</w:t>
      </w:r>
      <w:r w:rsidR="00D2409A">
        <w:rPr>
          <w:rFonts w:ascii="Calibri" w:hAnsi="Calibri" w:cs="Arial"/>
          <w:lang w:val="en-GB"/>
        </w:rPr>
        <w:t xml:space="preserve"> relevan</w:t>
      </w:r>
      <w:r w:rsidR="00E42C3C">
        <w:rPr>
          <w:rFonts w:ascii="Calibri" w:hAnsi="Calibri" w:cs="Arial"/>
          <w:lang w:val="en-GB"/>
        </w:rPr>
        <w:t>t</w:t>
      </w:r>
      <w:r w:rsidR="00D2409A">
        <w:rPr>
          <w:rFonts w:ascii="Calibri" w:hAnsi="Calibri" w:cs="Arial"/>
          <w:lang w:val="en-GB"/>
        </w:rPr>
        <w:t xml:space="preserve"> to proposed anti-inflammatory antisense therapeutics </w:t>
      </w:r>
      <w:r w:rsidR="00E42C3C">
        <w:rPr>
          <w:rFonts w:ascii="Calibri" w:hAnsi="Calibri" w:cs="Arial"/>
          <w:lang w:val="en-GB"/>
        </w:rPr>
        <w:t>known to drive</w:t>
      </w:r>
      <w:r w:rsidR="00D2409A">
        <w:rPr>
          <w:rFonts w:ascii="Calibri" w:hAnsi="Calibri" w:cs="Arial"/>
          <w:lang w:val="en-GB"/>
        </w:rPr>
        <w:t xml:space="preserve"> macrophage recruitment </w:t>
      </w:r>
      <w:r w:rsidR="00E42C3C">
        <w:rPr>
          <w:rFonts w:ascii="Calibri" w:hAnsi="Calibri" w:cs="Arial"/>
          <w:lang w:val="en-GB"/>
        </w:rPr>
        <w:t xml:space="preserve">to the airways, </w:t>
      </w:r>
      <w:r w:rsidR="00C5768B">
        <w:rPr>
          <w:rFonts w:ascii="Calibri" w:hAnsi="Calibri" w:cs="Arial"/>
          <w:lang w:val="en-GB"/>
        </w:rPr>
        <w:t>such as both the Ionis and Pharmaxis chemistries</w:t>
      </w:r>
      <w:r w:rsidR="006E74AE">
        <w:rPr>
          <w:rFonts w:ascii="Calibri" w:hAnsi="Calibri" w:cs="Arial"/>
          <w:lang w:val="en-GB"/>
        </w:rPr>
        <w:t>.</w:t>
      </w:r>
      <w:r w:rsidR="009378D4">
        <w:rPr>
          <w:rFonts w:ascii="Calibri" w:hAnsi="Calibri" w:cs="Arial"/>
          <w:lang w:val="en-GB"/>
        </w:rPr>
        <w:t xml:space="preserve"> </w:t>
      </w:r>
      <w:r w:rsidR="00E42C3C">
        <w:rPr>
          <w:rFonts w:ascii="Calibri" w:hAnsi="Calibri" w:cs="Arial"/>
          <w:lang w:val="en-GB"/>
        </w:rPr>
        <w:t xml:space="preserve">Put simply, it is unknown at present what the compounding effects of macrophage recruitment and their loading with oligonucleotide therapeutics under the context of chronic dosing does to the airways. </w:t>
      </w:r>
      <w:r w:rsidR="009378D4">
        <w:rPr>
          <w:rFonts w:ascii="Calibri" w:hAnsi="Calibri" w:cs="Arial"/>
          <w:lang w:val="en-GB"/>
        </w:rPr>
        <w:t xml:space="preserve">Indeed, the recent discovery of TLR1-mediated inflammatory responses to oligonucleotide drugs </w:t>
      </w:r>
      <w:r w:rsidR="009378D4">
        <w:rPr>
          <w:rFonts w:ascii="Calibri" w:hAnsi="Calibri" w:cs="Arial"/>
          <w:lang w:val="en-GB"/>
        </w:rPr>
        <w:fldChar w:fldCharType="begin" w:fldLock="1"/>
      </w:r>
      <w:r w:rsidR="009378D4">
        <w:rPr>
          <w:rFonts w:ascii="Calibri" w:hAnsi="Calibri" w:cs="Arial"/>
          <w:lang w:val="en-GB"/>
        </w:rPr>
        <w:instrText>ADDIN CSL_CITATION { "citationItems" : [ { "id" : "ITEM-1", "itemData" : { "DOI" : "10.1182/blood-2012-07-441360", "ISSN" : "1528-0020", "PMID" : "23580661", "abstract" : "MicroRNAs (miRNAs) bind to complementary sequences of target mRNAs, resulting in translational repression or target degradation and thus gene silencing. miRNAs are abundant in circulating blood, yet it is not known whether, as a class of regulatory molecules, they interact with human natural killer (NK) cells. Here we found that the treatment of human NK cells with several mature miRNAs in the presence of a low concentration of interleukin-12 induced CD69 expression, interferon-\u03b3 production, and degranulation marker CD107a expression. In vivo, infusion of several miRNAs alone in murine peripheral blood also resulted in comparable NK-cell activation, but not T-cell activation. Furthermore, miRNA administration significantly protected mice from tumor development in an NK cell-dependent manner. Mechanistically, we found that miRNA stimulation led to downstream activation of nuclear factor \u03baB (NF-\u03baB), an effect that was blunted by a block in Toll-like receptor 1(TLR1) signaling and attenuated in lymphoma patients. Knockdown of TLR1 resulted in less activation by miRNAs. Collectively, we show that miRNAs have a capacity to selectively activate innate immune effector cells that is, at least in part, via the TLR1-NF-\u03baB signaling pathway. This may be important in the normal host defense against infection and/or malignant transformation.", "author" : [ { "dropping-particle" : "", "family" : "He", "given" : "Shun", "non-dropping-particle" : "", "parse-names" : false, "suffix" : "" }, { "dropping-particle" : "", "family" : "Chu", "given" : "Jianhong", "non-dropping-particle" : "", "parse-names" : false, "suffix" : "" }, { "dropping-particle" : "", "family" : "Wu", "given" : "Lai-Chu", "non-dropping-particle" : "", "parse-names" : false, "suffix" : "" }, { "dropping-particle" : "", "family" : "Mao", "given" : "Hsiaoyin", "non-dropping-particle" : "", "parse-names" : false, "suffix" : "" }, { "dropping-particle" : "", "family" : "Peng", "given" : "Yong", "non-dropping-particle" : "", "parse-names" : false, "suffix" : "" }, { "dropping-particle" : "", "family" : "Alvarez-Breckenridge", "given" : "Christopher A", "non-dropping-particle" : "", "parse-names" : false, "suffix" : "" }, { "dropping-particle" : "", "family" : "Hughes", "given" : "Tiffany", "non-dropping-particle" : "", "parse-names" : false, "suffix" : "" }, { "dropping-particle" : "", "family" : "Wei", "given" : "Min", "non-dropping-particle" : "", "parse-names" : false, "suffix" : "" }, { "dropping-particle" : "", "family" : "Zhang", "given" : "Jianying", "non-dropping-particle" : "", "parse-names" : false, "suffix" : "" }, { "dropping-particle" : "", "family" : "Yuan", "given" : "Shunzong", "non-dropping-particle" : "", "parse-names" : false, "suffix" : "" }, { "dropping-particle" : "", "family" : "Sandhu", "given" : "Sumeet", "non-dropping-particle" : "", "parse-names" : false, "suffix" : "" }, { "dropping-particle" : "", "family" : "Vasu", "given" : "Sumithira", "non-dropping-particle" : "", "parse-names" : false, "suffix" : "" }, { "dropping-particle" : "", "family" : "Benson", "given" : "Don M", "non-dropping-particle" : "", "parse-names" : false, "suffix" : "" }, { "dropping-particle" : "", "family" : "Hofmeister", "given" : "Craig C", "non-dropping-particle" : "", "parse-names" : false, "suffix" : "" }, { "dropping-particle" : "", "family" : "He", "given" : "Xiaoming", "non-dropping-particle" : "", "parse-names" : false, "suffix" : "" }, { "dropping-particle" : "", "family" : "Ghoshal", "given" : "Kalpana", "non-dropping-particle" : "", "parse-names" : false, "suffix" : "" }, { "dropping-particle" : "", "family" : "Devine", "given" : "Steven M", "non-dropping-particle" : "", "parse-names" : false, "suffix" : "" }, { "dropping-particle" : "", "family" : "Caligiuri", "given" : "Michael A", "non-dropping-particle" : "", "parse-names" : false, "suffix" : "" }, { "dropping-particle" : "", "family" : "Yu", "given" : "Jianhua", "non-dropping-particle" : "", "parse-names" : false, "suffix" : "" } ], "container-title" : "Blood", "id" : "ITEM-1", "issue" : "23", "issued" : { "date-parts" : [ [ "2013", "6", "6" ] ] }, "page" : "4663-71", "title" : "MicroRNAs activate natural killer cells through Toll-like receptor signaling.", "type" : "article-journal", "volume" : "121" }, "uris" : [ "http://www.mendeley.com/documents/?uuid=721c6926-06c3-4e2e-894f-1c996448cb31" ] } ], "mendeley" : { "formattedCitation" : "(S. He et al., 2013)", "plainTextFormattedCitation" : "(S. He et al., 2013)" }, "properties" : { "noteIndex" : 0 }, "schema" : "https://github.com/citation-style-language/schema/raw/master/csl-citation.json" }</w:instrText>
      </w:r>
      <w:r w:rsidR="009378D4">
        <w:rPr>
          <w:rFonts w:ascii="Calibri" w:hAnsi="Calibri" w:cs="Arial"/>
          <w:lang w:val="en-GB"/>
        </w:rPr>
        <w:fldChar w:fldCharType="separate"/>
      </w:r>
      <w:r w:rsidR="009378D4" w:rsidRPr="009378D4">
        <w:rPr>
          <w:rFonts w:ascii="Calibri" w:hAnsi="Calibri" w:cs="Arial"/>
          <w:noProof/>
          <w:lang w:val="en-GB"/>
        </w:rPr>
        <w:t>(S. He et al., 2013)</w:t>
      </w:r>
      <w:r w:rsidR="009378D4">
        <w:rPr>
          <w:rFonts w:ascii="Calibri" w:hAnsi="Calibri" w:cs="Arial"/>
          <w:lang w:val="en-GB"/>
        </w:rPr>
        <w:fldChar w:fldCharType="end"/>
      </w:r>
      <w:r w:rsidR="009378D4">
        <w:rPr>
          <w:rFonts w:ascii="Calibri" w:hAnsi="Calibri" w:cs="Arial"/>
          <w:lang w:val="en-GB"/>
        </w:rPr>
        <w:t xml:space="preserve"> suggests there is still a lot to learn about oligonucleotide recognition systems in innate immunity</w:t>
      </w:r>
      <w:r w:rsidR="00E42C3C">
        <w:rPr>
          <w:rFonts w:ascii="Calibri" w:hAnsi="Calibri" w:cs="Arial"/>
          <w:lang w:val="en-GB"/>
        </w:rPr>
        <w:t xml:space="preserve"> – a central element to both asthma and COPD exacerbations</w:t>
      </w:r>
      <w:r w:rsidR="009378D4">
        <w:rPr>
          <w:rFonts w:ascii="Calibri" w:hAnsi="Calibri" w:cs="Arial"/>
          <w:lang w:val="en-GB"/>
        </w:rPr>
        <w:t>.</w:t>
      </w:r>
      <w:r w:rsidR="006E74AE">
        <w:rPr>
          <w:rFonts w:ascii="Calibri" w:hAnsi="Calibri" w:cs="Arial"/>
          <w:lang w:val="en-GB"/>
        </w:rPr>
        <w:t xml:space="preserve"> Moreover, 3</w:t>
      </w:r>
      <w:r w:rsidR="006E74AE" w:rsidRPr="00BA4A6D">
        <w:rPr>
          <w:rFonts w:ascii="Calibri" w:hAnsi="Calibri" w:cs="Arial"/>
          <w:vertAlign w:val="superscript"/>
          <w:lang w:val="en-GB"/>
        </w:rPr>
        <w:t>rd</w:t>
      </w:r>
      <w:r w:rsidR="006E74AE">
        <w:rPr>
          <w:rFonts w:ascii="Calibri" w:hAnsi="Calibri" w:cs="Arial"/>
          <w:lang w:val="en-GB"/>
        </w:rPr>
        <w:t xml:space="preserve"> generation ASO have been very recently shown to harbour an off-target class effect that mediates long (&gt;125kb) transcript degradation in an RNase H-dependent manner </w:t>
      </w:r>
      <w:r w:rsidR="006E74AE">
        <w:rPr>
          <w:rFonts w:ascii="Calibri" w:hAnsi="Calibri" w:cs="Arial"/>
          <w:lang w:val="en-GB"/>
        </w:rPr>
        <w:fldChar w:fldCharType="begin" w:fldLock="1"/>
      </w:r>
      <w:r w:rsidR="006E74AE">
        <w:rPr>
          <w:rFonts w:ascii="Calibri" w:hAnsi="Calibri" w:cs="Arial"/>
          <w:lang w:val="en-GB"/>
        </w:rPr>
        <w:instrText>ADDIN CSL_CITATION { "citationItems" : [ { "id" : "ITEM-1", "itemData" : { "DOI" : "10.1093/nar/gkv1210", "ISSN" : "1362-4962", "PMID" : "26553810", "abstract" : "High affinity antisense oligonucleotides (ASOs) containing bicylic modifications (BNA) such as locked nucleic acid (LNA) designed to induce target RNA cleavage have been shown to have enhanced potency along with a higher propensity to cause hepatotoxicity. In order to understand the mechanism of this hepatotoxicity, transcriptional profiles were collected from the livers of mice treated with a panel of highly efficacious hepatotoxic or non-hepatotoxic LNA ASOs. We observed highly selective transcript knockdown in mice treated with non-hepatotoxic LNA ASOs, while the levels of many unintended transcripts were reduced in mice treated with hepatotoxic LNA ASOs. This transcriptional signature was concurrent with on-target RNA reduction and preceded transaminitis. Remarkably, the mRNA transcripts commonly reduced by toxic LNA ASOs were generally not strongly associated with any particular biological process, cellular component or functional group. However, they tended to have much longer pre-mRNA transcripts. We also demonstrate that the off-target RNA knockdown and hepatotoxicity is attenuated by RNase H1 knockdown, and that this effect can be generalized to high affinity modifications beyond LNA. This suggests that for a certain set of ASOs containing high affinity modifications such as LNA, hepatotoxicity can occur as a result of unintended off-target RNase H1 dependent RNA degradation.", "author" : [ { "dropping-particle" : "", "family" : "Burel", "given" : "Sebastien A", "non-dropping-particle" : "", "parse-names" : false, "suffix" : "" }, { "dropping-particle" : "", "family" : "Hart", "given" : "Christopher E", "non-dropping-particle" : "", "parse-names" : false, "suffix" : "" }, { "dropping-particle" : "", "family" : "Cauntay", "given" : "Patrick", "non-dropping-particle" : "", "parse-names" : false, "suffix" : "" }, { "dropping-particle" : "", "family" : "Hsiao", "given" : "Jill", "non-dropping-particle" : "", "parse-names" : false, "suffix" : "" }, { "dropping-particle" : "", "family" : "Machemer", "given" : "Todd", "non-dropping-particle" : "", "parse-names" : false, "suffix" : "" }, { "dropping-particle" : "", "family" : "Katz", "given" : "Melanie", "non-dropping-particle" : "", "parse-names" : false, "suffix" : "" }, { "dropping-particle" : "", "family" : "Watt", "given" : "Andy", "non-dropping-particle" : "", "parse-names" : false, "suffix" : "" }, { "dropping-particle" : "", "family" : "Bui", "given" : "Huynh-Hoa", "non-dropping-particle" : "", "parse-names" : false, "suffix" : "" }, { "dropping-particle" : "", "family" : "Younis", "given" : "Husam", "non-dropping-particle" : "", "parse-names" : false, "suffix" : "" }, { "dropping-particle" : "", "family" : "Sabripour", "given" : "Mahyar", "non-dropping-particle" : "", "parse-names" : false, "suffix" : "" }, { "dropping-particle" : "", "family" : "Freier", "given" : "Susan M", "non-dropping-particle" : "", "parse-names" : false, "suffix" : "" }, { "dropping-particle" : "", "family" : "Hung", "given" : "Gene", "non-dropping-particle" : "", "parse-names" : false, "suffix" : "" }, { "dropping-particle" : "", "family" : "Dan", "given" : "Amy", "non-dropping-particle" : "", "parse-names" : false, "suffix" : "" }, { "dropping-particle" : "", "family" : "Prakash", "given" : "T P", "non-dropping-particle" : "", "parse-names" : false, "suffix" : "" }, { "dropping-particle" : "", "family" : "Seth", "given" : "Punit P", "non-dropping-particle" : "", "parse-names" : false, "suffix" : "" }, { "dropping-particle" : "", "family" : "Swayze", "given" : "Eric E", "non-dropping-particle" : "", "parse-names" : false, "suffix" : "" }, { "dropping-particle" : "", "family" : "Bennett", "given" : "C Frank", "non-dropping-particle" : "", "parse-names" : false, "suffix" : "" }, { "dropping-particle" : "", "family" : "Crooke", "given" : "Stanley T", "non-dropping-particle" : "", "parse-names" : false, "suffix" : "" }, { "dropping-particle" : "", "family" : "Henry", "given" : "Scott P", "non-dropping-particle" : "", "parse-names" : false, "suffix" : "" } ], "container-title" : "Nucleic acids research", "id" : "ITEM-1", "issued" : { "date-parts" : [ [ "2015", "11", "8" ] ] }, "page" : "gkv1210-", "title" : "Hepatotoxicity of high affinity gapmer antisense oligonucleotides is mediated by RNase H1 dependent promiscuous reduction of very long pre-mRNA transcripts.", "type" : "article-journal" }, "uris" : [ "http://www.mendeley.com/documents/?uuid=5027ac66-5ca0-4a6a-8bec-b277087e6ad3" ] } ], "mendeley" : { "formattedCitation" : "(Burel et al., 2015)", "plainTextFormattedCitation" : "(Burel et al., 2015)", "previouslyFormattedCitation" : "(Burel et al., 2015)" }, "properties" : { "noteIndex" : 0 }, "schema" : "https://github.com/citation-style-language/schema/raw/master/csl-citation.json" }</w:instrText>
      </w:r>
      <w:r w:rsidR="006E74AE">
        <w:rPr>
          <w:rFonts w:ascii="Calibri" w:hAnsi="Calibri" w:cs="Arial"/>
          <w:lang w:val="en-GB"/>
        </w:rPr>
        <w:fldChar w:fldCharType="separate"/>
      </w:r>
      <w:r w:rsidR="006E74AE" w:rsidRPr="00A95E2E">
        <w:rPr>
          <w:rFonts w:ascii="Calibri" w:hAnsi="Calibri" w:cs="Arial"/>
          <w:noProof/>
          <w:lang w:val="en-GB"/>
        </w:rPr>
        <w:t>(Burel et al., 2015)</w:t>
      </w:r>
      <w:r w:rsidR="006E74AE">
        <w:rPr>
          <w:rFonts w:ascii="Calibri" w:hAnsi="Calibri" w:cs="Arial"/>
          <w:lang w:val="en-GB"/>
        </w:rPr>
        <w:fldChar w:fldCharType="end"/>
      </w:r>
      <w:r w:rsidR="006E74AE">
        <w:rPr>
          <w:rFonts w:ascii="Calibri" w:hAnsi="Calibri" w:cs="Arial"/>
          <w:lang w:val="en-GB"/>
        </w:rPr>
        <w:t xml:space="preserve"> con-currently to on-target </w:t>
      </w:r>
      <w:r w:rsidR="00BB324D">
        <w:rPr>
          <w:rFonts w:ascii="Calibri" w:hAnsi="Calibri" w:cs="Arial"/>
          <w:lang w:val="en-GB"/>
        </w:rPr>
        <w:t>MOA</w:t>
      </w:r>
      <w:r w:rsidR="006E74AE">
        <w:rPr>
          <w:rFonts w:ascii="Calibri" w:hAnsi="Calibri" w:cs="Arial"/>
          <w:lang w:val="en-GB"/>
        </w:rPr>
        <w:t xml:space="preserve">. Thus, clinical success for </w:t>
      </w:r>
      <w:r w:rsidR="00353305">
        <w:rPr>
          <w:rFonts w:ascii="Calibri" w:hAnsi="Calibri" w:cs="Arial"/>
          <w:lang w:val="en-GB"/>
        </w:rPr>
        <w:t>the oligonucleotide therapeutics</w:t>
      </w:r>
      <w:r w:rsidR="006E74AE">
        <w:rPr>
          <w:rFonts w:ascii="Calibri" w:hAnsi="Calibri" w:cs="Arial"/>
          <w:lang w:val="en-GB"/>
        </w:rPr>
        <w:t xml:space="preserve"> class </w:t>
      </w:r>
      <w:r w:rsidR="00BB324D">
        <w:rPr>
          <w:rFonts w:ascii="Calibri" w:hAnsi="Calibri" w:cs="Arial"/>
          <w:lang w:val="en-GB"/>
        </w:rPr>
        <w:t>in</w:t>
      </w:r>
      <w:r w:rsidR="006E74AE">
        <w:rPr>
          <w:rFonts w:ascii="Calibri" w:hAnsi="Calibri" w:cs="Arial"/>
          <w:lang w:val="en-GB"/>
        </w:rPr>
        <w:t xml:space="preserve"> lung disease will pivot on </w:t>
      </w:r>
      <w:r w:rsidR="00925E56">
        <w:rPr>
          <w:rFonts w:ascii="Calibri" w:hAnsi="Calibri" w:cs="Arial"/>
          <w:lang w:val="en-GB"/>
        </w:rPr>
        <w:t xml:space="preserve">clear MOA data and </w:t>
      </w:r>
      <w:r w:rsidR="006E74AE">
        <w:rPr>
          <w:rFonts w:ascii="Calibri" w:hAnsi="Calibri" w:cs="Arial"/>
          <w:lang w:val="en-GB"/>
        </w:rPr>
        <w:t xml:space="preserve">thorough exploratory toxicology studies </w:t>
      </w:r>
      <w:r w:rsidR="00C5768B">
        <w:rPr>
          <w:rFonts w:ascii="Calibri" w:hAnsi="Calibri" w:cs="Arial"/>
          <w:lang w:val="en-GB"/>
        </w:rPr>
        <w:fldChar w:fldCharType="begin" w:fldLock="1"/>
      </w:r>
      <w:r w:rsidR="00C5768B">
        <w:rPr>
          <w:rFonts w:ascii="Calibri" w:hAnsi="Calibri" w:cs="Arial"/>
          <w:lang w:val="en-GB"/>
        </w:rPr>
        <w:instrText>ADDIN CSL_CITATION { "citationItems" : [ { "id" : "ITEM-1", "itemData" : { "DOI" : "10.1016/j.addr.2014.02.001", "ISSN" : "1872-8294", "PMID" : "24530633", "abstract" : "Alveolar macrophage (AM) responses are commonly induced in inhalation toxicology studies, typically being observed as an increase in number or a vacuolated 'foamy' morphology. Discriminating between adaptive AM responses and adverse events during nonclinical and clinical development is a major scientific challenge. When measuring and interpreting induced AM responses, an understanding of macrophage biology is essential; this includes 'sub-types' of AMs with different roles in health and disease and mechanisms of induction/resolution of AM responses to inhalation of pharmaceutical aerosols. In this context, emerging assay techniques, the utility of toxicokinetics and the requirement for new biomarkers are considered. Risk assessment for nonclinical toxicology findings and their translation to effects in humans is discussed from a scientific and regulatory perspective. At present, when apparently adaptive macrophage-only responses to inhaled investigational products are observed in nonclinical studies, this poses a challenge for risk assessment and an improved understanding of induced AM responses to inhaled pharmaceuticals is required.", "author" : [ { "dropping-particle" : "", "family" : "Forbes", "given" : "Ben", "non-dropping-particle" : "", "parse-names" : false, "suffix" : "" }, { "dropping-particle" : "", "family" : "O'Lone", "given" : "Raegan", "non-dropping-particle" : "", "parse-names" : false, "suffix" : "" }, { "dropping-particle" : "", "family" : "Allen", "given" : "Philippa Pribul", "non-dropping-particle" : "", "parse-names" : false, "suffix" : "" }, { "dropping-particle" : "", "family" : "Cahn", "given" : "Anthony", "non-dropping-particle" : "", "parse-names" : false, "suffix" : "" }, { "dropping-particle" : "", "family" : "Clarke", "given" : "Chris", "non-dropping-particle" : "", "parse-names" : false, "suffix" : "" }, { "dropping-particle" : "", "family" : "Collinge", "given" : "Mark", "non-dropping-particle" : "", "parse-names" : false, "suffix" : "" }, { "dropping-particle" : "", "family" : "Dailey", "given" : "Lea Ann", "non-dropping-particle" : "", "parse-names" : false, "suffix" : "" }, { "dropping-particle" : "", "family" : "Donnelly", "given" : "Louise E", "non-dropping-particle" : "", "parse-names" : false, "suffix" : "" }, { "dropping-particle" : "", "family" : "Dybowski", "given" : "Joseph", "non-dropping-particle" : "", "parse-names" : false, "suffix" : "" }, { "dropping-particle" : "", "family" : "Hassall", "given" : "David", "non-dropping-particle" : "", "parse-names" : false, "suffix" : "" }, { "dropping-particle" : "", "family" : "Hildebrand", "given" : "Deon", "non-dropping-particle" : "", "parse-names" : false, "suffix" : "" }, { "dropping-particle" : "", "family" : "Jones", "given" : "Rhys", "non-dropping-particle" : "", "parse-names" : false, "suffix" : "" }, { "dropping-particle" : "", "family" : "Kilgour", "given" : "Joanne", "non-dropping-particle" : "", "parse-names" : false, "suffix" : "" }, { "dropping-particle" : "", "family" : "Klapwijk", "given" : "Jan", "non-dropping-particle" : "", "parse-names" : false, "suffix" : "" }, { "dropping-particle" : "", "family" : "Maier", "given" : "Curtis C", "non-dropping-particle" : "", "parse-names" : false, "suffix" : "" }, { "dropping-particle" : "", "family" : "McGovern", "given" : "Tim", "non-dropping-particle" : "", "parse-names" : false, "suffix" : "" }, { "dropping-particle" : "", "family" : "Nikula", "given" : "Kristen", "non-dropping-particle" : "", "parse-names" : false, "suffix" : "" }, { "dropping-particle" : "", "family" : "Parry", "given" : "Joel D", "non-dropping-particle" : "", "parse-names" : false, "suffix" : "" }, { "dropping-particle" : "", "family" : "Reed", "given" : "Matthew D", "non-dropping-particle" : "", "parse-names" : false, "suffix" : "" }, { "dropping-particle" : "", "family" : "Robinson", "given" : "Ian", "non-dropping-particle" : "", "parse-names" : false, "suffix" : "" }, { "dropping-particle" : "", "family" : "Tomlinson", "given" : "Lindsay", "non-dropping-particle" : "", "parse-names" : false, "suffix" : "" }, { "dropping-particle" : "", "family" : "Wolfreys", "given" : "Alison", "non-dropping-particle" : "", "parse-names" : false, "suffix" : "" } ], "container-title" : "Advanced drug delivery reviews", "id" : "ITEM-1", "issued" : { "date-parts" : [ [ "2014", "5" ] ] }, "page" : "15-33", "title" : "Challenges for inhaled drug discovery and development: Induced alveolar macrophage responses.", "type" : "article-journal", "volume" : "71" }, "uris" : [ "http://www.mendeley.com/documents/?uuid=ca5dc17c-8bbe-48ea-9b33-4321e7f612d7" ] }, { "id" : "ITEM-2", "itemData" : { "DOI" : "10.1038/nrd4309", "ISSN" : "1474-1784", "PMID" : "24833294", "abstract" : "Maintaining research and development (R&amp;D) productivity at a sustainable level is one of the main challenges currently facing the pharmaceutical industry. In this article, we discuss the results of a comprehensive longitudinal review of AstraZeneca's small-molecule drug projects from 2005 to 2010. The analysis allowed us to establish a framework based on the five most important technical determinants of project success and pipeline quality, which we describe as the five 'R's: the right target, the right patient, the right tissue, the right safety and the right commercial potential. A sixth factor - the right culture - is also crucial in encouraging effective decision-making based on these technical determinants. AstraZeneca is currently applying this framework to guide its R&amp;D teams, and although it is too early to demonstrate whether this has improved the company's R&amp;D productivity, we present our data and analysis here in the hope that it may assist the industry overall in addressing this key challenge.", "author" : [ { "dropping-particle" : "", "family" : "Cook", "given" : "David", "non-dropping-particle" : "", "parse-names" : false, "suffix" : "" }, { "dropping-particle" : "", "family" : "Brown", "given" : "Dearg", "non-dropping-particle" : "", "parse-names" : false, "suffix" : "" }, { "dropping-particle" : "", "family" : "Alexander", "given" : "Robert", "non-dropping-particle" : "", "parse-names" : false, "suffix" : "" }, { "dropping-particle" : "", "family" : "March", "given" : "Ruth", "non-dropping-particle" : "", "parse-names" : false, "suffix" : "" }, { "dropping-particle" : "", "family" : "Morgan", "given" : "Paul", "non-dropping-particle" : "", "parse-names" : false, "suffix" : "" }, { "dropping-particle" : "", "family" : "Satterthwaite", "given" : "Gemma", "non-dropping-particle" : "", "parse-names" : false, "suffix" : "" }, { "dropping-particle" : "", "family" : "Pangalos", "given" : "Menelas N", "non-dropping-particle" : "", "parse-names" : false, "suffix" : "" } ], "container-title" : "Nature reviews. Drug discovery", "id" : "ITEM-2", "issue" : "6", "issued" : { "date-parts" : [ [ "2014", "6" ] ] }, "page" : "419-31", "publisher" : "Nature Publishing Group, a division of Macmillan Publishers Limited. All Rights Reserved.", "title" : "Lessons learned from the fate of AstraZeneca's drug pipeline: a five-dimensional framework.", "title-short" : "Nat Rev Drug Discov", "type" : "article-journal", "volume" : "13" }, "uris" : [ "http://www.mendeley.com/documents/?uuid=2fe0814f-c7bc-4dd0-bbb3-c9290917d7ae" ] } ], "mendeley" : { "formattedCitation" : "(Cook et al., 2014; Forbes et al., 2014)", "plainTextFormattedCitation" : "(Cook et al., 2014; Forbes et al., 2014)", "previouslyFormattedCitation" : "(Cook et al., 2014; Forbes et al., 2014)" }, "properties" : { "noteIndex" : 0 }, "schema" : "https://github.com/citation-style-language/schema/raw/master/csl-citation.json" }</w:instrText>
      </w:r>
      <w:r w:rsidR="00C5768B">
        <w:rPr>
          <w:rFonts w:ascii="Calibri" w:hAnsi="Calibri" w:cs="Arial"/>
          <w:lang w:val="en-GB"/>
        </w:rPr>
        <w:fldChar w:fldCharType="separate"/>
      </w:r>
      <w:r w:rsidR="00C5768B" w:rsidRPr="00C5768B">
        <w:rPr>
          <w:rFonts w:ascii="Calibri" w:hAnsi="Calibri" w:cs="Arial"/>
          <w:noProof/>
          <w:lang w:val="en-GB"/>
        </w:rPr>
        <w:t xml:space="preserve">(Cook et al., 2014; Forbes et al., </w:t>
      </w:r>
      <w:r w:rsidR="00C5768B" w:rsidRPr="00C5768B">
        <w:rPr>
          <w:rFonts w:ascii="Calibri" w:hAnsi="Calibri" w:cs="Arial"/>
          <w:noProof/>
          <w:lang w:val="en-GB"/>
        </w:rPr>
        <w:lastRenderedPageBreak/>
        <w:t>2014)</w:t>
      </w:r>
      <w:r w:rsidR="00C5768B">
        <w:rPr>
          <w:rFonts w:ascii="Calibri" w:hAnsi="Calibri" w:cs="Arial"/>
          <w:lang w:val="en-GB"/>
        </w:rPr>
        <w:fldChar w:fldCharType="end"/>
      </w:r>
      <w:r w:rsidR="006E74AE">
        <w:rPr>
          <w:rFonts w:ascii="Calibri" w:hAnsi="Calibri" w:cs="Arial"/>
          <w:lang w:val="en-GB"/>
        </w:rPr>
        <w:t xml:space="preserve"> </w:t>
      </w:r>
      <w:r w:rsidR="006E74AE">
        <w:rPr>
          <w:rFonts w:ascii="Calibri" w:hAnsi="Calibri" w:cs="Arial"/>
          <w:i/>
          <w:lang w:val="en-GB"/>
        </w:rPr>
        <w:t>in vitro</w:t>
      </w:r>
      <w:r w:rsidR="006E74AE">
        <w:rPr>
          <w:rFonts w:ascii="Calibri" w:hAnsi="Calibri" w:cs="Arial"/>
          <w:lang w:val="en-GB"/>
        </w:rPr>
        <w:t xml:space="preserve">, </w:t>
      </w:r>
      <w:r w:rsidR="006E74AE">
        <w:rPr>
          <w:rFonts w:ascii="Calibri" w:hAnsi="Calibri" w:cs="Arial"/>
          <w:i/>
          <w:lang w:val="en-GB"/>
        </w:rPr>
        <w:t xml:space="preserve">in vivo </w:t>
      </w:r>
      <w:r w:rsidR="006E74AE">
        <w:rPr>
          <w:rFonts w:ascii="Calibri" w:hAnsi="Calibri" w:cs="Arial"/>
          <w:lang w:val="en-GB"/>
        </w:rPr>
        <w:t>and following chronic exposure trials that effectively compartmentalise on-target value proposition against off-target effect tolerability.</w:t>
      </w:r>
    </w:p>
    <w:p w14:paraId="5012045A" w14:textId="77777777" w:rsidR="000D6E32" w:rsidRDefault="000D6E32" w:rsidP="005837A4">
      <w:pPr>
        <w:spacing w:line="480" w:lineRule="auto"/>
        <w:jc w:val="both"/>
        <w:rPr>
          <w:rFonts w:ascii="Calibri" w:hAnsi="Calibri" w:cs="Arial"/>
          <w:lang w:val="en-GB"/>
        </w:rPr>
      </w:pPr>
    </w:p>
    <w:p w14:paraId="2AE8D806" w14:textId="76198F1F" w:rsidR="008E1805" w:rsidRDefault="00353305" w:rsidP="005837A4">
      <w:pPr>
        <w:spacing w:line="480" w:lineRule="auto"/>
        <w:jc w:val="both"/>
        <w:rPr>
          <w:rFonts w:ascii="Calibri" w:hAnsi="Calibri" w:cs="Arial"/>
          <w:lang w:val="en-GB"/>
        </w:rPr>
      </w:pPr>
      <w:r>
        <w:rPr>
          <w:rFonts w:ascii="Calibri" w:hAnsi="Calibri" w:cs="Arial"/>
          <w:lang w:val="en-GB"/>
        </w:rPr>
        <w:t xml:space="preserve">Thus far, the history of oligonucleotide therapeutics </w:t>
      </w:r>
      <w:r w:rsidRPr="00C10278">
        <w:rPr>
          <w:rFonts w:ascii="Calibri" w:hAnsi="Calibri" w:cs="Arial"/>
          <w:lang w:val="en-GB"/>
        </w:rPr>
        <w:t>show</w:t>
      </w:r>
      <w:r>
        <w:rPr>
          <w:rFonts w:ascii="Calibri" w:hAnsi="Calibri" w:cs="Arial"/>
          <w:lang w:val="en-GB"/>
        </w:rPr>
        <w:t>s</w:t>
      </w:r>
      <w:r w:rsidRPr="00C10278">
        <w:rPr>
          <w:rFonts w:ascii="Calibri" w:hAnsi="Calibri" w:cs="Arial"/>
          <w:lang w:val="en-GB"/>
        </w:rPr>
        <w:t xml:space="preserve"> that </w:t>
      </w:r>
      <w:r>
        <w:rPr>
          <w:rFonts w:ascii="Calibri" w:hAnsi="Calibri" w:cs="Arial"/>
          <w:lang w:val="en-GB"/>
        </w:rPr>
        <w:t xml:space="preserve">success hinges on proactive pursuit of </w:t>
      </w:r>
      <w:r w:rsidR="0018541E">
        <w:rPr>
          <w:rFonts w:ascii="Calibri" w:hAnsi="Calibri" w:cs="Arial"/>
          <w:lang w:val="en-GB"/>
        </w:rPr>
        <w:t xml:space="preserve">robust </w:t>
      </w:r>
      <w:r>
        <w:rPr>
          <w:rFonts w:ascii="Calibri" w:hAnsi="Calibri" w:cs="Arial"/>
          <w:lang w:val="en-GB"/>
        </w:rPr>
        <w:t xml:space="preserve">evidence closely aligned with the so-called 5 pillars of drug discovery </w:t>
      </w:r>
      <w:r>
        <w:rPr>
          <w:rFonts w:ascii="Calibri" w:hAnsi="Calibri" w:cs="Arial"/>
          <w:lang w:val="en-GB"/>
        </w:rPr>
        <w:fldChar w:fldCharType="begin" w:fldLock="1"/>
      </w:r>
      <w:r w:rsidR="000D6916">
        <w:rPr>
          <w:rFonts w:ascii="Calibri" w:hAnsi="Calibri" w:cs="Arial"/>
          <w:lang w:val="en-GB"/>
        </w:rPr>
        <w:instrText>ADDIN CSL_CITATION { "citationItems" : [ { "id" : "ITEM-1", "itemData" : { "DOI" : "10.1038/nrd4309", "ISSN" : "1474-1784", "PMID" : "24833294", "abstract" : "Maintaining research and development (R&amp;D) productivity at a sustainable level is one of the main challenges currently facing the pharmaceutical industry. In this article, we discuss the results of a comprehensive longitudinal review of AstraZeneca's small-molecule drug projects from 2005 to 2010. The analysis allowed us to establish a framework based on the five most important technical determinants of project success and pipeline quality, which we describe as the five 'R's: the right target, the right patient, the right tissue, the right safety and the right commercial potential. A sixth factor - the right culture - is also crucial in encouraging effective decision-making based on these technical determinants. AstraZeneca is currently applying this framework to guide its R&amp;D teams, and although it is too early to demonstrate whether this has improved the company's R&amp;D productivity, we present our data and analysis here in the hope that it may assist the industry overall in addressing this key challenge.", "author" : [ { "dropping-particle" : "", "family" : "Cook", "given" : "David", "non-dropping-particle" : "", "parse-names" : false, "suffix" : "" }, { "dropping-particle" : "", "family" : "Brown", "given" : "Dearg", "non-dropping-particle" : "", "parse-names" : false, "suffix" : "" }, { "dropping-particle" : "", "family" : "Alexander", "given" : "Robert", "non-dropping-particle" : "", "parse-names" : false, "suffix" : "" }, { "dropping-particle" : "", "family" : "March", "given" : "Ruth", "non-dropping-particle" : "", "parse-names" : false, "suffix" : "" }, { "dropping-particle" : "", "family" : "Morgan", "given" : "Paul", "non-dropping-particle" : "", "parse-names" : false, "suffix" : "" }, { "dropping-particle" : "", "family" : "Satterthwaite", "given" : "Gemma", "non-dropping-particle" : "", "parse-names" : false, "suffix" : "" }, { "dropping-particle" : "", "family" : "Pangalos", "given" : "Menelas N", "non-dropping-particle" : "", "parse-names" : false, "suffix" : "" } ], "container-title" : "Nature reviews. Drug discovery", "id" : "ITEM-1", "issue" : "6", "issued" : { "date-parts" : [ [ "2014", "6" ] ] }, "page" : "419-31", "publisher" : "Nature Publishing Group, a division of Macmillan Publishers Limited. All Rights Reserved.", "title" : "Lessons learned from the fate of AstraZeneca's drug pipeline: a five-dimensional framework.", "title-short" : "Nat Rev Drug Discov", "type" : "article-journal", "volume" : "13" }, "uris" : [ "http://www.mendeley.com/documents/?uuid=2fe0814f-c7bc-4dd0-bbb3-c9290917d7ae" ] } ], "mendeley" : { "formattedCitation" : "(Cook et al., 2014)", "plainTextFormattedCitation" : "(Cook et al., 2014)", "previouslyFormattedCitation" : "(Cook et al., 2014)" }, "properties" : { "noteIndex" : 0 }, "schema" : "https://github.com/citation-style-language/schema/raw/master/csl-citation.json" }</w:instrText>
      </w:r>
      <w:r>
        <w:rPr>
          <w:rFonts w:ascii="Calibri" w:hAnsi="Calibri" w:cs="Arial"/>
          <w:lang w:val="en-GB"/>
        </w:rPr>
        <w:fldChar w:fldCharType="separate"/>
      </w:r>
      <w:r w:rsidRPr="00353305">
        <w:rPr>
          <w:rFonts w:ascii="Calibri" w:hAnsi="Calibri" w:cs="Arial"/>
          <w:noProof/>
          <w:lang w:val="en-GB"/>
        </w:rPr>
        <w:t>(Cook et al., 2014)</w:t>
      </w:r>
      <w:r>
        <w:rPr>
          <w:rFonts w:ascii="Calibri" w:hAnsi="Calibri" w:cs="Arial"/>
          <w:lang w:val="en-GB"/>
        </w:rPr>
        <w:fldChar w:fldCharType="end"/>
      </w:r>
      <w:r>
        <w:rPr>
          <w:rFonts w:ascii="Calibri" w:hAnsi="Calibri" w:cs="Arial"/>
          <w:lang w:val="en-GB"/>
        </w:rPr>
        <w:t>.</w:t>
      </w:r>
      <w:r w:rsidR="00925E56">
        <w:rPr>
          <w:rFonts w:ascii="Calibri" w:hAnsi="Calibri" w:cs="Arial"/>
          <w:lang w:val="en-GB"/>
        </w:rPr>
        <w:t xml:space="preserve"> The commercial demise of fomivirsen</w:t>
      </w:r>
      <w:r w:rsidR="00A21669">
        <w:rPr>
          <w:rFonts w:ascii="Calibri" w:hAnsi="Calibri" w:cs="Arial"/>
          <w:lang w:val="en-GB"/>
        </w:rPr>
        <w:t xml:space="preserve"> </w:t>
      </w:r>
      <w:r w:rsidR="00A21669">
        <w:rPr>
          <w:rFonts w:ascii="Calibri" w:hAnsi="Calibri" w:cs="Arial"/>
          <w:lang w:val="en-GB"/>
        </w:rPr>
        <w:fldChar w:fldCharType="begin" w:fldLock="1"/>
      </w:r>
      <w:r w:rsidR="00A21669">
        <w:rPr>
          <w:rFonts w:ascii="Calibri" w:hAnsi="Calibri" w:cs="Arial"/>
          <w:lang w:val="en-GB"/>
        </w:rPr>
        <w:instrText>ADDIN CSL_CITATION { "citationItems" : [ { "id" : "ITEM-1", "itemData" : { "DOI" : "10.1038/mt.2011.94", "ISSN" : "1525-0024", "PMID" : "21629254", "author" : [ { "dropping-particle" : "", "family" : "Krieg", "given" : "Arthur M", "non-dropping-particle" : "", "parse-names" : false, "suffix" : "" } ], "container-title" : "Molecular therapy : the journal of the American Society of Gene Therapy", "id" : "ITEM-1", "issue" : "6", "issued" : { "date-parts" : [ [ "2011", "6" ] ] }, "page" : "1001-2", "title" : "Is RNAi dead?", "type" : "article-journal", "volume" : "19" }, "uris" : [ "http://www.mendeley.com/documents/?uuid=6a47dd15-f503-3817-90c9-953ab9495458" ] } ], "mendeley" : { "formattedCitation" : "(Krieg, 2011)", "plainTextFormattedCitation" : "(Krieg, 2011)", "previouslyFormattedCitation" : "(Krieg, 2011)" }, "properties" : { "noteIndex" : 0 }, "schema" : "https://github.com/citation-style-language/schema/raw/master/csl-citation.json" }</w:instrText>
      </w:r>
      <w:r w:rsidR="00A21669">
        <w:rPr>
          <w:rFonts w:ascii="Calibri" w:hAnsi="Calibri" w:cs="Arial"/>
          <w:lang w:val="en-GB"/>
        </w:rPr>
        <w:fldChar w:fldCharType="separate"/>
      </w:r>
      <w:r w:rsidR="00A21669" w:rsidRPr="00A21669">
        <w:rPr>
          <w:rFonts w:ascii="Calibri" w:hAnsi="Calibri" w:cs="Arial"/>
          <w:noProof/>
          <w:lang w:val="en-GB"/>
        </w:rPr>
        <w:t>(Krieg, 2011)</w:t>
      </w:r>
      <w:r w:rsidR="00A21669">
        <w:rPr>
          <w:rFonts w:ascii="Calibri" w:hAnsi="Calibri" w:cs="Arial"/>
          <w:lang w:val="en-GB"/>
        </w:rPr>
        <w:fldChar w:fldCharType="end"/>
      </w:r>
      <w:r w:rsidR="00925E56">
        <w:rPr>
          <w:rFonts w:ascii="Calibri" w:hAnsi="Calibri" w:cs="Arial"/>
          <w:lang w:val="en-GB"/>
        </w:rPr>
        <w:t>, the safety ambivalence of mipomersen</w:t>
      </w:r>
      <w:r w:rsidR="00A21669">
        <w:rPr>
          <w:rFonts w:ascii="Calibri" w:hAnsi="Calibri" w:cs="Arial"/>
          <w:lang w:val="en-GB"/>
        </w:rPr>
        <w:t xml:space="preserve"> </w:t>
      </w:r>
      <w:r w:rsidR="00A21669">
        <w:rPr>
          <w:rFonts w:ascii="Calibri" w:hAnsi="Calibri" w:cs="Arial"/>
          <w:lang w:val="en-GB"/>
        </w:rPr>
        <w:fldChar w:fldCharType="begin" w:fldLock="1"/>
      </w:r>
      <w:r w:rsidR="00A21669">
        <w:rPr>
          <w:rFonts w:ascii="Calibri" w:hAnsi="Calibri" w:cs="Arial"/>
          <w:lang w:val="en-GB"/>
        </w:rPr>
        <w:instrText>ADDIN CSL_CITATION { "citationItems" : [ { "id" : "ITEM-1", "itemData" : { "DOI" : "10.1016/j.jacl.2014.12.006", "ISSN" : "19332874", "abstract" : "BACKGROUND\nLow-density lipoprotein cholesterol (LDL-C) is the primary target of lipid-lowering therapy in people at risk for cardiovascular diseases. Mipomersen inhibits apolipoprotein B-100 (apoB) synthesis and causes reduction in LDL-C by reducing apoB. \n\nOBJECTIVE\nWe aimed to perform a meta-analysis of all published randomized controlled trials comparing safety and efficacy of mipomersen with placebo in adults with dyslipidemia. \n\nMETHODS\nWe searched PUBMED, CENTRAL, and EMBASE from inception through March 2014 and used random-effects model to compute the effect size. \n\nRESULTS\nWe identified 8 randomized controlled trials (n\u00a0=\u00a0462). Mipomersen compared with placebo significantly reduced LDL-C by 32.37% (95% confidence interval, 25.55\u201339.18; P\u00a0&lt;\u00a0.00001), total cholesterol by 24.18% (18.54\u201329.83; P\u00a0&lt;\u00a0.00001), very low\u2013density lipoprotein cholesterol by 21.59% (9.16\u201334.02; P\u00a0=\u00a0.0007), non\u2013high-density lipoprotein cholesterol (HDL-C) by 30.83% (23.92\u201337.74; P\u00a0&lt;\u00a0.00001), and triglycerides by 36.26% (22\u201350.54; P\u00a0&lt;\u00a0.00001). It also significantly reduced apoB, lipoprotein(a), and apolipoprotein A1. However, mipomersen did not significantly change HDL-C levels. In safety analysis, mipomersen compared with placebo increased the risks of injection-site reaction (risk ratio, 2.05; 95% confidence interval, 1.39\u20133.04; P\u00a0=\u00a0.0003), flu-like symptoms (1.63; 1.22\u20132.17; P\u00a0=\u00a0.0008), alanine aminotransferase \u22653X upper limit of normal (4.44; 1.67\u201311.86; P\u00a0=\u00a0.003), and hepatic steatosis (3.85, 1.39\u201310.67; P\u00a0=\u00a0.01). The risks of alanine aminotransferase \u226510X upper limit of normal did not reach statistical significance (1.57; 0.32\u20137.6, P\u00a0=\u00a0.58). \n\nCONCLUSION\nMipomersen resulted in a significant improvement in lipid parameters except for HDL-C and increased the risks of injection-site reactions, flu-like symptoms, and hepatic steatosis compared with placebo.", "author" : [ { "dropping-particle" : "", "family" : "Panta", "given" : "Raju", "non-dropping-particle" : "", "parse-names" : false, "suffix" : "" }, { "dropping-particle" : "", "family" : "Dahal", "given" : "Khagendra", "non-dropping-particle" : "", "parse-names" : false, "suffix" : "" }, { "dropping-particle" : "", "family" : "Kunwar", "given" : "Sumit", "non-dropping-particle" : "", "parse-names" : false, "suffix" : "" } ], "container-title" : "Journal of Clinical Lipidology", "id" : "ITEM-1", "issue" : "2", "issued" : { "date-parts" : [ [ "2015" ] ] }, "page" : "217-225", "title" : "Efficacy and safety of mipomersen in treatment of dyslipidemia: A meta-analysis of randomized controlled trials", "type" : "article-journal", "volume" : "9" }, "uris" : [ "http://www.mendeley.com/documents/?uuid=1b18c5bc-173f-363f-881d-a4ff3490133e" ] } ], "mendeley" : { "formattedCitation" : "(Panta, Dahal, &amp; Kunwar, 2015)", "plainTextFormattedCitation" : "(Panta, Dahal, &amp; Kunwar, 2015)", "previouslyFormattedCitation" : "(Panta, Dahal, &amp; Kunwar, 2015)" }, "properties" : { "noteIndex" : 0 }, "schema" : "https://github.com/citation-style-language/schema/raw/master/csl-citation.json" }</w:instrText>
      </w:r>
      <w:r w:rsidR="00A21669">
        <w:rPr>
          <w:rFonts w:ascii="Calibri" w:hAnsi="Calibri" w:cs="Arial"/>
          <w:lang w:val="en-GB"/>
        </w:rPr>
        <w:fldChar w:fldCharType="separate"/>
      </w:r>
      <w:r w:rsidR="00A21669" w:rsidRPr="00A21669">
        <w:rPr>
          <w:rFonts w:ascii="Calibri" w:hAnsi="Calibri" w:cs="Arial"/>
          <w:noProof/>
          <w:lang w:val="en-GB"/>
        </w:rPr>
        <w:t>(Panta, Dahal, &amp; Kunwar, 2015)</w:t>
      </w:r>
      <w:r w:rsidR="00A21669">
        <w:rPr>
          <w:rFonts w:ascii="Calibri" w:hAnsi="Calibri" w:cs="Arial"/>
          <w:lang w:val="en-GB"/>
        </w:rPr>
        <w:fldChar w:fldCharType="end"/>
      </w:r>
      <w:r w:rsidR="00925E56">
        <w:rPr>
          <w:rFonts w:ascii="Calibri" w:hAnsi="Calibri" w:cs="Arial"/>
          <w:lang w:val="en-GB"/>
        </w:rPr>
        <w:t xml:space="preserve">, the questionable efficacy of the splicing modulators drisapersen </w:t>
      </w:r>
      <w:r w:rsidR="00A21669">
        <w:rPr>
          <w:rFonts w:ascii="Calibri" w:hAnsi="Calibri" w:cs="Arial"/>
          <w:lang w:val="en-GB"/>
        </w:rPr>
        <w:fldChar w:fldCharType="begin" w:fldLock="1"/>
      </w:r>
      <w:r w:rsidR="00A21669">
        <w:rPr>
          <w:rFonts w:ascii="Calibri" w:hAnsi="Calibri" w:cs="Arial"/>
          <w:lang w:val="en-GB"/>
        </w:rPr>
        <w:instrText>ADDIN CSL_CITATION { "citationItems" : [ { "id" : "ITEM-1", "itemData" : { "DOI" : "10.1358/dot.2016.52.3.2473590", "ISSN" : "1699-3993", "PMID" : "27186594", "abstract" : "Highly anticipated as new disease-modifying treatments for Duchenne muscular dystrophy (DMD), therapeutics by BioMarin Pharmaceutical (Kyndrisa\u2122; drisapersen) and Sarepta Therapeutics (eteplirsen; AVI-4658) both recently received negative FDA reviews and are now facing battles for approval in the U.S. At present, BioMarin is committed to working with the FDA to forge a pathway to approval following the failure of its NDA, while Sarepta awaits the formal decision on its NDA, which is expected by late May 2016. Despite the critical nature of both reviews, analysts consider that there is still a narrow possibility of approval of both drugs. According to Consensus forecasts from Thomson Reuters Cortellis for Competitive Intelligence, Kyndrisa is forecast to achieve sales of USD 533.71 million in 2021.", "author" : [ { "dropping-particle" : "", "family" : "Hodgkinson", "given" : "L", "non-dropping-particle" : "", "parse-names" : false, "suffix" : "" }, { "dropping-particle" : "", "family" : "Sorbera", "given" : "L", "non-dropping-particle" : "", "parse-names" : false, "suffix" : "" }, { "dropping-particle" : "", "family" : "Graul", "given" : "A I", "non-dropping-particle" : "", "parse-names" : false, "suffix" : "" } ], "container-title" : "Drugs of today (Barcelona, Spain : 1998)", "id" : "ITEM-1", "issue" : "3", "issued" : { "date-parts" : [ [ "2016", "3" ] ] }, "page" : "199-202", "title" : "Duchenne muscular dystrophy drugs face tough path to approval.", "type" : "article-journal", "volume" : "52" }, "uris" : [ "http://www.mendeley.com/documents/?uuid=2b654bd5-3124-30a3-81b8-62c0a229d7dd" ] } ], "mendeley" : { "formattedCitation" : "(Hodgkinson et al., 2016)", "plainTextFormattedCitation" : "(Hodgkinson et al., 2016)", "previouslyFormattedCitation" : "(Hodgkinson et al., 2016)" }, "properties" : { "noteIndex" : 0 }, "schema" : "https://github.com/citation-style-language/schema/raw/master/csl-citation.json" }</w:instrText>
      </w:r>
      <w:r w:rsidR="00A21669">
        <w:rPr>
          <w:rFonts w:ascii="Calibri" w:hAnsi="Calibri" w:cs="Arial"/>
          <w:lang w:val="en-GB"/>
        </w:rPr>
        <w:fldChar w:fldCharType="separate"/>
      </w:r>
      <w:r w:rsidR="00A21669" w:rsidRPr="00A21669">
        <w:rPr>
          <w:rFonts w:ascii="Calibri" w:hAnsi="Calibri" w:cs="Arial"/>
          <w:noProof/>
          <w:lang w:val="en-GB"/>
        </w:rPr>
        <w:t>(Hodgkinson et al., 2016)</w:t>
      </w:r>
      <w:r w:rsidR="00A21669">
        <w:rPr>
          <w:rFonts w:ascii="Calibri" w:hAnsi="Calibri" w:cs="Arial"/>
          <w:lang w:val="en-GB"/>
        </w:rPr>
        <w:fldChar w:fldCharType="end"/>
      </w:r>
      <w:r w:rsidR="00A21669">
        <w:rPr>
          <w:rFonts w:ascii="Calibri" w:hAnsi="Calibri" w:cs="Arial"/>
          <w:lang w:val="en-GB"/>
        </w:rPr>
        <w:t xml:space="preserve"> </w:t>
      </w:r>
      <w:r w:rsidR="00925E56">
        <w:rPr>
          <w:rFonts w:ascii="Calibri" w:hAnsi="Calibri" w:cs="Arial"/>
          <w:lang w:val="en-GB"/>
        </w:rPr>
        <w:t>and eteplirsen</w:t>
      </w:r>
      <w:r w:rsidR="00A21669">
        <w:rPr>
          <w:rFonts w:ascii="Calibri" w:hAnsi="Calibri" w:cs="Arial"/>
          <w:lang w:val="en-GB"/>
        </w:rPr>
        <w:t xml:space="preserve"> </w:t>
      </w:r>
      <w:r w:rsidR="00A21669">
        <w:rPr>
          <w:rFonts w:ascii="Calibri" w:hAnsi="Calibri" w:cs="Arial"/>
          <w:lang w:val="en-GB"/>
        </w:rPr>
        <w:fldChar w:fldCharType="begin" w:fldLock="1"/>
      </w:r>
      <w:r w:rsidR="002D3299">
        <w:rPr>
          <w:rFonts w:ascii="Calibri" w:hAnsi="Calibri" w:cs="Arial"/>
          <w:lang w:val="en-GB"/>
        </w:rPr>
        <w:instrText>ADDIN CSL_CITATION { "citationItems" : [ { "id" : "ITEM-1", "itemData" : { "DOI" : "10.1016/j.ymgme.2016.04.001", "ISSN" : "10967192", "author" : [ { "dropping-particle" : "", "family" : "Miceli", "given" : "M. Carrie", "non-dropping-particle" : "", "parse-names" : false, "suffix" : "" }, { "dropping-particle" : "", "family" : "Nelson", "given" : "Stanley F.", "non-dropping-particle" : "", "parse-names" : false, "suffix" : "" } ], "container-title" : "Molecular Genetics and Metabolism", "id" : "ITEM-1", "issue" : "2", "issued" : { "date-parts" : [ [ "2016" ] ] }, "page" : "70-71", "title" : "The case for eteplirsen: Paving the way for precision medicine", "type" : "article", "volume" : "118" }, "uris" : [ "http://www.mendeley.com/documents/?uuid=bce37d74-b913-3d5a-ad06-18e5729ee2c3" ] } ], "mendeley" : { "formattedCitation" : "(Miceli &amp; Nelson, 2016)", "plainTextFormattedCitation" : "(Miceli &amp; Nelson, 2016)", "previouslyFormattedCitation" : "(Miceli &amp; Nelson, 2016)" }, "properties" : { "noteIndex" : 0 }, "schema" : "https://github.com/citation-style-language/schema/raw/master/csl-citation.json" }</w:instrText>
      </w:r>
      <w:r w:rsidR="00A21669">
        <w:rPr>
          <w:rFonts w:ascii="Calibri" w:hAnsi="Calibri" w:cs="Arial"/>
          <w:lang w:val="en-GB"/>
        </w:rPr>
        <w:fldChar w:fldCharType="separate"/>
      </w:r>
      <w:r w:rsidR="00A21669" w:rsidRPr="00A21669">
        <w:rPr>
          <w:rFonts w:ascii="Calibri" w:hAnsi="Calibri" w:cs="Arial"/>
          <w:noProof/>
          <w:lang w:val="en-GB"/>
        </w:rPr>
        <w:t>(Miceli &amp; Nelson, 2016)</w:t>
      </w:r>
      <w:r w:rsidR="00A21669">
        <w:rPr>
          <w:rFonts w:ascii="Calibri" w:hAnsi="Calibri" w:cs="Arial"/>
          <w:lang w:val="en-GB"/>
        </w:rPr>
        <w:fldChar w:fldCharType="end"/>
      </w:r>
      <w:r w:rsidR="00925E56">
        <w:rPr>
          <w:rFonts w:ascii="Calibri" w:hAnsi="Calibri" w:cs="Arial"/>
          <w:lang w:val="en-GB"/>
        </w:rPr>
        <w:t xml:space="preserve">, and the phase II/III failures </w:t>
      </w:r>
      <w:r w:rsidR="0018541E">
        <w:rPr>
          <w:rFonts w:ascii="Calibri" w:hAnsi="Calibri" w:cs="Arial"/>
          <w:lang w:val="en-GB"/>
        </w:rPr>
        <w:t xml:space="preserve">or </w:t>
      </w:r>
      <w:r w:rsidR="002D3299">
        <w:rPr>
          <w:rFonts w:ascii="Calibri" w:hAnsi="Calibri" w:cs="Arial"/>
          <w:lang w:val="en-GB"/>
        </w:rPr>
        <w:t xml:space="preserve">commercial </w:t>
      </w:r>
      <w:r w:rsidR="0018541E">
        <w:rPr>
          <w:rFonts w:ascii="Calibri" w:hAnsi="Calibri" w:cs="Arial"/>
          <w:lang w:val="en-GB"/>
        </w:rPr>
        <w:t xml:space="preserve">abandonment </w:t>
      </w:r>
      <w:r w:rsidR="00925E56">
        <w:rPr>
          <w:rFonts w:ascii="Calibri" w:hAnsi="Calibri" w:cs="Arial"/>
          <w:lang w:val="en-GB"/>
        </w:rPr>
        <w:t xml:space="preserve">of </w:t>
      </w:r>
      <w:r w:rsidR="0018541E">
        <w:rPr>
          <w:rFonts w:ascii="Calibri" w:hAnsi="Calibri" w:cs="Arial"/>
          <w:lang w:val="en-GB"/>
        </w:rPr>
        <w:t xml:space="preserve">synthetic </w:t>
      </w:r>
      <w:r w:rsidR="002D3299">
        <w:rPr>
          <w:rFonts w:ascii="Calibri" w:hAnsi="Calibri" w:cs="Arial"/>
          <w:lang w:val="en-GB"/>
        </w:rPr>
        <w:t xml:space="preserve">and virus-expressed </w:t>
      </w:r>
      <w:r w:rsidR="00925E56">
        <w:rPr>
          <w:rFonts w:ascii="Calibri" w:hAnsi="Calibri" w:cs="Arial"/>
          <w:lang w:val="en-GB"/>
        </w:rPr>
        <w:t>siRN</w:t>
      </w:r>
      <w:r w:rsidR="00A21669">
        <w:rPr>
          <w:rFonts w:ascii="Calibri" w:hAnsi="Calibri" w:cs="Arial"/>
          <w:lang w:val="en-GB"/>
        </w:rPr>
        <w:t xml:space="preserve">A drugs </w:t>
      </w:r>
      <w:r w:rsidR="002D3299">
        <w:rPr>
          <w:rFonts w:ascii="Calibri" w:hAnsi="Calibri" w:cs="Arial"/>
          <w:lang w:val="en-GB"/>
        </w:rPr>
        <w:t>(Quark Pharmaceuticals and</w:t>
      </w:r>
      <w:r w:rsidR="0018541E">
        <w:rPr>
          <w:rFonts w:ascii="Calibri" w:hAnsi="Calibri" w:cs="Arial"/>
          <w:lang w:val="en-GB"/>
        </w:rPr>
        <w:t xml:space="preserve"> Benitec BioPharma</w:t>
      </w:r>
      <w:r w:rsidR="002D3299">
        <w:rPr>
          <w:rFonts w:ascii="Calibri" w:hAnsi="Calibri" w:cs="Arial"/>
          <w:lang w:val="en-GB"/>
        </w:rPr>
        <w:t>, respectively</w:t>
      </w:r>
      <w:r w:rsidR="0018541E">
        <w:rPr>
          <w:rFonts w:ascii="Calibri" w:hAnsi="Calibri" w:cs="Arial"/>
          <w:lang w:val="en-GB"/>
        </w:rPr>
        <w:t xml:space="preserve">) </w:t>
      </w:r>
      <w:r w:rsidR="00A21669">
        <w:rPr>
          <w:rFonts w:ascii="Calibri" w:hAnsi="Calibri" w:cs="Arial"/>
          <w:lang w:val="en-GB"/>
        </w:rPr>
        <w:t xml:space="preserve">has turned the focus onto technological alternatives </w:t>
      </w:r>
      <w:r w:rsidR="00925E56">
        <w:rPr>
          <w:rFonts w:ascii="Calibri" w:hAnsi="Calibri" w:cs="Arial"/>
          <w:lang w:val="en-GB"/>
        </w:rPr>
        <w:t xml:space="preserve">such as </w:t>
      </w:r>
      <w:r w:rsidR="00A21669">
        <w:rPr>
          <w:rFonts w:ascii="Calibri" w:hAnsi="Calibri" w:cs="Arial"/>
          <w:lang w:val="en-GB"/>
        </w:rPr>
        <w:t>gene-editing</w:t>
      </w:r>
      <w:r w:rsidR="00925E56">
        <w:rPr>
          <w:rFonts w:ascii="Calibri" w:hAnsi="Calibri" w:cs="Arial"/>
          <w:lang w:val="en-GB"/>
        </w:rPr>
        <w:t xml:space="preserve"> </w:t>
      </w:r>
      <w:r w:rsidR="002D3299">
        <w:rPr>
          <w:rFonts w:ascii="Calibri" w:hAnsi="Calibri" w:cs="Arial"/>
          <w:lang w:val="en-GB"/>
        </w:rPr>
        <w:fldChar w:fldCharType="begin" w:fldLock="1"/>
      </w:r>
      <w:r w:rsidR="002D3299">
        <w:rPr>
          <w:rFonts w:ascii="Calibri" w:hAnsi="Calibri" w:cs="Arial"/>
          <w:lang w:val="en-GB"/>
        </w:rPr>
        <w:instrText>ADDIN CSL_CITATION { "citationItems" : [ { "id" : "ITEM-1", "itemData" : { "DOI" : "10.1007/s00439-016-1686-2", "ISSN" : "1432-1203", "PMID" : "27272125", "abstract" : "Engineered endonucleases such as homing endonucleases (HEs), zinc finger nucleases (ZFNs), Tal-effector nucleases (TALENS) and the RNA-guided engineered nucleases (RGENs or CRISPR/Cas9) can target specific DNA sequences for cleavage, and are proving to be valuable tools for gene editing. Recently engineered endonucleases have shown great promise as therapeutics for the treatment of genetic disease and infectious pathogens. In this review, we discuss recent efforts to use the HE, ZFN, TALEN and CRISPR/Cas9 gene-editing platforms as antiviral therapeutics. We also discuss the obstacles facing gene-editing antiviral therapeutics as they are tested in animal models of disease and transition towards human application.", "author" : [ { "dropping-particle" : "", "family" : "Stone", "given" : "Daniel", "non-dropping-particle" : "", "parse-names" : false, "suffix" : "" }, { "dropping-particle" : "", "family" : "Niyonzima", "given" : "Nixon", "non-dropping-particle" : "", "parse-names" : false, "suffix" : "" }, { "dropping-particle" : "", "family" : "Jerome", "given" : "Keith R", "non-dropping-particle" : "", "parse-names" : false, "suffix" : "" } ], "container-title" : "Human genetics", "id" : "ITEM-1", "issued" : { "date-parts" : [ [ "2016", "6", "8" ] ] }, "title" : "Genome editing and the next generation of antiviral therapy.", "type" : "article-journal" }, "uris" : [ "http://www.mendeley.com/documents/?uuid=f34a537b-ee9c-3ce8-a3b5-8c387b9e235f" ] } ], "mendeley" : { "formattedCitation" : "(Stone, Niyonzima, &amp; Jerome, 2016)", "plainTextFormattedCitation" : "(Stone, Niyonzima, &amp; Jerome, 2016)", "previouslyFormattedCitation" : "(Stone, Niyonzima, &amp; Jerome, 2016)" }, "properties" : { "noteIndex" : 0 }, "schema" : "https://github.com/citation-style-language/schema/raw/master/csl-citation.json" }</w:instrText>
      </w:r>
      <w:r w:rsidR="002D3299">
        <w:rPr>
          <w:rFonts w:ascii="Calibri" w:hAnsi="Calibri" w:cs="Arial"/>
          <w:lang w:val="en-GB"/>
        </w:rPr>
        <w:fldChar w:fldCharType="separate"/>
      </w:r>
      <w:r w:rsidR="002D3299" w:rsidRPr="002D3299">
        <w:rPr>
          <w:rFonts w:ascii="Calibri" w:hAnsi="Calibri" w:cs="Arial"/>
          <w:noProof/>
          <w:lang w:val="en-GB"/>
        </w:rPr>
        <w:t>(Stone, Niyonzima, &amp; Jerome, 2016)</w:t>
      </w:r>
      <w:r w:rsidR="002D3299">
        <w:rPr>
          <w:rFonts w:ascii="Calibri" w:hAnsi="Calibri" w:cs="Arial"/>
          <w:lang w:val="en-GB"/>
        </w:rPr>
        <w:fldChar w:fldCharType="end"/>
      </w:r>
      <w:r w:rsidR="002D3299">
        <w:rPr>
          <w:rFonts w:ascii="Calibri" w:hAnsi="Calibri" w:cs="Arial"/>
          <w:lang w:val="en-GB"/>
        </w:rPr>
        <w:t xml:space="preserve"> </w:t>
      </w:r>
      <w:r w:rsidR="00925E56">
        <w:rPr>
          <w:rFonts w:ascii="Calibri" w:hAnsi="Calibri" w:cs="Arial"/>
          <w:lang w:val="en-GB"/>
        </w:rPr>
        <w:t xml:space="preserve">and </w:t>
      </w:r>
      <w:r w:rsidR="00925E56">
        <w:rPr>
          <w:rFonts w:ascii="Calibri" w:hAnsi="Calibri" w:cs="Arial"/>
          <w:i/>
          <w:lang w:val="en-GB"/>
        </w:rPr>
        <w:t xml:space="preserve">in vitro </w:t>
      </w:r>
      <w:r w:rsidR="00925E56">
        <w:rPr>
          <w:rFonts w:ascii="Calibri" w:hAnsi="Calibri" w:cs="Arial"/>
          <w:lang w:val="en-GB"/>
        </w:rPr>
        <w:t>transcribed RNA</w:t>
      </w:r>
      <w:r w:rsidR="002D3299">
        <w:rPr>
          <w:rFonts w:ascii="Calibri" w:hAnsi="Calibri" w:cs="Arial"/>
          <w:lang w:val="en-GB"/>
        </w:rPr>
        <w:t xml:space="preserve"> </w:t>
      </w:r>
      <w:r w:rsidR="002D3299">
        <w:rPr>
          <w:rFonts w:ascii="Calibri" w:hAnsi="Calibri" w:cs="Arial"/>
          <w:lang w:val="en-GB"/>
        </w:rPr>
        <w:fldChar w:fldCharType="begin" w:fldLock="1"/>
      </w:r>
      <w:r w:rsidR="009378D4">
        <w:rPr>
          <w:rFonts w:ascii="Calibri" w:hAnsi="Calibri" w:cs="Arial"/>
          <w:lang w:val="en-GB"/>
        </w:rPr>
        <w:instrText>ADDIN CSL_CITATION { "citationItems" : [ { "id" : "ITEM-1", "itemData" : { "DOI" : "10.1016/j.drudis.2015.07.009", "ISSN" : "1878-5832", "PMID" : "26210957", "abstract" : "In the field of nonviral gene therapy, in vitro transcribed (IVT) mRNA has emerged as a promising tool for the delivery of genetic information. Over the past few years it has become widely known that the introduction of IVT mRNA into mammalian cells elicits an innate immune response that has favored mRNA use toward immunotherapeutic vaccination strategies. However, for non-immunotherapy-related applications this intrinsic immune-stimulatory activity directly interferes with the aimed therapeutic outcome, because it can seriously compromise the expression of the desired protein. This review presents an overview of the immune-related obstacles that limit mRNA advance for non-immunotherapy-related applications.", "author" : [ { "dropping-particle" : "", "family" : "Devoldere", "given" : "Joke", "non-dropping-particle" : "", "parse-names" : false, "suffix" : "" }, { "dropping-particle" : "", "family" : "Dewitte", "given" : "Heleen", "non-dropping-particle" : "", "parse-names" : false, "suffix" : "" }, { "dropping-particle" : "", "family" : "Smedt", "given" : "Stefaan C", "non-dropping-particle" : "De", "parse-names" : false, "suffix" : "" }, { "dropping-particle" : "", "family" : "Remaut", "given" : "Katrien", "non-dropping-particle" : "", "parse-names" : false, "suffix" : "" } ], "container-title" : "Drug discovery today", "id" : "ITEM-1", "issue" : "1", "issued" : { "date-parts" : [ [ "2016", "1" ] ] }, "page" : "11-25", "title" : "Evading innate immunity in nonviral mRNA delivery: don't shoot the messenger.", "type" : "article-journal", "volume" : "21" }, "uris" : [ "http://www.mendeley.com/documents/?uuid=681abbc8-b9bf-32f3-a7b1-88a704bac314" ] } ], "mendeley" : { "formattedCitation" : "(Devoldere, Dewitte, De Smedt, &amp; Remaut, 2016)", "plainTextFormattedCitation" : "(Devoldere, Dewitte, De Smedt, &amp; Remaut, 2016)", "previouslyFormattedCitation" : "(Devoldere, Dewitte, De Smedt, &amp; Remaut, 2016)" }, "properties" : { "noteIndex" : 0 }, "schema" : "https://github.com/citation-style-language/schema/raw/master/csl-citation.json" }</w:instrText>
      </w:r>
      <w:r w:rsidR="002D3299">
        <w:rPr>
          <w:rFonts w:ascii="Calibri" w:hAnsi="Calibri" w:cs="Arial"/>
          <w:lang w:val="en-GB"/>
        </w:rPr>
        <w:fldChar w:fldCharType="separate"/>
      </w:r>
      <w:r w:rsidR="002D3299" w:rsidRPr="002D3299">
        <w:rPr>
          <w:rFonts w:ascii="Calibri" w:hAnsi="Calibri" w:cs="Arial"/>
          <w:noProof/>
          <w:lang w:val="en-GB"/>
        </w:rPr>
        <w:t>(Devoldere, Dewitte, De Smedt, &amp; Remaut, 2016)</w:t>
      </w:r>
      <w:r w:rsidR="002D3299">
        <w:rPr>
          <w:rFonts w:ascii="Calibri" w:hAnsi="Calibri" w:cs="Arial"/>
          <w:lang w:val="en-GB"/>
        </w:rPr>
        <w:fldChar w:fldCharType="end"/>
      </w:r>
      <w:r w:rsidR="00A21669">
        <w:rPr>
          <w:rFonts w:ascii="Calibri" w:hAnsi="Calibri" w:cs="Arial"/>
          <w:lang w:val="en-GB"/>
        </w:rPr>
        <w:t>.</w:t>
      </w:r>
      <w:r>
        <w:rPr>
          <w:rFonts w:ascii="Calibri" w:hAnsi="Calibri" w:cs="Arial"/>
          <w:lang w:val="en-GB"/>
        </w:rPr>
        <w:t xml:space="preserve"> </w:t>
      </w:r>
      <w:r w:rsidR="00A21669">
        <w:rPr>
          <w:rFonts w:ascii="Calibri" w:hAnsi="Calibri" w:cs="Arial"/>
          <w:lang w:val="en-GB"/>
        </w:rPr>
        <w:t>Nevertheless, what</w:t>
      </w:r>
      <w:r w:rsidR="00E42C3C">
        <w:rPr>
          <w:rFonts w:ascii="Calibri" w:hAnsi="Calibri" w:cs="Arial"/>
          <w:lang w:val="en-GB"/>
        </w:rPr>
        <w:t xml:space="preserve"> might</w:t>
      </w:r>
      <w:r w:rsidR="00A21669">
        <w:rPr>
          <w:rFonts w:ascii="Calibri" w:hAnsi="Calibri" w:cs="Arial"/>
          <w:lang w:val="en-GB"/>
        </w:rPr>
        <w:t xml:space="preserve"> appear to be t</w:t>
      </w:r>
      <w:r>
        <w:rPr>
          <w:rFonts w:ascii="Calibri" w:hAnsi="Calibri" w:cs="Arial"/>
          <w:lang w:val="en-GB"/>
        </w:rPr>
        <w:t xml:space="preserve">he shortest route to </w:t>
      </w:r>
      <w:r w:rsidR="0018541E">
        <w:rPr>
          <w:rFonts w:ascii="Calibri" w:hAnsi="Calibri" w:cs="Arial"/>
          <w:lang w:val="en-GB"/>
        </w:rPr>
        <w:t>market</w:t>
      </w:r>
      <w:r>
        <w:rPr>
          <w:rFonts w:ascii="Calibri" w:hAnsi="Calibri" w:cs="Arial"/>
          <w:lang w:val="en-GB"/>
        </w:rPr>
        <w:t xml:space="preserve"> more often than not hides pharmacological challenges that can lead to costly, late stage failure</w:t>
      </w:r>
      <w:r w:rsidR="0018541E">
        <w:rPr>
          <w:rFonts w:ascii="Calibri" w:hAnsi="Calibri" w:cs="Arial"/>
          <w:lang w:val="en-GB"/>
        </w:rPr>
        <w:t>. This</w:t>
      </w:r>
      <w:r w:rsidR="00A21669">
        <w:rPr>
          <w:rFonts w:ascii="Calibri" w:hAnsi="Calibri" w:cs="Arial"/>
          <w:lang w:val="en-GB"/>
        </w:rPr>
        <w:t xml:space="preserve"> lesson </w:t>
      </w:r>
      <w:r w:rsidR="0018541E">
        <w:rPr>
          <w:rFonts w:ascii="Calibri" w:hAnsi="Calibri" w:cs="Arial"/>
          <w:lang w:val="en-GB"/>
        </w:rPr>
        <w:t xml:space="preserve">is </w:t>
      </w:r>
      <w:r w:rsidR="00A21669">
        <w:rPr>
          <w:rFonts w:ascii="Calibri" w:hAnsi="Calibri" w:cs="Arial"/>
          <w:lang w:val="en-GB"/>
        </w:rPr>
        <w:t xml:space="preserve">often forgotten in the exciting pursuit of </w:t>
      </w:r>
      <w:r w:rsidR="0018541E">
        <w:rPr>
          <w:rFonts w:ascii="Calibri" w:hAnsi="Calibri" w:cs="Arial"/>
          <w:lang w:val="en-GB"/>
        </w:rPr>
        <w:t>innovative solutions</w:t>
      </w:r>
      <w:r w:rsidR="00E42C3C">
        <w:rPr>
          <w:rFonts w:ascii="Calibri" w:hAnsi="Calibri" w:cs="Arial"/>
          <w:lang w:val="en-GB"/>
        </w:rPr>
        <w:t xml:space="preserve"> and quick returns on investment</w:t>
      </w:r>
      <w:r w:rsidR="0018541E">
        <w:rPr>
          <w:rFonts w:ascii="Calibri" w:hAnsi="Calibri" w:cs="Arial"/>
          <w:lang w:val="en-GB"/>
        </w:rPr>
        <w:t>: efficient targeting</w:t>
      </w:r>
      <w:r w:rsidR="004026C8">
        <w:rPr>
          <w:rFonts w:ascii="Calibri" w:hAnsi="Calibri" w:cs="Arial"/>
          <w:lang w:val="en-GB"/>
        </w:rPr>
        <w:t>,</w:t>
      </w:r>
      <w:r w:rsidR="0018541E">
        <w:rPr>
          <w:rFonts w:ascii="Calibri" w:hAnsi="Calibri" w:cs="Arial"/>
          <w:lang w:val="en-GB"/>
        </w:rPr>
        <w:t xml:space="preserve"> delivery </w:t>
      </w:r>
      <w:r w:rsidR="004026C8">
        <w:rPr>
          <w:rFonts w:ascii="Calibri" w:hAnsi="Calibri" w:cs="Arial"/>
          <w:lang w:val="en-GB"/>
        </w:rPr>
        <w:t>and</w:t>
      </w:r>
      <w:r w:rsidR="0018541E">
        <w:rPr>
          <w:rFonts w:ascii="Calibri" w:hAnsi="Calibri" w:cs="Arial"/>
          <w:lang w:val="en-GB"/>
        </w:rPr>
        <w:t xml:space="preserve"> mechanistic specificity will remain central to the success of antisense, RNAi, gene editing and </w:t>
      </w:r>
      <w:r w:rsidR="0018541E">
        <w:rPr>
          <w:rFonts w:ascii="Calibri" w:hAnsi="Calibri" w:cs="Arial"/>
          <w:i/>
          <w:lang w:val="en-GB"/>
        </w:rPr>
        <w:t xml:space="preserve">in vitro </w:t>
      </w:r>
      <w:r w:rsidR="0018541E">
        <w:rPr>
          <w:rFonts w:ascii="Calibri" w:hAnsi="Calibri" w:cs="Arial"/>
          <w:lang w:val="en-GB"/>
        </w:rPr>
        <w:t>transcribe candidate therapeutics.</w:t>
      </w:r>
    </w:p>
    <w:p w14:paraId="6B851978" w14:textId="4D948FFF" w:rsidR="0018541E" w:rsidRDefault="00353305" w:rsidP="005837A4">
      <w:pPr>
        <w:spacing w:line="480" w:lineRule="auto"/>
        <w:jc w:val="both"/>
        <w:rPr>
          <w:rFonts w:ascii="Calibri" w:hAnsi="Calibri" w:cs="Arial"/>
          <w:lang w:val="en-GB"/>
        </w:rPr>
      </w:pPr>
      <w:r>
        <w:rPr>
          <w:rFonts w:ascii="Calibri" w:hAnsi="Calibri" w:cs="Arial"/>
          <w:lang w:val="en-GB"/>
        </w:rPr>
        <w:t xml:space="preserve"> </w:t>
      </w:r>
    </w:p>
    <w:p w14:paraId="3B42E392" w14:textId="3115CEB6" w:rsidR="00353305" w:rsidRPr="001837E0" w:rsidRDefault="00353305" w:rsidP="005837A4">
      <w:pPr>
        <w:spacing w:line="480" w:lineRule="auto"/>
        <w:jc w:val="both"/>
        <w:rPr>
          <w:rFonts w:ascii="Calibri" w:hAnsi="Calibri" w:cs="Arial"/>
          <w:lang w:val="en-GB"/>
        </w:rPr>
      </w:pPr>
      <w:r>
        <w:rPr>
          <w:rFonts w:ascii="Calibri" w:hAnsi="Calibri" w:cs="Arial"/>
          <w:lang w:val="en-GB"/>
        </w:rPr>
        <w:t>This risk</w:t>
      </w:r>
      <w:r w:rsidR="0018541E">
        <w:rPr>
          <w:rFonts w:ascii="Calibri" w:hAnsi="Calibri" w:cs="Arial"/>
          <w:lang w:val="en-GB"/>
        </w:rPr>
        <w:t>, however,</w:t>
      </w:r>
      <w:r w:rsidRPr="00C10278">
        <w:rPr>
          <w:rFonts w:ascii="Calibri" w:hAnsi="Calibri" w:cs="Arial"/>
          <w:lang w:val="en-GB"/>
        </w:rPr>
        <w:t xml:space="preserve"> can be managed through </w:t>
      </w:r>
      <w:r w:rsidR="0018541E">
        <w:rPr>
          <w:rFonts w:ascii="Calibri" w:hAnsi="Calibri" w:cs="Arial"/>
          <w:lang w:val="en-GB"/>
        </w:rPr>
        <w:t xml:space="preserve">use of </w:t>
      </w:r>
      <w:r>
        <w:rPr>
          <w:rFonts w:ascii="Calibri" w:hAnsi="Calibri" w:cs="Arial"/>
          <w:lang w:val="en-GB"/>
        </w:rPr>
        <w:t xml:space="preserve">documented </w:t>
      </w:r>
      <w:r w:rsidRPr="00C10278">
        <w:rPr>
          <w:rFonts w:ascii="Calibri" w:hAnsi="Calibri" w:cs="Arial"/>
          <w:lang w:val="en-GB"/>
        </w:rPr>
        <w:t>design</w:t>
      </w:r>
      <w:r>
        <w:rPr>
          <w:rFonts w:ascii="Calibri" w:hAnsi="Calibri" w:cs="Arial"/>
          <w:lang w:val="en-GB"/>
        </w:rPr>
        <w:t xml:space="preserve"> approaches</w:t>
      </w:r>
      <w:r w:rsidRPr="00C10278">
        <w:rPr>
          <w:rFonts w:ascii="Calibri" w:hAnsi="Calibri" w:cs="Arial"/>
          <w:lang w:val="en-GB"/>
        </w:rPr>
        <w:t xml:space="preserve"> </w:t>
      </w:r>
      <w:r>
        <w:rPr>
          <w:rFonts w:ascii="Calibri" w:hAnsi="Calibri" w:cs="Arial"/>
          <w:lang w:val="en-GB"/>
        </w:rPr>
        <w:t xml:space="preserve">(e.g. </w:t>
      </w:r>
      <w:r w:rsidR="0018541E">
        <w:rPr>
          <w:rFonts w:ascii="Calibri" w:hAnsi="Calibri" w:cs="Arial"/>
          <w:lang w:val="en-GB"/>
        </w:rPr>
        <w:t xml:space="preserve">engineered </w:t>
      </w:r>
      <w:r>
        <w:rPr>
          <w:rFonts w:ascii="Calibri" w:hAnsi="Calibri" w:cs="Arial"/>
          <w:lang w:val="en-GB"/>
        </w:rPr>
        <w:t>TLR7/8 avoidance)</w:t>
      </w:r>
      <w:r w:rsidR="004B2015">
        <w:rPr>
          <w:rFonts w:ascii="Calibri" w:hAnsi="Calibri" w:cs="Arial"/>
          <w:lang w:val="en-GB"/>
        </w:rPr>
        <w:t xml:space="preserve"> and</w:t>
      </w:r>
      <w:r w:rsidRPr="00C10278">
        <w:rPr>
          <w:rFonts w:ascii="Calibri" w:hAnsi="Calibri" w:cs="Arial"/>
          <w:lang w:val="en-GB"/>
        </w:rPr>
        <w:t xml:space="preserve"> systematic screening to</w:t>
      </w:r>
      <w:r w:rsidR="004B2015">
        <w:rPr>
          <w:rFonts w:ascii="Calibri" w:hAnsi="Calibri" w:cs="Arial"/>
          <w:lang w:val="en-GB"/>
        </w:rPr>
        <w:t xml:space="preserve"> eliminate toxic and off-target risks in a</w:t>
      </w:r>
      <w:r w:rsidRPr="00C10278">
        <w:rPr>
          <w:rFonts w:ascii="Calibri" w:hAnsi="Calibri" w:cs="Arial"/>
          <w:lang w:val="en-GB"/>
        </w:rPr>
        <w:t xml:space="preserve"> hypothesis-driven </w:t>
      </w:r>
      <w:r w:rsidR="0018541E">
        <w:rPr>
          <w:rFonts w:ascii="Calibri" w:hAnsi="Calibri" w:cs="Arial"/>
          <w:lang w:val="en-GB"/>
        </w:rPr>
        <w:t>/</w:t>
      </w:r>
      <w:r w:rsidR="0018541E" w:rsidRPr="00C10278">
        <w:rPr>
          <w:rFonts w:ascii="Calibri" w:hAnsi="Calibri" w:cs="Arial"/>
          <w:lang w:val="en-GB"/>
        </w:rPr>
        <w:t xml:space="preserve"> </w:t>
      </w:r>
      <w:r w:rsidRPr="00C10278">
        <w:rPr>
          <w:rFonts w:ascii="Calibri" w:hAnsi="Calibri" w:cs="Arial"/>
          <w:lang w:val="en-GB"/>
        </w:rPr>
        <w:t>explorat</w:t>
      </w:r>
      <w:r>
        <w:rPr>
          <w:rFonts w:ascii="Calibri" w:hAnsi="Calibri" w:cs="Arial"/>
          <w:lang w:val="en-GB"/>
        </w:rPr>
        <w:t xml:space="preserve">ory </w:t>
      </w:r>
      <w:r w:rsidR="004B2015">
        <w:rPr>
          <w:rFonts w:ascii="Calibri" w:hAnsi="Calibri" w:cs="Arial"/>
          <w:lang w:val="en-GB"/>
        </w:rPr>
        <w:t>fashion</w:t>
      </w:r>
      <w:r>
        <w:rPr>
          <w:rFonts w:ascii="Calibri" w:hAnsi="Calibri" w:cs="Arial"/>
          <w:lang w:val="en-GB"/>
        </w:rPr>
        <w:t xml:space="preserve">. Key </w:t>
      </w:r>
      <w:r>
        <w:rPr>
          <w:rFonts w:ascii="Calibri" w:hAnsi="Calibri" w:cs="Arial"/>
        </w:rPr>
        <w:t xml:space="preserve">barriers </w:t>
      </w:r>
      <w:r w:rsidR="000D6E32">
        <w:rPr>
          <w:rFonts w:ascii="Calibri" w:hAnsi="Calibri" w:cs="Arial"/>
        </w:rPr>
        <w:t xml:space="preserve">to success </w:t>
      </w:r>
      <w:r w:rsidRPr="00C4343E">
        <w:rPr>
          <w:rFonts w:ascii="Calibri" w:hAnsi="Calibri" w:cs="Arial"/>
        </w:rPr>
        <w:t xml:space="preserve">have been perpetuated assumptions around </w:t>
      </w:r>
      <w:r>
        <w:rPr>
          <w:rFonts w:ascii="Calibri" w:hAnsi="Calibri" w:cs="Arial"/>
        </w:rPr>
        <w:t>adequate</w:t>
      </w:r>
      <w:r w:rsidRPr="00C4343E">
        <w:rPr>
          <w:rFonts w:ascii="Calibri" w:hAnsi="Calibri" w:cs="Arial"/>
        </w:rPr>
        <w:t xml:space="preserve"> </w:t>
      </w:r>
      <w:r>
        <w:rPr>
          <w:rFonts w:ascii="Calibri" w:hAnsi="Calibri" w:cs="Arial"/>
        </w:rPr>
        <w:t xml:space="preserve">drug </w:t>
      </w:r>
      <w:r w:rsidRPr="00C4343E">
        <w:rPr>
          <w:rFonts w:ascii="Calibri" w:hAnsi="Calibri" w:cs="Arial"/>
        </w:rPr>
        <w:t xml:space="preserve">exposure (pillar 1) and </w:t>
      </w:r>
      <w:r>
        <w:rPr>
          <w:rFonts w:ascii="Calibri" w:hAnsi="Calibri" w:cs="Arial"/>
        </w:rPr>
        <w:t xml:space="preserve">molecular target </w:t>
      </w:r>
      <w:r w:rsidRPr="00C4343E">
        <w:rPr>
          <w:rFonts w:ascii="Calibri" w:hAnsi="Calibri" w:cs="Arial"/>
        </w:rPr>
        <w:t>engagement (pillar 2)</w:t>
      </w:r>
      <w:r>
        <w:rPr>
          <w:rFonts w:ascii="Calibri" w:hAnsi="Calibri" w:cs="Arial"/>
        </w:rPr>
        <w:t xml:space="preserve"> extrapolated from </w:t>
      </w:r>
      <w:r w:rsidRPr="00C4343E">
        <w:rPr>
          <w:rFonts w:ascii="Calibri" w:hAnsi="Calibri" w:cs="Arial"/>
        </w:rPr>
        <w:t xml:space="preserve">tissue loading </w:t>
      </w:r>
      <w:r>
        <w:rPr>
          <w:rFonts w:ascii="Calibri" w:hAnsi="Calibri" w:cs="Arial"/>
        </w:rPr>
        <w:t>data</w:t>
      </w:r>
      <w:r w:rsidRPr="00C4343E">
        <w:rPr>
          <w:rFonts w:ascii="Calibri" w:hAnsi="Calibri" w:cs="Arial"/>
        </w:rPr>
        <w:t xml:space="preserve">, as well as </w:t>
      </w:r>
      <w:r>
        <w:rPr>
          <w:rFonts w:ascii="Calibri" w:hAnsi="Calibri" w:cs="Arial"/>
        </w:rPr>
        <w:t>neglect over MOA and off-target effect quantification</w:t>
      </w:r>
      <w:r w:rsidRPr="00C4343E">
        <w:rPr>
          <w:rFonts w:ascii="Calibri" w:hAnsi="Calibri" w:cs="Arial"/>
        </w:rPr>
        <w:t xml:space="preserve"> (pillar 3).</w:t>
      </w:r>
      <w:r w:rsidR="008E1805">
        <w:rPr>
          <w:rFonts w:ascii="Calibri" w:hAnsi="Calibri" w:cs="Arial"/>
        </w:rPr>
        <w:t xml:space="preserve"> Rarely are these key success factors adequately </w:t>
      </w:r>
      <w:r w:rsidR="008E1805">
        <w:rPr>
          <w:rFonts w:ascii="Calibri" w:hAnsi="Calibri" w:cs="Arial"/>
        </w:rPr>
        <w:lastRenderedPageBreak/>
        <w:t>proven to be sustainable across species.</w:t>
      </w:r>
      <w:r w:rsidRPr="00C4343E">
        <w:rPr>
          <w:rFonts w:ascii="Calibri" w:hAnsi="Calibri" w:cs="Arial"/>
        </w:rPr>
        <w:t xml:space="preserve"> </w:t>
      </w:r>
      <w:r>
        <w:rPr>
          <w:rFonts w:ascii="Calibri" w:hAnsi="Calibri" w:cs="Arial"/>
        </w:rPr>
        <w:t>This is aligned to the unfortunate continuation of</w:t>
      </w:r>
      <w:r w:rsidRPr="00C4343E">
        <w:rPr>
          <w:rFonts w:ascii="Calibri" w:hAnsi="Calibri" w:cs="Arial"/>
        </w:rPr>
        <w:t xml:space="preserve"> ‘dogma’</w:t>
      </w:r>
      <w:r>
        <w:rPr>
          <w:rFonts w:ascii="Calibri" w:hAnsi="Calibri" w:cs="Arial"/>
        </w:rPr>
        <w:t xml:space="preserve">, </w:t>
      </w:r>
      <w:r w:rsidRPr="00C4343E">
        <w:rPr>
          <w:rFonts w:ascii="Calibri" w:hAnsi="Calibri" w:cs="Arial"/>
        </w:rPr>
        <w:t xml:space="preserve">such as the artificial segregation of the molecular functions of slicer-mediated RNAi and miRNA-mediated RNAi (e.g. </w:t>
      </w:r>
      <w:r w:rsidRPr="00C4343E">
        <w:rPr>
          <w:rFonts w:ascii="Calibri" w:hAnsi="Calibri" w:cs="Arial"/>
        </w:rPr>
        <w:fldChar w:fldCharType="begin" w:fldLock="1"/>
      </w:r>
      <w:r w:rsidRPr="00C4343E">
        <w:rPr>
          <w:rFonts w:ascii="Calibri" w:hAnsi="Calibri" w:cs="Arial"/>
        </w:rPr>
        <w:instrText>ADDIN CSL_CITATION { "citationItems" : [ { "id" : "ITEM-1", "itemData" : { "DOI" : "10.1016/j.jconrel.2015.02.003", "ISSN" : "1873-4995", "PMID" : "25660205", "abstract" : "Therapeutic gene silencing promises significant progress in pharmacotherapy, including considerable expansion of the druggable target space and the possibility for treating orphan diseases. Technological hurdles have complicated the efficient use of therapeutic oligonucleotides, and siRNA agents suffer particularly from insufficient pharmacokinetic properties and poor cellular uptake. Intense development and evolution of delivery systems have resulted in efficient uptake predominantly in liver tissue, in which practically all nanoparticulate and liposomal delivery systems show the highest accumulation. The most efficacious strategies include liposomes and bioconjugations with N-acetylgalactosamine. Both are in early clinical evaluation stages for treatment of liver-associated diseases. Approaches for achieving knockdown in other tissues and tumors have been proven to be more complicated. Selective targeting to tumors may be enabled through careful modulation of physical properties, such as particle size, or by taking advantage of specific targeting ligands. Significant barriers stand between sufficient accumulation in other organs, including endothelial barriers, cellular membranes, and the endosome. The brain, which is shielded by the blood-brain barrier, is of particular interest to facilitate efficient oligonucleotide therapy of neurological diseases. Transcytosis of the blood-brain barrier through receptor-specific docking is investigated to increase accumulation in the central nervous system. In this review, the current clinical status of siRNA therapeutics is summarized, as well as innovative and promising preclinical concepts employing tissue- and tumor-targeted ligands. The requirements and the respective advantages and drawbacks of bioconjugates and ligand-decorated lipid or polymeric particles are discussed.", "author" : [ { "dropping-particle" : "", "family" : "Lorenzer", "given" : "Cornelia", "non-dropping-particle" : "", "parse-names" : false, "suffix" : "" }, { "dropping-particle" : "", "family" : "Dirin", "given" : "Mehrdad", "non-dropping-particle" : "", "parse-names" : false, "suffix" : "" }, { "dropping-particle" : "", "family" : "Winkler", "given" : "Anna-Maria", "non-dropping-particle" : "", "parse-names" : false, "suffix" : "" }, { "dropping-particle" : "", "family" : "Baumann", "given" : "Volker", "non-dropping-particle" : "", "parse-names" : false, "suffix" : "" }, { "dropping-particle" : "", "family" : "Winkler", "given" : "Johannes", "non-dropping-particle" : "", "parse-names" : false, "suffix" : "" } ], "container-title" : "Journal of controlled release : official journal of the Controlled Release Society", "id" : "ITEM-1", "issued" : { "date-parts" : [ [ "2015", "4", "10" ] ] }, "page" : "1-15", "title" : "Going beyond the liver: progress and challenges of targeted delivery of siRNA therapeutics.", "type" : "article-journal", "volume" : "203" }, "uris" : [ "http://www.mendeley.com/documents/?uuid=9aefe5b8-7cd8-4441-9892-e0c0f13fe148" ] } ], "mendeley" : { "formattedCitation" : "(Lorenzer, Dirin, Winkler, Baumann, &amp; Winkler, 2015)", "plainTextFormattedCitation" : "(Lorenzer, Dirin, Winkler, Baumann, &amp; Winkler, 2015)", "previouslyFormattedCitation" : "(Lorenzer, Dirin, Winkler, Baumann, &amp; Winkler, 2015)"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(Lorenzer, Dirin, Winkler, Baumann, &amp; Winkler, 2015)</w:t>
      </w:r>
      <w:r w:rsidRPr="00C4343E">
        <w:rPr>
          <w:rFonts w:ascii="Calibri" w:hAnsi="Calibri" w:cs="Arial"/>
        </w:rPr>
        <w:fldChar w:fldCharType="end"/>
      </w:r>
      <w:r w:rsidRPr="00C4343E">
        <w:rPr>
          <w:rFonts w:ascii="Calibri" w:hAnsi="Calibri" w:cs="Arial"/>
        </w:rPr>
        <w:t xml:space="preserve">, </w:t>
      </w:r>
      <w:r>
        <w:rPr>
          <w:rFonts w:ascii="Calibri" w:hAnsi="Calibri" w:cs="Arial"/>
        </w:rPr>
        <w:t xml:space="preserve">despite calls against this </w:t>
      </w:r>
      <w:r>
        <w:rPr>
          <w:rFonts w:ascii="Calibri" w:hAnsi="Calibri" w:cs="Arial"/>
        </w:rPr>
        <w:fldChar w:fldCharType="begin" w:fldLock="1"/>
      </w:r>
      <w:r>
        <w:rPr>
          <w:rFonts w:ascii="Calibri" w:hAnsi="Calibri" w:cs="Arial"/>
        </w:rPr>
        <w:instrText>ADDIN CSL_CITATION { "citationItems" : [ { "id" : "ITEM-1", "itemData" : { "author" : [ { "dropping-particle" : "", "family" : "Moschos", "given" : "S A", "non-dropping-particle" : "", "parse-names" : false, "suffix" : "" } ], "chapter-number" : "7", "container-title" : "Biotherapeutics: Recent Developments using Chemical and Molecular Biology", "editor" : [ { "dropping-particle" : "", "family" : "Jones", "given" : "L", "non-dropping-particle" : "", "parse-names" : false, "suffix" : "" }, { "dropping-particle" : "", "family" : "McKnight", "given" : "A J", "non-dropping-particle" : "", "parse-names" : false, "suffix" : "" } ], "id" : "ITEM-1", "issued" : { "date-parts" : [ [ "2013" ] ] }, "page" : "176-223", "publisher" : "Royal Society of Chemistry Publishing", "publisher-place" : "London", "title" : "MicroRNA Biotherapeutics: Key Challenges from a Drug Development Perspective", "type" : "chapter" }, "uris" : [ "http://www.mendeley.com/documents/?uuid=762298b4-c5a5-4d8f-a8bf-0b40443e3804" ] }, { "id" : "ITEM-2", "itemData" : { "DOI" : "10.1016/j.molcel.2013.02.010", "ISSN" : "10972765", "PMID" : "23473599", "abstract" : "Epigenetic control of gene expression is a critical component of transcriptional regulation. Remarkably, the deposition of epigenetic modifications is often guided by noncoding RNAs. Although noncoding RNAs have been most often implicated in posttranscriptional gene silencing, these molecules are now emerging as critical regulators of gene expression and genomic stability at the transcriptional level. Here, we review recent efforts to understand the mechanisms by which RNA controls the expression or content of DNA. We discuss the role of both small RNAs and long noncoding RNAs in directing chromatin changes through histone modifications and DNA methylation. Furthermore, we highlight the function of RNA in mediating DNA cleavage during genome rearrangements and pathogen defense. In understanding the mechanisms of RNA control over DNA, the power of RNA may one day be harnessed to impact gene expression in a therapeutic setting.", "author" : [ { "dropping-particle" : "", "family" : "Sabin", "given" : "Leah\u00a0R.", "non-dropping-particle" : "", "parse-names" : false, "suffix" : "" }, { "dropping-particle" : "", "family" : "Del\u00e1s", "given" : "M.\u00a0Joaquina", "non-dropping-particle" : "", "parse-names" : false, "suffix" : "" }, { "dropping-particle" : "", "family" : "Hannon", "given" : "Gregory\u00a0J.", "non-dropping-particle" : "", "parse-names" : false, "suffix" : "" } ], "container-title" : "Molecular Cell", "id" : "ITEM-2", "issue" : "5", "issued" : { "date-parts" : [ [ "2013", "3", "7" ] ] }, "page" : "783-794", "title" : "Dogma Derailed: The Many Influences of RNA on the Genome", "type" : "article-journal", "volume" : "49" }, "uris" : [ "http://www.mendeley.com/documents/?uuid=225df819-7291-43ef-9290-aa3530662383" ] } ], "mendeley" : { "formattedCitation" : "(Moschos, 2013; Sabin et al., 2013)", "plainTextFormattedCitation" : "(Moschos, 2013; Sabin et al., 2013)", "previouslyFormattedCitation" : "(Moschos, 2013; Sabin et al., 2013)" }, "properties" : { "noteIndex" : 0 }, "schema" : "https://github.com/citation-style-language/schema/raw/master/csl-citation.json" }</w:instrText>
      </w:r>
      <w:r>
        <w:rPr>
          <w:rFonts w:ascii="Calibri" w:hAnsi="Calibri" w:cs="Arial"/>
        </w:rPr>
        <w:fldChar w:fldCharType="separate"/>
      </w:r>
      <w:r w:rsidRPr="007563B0">
        <w:rPr>
          <w:rFonts w:ascii="Calibri" w:hAnsi="Calibri" w:cs="Arial"/>
          <w:noProof/>
        </w:rPr>
        <w:t>(Moschos, 2013; Sabin et al., 2013)</w:t>
      </w:r>
      <w:r>
        <w:rPr>
          <w:rFonts w:ascii="Calibri" w:hAnsi="Calibri" w:cs="Arial"/>
        </w:rPr>
        <w:fldChar w:fldCharType="end"/>
      </w:r>
      <w:r>
        <w:rPr>
          <w:rFonts w:ascii="Calibri" w:hAnsi="Calibri" w:cs="Arial"/>
        </w:rPr>
        <w:t xml:space="preserve">. </w:t>
      </w:r>
      <w:r w:rsidR="000D6E32">
        <w:rPr>
          <w:rFonts w:ascii="Calibri" w:hAnsi="Calibri" w:cs="Arial"/>
        </w:rPr>
        <w:t xml:space="preserve">Fortunately, </w:t>
      </w:r>
      <w:r w:rsidR="00267D57">
        <w:rPr>
          <w:rFonts w:ascii="Calibri" w:hAnsi="Calibri" w:cs="Arial"/>
          <w:lang w:val="en-GB"/>
        </w:rPr>
        <w:t>companies</w:t>
      </w:r>
      <w:r w:rsidR="000D6E32">
        <w:rPr>
          <w:rFonts w:ascii="Calibri" w:hAnsi="Calibri" w:cs="Arial"/>
          <w:lang w:val="en-GB"/>
        </w:rPr>
        <w:t xml:space="preserve"> focusing on oligonucleotide therapeutics are almost invariably accurate in selecting the appropriate patient population (pillar 4). However, in the absence of orphan indications, as is the case in many lung diseases, the apparent need for delivery solutions makes the commercial potential (pillar 5) of this drug class an exceptionally challenging proposition. </w:t>
      </w:r>
      <w:r w:rsidR="008E1805">
        <w:rPr>
          <w:rFonts w:ascii="Calibri" w:hAnsi="Calibri" w:cs="Arial"/>
          <w:lang w:val="en-GB"/>
        </w:rPr>
        <w:t>Perhaps t</w:t>
      </w:r>
      <w:r w:rsidR="00E42C3C">
        <w:rPr>
          <w:rFonts w:ascii="Calibri" w:hAnsi="Calibri" w:cs="Arial"/>
          <w:lang w:val="en-GB"/>
        </w:rPr>
        <w:t xml:space="preserve">he recent learnings from how </w:t>
      </w:r>
      <w:r w:rsidR="004B2015">
        <w:rPr>
          <w:rFonts w:ascii="Calibri" w:hAnsi="Calibri" w:cs="Arial"/>
          <w:lang w:val="en-GB"/>
        </w:rPr>
        <w:t xml:space="preserve">clear evidence of </w:t>
      </w:r>
      <w:r w:rsidR="00E42C3C">
        <w:rPr>
          <w:rFonts w:ascii="Calibri" w:hAnsi="Calibri" w:cs="Arial"/>
          <w:lang w:val="en-GB"/>
        </w:rPr>
        <w:t xml:space="preserve">MOA, even in man, does not necessarily translate to regulatory </w:t>
      </w:r>
      <w:r w:rsidR="004B2015">
        <w:rPr>
          <w:rFonts w:ascii="Calibri" w:hAnsi="Calibri" w:cs="Arial"/>
          <w:lang w:val="en-GB"/>
        </w:rPr>
        <w:t>approval</w:t>
      </w:r>
      <w:r w:rsidR="00E42C3C">
        <w:rPr>
          <w:rFonts w:ascii="Calibri" w:hAnsi="Calibri" w:cs="Arial"/>
          <w:lang w:val="en-GB"/>
        </w:rPr>
        <w:t xml:space="preserve"> (drisapersen) </w:t>
      </w:r>
      <w:r w:rsidR="008E1805">
        <w:rPr>
          <w:rFonts w:ascii="Calibri" w:hAnsi="Calibri" w:cs="Arial"/>
          <w:lang w:val="en-GB"/>
        </w:rPr>
        <w:t>suggest</w:t>
      </w:r>
      <w:r w:rsidR="004B2015">
        <w:rPr>
          <w:rFonts w:ascii="Calibri" w:hAnsi="Calibri" w:cs="Arial"/>
          <w:lang w:val="en-GB"/>
        </w:rPr>
        <w:t xml:space="preserve"> the need of</w:t>
      </w:r>
      <w:r w:rsidR="00E42C3C">
        <w:rPr>
          <w:rFonts w:ascii="Calibri" w:hAnsi="Calibri" w:cs="Arial"/>
          <w:lang w:val="en-GB"/>
        </w:rPr>
        <w:t xml:space="preserve"> a 6</w:t>
      </w:r>
      <w:r w:rsidR="00E42C3C" w:rsidRPr="001837E0">
        <w:rPr>
          <w:rFonts w:ascii="Calibri" w:hAnsi="Calibri" w:cs="Arial"/>
          <w:vertAlign w:val="superscript"/>
          <w:lang w:val="en-GB"/>
        </w:rPr>
        <w:t>th</w:t>
      </w:r>
      <w:r w:rsidR="004B2015">
        <w:rPr>
          <w:rFonts w:ascii="Calibri" w:hAnsi="Calibri" w:cs="Arial"/>
          <w:lang w:val="en-GB"/>
        </w:rPr>
        <w:t xml:space="preserve"> pillar</w:t>
      </w:r>
      <w:r w:rsidR="00E26D84">
        <w:rPr>
          <w:rFonts w:ascii="Calibri" w:hAnsi="Calibri" w:cs="Arial"/>
          <w:lang w:val="en-GB"/>
        </w:rPr>
        <w:t>:</w:t>
      </w:r>
      <w:r w:rsidR="004B2015">
        <w:rPr>
          <w:rFonts w:ascii="Calibri" w:hAnsi="Calibri" w:cs="Arial"/>
          <w:lang w:val="en-GB"/>
        </w:rPr>
        <w:t xml:space="preserve"> use of cross-species</w:t>
      </w:r>
      <w:r w:rsidR="004026C8">
        <w:rPr>
          <w:rFonts w:ascii="Calibri" w:hAnsi="Calibri" w:cs="Arial"/>
          <w:lang w:val="en-GB"/>
        </w:rPr>
        <w:t>, translationally relevant</w:t>
      </w:r>
      <w:r w:rsidR="004B2015">
        <w:rPr>
          <w:rFonts w:ascii="Calibri" w:hAnsi="Calibri" w:cs="Arial"/>
          <w:lang w:val="en-GB"/>
        </w:rPr>
        <w:t xml:space="preserve"> biomarkers causally linked to accepted </w:t>
      </w:r>
      <w:r w:rsidR="004026C8">
        <w:rPr>
          <w:rFonts w:ascii="Calibri" w:hAnsi="Calibri" w:cs="Arial"/>
          <w:lang w:val="en-GB"/>
        </w:rPr>
        <w:t>criteria</w:t>
      </w:r>
      <w:r w:rsidR="004B2015">
        <w:rPr>
          <w:rFonts w:ascii="Calibri" w:hAnsi="Calibri" w:cs="Arial"/>
          <w:lang w:val="en-GB"/>
        </w:rPr>
        <w:t xml:space="preserve"> of clinical efficacy</w:t>
      </w:r>
      <w:r w:rsidR="004026C8">
        <w:rPr>
          <w:rFonts w:ascii="Calibri" w:hAnsi="Calibri" w:cs="Arial"/>
          <w:lang w:val="en-GB"/>
        </w:rPr>
        <w:t xml:space="preserve">. </w:t>
      </w:r>
      <w:r w:rsidR="00E26D84">
        <w:rPr>
          <w:rFonts w:ascii="Calibri" w:hAnsi="Calibri" w:cs="Arial"/>
          <w:lang w:val="en-GB"/>
        </w:rPr>
        <w:t>Addressing this gap may indeed have value beyond oligonucleotide drugs. T</w:t>
      </w:r>
      <w:r w:rsidR="000D6E32">
        <w:rPr>
          <w:rFonts w:ascii="Calibri" w:hAnsi="Calibri" w:cs="Arial"/>
          <w:lang w:val="en-GB"/>
        </w:rPr>
        <w:t>he true impact of the foamy alveolar macrophage and the need</w:t>
      </w:r>
      <w:r w:rsidR="004B2015">
        <w:rPr>
          <w:rFonts w:ascii="Calibri" w:hAnsi="Calibri" w:cs="Arial"/>
          <w:lang w:val="en-GB"/>
        </w:rPr>
        <w:t>, if any,</w:t>
      </w:r>
      <w:r w:rsidR="000D6E32">
        <w:rPr>
          <w:rFonts w:ascii="Calibri" w:hAnsi="Calibri" w:cs="Arial"/>
          <w:lang w:val="en-GB"/>
        </w:rPr>
        <w:t xml:space="preserve"> for solutions circumventing its’ elicitation </w:t>
      </w:r>
      <w:r w:rsidR="00C52742">
        <w:rPr>
          <w:rFonts w:ascii="Calibri" w:hAnsi="Calibri" w:cs="Arial"/>
          <w:lang w:val="en-GB"/>
        </w:rPr>
        <w:t>is likely to</w:t>
      </w:r>
      <w:r w:rsidR="000D6E32">
        <w:rPr>
          <w:rFonts w:ascii="Calibri" w:hAnsi="Calibri" w:cs="Arial"/>
          <w:lang w:val="en-GB"/>
        </w:rPr>
        <w:t xml:space="preserve"> </w:t>
      </w:r>
      <w:r w:rsidR="00E26D84">
        <w:rPr>
          <w:rFonts w:ascii="Calibri" w:hAnsi="Calibri" w:cs="Arial"/>
          <w:lang w:val="en-GB"/>
        </w:rPr>
        <w:t xml:space="preserve">more specifically </w:t>
      </w:r>
      <w:r w:rsidR="000D6E32">
        <w:rPr>
          <w:rFonts w:ascii="Calibri" w:hAnsi="Calibri" w:cs="Arial"/>
          <w:lang w:val="en-GB"/>
        </w:rPr>
        <w:t xml:space="preserve">catalyse </w:t>
      </w:r>
      <w:r w:rsidR="00E26D84">
        <w:rPr>
          <w:rFonts w:ascii="Calibri" w:hAnsi="Calibri" w:cs="Arial"/>
          <w:lang w:val="en-GB"/>
        </w:rPr>
        <w:t xml:space="preserve">the </w:t>
      </w:r>
      <w:r w:rsidR="000D6E32">
        <w:rPr>
          <w:rFonts w:ascii="Calibri" w:hAnsi="Calibri" w:cs="Arial"/>
          <w:lang w:val="en-GB"/>
        </w:rPr>
        <w:t>success</w:t>
      </w:r>
      <w:r w:rsidR="004B2015">
        <w:rPr>
          <w:rFonts w:ascii="Calibri" w:hAnsi="Calibri" w:cs="Arial"/>
          <w:lang w:val="en-GB"/>
        </w:rPr>
        <w:t xml:space="preserve"> of this </w:t>
      </w:r>
      <w:r w:rsidR="00CC1B88">
        <w:rPr>
          <w:rFonts w:ascii="Calibri" w:hAnsi="Calibri" w:cs="Arial"/>
          <w:lang w:val="en-GB"/>
        </w:rPr>
        <w:t>drug</w:t>
      </w:r>
      <w:r w:rsidR="004B2015">
        <w:rPr>
          <w:rFonts w:ascii="Calibri" w:hAnsi="Calibri" w:cs="Arial"/>
          <w:lang w:val="en-GB"/>
        </w:rPr>
        <w:t xml:space="preserve"> class for airways disease</w:t>
      </w:r>
      <w:r w:rsidR="000D6E32">
        <w:rPr>
          <w:rFonts w:ascii="Calibri" w:hAnsi="Calibri" w:cs="Arial"/>
          <w:lang w:val="en-GB"/>
        </w:rPr>
        <w:t>.</w:t>
      </w:r>
    </w:p>
    <w:p w14:paraId="1E3FB3F3" w14:textId="77777777" w:rsidR="002364BF" w:rsidRDefault="002364BF" w:rsidP="005837A4">
      <w:pPr>
        <w:spacing w:line="480" w:lineRule="auto"/>
        <w:jc w:val="both"/>
        <w:rPr>
          <w:rFonts w:ascii="Calibri" w:hAnsi="Calibri" w:cs="Arial"/>
          <w:b/>
        </w:rPr>
      </w:pPr>
    </w:p>
    <w:p w14:paraId="0DCF5E65" w14:textId="77777777" w:rsidR="000367B6" w:rsidRDefault="000367B6" w:rsidP="005837A4">
      <w:pPr>
        <w:spacing w:line="480" w:lineRule="auto"/>
        <w:jc w:val="both"/>
        <w:rPr>
          <w:rFonts w:ascii="Calibri" w:hAnsi="Calibri" w:cs="Arial"/>
          <w:b/>
        </w:rPr>
      </w:pPr>
    </w:p>
    <w:p w14:paraId="1E3C5D4E" w14:textId="77777777" w:rsidR="00AE56C9" w:rsidRPr="00C4343E" w:rsidRDefault="00AE56C9" w:rsidP="005837A4">
      <w:pPr>
        <w:spacing w:line="480" w:lineRule="auto"/>
        <w:jc w:val="both"/>
        <w:rPr>
          <w:rFonts w:ascii="Calibri" w:hAnsi="Calibri" w:cs="Arial"/>
          <w:b/>
        </w:rPr>
      </w:pPr>
      <w:r w:rsidRPr="00C4343E">
        <w:rPr>
          <w:rFonts w:ascii="Calibri" w:hAnsi="Calibri" w:cs="Arial"/>
          <w:b/>
        </w:rPr>
        <w:t>Conflict of Interest Statement</w:t>
      </w:r>
    </w:p>
    <w:p w14:paraId="38016D0B" w14:textId="5B0DF338" w:rsidR="00C55981" w:rsidRDefault="00AE56C9" w:rsidP="005837A4">
      <w:pPr>
        <w:spacing w:line="480" w:lineRule="auto"/>
        <w:jc w:val="both"/>
        <w:rPr>
          <w:rFonts w:ascii="Calibri" w:hAnsi="Calibri" w:cs="Arial"/>
        </w:rPr>
      </w:pPr>
      <w:r w:rsidRPr="00C4343E">
        <w:rPr>
          <w:rFonts w:ascii="Calibri" w:hAnsi="Calibri" w:cs="Arial"/>
        </w:rPr>
        <w:t>The authors declare that th</w:t>
      </w:r>
      <w:r w:rsidR="00831EC2">
        <w:rPr>
          <w:rFonts w:ascii="Calibri" w:hAnsi="Calibri" w:cs="Arial"/>
        </w:rPr>
        <w:t>ere are no conflicts of interest</w:t>
      </w:r>
      <w:r w:rsidR="00745A33">
        <w:rPr>
          <w:rFonts w:ascii="Calibri" w:hAnsi="Calibri" w:cs="Arial"/>
        </w:rPr>
        <w:t>.</w:t>
      </w:r>
    </w:p>
    <w:p w14:paraId="6B248E39" w14:textId="7471136C" w:rsidR="007A00CA" w:rsidRDefault="007A00CA" w:rsidP="005837A4">
      <w:pPr>
        <w:spacing w:line="480" w:lineRule="auto"/>
        <w:rPr>
          <w:rFonts w:ascii="Calibri" w:hAnsi="Calibri" w:cs="Arial"/>
        </w:rPr>
      </w:pPr>
      <w:r>
        <w:rPr>
          <w:rFonts w:ascii="Calibri" w:hAnsi="Calibri" w:cs="Arial"/>
        </w:rPr>
        <w:br w:type="page"/>
      </w:r>
    </w:p>
    <w:p w14:paraId="3102FF36" w14:textId="77777777" w:rsidR="007A00CA" w:rsidRDefault="007A00CA" w:rsidP="005837A4">
      <w:pPr>
        <w:spacing w:line="480" w:lineRule="auto"/>
        <w:jc w:val="both"/>
        <w:rPr>
          <w:rFonts w:ascii="Calibri" w:hAnsi="Calibri" w:cs="Arial"/>
        </w:rPr>
      </w:pPr>
    </w:p>
    <w:p w14:paraId="791F1013" w14:textId="77777777" w:rsidR="00FA1813" w:rsidRDefault="00FA1813" w:rsidP="005837A4">
      <w:pPr>
        <w:spacing w:line="480" w:lineRule="auto"/>
        <w:jc w:val="both"/>
        <w:rPr>
          <w:rFonts w:ascii="Calibri" w:hAnsi="Calibri" w:cs="Arial"/>
          <w:b/>
        </w:rPr>
      </w:pPr>
    </w:p>
    <w:p w14:paraId="37B8AB6E" w14:textId="77777777" w:rsidR="00FA1813" w:rsidRDefault="00FA1813" w:rsidP="005837A4">
      <w:pPr>
        <w:spacing w:line="480" w:lineRule="auto"/>
        <w:jc w:val="both"/>
        <w:rPr>
          <w:rFonts w:ascii="Calibri" w:hAnsi="Calibri" w:cs="Arial"/>
          <w:b/>
        </w:rPr>
      </w:pPr>
    </w:p>
    <w:p w14:paraId="42955E9F" w14:textId="77777777" w:rsidR="00FA1813" w:rsidRDefault="00FA1813" w:rsidP="005837A4">
      <w:pPr>
        <w:spacing w:line="480" w:lineRule="auto"/>
        <w:jc w:val="both"/>
        <w:rPr>
          <w:rFonts w:ascii="Calibri" w:hAnsi="Calibri" w:cs="Arial"/>
          <w:b/>
        </w:rPr>
      </w:pPr>
    </w:p>
    <w:p w14:paraId="775BD46C" w14:textId="77777777" w:rsidR="00FA1813" w:rsidRDefault="00FA1813" w:rsidP="005837A4">
      <w:pPr>
        <w:spacing w:line="480" w:lineRule="auto"/>
        <w:jc w:val="both"/>
        <w:rPr>
          <w:rFonts w:ascii="Calibri" w:hAnsi="Calibri" w:cs="Arial"/>
          <w:b/>
        </w:rPr>
      </w:pPr>
    </w:p>
    <w:p w14:paraId="18F12B33" w14:textId="77777777" w:rsidR="00FA1813" w:rsidRDefault="00FA1813" w:rsidP="005837A4">
      <w:pPr>
        <w:spacing w:line="480" w:lineRule="auto"/>
        <w:jc w:val="both"/>
        <w:rPr>
          <w:rFonts w:ascii="Calibri" w:hAnsi="Calibri" w:cs="Arial"/>
          <w:b/>
        </w:rPr>
      </w:pPr>
    </w:p>
    <w:p w14:paraId="7712EFA8" w14:textId="77777777" w:rsidR="00FA1813" w:rsidRDefault="00FA1813" w:rsidP="005837A4">
      <w:pPr>
        <w:spacing w:line="480" w:lineRule="auto"/>
        <w:jc w:val="both"/>
        <w:rPr>
          <w:rFonts w:ascii="Calibri" w:hAnsi="Calibri" w:cs="Arial"/>
          <w:b/>
        </w:rPr>
      </w:pPr>
    </w:p>
    <w:p w14:paraId="2C80FFB6" w14:textId="77777777" w:rsidR="00FA1813" w:rsidRDefault="00FA1813" w:rsidP="005837A4">
      <w:pPr>
        <w:spacing w:line="480" w:lineRule="auto"/>
        <w:jc w:val="both"/>
        <w:rPr>
          <w:rFonts w:ascii="Calibri" w:hAnsi="Calibri" w:cs="Arial"/>
          <w:b/>
        </w:rPr>
      </w:pPr>
    </w:p>
    <w:p w14:paraId="6BDEB05F" w14:textId="77777777" w:rsidR="00FA1813" w:rsidRDefault="00FA1813" w:rsidP="005837A4">
      <w:pPr>
        <w:spacing w:line="480" w:lineRule="auto"/>
        <w:jc w:val="both"/>
        <w:rPr>
          <w:rFonts w:ascii="Calibri" w:hAnsi="Calibri" w:cs="Arial"/>
          <w:b/>
        </w:rPr>
      </w:pPr>
    </w:p>
    <w:p w14:paraId="592122BF" w14:textId="77777777" w:rsidR="00FA1813" w:rsidRDefault="00FA1813" w:rsidP="005837A4">
      <w:pPr>
        <w:spacing w:line="480" w:lineRule="auto"/>
        <w:jc w:val="both"/>
        <w:rPr>
          <w:rFonts w:ascii="Calibri" w:hAnsi="Calibri" w:cs="Arial"/>
          <w:b/>
        </w:rPr>
      </w:pPr>
    </w:p>
    <w:p w14:paraId="673EEB80" w14:textId="77777777" w:rsidR="00FA1813" w:rsidRDefault="00FA1813" w:rsidP="005837A4">
      <w:pPr>
        <w:spacing w:line="480" w:lineRule="auto"/>
        <w:jc w:val="both"/>
        <w:rPr>
          <w:rFonts w:ascii="Calibri" w:hAnsi="Calibri" w:cs="Arial"/>
          <w:b/>
        </w:rPr>
      </w:pPr>
    </w:p>
    <w:p w14:paraId="64683406" w14:textId="77777777" w:rsidR="007A00CA" w:rsidRDefault="007A00CA" w:rsidP="005837A4">
      <w:pPr>
        <w:spacing w:line="480" w:lineRule="auto"/>
        <w:rPr>
          <w:rFonts w:ascii="Calibri" w:eastAsiaTheme="minorEastAsia" w:hAnsi="Calibri" w:cs="Calibri"/>
          <w:b/>
          <w:bCs/>
          <w:color w:val="000000"/>
        </w:rPr>
      </w:pPr>
      <w:r>
        <w:rPr>
          <w:rFonts w:ascii="Calibri" w:eastAsiaTheme="minorEastAsia" w:hAnsi="Calibri" w:cs="Calibri"/>
          <w:b/>
          <w:bCs/>
          <w:color w:val="000000"/>
        </w:rPr>
        <w:br w:type="page"/>
      </w:r>
    </w:p>
    <w:p w14:paraId="0B17361A" w14:textId="77777777" w:rsidR="007A00CA" w:rsidRDefault="007A00CA" w:rsidP="005837A4">
      <w:pPr>
        <w:spacing w:line="480" w:lineRule="auto"/>
        <w:jc w:val="both"/>
        <w:rPr>
          <w:rFonts w:ascii="Calibri" w:eastAsiaTheme="minorEastAsia" w:hAnsi="Calibri" w:cs="Calibri"/>
          <w:b/>
          <w:bCs/>
          <w:color w:val="000000"/>
        </w:rPr>
        <w:sectPr w:rsidR="007A00CA" w:rsidSect="007A00CA">
          <w:pgSz w:w="11900" w:h="16820"/>
          <w:pgMar w:top="1440" w:right="1440" w:bottom="1440" w:left="1440" w:header="708" w:footer="708" w:gutter="0"/>
          <w:cols w:space="708"/>
          <w:docGrid w:linePitch="360"/>
        </w:sectPr>
      </w:pPr>
    </w:p>
    <w:p w14:paraId="436134C5" w14:textId="0CA0ACF0" w:rsidR="00124293" w:rsidRDefault="00124293" w:rsidP="005837A4">
      <w:pPr>
        <w:jc w:val="both"/>
        <w:rPr>
          <w:rFonts w:ascii="Calibri" w:eastAsiaTheme="minorEastAsia" w:hAnsi="Calibri" w:cs="Calibri"/>
          <w:color w:val="000000"/>
        </w:rPr>
      </w:pPr>
      <w:r w:rsidRPr="00D30568">
        <w:rPr>
          <w:rFonts w:ascii="Calibri" w:eastAsiaTheme="minorEastAsia" w:hAnsi="Calibri" w:cs="Calibri"/>
          <w:b/>
          <w:bCs/>
          <w:color w:val="000000"/>
        </w:rPr>
        <w:lastRenderedPageBreak/>
        <w:t xml:space="preserve">Table 1: </w:t>
      </w:r>
      <w:r w:rsidRPr="00D30568">
        <w:rPr>
          <w:rFonts w:ascii="Calibri" w:eastAsiaTheme="minorEastAsia" w:hAnsi="Calibri" w:cs="Calibri"/>
          <w:color w:val="000000"/>
        </w:rPr>
        <w:t>Innate immune receptors for RNA and DNA oligonucleotide therapeutics.</w:t>
      </w:r>
    </w:p>
    <w:tbl>
      <w:tblPr>
        <w:tblW w:w="14034" w:type="dxa"/>
        <w:tblInd w:w="108" w:type="dxa"/>
        <w:tblLayout w:type="fixed"/>
        <w:tblLook w:val="04A0" w:firstRow="1" w:lastRow="0" w:firstColumn="1" w:lastColumn="0" w:noHBand="0" w:noVBand="1"/>
      </w:tblPr>
      <w:tblGrid>
        <w:gridCol w:w="1190"/>
        <w:gridCol w:w="1410"/>
        <w:gridCol w:w="8"/>
        <w:gridCol w:w="1985"/>
        <w:gridCol w:w="2835"/>
        <w:gridCol w:w="2495"/>
        <w:gridCol w:w="4111"/>
      </w:tblGrid>
      <w:tr w:rsidR="00124293" w:rsidRPr="00D30568" w14:paraId="47E92546" w14:textId="77777777" w:rsidTr="007A00CA">
        <w:trPr>
          <w:trHeight w:val="300"/>
        </w:trPr>
        <w:tc>
          <w:tcPr>
            <w:tcW w:w="1190" w:type="dxa"/>
            <w:tcBorders>
              <w:top w:val="single" w:sz="4" w:space="0" w:color="auto"/>
              <w:left w:val="nil"/>
              <w:bottom w:val="single" w:sz="4" w:space="0" w:color="auto"/>
              <w:right w:val="nil"/>
            </w:tcBorders>
            <w:shd w:val="clear" w:color="auto" w:fill="auto"/>
            <w:noWrap/>
            <w:vAlign w:val="bottom"/>
            <w:hideMark/>
          </w:tcPr>
          <w:p w14:paraId="033236BF"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Receptor</w:t>
            </w:r>
          </w:p>
        </w:tc>
        <w:tc>
          <w:tcPr>
            <w:tcW w:w="1418" w:type="dxa"/>
            <w:gridSpan w:val="2"/>
            <w:tcBorders>
              <w:top w:val="single" w:sz="4" w:space="0" w:color="auto"/>
              <w:left w:val="nil"/>
              <w:bottom w:val="single" w:sz="4" w:space="0" w:color="auto"/>
              <w:right w:val="nil"/>
            </w:tcBorders>
            <w:shd w:val="clear" w:color="auto" w:fill="auto"/>
            <w:noWrap/>
            <w:vAlign w:val="bottom"/>
            <w:hideMark/>
          </w:tcPr>
          <w:p w14:paraId="386AF44F"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Location</w:t>
            </w:r>
          </w:p>
        </w:tc>
        <w:tc>
          <w:tcPr>
            <w:tcW w:w="1985" w:type="dxa"/>
            <w:tcBorders>
              <w:top w:val="single" w:sz="4" w:space="0" w:color="auto"/>
              <w:left w:val="nil"/>
              <w:bottom w:val="single" w:sz="4" w:space="0" w:color="auto"/>
              <w:right w:val="nil"/>
            </w:tcBorders>
            <w:shd w:val="clear" w:color="auto" w:fill="auto"/>
            <w:noWrap/>
            <w:vAlign w:val="bottom"/>
            <w:hideMark/>
          </w:tcPr>
          <w:p w14:paraId="7A2B5A02"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Minimal motif</w:t>
            </w:r>
          </w:p>
        </w:tc>
        <w:tc>
          <w:tcPr>
            <w:tcW w:w="2835" w:type="dxa"/>
            <w:tcBorders>
              <w:top w:val="single" w:sz="4" w:space="0" w:color="auto"/>
              <w:left w:val="nil"/>
              <w:bottom w:val="single" w:sz="4" w:space="0" w:color="auto"/>
              <w:right w:val="nil"/>
            </w:tcBorders>
            <w:shd w:val="clear" w:color="auto" w:fill="auto"/>
            <w:noWrap/>
            <w:vAlign w:val="bottom"/>
            <w:hideMark/>
          </w:tcPr>
          <w:p w14:paraId="6C28F15D"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Oligonucleotide class affected</w:t>
            </w:r>
          </w:p>
        </w:tc>
        <w:tc>
          <w:tcPr>
            <w:tcW w:w="2495" w:type="dxa"/>
            <w:tcBorders>
              <w:top w:val="single" w:sz="4" w:space="0" w:color="auto"/>
              <w:left w:val="nil"/>
              <w:bottom w:val="single" w:sz="4" w:space="0" w:color="auto"/>
              <w:right w:val="nil"/>
            </w:tcBorders>
            <w:shd w:val="clear" w:color="auto" w:fill="auto"/>
            <w:noWrap/>
            <w:vAlign w:val="bottom"/>
            <w:hideMark/>
          </w:tcPr>
          <w:p w14:paraId="79C079B0"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Evasion solution</w:t>
            </w:r>
          </w:p>
        </w:tc>
        <w:tc>
          <w:tcPr>
            <w:tcW w:w="4111" w:type="dxa"/>
            <w:tcBorders>
              <w:top w:val="single" w:sz="4" w:space="0" w:color="auto"/>
              <w:left w:val="nil"/>
              <w:bottom w:val="single" w:sz="4" w:space="0" w:color="auto"/>
              <w:right w:val="nil"/>
            </w:tcBorders>
            <w:shd w:val="clear" w:color="auto" w:fill="auto"/>
            <w:noWrap/>
            <w:vAlign w:val="bottom"/>
            <w:hideMark/>
          </w:tcPr>
          <w:p w14:paraId="68094D58" w14:textId="77777777" w:rsidR="00124293" w:rsidRPr="00D30568" w:rsidRDefault="00124293" w:rsidP="005837A4">
            <w:pPr>
              <w:rPr>
                <w:rFonts w:ascii="Calibri" w:eastAsia="Times New Roman" w:hAnsi="Calibri"/>
                <w:b/>
                <w:bCs/>
                <w:color w:val="000000"/>
                <w:lang w:val="en-GB"/>
              </w:rPr>
            </w:pPr>
            <w:r>
              <w:rPr>
                <w:rFonts w:ascii="Calibri" w:eastAsia="Times New Roman" w:hAnsi="Calibri"/>
                <w:b/>
                <w:bCs/>
                <w:color w:val="000000"/>
                <w:lang w:val="en-GB"/>
              </w:rPr>
              <w:t>R</w:t>
            </w:r>
            <w:r w:rsidRPr="00D30568">
              <w:rPr>
                <w:rFonts w:ascii="Calibri" w:eastAsia="Times New Roman" w:hAnsi="Calibri"/>
                <w:b/>
                <w:bCs/>
                <w:color w:val="000000"/>
                <w:lang w:val="en-GB"/>
              </w:rPr>
              <w:t>eference(s)</w:t>
            </w:r>
          </w:p>
        </w:tc>
      </w:tr>
      <w:tr w:rsidR="00124293" w:rsidRPr="00D30568" w14:paraId="13D81B9D" w14:textId="77777777" w:rsidTr="007A00CA">
        <w:trPr>
          <w:trHeight w:val="300"/>
        </w:trPr>
        <w:tc>
          <w:tcPr>
            <w:tcW w:w="1190" w:type="dxa"/>
            <w:tcBorders>
              <w:top w:val="nil"/>
              <w:left w:val="nil"/>
              <w:bottom w:val="nil"/>
              <w:right w:val="nil"/>
            </w:tcBorders>
            <w:shd w:val="clear" w:color="auto" w:fill="auto"/>
            <w:noWrap/>
            <w:hideMark/>
          </w:tcPr>
          <w:p w14:paraId="5647D561"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TLR1</w:t>
            </w:r>
          </w:p>
        </w:tc>
        <w:tc>
          <w:tcPr>
            <w:tcW w:w="1410" w:type="dxa"/>
            <w:tcBorders>
              <w:top w:val="nil"/>
              <w:left w:val="nil"/>
              <w:bottom w:val="nil"/>
              <w:right w:val="nil"/>
            </w:tcBorders>
            <w:shd w:val="clear" w:color="auto" w:fill="auto"/>
            <w:noWrap/>
            <w:hideMark/>
          </w:tcPr>
          <w:p w14:paraId="1CD1DA1C"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Cell surface</w:t>
            </w:r>
          </w:p>
        </w:tc>
        <w:tc>
          <w:tcPr>
            <w:tcW w:w="1993" w:type="dxa"/>
            <w:gridSpan w:val="2"/>
            <w:tcBorders>
              <w:top w:val="nil"/>
              <w:left w:val="nil"/>
              <w:bottom w:val="nil"/>
              <w:right w:val="nil"/>
            </w:tcBorders>
            <w:shd w:val="clear" w:color="auto" w:fill="auto"/>
            <w:noWrap/>
            <w:hideMark/>
          </w:tcPr>
          <w:p w14:paraId="39A91EEB"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Unknown</w:t>
            </w:r>
          </w:p>
        </w:tc>
        <w:tc>
          <w:tcPr>
            <w:tcW w:w="2835" w:type="dxa"/>
            <w:tcBorders>
              <w:top w:val="nil"/>
              <w:left w:val="nil"/>
              <w:bottom w:val="nil"/>
              <w:right w:val="nil"/>
            </w:tcBorders>
            <w:shd w:val="clear" w:color="auto" w:fill="auto"/>
            <w:noWrap/>
            <w:hideMark/>
          </w:tcPr>
          <w:p w14:paraId="2813E06F"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miRNA analogues</w:t>
            </w:r>
          </w:p>
        </w:tc>
        <w:tc>
          <w:tcPr>
            <w:tcW w:w="2495" w:type="dxa"/>
            <w:tcBorders>
              <w:top w:val="nil"/>
              <w:left w:val="nil"/>
              <w:bottom w:val="nil"/>
              <w:right w:val="nil"/>
            </w:tcBorders>
            <w:shd w:val="clear" w:color="auto" w:fill="auto"/>
            <w:noWrap/>
            <w:hideMark/>
          </w:tcPr>
          <w:p w14:paraId="1D95CB9B"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Unknown</w:t>
            </w:r>
          </w:p>
        </w:tc>
        <w:tc>
          <w:tcPr>
            <w:tcW w:w="4111" w:type="dxa"/>
            <w:tcBorders>
              <w:top w:val="nil"/>
              <w:left w:val="nil"/>
              <w:bottom w:val="nil"/>
              <w:right w:val="nil"/>
            </w:tcBorders>
            <w:shd w:val="clear" w:color="auto" w:fill="auto"/>
            <w:noWrap/>
            <w:hideMark/>
          </w:tcPr>
          <w:p w14:paraId="16B0C583" w14:textId="77777777" w:rsidR="00124293" w:rsidRDefault="00124293" w:rsidP="005837A4">
            <w:pPr>
              <w:rPr>
                <w:rFonts w:ascii="Calibri" w:eastAsia="Times New Roman" w:hAnsi="Calibri"/>
                <w:color w:val="000000"/>
                <w:lang w:val="en-GB"/>
              </w:rPr>
            </w:pPr>
            <w:r w:rsidRPr="00D30568">
              <w:rPr>
                <w:rFonts w:ascii="Calibri" w:eastAsia="Times New Roman" w:hAnsi="Calibri"/>
                <w:color w:val="000000"/>
                <w:lang w:val="en-GB"/>
              </w:rPr>
              <w:t>He et al. 2013</w:t>
            </w:r>
          </w:p>
          <w:p w14:paraId="16960204" w14:textId="77777777" w:rsidR="00124293" w:rsidRPr="00D30568" w:rsidRDefault="00124293" w:rsidP="005837A4">
            <w:pPr>
              <w:rPr>
                <w:rFonts w:ascii="Calibri" w:eastAsia="Times New Roman" w:hAnsi="Calibri"/>
                <w:color w:val="000000"/>
                <w:lang w:val="en-GB"/>
              </w:rPr>
            </w:pPr>
          </w:p>
        </w:tc>
      </w:tr>
      <w:tr w:rsidR="00124293" w:rsidRPr="00D30568" w14:paraId="30F20082" w14:textId="77777777" w:rsidTr="007A00CA">
        <w:trPr>
          <w:trHeight w:val="300"/>
        </w:trPr>
        <w:tc>
          <w:tcPr>
            <w:tcW w:w="1190" w:type="dxa"/>
            <w:tcBorders>
              <w:top w:val="nil"/>
              <w:left w:val="nil"/>
              <w:bottom w:val="nil"/>
              <w:right w:val="nil"/>
            </w:tcBorders>
            <w:shd w:val="clear" w:color="auto" w:fill="auto"/>
            <w:noWrap/>
            <w:hideMark/>
          </w:tcPr>
          <w:p w14:paraId="64A80670"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TLR3</w:t>
            </w:r>
          </w:p>
        </w:tc>
        <w:tc>
          <w:tcPr>
            <w:tcW w:w="1410" w:type="dxa"/>
            <w:tcBorders>
              <w:top w:val="nil"/>
              <w:left w:val="nil"/>
              <w:bottom w:val="nil"/>
              <w:right w:val="nil"/>
            </w:tcBorders>
            <w:shd w:val="clear" w:color="auto" w:fill="auto"/>
            <w:noWrap/>
            <w:hideMark/>
          </w:tcPr>
          <w:p w14:paraId="1D0BDD91"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Cell surface</w:t>
            </w:r>
          </w:p>
        </w:tc>
        <w:tc>
          <w:tcPr>
            <w:tcW w:w="1993" w:type="dxa"/>
            <w:gridSpan w:val="2"/>
            <w:tcBorders>
              <w:top w:val="nil"/>
              <w:left w:val="nil"/>
              <w:bottom w:val="nil"/>
              <w:right w:val="nil"/>
            </w:tcBorders>
            <w:shd w:val="clear" w:color="auto" w:fill="auto"/>
            <w:noWrap/>
            <w:hideMark/>
          </w:tcPr>
          <w:p w14:paraId="6B3FC636"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&gt; 19 nt</w:t>
            </w:r>
          </w:p>
        </w:tc>
        <w:tc>
          <w:tcPr>
            <w:tcW w:w="2835" w:type="dxa"/>
            <w:tcBorders>
              <w:top w:val="nil"/>
              <w:left w:val="nil"/>
              <w:bottom w:val="nil"/>
              <w:right w:val="nil"/>
            </w:tcBorders>
            <w:shd w:val="clear" w:color="auto" w:fill="auto"/>
            <w:noWrap/>
            <w:hideMark/>
          </w:tcPr>
          <w:p w14:paraId="08A3EAD9"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siRNA, dsRNA</w:t>
            </w:r>
          </w:p>
        </w:tc>
        <w:tc>
          <w:tcPr>
            <w:tcW w:w="2495" w:type="dxa"/>
            <w:tcBorders>
              <w:top w:val="nil"/>
              <w:left w:val="nil"/>
              <w:bottom w:val="nil"/>
              <w:right w:val="nil"/>
            </w:tcBorders>
            <w:shd w:val="clear" w:color="auto" w:fill="auto"/>
            <w:noWrap/>
            <w:hideMark/>
          </w:tcPr>
          <w:p w14:paraId="13754999"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N6-methyladenosine, 2-thiouridine</w:t>
            </w:r>
          </w:p>
        </w:tc>
        <w:tc>
          <w:tcPr>
            <w:tcW w:w="4111" w:type="dxa"/>
            <w:tcBorders>
              <w:top w:val="nil"/>
              <w:left w:val="nil"/>
              <w:bottom w:val="nil"/>
              <w:right w:val="nil"/>
            </w:tcBorders>
            <w:shd w:val="clear" w:color="auto" w:fill="auto"/>
            <w:noWrap/>
            <w:hideMark/>
          </w:tcPr>
          <w:p w14:paraId="15951FFE" w14:textId="77777777" w:rsidR="00124293" w:rsidRDefault="00124293" w:rsidP="005837A4">
            <w:pPr>
              <w:rPr>
                <w:rFonts w:ascii="Calibri" w:eastAsia="Times New Roman" w:hAnsi="Calibri"/>
                <w:color w:val="000000"/>
                <w:lang w:val="en-GB"/>
              </w:rPr>
            </w:pPr>
            <w:r w:rsidRPr="00D30568">
              <w:rPr>
                <w:rFonts w:ascii="Calibri" w:eastAsia="Times New Roman" w:hAnsi="Calibri"/>
                <w:color w:val="000000"/>
                <w:lang w:val="en-GB"/>
              </w:rPr>
              <w:t>Cho et al., 2009; Kleinman et al., 2008; Karikó et al., 2005</w:t>
            </w:r>
          </w:p>
          <w:p w14:paraId="14F90999" w14:textId="77777777" w:rsidR="00124293" w:rsidRPr="00D30568" w:rsidRDefault="00124293" w:rsidP="005837A4">
            <w:pPr>
              <w:rPr>
                <w:rFonts w:ascii="Calibri" w:eastAsia="Times New Roman" w:hAnsi="Calibri"/>
                <w:color w:val="000000"/>
                <w:lang w:val="en-GB"/>
              </w:rPr>
            </w:pPr>
          </w:p>
        </w:tc>
      </w:tr>
      <w:tr w:rsidR="00124293" w:rsidRPr="00D30568" w14:paraId="6BCE85D1" w14:textId="77777777" w:rsidTr="007A00CA">
        <w:trPr>
          <w:trHeight w:val="300"/>
        </w:trPr>
        <w:tc>
          <w:tcPr>
            <w:tcW w:w="1190" w:type="dxa"/>
            <w:tcBorders>
              <w:top w:val="nil"/>
              <w:left w:val="nil"/>
              <w:bottom w:val="nil"/>
              <w:right w:val="nil"/>
            </w:tcBorders>
            <w:shd w:val="clear" w:color="auto" w:fill="auto"/>
            <w:noWrap/>
            <w:hideMark/>
          </w:tcPr>
          <w:p w14:paraId="4F0A5178"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TLR7/8</w:t>
            </w:r>
          </w:p>
        </w:tc>
        <w:tc>
          <w:tcPr>
            <w:tcW w:w="1410" w:type="dxa"/>
            <w:tcBorders>
              <w:top w:val="nil"/>
              <w:left w:val="nil"/>
              <w:bottom w:val="nil"/>
              <w:right w:val="nil"/>
            </w:tcBorders>
            <w:shd w:val="clear" w:color="auto" w:fill="auto"/>
            <w:noWrap/>
            <w:hideMark/>
          </w:tcPr>
          <w:p w14:paraId="59E4450E"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Cell surface</w:t>
            </w:r>
          </w:p>
        </w:tc>
        <w:tc>
          <w:tcPr>
            <w:tcW w:w="1993" w:type="dxa"/>
            <w:gridSpan w:val="2"/>
            <w:tcBorders>
              <w:top w:val="nil"/>
              <w:left w:val="nil"/>
              <w:bottom w:val="nil"/>
              <w:right w:val="nil"/>
            </w:tcBorders>
            <w:shd w:val="clear" w:color="auto" w:fill="auto"/>
            <w:noWrap/>
            <w:hideMark/>
          </w:tcPr>
          <w:p w14:paraId="253A0979"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UG</w:t>
            </w:r>
          </w:p>
        </w:tc>
        <w:tc>
          <w:tcPr>
            <w:tcW w:w="2835" w:type="dxa"/>
            <w:tcBorders>
              <w:top w:val="nil"/>
              <w:left w:val="nil"/>
              <w:bottom w:val="nil"/>
              <w:right w:val="nil"/>
            </w:tcBorders>
            <w:shd w:val="clear" w:color="auto" w:fill="auto"/>
            <w:noWrap/>
            <w:hideMark/>
          </w:tcPr>
          <w:p w14:paraId="3E8A2333"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siRNA, miRNA, ASO</w:t>
            </w:r>
          </w:p>
        </w:tc>
        <w:tc>
          <w:tcPr>
            <w:tcW w:w="2495" w:type="dxa"/>
            <w:tcBorders>
              <w:top w:val="nil"/>
              <w:left w:val="nil"/>
              <w:bottom w:val="nil"/>
              <w:right w:val="nil"/>
            </w:tcBorders>
            <w:shd w:val="clear" w:color="auto" w:fill="auto"/>
            <w:noWrap/>
            <w:hideMark/>
          </w:tcPr>
          <w:p w14:paraId="547536DD"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2' ribose modification, N6-methyladenosine, 2-thiouridine</w:t>
            </w:r>
          </w:p>
        </w:tc>
        <w:tc>
          <w:tcPr>
            <w:tcW w:w="4111" w:type="dxa"/>
            <w:tcBorders>
              <w:top w:val="nil"/>
              <w:left w:val="nil"/>
              <w:bottom w:val="nil"/>
              <w:right w:val="nil"/>
            </w:tcBorders>
            <w:shd w:val="clear" w:color="auto" w:fill="auto"/>
            <w:noWrap/>
            <w:hideMark/>
          </w:tcPr>
          <w:p w14:paraId="2FC6A63C" w14:textId="77777777" w:rsidR="00124293" w:rsidRDefault="00124293" w:rsidP="005837A4">
            <w:pPr>
              <w:rPr>
                <w:rFonts w:ascii="Calibri" w:eastAsia="Times New Roman" w:hAnsi="Calibri"/>
                <w:color w:val="000000"/>
                <w:lang w:val="en-GB"/>
              </w:rPr>
            </w:pPr>
            <w:r w:rsidRPr="00D30568">
              <w:rPr>
                <w:rFonts w:ascii="Calibri" w:eastAsia="Times New Roman" w:hAnsi="Calibri"/>
                <w:color w:val="000000"/>
                <w:lang w:val="en-GB"/>
              </w:rPr>
              <w:t>Hornung et al., 2005; Judge et al., 2005; Fedorov et al. 2006; Jackson et al. 2006</w:t>
            </w:r>
          </w:p>
          <w:p w14:paraId="72E41F7D" w14:textId="77777777" w:rsidR="00124293" w:rsidRDefault="00124293" w:rsidP="005837A4">
            <w:pPr>
              <w:rPr>
                <w:rFonts w:ascii="Calibri" w:eastAsia="Times New Roman" w:hAnsi="Calibri"/>
                <w:color w:val="000000"/>
                <w:lang w:val="en-GB"/>
              </w:rPr>
            </w:pPr>
          </w:p>
          <w:p w14:paraId="3498FA7E" w14:textId="77777777" w:rsidR="00124293" w:rsidRPr="00D30568" w:rsidRDefault="00124293" w:rsidP="005837A4">
            <w:pPr>
              <w:rPr>
                <w:rFonts w:ascii="Calibri" w:eastAsia="Times New Roman" w:hAnsi="Calibri"/>
                <w:color w:val="000000"/>
                <w:lang w:val="en-GB"/>
              </w:rPr>
            </w:pPr>
          </w:p>
        </w:tc>
      </w:tr>
      <w:tr w:rsidR="00124293" w:rsidRPr="00D30568" w14:paraId="3676BB0B" w14:textId="77777777" w:rsidTr="007A00CA">
        <w:trPr>
          <w:trHeight w:val="300"/>
        </w:trPr>
        <w:tc>
          <w:tcPr>
            <w:tcW w:w="1190" w:type="dxa"/>
            <w:tcBorders>
              <w:top w:val="nil"/>
              <w:left w:val="nil"/>
              <w:bottom w:val="nil"/>
              <w:right w:val="nil"/>
            </w:tcBorders>
            <w:shd w:val="clear" w:color="auto" w:fill="auto"/>
            <w:noWrap/>
            <w:hideMark/>
          </w:tcPr>
          <w:p w14:paraId="6CF09F28"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TLR9</w:t>
            </w:r>
          </w:p>
        </w:tc>
        <w:tc>
          <w:tcPr>
            <w:tcW w:w="1410" w:type="dxa"/>
            <w:tcBorders>
              <w:top w:val="nil"/>
              <w:left w:val="nil"/>
              <w:bottom w:val="nil"/>
              <w:right w:val="nil"/>
            </w:tcBorders>
            <w:shd w:val="clear" w:color="auto" w:fill="auto"/>
            <w:noWrap/>
            <w:hideMark/>
          </w:tcPr>
          <w:p w14:paraId="6616A1AA"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Cell surface</w:t>
            </w:r>
          </w:p>
        </w:tc>
        <w:tc>
          <w:tcPr>
            <w:tcW w:w="1993" w:type="dxa"/>
            <w:gridSpan w:val="2"/>
            <w:tcBorders>
              <w:top w:val="nil"/>
              <w:left w:val="nil"/>
              <w:bottom w:val="nil"/>
              <w:right w:val="nil"/>
            </w:tcBorders>
            <w:shd w:val="clear" w:color="auto" w:fill="auto"/>
            <w:noWrap/>
            <w:hideMark/>
          </w:tcPr>
          <w:p w14:paraId="0D44D266"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unmethylated CpG motifs</w:t>
            </w:r>
          </w:p>
        </w:tc>
        <w:tc>
          <w:tcPr>
            <w:tcW w:w="2835" w:type="dxa"/>
            <w:tcBorders>
              <w:top w:val="nil"/>
              <w:left w:val="nil"/>
              <w:bottom w:val="nil"/>
              <w:right w:val="nil"/>
            </w:tcBorders>
            <w:shd w:val="clear" w:color="auto" w:fill="auto"/>
            <w:noWrap/>
            <w:hideMark/>
          </w:tcPr>
          <w:p w14:paraId="24484C27"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DNA ASO</w:t>
            </w:r>
          </w:p>
        </w:tc>
        <w:tc>
          <w:tcPr>
            <w:tcW w:w="2495" w:type="dxa"/>
            <w:tcBorders>
              <w:top w:val="nil"/>
              <w:left w:val="nil"/>
              <w:bottom w:val="nil"/>
              <w:right w:val="nil"/>
            </w:tcBorders>
            <w:shd w:val="clear" w:color="auto" w:fill="auto"/>
            <w:noWrap/>
            <w:hideMark/>
          </w:tcPr>
          <w:p w14:paraId="049E3762"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CpG methylation</w:t>
            </w:r>
          </w:p>
        </w:tc>
        <w:tc>
          <w:tcPr>
            <w:tcW w:w="4111" w:type="dxa"/>
            <w:tcBorders>
              <w:top w:val="nil"/>
              <w:left w:val="nil"/>
              <w:bottom w:val="nil"/>
              <w:right w:val="nil"/>
            </w:tcBorders>
            <w:shd w:val="clear" w:color="auto" w:fill="auto"/>
            <w:noWrap/>
            <w:hideMark/>
          </w:tcPr>
          <w:p w14:paraId="44BF5B74" w14:textId="77777777" w:rsidR="00124293" w:rsidRDefault="00124293" w:rsidP="005837A4">
            <w:pPr>
              <w:rPr>
                <w:rFonts w:ascii="Calibri" w:eastAsia="Times New Roman" w:hAnsi="Calibri"/>
                <w:color w:val="000000"/>
                <w:lang w:val="en-GB"/>
              </w:rPr>
            </w:pPr>
            <w:r w:rsidRPr="00D30568">
              <w:rPr>
                <w:rFonts w:ascii="Calibri" w:eastAsia="Times New Roman" w:hAnsi="Calibri"/>
                <w:color w:val="000000"/>
                <w:lang w:val="en-GB"/>
              </w:rPr>
              <w:t>Krieg et al. 1995; Rutz et al 2004</w:t>
            </w:r>
          </w:p>
          <w:p w14:paraId="7C245B76" w14:textId="77777777" w:rsidR="00124293" w:rsidRDefault="00124293" w:rsidP="005837A4">
            <w:pPr>
              <w:rPr>
                <w:rFonts w:ascii="Calibri" w:eastAsia="Times New Roman" w:hAnsi="Calibri"/>
                <w:color w:val="000000"/>
                <w:lang w:val="en-GB"/>
              </w:rPr>
            </w:pPr>
          </w:p>
          <w:p w14:paraId="19D5B468" w14:textId="77777777" w:rsidR="00124293" w:rsidRPr="00D30568" w:rsidRDefault="00124293" w:rsidP="005837A4">
            <w:pPr>
              <w:rPr>
                <w:rFonts w:ascii="Calibri" w:eastAsia="Times New Roman" w:hAnsi="Calibri"/>
                <w:color w:val="000000"/>
                <w:lang w:val="en-GB"/>
              </w:rPr>
            </w:pPr>
          </w:p>
        </w:tc>
      </w:tr>
      <w:tr w:rsidR="00124293" w:rsidRPr="00D30568" w14:paraId="0570B422" w14:textId="77777777" w:rsidTr="007A00CA">
        <w:trPr>
          <w:trHeight w:val="300"/>
        </w:trPr>
        <w:tc>
          <w:tcPr>
            <w:tcW w:w="1190" w:type="dxa"/>
            <w:tcBorders>
              <w:top w:val="nil"/>
              <w:left w:val="nil"/>
              <w:bottom w:val="nil"/>
              <w:right w:val="nil"/>
            </w:tcBorders>
            <w:shd w:val="clear" w:color="auto" w:fill="auto"/>
            <w:noWrap/>
            <w:hideMark/>
          </w:tcPr>
          <w:p w14:paraId="03F276DB"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RIG-I</w:t>
            </w:r>
          </w:p>
        </w:tc>
        <w:tc>
          <w:tcPr>
            <w:tcW w:w="1410" w:type="dxa"/>
            <w:tcBorders>
              <w:top w:val="nil"/>
              <w:left w:val="nil"/>
              <w:bottom w:val="nil"/>
              <w:right w:val="nil"/>
            </w:tcBorders>
            <w:shd w:val="clear" w:color="auto" w:fill="auto"/>
            <w:noWrap/>
            <w:hideMark/>
          </w:tcPr>
          <w:p w14:paraId="07C66B94"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Cytosolic</w:t>
            </w:r>
          </w:p>
        </w:tc>
        <w:tc>
          <w:tcPr>
            <w:tcW w:w="1993" w:type="dxa"/>
            <w:gridSpan w:val="2"/>
            <w:tcBorders>
              <w:top w:val="nil"/>
              <w:left w:val="nil"/>
              <w:bottom w:val="nil"/>
              <w:right w:val="nil"/>
            </w:tcBorders>
            <w:shd w:val="clear" w:color="auto" w:fill="auto"/>
            <w:noWrap/>
            <w:hideMark/>
          </w:tcPr>
          <w:p w14:paraId="6219D332"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blunt duplex ends; 5' triphosphate</w:t>
            </w:r>
          </w:p>
        </w:tc>
        <w:tc>
          <w:tcPr>
            <w:tcW w:w="2835" w:type="dxa"/>
            <w:tcBorders>
              <w:top w:val="nil"/>
              <w:left w:val="nil"/>
              <w:bottom w:val="nil"/>
              <w:right w:val="nil"/>
            </w:tcBorders>
            <w:shd w:val="clear" w:color="auto" w:fill="auto"/>
            <w:noWrap/>
            <w:hideMark/>
          </w:tcPr>
          <w:p w14:paraId="13C81B7B"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siRNA, dsRNA</w:t>
            </w:r>
          </w:p>
        </w:tc>
        <w:tc>
          <w:tcPr>
            <w:tcW w:w="2495" w:type="dxa"/>
            <w:tcBorders>
              <w:top w:val="nil"/>
              <w:left w:val="nil"/>
              <w:bottom w:val="nil"/>
              <w:right w:val="nil"/>
            </w:tcBorders>
            <w:shd w:val="clear" w:color="auto" w:fill="auto"/>
            <w:noWrap/>
            <w:hideMark/>
          </w:tcPr>
          <w:p w14:paraId="7ED2E9E3"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3' dinucleotide overhangs, no 5' triphosphates</w:t>
            </w:r>
          </w:p>
        </w:tc>
        <w:tc>
          <w:tcPr>
            <w:tcW w:w="4111" w:type="dxa"/>
            <w:tcBorders>
              <w:top w:val="nil"/>
              <w:left w:val="nil"/>
              <w:bottom w:val="nil"/>
              <w:right w:val="nil"/>
            </w:tcBorders>
            <w:shd w:val="clear" w:color="auto" w:fill="auto"/>
            <w:noWrap/>
            <w:hideMark/>
          </w:tcPr>
          <w:p w14:paraId="7C63B01C" w14:textId="77777777" w:rsidR="00124293" w:rsidRDefault="00124293" w:rsidP="005837A4">
            <w:pPr>
              <w:rPr>
                <w:rFonts w:ascii="Calibri" w:eastAsia="Times New Roman" w:hAnsi="Calibri"/>
                <w:color w:val="000000"/>
                <w:lang w:val="en-GB"/>
              </w:rPr>
            </w:pPr>
            <w:r w:rsidRPr="00D30568">
              <w:rPr>
                <w:rFonts w:ascii="Calibri" w:eastAsia="Times New Roman" w:hAnsi="Calibri"/>
                <w:color w:val="000000"/>
                <w:lang w:val="en-GB"/>
              </w:rPr>
              <w:t>Marques et al., 2006; Kato et al., 2008</w:t>
            </w:r>
          </w:p>
          <w:p w14:paraId="17680BC0" w14:textId="77777777" w:rsidR="00124293" w:rsidRDefault="00124293" w:rsidP="005837A4">
            <w:pPr>
              <w:rPr>
                <w:rFonts w:ascii="Calibri" w:eastAsia="Times New Roman" w:hAnsi="Calibri"/>
                <w:color w:val="000000"/>
                <w:lang w:val="en-GB"/>
              </w:rPr>
            </w:pPr>
          </w:p>
          <w:p w14:paraId="0D9775AE" w14:textId="77777777" w:rsidR="00124293" w:rsidRDefault="00124293" w:rsidP="005837A4">
            <w:pPr>
              <w:rPr>
                <w:rFonts w:ascii="Calibri" w:eastAsia="Times New Roman" w:hAnsi="Calibri"/>
                <w:color w:val="000000"/>
                <w:lang w:val="en-GB"/>
              </w:rPr>
            </w:pPr>
          </w:p>
          <w:p w14:paraId="068A5F25" w14:textId="77777777" w:rsidR="00124293" w:rsidRPr="00D30568" w:rsidRDefault="00124293" w:rsidP="005837A4">
            <w:pPr>
              <w:rPr>
                <w:rFonts w:ascii="Calibri" w:eastAsia="Times New Roman" w:hAnsi="Calibri"/>
                <w:color w:val="000000"/>
                <w:lang w:val="en-GB"/>
              </w:rPr>
            </w:pPr>
          </w:p>
        </w:tc>
      </w:tr>
      <w:tr w:rsidR="00124293" w:rsidRPr="00D30568" w14:paraId="18F1D2DA" w14:textId="77777777" w:rsidTr="007A00CA">
        <w:trPr>
          <w:trHeight w:val="300"/>
        </w:trPr>
        <w:tc>
          <w:tcPr>
            <w:tcW w:w="1190" w:type="dxa"/>
            <w:tcBorders>
              <w:top w:val="nil"/>
              <w:left w:val="nil"/>
              <w:bottom w:val="nil"/>
              <w:right w:val="nil"/>
            </w:tcBorders>
            <w:shd w:val="clear" w:color="auto" w:fill="auto"/>
            <w:noWrap/>
            <w:hideMark/>
          </w:tcPr>
          <w:p w14:paraId="4FBB3DD7"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MDA5</w:t>
            </w:r>
          </w:p>
        </w:tc>
        <w:tc>
          <w:tcPr>
            <w:tcW w:w="1410" w:type="dxa"/>
            <w:tcBorders>
              <w:top w:val="nil"/>
              <w:left w:val="nil"/>
              <w:bottom w:val="nil"/>
              <w:right w:val="nil"/>
            </w:tcBorders>
            <w:shd w:val="clear" w:color="auto" w:fill="auto"/>
            <w:noWrap/>
            <w:hideMark/>
          </w:tcPr>
          <w:p w14:paraId="5D403181"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Cytosolic</w:t>
            </w:r>
          </w:p>
        </w:tc>
        <w:tc>
          <w:tcPr>
            <w:tcW w:w="1993" w:type="dxa"/>
            <w:gridSpan w:val="2"/>
            <w:tcBorders>
              <w:top w:val="nil"/>
              <w:left w:val="nil"/>
              <w:bottom w:val="nil"/>
              <w:right w:val="nil"/>
            </w:tcBorders>
            <w:shd w:val="clear" w:color="auto" w:fill="auto"/>
            <w:noWrap/>
            <w:hideMark/>
          </w:tcPr>
          <w:p w14:paraId="02B7F7E3"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&gt; 30 nt</w:t>
            </w:r>
          </w:p>
        </w:tc>
        <w:tc>
          <w:tcPr>
            <w:tcW w:w="2835" w:type="dxa"/>
            <w:tcBorders>
              <w:top w:val="nil"/>
              <w:left w:val="nil"/>
              <w:bottom w:val="nil"/>
              <w:right w:val="nil"/>
            </w:tcBorders>
            <w:shd w:val="clear" w:color="auto" w:fill="auto"/>
            <w:noWrap/>
            <w:hideMark/>
          </w:tcPr>
          <w:p w14:paraId="66AD60A8"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dsRNA</w:t>
            </w:r>
          </w:p>
        </w:tc>
        <w:tc>
          <w:tcPr>
            <w:tcW w:w="2495" w:type="dxa"/>
            <w:tcBorders>
              <w:top w:val="nil"/>
              <w:left w:val="nil"/>
              <w:bottom w:val="nil"/>
              <w:right w:val="nil"/>
            </w:tcBorders>
            <w:shd w:val="clear" w:color="auto" w:fill="auto"/>
            <w:noWrap/>
            <w:hideMark/>
          </w:tcPr>
          <w:p w14:paraId="2461F8C8"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short sequences</w:t>
            </w:r>
          </w:p>
        </w:tc>
        <w:tc>
          <w:tcPr>
            <w:tcW w:w="4111" w:type="dxa"/>
            <w:tcBorders>
              <w:top w:val="nil"/>
              <w:left w:val="nil"/>
              <w:bottom w:val="nil"/>
              <w:right w:val="nil"/>
            </w:tcBorders>
            <w:shd w:val="clear" w:color="auto" w:fill="auto"/>
            <w:noWrap/>
            <w:hideMark/>
          </w:tcPr>
          <w:p w14:paraId="5D91E2C7" w14:textId="77777777" w:rsidR="00124293" w:rsidRDefault="00124293" w:rsidP="005837A4">
            <w:pPr>
              <w:rPr>
                <w:rFonts w:ascii="Calibri" w:eastAsia="Times New Roman" w:hAnsi="Calibri"/>
                <w:color w:val="000000"/>
                <w:lang w:val="en-GB"/>
              </w:rPr>
            </w:pPr>
            <w:r w:rsidRPr="00D30568">
              <w:rPr>
                <w:rFonts w:ascii="Calibri" w:eastAsia="Times New Roman" w:hAnsi="Calibri"/>
                <w:color w:val="000000"/>
                <w:lang w:val="en-GB"/>
              </w:rPr>
              <w:t>Kato et al., 2008</w:t>
            </w:r>
          </w:p>
          <w:p w14:paraId="40B5C921" w14:textId="77777777" w:rsidR="00124293" w:rsidRPr="00D30568" w:rsidRDefault="00124293" w:rsidP="005837A4">
            <w:pPr>
              <w:rPr>
                <w:rFonts w:ascii="Calibri" w:eastAsia="Times New Roman" w:hAnsi="Calibri"/>
                <w:color w:val="000000"/>
                <w:lang w:val="en-GB"/>
              </w:rPr>
            </w:pPr>
          </w:p>
        </w:tc>
      </w:tr>
      <w:tr w:rsidR="00124293" w:rsidRPr="00D30568" w14:paraId="7DD2365E" w14:textId="77777777" w:rsidTr="007A00CA">
        <w:trPr>
          <w:trHeight w:val="300"/>
        </w:trPr>
        <w:tc>
          <w:tcPr>
            <w:tcW w:w="1190" w:type="dxa"/>
            <w:tcBorders>
              <w:top w:val="nil"/>
              <w:left w:val="nil"/>
              <w:bottom w:val="nil"/>
              <w:right w:val="nil"/>
            </w:tcBorders>
            <w:shd w:val="clear" w:color="auto" w:fill="auto"/>
            <w:noWrap/>
            <w:hideMark/>
          </w:tcPr>
          <w:p w14:paraId="1032C333"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PKR</w:t>
            </w:r>
          </w:p>
        </w:tc>
        <w:tc>
          <w:tcPr>
            <w:tcW w:w="1410" w:type="dxa"/>
            <w:tcBorders>
              <w:top w:val="nil"/>
              <w:left w:val="nil"/>
              <w:bottom w:val="nil"/>
              <w:right w:val="nil"/>
            </w:tcBorders>
            <w:shd w:val="clear" w:color="auto" w:fill="auto"/>
            <w:noWrap/>
            <w:hideMark/>
          </w:tcPr>
          <w:p w14:paraId="06773261"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Cytosolic</w:t>
            </w:r>
          </w:p>
        </w:tc>
        <w:tc>
          <w:tcPr>
            <w:tcW w:w="1993" w:type="dxa"/>
            <w:gridSpan w:val="2"/>
            <w:tcBorders>
              <w:top w:val="nil"/>
              <w:left w:val="nil"/>
              <w:bottom w:val="nil"/>
              <w:right w:val="nil"/>
            </w:tcBorders>
            <w:shd w:val="clear" w:color="auto" w:fill="auto"/>
            <w:noWrap/>
            <w:hideMark/>
          </w:tcPr>
          <w:p w14:paraId="25D46538"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&gt; 30 nt</w:t>
            </w:r>
          </w:p>
        </w:tc>
        <w:tc>
          <w:tcPr>
            <w:tcW w:w="2835" w:type="dxa"/>
            <w:tcBorders>
              <w:top w:val="nil"/>
              <w:left w:val="nil"/>
              <w:bottom w:val="nil"/>
              <w:right w:val="nil"/>
            </w:tcBorders>
            <w:shd w:val="clear" w:color="auto" w:fill="auto"/>
            <w:noWrap/>
            <w:hideMark/>
          </w:tcPr>
          <w:p w14:paraId="603BCEBD"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dsRNA</w:t>
            </w:r>
          </w:p>
        </w:tc>
        <w:tc>
          <w:tcPr>
            <w:tcW w:w="2495" w:type="dxa"/>
            <w:tcBorders>
              <w:top w:val="nil"/>
              <w:left w:val="nil"/>
              <w:bottom w:val="nil"/>
              <w:right w:val="nil"/>
            </w:tcBorders>
            <w:shd w:val="clear" w:color="auto" w:fill="auto"/>
            <w:noWrap/>
            <w:hideMark/>
          </w:tcPr>
          <w:p w14:paraId="717707BE"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short sequences</w:t>
            </w:r>
          </w:p>
        </w:tc>
        <w:tc>
          <w:tcPr>
            <w:tcW w:w="4111" w:type="dxa"/>
            <w:tcBorders>
              <w:top w:val="nil"/>
              <w:left w:val="nil"/>
              <w:bottom w:val="nil"/>
              <w:right w:val="nil"/>
            </w:tcBorders>
            <w:shd w:val="clear" w:color="auto" w:fill="auto"/>
            <w:noWrap/>
            <w:hideMark/>
          </w:tcPr>
          <w:p w14:paraId="7E70F11E" w14:textId="77777777" w:rsidR="00124293" w:rsidRDefault="00124293" w:rsidP="005837A4">
            <w:pPr>
              <w:rPr>
                <w:rFonts w:ascii="Calibri" w:eastAsia="Times New Roman" w:hAnsi="Calibri"/>
                <w:color w:val="000000"/>
                <w:lang w:val="en-GB"/>
              </w:rPr>
            </w:pPr>
            <w:r w:rsidRPr="00D30568">
              <w:rPr>
                <w:rFonts w:ascii="Calibri" w:eastAsia="Times New Roman" w:hAnsi="Calibri"/>
                <w:color w:val="000000"/>
                <w:lang w:val="en-GB"/>
              </w:rPr>
              <w:t>Sledz et al., 2003</w:t>
            </w:r>
          </w:p>
          <w:p w14:paraId="4DDEF7B8" w14:textId="77777777" w:rsidR="00124293" w:rsidRPr="00D30568" w:rsidRDefault="00124293" w:rsidP="005837A4">
            <w:pPr>
              <w:rPr>
                <w:rFonts w:ascii="Calibri" w:eastAsia="Times New Roman" w:hAnsi="Calibri"/>
                <w:color w:val="000000"/>
                <w:lang w:val="en-GB"/>
              </w:rPr>
            </w:pPr>
          </w:p>
        </w:tc>
      </w:tr>
      <w:tr w:rsidR="00124293" w:rsidRPr="00D30568" w14:paraId="7AD1D22A" w14:textId="77777777" w:rsidTr="007A00CA">
        <w:trPr>
          <w:trHeight w:val="340"/>
        </w:trPr>
        <w:tc>
          <w:tcPr>
            <w:tcW w:w="1190" w:type="dxa"/>
            <w:tcBorders>
              <w:top w:val="nil"/>
              <w:left w:val="nil"/>
              <w:bottom w:val="nil"/>
              <w:right w:val="nil"/>
            </w:tcBorders>
            <w:shd w:val="clear" w:color="auto" w:fill="auto"/>
            <w:noWrap/>
            <w:hideMark/>
          </w:tcPr>
          <w:p w14:paraId="047C9CE7"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OAS1</w:t>
            </w:r>
          </w:p>
        </w:tc>
        <w:tc>
          <w:tcPr>
            <w:tcW w:w="1410" w:type="dxa"/>
            <w:tcBorders>
              <w:top w:val="nil"/>
              <w:left w:val="nil"/>
              <w:bottom w:val="nil"/>
              <w:right w:val="nil"/>
            </w:tcBorders>
            <w:shd w:val="clear" w:color="auto" w:fill="auto"/>
            <w:noWrap/>
            <w:hideMark/>
          </w:tcPr>
          <w:p w14:paraId="3B9BFAFF"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Cytosolic</w:t>
            </w:r>
          </w:p>
        </w:tc>
        <w:tc>
          <w:tcPr>
            <w:tcW w:w="1993" w:type="dxa"/>
            <w:gridSpan w:val="2"/>
            <w:tcBorders>
              <w:top w:val="nil"/>
              <w:left w:val="nil"/>
              <w:bottom w:val="nil"/>
              <w:right w:val="nil"/>
            </w:tcBorders>
            <w:shd w:val="clear" w:color="auto" w:fill="auto"/>
            <w:noWrap/>
            <w:hideMark/>
          </w:tcPr>
          <w:p w14:paraId="69F8E180"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NNWW(N</w:t>
            </w:r>
            <w:r w:rsidRPr="00D30568">
              <w:rPr>
                <w:rFonts w:ascii="Calibri" w:eastAsia="Times New Roman" w:hAnsi="Calibri"/>
                <w:color w:val="000000"/>
                <w:vertAlign w:val="subscript"/>
                <w:lang w:val="en-GB"/>
              </w:rPr>
              <w:t>9</w:t>
            </w:r>
            <w:r w:rsidRPr="00D30568">
              <w:rPr>
                <w:rFonts w:ascii="Calibri" w:eastAsia="Times New Roman" w:hAnsi="Calibri"/>
                <w:color w:val="000000"/>
                <w:lang w:val="en-GB"/>
              </w:rPr>
              <w:t xml:space="preserve">)WGN </w:t>
            </w:r>
          </w:p>
        </w:tc>
        <w:tc>
          <w:tcPr>
            <w:tcW w:w="2835" w:type="dxa"/>
            <w:tcBorders>
              <w:top w:val="nil"/>
              <w:left w:val="nil"/>
              <w:bottom w:val="nil"/>
              <w:right w:val="nil"/>
            </w:tcBorders>
            <w:shd w:val="clear" w:color="auto" w:fill="auto"/>
            <w:noWrap/>
            <w:hideMark/>
          </w:tcPr>
          <w:p w14:paraId="0BEFD5AD"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siRNA, miRNA, RNA ASO</w:t>
            </w:r>
          </w:p>
        </w:tc>
        <w:tc>
          <w:tcPr>
            <w:tcW w:w="2495" w:type="dxa"/>
            <w:tcBorders>
              <w:top w:val="nil"/>
              <w:left w:val="nil"/>
              <w:bottom w:val="nil"/>
              <w:right w:val="nil"/>
            </w:tcBorders>
            <w:shd w:val="clear" w:color="auto" w:fill="auto"/>
            <w:noWrap/>
            <w:hideMark/>
          </w:tcPr>
          <w:p w14:paraId="0AE51016"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Design</w:t>
            </w:r>
          </w:p>
        </w:tc>
        <w:tc>
          <w:tcPr>
            <w:tcW w:w="4111" w:type="dxa"/>
            <w:tcBorders>
              <w:top w:val="nil"/>
              <w:left w:val="nil"/>
              <w:bottom w:val="nil"/>
              <w:right w:val="nil"/>
            </w:tcBorders>
            <w:shd w:val="clear" w:color="auto" w:fill="auto"/>
            <w:noWrap/>
            <w:hideMark/>
          </w:tcPr>
          <w:p w14:paraId="10A6E55A" w14:textId="77777777" w:rsidR="00124293" w:rsidRDefault="00124293" w:rsidP="005837A4">
            <w:pPr>
              <w:rPr>
                <w:rFonts w:ascii="Calibri" w:eastAsia="Times New Roman" w:hAnsi="Calibri"/>
                <w:color w:val="000000"/>
                <w:lang w:val="en-GB"/>
              </w:rPr>
            </w:pPr>
            <w:r w:rsidRPr="00D30568">
              <w:rPr>
                <w:rFonts w:ascii="Calibri" w:eastAsia="Times New Roman" w:hAnsi="Calibri"/>
                <w:color w:val="000000"/>
                <w:lang w:val="en-GB"/>
              </w:rPr>
              <w:t>Kodym et al., 2009</w:t>
            </w:r>
          </w:p>
          <w:p w14:paraId="6DB95A80" w14:textId="77777777" w:rsidR="00124293" w:rsidRPr="00D30568" w:rsidRDefault="00124293" w:rsidP="005837A4">
            <w:pPr>
              <w:rPr>
                <w:rFonts w:ascii="Calibri" w:eastAsia="Times New Roman" w:hAnsi="Calibri"/>
                <w:color w:val="000000"/>
                <w:lang w:val="en-GB"/>
              </w:rPr>
            </w:pPr>
          </w:p>
        </w:tc>
      </w:tr>
      <w:tr w:rsidR="00124293" w:rsidRPr="00D30568" w14:paraId="41192027" w14:textId="77777777" w:rsidTr="007A00CA">
        <w:trPr>
          <w:trHeight w:val="300"/>
        </w:trPr>
        <w:tc>
          <w:tcPr>
            <w:tcW w:w="1190" w:type="dxa"/>
            <w:tcBorders>
              <w:top w:val="nil"/>
              <w:left w:val="nil"/>
              <w:bottom w:val="single" w:sz="4" w:space="0" w:color="auto"/>
              <w:right w:val="nil"/>
            </w:tcBorders>
            <w:shd w:val="clear" w:color="auto" w:fill="auto"/>
            <w:noWrap/>
            <w:hideMark/>
          </w:tcPr>
          <w:p w14:paraId="5E78843A"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DAI</w:t>
            </w:r>
          </w:p>
        </w:tc>
        <w:tc>
          <w:tcPr>
            <w:tcW w:w="1410" w:type="dxa"/>
            <w:tcBorders>
              <w:top w:val="nil"/>
              <w:left w:val="nil"/>
              <w:bottom w:val="single" w:sz="4" w:space="0" w:color="auto"/>
              <w:right w:val="nil"/>
            </w:tcBorders>
            <w:shd w:val="clear" w:color="auto" w:fill="auto"/>
            <w:noWrap/>
            <w:hideMark/>
          </w:tcPr>
          <w:p w14:paraId="50757F5C"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Cytosolic</w:t>
            </w:r>
          </w:p>
        </w:tc>
        <w:tc>
          <w:tcPr>
            <w:tcW w:w="1993" w:type="dxa"/>
            <w:gridSpan w:val="2"/>
            <w:tcBorders>
              <w:top w:val="nil"/>
              <w:left w:val="nil"/>
              <w:bottom w:val="single" w:sz="4" w:space="0" w:color="auto"/>
              <w:right w:val="nil"/>
            </w:tcBorders>
            <w:shd w:val="clear" w:color="auto" w:fill="auto"/>
            <w:noWrap/>
            <w:hideMark/>
          </w:tcPr>
          <w:p w14:paraId="46A3C18A"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&gt; 30 nt</w:t>
            </w:r>
          </w:p>
        </w:tc>
        <w:tc>
          <w:tcPr>
            <w:tcW w:w="2835" w:type="dxa"/>
            <w:tcBorders>
              <w:top w:val="nil"/>
              <w:left w:val="nil"/>
              <w:bottom w:val="single" w:sz="4" w:space="0" w:color="auto"/>
              <w:right w:val="nil"/>
            </w:tcBorders>
            <w:shd w:val="clear" w:color="auto" w:fill="auto"/>
            <w:noWrap/>
            <w:hideMark/>
          </w:tcPr>
          <w:p w14:paraId="1344B22A"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dsRNA</w:t>
            </w:r>
          </w:p>
        </w:tc>
        <w:tc>
          <w:tcPr>
            <w:tcW w:w="2495" w:type="dxa"/>
            <w:tcBorders>
              <w:top w:val="nil"/>
              <w:left w:val="nil"/>
              <w:bottom w:val="single" w:sz="4" w:space="0" w:color="auto"/>
              <w:right w:val="nil"/>
            </w:tcBorders>
            <w:shd w:val="clear" w:color="auto" w:fill="auto"/>
            <w:noWrap/>
            <w:hideMark/>
          </w:tcPr>
          <w:p w14:paraId="4D739F5E"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short sequences</w:t>
            </w:r>
          </w:p>
        </w:tc>
        <w:tc>
          <w:tcPr>
            <w:tcW w:w="4111" w:type="dxa"/>
            <w:tcBorders>
              <w:top w:val="nil"/>
              <w:left w:val="nil"/>
              <w:bottom w:val="single" w:sz="4" w:space="0" w:color="auto"/>
              <w:right w:val="nil"/>
            </w:tcBorders>
            <w:shd w:val="clear" w:color="auto" w:fill="auto"/>
            <w:noWrap/>
            <w:hideMark/>
          </w:tcPr>
          <w:p w14:paraId="67B5B622"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Manche et al., 1992</w:t>
            </w:r>
          </w:p>
        </w:tc>
      </w:tr>
    </w:tbl>
    <w:p w14:paraId="7BF33DEC" w14:textId="77777777" w:rsidR="00124293" w:rsidRDefault="00124293" w:rsidP="005837A4">
      <w:pPr>
        <w:jc w:val="both"/>
        <w:rPr>
          <w:rFonts w:ascii="Calibri" w:eastAsiaTheme="minorEastAsia" w:hAnsi="Calibri" w:cs="Calibri"/>
          <w:color w:val="000000"/>
        </w:rPr>
      </w:pPr>
    </w:p>
    <w:p w14:paraId="3D9B8B0F" w14:textId="77777777" w:rsidR="00124293" w:rsidRDefault="00124293" w:rsidP="005837A4">
      <w:pPr>
        <w:rPr>
          <w:rFonts w:ascii="Calibri" w:hAnsi="Calibri" w:cs="Arial"/>
          <w:b/>
        </w:rPr>
      </w:pPr>
    </w:p>
    <w:p w14:paraId="1A446413" w14:textId="77777777" w:rsidR="005837A4" w:rsidRDefault="005837A4">
      <w:pPr>
        <w:rPr>
          <w:rFonts w:ascii="Calibri" w:eastAsia="Times New Roman" w:hAnsi="Calibri"/>
          <w:b/>
          <w:bCs/>
          <w:color w:val="000000"/>
          <w:lang w:val="en-GB"/>
        </w:rPr>
      </w:pPr>
      <w:r>
        <w:rPr>
          <w:rFonts w:ascii="Calibri" w:eastAsia="Times New Roman" w:hAnsi="Calibri"/>
          <w:b/>
          <w:bCs/>
          <w:color w:val="000000"/>
          <w:lang w:val="en-GB"/>
        </w:rPr>
        <w:br w:type="page"/>
      </w:r>
    </w:p>
    <w:p w14:paraId="13328FE6" w14:textId="4155F929" w:rsidR="00124293" w:rsidRPr="00D30568" w:rsidRDefault="00124293" w:rsidP="005837A4">
      <w:pPr>
        <w:rPr>
          <w:rFonts w:ascii="Calibri" w:eastAsia="Times New Roman" w:hAnsi="Calibri"/>
          <w:color w:val="000000"/>
          <w:lang w:val="en-GB"/>
        </w:rPr>
      </w:pPr>
      <w:r w:rsidRPr="00D30568">
        <w:rPr>
          <w:rFonts w:ascii="Calibri" w:eastAsia="Times New Roman" w:hAnsi="Calibri"/>
          <w:b/>
          <w:bCs/>
          <w:color w:val="000000"/>
          <w:lang w:val="en-GB"/>
        </w:rPr>
        <w:lastRenderedPageBreak/>
        <w:t>Table 2:</w:t>
      </w:r>
      <w:r w:rsidRPr="00D30568">
        <w:rPr>
          <w:rFonts w:ascii="Calibri" w:eastAsia="Times New Roman" w:hAnsi="Calibri"/>
          <w:color w:val="000000"/>
          <w:lang w:val="en-GB"/>
        </w:rPr>
        <w:t xml:space="preserve"> Ty</w:t>
      </w:r>
      <w:r>
        <w:rPr>
          <w:rFonts w:ascii="Calibri" w:eastAsia="Times New Roman" w:hAnsi="Calibri"/>
          <w:color w:val="000000"/>
          <w:lang w:val="en-GB"/>
        </w:rPr>
        <w:t>pes of negative controls for oligonucleotide</w:t>
      </w:r>
      <w:r w:rsidRPr="00D30568">
        <w:rPr>
          <w:rFonts w:ascii="Calibri" w:eastAsia="Times New Roman" w:hAnsi="Calibri"/>
          <w:color w:val="000000"/>
          <w:lang w:val="en-GB"/>
        </w:rPr>
        <w:t xml:space="preserve"> therapeutics.</w:t>
      </w:r>
    </w:p>
    <w:p w14:paraId="15C72F0B" w14:textId="77777777" w:rsidR="00124293" w:rsidRDefault="00124293" w:rsidP="005837A4">
      <w:pPr>
        <w:rPr>
          <w:rFonts w:ascii="Calibri" w:hAnsi="Calibri" w:cs="Arial"/>
          <w:b/>
        </w:rPr>
      </w:pPr>
    </w:p>
    <w:tbl>
      <w:tblPr>
        <w:tblW w:w="12489" w:type="dxa"/>
        <w:tblInd w:w="93" w:type="dxa"/>
        <w:tblLayout w:type="fixed"/>
        <w:tblLook w:val="04A0" w:firstRow="1" w:lastRow="0" w:firstColumn="1" w:lastColumn="0" w:noHBand="0" w:noVBand="1"/>
      </w:tblPr>
      <w:tblGrid>
        <w:gridCol w:w="2425"/>
        <w:gridCol w:w="4253"/>
        <w:gridCol w:w="5811"/>
      </w:tblGrid>
      <w:tr w:rsidR="00124293" w:rsidRPr="00D30568" w14:paraId="6A9803FD" w14:textId="77777777" w:rsidTr="007A00CA">
        <w:trPr>
          <w:trHeight w:val="300"/>
        </w:trPr>
        <w:tc>
          <w:tcPr>
            <w:tcW w:w="2425" w:type="dxa"/>
            <w:tcBorders>
              <w:top w:val="single" w:sz="4" w:space="0" w:color="auto"/>
              <w:left w:val="nil"/>
              <w:bottom w:val="single" w:sz="4" w:space="0" w:color="auto"/>
              <w:right w:val="nil"/>
            </w:tcBorders>
            <w:shd w:val="clear" w:color="auto" w:fill="auto"/>
            <w:noWrap/>
            <w:vAlign w:val="bottom"/>
            <w:hideMark/>
          </w:tcPr>
          <w:p w14:paraId="15646D39"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Control type*</w:t>
            </w:r>
          </w:p>
        </w:tc>
        <w:tc>
          <w:tcPr>
            <w:tcW w:w="4253" w:type="dxa"/>
            <w:tcBorders>
              <w:top w:val="single" w:sz="4" w:space="0" w:color="auto"/>
              <w:left w:val="nil"/>
              <w:bottom w:val="single" w:sz="4" w:space="0" w:color="auto"/>
              <w:right w:val="nil"/>
            </w:tcBorders>
            <w:shd w:val="clear" w:color="auto" w:fill="auto"/>
            <w:noWrap/>
            <w:vAlign w:val="bottom"/>
            <w:hideMark/>
          </w:tcPr>
          <w:p w14:paraId="48BEEE56"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Examples</w:t>
            </w:r>
          </w:p>
        </w:tc>
        <w:tc>
          <w:tcPr>
            <w:tcW w:w="5811" w:type="dxa"/>
            <w:tcBorders>
              <w:top w:val="single" w:sz="4" w:space="0" w:color="auto"/>
              <w:left w:val="nil"/>
              <w:bottom w:val="single" w:sz="4" w:space="0" w:color="auto"/>
              <w:right w:val="nil"/>
            </w:tcBorders>
            <w:shd w:val="clear" w:color="auto" w:fill="auto"/>
            <w:noWrap/>
            <w:vAlign w:val="bottom"/>
            <w:hideMark/>
          </w:tcPr>
          <w:p w14:paraId="5FCA2FC8"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Key features</w:t>
            </w:r>
          </w:p>
        </w:tc>
      </w:tr>
      <w:tr w:rsidR="00124293" w:rsidRPr="00D30568" w14:paraId="24C32B91" w14:textId="77777777" w:rsidTr="00124293">
        <w:trPr>
          <w:trHeight w:val="300"/>
        </w:trPr>
        <w:tc>
          <w:tcPr>
            <w:tcW w:w="2425" w:type="dxa"/>
            <w:tcBorders>
              <w:top w:val="nil"/>
              <w:left w:val="nil"/>
              <w:bottom w:val="nil"/>
              <w:right w:val="nil"/>
            </w:tcBorders>
            <w:shd w:val="clear" w:color="auto" w:fill="auto"/>
            <w:noWrap/>
            <w:hideMark/>
          </w:tcPr>
          <w:p w14:paraId="64DDF62C"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Scrambled</w:t>
            </w:r>
          </w:p>
        </w:tc>
        <w:tc>
          <w:tcPr>
            <w:tcW w:w="4253" w:type="dxa"/>
            <w:tcBorders>
              <w:top w:val="nil"/>
              <w:left w:val="nil"/>
              <w:bottom w:val="nil"/>
              <w:right w:val="nil"/>
            </w:tcBorders>
            <w:shd w:val="clear" w:color="auto" w:fill="auto"/>
            <w:noWrap/>
            <w:hideMark/>
          </w:tcPr>
          <w:p w14:paraId="3239DA17" w14:textId="711BD345"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5’-C</w:t>
            </w:r>
            <w:r w:rsidRPr="00D30568">
              <w:rPr>
                <w:rFonts w:ascii="Calibri" w:eastAsia="Times New Roman" w:hAnsi="Calibri"/>
                <w:b/>
                <w:bCs/>
                <w:color w:val="000000"/>
                <w:lang w:val="en-GB"/>
              </w:rPr>
              <w:t>UG</w:t>
            </w:r>
            <w:r w:rsidRPr="00D30568">
              <w:rPr>
                <w:rFonts w:ascii="Calibri" w:eastAsia="Times New Roman" w:hAnsi="Calibri"/>
                <w:color w:val="000000"/>
                <w:lang w:val="en-GB"/>
              </w:rPr>
              <w:t xml:space="preserve">GUUAGUGGCACUUCGAUU-3’ to </w:t>
            </w:r>
          </w:p>
        </w:tc>
        <w:tc>
          <w:tcPr>
            <w:tcW w:w="5811" w:type="dxa"/>
            <w:tcBorders>
              <w:top w:val="nil"/>
              <w:left w:val="nil"/>
              <w:bottom w:val="nil"/>
              <w:right w:val="nil"/>
            </w:tcBorders>
            <w:shd w:val="clear" w:color="auto" w:fill="auto"/>
            <w:noWrap/>
            <w:hideMark/>
          </w:tcPr>
          <w:p w14:paraId="7070719B" w14:textId="77777777" w:rsidR="00124293" w:rsidRPr="002E6A35" w:rsidRDefault="00124293" w:rsidP="005837A4">
            <w:pPr>
              <w:pStyle w:val="ListParagraph"/>
              <w:numPr>
                <w:ilvl w:val="0"/>
                <w:numId w:val="43"/>
              </w:numPr>
              <w:rPr>
                <w:rFonts w:ascii="Calibri" w:eastAsia="Times New Roman" w:hAnsi="Calibri"/>
                <w:color w:val="000000"/>
                <w:lang w:val="en-GB"/>
              </w:rPr>
            </w:pPr>
            <w:r w:rsidRPr="002E6A35">
              <w:rPr>
                <w:rFonts w:ascii="Calibri" w:eastAsia="Times New Roman" w:hAnsi="Calibri"/>
                <w:color w:val="000000"/>
                <w:lang w:val="en-GB"/>
              </w:rPr>
              <w:t>impact increases with scrambling amount</w:t>
            </w:r>
          </w:p>
        </w:tc>
      </w:tr>
      <w:tr w:rsidR="00124293" w:rsidRPr="00D30568" w14:paraId="0DABF929" w14:textId="77777777" w:rsidTr="00124293">
        <w:trPr>
          <w:trHeight w:val="300"/>
        </w:trPr>
        <w:tc>
          <w:tcPr>
            <w:tcW w:w="2425" w:type="dxa"/>
            <w:tcBorders>
              <w:top w:val="nil"/>
              <w:left w:val="nil"/>
              <w:bottom w:val="nil"/>
              <w:right w:val="nil"/>
            </w:tcBorders>
            <w:shd w:val="clear" w:color="auto" w:fill="auto"/>
            <w:noWrap/>
            <w:hideMark/>
          </w:tcPr>
          <w:p w14:paraId="6E6B0EA6" w14:textId="77777777" w:rsidR="00124293" w:rsidRPr="00D30568" w:rsidRDefault="00124293" w:rsidP="005837A4">
            <w:pPr>
              <w:rPr>
                <w:rFonts w:ascii="Calibri" w:eastAsia="Times New Roman" w:hAnsi="Calibri"/>
                <w:color w:val="000000"/>
                <w:lang w:val="en-GB"/>
              </w:rPr>
            </w:pPr>
          </w:p>
        </w:tc>
        <w:tc>
          <w:tcPr>
            <w:tcW w:w="4253" w:type="dxa"/>
            <w:tcBorders>
              <w:top w:val="nil"/>
              <w:left w:val="nil"/>
              <w:bottom w:val="nil"/>
              <w:right w:val="nil"/>
            </w:tcBorders>
            <w:shd w:val="clear" w:color="auto" w:fill="auto"/>
            <w:noWrap/>
            <w:hideMark/>
          </w:tcPr>
          <w:p w14:paraId="1C1DE041" w14:textId="5384F786"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5’-C</w:t>
            </w:r>
            <w:r w:rsidRPr="00D30568">
              <w:rPr>
                <w:rFonts w:ascii="Calibri" w:eastAsia="Times New Roman" w:hAnsi="Calibri"/>
                <w:b/>
                <w:bCs/>
                <w:color w:val="000000"/>
                <w:lang w:val="en-GB"/>
              </w:rPr>
              <w:t>GU</w:t>
            </w:r>
            <w:r w:rsidRPr="00D30568">
              <w:rPr>
                <w:rFonts w:ascii="Calibri" w:eastAsia="Times New Roman" w:hAnsi="Calibri"/>
                <w:color w:val="000000"/>
                <w:lang w:val="en-GB"/>
              </w:rPr>
              <w:t>GUUAGUGGCACUUCGAUU-3’</w:t>
            </w:r>
          </w:p>
        </w:tc>
        <w:tc>
          <w:tcPr>
            <w:tcW w:w="5811" w:type="dxa"/>
            <w:tcBorders>
              <w:top w:val="nil"/>
              <w:left w:val="nil"/>
              <w:bottom w:val="nil"/>
              <w:right w:val="nil"/>
            </w:tcBorders>
            <w:shd w:val="clear" w:color="auto" w:fill="auto"/>
            <w:noWrap/>
            <w:hideMark/>
          </w:tcPr>
          <w:p w14:paraId="4130F175" w14:textId="77777777" w:rsidR="00124293" w:rsidRPr="002E6A35" w:rsidRDefault="00124293" w:rsidP="005837A4">
            <w:pPr>
              <w:pStyle w:val="ListParagraph"/>
              <w:numPr>
                <w:ilvl w:val="0"/>
                <w:numId w:val="43"/>
              </w:numPr>
              <w:rPr>
                <w:rFonts w:ascii="Calibri" w:eastAsia="Times New Roman" w:hAnsi="Calibri"/>
                <w:color w:val="000000"/>
                <w:lang w:val="en-GB"/>
              </w:rPr>
            </w:pPr>
            <w:r w:rsidRPr="002E6A35">
              <w:rPr>
                <w:rFonts w:ascii="Calibri" w:eastAsia="Times New Roman" w:hAnsi="Calibri"/>
                <w:color w:val="000000"/>
                <w:lang w:val="en-GB"/>
              </w:rPr>
              <w:t>may require &gt;1 controls</w:t>
            </w:r>
          </w:p>
        </w:tc>
      </w:tr>
      <w:tr w:rsidR="00124293" w:rsidRPr="00D30568" w14:paraId="324D52E2" w14:textId="77777777" w:rsidTr="00124293">
        <w:trPr>
          <w:trHeight w:val="300"/>
        </w:trPr>
        <w:tc>
          <w:tcPr>
            <w:tcW w:w="2425" w:type="dxa"/>
            <w:tcBorders>
              <w:top w:val="nil"/>
              <w:left w:val="nil"/>
              <w:bottom w:val="nil"/>
              <w:right w:val="nil"/>
            </w:tcBorders>
            <w:shd w:val="clear" w:color="auto" w:fill="auto"/>
            <w:noWrap/>
            <w:hideMark/>
          </w:tcPr>
          <w:p w14:paraId="198263B4" w14:textId="77777777" w:rsidR="00124293" w:rsidRPr="00D30568" w:rsidRDefault="00124293" w:rsidP="005837A4">
            <w:pPr>
              <w:rPr>
                <w:rFonts w:ascii="Calibri" w:eastAsia="Times New Roman" w:hAnsi="Calibri"/>
                <w:color w:val="000000"/>
                <w:lang w:val="en-GB"/>
              </w:rPr>
            </w:pPr>
          </w:p>
        </w:tc>
        <w:tc>
          <w:tcPr>
            <w:tcW w:w="4253" w:type="dxa"/>
            <w:tcBorders>
              <w:top w:val="nil"/>
              <w:left w:val="nil"/>
              <w:bottom w:val="nil"/>
              <w:right w:val="nil"/>
            </w:tcBorders>
            <w:shd w:val="clear" w:color="auto" w:fill="auto"/>
            <w:noWrap/>
            <w:hideMark/>
          </w:tcPr>
          <w:p w14:paraId="3A37A0A5" w14:textId="77777777" w:rsidR="00124293" w:rsidRPr="00D30568" w:rsidRDefault="00124293" w:rsidP="005837A4">
            <w:pPr>
              <w:rPr>
                <w:rFonts w:ascii="Calibri" w:eastAsia="Times New Roman" w:hAnsi="Calibri"/>
                <w:color w:val="000000"/>
                <w:lang w:val="en-GB"/>
              </w:rPr>
            </w:pPr>
          </w:p>
        </w:tc>
        <w:tc>
          <w:tcPr>
            <w:tcW w:w="5811" w:type="dxa"/>
            <w:tcBorders>
              <w:top w:val="nil"/>
              <w:left w:val="nil"/>
              <w:bottom w:val="nil"/>
              <w:right w:val="nil"/>
            </w:tcBorders>
            <w:shd w:val="clear" w:color="auto" w:fill="auto"/>
            <w:noWrap/>
            <w:hideMark/>
          </w:tcPr>
          <w:p w14:paraId="031AB2E3" w14:textId="77777777" w:rsidR="00124293" w:rsidRPr="002E6A35" w:rsidRDefault="00124293" w:rsidP="005837A4">
            <w:pPr>
              <w:pStyle w:val="ListParagraph"/>
              <w:numPr>
                <w:ilvl w:val="0"/>
                <w:numId w:val="43"/>
              </w:numPr>
              <w:rPr>
                <w:rFonts w:ascii="Calibri" w:eastAsia="Times New Roman" w:hAnsi="Calibri"/>
                <w:color w:val="000000"/>
                <w:lang w:val="en-GB"/>
              </w:rPr>
            </w:pPr>
            <w:r w:rsidRPr="002E6A35">
              <w:rPr>
                <w:rFonts w:ascii="Calibri" w:eastAsia="Times New Roman" w:hAnsi="Calibri"/>
                <w:color w:val="000000"/>
                <w:lang w:val="en-GB"/>
              </w:rPr>
              <w:t>avoid accidental host gene targeting</w:t>
            </w:r>
          </w:p>
        </w:tc>
      </w:tr>
      <w:tr w:rsidR="00124293" w:rsidRPr="00D30568" w14:paraId="21F4432D" w14:textId="77777777" w:rsidTr="00124293">
        <w:trPr>
          <w:trHeight w:val="300"/>
        </w:trPr>
        <w:tc>
          <w:tcPr>
            <w:tcW w:w="2425" w:type="dxa"/>
            <w:tcBorders>
              <w:top w:val="nil"/>
              <w:left w:val="nil"/>
              <w:bottom w:val="nil"/>
              <w:right w:val="nil"/>
            </w:tcBorders>
            <w:shd w:val="clear" w:color="auto" w:fill="auto"/>
            <w:noWrap/>
            <w:hideMark/>
          </w:tcPr>
          <w:p w14:paraId="5B716638" w14:textId="77777777" w:rsidR="00124293" w:rsidRPr="00D30568" w:rsidRDefault="00124293" w:rsidP="005837A4">
            <w:pPr>
              <w:rPr>
                <w:rFonts w:ascii="Calibri" w:eastAsia="Times New Roman" w:hAnsi="Calibri"/>
                <w:color w:val="000000"/>
                <w:lang w:val="en-GB"/>
              </w:rPr>
            </w:pPr>
          </w:p>
        </w:tc>
        <w:tc>
          <w:tcPr>
            <w:tcW w:w="4253" w:type="dxa"/>
            <w:tcBorders>
              <w:top w:val="nil"/>
              <w:left w:val="nil"/>
              <w:bottom w:val="nil"/>
              <w:right w:val="nil"/>
            </w:tcBorders>
            <w:shd w:val="clear" w:color="auto" w:fill="auto"/>
            <w:noWrap/>
            <w:hideMark/>
          </w:tcPr>
          <w:p w14:paraId="286B5314" w14:textId="77777777" w:rsidR="00124293" w:rsidRPr="00D30568" w:rsidRDefault="00124293" w:rsidP="005837A4">
            <w:pPr>
              <w:rPr>
                <w:rFonts w:ascii="Calibri" w:eastAsia="Times New Roman" w:hAnsi="Calibri"/>
                <w:color w:val="000000"/>
                <w:lang w:val="en-GB"/>
              </w:rPr>
            </w:pPr>
          </w:p>
        </w:tc>
        <w:tc>
          <w:tcPr>
            <w:tcW w:w="5811" w:type="dxa"/>
            <w:tcBorders>
              <w:top w:val="nil"/>
              <w:left w:val="nil"/>
              <w:bottom w:val="nil"/>
              <w:right w:val="nil"/>
            </w:tcBorders>
            <w:shd w:val="clear" w:color="auto" w:fill="auto"/>
            <w:noWrap/>
            <w:hideMark/>
          </w:tcPr>
          <w:p w14:paraId="385EECD9" w14:textId="7FABBAD5" w:rsidR="00124293" w:rsidRPr="002E6A35" w:rsidRDefault="00124293" w:rsidP="005837A4">
            <w:pPr>
              <w:pStyle w:val="ListParagraph"/>
              <w:numPr>
                <w:ilvl w:val="0"/>
                <w:numId w:val="43"/>
              </w:numPr>
              <w:rPr>
                <w:rFonts w:ascii="Calibri" w:eastAsia="Times New Roman" w:hAnsi="Calibri"/>
                <w:color w:val="000000"/>
                <w:lang w:val="en-GB"/>
              </w:rPr>
            </w:pPr>
            <w:r w:rsidRPr="002E6A35">
              <w:rPr>
                <w:rFonts w:ascii="Calibri" w:eastAsia="Times New Roman" w:hAnsi="Calibri"/>
                <w:color w:val="000000"/>
                <w:lang w:val="en-GB"/>
              </w:rPr>
              <w:t>scramble 10-11</w:t>
            </w:r>
            <w:r>
              <w:rPr>
                <w:rFonts w:ascii="Calibri" w:eastAsia="Times New Roman" w:hAnsi="Calibri"/>
                <w:color w:val="000000"/>
                <w:lang w:val="en-GB"/>
              </w:rPr>
              <w:t xml:space="preserve"> / central octamer</w:t>
            </w:r>
            <w:r w:rsidRPr="002E6A35">
              <w:rPr>
                <w:rFonts w:ascii="Calibri" w:eastAsia="Times New Roman" w:hAnsi="Calibri"/>
                <w:color w:val="000000"/>
                <w:lang w:val="en-GB"/>
              </w:rPr>
              <w:t xml:space="preserve"> to create slicer </w:t>
            </w:r>
            <w:r>
              <w:rPr>
                <w:rFonts w:ascii="Calibri" w:eastAsia="Times New Roman" w:hAnsi="Calibri"/>
                <w:color w:val="000000"/>
                <w:lang w:val="en-GB"/>
              </w:rPr>
              <w:t xml:space="preserve">/ RNase H </w:t>
            </w:r>
            <w:r w:rsidRPr="002E6A35">
              <w:rPr>
                <w:rFonts w:ascii="Calibri" w:eastAsia="Times New Roman" w:hAnsi="Calibri"/>
                <w:color w:val="000000"/>
                <w:lang w:val="en-GB"/>
              </w:rPr>
              <w:t>control</w:t>
            </w:r>
          </w:p>
          <w:p w14:paraId="2CB11EB8" w14:textId="77777777" w:rsidR="00124293" w:rsidRPr="00D30568" w:rsidRDefault="00124293" w:rsidP="005837A4">
            <w:pPr>
              <w:rPr>
                <w:rFonts w:ascii="Calibri" w:eastAsia="Times New Roman" w:hAnsi="Calibri"/>
                <w:color w:val="000000"/>
                <w:lang w:val="en-GB"/>
              </w:rPr>
            </w:pPr>
          </w:p>
        </w:tc>
      </w:tr>
      <w:tr w:rsidR="00124293" w:rsidRPr="00D30568" w14:paraId="5F62132F" w14:textId="77777777" w:rsidTr="007A00CA">
        <w:trPr>
          <w:trHeight w:val="300"/>
        </w:trPr>
        <w:tc>
          <w:tcPr>
            <w:tcW w:w="2425" w:type="dxa"/>
            <w:tcBorders>
              <w:top w:val="nil"/>
              <w:left w:val="nil"/>
              <w:bottom w:val="nil"/>
              <w:right w:val="nil"/>
            </w:tcBorders>
            <w:shd w:val="clear" w:color="auto" w:fill="auto"/>
            <w:noWrap/>
            <w:vAlign w:val="bottom"/>
            <w:hideMark/>
          </w:tcPr>
          <w:p w14:paraId="32C1D005"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Mismatch</w:t>
            </w:r>
          </w:p>
        </w:tc>
        <w:tc>
          <w:tcPr>
            <w:tcW w:w="4253" w:type="dxa"/>
            <w:tcBorders>
              <w:top w:val="nil"/>
              <w:left w:val="nil"/>
              <w:bottom w:val="nil"/>
              <w:right w:val="nil"/>
            </w:tcBorders>
            <w:shd w:val="clear" w:color="auto" w:fill="auto"/>
            <w:noWrap/>
            <w:vAlign w:val="bottom"/>
            <w:hideMark/>
          </w:tcPr>
          <w:p w14:paraId="50560BE9" w14:textId="72BD5296"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5’-A</w:t>
            </w:r>
            <w:r w:rsidRPr="00D30568">
              <w:rPr>
                <w:rFonts w:ascii="Calibri" w:eastAsia="Times New Roman" w:hAnsi="Calibri"/>
                <w:b/>
                <w:bCs/>
                <w:color w:val="000000"/>
                <w:lang w:val="en-GB"/>
              </w:rPr>
              <w:t>U</w:t>
            </w:r>
            <w:r w:rsidRPr="00D30568">
              <w:rPr>
                <w:rFonts w:ascii="Calibri" w:eastAsia="Times New Roman" w:hAnsi="Calibri"/>
                <w:color w:val="000000"/>
                <w:lang w:val="en-GB"/>
              </w:rPr>
              <w:t xml:space="preserve">GGUUAGUGGCACUUCGAUU-3’ to </w:t>
            </w:r>
          </w:p>
        </w:tc>
        <w:tc>
          <w:tcPr>
            <w:tcW w:w="5811" w:type="dxa"/>
            <w:tcBorders>
              <w:top w:val="nil"/>
              <w:left w:val="nil"/>
              <w:bottom w:val="nil"/>
              <w:right w:val="nil"/>
            </w:tcBorders>
            <w:shd w:val="clear" w:color="auto" w:fill="auto"/>
            <w:noWrap/>
            <w:vAlign w:val="bottom"/>
            <w:hideMark/>
          </w:tcPr>
          <w:p w14:paraId="1013B70C" w14:textId="52FFF250" w:rsidR="00124293" w:rsidRPr="002E6A35" w:rsidRDefault="00124293" w:rsidP="005837A4">
            <w:pPr>
              <w:pStyle w:val="ListParagraph"/>
              <w:numPr>
                <w:ilvl w:val="0"/>
                <w:numId w:val="42"/>
              </w:numPr>
              <w:rPr>
                <w:rFonts w:ascii="Calibri" w:eastAsia="Times New Roman" w:hAnsi="Calibri"/>
                <w:color w:val="000000"/>
                <w:lang w:val="en-GB"/>
              </w:rPr>
            </w:pPr>
            <w:r w:rsidRPr="002E6A35">
              <w:rPr>
                <w:rFonts w:ascii="Calibri" w:eastAsia="Times New Roman" w:hAnsi="Calibri"/>
                <w:color w:val="000000"/>
                <w:lang w:val="en-GB"/>
              </w:rPr>
              <w:t>seed region placement alters off targets</w:t>
            </w:r>
            <w:r>
              <w:rPr>
                <w:rFonts w:ascii="Calibri" w:eastAsia="Times New Roman" w:hAnsi="Calibri"/>
                <w:color w:val="000000"/>
                <w:lang w:val="en-GB"/>
              </w:rPr>
              <w:t>**</w:t>
            </w:r>
          </w:p>
        </w:tc>
      </w:tr>
      <w:tr w:rsidR="00124293" w:rsidRPr="00D30568" w14:paraId="2B2F9C55" w14:textId="77777777" w:rsidTr="007A00CA">
        <w:trPr>
          <w:trHeight w:val="300"/>
        </w:trPr>
        <w:tc>
          <w:tcPr>
            <w:tcW w:w="2425" w:type="dxa"/>
            <w:tcBorders>
              <w:top w:val="nil"/>
              <w:left w:val="nil"/>
              <w:bottom w:val="nil"/>
              <w:right w:val="nil"/>
            </w:tcBorders>
            <w:shd w:val="clear" w:color="auto" w:fill="auto"/>
            <w:noWrap/>
            <w:vAlign w:val="bottom"/>
            <w:hideMark/>
          </w:tcPr>
          <w:p w14:paraId="5086EB62" w14:textId="77777777" w:rsidR="00124293" w:rsidRPr="00D30568" w:rsidRDefault="00124293" w:rsidP="005837A4">
            <w:pPr>
              <w:rPr>
                <w:rFonts w:ascii="Calibri" w:eastAsia="Times New Roman" w:hAnsi="Calibri"/>
                <w:color w:val="000000"/>
                <w:lang w:val="en-GB"/>
              </w:rPr>
            </w:pPr>
          </w:p>
        </w:tc>
        <w:tc>
          <w:tcPr>
            <w:tcW w:w="4253" w:type="dxa"/>
            <w:tcBorders>
              <w:top w:val="nil"/>
              <w:left w:val="nil"/>
              <w:bottom w:val="nil"/>
              <w:right w:val="nil"/>
            </w:tcBorders>
            <w:shd w:val="clear" w:color="auto" w:fill="auto"/>
            <w:noWrap/>
            <w:vAlign w:val="bottom"/>
            <w:hideMark/>
          </w:tcPr>
          <w:p w14:paraId="6300EB5C" w14:textId="64164105"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5’-A</w:t>
            </w:r>
            <w:r w:rsidRPr="00D30568">
              <w:rPr>
                <w:rFonts w:ascii="Calibri" w:eastAsia="Times New Roman" w:hAnsi="Calibri"/>
                <w:b/>
                <w:bCs/>
                <w:color w:val="000000"/>
                <w:lang w:val="en-GB"/>
              </w:rPr>
              <w:t>C</w:t>
            </w:r>
            <w:r w:rsidRPr="00D30568">
              <w:rPr>
                <w:rFonts w:ascii="Calibri" w:eastAsia="Times New Roman" w:hAnsi="Calibri"/>
                <w:color w:val="000000"/>
                <w:lang w:val="en-GB"/>
              </w:rPr>
              <w:t>UGUUAGUGGCACUUCGAUU-3’</w:t>
            </w:r>
          </w:p>
        </w:tc>
        <w:tc>
          <w:tcPr>
            <w:tcW w:w="5811" w:type="dxa"/>
            <w:tcBorders>
              <w:top w:val="nil"/>
              <w:left w:val="nil"/>
              <w:bottom w:val="nil"/>
              <w:right w:val="nil"/>
            </w:tcBorders>
            <w:shd w:val="clear" w:color="auto" w:fill="auto"/>
            <w:noWrap/>
            <w:vAlign w:val="bottom"/>
            <w:hideMark/>
          </w:tcPr>
          <w:p w14:paraId="355223AE" w14:textId="3212DC97" w:rsidR="00124293" w:rsidRPr="002E6A35" w:rsidRDefault="00124293" w:rsidP="005837A4">
            <w:pPr>
              <w:pStyle w:val="ListParagraph"/>
              <w:numPr>
                <w:ilvl w:val="0"/>
                <w:numId w:val="42"/>
              </w:numPr>
              <w:rPr>
                <w:rFonts w:ascii="Calibri" w:eastAsia="Times New Roman" w:hAnsi="Calibri"/>
                <w:color w:val="000000"/>
                <w:lang w:val="en-GB"/>
              </w:rPr>
            </w:pPr>
            <w:r w:rsidRPr="002E6A35">
              <w:rPr>
                <w:rFonts w:ascii="Calibri" w:eastAsia="Times New Roman" w:hAnsi="Calibri"/>
                <w:color w:val="000000"/>
                <w:lang w:val="en-GB"/>
              </w:rPr>
              <w:t xml:space="preserve">slicer </w:t>
            </w:r>
            <w:r>
              <w:rPr>
                <w:rFonts w:ascii="Calibri" w:eastAsia="Times New Roman" w:hAnsi="Calibri"/>
                <w:color w:val="000000"/>
                <w:lang w:val="en-GB"/>
              </w:rPr>
              <w:t xml:space="preserve">/ RNase H </w:t>
            </w:r>
            <w:r w:rsidRPr="002E6A35">
              <w:rPr>
                <w:rFonts w:ascii="Calibri" w:eastAsia="Times New Roman" w:hAnsi="Calibri"/>
                <w:color w:val="000000"/>
                <w:lang w:val="en-GB"/>
              </w:rPr>
              <w:t>active site inhibition</w:t>
            </w:r>
          </w:p>
        </w:tc>
      </w:tr>
      <w:tr w:rsidR="00124293" w:rsidRPr="00D30568" w14:paraId="01A175AE" w14:textId="77777777" w:rsidTr="007A00CA">
        <w:trPr>
          <w:trHeight w:val="300"/>
        </w:trPr>
        <w:tc>
          <w:tcPr>
            <w:tcW w:w="2425" w:type="dxa"/>
            <w:tcBorders>
              <w:top w:val="nil"/>
              <w:left w:val="nil"/>
              <w:bottom w:val="nil"/>
              <w:right w:val="nil"/>
            </w:tcBorders>
            <w:shd w:val="clear" w:color="auto" w:fill="auto"/>
            <w:noWrap/>
            <w:vAlign w:val="bottom"/>
            <w:hideMark/>
          </w:tcPr>
          <w:p w14:paraId="5C8D45B7" w14:textId="77777777" w:rsidR="00124293" w:rsidRPr="00D30568" w:rsidRDefault="00124293" w:rsidP="005837A4">
            <w:pPr>
              <w:rPr>
                <w:rFonts w:ascii="Calibri" w:eastAsia="Times New Roman" w:hAnsi="Calibri"/>
                <w:color w:val="000000"/>
                <w:lang w:val="en-GB"/>
              </w:rPr>
            </w:pPr>
          </w:p>
        </w:tc>
        <w:tc>
          <w:tcPr>
            <w:tcW w:w="4253" w:type="dxa"/>
            <w:tcBorders>
              <w:top w:val="nil"/>
              <w:left w:val="nil"/>
              <w:bottom w:val="nil"/>
              <w:right w:val="nil"/>
            </w:tcBorders>
            <w:shd w:val="clear" w:color="auto" w:fill="auto"/>
            <w:noWrap/>
            <w:vAlign w:val="bottom"/>
            <w:hideMark/>
          </w:tcPr>
          <w:p w14:paraId="32B85958" w14:textId="77777777" w:rsidR="00124293" w:rsidRPr="00D30568" w:rsidRDefault="00124293" w:rsidP="005837A4">
            <w:pPr>
              <w:rPr>
                <w:rFonts w:ascii="Calibri" w:eastAsia="Times New Roman" w:hAnsi="Calibri"/>
                <w:color w:val="000000"/>
                <w:lang w:val="en-GB"/>
              </w:rPr>
            </w:pPr>
          </w:p>
        </w:tc>
        <w:tc>
          <w:tcPr>
            <w:tcW w:w="5811" w:type="dxa"/>
            <w:tcBorders>
              <w:top w:val="nil"/>
              <w:left w:val="nil"/>
              <w:bottom w:val="nil"/>
              <w:right w:val="nil"/>
            </w:tcBorders>
            <w:shd w:val="clear" w:color="auto" w:fill="auto"/>
            <w:noWrap/>
            <w:vAlign w:val="bottom"/>
            <w:hideMark/>
          </w:tcPr>
          <w:p w14:paraId="654852F8" w14:textId="77777777" w:rsidR="00124293" w:rsidRPr="002E6A35" w:rsidRDefault="00124293" w:rsidP="005837A4">
            <w:pPr>
              <w:pStyle w:val="ListParagraph"/>
              <w:numPr>
                <w:ilvl w:val="0"/>
                <w:numId w:val="42"/>
              </w:numPr>
              <w:rPr>
                <w:rFonts w:ascii="Calibri" w:eastAsia="Times New Roman" w:hAnsi="Calibri"/>
                <w:color w:val="000000"/>
                <w:lang w:val="en-GB"/>
              </w:rPr>
            </w:pPr>
            <w:r w:rsidRPr="002E6A35">
              <w:rPr>
                <w:rFonts w:ascii="Calibri" w:eastAsia="Times New Roman" w:hAnsi="Calibri"/>
                <w:color w:val="000000"/>
                <w:lang w:val="en-GB"/>
              </w:rPr>
              <w:t>&gt;1 controls also recommended</w:t>
            </w:r>
          </w:p>
          <w:p w14:paraId="22A3D14F" w14:textId="77777777" w:rsidR="00124293" w:rsidRPr="00D30568" w:rsidRDefault="00124293" w:rsidP="005837A4">
            <w:pPr>
              <w:rPr>
                <w:rFonts w:ascii="Calibri" w:eastAsia="Times New Roman" w:hAnsi="Calibri"/>
                <w:color w:val="000000"/>
                <w:lang w:val="en-GB"/>
              </w:rPr>
            </w:pPr>
          </w:p>
        </w:tc>
      </w:tr>
      <w:tr w:rsidR="00124293" w:rsidRPr="00D30568" w14:paraId="1D621E35" w14:textId="77777777" w:rsidTr="00124293">
        <w:trPr>
          <w:trHeight w:val="300"/>
        </w:trPr>
        <w:tc>
          <w:tcPr>
            <w:tcW w:w="2425" w:type="dxa"/>
            <w:tcBorders>
              <w:top w:val="nil"/>
              <w:left w:val="nil"/>
              <w:bottom w:val="nil"/>
              <w:right w:val="nil"/>
            </w:tcBorders>
            <w:shd w:val="clear" w:color="auto" w:fill="auto"/>
            <w:noWrap/>
            <w:hideMark/>
          </w:tcPr>
          <w:p w14:paraId="2A2C4D9C" w14:textId="77777777"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Reverse</w:t>
            </w:r>
          </w:p>
        </w:tc>
        <w:tc>
          <w:tcPr>
            <w:tcW w:w="4253" w:type="dxa"/>
            <w:tcBorders>
              <w:top w:val="nil"/>
              <w:left w:val="nil"/>
              <w:bottom w:val="nil"/>
              <w:right w:val="nil"/>
            </w:tcBorders>
            <w:shd w:val="clear" w:color="auto" w:fill="auto"/>
            <w:noWrap/>
            <w:hideMark/>
          </w:tcPr>
          <w:p w14:paraId="00AA1266" w14:textId="61EF1CEC"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 xml:space="preserve">5’-CUGGUUAGUGGCACUUCGAUU-3' to </w:t>
            </w:r>
          </w:p>
        </w:tc>
        <w:tc>
          <w:tcPr>
            <w:tcW w:w="5811" w:type="dxa"/>
            <w:tcBorders>
              <w:top w:val="nil"/>
              <w:left w:val="nil"/>
              <w:bottom w:val="nil"/>
              <w:right w:val="nil"/>
            </w:tcBorders>
            <w:shd w:val="clear" w:color="auto" w:fill="auto"/>
            <w:noWrap/>
            <w:hideMark/>
          </w:tcPr>
          <w:p w14:paraId="17907EEE" w14:textId="77777777" w:rsidR="00124293" w:rsidRPr="002E6A35" w:rsidRDefault="00124293" w:rsidP="005837A4">
            <w:pPr>
              <w:pStyle w:val="ListParagraph"/>
              <w:numPr>
                <w:ilvl w:val="0"/>
                <w:numId w:val="41"/>
              </w:numPr>
              <w:rPr>
                <w:rFonts w:ascii="Calibri" w:eastAsia="Times New Roman" w:hAnsi="Calibri"/>
                <w:color w:val="000000"/>
                <w:lang w:val="en-GB"/>
              </w:rPr>
            </w:pPr>
            <w:r w:rsidRPr="002E6A35">
              <w:rPr>
                <w:rFonts w:ascii="Calibri" w:eastAsia="Times New Roman" w:hAnsi="Calibri"/>
                <w:color w:val="000000"/>
                <w:lang w:val="en-GB"/>
              </w:rPr>
              <w:t>check for unintended host hits</w:t>
            </w:r>
          </w:p>
        </w:tc>
      </w:tr>
      <w:tr w:rsidR="00124293" w:rsidRPr="00D30568" w14:paraId="579D9EFD" w14:textId="77777777" w:rsidTr="00124293">
        <w:trPr>
          <w:trHeight w:val="300"/>
        </w:trPr>
        <w:tc>
          <w:tcPr>
            <w:tcW w:w="2425" w:type="dxa"/>
            <w:tcBorders>
              <w:top w:val="nil"/>
              <w:left w:val="nil"/>
              <w:bottom w:val="nil"/>
              <w:right w:val="nil"/>
            </w:tcBorders>
            <w:shd w:val="clear" w:color="auto" w:fill="auto"/>
            <w:noWrap/>
            <w:hideMark/>
          </w:tcPr>
          <w:p w14:paraId="582DA541" w14:textId="77777777" w:rsidR="00124293" w:rsidRPr="00D30568" w:rsidRDefault="00124293" w:rsidP="005837A4">
            <w:pPr>
              <w:rPr>
                <w:rFonts w:ascii="Calibri" w:eastAsia="Times New Roman" w:hAnsi="Calibri"/>
                <w:color w:val="000000"/>
                <w:lang w:val="en-GB"/>
              </w:rPr>
            </w:pPr>
          </w:p>
        </w:tc>
        <w:tc>
          <w:tcPr>
            <w:tcW w:w="4253" w:type="dxa"/>
            <w:tcBorders>
              <w:top w:val="nil"/>
              <w:left w:val="nil"/>
              <w:bottom w:val="nil"/>
              <w:right w:val="nil"/>
            </w:tcBorders>
            <w:shd w:val="clear" w:color="auto" w:fill="auto"/>
            <w:noWrap/>
            <w:hideMark/>
          </w:tcPr>
          <w:p w14:paraId="6A298BD2" w14:textId="2D35696B"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5'-UUAGCUUCACGGUGAUUGGUC-3'</w:t>
            </w:r>
          </w:p>
        </w:tc>
        <w:tc>
          <w:tcPr>
            <w:tcW w:w="5811" w:type="dxa"/>
            <w:tcBorders>
              <w:top w:val="nil"/>
              <w:left w:val="nil"/>
              <w:bottom w:val="nil"/>
              <w:right w:val="nil"/>
            </w:tcBorders>
            <w:shd w:val="clear" w:color="auto" w:fill="auto"/>
            <w:noWrap/>
            <w:hideMark/>
          </w:tcPr>
          <w:p w14:paraId="56E5F5FE" w14:textId="77777777" w:rsidR="00124293" w:rsidRPr="002E6A35" w:rsidRDefault="00124293" w:rsidP="005837A4">
            <w:pPr>
              <w:pStyle w:val="ListParagraph"/>
              <w:numPr>
                <w:ilvl w:val="0"/>
                <w:numId w:val="41"/>
              </w:numPr>
              <w:rPr>
                <w:rFonts w:ascii="Calibri" w:eastAsia="Times New Roman" w:hAnsi="Calibri"/>
                <w:color w:val="000000"/>
                <w:lang w:val="en-GB"/>
              </w:rPr>
            </w:pPr>
            <w:r w:rsidRPr="002E6A35">
              <w:rPr>
                <w:rFonts w:ascii="Calibri" w:eastAsia="Times New Roman" w:hAnsi="Calibri"/>
                <w:color w:val="000000"/>
                <w:lang w:val="en-GB"/>
              </w:rPr>
              <w:t>no complementarity to intended target</w:t>
            </w:r>
          </w:p>
          <w:p w14:paraId="4F1AF108" w14:textId="77777777" w:rsidR="00124293" w:rsidRPr="00D30568" w:rsidRDefault="00124293" w:rsidP="005837A4">
            <w:pPr>
              <w:rPr>
                <w:rFonts w:ascii="Calibri" w:eastAsia="Times New Roman" w:hAnsi="Calibri"/>
                <w:color w:val="000000"/>
                <w:lang w:val="en-GB"/>
              </w:rPr>
            </w:pPr>
          </w:p>
        </w:tc>
      </w:tr>
      <w:tr w:rsidR="00124293" w:rsidRPr="00D30568" w14:paraId="60359076" w14:textId="77777777" w:rsidTr="00124293">
        <w:trPr>
          <w:trHeight w:val="300"/>
        </w:trPr>
        <w:tc>
          <w:tcPr>
            <w:tcW w:w="2425" w:type="dxa"/>
            <w:tcBorders>
              <w:top w:val="nil"/>
              <w:left w:val="nil"/>
              <w:bottom w:val="nil"/>
              <w:right w:val="nil"/>
            </w:tcBorders>
            <w:shd w:val="clear" w:color="auto" w:fill="auto"/>
            <w:noWrap/>
            <w:hideMark/>
          </w:tcPr>
          <w:p w14:paraId="54E93D01" w14:textId="01643959"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 xml:space="preserve">Validated </w:t>
            </w:r>
          </w:p>
        </w:tc>
        <w:tc>
          <w:tcPr>
            <w:tcW w:w="4253" w:type="dxa"/>
            <w:tcBorders>
              <w:top w:val="nil"/>
              <w:left w:val="nil"/>
              <w:bottom w:val="nil"/>
              <w:right w:val="nil"/>
            </w:tcBorders>
            <w:shd w:val="clear" w:color="auto" w:fill="auto"/>
            <w:noWrap/>
            <w:hideMark/>
          </w:tcPr>
          <w:p w14:paraId="12D63B30" w14:textId="656C755C"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 xml:space="preserve">Green fluorescent protein, luciferase, </w:t>
            </w:r>
          </w:p>
        </w:tc>
        <w:tc>
          <w:tcPr>
            <w:tcW w:w="5811" w:type="dxa"/>
            <w:tcBorders>
              <w:top w:val="nil"/>
              <w:left w:val="nil"/>
              <w:bottom w:val="nil"/>
              <w:right w:val="nil"/>
            </w:tcBorders>
            <w:shd w:val="clear" w:color="auto" w:fill="auto"/>
            <w:noWrap/>
            <w:hideMark/>
          </w:tcPr>
          <w:p w14:paraId="3FA96286" w14:textId="77777777" w:rsidR="00124293" w:rsidRPr="002E6A35" w:rsidRDefault="00124293" w:rsidP="005837A4">
            <w:pPr>
              <w:pStyle w:val="ListParagraph"/>
              <w:numPr>
                <w:ilvl w:val="0"/>
                <w:numId w:val="40"/>
              </w:numPr>
              <w:rPr>
                <w:rFonts w:ascii="Calibri" w:eastAsia="Times New Roman" w:hAnsi="Calibri"/>
                <w:color w:val="000000"/>
                <w:lang w:val="en-GB"/>
              </w:rPr>
            </w:pPr>
            <w:r w:rsidRPr="002E6A35">
              <w:rPr>
                <w:rFonts w:ascii="Calibri" w:eastAsia="Times New Roman" w:hAnsi="Calibri"/>
                <w:color w:val="000000"/>
                <w:lang w:val="en-GB"/>
              </w:rPr>
              <w:t>target not normally found in host transcriptome</w:t>
            </w:r>
          </w:p>
        </w:tc>
      </w:tr>
      <w:tr w:rsidR="00124293" w:rsidRPr="00D30568" w14:paraId="3FAF8A64" w14:textId="77777777" w:rsidTr="00124293">
        <w:trPr>
          <w:trHeight w:val="300"/>
        </w:trPr>
        <w:tc>
          <w:tcPr>
            <w:tcW w:w="2425" w:type="dxa"/>
            <w:tcBorders>
              <w:top w:val="nil"/>
              <w:left w:val="nil"/>
              <w:bottom w:val="nil"/>
              <w:right w:val="nil"/>
            </w:tcBorders>
            <w:shd w:val="clear" w:color="auto" w:fill="auto"/>
            <w:noWrap/>
            <w:hideMark/>
          </w:tcPr>
          <w:p w14:paraId="01F3DA49" w14:textId="3BBAB386" w:rsidR="00124293" w:rsidRPr="00D30568" w:rsidRDefault="00124293" w:rsidP="005837A4">
            <w:pPr>
              <w:rPr>
                <w:rFonts w:ascii="Calibri" w:eastAsia="Times New Roman" w:hAnsi="Calibri"/>
                <w:color w:val="000000"/>
                <w:lang w:val="en-GB"/>
              </w:rPr>
            </w:pPr>
            <w:r>
              <w:rPr>
                <w:rFonts w:ascii="Calibri" w:eastAsia="Times New Roman" w:hAnsi="Calibri"/>
                <w:b/>
                <w:bCs/>
                <w:color w:val="000000"/>
                <w:lang w:val="en-GB"/>
              </w:rPr>
              <w:t>bioactive oligo</w:t>
            </w:r>
          </w:p>
        </w:tc>
        <w:tc>
          <w:tcPr>
            <w:tcW w:w="4253" w:type="dxa"/>
            <w:tcBorders>
              <w:top w:val="nil"/>
              <w:left w:val="nil"/>
              <w:bottom w:val="nil"/>
              <w:right w:val="nil"/>
            </w:tcBorders>
            <w:shd w:val="clear" w:color="auto" w:fill="auto"/>
            <w:noWrap/>
            <w:hideMark/>
          </w:tcPr>
          <w:p w14:paraId="0309C6B7" w14:textId="0CDF3D5E" w:rsidR="00124293" w:rsidRPr="00D30568" w:rsidRDefault="00124293" w:rsidP="005837A4">
            <w:pPr>
              <w:rPr>
                <w:rFonts w:ascii="Calibri" w:eastAsia="Times New Roman" w:hAnsi="Calibri"/>
                <w:color w:val="000000"/>
                <w:lang w:val="en-GB"/>
              </w:rPr>
            </w:pPr>
            <w:r w:rsidRPr="00D30568">
              <w:rPr>
                <w:rFonts w:ascii="Calibri" w:eastAsia="Times New Roman" w:hAnsi="Calibri"/>
                <w:i/>
                <w:iCs/>
                <w:color w:val="000000"/>
                <w:lang w:val="en-GB"/>
              </w:rPr>
              <w:t>Arabidopsis thaliana, C. elegans</w:t>
            </w:r>
          </w:p>
        </w:tc>
        <w:tc>
          <w:tcPr>
            <w:tcW w:w="5811" w:type="dxa"/>
            <w:tcBorders>
              <w:top w:val="nil"/>
              <w:left w:val="nil"/>
              <w:bottom w:val="nil"/>
              <w:right w:val="nil"/>
            </w:tcBorders>
            <w:shd w:val="clear" w:color="auto" w:fill="auto"/>
            <w:noWrap/>
            <w:hideMark/>
          </w:tcPr>
          <w:p w14:paraId="291903B2" w14:textId="77777777" w:rsidR="00124293" w:rsidRPr="002E6A35" w:rsidRDefault="00124293" w:rsidP="005837A4">
            <w:pPr>
              <w:pStyle w:val="ListParagraph"/>
              <w:numPr>
                <w:ilvl w:val="0"/>
                <w:numId w:val="40"/>
              </w:numPr>
              <w:rPr>
                <w:rFonts w:ascii="Calibri" w:eastAsia="Times New Roman" w:hAnsi="Calibri"/>
                <w:color w:val="000000"/>
                <w:lang w:val="en-GB"/>
              </w:rPr>
            </w:pPr>
            <w:r w:rsidRPr="002E6A35">
              <w:rPr>
                <w:rFonts w:ascii="Calibri" w:eastAsia="Times New Roman" w:hAnsi="Calibri"/>
                <w:color w:val="000000"/>
                <w:lang w:val="en-GB"/>
              </w:rPr>
              <w:t>confirm lack of complementarity</w:t>
            </w:r>
          </w:p>
        </w:tc>
      </w:tr>
      <w:tr w:rsidR="00124293" w:rsidRPr="00D30568" w14:paraId="15A84FBA" w14:textId="77777777" w:rsidTr="00124293">
        <w:trPr>
          <w:trHeight w:val="300"/>
        </w:trPr>
        <w:tc>
          <w:tcPr>
            <w:tcW w:w="2425" w:type="dxa"/>
            <w:tcBorders>
              <w:top w:val="nil"/>
              <w:left w:val="nil"/>
              <w:bottom w:val="nil"/>
              <w:right w:val="nil"/>
            </w:tcBorders>
            <w:shd w:val="clear" w:color="auto" w:fill="auto"/>
            <w:noWrap/>
            <w:hideMark/>
          </w:tcPr>
          <w:p w14:paraId="4C5D0282" w14:textId="77777777" w:rsidR="00124293" w:rsidRPr="00D30568" w:rsidRDefault="00124293" w:rsidP="005837A4">
            <w:pPr>
              <w:rPr>
                <w:rFonts w:ascii="Calibri" w:eastAsia="Times New Roman" w:hAnsi="Calibri"/>
                <w:color w:val="000000"/>
                <w:lang w:val="en-GB"/>
              </w:rPr>
            </w:pPr>
          </w:p>
        </w:tc>
        <w:tc>
          <w:tcPr>
            <w:tcW w:w="4253" w:type="dxa"/>
            <w:tcBorders>
              <w:top w:val="nil"/>
              <w:left w:val="nil"/>
              <w:bottom w:val="nil"/>
              <w:right w:val="nil"/>
            </w:tcBorders>
            <w:shd w:val="clear" w:color="auto" w:fill="auto"/>
            <w:noWrap/>
            <w:hideMark/>
          </w:tcPr>
          <w:p w14:paraId="27360973" w14:textId="77777777" w:rsidR="00124293" w:rsidRPr="00D30568" w:rsidRDefault="00124293" w:rsidP="005837A4">
            <w:pPr>
              <w:rPr>
                <w:rFonts w:ascii="Calibri" w:eastAsia="Times New Roman" w:hAnsi="Calibri"/>
                <w:color w:val="000000"/>
                <w:lang w:val="en-GB"/>
              </w:rPr>
            </w:pPr>
          </w:p>
        </w:tc>
        <w:tc>
          <w:tcPr>
            <w:tcW w:w="5811" w:type="dxa"/>
            <w:tcBorders>
              <w:top w:val="nil"/>
              <w:left w:val="nil"/>
              <w:bottom w:val="nil"/>
              <w:right w:val="nil"/>
            </w:tcBorders>
            <w:shd w:val="clear" w:color="auto" w:fill="auto"/>
            <w:noWrap/>
            <w:hideMark/>
          </w:tcPr>
          <w:p w14:paraId="5F153A8C" w14:textId="77777777" w:rsidR="00124293" w:rsidRPr="002E6A35" w:rsidRDefault="00124293" w:rsidP="005837A4">
            <w:pPr>
              <w:pStyle w:val="ListParagraph"/>
              <w:numPr>
                <w:ilvl w:val="0"/>
                <w:numId w:val="40"/>
              </w:numPr>
              <w:rPr>
                <w:rFonts w:ascii="Calibri" w:eastAsia="Times New Roman" w:hAnsi="Calibri"/>
                <w:color w:val="000000"/>
                <w:lang w:val="en-GB"/>
              </w:rPr>
            </w:pPr>
            <w:r w:rsidRPr="002E6A35">
              <w:rPr>
                <w:rFonts w:ascii="Calibri" w:eastAsia="Times New Roman" w:hAnsi="Calibri"/>
                <w:color w:val="000000"/>
                <w:lang w:val="en-GB"/>
              </w:rPr>
              <w:t>confirm no seed sequence in pathway of interest</w:t>
            </w:r>
          </w:p>
          <w:p w14:paraId="4C73E86C" w14:textId="77777777" w:rsidR="00124293" w:rsidRPr="002E6A35" w:rsidRDefault="00124293" w:rsidP="005837A4">
            <w:pPr>
              <w:pStyle w:val="ListParagraph"/>
              <w:ind w:left="420"/>
              <w:rPr>
                <w:rFonts w:ascii="Calibri" w:eastAsia="Times New Roman" w:hAnsi="Calibri"/>
                <w:color w:val="000000"/>
                <w:lang w:val="en-GB"/>
              </w:rPr>
            </w:pPr>
          </w:p>
        </w:tc>
      </w:tr>
      <w:tr w:rsidR="00124293" w:rsidRPr="00D30568" w14:paraId="03F0DF71" w14:textId="77777777" w:rsidTr="007A00CA">
        <w:trPr>
          <w:trHeight w:val="300"/>
        </w:trPr>
        <w:tc>
          <w:tcPr>
            <w:tcW w:w="2425" w:type="dxa"/>
            <w:tcBorders>
              <w:top w:val="nil"/>
              <w:left w:val="nil"/>
              <w:bottom w:val="nil"/>
              <w:right w:val="nil"/>
            </w:tcBorders>
            <w:shd w:val="clear" w:color="auto" w:fill="auto"/>
            <w:noWrap/>
            <w:vAlign w:val="bottom"/>
            <w:hideMark/>
          </w:tcPr>
          <w:p w14:paraId="750759E6" w14:textId="3E30D27B" w:rsidR="00124293" w:rsidRPr="00D30568" w:rsidRDefault="00124293" w:rsidP="005837A4">
            <w:pPr>
              <w:rPr>
                <w:rFonts w:ascii="Calibri" w:eastAsia="Times New Roman" w:hAnsi="Calibri"/>
                <w:b/>
                <w:bCs/>
                <w:color w:val="000000"/>
                <w:lang w:val="en-GB"/>
              </w:rPr>
            </w:pPr>
            <w:r w:rsidRPr="00D30568">
              <w:rPr>
                <w:rFonts w:ascii="Calibri" w:eastAsia="Times New Roman" w:hAnsi="Calibri"/>
                <w:b/>
                <w:bCs/>
                <w:color w:val="000000"/>
                <w:lang w:val="en-GB"/>
              </w:rPr>
              <w:t xml:space="preserve">Commercial negative </w:t>
            </w:r>
          </w:p>
        </w:tc>
        <w:tc>
          <w:tcPr>
            <w:tcW w:w="4253" w:type="dxa"/>
            <w:tcBorders>
              <w:top w:val="nil"/>
              <w:left w:val="nil"/>
              <w:bottom w:val="nil"/>
              <w:right w:val="nil"/>
            </w:tcBorders>
            <w:shd w:val="clear" w:color="auto" w:fill="auto"/>
            <w:noWrap/>
            <w:vAlign w:val="bottom"/>
            <w:hideMark/>
          </w:tcPr>
          <w:p w14:paraId="3610C9C3" w14:textId="1150D15D"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 xml:space="preserve">Research supplier 'universal' negative </w:t>
            </w:r>
          </w:p>
        </w:tc>
        <w:tc>
          <w:tcPr>
            <w:tcW w:w="5811" w:type="dxa"/>
            <w:tcBorders>
              <w:top w:val="nil"/>
              <w:left w:val="nil"/>
              <w:bottom w:val="nil"/>
              <w:right w:val="nil"/>
            </w:tcBorders>
            <w:shd w:val="clear" w:color="auto" w:fill="auto"/>
            <w:noWrap/>
            <w:vAlign w:val="bottom"/>
            <w:hideMark/>
          </w:tcPr>
          <w:p w14:paraId="3D190566" w14:textId="77777777" w:rsidR="00124293" w:rsidRPr="002E6A35" w:rsidRDefault="00124293" w:rsidP="005837A4">
            <w:pPr>
              <w:pStyle w:val="ListParagraph"/>
              <w:numPr>
                <w:ilvl w:val="0"/>
                <w:numId w:val="40"/>
              </w:numPr>
              <w:rPr>
                <w:rFonts w:ascii="Calibri" w:eastAsia="Times New Roman" w:hAnsi="Calibri"/>
                <w:color w:val="000000"/>
                <w:lang w:val="en-GB"/>
              </w:rPr>
            </w:pPr>
            <w:r w:rsidRPr="002E6A35">
              <w:rPr>
                <w:rFonts w:ascii="Calibri" w:eastAsia="Times New Roman" w:hAnsi="Calibri"/>
                <w:color w:val="000000"/>
                <w:lang w:val="en-GB"/>
              </w:rPr>
              <w:t>limited 'negative' validation</w:t>
            </w:r>
          </w:p>
        </w:tc>
      </w:tr>
      <w:tr w:rsidR="00124293" w:rsidRPr="00D30568" w14:paraId="1FC6E3EC" w14:textId="77777777" w:rsidTr="007A00CA">
        <w:trPr>
          <w:trHeight w:val="300"/>
        </w:trPr>
        <w:tc>
          <w:tcPr>
            <w:tcW w:w="2425" w:type="dxa"/>
            <w:tcBorders>
              <w:top w:val="nil"/>
              <w:left w:val="nil"/>
              <w:bottom w:val="nil"/>
              <w:right w:val="nil"/>
            </w:tcBorders>
            <w:shd w:val="clear" w:color="auto" w:fill="auto"/>
            <w:noWrap/>
            <w:vAlign w:val="bottom"/>
            <w:hideMark/>
          </w:tcPr>
          <w:p w14:paraId="4AB8AD2B" w14:textId="72078435" w:rsidR="00124293" w:rsidRPr="00D30568" w:rsidRDefault="00124293" w:rsidP="005837A4">
            <w:pPr>
              <w:rPr>
                <w:rFonts w:ascii="Calibri" w:eastAsia="Times New Roman" w:hAnsi="Calibri"/>
                <w:color w:val="000000"/>
                <w:lang w:val="en-GB"/>
              </w:rPr>
            </w:pPr>
            <w:r w:rsidRPr="00D30568">
              <w:rPr>
                <w:rFonts w:ascii="Calibri" w:eastAsia="Times New Roman" w:hAnsi="Calibri"/>
                <w:b/>
                <w:bCs/>
                <w:color w:val="000000"/>
                <w:lang w:val="en-GB"/>
              </w:rPr>
              <w:t>control</w:t>
            </w:r>
          </w:p>
        </w:tc>
        <w:tc>
          <w:tcPr>
            <w:tcW w:w="4253" w:type="dxa"/>
            <w:tcBorders>
              <w:top w:val="nil"/>
              <w:left w:val="nil"/>
              <w:bottom w:val="nil"/>
              <w:right w:val="nil"/>
            </w:tcBorders>
            <w:shd w:val="clear" w:color="auto" w:fill="auto"/>
            <w:noWrap/>
            <w:vAlign w:val="bottom"/>
            <w:hideMark/>
          </w:tcPr>
          <w:p w14:paraId="29D83086" w14:textId="647C9282"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controls</w:t>
            </w:r>
          </w:p>
        </w:tc>
        <w:tc>
          <w:tcPr>
            <w:tcW w:w="5811" w:type="dxa"/>
            <w:tcBorders>
              <w:top w:val="nil"/>
              <w:left w:val="nil"/>
              <w:bottom w:val="nil"/>
              <w:right w:val="nil"/>
            </w:tcBorders>
            <w:shd w:val="clear" w:color="auto" w:fill="auto"/>
            <w:noWrap/>
            <w:vAlign w:val="bottom"/>
            <w:hideMark/>
          </w:tcPr>
          <w:p w14:paraId="65CA5FB7" w14:textId="77777777" w:rsidR="00124293" w:rsidRPr="002E6A35" w:rsidRDefault="00124293" w:rsidP="005837A4">
            <w:pPr>
              <w:pStyle w:val="ListParagraph"/>
              <w:numPr>
                <w:ilvl w:val="0"/>
                <w:numId w:val="40"/>
              </w:numPr>
              <w:rPr>
                <w:rFonts w:ascii="Calibri" w:eastAsia="Times New Roman" w:hAnsi="Calibri"/>
                <w:color w:val="000000"/>
                <w:lang w:val="en-GB"/>
              </w:rPr>
            </w:pPr>
            <w:r w:rsidRPr="002E6A35">
              <w:rPr>
                <w:rFonts w:ascii="Calibri" w:eastAsia="Times New Roman" w:hAnsi="Calibri"/>
                <w:color w:val="000000"/>
                <w:lang w:val="en-GB"/>
              </w:rPr>
              <w:t>unknown modifications</w:t>
            </w:r>
          </w:p>
        </w:tc>
      </w:tr>
      <w:tr w:rsidR="00124293" w:rsidRPr="00D30568" w14:paraId="40E950A3" w14:textId="77777777" w:rsidTr="007A00CA">
        <w:trPr>
          <w:trHeight w:val="300"/>
        </w:trPr>
        <w:tc>
          <w:tcPr>
            <w:tcW w:w="2425" w:type="dxa"/>
            <w:tcBorders>
              <w:top w:val="nil"/>
              <w:left w:val="nil"/>
              <w:bottom w:val="single" w:sz="4" w:space="0" w:color="auto"/>
              <w:right w:val="nil"/>
            </w:tcBorders>
            <w:shd w:val="clear" w:color="auto" w:fill="auto"/>
            <w:noWrap/>
            <w:vAlign w:val="bottom"/>
            <w:hideMark/>
          </w:tcPr>
          <w:p w14:paraId="2C22928D"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 </w:t>
            </w:r>
          </w:p>
        </w:tc>
        <w:tc>
          <w:tcPr>
            <w:tcW w:w="4253" w:type="dxa"/>
            <w:tcBorders>
              <w:top w:val="nil"/>
              <w:left w:val="nil"/>
              <w:bottom w:val="single" w:sz="4" w:space="0" w:color="auto"/>
              <w:right w:val="nil"/>
            </w:tcBorders>
            <w:shd w:val="clear" w:color="auto" w:fill="auto"/>
            <w:noWrap/>
            <w:vAlign w:val="bottom"/>
            <w:hideMark/>
          </w:tcPr>
          <w:p w14:paraId="455CFF71" w14:textId="77777777" w:rsidR="00124293" w:rsidRPr="00D30568" w:rsidRDefault="00124293" w:rsidP="005837A4">
            <w:pPr>
              <w:rPr>
                <w:rFonts w:ascii="Calibri" w:eastAsia="Times New Roman" w:hAnsi="Calibri"/>
                <w:color w:val="000000"/>
                <w:lang w:val="en-GB"/>
              </w:rPr>
            </w:pPr>
            <w:r w:rsidRPr="00D30568">
              <w:rPr>
                <w:rFonts w:ascii="Calibri" w:eastAsia="Times New Roman" w:hAnsi="Calibri"/>
                <w:color w:val="000000"/>
                <w:lang w:val="en-GB"/>
              </w:rPr>
              <w:t> </w:t>
            </w:r>
          </w:p>
        </w:tc>
        <w:tc>
          <w:tcPr>
            <w:tcW w:w="5811" w:type="dxa"/>
            <w:tcBorders>
              <w:top w:val="nil"/>
              <w:left w:val="nil"/>
              <w:bottom w:val="single" w:sz="4" w:space="0" w:color="auto"/>
              <w:right w:val="nil"/>
            </w:tcBorders>
            <w:shd w:val="clear" w:color="auto" w:fill="auto"/>
            <w:noWrap/>
            <w:vAlign w:val="bottom"/>
            <w:hideMark/>
          </w:tcPr>
          <w:p w14:paraId="1BC07230" w14:textId="77777777" w:rsidR="00124293" w:rsidRPr="002E6A35" w:rsidRDefault="00124293" w:rsidP="005837A4">
            <w:pPr>
              <w:pStyle w:val="ListParagraph"/>
              <w:numPr>
                <w:ilvl w:val="0"/>
                <w:numId w:val="40"/>
              </w:numPr>
              <w:rPr>
                <w:rFonts w:ascii="Calibri" w:eastAsia="Times New Roman" w:hAnsi="Calibri"/>
                <w:color w:val="000000"/>
                <w:lang w:val="en-GB"/>
              </w:rPr>
            </w:pPr>
            <w:r w:rsidRPr="002E6A35">
              <w:rPr>
                <w:rFonts w:ascii="Calibri" w:eastAsia="Times New Roman" w:hAnsi="Calibri"/>
                <w:color w:val="000000"/>
                <w:lang w:val="en-GB"/>
              </w:rPr>
              <w:t>unknown sequence</w:t>
            </w:r>
          </w:p>
        </w:tc>
      </w:tr>
      <w:tr w:rsidR="00124293" w:rsidRPr="00D30568" w14:paraId="672FC815" w14:textId="77777777" w:rsidTr="007A00CA">
        <w:trPr>
          <w:trHeight w:val="300"/>
        </w:trPr>
        <w:tc>
          <w:tcPr>
            <w:tcW w:w="12489" w:type="dxa"/>
            <w:gridSpan w:val="3"/>
            <w:tcBorders>
              <w:top w:val="nil"/>
              <w:left w:val="nil"/>
              <w:bottom w:val="nil"/>
              <w:right w:val="nil"/>
            </w:tcBorders>
            <w:shd w:val="clear" w:color="auto" w:fill="auto"/>
            <w:noWrap/>
            <w:vAlign w:val="bottom"/>
            <w:hideMark/>
          </w:tcPr>
          <w:p w14:paraId="37BA9435" w14:textId="77777777" w:rsidR="00124293" w:rsidRDefault="00124293" w:rsidP="005837A4">
            <w:pPr>
              <w:rPr>
                <w:rFonts w:ascii="Calibri" w:eastAsia="Times New Roman" w:hAnsi="Calibri"/>
                <w:color w:val="000000"/>
                <w:lang w:val="en-GB"/>
              </w:rPr>
            </w:pPr>
            <w:r w:rsidRPr="00D30568">
              <w:rPr>
                <w:rFonts w:ascii="Calibri" w:eastAsia="Times New Roman" w:hAnsi="Calibri"/>
                <w:color w:val="000000"/>
                <w:lang w:val="en-GB"/>
              </w:rPr>
              <w:t>*: Must match design and modification criteria of active oligonucleotide.</w:t>
            </w:r>
          </w:p>
          <w:p w14:paraId="51C755B4" w14:textId="1578171F" w:rsidR="00124293" w:rsidRPr="00124293" w:rsidRDefault="00124293" w:rsidP="005837A4">
            <w:pPr>
              <w:rPr>
                <w:rFonts w:ascii="Calibri" w:eastAsia="Times New Roman" w:hAnsi="Calibri"/>
                <w:color w:val="000000"/>
                <w:lang w:val="en-GB"/>
              </w:rPr>
            </w:pPr>
            <w:r>
              <w:rPr>
                <w:rFonts w:ascii="Calibri" w:eastAsia="Times New Roman" w:hAnsi="Calibri"/>
                <w:color w:val="000000"/>
                <w:lang w:val="en-GB"/>
              </w:rPr>
              <w:t>**: Relevant to RNAi mediators only.</w:t>
            </w:r>
          </w:p>
        </w:tc>
      </w:tr>
    </w:tbl>
    <w:p w14:paraId="2F1BCAD6" w14:textId="77777777" w:rsidR="00124293" w:rsidRDefault="00124293" w:rsidP="005837A4">
      <w:pPr>
        <w:spacing w:line="480" w:lineRule="auto"/>
        <w:rPr>
          <w:rFonts w:ascii="Calibri" w:hAnsi="Calibri" w:cs="Arial"/>
          <w:b/>
        </w:rPr>
        <w:sectPr w:rsidR="00124293" w:rsidSect="007A00CA">
          <w:pgSz w:w="16840" w:h="11900" w:orient="landscape"/>
          <w:pgMar w:top="1440" w:right="1440" w:bottom="1440" w:left="1440" w:header="708" w:footer="708" w:gutter="0"/>
          <w:cols w:space="708"/>
          <w:docGrid w:linePitch="360"/>
        </w:sectPr>
      </w:pPr>
      <w:r>
        <w:rPr>
          <w:rFonts w:ascii="Calibri" w:hAnsi="Calibri" w:cs="Arial"/>
          <w:b/>
        </w:rPr>
        <w:br w:type="page"/>
      </w:r>
    </w:p>
    <w:p w14:paraId="73DD7FD6" w14:textId="77777777" w:rsidR="00FA1813" w:rsidRDefault="00FA1813" w:rsidP="005837A4">
      <w:pPr>
        <w:spacing w:line="480" w:lineRule="auto"/>
        <w:jc w:val="both"/>
        <w:rPr>
          <w:rFonts w:ascii="Calibri" w:hAnsi="Calibri" w:cs="Arial"/>
          <w:b/>
        </w:rPr>
      </w:pPr>
    </w:p>
    <w:p w14:paraId="137E3BFE" w14:textId="77777777" w:rsidR="00FA1813" w:rsidRPr="00C55981" w:rsidRDefault="00FA1813" w:rsidP="005837A4">
      <w:pPr>
        <w:spacing w:line="480" w:lineRule="auto"/>
        <w:jc w:val="both"/>
        <w:rPr>
          <w:rFonts w:ascii="Calibri" w:hAnsi="Calibri" w:cs="Arial"/>
          <w:b/>
        </w:rPr>
      </w:pPr>
    </w:p>
    <w:p w14:paraId="65909EB6" w14:textId="78259FBA" w:rsidR="00C55981" w:rsidRPr="00C55981" w:rsidRDefault="00C55981" w:rsidP="005837A4">
      <w:pPr>
        <w:spacing w:line="480" w:lineRule="auto"/>
        <w:jc w:val="both"/>
        <w:rPr>
          <w:rFonts w:ascii="Calibri" w:hAnsi="Calibri" w:cs="Arial"/>
          <w:b/>
        </w:rPr>
      </w:pPr>
      <w:r>
        <w:rPr>
          <w:rFonts w:ascii="Calibri" w:hAnsi="Calibri" w:cs="Arial"/>
          <w:b/>
        </w:rPr>
        <w:t>References</w:t>
      </w:r>
    </w:p>
    <w:p w14:paraId="3EB0B3CB" w14:textId="464ACE9B" w:rsidR="009378D4" w:rsidRPr="009378D4" w:rsidRDefault="00AE56C9" w:rsidP="009378D4">
      <w:pPr>
        <w:widowControl w:val="0"/>
        <w:autoSpaceDE w:val="0"/>
        <w:autoSpaceDN w:val="0"/>
        <w:adjustRightInd w:val="0"/>
        <w:spacing w:after="140" w:line="480" w:lineRule="auto"/>
        <w:ind w:left="480" w:hanging="480"/>
        <w:rPr>
          <w:rFonts w:eastAsia="Times New Roman"/>
          <w:noProof/>
        </w:rPr>
      </w:pPr>
      <w:r w:rsidRPr="00C4343E">
        <w:rPr>
          <w:rFonts w:ascii="Calibri" w:hAnsi="Calibri" w:cs="Arial"/>
        </w:rPr>
        <w:fldChar w:fldCharType="begin" w:fldLock="1"/>
      </w:r>
      <w:r w:rsidRPr="00C4343E">
        <w:rPr>
          <w:rFonts w:ascii="Calibri" w:hAnsi="Calibri" w:cs="Arial"/>
        </w:rPr>
        <w:instrText xml:space="preserve">ADDIN Mendeley Bibliography CSL_BIBLIOGRAPHY </w:instrText>
      </w:r>
      <w:r w:rsidRPr="00C4343E">
        <w:rPr>
          <w:rFonts w:ascii="Calibri" w:hAnsi="Calibri" w:cs="Arial"/>
        </w:rPr>
        <w:fldChar w:fldCharType="separate"/>
      </w:r>
      <w:r w:rsidR="009378D4" w:rsidRPr="009378D4">
        <w:rPr>
          <w:rFonts w:eastAsia="Times New Roman"/>
          <w:noProof/>
        </w:rPr>
        <w:t xml:space="preserve">Advani, R., Lum, B. L., Fisher, G. A., Halsey, J., Geary, R. S., Holmlund, J. T., … Sikic, B. I. (2005). A phase I trial of aprinocarsen (ISIS 3521/LY900003), an antisense inhibitor of protein kinase C-alpha administered as a 24-hour weekly infusion schedule in patients with advanced cancer. </w:t>
      </w:r>
      <w:r w:rsidR="009378D4" w:rsidRPr="009378D4">
        <w:rPr>
          <w:rFonts w:eastAsia="Times New Roman"/>
          <w:i/>
          <w:iCs/>
          <w:noProof/>
        </w:rPr>
        <w:t>Investigational New Drugs</w:t>
      </w:r>
      <w:r w:rsidR="009378D4" w:rsidRPr="009378D4">
        <w:rPr>
          <w:rFonts w:eastAsia="Times New Roman"/>
          <w:noProof/>
        </w:rPr>
        <w:t xml:space="preserve">, </w:t>
      </w:r>
      <w:r w:rsidR="009378D4" w:rsidRPr="009378D4">
        <w:rPr>
          <w:rFonts w:eastAsia="Times New Roman"/>
          <w:i/>
          <w:iCs/>
          <w:noProof/>
        </w:rPr>
        <w:t>23</w:t>
      </w:r>
      <w:r w:rsidR="009378D4" w:rsidRPr="009378D4">
        <w:rPr>
          <w:rFonts w:eastAsia="Times New Roman"/>
          <w:noProof/>
        </w:rPr>
        <w:t>(5), 467–77. http://doi.org/10.1007/s10637-005-2906-0</w:t>
      </w:r>
    </w:p>
    <w:p w14:paraId="1BEE41C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Ahlenstiel, C. L., Lim, H. G. W., Cooper, D. A., Ishida, T., Kelleher, A. D., &amp; Suzuki, K. (2012). Direct evidence of nuclear Argonaute distribution during transcriptional silencing links the actin cytoskeleton to nuclear RNAi machinery in human cells.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40</w:t>
      </w:r>
      <w:r w:rsidRPr="009378D4">
        <w:rPr>
          <w:rFonts w:eastAsia="Times New Roman"/>
          <w:noProof/>
        </w:rPr>
        <w:t>(4), 1579–95. http://doi.org/10.1093/nar/gkr891</w:t>
      </w:r>
    </w:p>
    <w:p w14:paraId="1E5EFAC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Ahn, D.-G., Lee, W., Choi, J.-K., Kim, S.-J., Plant, E. P., Almazán, F., … Oh, J.-W. (2011). Interference of ribosomal frameshifting by antisense peptide nucleic acids suppresses SARS coronavirus replication. </w:t>
      </w:r>
      <w:r w:rsidRPr="009378D4">
        <w:rPr>
          <w:rFonts w:eastAsia="Times New Roman"/>
          <w:i/>
          <w:iCs/>
          <w:noProof/>
        </w:rPr>
        <w:t>Antiviral Research</w:t>
      </w:r>
      <w:r w:rsidRPr="009378D4">
        <w:rPr>
          <w:rFonts w:eastAsia="Times New Roman"/>
          <w:noProof/>
        </w:rPr>
        <w:t xml:space="preserve">, </w:t>
      </w:r>
      <w:r w:rsidRPr="009378D4">
        <w:rPr>
          <w:rFonts w:eastAsia="Times New Roman"/>
          <w:i/>
          <w:iCs/>
          <w:noProof/>
        </w:rPr>
        <w:t>91</w:t>
      </w:r>
      <w:r w:rsidRPr="009378D4">
        <w:rPr>
          <w:rFonts w:eastAsia="Times New Roman"/>
          <w:noProof/>
        </w:rPr>
        <w:t>(1), 1–10. http://doi.org/10.1016/j.antiviral.2011.04.009</w:t>
      </w:r>
    </w:p>
    <w:p w14:paraId="3CC7DC6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Allakhverdi, Z., Allam, M., Guimond, A., Ferrari, N., Zemzoumi, K., Séguin, R., … Renzi, P. M. (2006). Multitargeted approach using antisense oligonucleotides for the treatment of asthma. </w:t>
      </w:r>
      <w:r w:rsidRPr="009378D4">
        <w:rPr>
          <w:rFonts w:eastAsia="Times New Roman"/>
          <w:i/>
          <w:iCs/>
          <w:noProof/>
        </w:rPr>
        <w:t>Annals of the New York Academy of Sciences</w:t>
      </w:r>
      <w:r w:rsidRPr="009378D4">
        <w:rPr>
          <w:rFonts w:eastAsia="Times New Roman"/>
          <w:noProof/>
        </w:rPr>
        <w:t xml:space="preserve">, </w:t>
      </w:r>
      <w:r w:rsidRPr="009378D4">
        <w:rPr>
          <w:rFonts w:eastAsia="Times New Roman"/>
          <w:i/>
          <w:iCs/>
          <w:noProof/>
        </w:rPr>
        <w:t>1082</w:t>
      </w:r>
      <w:r w:rsidRPr="009378D4">
        <w:rPr>
          <w:rFonts w:eastAsia="Times New Roman"/>
          <w:noProof/>
        </w:rPr>
        <w:t>, 62–73. http://doi.org/10.1196/annals.1348.047</w:t>
      </w:r>
    </w:p>
    <w:p w14:paraId="5A5ECD5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Allakhverdi, Z., Allam, M., &amp; Renzi, P. M. (2002). Inhibition of antigen-induced eosinophilia and airway hyperresponsiveness by antisense oligonucleotides directed against the common beta chain of IL-3, IL-5, GM-CSF receptors in a rat model of allergic asthma. </w:t>
      </w:r>
      <w:r w:rsidRPr="009378D4">
        <w:rPr>
          <w:rFonts w:eastAsia="Times New Roman"/>
          <w:i/>
          <w:iCs/>
          <w:noProof/>
        </w:rPr>
        <w:t>American Journal of Respiratory and Critical Care Medicine</w:t>
      </w:r>
      <w:r w:rsidRPr="009378D4">
        <w:rPr>
          <w:rFonts w:eastAsia="Times New Roman"/>
          <w:noProof/>
        </w:rPr>
        <w:t xml:space="preserve">, </w:t>
      </w:r>
      <w:r w:rsidRPr="009378D4">
        <w:rPr>
          <w:rFonts w:eastAsia="Times New Roman"/>
          <w:i/>
          <w:iCs/>
          <w:noProof/>
        </w:rPr>
        <w:t>165</w:t>
      </w:r>
      <w:r w:rsidRPr="009378D4">
        <w:rPr>
          <w:rFonts w:eastAsia="Times New Roman"/>
          <w:noProof/>
        </w:rPr>
        <w:t xml:space="preserve">(7), </w:t>
      </w:r>
      <w:r w:rsidRPr="009378D4">
        <w:rPr>
          <w:rFonts w:eastAsia="Times New Roman"/>
          <w:noProof/>
        </w:rPr>
        <w:lastRenderedPageBreak/>
        <w:t>1015–21. http://doi.org/10.1164/ajrccm.165.7.2109095</w:t>
      </w:r>
    </w:p>
    <w:p w14:paraId="01F80A0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Allam, M., &amp; Renzi, P. M. (2001). Inhibition of GM-CSF/IL-3/IL-5 signaling by antisense oligodeoxynucleotides targeting the common beta chain of their receptors. </w:t>
      </w:r>
      <w:r w:rsidRPr="009378D4">
        <w:rPr>
          <w:rFonts w:eastAsia="Times New Roman"/>
          <w:i/>
          <w:iCs/>
          <w:noProof/>
        </w:rPr>
        <w:t>Antisense &amp; Nucleic Acid Drug Development</w:t>
      </w:r>
      <w:r w:rsidRPr="009378D4">
        <w:rPr>
          <w:rFonts w:eastAsia="Times New Roman"/>
          <w:noProof/>
        </w:rPr>
        <w:t xml:space="preserve">, </w:t>
      </w:r>
      <w:r w:rsidRPr="009378D4">
        <w:rPr>
          <w:rFonts w:eastAsia="Times New Roman"/>
          <w:i/>
          <w:iCs/>
          <w:noProof/>
        </w:rPr>
        <w:t>11</w:t>
      </w:r>
      <w:r w:rsidRPr="009378D4">
        <w:rPr>
          <w:rFonts w:eastAsia="Times New Roman"/>
          <w:noProof/>
        </w:rPr>
        <w:t>(5), 289–300. http://doi.org/10.1089/108729001753231678</w:t>
      </w:r>
    </w:p>
    <w:p w14:paraId="23A5615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Alló, M., Buggiano, V., Fededa, J. P., Petrillo, E., Schor, I., de la Mata, M., … Kornblihtt, A. R. (2009). Control of alternative splicing through siRNA-mediated transcriptional gene silencing. </w:t>
      </w:r>
      <w:r w:rsidRPr="009378D4">
        <w:rPr>
          <w:rFonts w:eastAsia="Times New Roman"/>
          <w:i/>
          <w:iCs/>
          <w:noProof/>
        </w:rPr>
        <w:t>Nature Structural &amp; Molecular Biology</w:t>
      </w:r>
      <w:r w:rsidRPr="009378D4">
        <w:rPr>
          <w:rFonts w:eastAsia="Times New Roman"/>
          <w:noProof/>
        </w:rPr>
        <w:t xml:space="preserve">, </w:t>
      </w:r>
      <w:r w:rsidRPr="009378D4">
        <w:rPr>
          <w:rFonts w:eastAsia="Times New Roman"/>
          <w:i/>
          <w:iCs/>
          <w:noProof/>
        </w:rPr>
        <w:t>16</w:t>
      </w:r>
      <w:r w:rsidRPr="009378D4">
        <w:rPr>
          <w:rFonts w:eastAsia="Times New Roman"/>
          <w:noProof/>
        </w:rPr>
        <w:t>(7), 717–24. http://doi.org/10.1038/nsmb.1620</w:t>
      </w:r>
    </w:p>
    <w:p w14:paraId="1A944CA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Alton, E. W., Boushey, H. A., Garn, H., Green, F. H., Hodges, M., Martin, R. J., … Ferrari, N. (2012). Clinical expert panel on monitoring potential lung toxicity of inhaled oligonucleotides: consensus points and recommendations. </w:t>
      </w:r>
      <w:r w:rsidRPr="009378D4">
        <w:rPr>
          <w:rFonts w:eastAsia="Times New Roman"/>
          <w:i/>
          <w:iCs/>
          <w:noProof/>
        </w:rPr>
        <w:t>Nucleic Acid Therapeutics</w:t>
      </w:r>
      <w:r w:rsidRPr="009378D4">
        <w:rPr>
          <w:rFonts w:eastAsia="Times New Roman"/>
          <w:noProof/>
        </w:rPr>
        <w:t xml:space="preserve">, </w:t>
      </w:r>
      <w:r w:rsidRPr="009378D4">
        <w:rPr>
          <w:rFonts w:eastAsia="Times New Roman"/>
          <w:i/>
          <w:iCs/>
          <w:noProof/>
        </w:rPr>
        <w:t>22</w:t>
      </w:r>
      <w:r w:rsidRPr="009378D4">
        <w:rPr>
          <w:rFonts w:eastAsia="Times New Roman"/>
          <w:noProof/>
        </w:rPr>
        <w:t>(4), 246–54. http://doi.org/10.1089/nat.2012.0345</w:t>
      </w:r>
    </w:p>
    <w:p w14:paraId="464D91C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Alvarez, R., Elbashir, S., Borland, T., Toudjarska, I., Hadwiger, P., John, M., … Meyers, R. (2009). RNA Interference-Mediated Silencing of the Respiratory Syncytial Virus Nucleocapsid Defines a Potent Antiviral Strategy. </w:t>
      </w:r>
      <w:r w:rsidRPr="009378D4">
        <w:rPr>
          <w:rFonts w:eastAsia="Times New Roman"/>
          <w:i/>
          <w:iCs/>
          <w:noProof/>
        </w:rPr>
        <w:t>Antimicrobial Agents and Chemotherapy</w:t>
      </w:r>
      <w:r w:rsidRPr="009378D4">
        <w:rPr>
          <w:rFonts w:eastAsia="Times New Roman"/>
          <w:noProof/>
        </w:rPr>
        <w:t xml:space="preserve">, </w:t>
      </w:r>
      <w:r w:rsidRPr="009378D4">
        <w:rPr>
          <w:rFonts w:eastAsia="Times New Roman"/>
          <w:i/>
          <w:iCs/>
          <w:noProof/>
        </w:rPr>
        <w:t>53</w:t>
      </w:r>
      <w:r w:rsidRPr="009378D4">
        <w:rPr>
          <w:rFonts w:eastAsia="Times New Roman"/>
          <w:noProof/>
        </w:rPr>
        <w:t>(9), 3952–3962. http://doi.org/10.1128/AAC.00014-09</w:t>
      </w:r>
    </w:p>
    <w:p w14:paraId="28DEB42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Ameyar-Zazoua, M., Rachez, C., Souidi, M., Robin, P., Fritsch, L., Young, R., … Harel-Bellan, A. (2012). Argonaute proteins couple chromatin silencing to alternative splicing. </w:t>
      </w:r>
      <w:r w:rsidRPr="009378D4">
        <w:rPr>
          <w:rFonts w:eastAsia="Times New Roman"/>
          <w:i/>
          <w:iCs/>
          <w:noProof/>
        </w:rPr>
        <w:t>Nature Structural &amp; Molecular Biology</w:t>
      </w:r>
      <w:r w:rsidRPr="009378D4">
        <w:rPr>
          <w:rFonts w:eastAsia="Times New Roman"/>
          <w:noProof/>
        </w:rPr>
        <w:t xml:space="preserve">, </w:t>
      </w:r>
      <w:r w:rsidRPr="009378D4">
        <w:rPr>
          <w:rFonts w:eastAsia="Times New Roman"/>
          <w:i/>
          <w:iCs/>
          <w:noProof/>
        </w:rPr>
        <w:t>19</w:t>
      </w:r>
      <w:r w:rsidRPr="009378D4">
        <w:rPr>
          <w:rFonts w:eastAsia="Times New Roman"/>
          <w:noProof/>
        </w:rPr>
        <w:t>(10), 998–1004. http://doi.org/10.1038/nsmb.2373</w:t>
      </w:r>
    </w:p>
    <w:p w14:paraId="02B2C1E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Arick, D. Q., Choi, Y. H., Kim, H. C., &amp; Won, Y.-Y. (2015). Effects of nanoparticles on the mechanical functioning of the lung. </w:t>
      </w:r>
      <w:r w:rsidRPr="009378D4">
        <w:rPr>
          <w:rFonts w:eastAsia="Times New Roman"/>
          <w:i/>
          <w:iCs/>
          <w:noProof/>
        </w:rPr>
        <w:t>Advances in Colloid and Interface Science</w:t>
      </w:r>
      <w:r w:rsidRPr="009378D4">
        <w:rPr>
          <w:rFonts w:eastAsia="Times New Roman"/>
          <w:noProof/>
        </w:rPr>
        <w:t xml:space="preserve">, </w:t>
      </w:r>
      <w:r w:rsidRPr="009378D4">
        <w:rPr>
          <w:rFonts w:eastAsia="Times New Roman"/>
          <w:i/>
          <w:iCs/>
          <w:noProof/>
        </w:rPr>
        <w:t>225</w:t>
      </w:r>
      <w:r w:rsidRPr="009378D4">
        <w:rPr>
          <w:rFonts w:eastAsia="Times New Roman"/>
          <w:noProof/>
        </w:rPr>
        <w:t>, 218–28. http://doi.org/10.1016/j.cis.2015.10.002</w:t>
      </w:r>
    </w:p>
    <w:p w14:paraId="1EC533B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lastRenderedPageBreak/>
        <w:t xml:space="preserve">Augagneur, Y., Wesolowski, D., Tae, H. S., Altman, S., &amp; Ben Mamoun, C. (2012). Gene selective mRNA cleavage inhibits the development of Plasmodium falciparum.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109</w:t>
      </w:r>
      <w:r w:rsidRPr="009378D4">
        <w:rPr>
          <w:rFonts w:eastAsia="Times New Roman"/>
          <w:noProof/>
        </w:rPr>
        <w:t>(16), 6235–40. http://doi.org/10.1073/pnas.1203516109</w:t>
      </w:r>
    </w:p>
    <w:p w14:paraId="0E5E2FA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Azuma-Mukai, A., Oguri, H., Mituyama, T., Qian, Z. R., Asai, K., Siomi, H., &amp; Siomi, M. C. (2008). Characterization of endogenous human Argonautes and their miRNA partners in RNA silencing.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105</w:t>
      </w:r>
      <w:r w:rsidRPr="009378D4">
        <w:rPr>
          <w:rFonts w:eastAsia="Times New Roman"/>
          <w:noProof/>
        </w:rPr>
        <w:t>(23), 7964–9. http://doi.org/10.1073/pnas.0800334105</w:t>
      </w:r>
    </w:p>
    <w:p w14:paraId="4E5601C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Bai, B., Liu, H., &amp; Laiho, M. (2014). Small RNA expression and deep sequencing analyses of the nucleolus reveal the presence of nucleolus-associated microRNAs. </w:t>
      </w:r>
      <w:r w:rsidRPr="009378D4">
        <w:rPr>
          <w:rFonts w:eastAsia="Times New Roman"/>
          <w:i/>
          <w:iCs/>
          <w:noProof/>
        </w:rPr>
        <w:t>FEBS Open Bio</w:t>
      </w:r>
      <w:r w:rsidRPr="009378D4">
        <w:rPr>
          <w:rFonts w:eastAsia="Times New Roman"/>
          <w:noProof/>
        </w:rPr>
        <w:t xml:space="preserve">, </w:t>
      </w:r>
      <w:r w:rsidRPr="009378D4">
        <w:rPr>
          <w:rFonts w:eastAsia="Times New Roman"/>
          <w:i/>
          <w:iCs/>
          <w:noProof/>
        </w:rPr>
        <w:t>4</w:t>
      </w:r>
      <w:r w:rsidRPr="009378D4">
        <w:rPr>
          <w:rFonts w:eastAsia="Times New Roman"/>
          <w:noProof/>
        </w:rPr>
        <w:t>, 441–9. http://doi.org/10.1016/j.fob.2014.04.010</w:t>
      </w:r>
    </w:p>
    <w:p w14:paraId="548F751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Beltinger, C., Saragovi, H. U., Smith, R. M., LeSauteur, L., Shah, N., DeDionisio, L., … Gewirtz, A. M. (1995). Binding, uptake, and intracellular trafficking of phosphorothioate-modified oligodeoxynucleotides. </w:t>
      </w:r>
      <w:r w:rsidRPr="009378D4">
        <w:rPr>
          <w:rFonts w:eastAsia="Times New Roman"/>
          <w:i/>
          <w:iCs/>
          <w:noProof/>
        </w:rPr>
        <w:t>The Journal of Clinical Investigation</w:t>
      </w:r>
      <w:r w:rsidRPr="009378D4">
        <w:rPr>
          <w:rFonts w:eastAsia="Times New Roman"/>
          <w:noProof/>
        </w:rPr>
        <w:t xml:space="preserve">, </w:t>
      </w:r>
      <w:r w:rsidRPr="009378D4">
        <w:rPr>
          <w:rFonts w:eastAsia="Times New Roman"/>
          <w:i/>
          <w:iCs/>
          <w:noProof/>
        </w:rPr>
        <w:t>95</w:t>
      </w:r>
      <w:r w:rsidRPr="009378D4">
        <w:rPr>
          <w:rFonts w:eastAsia="Times New Roman"/>
          <w:noProof/>
        </w:rPr>
        <w:t>(4), 1814–23. http://doi.org/10.1172/JCI117860</w:t>
      </w:r>
    </w:p>
    <w:p w14:paraId="1E8C54A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Benimetskaya, L., Loike, J. D., Khaled, Z., LoiKe, G., Silverstein, S. C., Cao, L., … Stein, C. A. (1997). Mac-1 (CD11b/CD18) is an oligodeoxynucleotide-binding protein. </w:t>
      </w:r>
      <w:r w:rsidRPr="009378D4">
        <w:rPr>
          <w:rFonts w:eastAsia="Times New Roman"/>
          <w:i/>
          <w:iCs/>
          <w:noProof/>
        </w:rPr>
        <w:t>Nature Medicine</w:t>
      </w:r>
      <w:r w:rsidRPr="009378D4">
        <w:rPr>
          <w:rFonts w:eastAsia="Times New Roman"/>
          <w:noProof/>
        </w:rPr>
        <w:t xml:space="preserve">, </w:t>
      </w:r>
      <w:r w:rsidRPr="009378D4">
        <w:rPr>
          <w:rFonts w:eastAsia="Times New Roman"/>
          <w:i/>
          <w:iCs/>
          <w:noProof/>
        </w:rPr>
        <w:t>3</w:t>
      </w:r>
      <w:r w:rsidRPr="009378D4">
        <w:rPr>
          <w:rFonts w:eastAsia="Times New Roman"/>
          <w:noProof/>
        </w:rPr>
        <w:t>(4), 414–420. http://doi.org/10.1038/nm0497-414</w:t>
      </w:r>
    </w:p>
    <w:p w14:paraId="0898DF0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Bennett, C. F., Chiang, M. Y., Chan, H., Shoemaker, J. E., &amp; Mirabelli, C. K. (1992). Cationic lipids enhance cellular uptake and activity of phosphorothioate antisense oligonucleotides. </w:t>
      </w:r>
      <w:r w:rsidRPr="009378D4">
        <w:rPr>
          <w:rFonts w:eastAsia="Times New Roman"/>
          <w:i/>
          <w:iCs/>
          <w:noProof/>
        </w:rPr>
        <w:t>Molecular Pharmacology</w:t>
      </w:r>
      <w:r w:rsidRPr="009378D4">
        <w:rPr>
          <w:rFonts w:eastAsia="Times New Roman"/>
          <w:noProof/>
        </w:rPr>
        <w:t xml:space="preserve">, </w:t>
      </w:r>
      <w:r w:rsidRPr="009378D4">
        <w:rPr>
          <w:rFonts w:eastAsia="Times New Roman"/>
          <w:i/>
          <w:iCs/>
          <w:noProof/>
        </w:rPr>
        <w:t>41</w:t>
      </w:r>
      <w:r w:rsidRPr="009378D4">
        <w:rPr>
          <w:rFonts w:eastAsia="Times New Roman"/>
          <w:noProof/>
        </w:rPr>
        <w:t>(6), 1023–33. Retrieved from http://www.ncbi.nlm.nih.gov/pubmed/1352033</w:t>
      </w:r>
    </w:p>
    <w:p w14:paraId="6BB06D7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Bevilacqua, P. C., &amp; Cech, T. R. (1996). Minor-groove recognition of double-stranded RNA by the double-stranded RNA-binding domain from the RNA-activated protein kinase </w:t>
      </w:r>
      <w:r w:rsidRPr="009378D4">
        <w:rPr>
          <w:rFonts w:eastAsia="Times New Roman"/>
          <w:noProof/>
        </w:rPr>
        <w:lastRenderedPageBreak/>
        <w:t xml:space="preserve">PKR. </w:t>
      </w:r>
      <w:r w:rsidRPr="009378D4">
        <w:rPr>
          <w:rFonts w:eastAsia="Times New Roman"/>
          <w:i/>
          <w:iCs/>
          <w:noProof/>
        </w:rPr>
        <w:t>Biochemistry</w:t>
      </w:r>
      <w:r w:rsidRPr="009378D4">
        <w:rPr>
          <w:rFonts w:eastAsia="Times New Roman"/>
          <w:noProof/>
        </w:rPr>
        <w:t xml:space="preserve">, </w:t>
      </w:r>
      <w:r w:rsidRPr="009378D4">
        <w:rPr>
          <w:rFonts w:eastAsia="Times New Roman"/>
          <w:i/>
          <w:iCs/>
          <w:noProof/>
        </w:rPr>
        <w:t>35</w:t>
      </w:r>
      <w:r w:rsidRPr="009378D4">
        <w:rPr>
          <w:rFonts w:eastAsia="Times New Roman"/>
          <w:noProof/>
        </w:rPr>
        <w:t>(31), 9983–94. http://doi.org/10.1021/bi9607259</w:t>
      </w:r>
    </w:p>
    <w:p w14:paraId="6A63BC2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Bijsterbosch, M. K., Rump, E. T., De Vrueh, R. L., Dorland, R., van Veghel, R., Tivel, K. L., … Manoharan, M. (2000). Modulation of plasma protein binding and in vivo liver cell uptake of phosphorothioate oligodeoxynucleotides by cholesterol conjugation.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28</w:t>
      </w:r>
      <w:r w:rsidRPr="009378D4">
        <w:rPr>
          <w:rFonts w:eastAsia="Times New Roman"/>
          <w:noProof/>
        </w:rPr>
        <w:t>(14), 2717–25. Retrieved from http://www.pubmedcentral.nih.gov/articlerender.fcgi?artid=102653&amp;tool=pmcentrez&amp;rendertype=abstract</w:t>
      </w:r>
    </w:p>
    <w:p w14:paraId="0F36FDA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Bitko, V., Musiyenko, A., Shulyayeva, O., &amp; Barik, S. (2005). Inhibition of respiratory viruses by nasally administered siRNA. </w:t>
      </w:r>
      <w:r w:rsidRPr="009378D4">
        <w:rPr>
          <w:rFonts w:eastAsia="Times New Roman"/>
          <w:i/>
          <w:iCs/>
          <w:noProof/>
        </w:rPr>
        <w:t>Nature Medicine</w:t>
      </w:r>
      <w:r w:rsidRPr="009378D4">
        <w:rPr>
          <w:rFonts w:eastAsia="Times New Roman"/>
          <w:noProof/>
        </w:rPr>
        <w:t xml:space="preserve">, </w:t>
      </w:r>
      <w:r w:rsidRPr="009378D4">
        <w:rPr>
          <w:rFonts w:eastAsia="Times New Roman"/>
          <w:i/>
          <w:iCs/>
          <w:noProof/>
        </w:rPr>
        <w:t>11</w:t>
      </w:r>
      <w:r w:rsidRPr="009378D4">
        <w:rPr>
          <w:rFonts w:eastAsia="Times New Roman"/>
          <w:noProof/>
        </w:rPr>
        <w:t>(1), 50–5. http://doi.org/10.1038/nm1164</w:t>
      </w:r>
    </w:p>
    <w:p w14:paraId="4BAE2B2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Blanco, O., Lugones, Y., Díaz, E., &amp; Monzote, L. In vitro activity of the clinical pulmonary surfactant Surfacen® against Leishmania amazonensis. </w:t>
      </w:r>
      <w:r w:rsidRPr="009378D4">
        <w:rPr>
          <w:rFonts w:eastAsia="Times New Roman"/>
          <w:i/>
          <w:iCs/>
          <w:noProof/>
        </w:rPr>
        <w:t>Revista Do Instituto de Medicina Tropical de São Paulo</w:t>
      </w:r>
      <w:r w:rsidRPr="009378D4">
        <w:rPr>
          <w:rFonts w:eastAsia="Times New Roman"/>
          <w:noProof/>
        </w:rPr>
        <w:t xml:space="preserve">, </w:t>
      </w:r>
      <w:r w:rsidRPr="009378D4">
        <w:rPr>
          <w:rFonts w:eastAsia="Times New Roman"/>
          <w:i/>
          <w:iCs/>
          <w:noProof/>
        </w:rPr>
        <w:t>53</w:t>
      </w:r>
      <w:r w:rsidRPr="009378D4">
        <w:rPr>
          <w:rFonts w:eastAsia="Times New Roman"/>
          <w:noProof/>
        </w:rPr>
        <w:t>(4), 235–8. Retrieved from http://www.ncbi.nlm.nih.gov/pubmed/21915470</w:t>
      </w:r>
    </w:p>
    <w:p w14:paraId="73B9C96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Bombieri, C., Claustres, M., De Boeck, K., Derichs, N., Dodge, J., Girodon, E., … Ferec, C. (2011). Recommendations for the classification of diseases as CFTR-related disorders. </w:t>
      </w:r>
      <w:r w:rsidRPr="009378D4">
        <w:rPr>
          <w:rFonts w:eastAsia="Times New Roman"/>
          <w:i/>
          <w:iCs/>
          <w:noProof/>
        </w:rPr>
        <w:t>Journal of Cystic Fibrosis : Official Journal of the European Cystic Fibrosis Society</w:t>
      </w:r>
      <w:r w:rsidRPr="009378D4">
        <w:rPr>
          <w:rFonts w:eastAsia="Times New Roman"/>
          <w:noProof/>
        </w:rPr>
        <w:t xml:space="preserve">, </w:t>
      </w:r>
      <w:r w:rsidRPr="009378D4">
        <w:rPr>
          <w:rFonts w:eastAsia="Times New Roman"/>
          <w:i/>
          <w:iCs/>
          <w:noProof/>
        </w:rPr>
        <w:t>10 Suppl 2</w:t>
      </w:r>
      <w:r w:rsidRPr="009378D4">
        <w:rPr>
          <w:rFonts w:eastAsia="Times New Roman"/>
          <w:noProof/>
        </w:rPr>
        <w:t>, S86–102. http://doi.org/10.1016/S1569-1993(11)60014-3</w:t>
      </w:r>
    </w:p>
    <w:p w14:paraId="396FB57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Bousquet, J., Chanez, P., Lacoste, J. Y., Barnéon, G., Ghavanian, N., Enander, I., … Godard, P. (1990). Eosinophilic inflammation in asthma. </w:t>
      </w:r>
      <w:r w:rsidRPr="009378D4">
        <w:rPr>
          <w:rFonts w:eastAsia="Times New Roman"/>
          <w:i/>
          <w:iCs/>
          <w:noProof/>
        </w:rPr>
        <w:t>The New England Journal of Medicine</w:t>
      </w:r>
      <w:r w:rsidRPr="009378D4">
        <w:rPr>
          <w:rFonts w:eastAsia="Times New Roman"/>
          <w:noProof/>
        </w:rPr>
        <w:t xml:space="preserve">, </w:t>
      </w:r>
      <w:r w:rsidRPr="009378D4">
        <w:rPr>
          <w:rFonts w:eastAsia="Times New Roman"/>
          <w:i/>
          <w:iCs/>
          <w:noProof/>
        </w:rPr>
        <w:t>323</w:t>
      </w:r>
      <w:r w:rsidRPr="009378D4">
        <w:rPr>
          <w:rFonts w:eastAsia="Times New Roman"/>
          <w:noProof/>
        </w:rPr>
        <w:t>(15), 1033–9. http://doi.org/10.1056/NEJM199010113231505</w:t>
      </w:r>
    </w:p>
    <w:p w14:paraId="0D91F35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Broering, R., Real, C. I., John, M. J., Jahn-Hofmann, K., Ickenstein, L. M., Kleinehr, K., … Schlaak, J. F. (2014). Chemical modifications on siRNAs avoid Toll-like-receptor-mediated activation of the hepatic immune system in vivo and in vitro. </w:t>
      </w:r>
      <w:r w:rsidRPr="009378D4">
        <w:rPr>
          <w:rFonts w:eastAsia="Times New Roman"/>
          <w:i/>
          <w:iCs/>
          <w:noProof/>
        </w:rPr>
        <w:t xml:space="preserve">International </w:t>
      </w:r>
      <w:r w:rsidRPr="009378D4">
        <w:rPr>
          <w:rFonts w:eastAsia="Times New Roman"/>
          <w:i/>
          <w:iCs/>
          <w:noProof/>
        </w:rPr>
        <w:lastRenderedPageBreak/>
        <w:t>Immunology</w:t>
      </w:r>
      <w:r w:rsidRPr="009378D4">
        <w:rPr>
          <w:rFonts w:eastAsia="Times New Roman"/>
          <w:noProof/>
        </w:rPr>
        <w:t xml:space="preserve">, </w:t>
      </w:r>
      <w:r w:rsidRPr="009378D4">
        <w:rPr>
          <w:rFonts w:eastAsia="Times New Roman"/>
          <w:i/>
          <w:iCs/>
          <w:noProof/>
        </w:rPr>
        <w:t>26</w:t>
      </w:r>
      <w:r w:rsidRPr="009378D4">
        <w:rPr>
          <w:rFonts w:eastAsia="Times New Roman"/>
          <w:noProof/>
        </w:rPr>
        <w:t>(1), 35–46. http://doi.org/10.1093/intimm/dxt040</w:t>
      </w:r>
    </w:p>
    <w:p w14:paraId="333151A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Brolin, C., Shiraishi, T., Hojman, P., Krag, T. O., Nielsen, P. E., &amp; Gehl, J. (2015). Electroporation Enhanced Effect of Dystrophin Splice Switching PNA Oligomers in Normal and Dystrophic Muscle. </w:t>
      </w:r>
      <w:r w:rsidRPr="009378D4">
        <w:rPr>
          <w:rFonts w:eastAsia="Times New Roman"/>
          <w:i/>
          <w:iCs/>
          <w:noProof/>
        </w:rPr>
        <w:t>Molecular Therapy. Nucleic Acids</w:t>
      </w:r>
      <w:r w:rsidRPr="009378D4">
        <w:rPr>
          <w:rFonts w:eastAsia="Times New Roman"/>
          <w:noProof/>
        </w:rPr>
        <w:t xml:space="preserve">, </w:t>
      </w:r>
      <w:r w:rsidRPr="009378D4">
        <w:rPr>
          <w:rFonts w:eastAsia="Times New Roman"/>
          <w:i/>
          <w:iCs/>
          <w:noProof/>
        </w:rPr>
        <w:t>4</w:t>
      </w:r>
      <w:r w:rsidRPr="009378D4">
        <w:rPr>
          <w:rFonts w:eastAsia="Times New Roman"/>
          <w:noProof/>
        </w:rPr>
        <w:t>, e267. http://doi.org/10.1038/mtna.2015.41</w:t>
      </w:r>
    </w:p>
    <w:p w14:paraId="0615857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Burel, S. A., Han, S.-R., Lee, H.-S., Norris, D. A., Lee, B.-S., Machemer, T., … Henry, S. P. (2013). Preclinical evaluation of the toxicological effects of a novel constrained ethyl modified antisense compound targeting signal transducer and activator of transcription 3 in mice and cynomolgus monkeys. </w:t>
      </w:r>
      <w:r w:rsidRPr="009378D4">
        <w:rPr>
          <w:rFonts w:eastAsia="Times New Roman"/>
          <w:i/>
          <w:iCs/>
          <w:noProof/>
        </w:rPr>
        <w:t>Nucleic Acid Therapeutics</w:t>
      </w:r>
      <w:r w:rsidRPr="009378D4">
        <w:rPr>
          <w:rFonts w:eastAsia="Times New Roman"/>
          <w:noProof/>
        </w:rPr>
        <w:t xml:space="preserve">, </w:t>
      </w:r>
      <w:r w:rsidRPr="009378D4">
        <w:rPr>
          <w:rFonts w:eastAsia="Times New Roman"/>
          <w:i/>
          <w:iCs/>
          <w:noProof/>
        </w:rPr>
        <w:t>23</w:t>
      </w:r>
      <w:r w:rsidRPr="009378D4">
        <w:rPr>
          <w:rFonts w:eastAsia="Times New Roman"/>
          <w:noProof/>
        </w:rPr>
        <w:t>(3), 213–27. http://doi.org/10.1089/nat.2013.0422</w:t>
      </w:r>
    </w:p>
    <w:p w14:paraId="02AD5F3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Burel, S. A., Hart, C. E., Cauntay, P., Hsiao, J., Machemer, T., Katz, M., … Henry, S. P. (2015). Hepatotoxicity of high affinity gapmer antisense oligonucleotides is mediated by RNase H1 dependent promiscuous reduction of very long pre-mRNA transcripts. </w:t>
      </w:r>
      <w:r w:rsidRPr="009378D4">
        <w:rPr>
          <w:rFonts w:eastAsia="Times New Roman"/>
          <w:i/>
          <w:iCs/>
          <w:noProof/>
        </w:rPr>
        <w:t>Nucleic Acids Research</w:t>
      </w:r>
      <w:r w:rsidRPr="009378D4">
        <w:rPr>
          <w:rFonts w:eastAsia="Times New Roman"/>
          <w:noProof/>
        </w:rPr>
        <w:t>, gkv1210–. http://doi.org/10.1093/nar/gkv1210</w:t>
      </w:r>
    </w:p>
    <w:p w14:paraId="5029F9D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Burroughs, A. M., Ando, Y., de Hoon, M. J. L., Tomaru, Y., Suzuki, H., Hayashizaki, Y., &amp; Daub, C. O. Deep-sequencing of human Argonaute-associated small RNAs provides insight into miRNA sorting and reveals Argonaute association with RNA fragments of diverse origin. </w:t>
      </w:r>
      <w:r w:rsidRPr="009378D4">
        <w:rPr>
          <w:rFonts w:eastAsia="Times New Roman"/>
          <w:i/>
          <w:iCs/>
          <w:noProof/>
        </w:rPr>
        <w:t>RNA Biology</w:t>
      </w:r>
      <w:r w:rsidRPr="009378D4">
        <w:rPr>
          <w:rFonts w:eastAsia="Times New Roman"/>
          <w:noProof/>
        </w:rPr>
        <w:t xml:space="preserve">, </w:t>
      </w:r>
      <w:r w:rsidRPr="009378D4">
        <w:rPr>
          <w:rFonts w:eastAsia="Times New Roman"/>
          <w:i/>
          <w:iCs/>
          <w:noProof/>
        </w:rPr>
        <w:t>8</w:t>
      </w:r>
      <w:r w:rsidRPr="009378D4">
        <w:rPr>
          <w:rFonts w:eastAsia="Times New Roman"/>
          <w:noProof/>
        </w:rPr>
        <w:t>(1), 158–77. Retrieved from http://www.pubmedcentral.nih.gov/articlerender.fcgi?artid=3127082&amp;tool=pmcentrez&amp;rendertype=abstract</w:t>
      </w:r>
    </w:p>
    <w:p w14:paraId="7563D1C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Cameron, L., Christodoulopoulos, P., Lavigne, F., Nakamura, Y., Eidelman, D., McEuen, A., … Hamid, Q. (2000). Evidence for local eosinophil differentiation within allergic nasal mucosa: inhibition with soluble IL-5 receptor. </w:t>
      </w:r>
      <w:r w:rsidRPr="009378D4">
        <w:rPr>
          <w:rFonts w:eastAsia="Times New Roman"/>
          <w:i/>
          <w:iCs/>
          <w:noProof/>
        </w:rPr>
        <w:t>Journal of Immunology (Baltimore, Md. : 1950)</w:t>
      </w:r>
      <w:r w:rsidRPr="009378D4">
        <w:rPr>
          <w:rFonts w:eastAsia="Times New Roman"/>
          <w:noProof/>
        </w:rPr>
        <w:t xml:space="preserve">, </w:t>
      </w:r>
      <w:r w:rsidRPr="009378D4">
        <w:rPr>
          <w:rFonts w:eastAsia="Times New Roman"/>
          <w:i/>
          <w:iCs/>
          <w:noProof/>
        </w:rPr>
        <w:t>164</w:t>
      </w:r>
      <w:r w:rsidRPr="009378D4">
        <w:rPr>
          <w:rFonts w:eastAsia="Times New Roman"/>
          <w:noProof/>
        </w:rPr>
        <w:t xml:space="preserve">(3), 1538–45. Retrieved from </w:t>
      </w:r>
      <w:r w:rsidRPr="009378D4">
        <w:rPr>
          <w:rFonts w:eastAsia="Times New Roman"/>
          <w:noProof/>
        </w:rPr>
        <w:lastRenderedPageBreak/>
        <w:t>http://www.ncbi.nlm.nih.gov/pubmed/10640772</w:t>
      </w:r>
    </w:p>
    <w:p w14:paraId="1172BF9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Castanotto, D., Lin, M., Kowolik, C., Wang, L., Ren, X.-Q., Soifer, H. S., … Stein, C. A. (2015). A cytoplasmic pathway for gapmer antisense oligonucleotide-mediated gene silencing in mammalian cells.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43</w:t>
      </w:r>
      <w:r w:rsidRPr="009378D4">
        <w:rPr>
          <w:rFonts w:eastAsia="Times New Roman"/>
          <w:noProof/>
        </w:rPr>
        <w:t>(19), 9350–61. http://doi.org/10.1093/nar/gkv964</w:t>
      </w:r>
    </w:p>
    <w:p w14:paraId="7A2DD67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Castanotto, D., Lingeman, R., Riggs, A. D., &amp; Rossi, J. J. (2009). CRM1 mediates nuclear-cytoplasmic shuttling of mature microRNAs.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106</w:t>
      </w:r>
      <w:r w:rsidRPr="009378D4">
        <w:rPr>
          <w:rFonts w:eastAsia="Times New Roman"/>
          <w:noProof/>
        </w:rPr>
        <w:t>(51), 21655–9. http://doi.org/10.1073/pnas.0912384106</w:t>
      </w:r>
    </w:p>
    <w:p w14:paraId="4B8919F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Castro, M., Wenzel, S. E., Bleecker, E. R., Pizzichini, E., Kuna, P., Busse, W. W., … Raible, D. G. (2014). Benralizumab, an anti-interleukin 5 receptor α monoclonal antibody, versus placebo for uncontrolled eosinophilic asthma: a phase 2b randomised dose-ranging study. </w:t>
      </w:r>
      <w:r w:rsidRPr="009378D4">
        <w:rPr>
          <w:rFonts w:eastAsia="Times New Roman"/>
          <w:i/>
          <w:iCs/>
          <w:noProof/>
        </w:rPr>
        <w:t>The Lancet. Respiratory Medicine</w:t>
      </w:r>
      <w:r w:rsidRPr="009378D4">
        <w:rPr>
          <w:rFonts w:eastAsia="Times New Roman"/>
          <w:noProof/>
        </w:rPr>
        <w:t xml:space="preserve">, </w:t>
      </w:r>
      <w:r w:rsidRPr="009378D4">
        <w:rPr>
          <w:rFonts w:eastAsia="Times New Roman"/>
          <w:i/>
          <w:iCs/>
          <w:noProof/>
        </w:rPr>
        <w:t>2</w:t>
      </w:r>
      <w:r w:rsidRPr="009378D4">
        <w:rPr>
          <w:rFonts w:eastAsia="Times New Roman"/>
          <w:noProof/>
        </w:rPr>
        <w:t>(11), 879–90. http://doi.org/10.1016/S2213-2600(14)70201-2</w:t>
      </w:r>
    </w:p>
    <w:p w14:paraId="65B64CC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Cerritelli, S. M., &amp; Crouch, R. J. (2009). Ribonuclease H: the enzymes in eukaryotes. </w:t>
      </w:r>
      <w:r w:rsidRPr="009378D4">
        <w:rPr>
          <w:rFonts w:eastAsia="Times New Roman"/>
          <w:i/>
          <w:iCs/>
          <w:noProof/>
        </w:rPr>
        <w:t>The FEBS Journal</w:t>
      </w:r>
      <w:r w:rsidRPr="009378D4">
        <w:rPr>
          <w:rFonts w:eastAsia="Times New Roman"/>
          <w:noProof/>
        </w:rPr>
        <w:t xml:space="preserve">, </w:t>
      </w:r>
      <w:r w:rsidRPr="009378D4">
        <w:rPr>
          <w:rFonts w:eastAsia="Times New Roman"/>
          <w:i/>
          <w:iCs/>
          <w:noProof/>
        </w:rPr>
        <w:t>276</w:t>
      </w:r>
      <w:r w:rsidRPr="009378D4">
        <w:rPr>
          <w:rFonts w:eastAsia="Times New Roman"/>
          <w:noProof/>
        </w:rPr>
        <w:t>(6), 1494–505. http://doi.org/10.1111/j.1742-4658.2009.06908.x</w:t>
      </w:r>
    </w:p>
    <w:p w14:paraId="1DAC810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Chatila, T. A. (2004). Interleukin-4 receptor signaling pathways in asthma pathogenesis. </w:t>
      </w:r>
      <w:r w:rsidRPr="009378D4">
        <w:rPr>
          <w:rFonts w:eastAsia="Times New Roman"/>
          <w:i/>
          <w:iCs/>
          <w:noProof/>
        </w:rPr>
        <w:t>Trends in Molecular Medicine</w:t>
      </w:r>
      <w:r w:rsidRPr="009378D4">
        <w:rPr>
          <w:rFonts w:eastAsia="Times New Roman"/>
          <w:noProof/>
        </w:rPr>
        <w:t xml:space="preserve">, </w:t>
      </w:r>
      <w:r w:rsidRPr="009378D4">
        <w:rPr>
          <w:rFonts w:eastAsia="Times New Roman"/>
          <w:i/>
          <w:iCs/>
          <w:noProof/>
        </w:rPr>
        <w:t>10</w:t>
      </w:r>
      <w:r w:rsidRPr="009378D4">
        <w:rPr>
          <w:rFonts w:eastAsia="Times New Roman"/>
          <w:noProof/>
        </w:rPr>
        <w:t>(10), 493–9. http://doi.org/10.1016/j.molmed.2004.08.004</w:t>
      </w:r>
    </w:p>
    <w:p w14:paraId="7DDDCFD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Chen, G., Kronenberger, P., Teugels, E., &amp; De Grève, J. (2011). Influence of RT-qPCR primer position on EGFR interference efficacy in lung cancer cells. </w:t>
      </w:r>
      <w:r w:rsidRPr="009378D4">
        <w:rPr>
          <w:rFonts w:eastAsia="Times New Roman"/>
          <w:i/>
          <w:iCs/>
          <w:noProof/>
        </w:rPr>
        <w:t>Biological Procedures Online</w:t>
      </w:r>
      <w:r w:rsidRPr="009378D4">
        <w:rPr>
          <w:rFonts w:eastAsia="Times New Roman"/>
          <w:noProof/>
        </w:rPr>
        <w:t xml:space="preserve">, </w:t>
      </w:r>
      <w:r w:rsidRPr="009378D4">
        <w:rPr>
          <w:rFonts w:eastAsia="Times New Roman"/>
          <w:i/>
          <w:iCs/>
          <w:noProof/>
        </w:rPr>
        <w:t>13</w:t>
      </w:r>
      <w:r w:rsidRPr="009378D4">
        <w:rPr>
          <w:rFonts w:eastAsia="Times New Roman"/>
          <w:noProof/>
        </w:rPr>
        <w:t>, 1. http://doi.org/10.1186/1480-9222-13-1</w:t>
      </w:r>
    </w:p>
    <w:p w14:paraId="417C3C9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Chen, L., Dahlstrom, J. E., Lee, S.-H., &amp; Rangasamy, D. (2012). Naturally occurring endo-siRNA silences LINE-1 retrotransposons in human cells through DNA methylation. </w:t>
      </w:r>
      <w:r w:rsidRPr="009378D4">
        <w:rPr>
          <w:rFonts w:eastAsia="Times New Roman"/>
          <w:i/>
          <w:iCs/>
          <w:noProof/>
        </w:rPr>
        <w:lastRenderedPageBreak/>
        <w:t>Epigenetics</w:t>
      </w:r>
      <w:r w:rsidRPr="009378D4">
        <w:rPr>
          <w:rFonts w:eastAsia="Times New Roman"/>
          <w:noProof/>
        </w:rPr>
        <w:t xml:space="preserve">, </w:t>
      </w:r>
      <w:r w:rsidRPr="009378D4">
        <w:rPr>
          <w:rFonts w:eastAsia="Times New Roman"/>
          <w:i/>
          <w:iCs/>
          <w:noProof/>
        </w:rPr>
        <w:t>7</w:t>
      </w:r>
      <w:r w:rsidRPr="009378D4">
        <w:rPr>
          <w:rFonts w:eastAsia="Times New Roman"/>
          <w:noProof/>
        </w:rPr>
        <w:t>(7), 758–71. http://doi.org/10.4161/epi.20706</w:t>
      </w:r>
    </w:p>
    <w:p w14:paraId="562CFE2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Chi, S. W., Hannon, G. J., &amp; Darnell, R. B. (2012). An alternative mode of microRNA target recognition. </w:t>
      </w:r>
      <w:r w:rsidRPr="009378D4">
        <w:rPr>
          <w:rFonts w:eastAsia="Times New Roman"/>
          <w:i/>
          <w:iCs/>
          <w:noProof/>
        </w:rPr>
        <w:t>Nature Structural &amp; Molecular Biology</w:t>
      </w:r>
      <w:r w:rsidRPr="009378D4">
        <w:rPr>
          <w:rFonts w:eastAsia="Times New Roman"/>
          <w:noProof/>
        </w:rPr>
        <w:t xml:space="preserve">, </w:t>
      </w:r>
      <w:r w:rsidRPr="009378D4">
        <w:rPr>
          <w:rFonts w:eastAsia="Times New Roman"/>
          <w:i/>
          <w:iCs/>
          <w:noProof/>
        </w:rPr>
        <w:t>19</w:t>
      </w:r>
      <w:r w:rsidRPr="009378D4">
        <w:rPr>
          <w:rFonts w:eastAsia="Times New Roman"/>
          <w:noProof/>
        </w:rPr>
        <w:t>(3), 321–7. http://doi.org/10.1038/nsmb.2230</w:t>
      </w:r>
    </w:p>
    <w:p w14:paraId="171F698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Chi, S. W., Zang, J. B., Mele, A., &amp; Darnell, R. B. (2009). Argonaute HITS-CLIP decodes microRNA-mRNA interaction maps.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460</w:t>
      </w:r>
      <w:r w:rsidRPr="009378D4">
        <w:rPr>
          <w:rFonts w:eastAsia="Times New Roman"/>
          <w:noProof/>
        </w:rPr>
        <w:t>(7254), 479–486. http://doi.org/10.1038/nature08170</w:t>
      </w:r>
    </w:p>
    <w:p w14:paraId="2B20127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Cho, W. G., Albuquerque, R. J. C., Kleinman, M. E., Tarallo, V., Greco, A., Nozaki, M., … Ambati, J. (2009). Small interfering RNA-induced TLR3 activation inhibits blood and lymphatic vessel growth.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106</w:t>
      </w:r>
      <w:r w:rsidRPr="009378D4">
        <w:rPr>
          <w:rFonts w:eastAsia="Times New Roman"/>
          <w:noProof/>
        </w:rPr>
        <w:t>(17), 7137–42. http://doi.org/10.1073/pnas.0812317106</w:t>
      </w:r>
    </w:p>
    <w:p w14:paraId="087168C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Chroneos, Z. C., Sever-Chroneos, Z., &amp; Shepherd, V. L. (2010). Pulmonary surfactant: an immunological perspective. </w:t>
      </w:r>
      <w:r w:rsidRPr="009378D4">
        <w:rPr>
          <w:rFonts w:eastAsia="Times New Roman"/>
          <w:i/>
          <w:iCs/>
          <w:noProof/>
        </w:rPr>
        <w:t>Cellular Physiology and Biochemistry : International Journal of Experimental Cellular Physiology, Biochemistry, and Pharmacology</w:t>
      </w:r>
      <w:r w:rsidRPr="009378D4">
        <w:rPr>
          <w:rFonts w:eastAsia="Times New Roman"/>
          <w:noProof/>
        </w:rPr>
        <w:t xml:space="preserve">, </w:t>
      </w:r>
      <w:r w:rsidRPr="009378D4">
        <w:rPr>
          <w:rFonts w:eastAsia="Times New Roman"/>
          <w:i/>
          <w:iCs/>
          <w:noProof/>
        </w:rPr>
        <w:t>25</w:t>
      </w:r>
      <w:r w:rsidRPr="009378D4">
        <w:rPr>
          <w:rFonts w:eastAsia="Times New Roman"/>
          <w:noProof/>
        </w:rPr>
        <w:t>(1), 13–26. http://doi.org/10.1159/000272047</w:t>
      </w:r>
    </w:p>
    <w:p w14:paraId="01CE46D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Clark, K. L., Hughes, S. A., Bulsara, P., Coates, J., Moores, K., Parry, J., … Edbrooke, M. R. (2013). Pharmacological Characterization of a Novel ENaCα siRNA (GSK2225745) With Potential for the Treatment of Cystic Fibrosis. </w:t>
      </w:r>
      <w:r w:rsidRPr="009378D4">
        <w:rPr>
          <w:rFonts w:eastAsia="Times New Roman"/>
          <w:i/>
          <w:iCs/>
          <w:noProof/>
        </w:rPr>
        <w:t>Molecular Therapy. Nucleic Acids</w:t>
      </w:r>
      <w:r w:rsidRPr="009378D4">
        <w:rPr>
          <w:rFonts w:eastAsia="Times New Roman"/>
          <w:noProof/>
        </w:rPr>
        <w:t xml:space="preserve">, </w:t>
      </w:r>
      <w:r w:rsidRPr="009378D4">
        <w:rPr>
          <w:rFonts w:eastAsia="Times New Roman"/>
          <w:i/>
          <w:iCs/>
          <w:noProof/>
        </w:rPr>
        <w:t>2</w:t>
      </w:r>
      <w:r w:rsidRPr="009378D4">
        <w:rPr>
          <w:rFonts w:eastAsia="Times New Roman"/>
          <w:noProof/>
        </w:rPr>
        <w:t>, e65. http://doi.org/10.1038/mtna.2012.57</w:t>
      </w:r>
    </w:p>
    <w:p w14:paraId="6180225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Cook, D., Brown, D., Alexander, R., March, R., Morgan, P., Satterthwaite, G., &amp; Pangalos, M. N. (2014). Lessons learned from the fate of AstraZeneca’s drug pipeline: a five-dimensional framework. </w:t>
      </w:r>
      <w:r w:rsidRPr="009378D4">
        <w:rPr>
          <w:rFonts w:eastAsia="Times New Roman"/>
          <w:i/>
          <w:iCs/>
          <w:noProof/>
        </w:rPr>
        <w:t>Nature Reviews. Drug Discovery</w:t>
      </w:r>
      <w:r w:rsidRPr="009378D4">
        <w:rPr>
          <w:rFonts w:eastAsia="Times New Roman"/>
          <w:noProof/>
        </w:rPr>
        <w:t xml:space="preserve">, </w:t>
      </w:r>
      <w:r w:rsidRPr="009378D4">
        <w:rPr>
          <w:rFonts w:eastAsia="Times New Roman"/>
          <w:i/>
          <w:iCs/>
          <w:noProof/>
        </w:rPr>
        <w:t>13</w:t>
      </w:r>
      <w:r w:rsidRPr="009378D4">
        <w:rPr>
          <w:rFonts w:eastAsia="Times New Roman"/>
          <w:noProof/>
        </w:rPr>
        <w:t>(6), 419–31. http://doi.org/10.1038/nrd4309</w:t>
      </w:r>
    </w:p>
    <w:p w14:paraId="0BB2FA1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Cordier, C., Boutimah, F., Bourdeloux, M., Dupuy, F., Met, E., Alberti, P., … Saison-</w:t>
      </w:r>
      <w:r w:rsidRPr="009378D4">
        <w:rPr>
          <w:rFonts w:eastAsia="Times New Roman"/>
          <w:noProof/>
        </w:rPr>
        <w:lastRenderedPageBreak/>
        <w:t xml:space="preserve">Behmoaras, T. E. (2014). Delivery of antisense peptide nucleic acids to cells by conjugation with small arginine-rich cell-penetrating peptide (R/W)9. </w:t>
      </w:r>
      <w:r w:rsidRPr="009378D4">
        <w:rPr>
          <w:rFonts w:eastAsia="Times New Roman"/>
          <w:i/>
          <w:iCs/>
          <w:noProof/>
        </w:rPr>
        <w:t>PloS One</w:t>
      </w:r>
      <w:r w:rsidRPr="009378D4">
        <w:rPr>
          <w:rFonts w:eastAsia="Times New Roman"/>
          <w:noProof/>
        </w:rPr>
        <w:t xml:space="preserve">, </w:t>
      </w:r>
      <w:r w:rsidRPr="009378D4">
        <w:rPr>
          <w:rFonts w:eastAsia="Times New Roman"/>
          <w:i/>
          <w:iCs/>
          <w:noProof/>
        </w:rPr>
        <w:t>9</w:t>
      </w:r>
      <w:r w:rsidRPr="009378D4">
        <w:rPr>
          <w:rFonts w:eastAsia="Times New Roman"/>
          <w:noProof/>
        </w:rPr>
        <w:t>(8), e104999. http://doi.org/10.1371/journal.pone.0104999</w:t>
      </w:r>
    </w:p>
    <w:p w14:paraId="6C32217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Corren, J. (2012). Inhibition of Interleukin-5 for the Treatment of Eosinophilic Diseases. </w:t>
      </w:r>
      <w:r w:rsidRPr="009378D4">
        <w:rPr>
          <w:rFonts w:eastAsia="Times New Roman"/>
          <w:i/>
          <w:iCs/>
          <w:noProof/>
        </w:rPr>
        <w:t>Discovery Medicine</w:t>
      </w:r>
      <w:r w:rsidRPr="009378D4">
        <w:rPr>
          <w:rFonts w:eastAsia="Times New Roman"/>
          <w:noProof/>
        </w:rPr>
        <w:t xml:space="preserve">, </w:t>
      </w:r>
      <w:r w:rsidRPr="009378D4">
        <w:rPr>
          <w:rFonts w:eastAsia="Times New Roman"/>
          <w:i/>
          <w:iCs/>
          <w:noProof/>
        </w:rPr>
        <w:t>13</w:t>
      </w:r>
      <w:r w:rsidRPr="009378D4">
        <w:rPr>
          <w:rFonts w:eastAsia="Times New Roman"/>
          <w:noProof/>
        </w:rPr>
        <w:t>(71), 305–312. Retrieved from http://www.discoverymedicine.com/Jonathan-Corren/2012/04/24/inhibition-of-interleukin-5-for-the-treatment-of-eosinophilic-diseases/</w:t>
      </w:r>
    </w:p>
    <w:p w14:paraId="5A39F65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Cossum, P. A., Sasmor, H., Dellinger, D., Truong, L., Cummins, L., Owens, S. R., … Crooke, S. (1993). Disposition of the 14C-labeled phosphorothioate oligonucleotide ISIS 2105 after intravenous administration to rats. </w:t>
      </w:r>
      <w:r w:rsidRPr="009378D4">
        <w:rPr>
          <w:rFonts w:eastAsia="Times New Roman"/>
          <w:i/>
          <w:iCs/>
          <w:noProof/>
        </w:rPr>
        <w:t>The Journal of Pharmacology and Experimental Therapeutics</w:t>
      </w:r>
      <w:r w:rsidRPr="009378D4">
        <w:rPr>
          <w:rFonts w:eastAsia="Times New Roman"/>
          <w:noProof/>
        </w:rPr>
        <w:t xml:space="preserve">, </w:t>
      </w:r>
      <w:r w:rsidRPr="009378D4">
        <w:rPr>
          <w:rFonts w:eastAsia="Times New Roman"/>
          <w:i/>
          <w:iCs/>
          <w:noProof/>
        </w:rPr>
        <w:t>267</w:t>
      </w:r>
      <w:r w:rsidRPr="009378D4">
        <w:rPr>
          <w:rFonts w:eastAsia="Times New Roman"/>
          <w:noProof/>
        </w:rPr>
        <w:t>(3), 1181–90. Retrieved from http://www.ncbi.nlm.nih.gov/pubmed/8166890</w:t>
      </w:r>
    </w:p>
    <w:p w14:paraId="7CAD59F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Crooke, S. T. (1999). Molecular mechanisms of action of antisense drugs. </w:t>
      </w:r>
      <w:r w:rsidRPr="009378D4">
        <w:rPr>
          <w:rFonts w:eastAsia="Times New Roman"/>
          <w:i/>
          <w:iCs/>
          <w:noProof/>
        </w:rPr>
        <w:t>Biochimica et Biophysica Acta</w:t>
      </w:r>
      <w:r w:rsidRPr="009378D4">
        <w:rPr>
          <w:rFonts w:eastAsia="Times New Roman"/>
          <w:noProof/>
        </w:rPr>
        <w:t xml:space="preserve">, </w:t>
      </w:r>
      <w:r w:rsidRPr="009378D4">
        <w:rPr>
          <w:rFonts w:eastAsia="Times New Roman"/>
          <w:i/>
          <w:iCs/>
          <w:noProof/>
        </w:rPr>
        <w:t>1489</w:t>
      </w:r>
      <w:r w:rsidRPr="009378D4">
        <w:rPr>
          <w:rFonts w:eastAsia="Times New Roman"/>
          <w:noProof/>
        </w:rPr>
        <w:t>(1), 31–44. Retrieved from http://www.ncbi.nlm.nih.gov/pubmed/10806995</w:t>
      </w:r>
    </w:p>
    <w:p w14:paraId="21619FE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Crooke, S. T., Graham, M. J., Zuckerman, J. E., Brooks, D., Conklin, B. S., Cummins, L. L., … Griffey, R. H. (1996). Pharmacokinetic properties of several novel oligonucleotide analogs in mice. </w:t>
      </w:r>
      <w:r w:rsidRPr="009378D4">
        <w:rPr>
          <w:rFonts w:eastAsia="Times New Roman"/>
          <w:i/>
          <w:iCs/>
          <w:noProof/>
        </w:rPr>
        <w:t>The Journal of Pharmacology and Experimental Therapeutics</w:t>
      </w:r>
      <w:r w:rsidRPr="009378D4">
        <w:rPr>
          <w:rFonts w:eastAsia="Times New Roman"/>
          <w:noProof/>
        </w:rPr>
        <w:t xml:space="preserve">, </w:t>
      </w:r>
      <w:r w:rsidRPr="009378D4">
        <w:rPr>
          <w:rFonts w:eastAsia="Times New Roman"/>
          <w:i/>
          <w:iCs/>
          <w:noProof/>
        </w:rPr>
        <w:t>277</w:t>
      </w:r>
      <w:r w:rsidRPr="009378D4">
        <w:rPr>
          <w:rFonts w:eastAsia="Times New Roman"/>
          <w:noProof/>
        </w:rPr>
        <w:t>(2), 923–37. Retrieved from http://www.ncbi.nlm.nih.gov/pubmed/8627575</w:t>
      </w:r>
    </w:p>
    <w:p w14:paraId="393FC02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Daige, C. L., Wiggins, J. F., Priddy, L., Nelligan-Davis, T., Zhao, J., &amp; Brown, D. (2014). Systemic delivery of a miR34a mimic as a potential therapeutic for liver cancer. </w:t>
      </w:r>
      <w:r w:rsidRPr="009378D4">
        <w:rPr>
          <w:rFonts w:eastAsia="Times New Roman"/>
          <w:i/>
          <w:iCs/>
          <w:noProof/>
        </w:rPr>
        <w:t>Molecular Cancer Therapeutics</w:t>
      </w:r>
      <w:r w:rsidRPr="009378D4">
        <w:rPr>
          <w:rFonts w:eastAsia="Times New Roman"/>
          <w:noProof/>
        </w:rPr>
        <w:t xml:space="preserve">, </w:t>
      </w:r>
      <w:r w:rsidRPr="009378D4">
        <w:rPr>
          <w:rFonts w:eastAsia="Times New Roman"/>
          <w:i/>
          <w:iCs/>
          <w:noProof/>
        </w:rPr>
        <w:t>13</w:t>
      </w:r>
      <w:r w:rsidRPr="009378D4">
        <w:rPr>
          <w:rFonts w:eastAsia="Times New Roman"/>
          <w:noProof/>
        </w:rPr>
        <w:t>(10), 2352–60. http://doi.org/10.1158/1535-7163.MCT-14-0209</w:t>
      </w:r>
    </w:p>
    <w:p w14:paraId="5DBC49B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Davies, D. E. (2014). Epithelial barrier function and immunity in asthma. </w:t>
      </w:r>
      <w:r w:rsidRPr="009378D4">
        <w:rPr>
          <w:rFonts w:eastAsia="Times New Roman"/>
          <w:i/>
          <w:iCs/>
          <w:noProof/>
        </w:rPr>
        <w:t xml:space="preserve">Annals of the </w:t>
      </w:r>
      <w:r w:rsidRPr="009378D4">
        <w:rPr>
          <w:rFonts w:eastAsia="Times New Roman"/>
          <w:i/>
          <w:iCs/>
          <w:noProof/>
        </w:rPr>
        <w:lastRenderedPageBreak/>
        <w:t>American Thoracic Society</w:t>
      </w:r>
      <w:r w:rsidRPr="009378D4">
        <w:rPr>
          <w:rFonts w:eastAsia="Times New Roman"/>
          <w:noProof/>
        </w:rPr>
        <w:t xml:space="preserve">, </w:t>
      </w:r>
      <w:r w:rsidRPr="009378D4">
        <w:rPr>
          <w:rFonts w:eastAsia="Times New Roman"/>
          <w:i/>
          <w:iCs/>
          <w:noProof/>
        </w:rPr>
        <w:t>11 Suppl 5</w:t>
      </w:r>
      <w:r w:rsidRPr="009378D4">
        <w:rPr>
          <w:rFonts w:eastAsia="Times New Roman"/>
          <w:noProof/>
        </w:rPr>
        <w:t>, S244–51. http://doi.org/10.1513/AnnalsATS.201407-304AW</w:t>
      </w:r>
    </w:p>
    <w:p w14:paraId="1B65341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De Backer, L., Cerrada, A., Pérez-Gil, J., De Smedt, S. C., &amp; Raemdonck, K. (2015). Bio-inspired materials in drug delivery: Exploring the role of pulmonary surfactant in sirna inhalation therapy. </w:t>
      </w:r>
      <w:r w:rsidRPr="009378D4">
        <w:rPr>
          <w:rFonts w:eastAsia="Times New Roman"/>
          <w:i/>
          <w:iCs/>
          <w:noProof/>
        </w:rPr>
        <w:t>Journal of Controlled Release : Official Journal of the Controlled Release Society</w:t>
      </w:r>
      <w:r w:rsidRPr="009378D4">
        <w:rPr>
          <w:rFonts w:eastAsia="Times New Roman"/>
          <w:noProof/>
        </w:rPr>
        <w:t>. http://doi.org/10.1016/j.jconrel.2015.09.004</w:t>
      </w:r>
    </w:p>
    <w:p w14:paraId="148B65A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de Hoon, M., Shin, J. W., &amp; Carninci, P. (2015). Paradigm shifts in genomics through the FANTOM projects. </w:t>
      </w:r>
      <w:r w:rsidRPr="009378D4">
        <w:rPr>
          <w:rFonts w:eastAsia="Times New Roman"/>
          <w:i/>
          <w:iCs/>
          <w:noProof/>
        </w:rPr>
        <w:t>Mammalian Genome : Official Journal of the International Mammalian Genome Society</w:t>
      </w:r>
      <w:r w:rsidRPr="009378D4">
        <w:rPr>
          <w:rFonts w:eastAsia="Times New Roman"/>
          <w:noProof/>
        </w:rPr>
        <w:t xml:space="preserve">, </w:t>
      </w:r>
      <w:r w:rsidRPr="009378D4">
        <w:rPr>
          <w:rFonts w:eastAsia="Times New Roman"/>
          <w:i/>
          <w:iCs/>
          <w:noProof/>
        </w:rPr>
        <w:t>26</w:t>
      </w:r>
      <w:r w:rsidRPr="009378D4">
        <w:rPr>
          <w:rFonts w:eastAsia="Times New Roman"/>
          <w:noProof/>
        </w:rPr>
        <w:t>(9-10), 391–402. http://doi.org/10.1007/s00335-015-9593-8</w:t>
      </w:r>
    </w:p>
    <w:p w14:paraId="42C7FD6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Denise, H., Moschos, S. A., Sidders, B., Burden, F., Perkins, H., Carter, N., … Corbau, R. (2013). Deep sequencing insights in therapeutic shRNA processing and siRNA target cleavage precision. </w:t>
      </w:r>
      <w:r w:rsidRPr="009378D4">
        <w:rPr>
          <w:rFonts w:eastAsia="Times New Roman"/>
          <w:i/>
          <w:iCs/>
          <w:noProof/>
        </w:rPr>
        <w:t>Molecular Therapy Nucleic Acids</w:t>
      </w:r>
      <w:r w:rsidRPr="009378D4">
        <w:rPr>
          <w:rFonts w:eastAsia="Times New Roman"/>
          <w:noProof/>
        </w:rPr>
        <w:t xml:space="preserve">, </w:t>
      </w:r>
      <w:r w:rsidRPr="009378D4">
        <w:rPr>
          <w:rFonts w:eastAsia="Times New Roman"/>
          <w:i/>
          <w:iCs/>
          <w:noProof/>
        </w:rPr>
        <w:t>in press</w:t>
      </w:r>
      <w:r w:rsidRPr="009378D4">
        <w:rPr>
          <w:rFonts w:eastAsia="Times New Roman"/>
          <w:noProof/>
        </w:rPr>
        <w:t>.</w:t>
      </w:r>
    </w:p>
    <w:p w14:paraId="0D513FA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Denyer, J., &amp; Dyche, T. (2010). The Adaptive Aerosol Delivery (AAD) technology: Past, present, and future. </w:t>
      </w:r>
      <w:r w:rsidRPr="009378D4">
        <w:rPr>
          <w:rFonts w:eastAsia="Times New Roman"/>
          <w:i/>
          <w:iCs/>
          <w:noProof/>
        </w:rPr>
        <w:t>Journal of Aerosol Medicine and Pulmonary Drug Delivery</w:t>
      </w:r>
      <w:r w:rsidRPr="009378D4">
        <w:rPr>
          <w:rFonts w:eastAsia="Times New Roman"/>
          <w:noProof/>
        </w:rPr>
        <w:t xml:space="preserve">, </w:t>
      </w:r>
      <w:r w:rsidRPr="009378D4">
        <w:rPr>
          <w:rFonts w:eastAsia="Times New Roman"/>
          <w:i/>
          <w:iCs/>
          <w:noProof/>
        </w:rPr>
        <w:t>23 Suppl 1</w:t>
      </w:r>
      <w:r w:rsidRPr="009378D4">
        <w:rPr>
          <w:rFonts w:eastAsia="Times New Roman"/>
          <w:noProof/>
        </w:rPr>
        <w:t>, S1–10. http://doi.org/10.1089/jamp.2009.0791</w:t>
      </w:r>
    </w:p>
    <w:p w14:paraId="0104688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Derscheid, R. J., &amp; Ackermann, M. R. (2013). The innate immune system of the perinatal lung and responses to respiratory syncytial virus infection. </w:t>
      </w:r>
      <w:r w:rsidRPr="009378D4">
        <w:rPr>
          <w:rFonts w:eastAsia="Times New Roman"/>
          <w:i/>
          <w:iCs/>
          <w:noProof/>
        </w:rPr>
        <w:t>Veterinary Pathology</w:t>
      </w:r>
      <w:r w:rsidRPr="009378D4">
        <w:rPr>
          <w:rFonts w:eastAsia="Times New Roman"/>
          <w:noProof/>
        </w:rPr>
        <w:t xml:space="preserve">, </w:t>
      </w:r>
      <w:r w:rsidRPr="009378D4">
        <w:rPr>
          <w:rFonts w:eastAsia="Times New Roman"/>
          <w:i/>
          <w:iCs/>
          <w:noProof/>
        </w:rPr>
        <w:t>50</w:t>
      </w:r>
      <w:r w:rsidRPr="009378D4">
        <w:rPr>
          <w:rFonts w:eastAsia="Times New Roman"/>
          <w:noProof/>
        </w:rPr>
        <w:t>(5), 827–41. http://doi.org/10.1177/0300985813480216</w:t>
      </w:r>
    </w:p>
    <w:p w14:paraId="2129C72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DeVincenzo, J., Cehelsky, J. E., Alvarez, R., Elbashir, S., Harborth, J., Toudjarska, I., … Meyers, R. (2008). Evaluation of the safety, tolerability and pharmacokinetics of ALN-RSV01, a novel RNAi antiviral therapeutic directed against respiratory syncytial virus (RSV). </w:t>
      </w:r>
      <w:r w:rsidRPr="009378D4">
        <w:rPr>
          <w:rFonts w:eastAsia="Times New Roman"/>
          <w:i/>
          <w:iCs/>
          <w:noProof/>
        </w:rPr>
        <w:t>Antiviral Research</w:t>
      </w:r>
      <w:r w:rsidRPr="009378D4">
        <w:rPr>
          <w:rFonts w:eastAsia="Times New Roman"/>
          <w:noProof/>
        </w:rPr>
        <w:t xml:space="preserve">, </w:t>
      </w:r>
      <w:r w:rsidRPr="009378D4">
        <w:rPr>
          <w:rFonts w:eastAsia="Times New Roman"/>
          <w:i/>
          <w:iCs/>
          <w:noProof/>
        </w:rPr>
        <w:t>77</w:t>
      </w:r>
      <w:r w:rsidRPr="009378D4">
        <w:rPr>
          <w:rFonts w:eastAsia="Times New Roman"/>
          <w:noProof/>
        </w:rPr>
        <w:t>(3), 225–31. http://doi.org/10.1016/j.antiviral.2007.11.009</w:t>
      </w:r>
    </w:p>
    <w:p w14:paraId="5AC8DB2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DeVincenzo, J., Lambkin-Williams, R., Wilkinson, T., Cehelsky, J., Nochur, S., Walsh, E., </w:t>
      </w:r>
      <w:r w:rsidRPr="009378D4">
        <w:rPr>
          <w:rFonts w:eastAsia="Times New Roman"/>
          <w:noProof/>
        </w:rPr>
        <w:lastRenderedPageBreak/>
        <w:t xml:space="preserve">… Vaishnaw, A. (2010a). A randomized, double-blind, placebo-controlled study of an RNAi-based therapy directed against respiratory syncytial virus.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107</w:t>
      </w:r>
      <w:r w:rsidRPr="009378D4">
        <w:rPr>
          <w:rFonts w:eastAsia="Times New Roman"/>
          <w:noProof/>
        </w:rPr>
        <w:t>(19), 8800–5. http://doi.org/10.1073/pnas.0912186107</w:t>
      </w:r>
    </w:p>
    <w:p w14:paraId="668D872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DeVincenzo, J., Lambkin-Williams, R., Wilkinson, T., Cehelsky, J., Nochur, S., Walsh, E., … Vaishnaw, A. (2010b). A randomized, double-blind, placebo-controlled study of an RNAi-based therapy directed against respiratory syncytial virus.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107</w:t>
      </w:r>
      <w:r w:rsidRPr="009378D4">
        <w:rPr>
          <w:rFonts w:eastAsia="Times New Roman"/>
          <w:noProof/>
        </w:rPr>
        <w:t>(19), 8800–5. http://doi.org/10.1073/pnas.0912186107</w:t>
      </w:r>
    </w:p>
    <w:p w14:paraId="5E85F87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Devoldere, J., Dewitte, H., De Smedt, S. C., &amp; Remaut, K. (2016). Evading innate immunity in nonviral mRNA delivery: don’t shoot the messenger. </w:t>
      </w:r>
      <w:r w:rsidRPr="009378D4">
        <w:rPr>
          <w:rFonts w:eastAsia="Times New Roman"/>
          <w:i/>
          <w:iCs/>
          <w:noProof/>
        </w:rPr>
        <w:t>Drug Discovery Today</w:t>
      </w:r>
      <w:r w:rsidRPr="009378D4">
        <w:rPr>
          <w:rFonts w:eastAsia="Times New Roman"/>
          <w:noProof/>
        </w:rPr>
        <w:t xml:space="preserve">, </w:t>
      </w:r>
      <w:r w:rsidRPr="009378D4">
        <w:rPr>
          <w:rFonts w:eastAsia="Times New Roman"/>
          <w:i/>
          <w:iCs/>
          <w:noProof/>
        </w:rPr>
        <w:t>21</w:t>
      </w:r>
      <w:r w:rsidRPr="009378D4">
        <w:rPr>
          <w:rFonts w:eastAsia="Times New Roman"/>
          <w:noProof/>
        </w:rPr>
        <w:t>(1), 11–25. http://doi.org/10.1016/j.drudis.2015.07.009</w:t>
      </w:r>
    </w:p>
    <w:p w14:paraId="5499FA9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Dietrich, A., Wallet, C., Iqbal, R. K., Gualberto, J. M., &amp; Lotfi, F. (2015). Organellar non-coding RNAs: Emerging regulation mechanisms. </w:t>
      </w:r>
      <w:r w:rsidRPr="009378D4">
        <w:rPr>
          <w:rFonts w:eastAsia="Times New Roman"/>
          <w:i/>
          <w:iCs/>
          <w:noProof/>
        </w:rPr>
        <w:t>Biochimie</w:t>
      </w:r>
      <w:r w:rsidRPr="009378D4">
        <w:rPr>
          <w:rFonts w:eastAsia="Times New Roman"/>
          <w:noProof/>
        </w:rPr>
        <w:t xml:space="preserve">, </w:t>
      </w:r>
      <w:r w:rsidRPr="009378D4">
        <w:rPr>
          <w:rFonts w:eastAsia="Times New Roman"/>
          <w:i/>
          <w:iCs/>
          <w:noProof/>
        </w:rPr>
        <w:t>117</w:t>
      </w:r>
      <w:r w:rsidRPr="009378D4">
        <w:rPr>
          <w:rFonts w:eastAsia="Times New Roman"/>
          <w:noProof/>
        </w:rPr>
        <w:t>, 48–62. http://doi.org/10.1016/j.biochi.2015.06.027</w:t>
      </w:r>
    </w:p>
    <w:p w14:paraId="3230763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Dirin, M., &amp; Winkler, J. (2013). Influence of diverse chemical modifications on the ADME characteristics and toxicology of antisense oligonucleotides. </w:t>
      </w:r>
      <w:r w:rsidRPr="009378D4">
        <w:rPr>
          <w:rFonts w:eastAsia="Times New Roman"/>
          <w:i/>
          <w:iCs/>
          <w:noProof/>
        </w:rPr>
        <w:t>Expert Opinion on Biological Therapy</w:t>
      </w:r>
      <w:r w:rsidRPr="009378D4">
        <w:rPr>
          <w:rFonts w:eastAsia="Times New Roman"/>
          <w:noProof/>
        </w:rPr>
        <w:t xml:space="preserve">, </w:t>
      </w:r>
      <w:r w:rsidRPr="009378D4">
        <w:rPr>
          <w:rFonts w:eastAsia="Times New Roman"/>
          <w:i/>
          <w:iCs/>
          <w:noProof/>
        </w:rPr>
        <w:t>13</w:t>
      </w:r>
      <w:r w:rsidRPr="009378D4">
        <w:rPr>
          <w:rFonts w:eastAsia="Times New Roman"/>
          <w:noProof/>
        </w:rPr>
        <w:t>(6), 875–88. http://doi.org/10.1517/14712598.2013.774366</w:t>
      </w:r>
    </w:p>
    <w:p w14:paraId="0834B8C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Disterer, P., Kryczka, A., Liu, Y., Badi, Y. E., Wong, J. J., Owen, J. S., &amp; Khoo, B. (2014). Development of therapeutic splice-switching oligonucleotides. </w:t>
      </w:r>
      <w:r w:rsidRPr="009378D4">
        <w:rPr>
          <w:rFonts w:eastAsia="Times New Roman"/>
          <w:i/>
          <w:iCs/>
          <w:noProof/>
        </w:rPr>
        <w:t>Human Gene Therapy</w:t>
      </w:r>
      <w:r w:rsidRPr="009378D4">
        <w:rPr>
          <w:rFonts w:eastAsia="Times New Roman"/>
          <w:noProof/>
        </w:rPr>
        <w:t xml:space="preserve">, </w:t>
      </w:r>
      <w:r w:rsidRPr="009378D4">
        <w:rPr>
          <w:rFonts w:eastAsia="Times New Roman"/>
          <w:i/>
          <w:iCs/>
          <w:noProof/>
        </w:rPr>
        <w:t>25</w:t>
      </w:r>
      <w:r w:rsidRPr="009378D4">
        <w:rPr>
          <w:rFonts w:eastAsia="Times New Roman"/>
          <w:noProof/>
        </w:rPr>
        <w:t>(7), 587–98. http://doi.org/10.1089/hum.2013.234</w:t>
      </w:r>
    </w:p>
    <w:p w14:paraId="69A1BA7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Dittmar, W. J., McIver, L., Michalak, P., Garner, H. R., &amp; Valdez, G. (2014). EvoCor: a platform for predicting functionally related genes using phylogenetic and expression profiles.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42</w:t>
      </w:r>
      <w:r w:rsidRPr="009378D4">
        <w:rPr>
          <w:rFonts w:eastAsia="Times New Roman"/>
          <w:noProof/>
        </w:rPr>
        <w:t xml:space="preserve">(Web Server issue), W72–5. </w:t>
      </w:r>
      <w:r w:rsidRPr="009378D4">
        <w:rPr>
          <w:rFonts w:eastAsia="Times New Roman"/>
          <w:noProof/>
        </w:rPr>
        <w:lastRenderedPageBreak/>
        <w:t>http://doi.org/10.1093/nar/gku442</w:t>
      </w:r>
    </w:p>
    <w:p w14:paraId="7C7AE04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Djebali, S., Davis, C. A., Merkel, A., Dobin, A., Lassmann, T., Mortazavi, A., … Gingeras, T. R. (2012). Landscape of transcription in human cells.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489</w:t>
      </w:r>
      <w:r w:rsidRPr="009378D4">
        <w:rPr>
          <w:rFonts w:eastAsia="Times New Roman"/>
          <w:noProof/>
        </w:rPr>
        <w:t>(7414), 101–8. http://doi.org/10.1038/nature11233</w:t>
      </w:r>
    </w:p>
    <w:p w14:paraId="10FA484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Dorman, S. C., Efthimiadis, A., Babirad, I., Watson, R. M., Denburg, J. A., Hargreave, F. E., … Sehmi, R. (2004). Sputum CD34+IL-5Ralpha+ cells increase after allergen: evidence for in situ eosinophilopoiesis. </w:t>
      </w:r>
      <w:r w:rsidRPr="009378D4">
        <w:rPr>
          <w:rFonts w:eastAsia="Times New Roman"/>
          <w:i/>
          <w:iCs/>
          <w:noProof/>
        </w:rPr>
        <w:t>American Journal of Respiratory and Critical Care Medicine</w:t>
      </w:r>
      <w:r w:rsidRPr="009378D4">
        <w:rPr>
          <w:rFonts w:eastAsia="Times New Roman"/>
          <w:noProof/>
        </w:rPr>
        <w:t xml:space="preserve">, </w:t>
      </w:r>
      <w:r w:rsidRPr="009378D4">
        <w:rPr>
          <w:rFonts w:eastAsia="Times New Roman"/>
          <w:i/>
          <w:iCs/>
          <w:noProof/>
        </w:rPr>
        <w:t>169</w:t>
      </w:r>
      <w:r w:rsidRPr="009378D4">
        <w:rPr>
          <w:rFonts w:eastAsia="Times New Roman"/>
          <w:noProof/>
        </w:rPr>
        <w:t>(5), 573–7. http://doi.org/10.1164/rccm.200307-1004OC</w:t>
      </w:r>
    </w:p>
    <w:p w14:paraId="6CB4836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Dowell, M. L., Lavoie, T. L., Solway, J., &amp; Krishnan, R. (2014). Airway smooth muscle: a potential target for asthma therapy. </w:t>
      </w:r>
      <w:r w:rsidRPr="009378D4">
        <w:rPr>
          <w:rFonts w:eastAsia="Times New Roman"/>
          <w:i/>
          <w:iCs/>
          <w:noProof/>
        </w:rPr>
        <w:t>Current Opinion in Pulmonary Medicine</w:t>
      </w:r>
      <w:r w:rsidRPr="009378D4">
        <w:rPr>
          <w:rFonts w:eastAsia="Times New Roman"/>
          <w:noProof/>
        </w:rPr>
        <w:t xml:space="preserve">, </w:t>
      </w:r>
      <w:r w:rsidRPr="009378D4">
        <w:rPr>
          <w:rFonts w:eastAsia="Times New Roman"/>
          <w:i/>
          <w:iCs/>
          <w:noProof/>
        </w:rPr>
        <w:t>20</w:t>
      </w:r>
      <w:r w:rsidRPr="009378D4">
        <w:rPr>
          <w:rFonts w:eastAsia="Times New Roman"/>
          <w:noProof/>
        </w:rPr>
        <w:t>(1), 66–72. http://doi.org/10.1097/MCP.0000000000000011</w:t>
      </w:r>
    </w:p>
    <w:p w14:paraId="64228AB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Dragulescu-Andrasi, A., Rapireddy, S., He, G., Bhattacharya, B., Hyldig-Nielsen, J. J., Zon, G., &amp; Ly, D. H. (2006). Cell-permeable peptide nucleic acid designed to bind to the 5’-untranslated region of E-cadherin transcript induces potent and sequence-specific antisense effects. </w:t>
      </w:r>
      <w:r w:rsidRPr="009378D4">
        <w:rPr>
          <w:rFonts w:eastAsia="Times New Roman"/>
          <w:i/>
          <w:iCs/>
          <w:noProof/>
        </w:rPr>
        <w:t>Journal of the American Chemical Society</w:t>
      </w:r>
      <w:r w:rsidRPr="009378D4">
        <w:rPr>
          <w:rFonts w:eastAsia="Times New Roman"/>
          <w:noProof/>
        </w:rPr>
        <w:t xml:space="preserve">, </w:t>
      </w:r>
      <w:r w:rsidRPr="009378D4">
        <w:rPr>
          <w:rFonts w:eastAsia="Times New Roman"/>
          <w:i/>
          <w:iCs/>
          <w:noProof/>
        </w:rPr>
        <w:t>128</w:t>
      </w:r>
      <w:r w:rsidRPr="009378D4">
        <w:rPr>
          <w:rFonts w:eastAsia="Times New Roman"/>
          <w:noProof/>
        </w:rPr>
        <w:t>(50), 16104–12. http://doi.org/10.1021/ja063383v</w:t>
      </w:r>
    </w:p>
    <w:p w14:paraId="1C308F9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Duan, W., Chan, J. H. P., McKay, K., Crosby, J. R., Choo, H. H., Leung, B. P., … Wong, W. S. F. (2005). Inhaled p38alpha mitogen-activated protein kinase antisense oligonucleotide attenuates asthma in mice. </w:t>
      </w:r>
      <w:r w:rsidRPr="009378D4">
        <w:rPr>
          <w:rFonts w:eastAsia="Times New Roman"/>
          <w:i/>
          <w:iCs/>
          <w:noProof/>
        </w:rPr>
        <w:t>American Journal of Respiratory and Critical Care Medicine</w:t>
      </w:r>
      <w:r w:rsidRPr="009378D4">
        <w:rPr>
          <w:rFonts w:eastAsia="Times New Roman"/>
          <w:noProof/>
        </w:rPr>
        <w:t xml:space="preserve">, </w:t>
      </w:r>
      <w:r w:rsidRPr="009378D4">
        <w:rPr>
          <w:rFonts w:eastAsia="Times New Roman"/>
          <w:i/>
          <w:iCs/>
          <w:noProof/>
        </w:rPr>
        <w:t>171</w:t>
      </w:r>
      <w:r w:rsidRPr="009378D4">
        <w:rPr>
          <w:rFonts w:eastAsia="Times New Roman"/>
          <w:noProof/>
        </w:rPr>
        <w:t>(6), 571–8. http://doi.org/10.1164/rccm.200408-1006OC</w:t>
      </w:r>
    </w:p>
    <w:p w14:paraId="0E011FB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Eisen, J. S., &amp; Smith, J. C. (2008). Controlling morpholino experiments: don’t stop making antisense. </w:t>
      </w:r>
      <w:r w:rsidRPr="009378D4">
        <w:rPr>
          <w:rFonts w:eastAsia="Times New Roman"/>
          <w:i/>
          <w:iCs/>
          <w:noProof/>
        </w:rPr>
        <w:t>Development (Cambridge, England)</w:t>
      </w:r>
      <w:r w:rsidRPr="009378D4">
        <w:rPr>
          <w:rFonts w:eastAsia="Times New Roman"/>
          <w:noProof/>
        </w:rPr>
        <w:t xml:space="preserve">, </w:t>
      </w:r>
      <w:r w:rsidRPr="009378D4">
        <w:rPr>
          <w:rFonts w:eastAsia="Times New Roman"/>
          <w:i/>
          <w:iCs/>
          <w:noProof/>
        </w:rPr>
        <w:t>135</w:t>
      </w:r>
      <w:r w:rsidRPr="009378D4">
        <w:rPr>
          <w:rFonts w:eastAsia="Times New Roman"/>
          <w:noProof/>
        </w:rPr>
        <w:t>(10), 1735–43. http://doi.org/10.1242/dev.001115</w:t>
      </w:r>
    </w:p>
    <w:p w14:paraId="5C29BDF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El Saleeby, C. M., Bush, A. J., Harrison, L. M., Aitken, J. A., &amp; Devincenzo, J. P. (2011). </w:t>
      </w:r>
      <w:r w:rsidRPr="009378D4">
        <w:rPr>
          <w:rFonts w:eastAsia="Times New Roman"/>
          <w:noProof/>
        </w:rPr>
        <w:lastRenderedPageBreak/>
        <w:t xml:space="preserve">Respiratory syncytial virus load, viral dynamics, and disease severity in previously healthy naturally infected children. </w:t>
      </w:r>
      <w:r w:rsidRPr="009378D4">
        <w:rPr>
          <w:rFonts w:eastAsia="Times New Roman"/>
          <w:i/>
          <w:iCs/>
          <w:noProof/>
        </w:rPr>
        <w:t>The Journal of Infectious Diseases</w:t>
      </w:r>
      <w:r w:rsidRPr="009378D4">
        <w:rPr>
          <w:rFonts w:eastAsia="Times New Roman"/>
          <w:noProof/>
        </w:rPr>
        <w:t xml:space="preserve">, </w:t>
      </w:r>
      <w:r w:rsidRPr="009378D4">
        <w:rPr>
          <w:rFonts w:eastAsia="Times New Roman"/>
          <w:i/>
          <w:iCs/>
          <w:noProof/>
        </w:rPr>
        <w:t>204</w:t>
      </w:r>
      <w:r w:rsidRPr="009378D4">
        <w:rPr>
          <w:rFonts w:eastAsia="Times New Roman"/>
          <w:noProof/>
        </w:rPr>
        <w:t>(7), 996–1002. http://doi.org/10.1093/infdis/jir494</w:t>
      </w:r>
    </w:p>
    <w:p w14:paraId="48697F7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Ellipilli, S., &amp; Ganesh, K. N. (2015). Fluorous Peptide Nucleic Acids: PNA Analogues with Fluorine in Backbone (γ-CF2-apg-PNA) Enhance Cellular Uptake. </w:t>
      </w:r>
      <w:r w:rsidRPr="009378D4">
        <w:rPr>
          <w:rFonts w:eastAsia="Times New Roman"/>
          <w:i/>
          <w:iCs/>
          <w:noProof/>
        </w:rPr>
        <w:t>The Journal of Organic Chemistry</w:t>
      </w:r>
      <w:r w:rsidRPr="009378D4">
        <w:rPr>
          <w:rFonts w:eastAsia="Times New Roman"/>
          <w:noProof/>
        </w:rPr>
        <w:t xml:space="preserve">, </w:t>
      </w:r>
      <w:r w:rsidRPr="009378D4">
        <w:rPr>
          <w:rFonts w:eastAsia="Times New Roman"/>
          <w:i/>
          <w:iCs/>
          <w:noProof/>
        </w:rPr>
        <w:t>80</w:t>
      </w:r>
      <w:r w:rsidRPr="009378D4">
        <w:rPr>
          <w:rFonts w:eastAsia="Times New Roman"/>
          <w:noProof/>
        </w:rPr>
        <w:t>(18), 9185–91. http://doi.org/10.1021/acs.joc.5b01614</w:t>
      </w:r>
    </w:p>
    <w:p w14:paraId="124B4D0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Elmén, J., Lindow, M., Schütz, S., Lawrence, M., Petri, A., Obad, S., … Kauppinen, S. (2008). LNA-mediated microRNA silencing in non-human primates.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452</w:t>
      </w:r>
      <w:r w:rsidRPr="009378D4">
        <w:rPr>
          <w:rFonts w:eastAsia="Times New Roman"/>
          <w:noProof/>
        </w:rPr>
        <w:t>(7189), 896–9. http://doi.org/10.1038/nature06783</w:t>
      </w:r>
    </w:p>
    <w:p w14:paraId="6DD5B3E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Elmén, J., Lindow, M., Silahtaroglu, A., Bak, M., Christensen, M., Lind-Thomsen, A., … Kauppinen, S. (2008). Antagonism of microRNA-122 in mice by systemically administered LNA-antimiR leads to up-regulation of a large set of predicted target mRNAs in the liver.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36</w:t>
      </w:r>
      <w:r w:rsidRPr="009378D4">
        <w:rPr>
          <w:rFonts w:eastAsia="Times New Roman"/>
          <w:noProof/>
        </w:rPr>
        <w:t>(4), 1153–62. http://doi.org/10.1093/nar/gkm1113</w:t>
      </w:r>
    </w:p>
    <w:p w14:paraId="3A63293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Erhard, F., &amp; Zimmer, R. (2015). Count ratio model reveals bias affecting NGS fold changes.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43</w:t>
      </w:r>
      <w:r w:rsidRPr="009378D4">
        <w:rPr>
          <w:rFonts w:eastAsia="Times New Roman"/>
          <w:noProof/>
        </w:rPr>
        <w:t>(20), e136. http://doi.org/10.1093/nar/gkv696</w:t>
      </w:r>
    </w:p>
    <w:p w14:paraId="092FFDE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Erle, D. J., &amp; Sheppard, D. (2014). The cell biology of asthma. </w:t>
      </w:r>
      <w:r w:rsidRPr="009378D4">
        <w:rPr>
          <w:rFonts w:eastAsia="Times New Roman"/>
          <w:i/>
          <w:iCs/>
          <w:noProof/>
        </w:rPr>
        <w:t>The Journal of Cell Biology</w:t>
      </w:r>
      <w:r w:rsidRPr="009378D4">
        <w:rPr>
          <w:rFonts w:eastAsia="Times New Roman"/>
          <w:noProof/>
        </w:rPr>
        <w:t xml:space="preserve">, </w:t>
      </w:r>
      <w:r w:rsidRPr="009378D4">
        <w:rPr>
          <w:rFonts w:eastAsia="Times New Roman"/>
          <w:i/>
          <w:iCs/>
          <w:noProof/>
        </w:rPr>
        <w:t>205</w:t>
      </w:r>
      <w:r w:rsidRPr="009378D4">
        <w:rPr>
          <w:rFonts w:eastAsia="Times New Roman"/>
          <w:noProof/>
        </w:rPr>
        <w:t>(5), 621–31. http://doi.org/10.1083/jcb.201401050</w:t>
      </w:r>
    </w:p>
    <w:p w14:paraId="112CCDE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Ezzat, K., Aoki, Y., Koo, T., McClorey, G., Benner, L., Coenen-Stass, A., … Wood, M. J. A. (2015). Self-Assembly into Nanoparticles Is Essential for Receptor Mediated Uptake of Therapeutic Antisense Oligonucleotides. </w:t>
      </w:r>
      <w:r w:rsidRPr="009378D4">
        <w:rPr>
          <w:rFonts w:eastAsia="Times New Roman"/>
          <w:i/>
          <w:iCs/>
          <w:noProof/>
        </w:rPr>
        <w:t>Nano Letters</w:t>
      </w:r>
      <w:r w:rsidRPr="009378D4">
        <w:rPr>
          <w:rFonts w:eastAsia="Times New Roman"/>
          <w:noProof/>
        </w:rPr>
        <w:t xml:space="preserve">, </w:t>
      </w:r>
      <w:r w:rsidRPr="009378D4">
        <w:rPr>
          <w:rFonts w:eastAsia="Times New Roman"/>
          <w:i/>
          <w:iCs/>
          <w:noProof/>
        </w:rPr>
        <w:t>15</w:t>
      </w:r>
      <w:r w:rsidRPr="009378D4">
        <w:rPr>
          <w:rFonts w:eastAsia="Times New Roman"/>
          <w:noProof/>
        </w:rPr>
        <w:t>(7), 4364–73. http://doi.org/10.1021/acs.nanolett.5b00490</w:t>
      </w:r>
    </w:p>
    <w:p w14:paraId="7EE4E7B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Ezzat, K., Helmfors, H., Tudoran, O., Juks, C., Lindberg, S., Padari, K., … Langel, U. (2012). Scavenger receptor-mediated uptake of cell-penetrating peptide nanocomplexes </w:t>
      </w:r>
      <w:r w:rsidRPr="009378D4">
        <w:rPr>
          <w:rFonts w:eastAsia="Times New Roman"/>
          <w:noProof/>
        </w:rPr>
        <w:lastRenderedPageBreak/>
        <w:t xml:space="preserve">with oligonucleotides. </w:t>
      </w:r>
      <w:r w:rsidRPr="009378D4">
        <w:rPr>
          <w:rFonts w:eastAsia="Times New Roman"/>
          <w:i/>
          <w:iCs/>
          <w:noProof/>
        </w:rPr>
        <w:t>FASEB Journal : Official Publication of the Federation of American Societies for Experimental Biology</w:t>
      </w:r>
      <w:r w:rsidRPr="009378D4">
        <w:rPr>
          <w:rFonts w:eastAsia="Times New Roman"/>
          <w:noProof/>
        </w:rPr>
        <w:t xml:space="preserve">, </w:t>
      </w:r>
      <w:r w:rsidRPr="009378D4">
        <w:rPr>
          <w:rFonts w:eastAsia="Times New Roman"/>
          <w:i/>
          <w:iCs/>
          <w:noProof/>
        </w:rPr>
        <w:t>26</w:t>
      </w:r>
      <w:r w:rsidRPr="009378D4">
        <w:rPr>
          <w:rFonts w:eastAsia="Times New Roman"/>
          <w:noProof/>
        </w:rPr>
        <w:t>(3), 1172–80. http://doi.org/10.1096/fj.11-191536</w:t>
      </w:r>
    </w:p>
    <w:p w14:paraId="2E9A69E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Fabani, M. M., &amp; Gait, M. J. (2008). miR-122 targeting with LNA/2’-O-methyl oligonucleotide mixmers, peptide nucleic acids (PNA), and PNA-peptide conjugates. </w:t>
      </w:r>
      <w:r w:rsidRPr="009378D4">
        <w:rPr>
          <w:rFonts w:eastAsia="Times New Roman"/>
          <w:i/>
          <w:iCs/>
          <w:noProof/>
        </w:rPr>
        <w:t>RNA (New York, N.Y.)</w:t>
      </w:r>
      <w:r w:rsidRPr="009378D4">
        <w:rPr>
          <w:rFonts w:eastAsia="Times New Roman"/>
          <w:noProof/>
        </w:rPr>
        <w:t xml:space="preserve">, </w:t>
      </w:r>
      <w:r w:rsidRPr="009378D4">
        <w:rPr>
          <w:rFonts w:eastAsia="Times New Roman"/>
          <w:i/>
          <w:iCs/>
          <w:noProof/>
        </w:rPr>
        <w:t>14</w:t>
      </w:r>
      <w:r w:rsidRPr="009378D4">
        <w:rPr>
          <w:rFonts w:eastAsia="Times New Roman"/>
          <w:noProof/>
        </w:rPr>
        <w:t>(2), 336–46. http://doi.org/10.1261/rna.844108</w:t>
      </w:r>
    </w:p>
    <w:p w14:paraId="74DD26F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Fabbri, M., Paone, A., Calore, F., Galli, R., Gaudio, E., Santhanam, R., … Croce, C. M. (2012). MicroRNAs bind to Toll-like receptors to induce prometastatic inflammatory response.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109</w:t>
      </w:r>
      <w:r w:rsidRPr="009378D4">
        <w:rPr>
          <w:rFonts w:eastAsia="Times New Roman"/>
          <w:noProof/>
        </w:rPr>
        <w:t>(31), E2110–6. http://doi.org/10.1073/pnas.1209414109</w:t>
      </w:r>
    </w:p>
    <w:p w14:paraId="632CDB7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Fan, B., Sutandy, F. X. R., Syu, G.-D., Middleton, S., Yi, G., Lu, K.-Y., … Kao, C. C. (2015). Heterogeneous ribonucleoprotein K (hnRNP K) binds miR-122, a mature liver-specific microRNA required for hepatitis C virus replication. </w:t>
      </w:r>
      <w:r w:rsidRPr="009378D4">
        <w:rPr>
          <w:rFonts w:eastAsia="Times New Roman"/>
          <w:i/>
          <w:iCs/>
          <w:noProof/>
        </w:rPr>
        <w:t>Molecular &amp; Cellular Proteomics : MCP</w:t>
      </w:r>
      <w:r w:rsidRPr="009378D4">
        <w:rPr>
          <w:rFonts w:eastAsia="Times New Roman"/>
          <w:noProof/>
        </w:rPr>
        <w:t>. http://doi.org/10.1074/mcp.M115.050344</w:t>
      </w:r>
    </w:p>
    <w:p w14:paraId="4AEB9F3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Fang, Z., &amp; Rajewsky, N. (2011). The impact of miRNA target sites in coding sequences and in 3’UTRs. </w:t>
      </w:r>
      <w:r w:rsidRPr="009378D4">
        <w:rPr>
          <w:rFonts w:eastAsia="Times New Roman"/>
          <w:i/>
          <w:iCs/>
          <w:noProof/>
        </w:rPr>
        <w:t>PloS One</w:t>
      </w:r>
      <w:r w:rsidRPr="009378D4">
        <w:rPr>
          <w:rFonts w:eastAsia="Times New Roman"/>
          <w:noProof/>
        </w:rPr>
        <w:t xml:space="preserve">, </w:t>
      </w:r>
      <w:r w:rsidRPr="009378D4">
        <w:rPr>
          <w:rFonts w:eastAsia="Times New Roman"/>
          <w:i/>
          <w:iCs/>
          <w:noProof/>
        </w:rPr>
        <w:t>6</w:t>
      </w:r>
      <w:r w:rsidRPr="009378D4">
        <w:rPr>
          <w:rFonts w:eastAsia="Times New Roman"/>
          <w:noProof/>
        </w:rPr>
        <w:t>(3), e18067. http://doi.org/10.1371/journal.pone.0018067</w:t>
      </w:r>
    </w:p>
    <w:p w14:paraId="4C481C6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Faro-Trindade, I., Willment, J. A., Kerrigan, A. M., Redelinghuys, P., Hadebe, S., Reid, D. M., … Brown, G. D. (2012). Characterisation of innate fungal recognition in the lung. </w:t>
      </w:r>
      <w:r w:rsidRPr="009378D4">
        <w:rPr>
          <w:rFonts w:eastAsia="Times New Roman"/>
          <w:i/>
          <w:iCs/>
          <w:noProof/>
        </w:rPr>
        <w:t>PloS One</w:t>
      </w:r>
      <w:r w:rsidRPr="009378D4">
        <w:rPr>
          <w:rFonts w:eastAsia="Times New Roman"/>
          <w:noProof/>
        </w:rPr>
        <w:t xml:space="preserve">, </w:t>
      </w:r>
      <w:r w:rsidRPr="009378D4">
        <w:rPr>
          <w:rFonts w:eastAsia="Times New Roman"/>
          <w:i/>
          <w:iCs/>
          <w:noProof/>
        </w:rPr>
        <w:t>7</w:t>
      </w:r>
      <w:r w:rsidRPr="009378D4">
        <w:rPr>
          <w:rFonts w:eastAsia="Times New Roman"/>
          <w:noProof/>
        </w:rPr>
        <w:t>(4), e35675. http://doi.org/10.1371/journal.pone.0035675</w:t>
      </w:r>
    </w:p>
    <w:p w14:paraId="0575AAC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Fedorov, Y., Anderson, E. M., Birmingham, A., Reynolds, A., Karpilow, J., Robinson, K., … Khvorova, A. (2006). Off-target effects by siRNA can induce toxic phenotype. </w:t>
      </w:r>
      <w:r w:rsidRPr="009378D4">
        <w:rPr>
          <w:rFonts w:eastAsia="Times New Roman"/>
          <w:i/>
          <w:iCs/>
          <w:noProof/>
        </w:rPr>
        <w:t>RNA (New York, N.Y.)</w:t>
      </w:r>
      <w:r w:rsidRPr="009378D4">
        <w:rPr>
          <w:rFonts w:eastAsia="Times New Roman"/>
          <w:noProof/>
        </w:rPr>
        <w:t xml:space="preserve">, </w:t>
      </w:r>
      <w:r w:rsidRPr="009378D4">
        <w:rPr>
          <w:rFonts w:eastAsia="Times New Roman"/>
          <w:i/>
          <w:iCs/>
          <w:noProof/>
        </w:rPr>
        <w:t>12</w:t>
      </w:r>
      <w:r w:rsidRPr="009378D4">
        <w:rPr>
          <w:rFonts w:eastAsia="Times New Roman"/>
          <w:noProof/>
        </w:rPr>
        <w:t>(7), 1188–96. http://doi.org/10.1261/rna.28106</w:t>
      </w:r>
    </w:p>
    <w:p w14:paraId="0E26541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Fennewald, S. M., &amp; Rando, R. F. (1995). Inhibition of High Affinity Basic Fibroblast Growth Factor Binding by Oligonucleotides. </w:t>
      </w:r>
      <w:r w:rsidRPr="009378D4">
        <w:rPr>
          <w:rFonts w:eastAsia="Times New Roman"/>
          <w:i/>
          <w:iCs/>
          <w:noProof/>
        </w:rPr>
        <w:t>Journal of Biological Chemistry</w:t>
      </w:r>
      <w:r w:rsidRPr="009378D4">
        <w:rPr>
          <w:rFonts w:eastAsia="Times New Roman"/>
          <w:noProof/>
        </w:rPr>
        <w:t xml:space="preserve">, </w:t>
      </w:r>
      <w:r w:rsidRPr="009378D4">
        <w:rPr>
          <w:rFonts w:eastAsia="Times New Roman"/>
          <w:i/>
          <w:iCs/>
          <w:noProof/>
        </w:rPr>
        <w:t>270</w:t>
      </w:r>
      <w:r w:rsidRPr="009378D4">
        <w:rPr>
          <w:rFonts w:eastAsia="Times New Roman"/>
          <w:noProof/>
        </w:rPr>
        <w:t xml:space="preserve">(37), </w:t>
      </w:r>
      <w:r w:rsidRPr="009378D4">
        <w:rPr>
          <w:rFonts w:eastAsia="Times New Roman"/>
          <w:noProof/>
        </w:rPr>
        <w:lastRenderedPageBreak/>
        <w:t>21718–21721. http://doi.org/10.1074/jbc.270.37.21718</w:t>
      </w:r>
    </w:p>
    <w:p w14:paraId="6F74B31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Fey, R. A., Templin, M. V., McDonald, J. D., Yu, R. Z., Hutt, J. A., Gigliotti, A. P., … Reed, M. D. (2014). Local and systemic tolerability of a 2′O-methoxyethyl antisense oligonucleotide targeting interleukin-4 receptor-α delivery by inhalation in mouse and monkey. </w:t>
      </w:r>
      <w:r w:rsidRPr="009378D4">
        <w:rPr>
          <w:rFonts w:eastAsia="Times New Roman"/>
          <w:i/>
          <w:iCs/>
          <w:noProof/>
        </w:rPr>
        <w:t>Inhalation Toxicology</w:t>
      </w:r>
      <w:r w:rsidRPr="009378D4">
        <w:rPr>
          <w:rFonts w:eastAsia="Times New Roman"/>
          <w:noProof/>
        </w:rPr>
        <w:t>. Retrieved from http://www.tandfonline.com/doi/abs/10.3109/08958378.2014.907587</w:t>
      </w:r>
    </w:p>
    <w:p w14:paraId="6B08920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Fields, R. J., Quijano, E., McNeer, N. A., Caputo, C., Bahal, R., Anandalingam, K., … Saltzman, W. M. (2015). Modified poly(lactic-co-glycolic acid) nanoparticles for enhanced cellular uptake and gene editing in the lung. </w:t>
      </w:r>
      <w:r w:rsidRPr="009378D4">
        <w:rPr>
          <w:rFonts w:eastAsia="Times New Roman"/>
          <w:i/>
          <w:iCs/>
          <w:noProof/>
        </w:rPr>
        <w:t>Advanced Healthcare Materials</w:t>
      </w:r>
      <w:r w:rsidRPr="009378D4">
        <w:rPr>
          <w:rFonts w:eastAsia="Times New Roman"/>
          <w:noProof/>
        </w:rPr>
        <w:t xml:space="preserve">, </w:t>
      </w:r>
      <w:r w:rsidRPr="009378D4">
        <w:rPr>
          <w:rFonts w:eastAsia="Times New Roman"/>
          <w:i/>
          <w:iCs/>
          <w:noProof/>
        </w:rPr>
        <w:t>4</w:t>
      </w:r>
      <w:r w:rsidRPr="009378D4">
        <w:rPr>
          <w:rFonts w:eastAsia="Times New Roman"/>
          <w:noProof/>
        </w:rPr>
        <w:t>(3), 361–6. http://doi.org/10.1002/adhm.201400355</w:t>
      </w:r>
    </w:p>
    <w:p w14:paraId="42D670B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Filipowicz, W., Bhattacharyya, S. N., &amp; Sonenberg, N. (2008). Mechanisms of post-transcriptional regulation by microRNAs: are the answers in sight? </w:t>
      </w:r>
      <w:r w:rsidRPr="009378D4">
        <w:rPr>
          <w:rFonts w:eastAsia="Times New Roman"/>
          <w:i/>
          <w:iCs/>
          <w:noProof/>
        </w:rPr>
        <w:t>Nature Reviews. Genetics</w:t>
      </w:r>
      <w:r w:rsidRPr="009378D4">
        <w:rPr>
          <w:rFonts w:eastAsia="Times New Roman"/>
          <w:noProof/>
        </w:rPr>
        <w:t xml:space="preserve">, </w:t>
      </w:r>
      <w:r w:rsidRPr="009378D4">
        <w:rPr>
          <w:rFonts w:eastAsia="Times New Roman"/>
          <w:i/>
          <w:iCs/>
          <w:noProof/>
        </w:rPr>
        <w:t>9</w:t>
      </w:r>
      <w:r w:rsidRPr="009378D4">
        <w:rPr>
          <w:rFonts w:eastAsia="Times New Roman"/>
          <w:noProof/>
        </w:rPr>
        <w:t>(2), 102–14. http://doi.org/10.1038/nrg2290</w:t>
      </w:r>
    </w:p>
    <w:p w14:paraId="37AE8DB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Fire, A., Xu, S., Montgomery, M. K., Kostas, S. A., Driver, S. E., &amp; Mello, C. C. (1998). Potent and specific genetic interference by double-stranded RNA in Caenorhabditis elegans.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391</w:t>
      </w:r>
      <w:r w:rsidRPr="009378D4">
        <w:rPr>
          <w:rFonts w:eastAsia="Times New Roman"/>
          <w:noProof/>
        </w:rPr>
        <w:t>(6669), 806–11. http://doi.org/10.1038/35888</w:t>
      </w:r>
    </w:p>
    <w:p w14:paraId="3E7FAE0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Földes-Papp, Z., König, K., Studier, H., Bückle, R., Breunig, H. G., Uchugonova, A., &amp; Kostner, G. M. (2009). Trafficking of mature miRNA-122 into the nucleus of live liver cells. </w:t>
      </w:r>
      <w:r w:rsidRPr="009378D4">
        <w:rPr>
          <w:rFonts w:eastAsia="Times New Roman"/>
          <w:i/>
          <w:iCs/>
          <w:noProof/>
        </w:rPr>
        <w:t>Current Pharmaceutical Biotechnology</w:t>
      </w:r>
      <w:r w:rsidRPr="009378D4">
        <w:rPr>
          <w:rFonts w:eastAsia="Times New Roman"/>
          <w:noProof/>
        </w:rPr>
        <w:t xml:space="preserve">, </w:t>
      </w:r>
      <w:r w:rsidRPr="009378D4">
        <w:rPr>
          <w:rFonts w:eastAsia="Times New Roman"/>
          <w:i/>
          <w:iCs/>
          <w:noProof/>
        </w:rPr>
        <w:t>10</w:t>
      </w:r>
      <w:r w:rsidRPr="009378D4">
        <w:rPr>
          <w:rFonts w:eastAsia="Times New Roman"/>
          <w:noProof/>
        </w:rPr>
        <w:t>(6), 569–78. Retrieved from http://www.ncbi.nlm.nih.gov/pubmed/19619125</w:t>
      </w:r>
    </w:p>
    <w:p w14:paraId="43430DE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Forbes, B., O’Lone, R., Allen, P. P., Cahn, A., Clarke, C., Collinge, M., … Wolfreys, A. (2014). Challenges for inhaled drug discovery and development: Induced alveolar macrophage responses. </w:t>
      </w:r>
      <w:r w:rsidRPr="009378D4">
        <w:rPr>
          <w:rFonts w:eastAsia="Times New Roman"/>
          <w:i/>
          <w:iCs/>
          <w:noProof/>
        </w:rPr>
        <w:t>Advanced Drug Delivery Reviews</w:t>
      </w:r>
      <w:r w:rsidRPr="009378D4">
        <w:rPr>
          <w:rFonts w:eastAsia="Times New Roman"/>
          <w:noProof/>
        </w:rPr>
        <w:t xml:space="preserve">, </w:t>
      </w:r>
      <w:r w:rsidRPr="009378D4">
        <w:rPr>
          <w:rFonts w:eastAsia="Times New Roman"/>
          <w:i/>
          <w:iCs/>
          <w:noProof/>
        </w:rPr>
        <w:t>71</w:t>
      </w:r>
      <w:r w:rsidRPr="009378D4">
        <w:rPr>
          <w:rFonts w:eastAsia="Times New Roman"/>
          <w:noProof/>
        </w:rPr>
        <w:t>, 15–33. http://doi.org/10.1016/j.addr.2014.02.001</w:t>
      </w:r>
    </w:p>
    <w:p w14:paraId="7E78C02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lastRenderedPageBreak/>
        <w:t xml:space="preserve">Forsbach, A., Müller, C., Montino, C., Kritzler, A., Curdt, R., Benahmed, A., … Vollmer, J. (2012). Impact of delivery systems on siRNA immune activation and RNA interference. </w:t>
      </w:r>
      <w:r w:rsidRPr="009378D4">
        <w:rPr>
          <w:rFonts w:eastAsia="Times New Roman"/>
          <w:i/>
          <w:iCs/>
          <w:noProof/>
        </w:rPr>
        <w:t>Immunology Letters</w:t>
      </w:r>
      <w:r w:rsidRPr="009378D4">
        <w:rPr>
          <w:rFonts w:eastAsia="Times New Roman"/>
          <w:noProof/>
        </w:rPr>
        <w:t xml:space="preserve">, </w:t>
      </w:r>
      <w:r w:rsidRPr="009378D4">
        <w:rPr>
          <w:rFonts w:eastAsia="Times New Roman"/>
          <w:i/>
          <w:iCs/>
          <w:noProof/>
        </w:rPr>
        <w:t>141</w:t>
      </w:r>
      <w:r w:rsidRPr="009378D4">
        <w:rPr>
          <w:rFonts w:eastAsia="Times New Roman"/>
          <w:noProof/>
        </w:rPr>
        <w:t>(2), 169–80. http://doi.org/10.1016/j.imlet.2011.10.001</w:t>
      </w:r>
    </w:p>
    <w:p w14:paraId="796FF68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Forsbach, A., Nemorin, J.-G., Montino, C., Müller, C., Samulowitz, U., Vicari, A. P., … Vollmer, J. (2008). Identification of RNA sequence motifs stimulating sequence-specific TLR8-dependent immune responses. </w:t>
      </w:r>
      <w:r w:rsidRPr="009378D4">
        <w:rPr>
          <w:rFonts w:eastAsia="Times New Roman"/>
          <w:i/>
          <w:iCs/>
          <w:noProof/>
        </w:rPr>
        <w:t>Journal of Immunology (Baltimore, Md. : 1950)</w:t>
      </w:r>
      <w:r w:rsidRPr="009378D4">
        <w:rPr>
          <w:rFonts w:eastAsia="Times New Roman"/>
          <w:noProof/>
        </w:rPr>
        <w:t xml:space="preserve">, </w:t>
      </w:r>
      <w:r w:rsidRPr="009378D4">
        <w:rPr>
          <w:rFonts w:eastAsia="Times New Roman"/>
          <w:i/>
          <w:iCs/>
          <w:noProof/>
        </w:rPr>
        <w:t>180</w:t>
      </w:r>
      <w:r w:rsidRPr="009378D4">
        <w:rPr>
          <w:rFonts w:eastAsia="Times New Roman"/>
          <w:noProof/>
        </w:rPr>
        <w:t>(6), 3729–38. Retrieved from http://www.ncbi.nlm.nih.gov/pubmed/18322178</w:t>
      </w:r>
    </w:p>
    <w:p w14:paraId="57515D9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Fortin, M., Ferrari, N., Higgins, M.-E., Séguin, S., Allam, M., Allakhverdi, Z., … Renzi, P. M. (2006). Effects of antisense oligodeoxynucleotides targeting CCR3 on the airway response to antigen in rats. </w:t>
      </w:r>
      <w:r w:rsidRPr="009378D4">
        <w:rPr>
          <w:rFonts w:eastAsia="Times New Roman"/>
          <w:i/>
          <w:iCs/>
          <w:noProof/>
        </w:rPr>
        <w:t>Oligonucleotides</w:t>
      </w:r>
      <w:r w:rsidRPr="009378D4">
        <w:rPr>
          <w:rFonts w:eastAsia="Times New Roman"/>
          <w:noProof/>
        </w:rPr>
        <w:t xml:space="preserve">, </w:t>
      </w:r>
      <w:r w:rsidRPr="009378D4">
        <w:rPr>
          <w:rFonts w:eastAsia="Times New Roman"/>
          <w:i/>
          <w:iCs/>
          <w:noProof/>
        </w:rPr>
        <w:t>16</w:t>
      </w:r>
      <w:r w:rsidRPr="009378D4">
        <w:rPr>
          <w:rFonts w:eastAsia="Times New Roman"/>
          <w:noProof/>
        </w:rPr>
        <w:t>(3), 203–12. http://doi.org/10.1089/oli.2006.16.203</w:t>
      </w:r>
    </w:p>
    <w:p w14:paraId="6780BE9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Francis, H., McDaniel, K., Han, Y., Liu, X., Kennedy, L., Yang, F., … Meng, F. (2014). Regulation of the extrinsic apoptotic pathway by microRNA-21 in alcoholic liver injury. </w:t>
      </w:r>
      <w:r w:rsidRPr="009378D4">
        <w:rPr>
          <w:rFonts w:eastAsia="Times New Roman"/>
          <w:i/>
          <w:iCs/>
          <w:noProof/>
        </w:rPr>
        <w:t>The Journal of Biological Chemistry</w:t>
      </w:r>
      <w:r w:rsidRPr="009378D4">
        <w:rPr>
          <w:rFonts w:eastAsia="Times New Roman"/>
          <w:noProof/>
        </w:rPr>
        <w:t xml:space="preserve">, </w:t>
      </w:r>
      <w:r w:rsidRPr="009378D4">
        <w:rPr>
          <w:rFonts w:eastAsia="Times New Roman"/>
          <w:i/>
          <w:iCs/>
          <w:noProof/>
        </w:rPr>
        <w:t>289</w:t>
      </w:r>
      <w:r w:rsidRPr="009378D4">
        <w:rPr>
          <w:rFonts w:eastAsia="Times New Roman"/>
          <w:noProof/>
        </w:rPr>
        <w:t>(40), 27526–39. http://doi.org/10.1074/jbc.M114.602383</w:t>
      </w:r>
    </w:p>
    <w:p w14:paraId="511C013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Friedman, K. J., Kole, J., Cohn, J. A., Knowles, M. R., Silverman, L. M., &amp; Kole, R. (1999). Correction of aberrant splicing of the cystic fibrosis transmembrane conductance regulator (CFTR) gene by antisense oligonucleotides. </w:t>
      </w:r>
      <w:r w:rsidRPr="009378D4">
        <w:rPr>
          <w:rFonts w:eastAsia="Times New Roman"/>
          <w:i/>
          <w:iCs/>
          <w:noProof/>
        </w:rPr>
        <w:t>The Journal of Biological Chemistry</w:t>
      </w:r>
      <w:r w:rsidRPr="009378D4">
        <w:rPr>
          <w:rFonts w:eastAsia="Times New Roman"/>
          <w:noProof/>
        </w:rPr>
        <w:t xml:space="preserve">, </w:t>
      </w:r>
      <w:r w:rsidRPr="009378D4">
        <w:rPr>
          <w:rFonts w:eastAsia="Times New Roman"/>
          <w:i/>
          <w:iCs/>
          <w:noProof/>
        </w:rPr>
        <w:t>274</w:t>
      </w:r>
      <w:r w:rsidRPr="009378D4">
        <w:rPr>
          <w:rFonts w:eastAsia="Times New Roman"/>
          <w:noProof/>
        </w:rPr>
        <w:t>(51), 36193–9. Retrieved from http://www.ncbi.nlm.nih.gov/pubmed/10593905</w:t>
      </w:r>
    </w:p>
    <w:p w14:paraId="3A687A5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Gagnon, K. T., Li, L., Chu, Y., Janowski, B. A., &amp; Corey, D. R. (2014). RNAi factors are present and active in human cell nuclei. </w:t>
      </w:r>
      <w:r w:rsidRPr="009378D4">
        <w:rPr>
          <w:rFonts w:eastAsia="Times New Roman"/>
          <w:i/>
          <w:iCs/>
          <w:noProof/>
        </w:rPr>
        <w:t>Cell Reports</w:t>
      </w:r>
      <w:r w:rsidRPr="009378D4">
        <w:rPr>
          <w:rFonts w:eastAsia="Times New Roman"/>
          <w:noProof/>
        </w:rPr>
        <w:t xml:space="preserve">, </w:t>
      </w:r>
      <w:r w:rsidRPr="009378D4">
        <w:rPr>
          <w:rFonts w:eastAsia="Times New Roman"/>
          <w:i/>
          <w:iCs/>
          <w:noProof/>
        </w:rPr>
        <w:t>6</w:t>
      </w:r>
      <w:r w:rsidRPr="009378D4">
        <w:rPr>
          <w:rFonts w:eastAsia="Times New Roman"/>
          <w:noProof/>
        </w:rPr>
        <w:t>(1), 211–21. http://doi.org/10.1016/j.celrep.2013.12.013</w:t>
      </w:r>
    </w:p>
    <w:p w14:paraId="55296A9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Gao, X., Shen, X., Dong, X., Ran, N., Han, G., Cao, L., … Yin, H. (2015). Peptide Nucleic </w:t>
      </w:r>
      <w:r w:rsidRPr="009378D4">
        <w:rPr>
          <w:rFonts w:eastAsia="Times New Roman"/>
          <w:noProof/>
        </w:rPr>
        <w:lastRenderedPageBreak/>
        <w:t xml:space="preserve">Acid Promotes Systemic Dystrophin Expression and Functional Rescue in Dystrophin-deficient mdx Mice. </w:t>
      </w:r>
      <w:r w:rsidRPr="009378D4">
        <w:rPr>
          <w:rFonts w:eastAsia="Times New Roman"/>
          <w:i/>
          <w:iCs/>
          <w:noProof/>
        </w:rPr>
        <w:t>Molecular Therapy. Nucleic Acids</w:t>
      </w:r>
      <w:r w:rsidRPr="009378D4">
        <w:rPr>
          <w:rFonts w:eastAsia="Times New Roman"/>
          <w:noProof/>
        </w:rPr>
        <w:t xml:space="preserve">, </w:t>
      </w:r>
      <w:r w:rsidRPr="009378D4">
        <w:rPr>
          <w:rFonts w:eastAsia="Times New Roman"/>
          <w:i/>
          <w:iCs/>
          <w:noProof/>
        </w:rPr>
        <w:t>4</w:t>
      </w:r>
      <w:r w:rsidRPr="009378D4">
        <w:rPr>
          <w:rFonts w:eastAsia="Times New Roman"/>
          <w:noProof/>
        </w:rPr>
        <w:t>, e255. http://doi.org/10.1038/mtna.2015.27</w:t>
      </w:r>
    </w:p>
    <w:p w14:paraId="30EBE62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Gaunsbaek, M. Q., Kjeldsen, A. D., Svane-Knudsen, V., Henriksen, M. L., &amp; Hansen, S. (2014). Surfactant proteins A, B, C and D in the human nasal airway: associated with mucosal glands and ciliated epithelium but absent in fluid-phase secretions and mucus. </w:t>
      </w:r>
      <w:r w:rsidRPr="009378D4">
        <w:rPr>
          <w:rFonts w:eastAsia="Times New Roman"/>
          <w:i/>
          <w:iCs/>
          <w:noProof/>
        </w:rPr>
        <w:t>ORL; Journal for Oto-Rhino-Laryngology and Its Related Specialties</w:t>
      </w:r>
      <w:r w:rsidRPr="009378D4">
        <w:rPr>
          <w:rFonts w:eastAsia="Times New Roman"/>
          <w:noProof/>
        </w:rPr>
        <w:t xml:space="preserve">, </w:t>
      </w:r>
      <w:r w:rsidRPr="009378D4">
        <w:rPr>
          <w:rFonts w:eastAsia="Times New Roman"/>
          <w:i/>
          <w:iCs/>
          <w:noProof/>
        </w:rPr>
        <w:t>76</w:t>
      </w:r>
      <w:r w:rsidRPr="009378D4">
        <w:rPr>
          <w:rFonts w:eastAsia="Times New Roman"/>
          <w:noProof/>
        </w:rPr>
        <w:t>(5), 288–301. http://doi.org/10.1159/000369143</w:t>
      </w:r>
    </w:p>
    <w:p w14:paraId="64E9F75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Gauvreau, G. M., Boulet, L. P., Cockcroft, D. W., Baatjes, A., Cote, J., Deschesnes, F., … O’Byrne, P. M. (2008). Antisense therapy against CCR3 and the common beta chain attenuates allergen-induced eosinophilic responses. </w:t>
      </w:r>
      <w:r w:rsidRPr="009378D4">
        <w:rPr>
          <w:rFonts w:eastAsia="Times New Roman"/>
          <w:i/>
          <w:iCs/>
          <w:noProof/>
        </w:rPr>
        <w:t>American Journal of Respiratory and Critical Care Medicine</w:t>
      </w:r>
      <w:r w:rsidRPr="009378D4">
        <w:rPr>
          <w:rFonts w:eastAsia="Times New Roman"/>
          <w:noProof/>
        </w:rPr>
        <w:t xml:space="preserve">, </w:t>
      </w:r>
      <w:r w:rsidRPr="009378D4">
        <w:rPr>
          <w:rFonts w:eastAsia="Times New Roman"/>
          <w:i/>
          <w:iCs/>
          <w:noProof/>
        </w:rPr>
        <w:t>177</w:t>
      </w:r>
      <w:r w:rsidRPr="009378D4">
        <w:rPr>
          <w:rFonts w:eastAsia="Times New Roman"/>
          <w:noProof/>
        </w:rPr>
        <w:t>(9), 952–8. http://doi.org/10.1164/rccm.200708-1251OC</w:t>
      </w:r>
    </w:p>
    <w:p w14:paraId="7EC341E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Gauvreau, G. M., Pageau, R., Séguin, R., Carballo, D., Gauthier, J., D’Anjou, H., … Renzi, P. M. (2011). Dose-response effects of TPI ASM8 in asthmatics after allergen. </w:t>
      </w:r>
      <w:r w:rsidRPr="009378D4">
        <w:rPr>
          <w:rFonts w:eastAsia="Times New Roman"/>
          <w:i/>
          <w:iCs/>
          <w:noProof/>
        </w:rPr>
        <w:t>Allergy</w:t>
      </w:r>
      <w:r w:rsidRPr="009378D4">
        <w:rPr>
          <w:rFonts w:eastAsia="Times New Roman"/>
          <w:noProof/>
        </w:rPr>
        <w:t xml:space="preserve">, </w:t>
      </w:r>
      <w:r w:rsidRPr="009378D4">
        <w:rPr>
          <w:rFonts w:eastAsia="Times New Roman"/>
          <w:i/>
          <w:iCs/>
          <w:noProof/>
        </w:rPr>
        <w:t>66</w:t>
      </w:r>
      <w:r w:rsidRPr="009378D4">
        <w:rPr>
          <w:rFonts w:eastAsia="Times New Roman"/>
          <w:noProof/>
        </w:rPr>
        <w:t>(9), 1242–8. http://doi.org/10.1111/j.1398-9995.2011.02638.x</w:t>
      </w:r>
    </w:p>
    <w:p w14:paraId="23C572E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Geary, R. S., Norris, D., Yu, R., &amp; Bennett, C. F. (2015). Pharmacokinetics, biodistribution and cell uptake of antisense oligonucleotides. </w:t>
      </w:r>
      <w:r w:rsidRPr="009378D4">
        <w:rPr>
          <w:rFonts w:eastAsia="Times New Roman"/>
          <w:i/>
          <w:iCs/>
          <w:noProof/>
        </w:rPr>
        <w:t>Advanced Drug Delivery Reviews</w:t>
      </w:r>
      <w:r w:rsidRPr="009378D4">
        <w:rPr>
          <w:rFonts w:eastAsia="Times New Roman"/>
          <w:noProof/>
        </w:rPr>
        <w:t xml:space="preserve">, </w:t>
      </w:r>
      <w:r w:rsidRPr="009378D4">
        <w:rPr>
          <w:rFonts w:eastAsia="Times New Roman"/>
          <w:i/>
          <w:iCs/>
          <w:noProof/>
        </w:rPr>
        <w:t>87</w:t>
      </w:r>
      <w:r w:rsidRPr="009378D4">
        <w:rPr>
          <w:rFonts w:eastAsia="Times New Roman"/>
          <w:noProof/>
        </w:rPr>
        <w:t>, 46–51. http://doi.org/10.1016/j.addr.2015.01.008</w:t>
      </w:r>
    </w:p>
    <w:p w14:paraId="68D5ABC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Geary, R. S., Wancewicz, E., Matson, J., Pearce, M., Siwkowski, A., Swayze, E., &amp; Bennett, F. (2009). Effect of dose and plasma concentration on liver uptake and pharmacologic activity of a 2’-methoxyethyl modified chimeric antisense oligonucleotide targeting PTEN. </w:t>
      </w:r>
      <w:r w:rsidRPr="009378D4">
        <w:rPr>
          <w:rFonts w:eastAsia="Times New Roman"/>
          <w:i/>
          <w:iCs/>
          <w:noProof/>
        </w:rPr>
        <w:t>Biochemical Pharmacology</w:t>
      </w:r>
      <w:r w:rsidRPr="009378D4">
        <w:rPr>
          <w:rFonts w:eastAsia="Times New Roman"/>
          <w:noProof/>
        </w:rPr>
        <w:t xml:space="preserve">, </w:t>
      </w:r>
      <w:r w:rsidRPr="009378D4">
        <w:rPr>
          <w:rFonts w:eastAsia="Times New Roman"/>
          <w:i/>
          <w:iCs/>
          <w:noProof/>
        </w:rPr>
        <w:t>78</w:t>
      </w:r>
      <w:r w:rsidRPr="009378D4">
        <w:rPr>
          <w:rFonts w:eastAsia="Times New Roman"/>
          <w:noProof/>
        </w:rPr>
        <w:t>(3), 284–91. http://doi.org/10.1016/j.bcp.2009.04.013</w:t>
      </w:r>
    </w:p>
    <w:p w14:paraId="682CFE4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lastRenderedPageBreak/>
        <w:t xml:space="preserve">Gebert, L. F. R., Rebhan, M. A. E., Crivelli, S. E. M., Denzler, R., Stoffel, M., &amp; Hall, J. (2013). Miravirsen (SPC3649) can inhibit the biogenesis of miR-122.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42</w:t>
      </w:r>
      <w:r w:rsidRPr="009378D4">
        <w:rPr>
          <w:rFonts w:eastAsia="Times New Roman"/>
          <w:noProof/>
        </w:rPr>
        <w:t>(1), 609–621. http://doi.org/10.1093/nar/gkt852</w:t>
      </w:r>
    </w:p>
    <w:p w14:paraId="212336E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Geller, B. L., Marshall-Batty, K., Schnell, F. J., McKnight, M. M., Iversen, P. L., &amp; Greenberg, D. E. (2013). Gene-silencing antisense oligomers inhibit acinetobacter growth in vitro and in vivo. </w:t>
      </w:r>
      <w:r w:rsidRPr="009378D4">
        <w:rPr>
          <w:rFonts w:eastAsia="Times New Roman"/>
          <w:i/>
          <w:iCs/>
          <w:noProof/>
        </w:rPr>
        <w:t>The Journal of Infectious Diseases</w:t>
      </w:r>
      <w:r w:rsidRPr="009378D4">
        <w:rPr>
          <w:rFonts w:eastAsia="Times New Roman"/>
          <w:noProof/>
        </w:rPr>
        <w:t xml:space="preserve">, </w:t>
      </w:r>
      <w:r w:rsidRPr="009378D4">
        <w:rPr>
          <w:rFonts w:eastAsia="Times New Roman"/>
          <w:i/>
          <w:iCs/>
          <w:noProof/>
        </w:rPr>
        <w:t>208</w:t>
      </w:r>
      <w:r w:rsidRPr="009378D4">
        <w:rPr>
          <w:rFonts w:eastAsia="Times New Roman"/>
          <w:noProof/>
        </w:rPr>
        <w:t>(10), 1553–60. http://doi.org/10.1093/infdis/jit460</w:t>
      </w:r>
    </w:p>
    <w:p w14:paraId="5EFEA26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Gitiban, N., Jurcisek, J. A., Harris, R. H., Mertz, S. E., Durbin, R. K., Bakaletz, L. O., &amp; Durbin, J. E. (2005). Chinchilla and murine models of upper respiratory tract infections with respiratory syncytial virus. </w:t>
      </w:r>
      <w:r w:rsidRPr="009378D4">
        <w:rPr>
          <w:rFonts w:eastAsia="Times New Roman"/>
          <w:i/>
          <w:iCs/>
          <w:noProof/>
        </w:rPr>
        <w:t>Journal of Virology</w:t>
      </w:r>
      <w:r w:rsidRPr="009378D4">
        <w:rPr>
          <w:rFonts w:eastAsia="Times New Roman"/>
          <w:noProof/>
        </w:rPr>
        <w:t xml:space="preserve">, </w:t>
      </w:r>
      <w:r w:rsidRPr="009378D4">
        <w:rPr>
          <w:rFonts w:eastAsia="Times New Roman"/>
          <w:i/>
          <w:iCs/>
          <w:noProof/>
        </w:rPr>
        <w:t>79</w:t>
      </w:r>
      <w:r w:rsidRPr="009378D4">
        <w:rPr>
          <w:rFonts w:eastAsia="Times New Roman"/>
          <w:noProof/>
        </w:rPr>
        <w:t>(10), 6035–42. http://doi.org/10.1128/JVI.79.10.6035-6042.2005</w:t>
      </w:r>
    </w:p>
    <w:p w14:paraId="69A8F26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Gong, W., &amp; Desaulniers, J.-P. (2012). Gene-silencing properties of siRNAs that contain internal amide-bond linkages. </w:t>
      </w:r>
      <w:r w:rsidRPr="009378D4">
        <w:rPr>
          <w:rFonts w:eastAsia="Times New Roman"/>
          <w:i/>
          <w:iCs/>
          <w:noProof/>
        </w:rPr>
        <w:t>Bioorganic &amp; Medicinal Chemistry Letters</w:t>
      </w:r>
      <w:r w:rsidRPr="009378D4">
        <w:rPr>
          <w:rFonts w:eastAsia="Times New Roman"/>
          <w:noProof/>
        </w:rPr>
        <w:t xml:space="preserve">, </w:t>
      </w:r>
      <w:r w:rsidRPr="009378D4">
        <w:rPr>
          <w:rFonts w:eastAsia="Times New Roman"/>
          <w:i/>
          <w:iCs/>
          <w:noProof/>
        </w:rPr>
        <w:t>22</w:t>
      </w:r>
      <w:r w:rsidRPr="009378D4">
        <w:rPr>
          <w:rFonts w:eastAsia="Times New Roman"/>
          <w:noProof/>
        </w:rPr>
        <w:t>(22), 6934–7. http://doi.org/10.1016/j.bmcl.2012.09.009</w:t>
      </w:r>
    </w:p>
    <w:p w14:paraId="116840F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Gorzelniak, K., Janke, J., Engeli, S., &amp; Sharma, A. M. (2001). Validation of endogenous controls for gene expression studies in human adipocytes and preadipocytes. </w:t>
      </w:r>
      <w:r w:rsidRPr="009378D4">
        <w:rPr>
          <w:rFonts w:eastAsia="Times New Roman"/>
          <w:i/>
          <w:iCs/>
          <w:noProof/>
        </w:rPr>
        <w:t>Hormone and Metabolic Research = Hormon- Und Stoffwechselforschung = Hormones et Métabolisme</w:t>
      </w:r>
      <w:r w:rsidRPr="009378D4">
        <w:rPr>
          <w:rFonts w:eastAsia="Times New Roman"/>
          <w:noProof/>
        </w:rPr>
        <w:t xml:space="preserve">, </w:t>
      </w:r>
      <w:r w:rsidRPr="009378D4">
        <w:rPr>
          <w:rFonts w:eastAsia="Times New Roman"/>
          <w:i/>
          <w:iCs/>
          <w:noProof/>
        </w:rPr>
        <w:t>33</w:t>
      </w:r>
      <w:r w:rsidRPr="009378D4">
        <w:rPr>
          <w:rFonts w:eastAsia="Times New Roman"/>
          <w:noProof/>
        </w:rPr>
        <w:t>(10), 625–7. http://doi.org/10.1055/s-2001-17911</w:t>
      </w:r>
    </w:p>
    <w:p w14:paraId="679144F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Gosens, R., &amp; Grainge, C. (2015). Bronchoconstriction and airway biology: potential impact and therapeutic opportunities. </w:t>
      </w:r>
      <w:r w:rsidRPr="009378D4">
        <w:rPr>
          <w:rFonts w:eastAsia="Times New Roman"/>
          <w:i/>
          <w:iCs/>
          <w:noProof/>
        </w:rPr>
        <w:t>Chest</w:t>
      </w:r>
      <w:r w:rsidRPr="009378D4">
        <w:rPr>
          <w:rFonts w:eastAsia="Times New Roman"/>
          <w:noProof/>
        </w:rPr>
        <w:t xml:space="preserve">, </w:t>
      </w:r>
      <w:r w:rsidRPr="009378D4">
        <w:rPr>
          <w:rFonts w:eastAsia="Times New Roman"/>
          <w:i/>
          <w:iCs/>
          <w:noProof/>
        </w:rPr>
        <w:t>147</w:t>
      </w:r>
      <w:r w:rsidRPr="009378D4">
        <w:rPr>
          <w:rFonts w:eastAsia="Times New Roman"/>
          <w:noProof/>
        </w:rPr>
        <w:t>(3), 798–803. http://doi.org/10.1378/chest.14-1142</w:t>
      </w:r>
    </w:p>
    <w:p w14:paraId="4B1037A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Gottlieb, J., Zamora, M. R., Hodges, T., Musk, A. W., Sommerwerk, U., Dilling, D., … Glanville, A. R. (2015a). ALN-RSV01 for prevention of bronchiolitis obliterans syndrome after respiratory syncytial virus infection in lung transplant recipients. </w:t>
      </w:r>
      <w:r w:rsidRPr="009378D4">
        <w:rPr>
          <w:rFonts w:eastAsia="Times New Roman"/>
          <w:i/>
          <w:iCs/>
          <w:noProof/>
        </w:rPr>
        <w:t xml:space="preserve">The </w:t>
      </w:r>
      <w:r w:rsidRPr="009378D4">
        <w:rPr>
          <w:rFonts w:eastAsia="Times New Roman"/>
          <w:i/>
          <w:iCs/>
          <w:noProof/>
        </w:rPr>
        <w:lastRenderedPageBreak/>
        <w:t>Journal of Heart and Lung Transplantation : The Official Publication of the International Society for Heart Transplantation</w:t>
      </w:r>
      <w:r w:rsidRPr="009378D4">
        <w:rPr>
          <w:rFonts w:eastAsia="Times New Roman"/>
          <w:noProof/>
        </w:rPr>
        <w:t>. http://doi.org/10.1016/j.healun.2015.08.012</w:t>
      </w:r>
    </w:p>
    <w:p w14:paraId="483520F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Gottlieb, J., Zamora, M. R., Hodges, T., Musk, A. W., Sommerwerk, U., Dilling, D., … Glanville, A. R. (2015b). ALN-RSV01 for prevention of bronchiolitis obliterans syndrome after respiratory syncytial virus infection in lung transplant recipients. </w:t>
      </w:r>
      <w:r w:rsidRPr="009378D4">
        <w:rPr>
          <w:rFonts w:eastAsia="Times New Roman"/>
          <w:i/>
          <w:iCs/>
          <w:noProof/>
        </w:rPr>
        <w:t>The Journal of Heart and Lung Transplantation : The Official Publication of the International Society for Heart Transplantation</w:t>
      </w:r>
      <w:r w:rsidRPr="009378D4">
        <w:rPr>
          <w:rFonts w:eastAsia="Times New Roman"/>
          <w:noProof/>
        </w:rPr>
        <w:t>. http://doi.org/10.1016/j.healun.2015.08.012</w:t>
      </w:r>
    </w:p>
    <w:p w14:paraId="393FAA1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Griesenbach, U., Kitson, C., Escudero Garcia, S., Farley, R., Singh, C., Somerton, L., … Alton, E. W. F. W. (2006). Inefficient cationic lipid-mediated siRNA and antisense oligonucleotide transfer to airway epithelial cells in vivo. </w:t>
      </w:r>
      <w:r w:rsidRPr="009378D4">
        <w:rPr>
          <w:rFonts w:eastAsia="Times New Roman"/>
          <w:i/>
          <w:iCs/>
          <w:noProof/>
        </w:rPr>
        <w:t>Respiratory Research</w:t>
      </w:r>
      <w:r w:rsidRPr="009378D4">
        <w:rPr>
          <w:rFonts w:eastAsia="Times New Roman"/>
          <w:noProof/>
        </w:rPr>
        <w:t xml:space="preserve">, </w:t>
      </w:r>
      <w:r w:rsidRPr="009378D4">
        <w:rPr>
          <w:rFonts w:eastAsia="Times New Roman"/>
          <w:i/>
          <w:iCs/>
          <w:noProof/>
        </w:rPr>
        <w:t>7</w:t>
      </w:r>
      <w:r w:rsidRPr="009378D4">
        <w:rPr>
          <w:rFonts w:eastAsia="Times New Roman"/>
          <w:noProof/>
        </w:rPr>
        <w:t>, 26. http://doi.org/10.1186/1465-9921-7-26</w:t>
      </w:r>
    </w:p>
    <w:p w14:paraId="5A6DB4F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Gu, S., Jin, L., Zhang, F., Huang, Y., Grimm, D., Rossi, J. J., &amp; Kay, M. A. (2011). Thermodynamic stability of small hairpin RNAs highly influences the loading process of different mammalian Argonautes.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108</w:t>
      </w:r>
      <w:r w:rsidRPr="009378D4">
        <w:rPr>
          <w:rFonts w:eastAsia="Times New Roman"/>
          <w:noProof/>
        </w:rPr>
        <w:t>(22), 9208–13. http://doi.org/10.1073/pnas.1018023108</w:t>
      </w:r>
    </w:p>
    <w:p w14:paraId="3DC505F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Guennewig, B., Roos, M., Dogar, A. M., Gebert, L. F. R., Zagalak, J. A., Vongrad, V., … Hall, J. (2014). Synthetic pre-microRNAs reveal dual-strand activity of miR-34a on TNF-α. </w:t>
      </w:r>
      <w:r w:rsidRPr="009378D4">
        <w:rPr>
          <w:rFonts w:eastAsia="Times New Roman"/>
          <w:i/>
          <w:iCs/>
          <w:noProof/>
        </w:rPr>
        <w:t>RNA (New York, N.Y.)</w:t>
      </w:r>
      <w:r w:rsidRPr="009378D4">
        <w:rPr>
          <w:rFonts w:eastAsia="Times New Roman"/>
          <w:noProof/>
        </w:rPr>
        <w:t xml:space="preserve">, </w:t>
      </w:r>
      <w:r w:rsidRPr="009378D4">
        <w:rPr>
          <w:rFonts w:eastAsia="Times New Roman"/>
          <w:i/>
          <w:iCs/>
          <w:noProof/>
        </w:rPr>
        <w:t>20</w:t>
      </w:r>
      <w:r w:rsidRPr="009378D4">
        <w:rPr>
          <w:rFonts w:eastAsia="Times New Roman"/>
          <w:noProof/>
        </w:rPr>
        <w:t>(1), 61–75. http://doi.org/10.1261/rna.038968.113</w:t>
      </w:r>
    </w:p>
    <w:p w14:paraId="4A825CB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Guimond, A., Viau, E., Aubé, P., Renzi, P. M., Paquet, L., &amp; Ferrari, N. (2008). Advantageous toxicity profile of inhaled antisense oligonucleotides following chronic dosing in non-human primates. </w:t>
      </w:r>
      <w:r w:rsidRPr="009378D4">
        <w:rPr>
          <w:rFonts w:eastAsia="Times New Roman"/>
          <w:i/>
          <w:iCs/>
          <w:noProof/>
        </w:rPr>
        <w:t>Pulmonary Pharmacology &amp; Therapeutics</w:t>
      </w:r>
      <w:r w:rsidRPr="009378D4">
        <w:rPr>
          <w:rFonts w:eastAsia="Times New Roman"/>
          <w:noProof/>
        </w:rPr>
        <w:t xml:space="preserve">, </w:t>
      </w:r>
      <w:r w:rsidRPr="009378D4">
        <w:rPr>
          <w:rFonts w:eastAsia="Times New Roman"/>
          <w:i/>
          <w:iCs/>
          <w:noProof/>
        </w:rPr>
        <w:t>21</w:t>
      </w:r>
      <w:r w:rsidRPr="009378D4">
        <w:rPr>
          <w:rFonts w:eastAsia="Times New Roman"/>
          <w:noProof/>
        </w:rPr>
        <w:t>(6), 845–</w:t>
      </w:r>
      <w:r w:rsidRPr="009378D4">
        <w:rPr>
          <w:rFonts w:eastAsia="Times New Roman"/>
          <w:noProof/>
        </w:rPr>
        <w:lastRenderedPageBreak/>
        <w:t>54. http://doi.org/10.1016/j.pupt.2008.08.001</w:t>
      </w:r>
    </w:p>
    <w:p w14:paraId="062CF5F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Guvakova, M. A., Yakubov, L. A., Vlodavsky, I., Tonkinson, J. L., &amp; Stein, C. A. (1995). Phosphorothioate Oligodeoxynucleotides Bind to Basic Fibroblast Growth Factor, Inhibit Its Binding to Cell Surface Receptors, and Remove It from Low Affinity Binding Sites on Extracellular Matrix. </w:t>
      </w:r>
      <w:r w:rsidRPr="009378D4">
        <w:rPr>
          <w:rFonts w:eastAsia="Times New Roman"/>
          <w:i/>
          <w:iCs/>
          <w:noProof/>
        </w:rPr>
        <w:t>Journal of Biological Chemistry</w:t>
      </w:r>
      <w:r w:rsidRPr="009378D4">
        <w:rPr>
          <w:rFonts w:eastAsia="Times New Roman"/>
          <w:noProof/>
        </w:rPr>
        <w:t xml:space="preserve">, </w:t>
      </w:r>
      <w:r w:rsidRPr="009378D4">
        <w:rPr>
          <w:rFonts w:eastAsia="Times New Roman"/>
          <w:i/>
          <w:iCs/>
          <w:noProof/>
        </w:rPr>
        <w:t>270</w:t>
      </w:r>
      <w:r w:rsidRPr="009378D4">
        <w:rPr>
          <w:rFonts w:eastAsia="Times New Roman"/>
          <w:noProof/>
        </w:rPr>
        <w:t>(6), 2620–2627. http://doi.org/10.1074/jbc.270.6.2620</w:t>
      </w:r>
    </w:p>
    <w:p w14:paraId="05E3B6E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Gysler, S. M., Mulla, M. J., Guerra, M., Brosens, J. J., Salmon, J. E., Chamley, L. W., &amp; Abrahams, V. M. (2016). Antiphospholipid antibody-induced miR-146a-3p drives trophoblast interleukin-8 secretion through activation of Toll-like receptor 8. </w:t>
      </w:r>
      <w:r w:rsidRPr="009378D4">
        <w:rPr>
          <w:rFonts w:eastAsia="Times New Roman"/>
          <w:i/>
          <w:iCs/>
          <w:noProof/>
        </w:rPr>
        <w:t>Molecular Human Reproduction</w:t>
      </w:r>
      <w:r w:rsidRPr="009378D4">
        <w:rPr>
          <w:rFonts w:eastAsia="Times New Roman"/>
          <w:noProof/>
        </w:rPr>
        <w:t>, gaw027. http://doi.org/10.1093/molehr/gaw027</w:t>
      </w:r>
    </w:p>
    <w:p w14:paraId="0BEC970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Hall, C. B. (2001). Respiratory syncytial virus and parainfluenza virus. </w:t>
      </w:r>
      <w:r w:rsidRPr="009378D4">
        <w:rPr>
          <w:rFonts w:eastAsia="Times New Roman"/>
          <w:i/>
          <w:iCs/>
          <w:noProof/>
        </w:rPr>
        <w:t>The New England Journal of Medicine</w:t>
      </w:r>
      <w:r w:rsidRPr="009378D4">
        <w:rPr>
          <w:rFonts w:eastAsia="Times New Roman"/>
          <w:noProof/>
        </w:rPr>
        <w:t xml:space="preserve">, </w:t>
      </w:r>
      <w:r w:rsidRPr="009378D4">
        <w:rPr>
          <w:rFonts w:eastAsia="Times New Roman"/>
          <w:i/>
          <w:iCs/>
          <w:noProof/>
        </w:rPr>
        <w:t>344</w:t>
      </w:r>
      <w:r w:rsidRPr="009378D4">
        <w:rPr>
          <w:rFonts w:eastAsia="Times New Roman"/>
          <w:noProof/>
        </w:rPr>
        <w:t>(25), 1917–28. http://doi.org/10.1056/NEJM200106213442507</w:t>
      </w:r>
    </w:p>
    <w:p w14:paraId="0E6AE2F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Hall, C. B., Douglas, R. G., &amp; Geiman, J. M. (1975). Quantitative shedding patterns of respiratory syncytial virus in infants. </w:t>
      </w:r>
      <w:r w:rsidRPr="009378D4">
        <w:rPr>
          <w:rFonts w:eastAsia="Times New Roman"/>
          <w:i/>
          <w:iCs/>
          <w:noProof/>
        </w:rPr>
        <w:t>The Journal of Infectious Diseases</w:t>
      </w:r>
      <w:r w:rsidRPr="009378D4">
        <w:rPr>
          <w:rFonts w:eastAsia="Times New Roman"/>
          <w:noProof/>
        </w:rPr>
        <w:t xml:space="preserve">, </w:t>
      </w:r>
      <w:r w:rsidRPr="009378D4">
        <w:rPr>
          <w:rFonts w:eastAsia="Times New Roman"/>
          <w:i/>
          <w:iCs/>
          <w:noProof/>
        </w:rPr>
        <w:t>132</w:t>
      </w:r>
      <w:r w:rsidRPr="009378D4">
        <w:rPr>
          <w:rFonts w:eastAsia="Times New Roman"/>
          <w:noProof/>
        </w:rPr>
        <w:t>(2), 151–6. Retrieved from http://www.ncbi.nlm.nih.gov/pubmed/808581</w:t>
      </w:r>
    </w:p>
    <w:p w14:paraId="3591645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Hall, C. B., Douglas, R. G., &amp; Geiman, J. M. (1976). Respiratory syncytial virus infections in infants: quantitation and duration of shedding. </w:t>
      </w:r>
      <w:r w:rsidRPr="009378D4">
        <w:rPr>
          <w:rFonts w:eastAsia="Times New Roman"/>
          <w:i/>
          <w:iCs/>
          <w:noProof/>
        </w:rPr>
        <w:t>The Journal of Pediatrics</w:t>
      </w:r>
      <w:r w:rsidRPr="009378D4">
        <w:rPr>
          <w:rFonts w:eastAsia="Times New Roman"/>
          <w:noProof/>
        </w:rPr>
        <w:t xml:space="preserve">, </w:t>
      </w:r>
      <w:r w:rsidRPr="009378D4">
        <w:rPr>
          <w:rFonts w:eastAsia="Times New Roman"/>
          <w:i/>
          <w:iCs/>
          <w:noProof/>
        </w:rPr>
        <w:t>89</w:t>
      </w:r>
      <w:r w:rsidRPr="009378D4">
        <w:rPr>
          <w:rFonts w:eastAsia="Times New Roman"/>
          <w:noProof/>
        </w:rPr>
        <w:t>(1), 11–5. Retrieved from http://www.ncbi.nlm.nih.gov/pubmed/180274</w:t>
      </w:r>
    </w:p>
    <w:p w14:paraId="25C30BD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Hamid, Q., Azzawi, M., Ying, S., Moqbel, R., Wardlaw, A. J., Corrigan, C. J., … Jeffery, P. K. (1991). Expression of mRNA for interleukin-5 in mucosal bronchial biopsies from asthma. </w:t>
      </w:r>
      <w:r w:rsidRPr="009378D4">
        <w:rPr>
          <w:rFonts w:eastAsia="Times New Roman"/>
          <w:i/>
          <w:iCs/>
          <w:noProof/>
        </w:rPr>
        <w:t>The Journal of Clinical Investigation</w:t>
      </w:r>
      <w:r w:rsidRPr="009378D4">
        <w:rPr>
          <w:rFonts w:eastAsia="Times New Roman"/>
          <w:noProof/>
        </w:rPr>
        <w:t xml:space="preserve">, </w:t>
      </w:r>
      <w:r w:rsidRPr="009378D4">
        <w:rPr>
          <w:rFonts w:eastAsia="Times New Roman"/>
          <w:i/>
          <w:iCs/>
          <w:noProof/>
        </w:rPr>
        <w:t>87</w:t>
      </w:r>
      <w:r w:rsidRPr="009378D4">
        <w:rPr>
          <w:rFonts w:eastAsia="Times New Roman"/>
          <w:noProof/>
        </w:rPr>
        <w:t>(5), 1541–6. http://doi.org/10.1172/JCI115166</w:t>
      </w:r>
    </w:p>
    <w:p w14:paraId="46A9ED5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Hamm, S., Latz, E., Hangel, D., Müller, T., Yu, P., Golenbock, D., … Bauer, S. (2010). Alternating 2’-O-ribose methylation is a universal approach for generating non-</w:t>
      </w:r>
      <w:r w:rsidRPr="009378D4">
        <w:rPr>
          <w:rFonts w:eastAsia="Times New Roman"/>
          <w:noProof/>
        </w:rPr>
        <w:lastRenderedPageBreak/>
        <w:t xml:space="preserve">stimulatory siRNA by acting as TLR7 antagonist. </w:t>
      </w:r>
      <w:r w:rsidRPr="009378D4">
        <w:rPr>
          <w:rFonts w:eastAsia="Times New Roman"/>
          <w:i/>
          <w:iCs/>
          <w:noProof/>
        </w:rPr>
        <w:t>Immunobiology</w:t>
      </w:r>
      <w:r w:rsidRPr="009378D4">
        <w:rPr>
          <w:rFonts w:eastAsia="Times New Roman"/>
          <w:noProof/>
        </w:rPr>
        <w:t xml:space="preserve">, </w:t>
      </w:r>
      <w:r w:rsidRPr="009378D4">
        <w:rPr>
          <w:rFonts w:eastAsia="Times New Roman"/>
          <w:i/>
          <w:iCs/>
          <w:noProof/>
        </w:rPr>
        <w:t>215</w:t>
      </w:r>
      <w:r w:rsidRPr="009378D4">
        <w:rPr>
          <w:rFonts w:eastAsia="Times New Roman"/>
          <w:noProof/>
        </w:rPr>
        <w:t>(7), 559–69. http://doi.org/10.1016/j.imbio.2009.09.003</w:t>
      </w:r>
    </w:p>
    <w:p w14:paraId="0003830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Han, S., &amp; Mallampalli, R. K. (2015). The Role of Surfactant in Lung Disease and Host Defense against Pulmonary Infections. </w:t>
      </w:r>
      <w:r w:rsidRPr="009378D4">
        <w:rPr>
          <w:rFonts w:eastAsia="Times New Roman"/>
          <w:i/>
          <w:iCs/>
          <w:noProof/>
        </w:rPr>
        <w:t>Annals of the American Thoracic Society</w:t>
      </w:r>
      <w:r w:rsidRPr="009378D4">
        <w:rPr>
          <w:rFonts w:eastAsia="Times New Roman"/>
          <w:noProof/>
        </w:rPr>
        <w:t xml:space="preserve">, </w:t>
      </w:r>
      <w:r w:rsidRPr="009378D4">
        <w:rPr>
          <w:rFonts w:eastAsia="Times New Roman"/>
          <w:i/>
          <w:iCs/>
          <w:noProof/>
        </w:rPr>
        <w:t>12</w:t>
      </w:r>
      <w:r w:rsidRPr="009378D4">
        <w:rPr>
          <w:rFonts w:eastAsia="Times New Roman"/>
          <w:noProof/>
        </w:rPr>
        <w:t>(5), 765–74. http://doi.org/10.1513/AnnalsATS.201411-507FR</w:t>
      </w:r>
    </w:p>
    <w:p w14:paraId="21C60AD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Hannus, M., Beitzinger, M., Engelmann, J. C., Weickert, M.-T., Spang, R., Hannus, S., &amp; Meister, G. (2014). siPools: highly complex but accurately defined siRNA pools eliminate off-target effects.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42</w:t>
      </w:r>
      <w:r w:rsidRPr="009378D4">
        <w:rPr>
          <w:rFonts w:eastAsia="Times New Roman"/>
          <w:noProof/>
        </w:rPr>
        <w:t>(12), 8049–61. http://doi.org/10.1093/nar/gku480</w:t>
      </w:r>
    </w:p>
    <w:p w14:paraId="4599D00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Hasleton, P. S. (1972). The internal surface area of the adult human lung. </w:t>
      </w:r>
      <w:r w:rsidRPr="009378D4">
        <w:rPr>
          <w:rFonts w:eastAsia="Times New Roman"/>
          <w:i/>
          <w:iCs/>
          <w:noProof/>
        </w:rPr>
        <w:t>Journal of Anatomy</w:t>
      </w:r>
      <w:r w:rsidRPr="009378D4">
        <w:rPr>
          <w:rFonts w:eastAsia="Times New Roman"/>
          <w:noProof/>
        </w:rPr>
        <w:t xml:space="preserve">, </w:t>
      </w:r>
      <w:r w:rsidRPr="009378D4">
        <w:rPr>
          <w:rFonts w:eastAsia="Times New Roman"/>
          <w:i/>
          <w:iCs/>
          <w:noProof/>
        </w:rPr>
        <w:t>112</w:t>
      </w:r>
      <w:r w:rsidRPr="009378D4">
        <w:rPr>
          <w:rFonts w:eastAsia="Times New Roman"/>
          <w:noProof/>
        </w:rPr>
        <w:t>(Pt 3), 391–400. Retrieved from http://www.pubmedcentral.nih.gov/articlerender.fcgi?artid=1271180&amp;tool=pmcentrez&amp;rendertype=abstract</w:t>
      </w:r>
    </w:p>
    <w:p w14:paraId="38CDF3D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He, S., Chu, J., Wu, L.-C., Mao, H., Peng, Y., Alvarez-Breckenridge, C. A., … Yu, J. (2013). MicroRNAs activate natural killer cells through Toll-like receptor signaling. </w:t>
      </w:r>
      <w:r w:rsidRPr="009378D4">
        <w:rPr>
          <w:rFonts w:eastAsia="Times New Roman"/>
          <w:i/>
          <w:iCs/>
          <w:noProof/>
        </w:rPr>
        <w:t>Blood</w:t>
      </w:r>
      <w:r w:rsidRPr="009378D4">
        <w:rPr>
          <w:rFonts w:eastAsia="Times New Roman"/>
          <w:noProof/>
        </w:rPr>
        <w:t xml:space="preserve">, </w:t>
      </w:r>
      <w:r w:rsidRPr="009378D4">
        <w:rPr>
          <w:rFonts w:eastAsia="Times New Roman"/>
          <w:i/>
          <w:iCs/>
          <w:noProof/>
        </w:rPr>
        <w:t>121</w:t>
      </w:r>
      <w:r w:rsidRPr="009378D4">
        <w:rPr>
          <w:rFonts w:eastAsia="Times New Roman"/>
          <w:noProof/>
        </w:rPr>
        <w:t>(23), 4663–71. http://doi.org/10.1182/blood-2012-07-441360</w:t>
      </w:r>
    </w:p>
    <w:p w14:paraId="500F90A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He, W. A., Calore, F., Londhe, P., Canella, A., Guttridge, D. C., &amp; Croce, C. M. (2014). Microvesicles containing miRNAs promote muscle cell death in cancer cachexia via TLR7.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111</w:t>
      </w:r>
      <w:r w:rsidRPr="009378D4">
        <w:rPr>
          <w:rFonts w:eastAsia="Times New Roman"/>
          <w:noProof/>
        </w:rPr>
        <w:t>(12), 4525–9. http://doi.org/10.1073/pnas.1402714111</w:t>
      </w:r>
    </w:p>
    <w:p w14:paraId="002D874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Heald, A. E., Iversen, P. L., Saoud, J. B., Sazani, P., Charleston, J. S., Axtelle, T., … Kaye, E. (2014). Safety and pharmacokinetic profiles of phosphorodiamidate morpholino oligomers with activity against ebola virus and marburg virus: results of two single-ascending-dose studies. </w:t>
      </w:r>
      <w:r w:rsidRPr="009378D4">
        <w:rPr>
          <w:rFonts w:eastAsia="Times New Roman"/>
          <w:i/>
          <w:iCs/>
          <w:noProof/>
        </w:rPr>
        <w:t>Antimicrobial Agents and Chemotherapy</w:t>
      </w:r>
      <w:r w:rsidRPr="009378D4">
        <w:rPr>
          <w:rFonts w:eastAsia="Times New Roman"/>
          <w:noProof/>
        </w:rPr>
        <w:t xml:space="preserve">, </w:t>
      </w:r>
      <w:r w:rsidRPr="009378D4">
        <w:rPr>
          <w:rFonts w:eastAsia="Times New Roman"/>
          <w:i/>
          <w:iCs/>
          <w:noProof/>
        </w:rPr>
        <w:t>58</w:t>
      </w:r>
      <w:r w:rsidRPr="009378D4">
        <w:rPr>
          <w:rFonts w:eastAsia="Times New Roman"/>
          <w:noProof/>
        </w:rPr>
        <w:t xml:space="preserve">(11), 6639–47. </w:t>
      </w:r>
      <w:r w:rsidRPr="009378D4">
        <w:rPr>
          <w:rFonts w:eastAsia="Times New Roman"/>
          <w:noProof/>
        </w:rPr>
        <w:lastRenderedPageBreak/>
        <w:t>http://doi.org/10.1128/AAC.03442-14</w:t>
      </w:r>
    </w:p>
    <w:p w14:paraId="6DAB672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Henry, S. P., Giclas, P. C., Leeds, J., Pangburn, M., Auletta, C., Levin, A. A., &amp; Kornbrust, D. J. (1997). Activation of the alternative pathway of complement by a phosphorothioate oligonucleotide: potential mechanism of action. </w:t>
      </w:r>
      <w:r w:rsidRPr="009378D4">
        <w:rPr>
          <w:rFonts w:eastAsia="Times New Roman"/>
          <w:i/>
          <w:iCs/>
          <w:noProof/>
        </w:rPr>
        <w:t>The Journal of Pharmacology and Experimental Therapeutics</w:t>
      </w:r>
      <w:r w:rsidRPr="009378D4">
        <w:rPr>
          <w:rFonts w:eastAsia="Times New Roman"/>
          <w:noProof/>
        </w:rPr>
        <w:t xml:space="preserve">, </w:t>
      </w:r>
      <w:r w:rsidRPr="009378D4">
        <w:rPr>
          <w:rFonts w:eastAsia="Times New Roman"/>
          <w:i/>
          <w:iCs/>
          <w:noProof/>
        </w:rPr>
        <w:t>281</w:t>
      </w:r>
      <w:r w:rsidRPr="009378D4">
        <w:rPr>
          <w:rFonts w:eastAsia="Times New Roman"/>
          <w:noProof/>
        </w:rPr>
        <w:t>(2), 810–6. Retrieved from http://www.ncbi.nlm.nih.gov/pubmed/9152389</w:t>
      </w:r>
    </w:p>
    <w:p w14:paraId="63A09A5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Herbert, M., Coppieters, N., Lasham, A., Cao, H., &amp; Reid, G. (2011). The importance of RT-qPCR primer design for the detection of siRNA-mediated mRNA silencing. </w:t>
      </w:r>
      <w:r w:rsidRPr="009378D4">
        <w:rPr>
          <w:rFonts w:eastAsia="Times New Roman"/>
          <w:i/>
          <w:iCs/>
          <w:noProof/>
        </w:rPr>
        <w:t>BMC Research Notes</w:t>
      </w:r>
      <w:r w:rsidRPr="009378D4">
        <w:rPr>
          <w:rFonts w:eastAsia="Times New Roman"/>
          <w:noProof/>
        </w:rPr>
        <w:t xml:space="preserve">, </w:t>
      </w:r>
      <w:r w:rsidRPr="009378D4">
        <w:rPr>
          <w:rFonts w:eastAsia="Times New Roman"/>
          <w:i/>
          <w:iCs/>
          <w:noProof/>
        </w:rPr>
        <w:t>4</w:t>
      </w:r>
      <w:r w:rsidRPr="009378D4">
        <w:rPr>
          <w:rFonts w:eastAsia="Times New Roman"/>
          <w:noProof/>
        </w:rPr>
        <w:t>(1), 148. http://doi.org/10.1186/1756-0500-4-148</w:t>
      </w:r>
    </w:p>
    <w:p w14:paraId="234D976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Heyder, J. (2012). Deposition of Inhaled Particles in the Human Respiratory Tract and Consequences for Regional Targeting in Respiratory Drug Delivery. </w:t>
      </w:r>
      <w:r w:rsidRPr="009378D4">
        <w:rPr>
          <w:rFonts w:eastAsia="Times New Roman"/>
          <w:i/>
          <w:iCs/>
          <w:noProof/>
        </w:rPr>
        <w:t>Proceedings of the American Thoracic Society</w:t>
      </w:r>
      <w:r w:rsidRPr="009378D4">
        <w:rPr>
          <w:rFonts w:eastAsia="Times New Roman"/>
          <w:noProof/>
        </w:rPr>
        <w:t>. Retrieved from http://www.atsjournals.org/doi/full/10.1513/pats.200409-046TA#.VoGe7ZOLQUE</w:t>
      </w:r>
    </w:p>
    <w:p w14:paraId="72B6332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Hillaire, M. L. B., Haagsman, H. P., Osterhaus, A. D. M. E., Rimmelzwaan, G. F., &amp; van Eijk, M. (2013). Pulmonary surfactant protein D in first-line innate defence against influenza A virus infections. </w:t>
      </w:r>
      <w:r w:rsidRPr="009378D4">
        <w:rPr>
          <w:rFonts w:eastAsia="Times New Roman"/>
          <w:i/>
          <w:iCs/>
          <w:noProof/>
        </w:rPr>
        <w:t>Journal of Innate Immunity</w:t>
      </w:r>
      <w:r w:rsidRPr="009378D4">
        <w:rPr>
          <w:rFonts w:eastAsia="Times New Roman"/>
          <w:noProof/>
        </w:rPr>
        <w:t xml:space="preserve">, </w:t>
      </w:r>
      <w:r w:rsidRPr="009378D4">
        <w:rPr>
          <w:rFonts w:eastAsia="Times New Roman"/>
          <w:i/>
          <w:iCs/>
          <w:noProof/>
        </w:rPr>
        <w:t>5</w:t>
      </w:r>
      <w:r w:rsidRPr="009378D4">
        <w:rPr>
          <w:rFonts w:eastAsia="Times New Roman"/>
          <w:noProof/>
        </w:rPr>
        <w:t>(3), 197–208. http://doi.org/10.1159/000346374</w:t>
      </w:r>
    </w:p>
    <w:p w14:paraId="52D5CFE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Hodgkinson, L., Sorbera, L., &amp; Graul, A. I. (2016). Duchenne muscular dystrophy drugs face tough path to approval. </w:t>
      </w:r>
      <w:r w:rsidRPr="009378D4">
        <w:rPr>
          <w:rFonts w:eastAsia="Times New Roman"/>
          <w:i/>
          <w:iCs/>
          <w:noProof/>
        </w:rPr>
        <w:t>Drugs of Today (Barcelona, Spain : 1998)</w:t>
      </w:r>
      <w:r w:rsidRPr="009378D4">
        <w:rPr>
          <w:rFonts w:eastAsia="Times New Roman"/>
          <w:noProof/>
        </w:rPr>
        <w:t xml:space="preserve">, </w:t>
      </w:r>
      <w:r w:rsidRPr="009378D4">
        <w:rPr>
          <w:rFonts w:eastAsia="Times New Roman"/>
          <w:i/>
          <w:iCs/>
          <w:noProof/>
        </w:rPr>
        <w:t>52</w:t>
      </w:r>
      <w:r w:rsidRPr="009378D4">
        <w:rPr>
          <w:rFonts w:eastAsia="Times New Roman"/>
          <w:noProof/>
        </w:rPr>
        <w:t>(3), 199–202. http://doi.org/10.1358/dot.2016.52.3.2473590</w:t>
      </w:r>
    </w:p>
    <w:p w14:paraId="6F960F0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Holmes, K., Williams, C. M., Chapman, E. A., &amp; Cross, M. J. (2010). Detection of siRNA induced mRNA silencing by RT-qPCR: considerations for experimental design. </w:t>
      </w:r>
      <w:r w:rsidRPr="009378D4">
        <w:rPr>
          <w:rFonts w:eastAsia="Times New Roman"/>
          <w:i/>
          <w:iCs/>
          <w:noProof/>
        </w:rPr>
        <w:t>BMC Research Notes</w:t>
      </w:r>
      <w:r w:rsidRPr="009378D4">
        <w:rPr>
          <w:rFonts w:eastAsia="Times New Roman"/>
          <w:noProof/>
        </w:rPr>
        <w:t xml:space="preserve">, </w:t>
      </w:r>
      <w:r w:rsidRPr="009378D4">
        <w:rPr>
          <w:rFonts w:eastAsia="Times New Roman"/>
          <w:i/>
          <w:iCs/>
          <w:noProof/>
        </w:rPr>
        <w:t>3</w:t>
      </w:r>
      <w:r w:rsidRPr="009378D4">
        <w:rPr>
          <w:rFonts w:eastAsia="Times New Roman"/>
          <w:noProof/>
        </w:rPr>
        <w:t>, 53. http://doi.org/10.1186/1756-0500-3-53</w:t>
      </w:r>
    </w:p>
    <w:p w14:paraId="6ACAB91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Hornung, V., Ellegast, J., Kim, S., Brzózka, K., Jung, A., Kato, H., … Hartmann, G. (2006). </w:t>
      </w:r>
      <w:r w:rsidRPr="009378D4">
        <w:rPr>
          <w:rFonts w:eastAsia="Times New Roman"/>
          <w:noProof/>
        </w:rPr>
        <w:lastRenderedPageBreak/>
        <w:t xml:space="preserve">5’-Triphosphate RNA is the ligand for RIG-I. </w:t>
      </w:r>
      <w:r w:rsidRPr="009378D4">
        <w:rPr>
          <w:rFonts w:eastAsia="Times New Roman"/>
          <w:i/>
          <w:iCs/>
          <w:noProof/>
        </w:rPr>
        <w:t>Science (New York, N.Y.)</w:t>
      </w:r>
      <w:r w:rsidRPr="009378D4">
        <w:rPr>
          <w:rFonts w:eastAsia="Times New Roman"/>
          <w:noProof/>
        </w:rPr>
        <w:t xml:space="preserve">, </w:t>
      </w:r>
      <w:r w:rsidRPr="009378D4">
        <w:rPr>
          <w:rFonts w:eastAsia="Times New Roman"/>
          <w:i/>
          <w:iCs/>
          <w:noProof/>
        </w:rPr>
        <w:t>314</w:t>
      </w:r>
      <w:r w:rsidRPr="009378D4">
        <w:rPr>
          <w:rFonts w:eastAsia="Times New Roman"/>
          <w:noProof/>
        </w:rPr>
        <w:t>(5801), 994–7. http://doi.org/10.1126/science.1132505</w:t>
      </w:r>
    </w:p>
    <w:p w14:paraId="7E2C4AE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Hornung, V., Guenthner-Biller, M., Bourquin, C., Ablasser, A., Schlee, M., Uematsu, S., … Hartmann, G. (2005). Sequence-specific potent induction of IFN-alpha by short interfering RNA in plasmacytoid dendritic cells through TLR7. </w:t>
      </w:r>
      <w:r w:rsidRPr="009378D4">
        <w:rPr>
          <w:rFonts w:eastAsia="Times New Roman"/>
          <w:i/>
          <w:iCs/>
          <w:noProof/>
        </w:rPr>
        <w:t>Nature Medicine</w:t>
      </w:r>
      <w:r w:rsidRPr="009378D4">
        <w:rPr>
          <w:rFonts w:eastAsia="Times New Roman"/>
          <w:noProof/>
        </w:rPr>
        <w:t xml:space="preserve">, </w:t>
      </w:r>
      <w:r w:rsidRPr="009378D4">
        <w:rPr>
          <w:rFonts w:eastAsia="Times New Roman"/>
          <w:i/>
          <w:iCs/>
          <w:noProof/>
        </w:rPr>
        <w:t>11</w:t>
      </w:r>
      <w:r w:rsidRPr="009378D4">
        <w:rPr>
          <w:rFonts w:eastAsia="Times New Roman"/>
          <w:noProof/>
        </w:rPr>
        <w:t>(3), 263–70. http://doi.org/10.1038/nm1191</w:t>
      </w:r>
    </w:p>
    <w:p w14:paraId="044250C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Horsfield, K. (1990). Diameters, generations, and orders of branches in the bronchial tree. </w:t>
      </w:r>
      <w:r w:rsidRPr="009378D4">
        <w:rPr>
          <w:rFonts w:eastAsia="Times New Roman"/>
          <w:i/>
          <w:iCs/>
          <w:noProof/>
        </w:rPr>
        <w:t>Journal of Applied Physiology (Bethesda, Md. : 1985)</w:t>
      </w:r>
      <w:r w:rsidRPr="009378D4">
        <w:rPr>
          <w:rFonts w:eastAsia="Times New Roman"/>
          <w:noProof/>
        </w:rPr>
        <w:t xml:space="preserve">, </w:t>
      </w:r>
      <w:r w:rsidRPr="009378D4">
        <w:rPr>
          <w:rFonts w:eastAsia="Times New Roman"/>
          <w:i/>
          <w:iCs/>
          <w:noProof/>
        </w:rPr>
        <w:t>68</w:t>
      </w:r>
      <w:r w:rsidRPr="009378D4">
        <w:rPr>
          <w:rFonts w:eastAsia="Times New Roman"/>
          <w:noProof/>
        </w:rPr>
        <w:t>(2), 457–61. Retrieved from http://www.ncbi.nlm.nih.gov/pubmed/2318756</w:t>
      </w:r>
    </w:p>
    <w:p w14:paraId="7F2148B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Humbert, M., Corrigan, C. J., Kimmitt, P., Till, S. J., Kay, A. B., &amp; Durham, S. R. (1997). Relationship between IL-4 and IL-5 mRNA expression and disease severity in atopic asthma. </w:t>
      </w:r>
      <w:r w:rsidRPr="009378D4">
        <w:rPr>
          <w:rFonts w:eastAsia="Times New Roman"/>
          <w:i/>
          <w:iCs/>
          <w:noProof/>
        </w:rPr>
        <w:t>American Journal of Respiratory and Critical Care Medicine</w:t>
      </w:r>
      <w:r w:rsidRPr="009378D4">
        <w:rPr>
          <w:rFonts w:eastAsia="Times New Roman"/>
          <w:noProof/>
        </w:rPr>
        <w:t xml:space="preserve">, </w:t>
      </w:r>
      <w:r w:rsidRPr="009378D4">
        <w:rPr>
          <w:rFonts w:eastAsia="Times New Roman"/>
          <w:i/>
          <w:iCs/>
          <w:noProof/>
        </w:rPr>
        <w:t>156</w:t>
      </w:r>
      <w:r w:rsidRPr="009378D4">
        <w:rPr>
          <w:rFonts w:eastAsia="Times New Roman"/>
          <w:noProof/>
        </w:rPr>
        <w:t>(3 Pt 1), 704–8. http://doi.org/10.1164/ajrccm.156.3.9610033</w:t>
      </w:r>
    </w:p>
    <w:p w14:paraId="3AF07D3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Humphreys, D. T., Hynes, C. J., Patel, H. R., Wei, G. H., Cannon, L., Fatkin, D., … Preiss, T. (2012). Complexity of murine cardiomyocyte miRNA biogenesis, sequence variant expression and function. </w:t>
      </w:r>
      <w:r w:rsidRPr="009378D4">
        <w:rPr>
          <w:rFonts w:eastAsia="Times New Roman"/>
          <w:i/>
          <w:iCs/>
          <w:noProof/>
        </w:rPr>
        <w:t>PLoS One</w:t>
      </w:r>
      <w:r w:rsidRPr="009378D4">
        <w:rPr>
          <w:rFonts w:eastAsia="Times New Roman"/>
          <w:noProof/>
        </w:rPr>
        <w:t xml:space="preserve">, </w:t>
      </w:r>
      <w:r w:rsidRPr="009378D4">
        <w:rPr>
          <w:rFonts w:eastAsia="Times New Roman"/>
          <w:i/>
          <w:iCs/>
          <w:noProof/>
        </w:rPr>
        <w:t>7</w:t>
      </w:r>
      <w:r w:rsidRPr="009378D4">
        <w:rPr>
          <w:rFonts w:eastAsia="Times New Roman"/>
          <w:noProof/>
        </w:rPr>
        <w:t>(2), e30933. http://doi.org/10.1371/journal.pone.0030933</w:t>
      </w:r>
    </w:p>
    <w:p w14:paraId="36FF5E1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Hurwitz, S. H. (1955). Nonallergic asthma; differential diagnosis and treatment. </w:t>
      </w:r>
      <w:r w:rsidRPr="009378D4">
        <w:rPr>
          <w:rFonts w:eastAsia="Times New Roman"/>
          <w:i/>
          <w:iCs/>
          <w:noProof/>
        </w:rPr>
        <w:t>California Medicine</w:t>
      </w:r>
      <w:r w:rsidRPr="009378D4">
        <w:rPr>
          <w:rFonts w:eastAsia="Times New Roman"/>
          <w:noProof/>
        </w:rPr>
        <w:t xml:space="preserve">, </w:t>
      </w:r>
      <w:r w:rsidRPr="009378D4">
        <w:rPr>
          <w:rFonts w:eastAsia="Times New Roman"/>
          <w:i/>
          <w:iCs/>
          <w:noProof/>
        </w:rPr>
        <w:t>83</w:t>
      </w:r>
      <w:r w:rsidRPr="009378D4">
        <w:rPr>
          <w:rFonts w:eastAsia="Times New Roman"/>
          <w:noProof/>
        </w:rPr>
        <w:t>(2), 61–7. Retrieved from http://www.pubmedcentral.nih.gov/articlerender.fcgi?artid=1532783&amp;tool=pmcentrez&amp;rendertype=abstract</w:t>
      </w:r>
    </w:p>
    <w:p w14:paraId="7DC9BFB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Igreja, S., Clarke, L. A., Botelho, H. M., Marques, L., &amp; Amaral, M. D. (2015). Correction of a Cystic Fibrosis Splicing Mutation by Antisense Oligonucleotides. </w:t>
      </w:r>
      <w:r w:rsidRPr="009378D4">
        <w:rPr>
          <w:rFonts w:eastAsia="Times New Roman"/>
          <w:i/>
          <w:iCs/>
          <w:noProof/>
        </w:rPr>
        <w:t>Human Mutation</w:t>
      </w:r>
      <w:r w:rsidRPr="009378D4">
        <w:rPr>
          <w:rFonts w:eastAsia="Times New Roman"/>
          <w:noProof/>
        </w:rPr>
        <w:t>. http://doi.org/10.1002/humu.22931</w:t>
      </w:r>
    </w:p>
    <w:p w14:paraId="3FCDD3F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lastRenderedPageBreak/>
        <w:t xml:space="preserve">Imaoka, H., Campbell, H., Babirad, I., Watson, R. M., Mistry, M., Sehmi, R., &amp; Gauvreau, G. M. (2011). TPI ASM8 reduces eosinophil progenitors in sputum after allergen challenge. </w:t>
      </w:r>
      <w:r w:rsidRPr="009378D4">
        <w:rPr>
          <w:rFonts w:eastAsia="Times New Roman"/>
          <w:i/>
          <w:iCs/>
          <w:noProof/>
        </w:rPr>
        <w:t>Clinical and Experimental Allergy : Journal of the British Society for Allergy and Clinical Immunology</w:t>
      </w:r>
      <w:r w:rsidRPr="009378D4">
        <w:rPr>
          <w:rFonts w:eastAsia="Times New Roman"/>
          <w:noProof/>
        </w:rPr>
        <w:t xml:space="preserve">, </w:t>
      </w:r>
      <w:r w:rsidRPr="009378D4">
        <w:rPr>
          <w:rFonts w:eastAsia="Times New Roman"/>
          <w:i/>
          <w:iCs/>
          <w:noProof/>
        </w:rPr>
        <w:t>41</w:t>
      </w:r>
      <w:r w:rsidRPr="009378D4">
        <w:rPr>
          <w:rFonts w:eastAsia="Times New Roman"/>
          <w:noProof/>
        </w:rPr>
        <w:t>(12), 1740–6. http://doi.org/10.1111/j.1365-2222.2011.03816.x</w:t>
      </w:r>
    </w:p>
    <w:p w14:paraId="564A3D0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Israelow, B., Mullokandov, G., Agudo, J., Sourisseau, M., Bashir, A., Maldonado, A. Y., … Evans, M. J. (2014). Hepatitis C virus genetics affects miR-122 requirements and response to miR-122 inhibitors. </w:t>
      </w:r>
      <w:r w:rsidRPr="009378D4">
        <w:rPr>
          <w:rFonts w:eastAsia="Times New Roman"/>
          <w:i/>
          <w:iCs/>
          <w:noProof/>
        </w:rPr>
        <w:t>Nature Communications</w:t>
      </w:r>
      <w:r w:rsidRPr="009378D4">
        <w:rPr>
          <w:rFonts w:eastAsia="Times New Roman"/>
          <w:noProof/>
        </w:rPr>
        <w:t xml:space="preserve">, </w:t>
      </w:r>
      <w:r w:rsidRPr="009378D4">
        <w:rPr>
          <w:rFonts w:eastAsia="Times New Roman"/>
          <w:i/>
          <w:iCs/>
          <w:noProof/>
        </w:rPr>
        <w:t>5</w:t>
      </w:r>
      <w:r w:rsidRPr="009378D4">
        <w:rPr>
          <w:rFonts w:eastAsia="Times New Roman"/>
          <w:noProof/>
        </w:rPr>
        <w:t>, 5408. http://doi.org/10.1038/ncomms6408</w:t>
      </w:r>
    </w:p>
    <w:p w14:paraId="7914A84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Iversen, P. L., Warren, T. K., Wells, J. B., Garza, N. L., Mourich, D. V, Welch, L. S., … Bavari, S. (2012). Discovery and early development of AVI-7537 and AVI-7288 for the treatment of Ebola virus and Marburg virus infections. </w:t>
      </w:r>
      <w:r w:rsidRPr="009378D4">
        <w:rPr>
          <w:rFonts w:eastAsia="Times New Roman"/>
          <w:i/>
          <w:iCs/>
          <w:noProof/>
        </w:rPr>
        <w:t>Viruses</w:t>
      </w:r>
      <w:r w:rsidRPr="009378D4">
        <w:rPr>
          <w:rFonts w:eastAsia="Times New Roman"/>
          <w:noProof/>
        </w:rPr>
        <w:t xml:space="preserve">, </w:t>
      </w:r>
      <w:r w:rsidRPr="009378D4">
        <w:rPr>
          <w:rFonts w:eastAsia="Times New Roman"/>
          <w:i/>
          <w:iCs/>
          <w:noProof/>
        </w:rPr>
        <w:t>4</w:t>
      </w:r>
      <w:r w:rsidRPr="009378D4">
        <w:rPr>
          <w:rFonts w:eastAsia="Times New Roman"/>
          <w:noProof/>
        </w:rPr>
        <w:t>(11), 2806–30. http://doi.org/10.3390/v4112806</w:t>
      </w:r>
    </w:p>
    <w:p w14:paraId="2889CC5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Iversen, P. L., Zhu, S., Meyer, A., &amp; Zon, G. (1992). Cellular uptake and subcellular distribution of phosphorothioate oligonucleotides into cultured cells. </w:t>
      </w:r>
      <w:r w:rsidRPr="009378D4">
        <w:rPr>
          <w:rFonts w:eastAsia="Times New Roman"/>
          <w:i/>
          <w:iCs/>
          <w:noProof/>
        </w:rPr>
        <w:t>Antisense Research and Development</w:t>
      </w:r>
      <w:r w:rsidRPr="009378D4">
        <w:rPr>
          <w:rFonts w:eastAsia="Times New Roman"/>
          <w:noProof/>
        </w:rPr>
        <w:t xml:space="preserve">, </w:t>
      </w:r>
      <w:r w:rsidRPr="009378D4">
        <w:rPr>
          <w:rFonts w:eastAsia="Times New Roman"/>
          <w:i/>
          <w:iCs/>
          <w:noProof/>
        </w:rPr>
        <w:t>2</w:t>
      </w:r>
      <w:r w:rsidRPr="009378D4">
        <w:rPr>
          <w:rFonts w:eastAsia="Times New Roman"/>
          <w:noProof/>
        </w:rPr>
        <w:t>(3), 211–22. Retrieved from http://www.ncbi.nlm.nih.gov/pubmed/1490072</w:t>
      </w:r>
    </w:p>
    <w:p w14:paraId="497035B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Jackson, A. L., Burchard, J., Leake, D., Reynolds, A., Schelter, J., Guo, J., … Linsley, P. S. (2006). Position-specific chemical modification of siRNAs reduces “off-target” transcript silencing. </w:t>
      </w:r>
      <w:r w:rsidRPr="009378D4">
        <w:rPr>
          <w:rFonts w:eastAsia="Times New Roman"/>
          <w:i/>
          <w:iCs/>
          <w:noProof/>
        </w:rPr>
        <w:t>RNA (New York, N.Y.)</w:t>
      </w:r>
      <w:r w:rsidRPr="009378D4">
        <w:rPr>
          <w:rFonts w:eastAsia="Times New Roman"/>
          <w:noProof/>
        </w:rPr>
        <w:t xml:space="preserve">, </w:t>
      </w:r>
      <w:r w:rsidRPr="009378D4">
        <w:rPr>
          <w:rFonts w:eastAsia="Times New Roman"/>
          <w:i/>
          <w:iCs/>
          <w:noProof/>
        </w:rPr>
        <w:t>12</w:t>
      </w:r>
      <w:r w:rsidRPr="009378D4">
        <w:rPr>
          <w:rFonts w:eastAsia="Times New Roman"/>
          <w:noProof/>
        </w:rPr>
        <w:t>(7), 1197–205. http://doi.org/10.1261/rna.30706</w:t>
      </w:r>
    </w:p>
    <w:p w14:paraId="70CA663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Jagannathan, R., Thapa, D., Nichols, C. E., Shepherd, D. L., Stricker, J. C., Croston, T. L., … Hollander, J. M. (2015). Translational Regulation of the Mitochondrial Genome Following Redistribution of Mitochondrial MicroRNA (MitomiR) in the Diabetic Heart. </w:t>
      </w:r>
      <w:r w:rsidRPr="009378D4">
        <w:rPr>
          <w:rFonts w:eastAsia="Times New Roman"/>
          <w:i/>
          <w:iCs/>
          <w:noProof/>
        </w:rPr>
        <w:lastRenderedPageBreak/>
        <w:t>Circulation. Cardiovascular Genetics</w:t>
      </w:r>
      <w:r w:rsidRPr="009378D4">
        <w:rPr>
          <w:rFonts w:eastAsia="Times New Roman"/>
          <w:noProof/>
        </w:rPr>
        <w:t>. http://doi.org/10.1161/CIRCGENETICS.115.001067</w:t>
      </w:r>
    </w:p>
    <w:p w14:paraId="1FC0C5B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Johansson, S. G. O., Hourihane, J. O., Bousquet, J., Bruijnzeel-Koomen, C., Dreborg, S., Haahtela, T., … Wüthrich, B. (2008). A revised nomenclature for allergy: An EAACI position statement from the EAACI nomenclature task force. </w:t>
      </w:r>
      <w:r w:rsidRPr="009378D4">
        <w:rPr>
          <w:rFonts w:eastAsia="Times New Roman"/>
          <w:i/>
          <w:iCs/>
          <w:noProof/>
        </w:rPr>
        <w:t>Allergy</w:t>
      </w:r>
      <w:r w:rsidRPr="009378D4">
        <w:rPr>
          <w:rFonts w:eastAsia="Times New Roman"/>
          <w:noProof/>
        </w:rPr>
        <w:t xml:space="preserve">, </w:t>
      </w:r>
      <w:r w:rsidRPr="009378D4">
        <w:rPr>
          <w:rFonts w:eastAsia="Times New Roman"/>
          <w:i/>
          <w:iCs/>
          <w:noProof/>
        </w:rPr>
        <w:t>56</w:t>
      </w:r>
      <w:r w:rsidRPr="009378D4">
        <w:rPr>
          <w:rFonts w:eastAsia="Times New Roman"/>
          <w:noProof/>
        </w:rPr>
        <w:t>(9), 813–824. http://doi.org/10.1111/j.1398-9995.2001.00002.x-i1</w:t>
      </w:r>
    </w:p>
    <w:p w14:paraId="416DE70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Johnson, J. E., Gonzales, R. A., Olson, S. J., Wright, P. F., &amp; Graham, B. S. (2007). The histopathology of fatal untreated human respiratory syncytial virus infection. </w:t>
      </w:r>
      <w:r w:rsidRPr="009378D4">
        <w:rPr>
          <w:rFonts w:eastAsia="Times New Roman"/>
          <w:i/>
          <w:iCs/>
          <w:noProof/>
        </w:rPr>
        <w:t>Modern Pathology : An Official Journal of the United States and Canadian Academy of Pathology, Inc</w:t>
      </w:r>
      <w:r w:rsidRPr="009378D4">
        <w:rPr>
          <w:rFonts w:eastAsia="Times New Roman"/>
          <w:noProof/>
        </w:rPr>
        <w:t xml:space="preserve">, </w:t>
      </w:r>
      <w:r w:rsidRPr="009378D4">
        <w:rPr>
          <w:rFonts w:eastAsia="Times New Roman"/>
          <w:i/>
          <w:iCs/>
          <w:noProof/>
        </w:rPr>
        <w:t>20</w:t>
      </w:r>
      <w:r w:rsidRPr="009378D4">
        <w:rPr>
          <w:rFonts w:eastAsia="Times New Roman"/>
          <w:noProof/>
        </w:rPr>
        <w:t>(1), 108–19. http://doi.org/10.1038/modpathol.3800725</w:t>
      </w:r>
    </w:p>
    <w:p w14:paraId="3045DB4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Jones, L. H., Baldock, H., Bunnage, M. E., Burrows, J., Clarke, N., Coghlan, M., … Price, D. A. (2011). Inhalation by design: dual pharmacology β-2 agonists/M3 antagonists for the treatment of COPD. </w:t>
      </w:r>
      <w:r w:rsidRPr="009378D4">
        <w:rPr>
          <w:rFonts w:eastAsia="Times New Roman"/>
          <w:i/>
          <w:iCs/>
          <w:noProof/>
        </w:rPr>
        <w:t>Bioorganic &amp; Medicinal Chemistry Letters</w:t>
      </w:r>
      <w:r w:rsidRPr="009378D4">
        <w:rPr>
          <w:rFonts w:eastAsia="Times New Roman"/>
          <w:noProof/>
        </w:rPr>
        <w:t xml:space="preserve">, </w:t>
      </w:r>
      <w:r w:rsidRPr="009378D4">
        <w:rPr>
          <w:rFonts w:eastAsia="Times New Roman"/>
          <w:i/>
          <w:iCs/>
          <w:noProof/>
        </w:rPr>
        <w:t>21</w:t>
      </w:r>
      <w:r w:rsidRPr="009378D4">
        <w:rPr>
          <w:rFonts w:eastAsia="Times New Roman"/>
          <w:noProof/>
        </w:rPr>
        <w:t>(9), 2759–63. http://doi.org/10.1016/j.bmcl.2010.10.132</w:t>
      </w:r>
    </w:p>
    <w:p w14:paraId="02FB034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Judge, A. D., Sood, V., Shaw, J. R., Fang, D., McClintock, K., &amp; MacLachlan, I. (2005). Sequence-dependent stimulation of the mammalian innate immune response by synthetic siRNA. </w:t>
      </w:r>
      <w:r w:rsidRPr="009378D4">
        <w:rPr>
          <w:rFonts w:eastAsia="Times New Roman"/>
          <w:i/>
          <w:iCs/>
          <w:noProof/>
        </w:rPr>
        <w:t>Nature Biotechnology</w:t>
      </w:r>
      <w:r w:rsidRPr="009378D4">
        <w:rPr>
          <w:rFonts w:eastAsia="Times New Roman"/>
          <w:noProof/>
        </w:rPr>
        <w:t xml:space="preserve">, </w:t>
      </w:r>
      <w:r w:rsidRPr="009378D4">
        <w:rPr>
          <w:rFonts w:eastAsia="Times New Roman"/>
          <w:i/>
          <w:iCs/>
          <w:noProof/>
        </w:rPr>
        <w:t>23</w:t>
      </w:r>
      <w:r w:rsidRPr="009378D4">
        <w:rPr>
          <w:rFonts w:eastAsia="Times New Roman"/>
          <w:noProof/>
        </w:rPr>
        <w:t>(4), 457–62. http://doi.org/10.1038/nbt1081</w:t>
      </w:r>
    </w:p>
    <w:p w14:paraId="72BA4AC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Juliano, R. L., Ming, X., &amp; Nakagawa, O. (2012). Cellular uptake and intracellular trafficking of antisense and siRNA oligonucleotides. </w:t>
      </w:r>
      <w:r w:rsidRPr="009378D4">
        <w:rPr>
          <w:rFonts w:eastAsia="Times New Roman"/>
          <w:i/>
          <w:iCs/>
          <w:noProof/>
        </w:rPr>
        <w:t>Bioconjugate Chemistry</w:t>
      </w:r>
      <w:r w:rsidRPr="009378D4">
        <w:rPr>
          <w:rFonts w:eastAsia="Times New Roman"/>
          <w:noProof/>
        </w:rPr>
        <w:t xml:space="preserve">, </w:t>
      </w:r>
      <w:r w:rsidRPr="009378D4">
        <w:rPr>
          <w:rFonts w:eastAsia="Times New Roman"/>
          <w:i/>
          <w:iCs/>
          <w:noProof/>
        </w:rPr>
        <w:t>23</w:t>
      </w:r>
      <w:r w:rsidRPr="009378D4">
        <w:rPr>
          <w:rFonts w:eastAsia="Times New Roman"/>
          <w:noProof/>
        </w:rPr>
        <w:t>(2), 147–57. http://doi.org/10.1021/bc200377d</w:t>
      </w:r>
    </w:p>
    <w:p w14:paraId="6FD3C22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Karikó, K., Buckstein, M., Ni, H., &amp; Weissman, D. (2005). Suppression of RNA recognition by Toll-like receptors: the impact of nucleoside modification and the evolutionary origin of RNA. </w:t>
      </w:r>
      <w:r w:rsidRPr="009378D4">
        <w:rPr>
          <w:rFonts w:eastAsia="Times New Roman"/>
          <w:i/>
          <w:iCs/>
          <w:noProof/>
        </w:rPr>
        <w:t>Immunity</w:t>
      </w:r>
      <w:r w:rsidRPr="009378D4">
        <w:rPr>
          <w:rFonts w:eastAsia="Times New Roman"/>
          <w:noProof/>
        </w:rPr>
        <w:t xml:space="preserve">, </w:t>
      </w:r>
      <w:r w:rsidRPr="009378D4">
        <w:rPr>
          <w:rFonts w:eastAsia="Times New Roman"/>
          <w:i/>
          <w:iCs/>
          <w:noProof/>
        </w:rPr>
        <w:t>23</w:t>
      </w:r>
      <w:r w:rsidRPr="009378D4">
        <w:rPr>
          <w:rFonts w:eastAsia="Times New Roman"/>
          <w:noProof/>
        </w:rPr>
        <w:t>(2), 165–75. http://doi.org/10.1016/j.immuni.2005.06.008</w:t>
      </w:r>
    </w:p>
    <w:p w14:paraId="29CB7D4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Karras, J. G., Crosby, J. R., Guha, M., Tung, D., Miller, D. A., Gaarde, W. A., … Gregory, S. </w:t>
      </w:r>
      <w:r w:rsidRPr="009378D4">
        <w:rPr>
          <w:rFonts w:eastAsia="Times New Roman"/>
          <w:noProof/>
        </w:rPr>
        <w:lastRenderedPageBreak/>
        <w:t xml:space="preserve">A. (2007). Anti-inflammatory activity of inhaled IL-4 receptor-alpha antisense oligonucleotide in mice. </w:t>
      </w:r>
      <w:r w:rsidRPr="009378D4">
        <w:rPr>
          <w:rFonts w:eastAsia="Times New Roman"/>
          <w:i/>
          <w:iCs/>
          <w:noProof/>
        </w:rPr>
        <w:t>American Journal of Respiratory Cell and Molecular Biology</w:t>
      </w:r>
      <w:r w:rsidRPr="009378D4">
        <w:rPr>
          <w:rFonts w:eastAsia="Times New Roman"/>
          <w:noProof/>
        </w:rPr>
        <w:t xml:space="preserve">, </w:t>
      </w:r>
      <w:r w:rsidRPr="009378D4">
        <w:rPr>
          <w:rFonts w:eastAsia="Times New Roman"/>
          <w:i/>
          <w:iCs/>
          <w:noProof/>
        </w:rPr>
        <w:t>36</w:t>
      </w:r>
      <w:r w:rsidRPr="009378D4">
        <w:rPr>
          <w:rFonts w:eastAsia="Times New Roman"/>
          <w:noProof/>
        </w:rPr>
        <w:t>(3), 276–85. http://doi.org/10.1165/rcmb.2005-0456OC</w:t>
      </w:r>
    </w:p>
    <w:p w14:paraId="7E91C80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Kato, H., Takeuchi, O., Mikamo-Satoh, E., Hirai, R., Kawai, T., Matsushita, K., … Akira, S. (2008). Length-dependent recognition of double-stranded ribonucleic acids by retinoic acid-inducible gene-I and melanoma differentiation-associated gene 5. </w:t>
      </w:r>
      <w:r w:rsidRPr="009378D4">
        <w:rPr>
          <w:rFonts w:eastAsia="Times New Roman"/>
          <w:i/>
          <w:iCs/>
          <w:noProof/>
        </w:rPr>
        <w:t>The Journal of Experimental Medicine</w:t>
      </w:r>
      <w:r w:rsidRPr="009378D4">
        <w:rPr>
          <w:rFonts w:eastAsia="Times New Roman"/>
          <w:noProof/>
        </w:rPr>
        <w:t xml:space="preserve">, </w:t>
      </w:r>
      <w:r w:rsidRPr="009378D4">
        <w:rPr>
          <w:rFonts w:eastAsia="Times New Roman"/>
          <w:i/>
          <w:iCs/>
          <w:noProof/>
        </w:rPr>
        <w:t>205</w:t>
      </w:r>
      <w:r w:rsidRPr="009378D4">
        <w:rPr>
          <w:rFonts w:eastAsia="Times New Roman"/>
          <w:noProof/>
        </w:rPr>
        <w:t>(7), 1601–10. http://doi.org/10.1084/jem.20080091</w:t>
      </w:r>
    </w:p>
    <w:p w14:paraId="39B4DB4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Kawai, J., Shinagawa, A., Shibata, K., Yoshino, M., Itoh, M., Ishii, Y., … Hayashizaki, Y. (2001). Functional annotation of a full-length mouse cDNA collection.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409</w:t>
      </w:r>
      <w:r w:rsidRPr="009378D4">
        <w:rPr>
          <w:rFonts w:eastAsia="Times New Roman"/>
          <w:noProof/>
        </w:rPr>
        <w:t>(6821), 685–90. http://doi.org/10.1038/35055500</w:t>
      </w:r>
    </w:p>
    <w:p w14:paraId="6A4D78D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Kawamata, T., &amp; Tomari, Y. (2010). Making RISC. </w:t>
      </w:r>
      <w:r w:rsidRPr="009378D4">
        <w:rPr>
          <w:rFonts w:eastAsia="Times New Roman"/>
          <w:i/>
          <w:iCs/>
          <w:noProof/>
        </w:rPr>
        <w:t>Trends in Biochemical Sciences</w:t>
      </w:r>
      <w:r w:rsidRPr="009378D4">
        <w:rPr>
          <w:rFonts w:eastAsia="Times New Roman"/>
          <w:noProof/>
        </w:rPr>
        <w:t xml:space="preserve">, </w:t>
      </w:r>
      <w:r w:rsidRPr="009378D4">
        <w:rPr>
          <w:rFonts w:eastAsia="Times New Roman"/>
          <w:i/>
          <w:iCs/>
          <w:noProof/>
        </w:rPr>
        <w:t>35</w:t>
      </w:r>
      <w:r w:rsidRPr="009378D4">
        <w:rPr>
          <w:rFonts w:eastAsia="Times New Roman"/>
          <w:noProof/>
        </w:rPr>
        <w:t>(7), 368–76. http://doi.org/10.1016/j.tibs.2010.03.009</w:t>
      </w:r>
    </w:p>
    <w:p w14:paraId="392139C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Khvorova, A., Reynolds, A., &amp; Jayasena, S. D. (2003). Functional siRNAs and miRNAs exhibit strand bias. </w:t>
      </w:r>
      <w:r w:rsidRPr="009378D4">
        <w:rPr>
          <w:rFonts w:eastAsia="Times New Roman"/>
          <w:i/>
          <w:iCs/>
          <w:noProof/>
        </w:rPr>
        <w:t>Cell</w:t>
      </w:r>
      <w:r w:rsidRPr="009378D4">
        <w:rPr>
          <w:rFonts w:eastAsia="Times New Roman"/>
          <w:noProof/>
        </w:rPr>
        <w:t xml:space="preserve">, </w:t>
      </w:r>
      <w:r w:rsidRPr="009378D4">
        <w:rPr>
          <w:rFonts w:eastAsia="Times New Roman"/>
          <w:i/>
          <w:iCs/>
          <w:noProof/>
        </w:rPr>
        <w:t>115</w:t>
      </w:r>
      <w:r w:rsidRPr="009378D4">
        <w:rPr>
          <w:rFonts w:eastAsia="Times New Roman"/>
          <w:noProof/>
        </w:rPr>
        <w:t>(2), 209–216. Retrieved from http://www.ncbi.nlm.nih.gov/pubmed/14567918</w:t>
      </w:r>
    </w:p>
    <w:p w14:paraId="4AB25C3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Kim, D. H., Saetrom, P., Snøve, O., &amp; Rossi, J. J. (2008). MicroRNA-directed transcriptional gene silencing in mammalian cells.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105</w:t>
      </w:r>
      <w:r w:rsidRPr="009378D4">
        <w:rPr>
          <w:rFonts w:eastAsia="Times New Roman"/>
          <w:noProof/>
        </w:rPr>
        <w:t>(42), 16230–5. http://doi.org/10.1073/pnas.0808830105</w:t>
      </w:r>
    </w:p>
    <w:p w14:paraId="37876F8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Kleinman, M. E., Yamada, K., Takeda, A., Chandrasekaran, V., Nozaki, M., Baffi, J. Z., … Ambati, J. (2008). Sequence- and target-independent angiogenesis suppression by siRNA via TLR3.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452</w:t>
      </w:r>
      <w:r w:rsidRPr="009378D4">
        <w:rPr>
          <w:rFonts w:eastAsia="Times New Roman"/>
          <w:noProof/>
        </w:rPr>
        <w:t>(7187), 591–7. http://doi.org/10.1038/nature06765</w:t>
      </w:r>
    </w:p>
    <w:p w14:paraId="61CF9DC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Kodym, R., Kodym, E., &amp; Story, M. D. (2009). 2’-5'-Oligoadenylate synthetase is activated by a specific RNA sequence motif. </w:t>
      </w:r>
      <w:r w:rsidRPr="009378D4">
        <w:rPr>
          <w:rFonts w:eastAsia="Times New Roman"/>
          <w:i/>
          <w:iCs/>
          <w:noProof/>
        </w:rPr>
        <w:t xml:space="preserve">Biochemical and Biophysical Research </w:t>
      </w:r>
      <w:r w:rsidRPr="009378D4">
        <w:rPr>
          <w:rFonts w:eastAsia="Times New Roman"/>
          <w:i/>
          <w:iCs/>
          <w:noProof/>
        </w:rPr>
        <w:lastRenderedPageBreak/>
        <w:t>Communications</w:t>
      </w:r>
      <w:r w:rsidRPr="009378D4">
        <w:rPr>
          <w:rFonts w:eastAsia="Times New Roman"/>
          <w:noProof/>
        </w:rPr>
        <w:t xml:space="preserve">, </w:t>
      </w:r>
      <w:r w:rsidRPr="009378D4">
        <w:rPr>
          <w:rFonts w:eastAsia="Times New Roman"/>
          <w:i/>
          <w:iCs/>
          <w:noProof/>
        </w:rPr>
        <w:t>388</w:t>
      </w:r>
      <w:r w:rsidRPr="009378D4">
        <w:rPr>
          <w:rFonts w:eastAsia="Times New Roman"/>
          <w:noProof/>
        </w:rPr>
        <w:t>(2), 317–22. http://doi.org/10.1016/j.bbrc.2009.07.167</w:t>
      </w:r>
    </w:p>
    <w:p w14:paraId="74E503E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Koller, E., Vincent, T. M., Chappell, A., De, S., Manoharan, M., &amp; Bennett, C. F. (2011). Mechanisms of single-stranded phosphorothioate modified antisense oligonucleotide accumulation in hepatocytes.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39</w:t>
      </w:r>
      <w:r w:rsidRPr="009378D4">
        <w:rPr>
          <w:rFonts w:eastAsia="Times New Roman"/>
          <w:noProof/>
        </w:rPr>
        <w:t>(11), 4795–807. http://doi.org/10.1093/nar/gkr089</w:t>
      </w:r>
    </w:p>
    <w:p w14:paraId="10D2C31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Krieg, A. M. (2011). Is RNAi dead? </w:t>
      </w:r>
      <w:r w:rsidRPr="009378D4">
        <w:rPr>
          <w:rFonts w:eastAsia="Times New Roman"/>
          <w:i/>
          <w:iCs/>
          <w:noProof/>
        </w:rPr>
        <w:t>Molecular Therapy : The Journal of the American Society of Gene Therapy</w:t>
      </w:r>
      <w:r w:rsidRPr="009378D4">
        <w:rPr>
          <w:rFonts w:eastAsia="Times New Roman"/>
          <w:noProof/>
        </w:rPr>
        <w:t xml:space="preserve">, </w:t>
      </w:r>
      <w:r w:rsidRPr="009378D4">
        <w:rPr>
          <w:rFonts w:eastAsia="Times New Roman"/>
          <w:i/>
          <w:iCs/>
          <w:noProof/>
        </w:rPr>
        <w:t>19</w:t>
      </w:r>
      <w:r w:rsidRPr="009378D4">
        <w:rPr>
          <w:rFonts w:eastAsia="Times New Roman"/>
          <w:noProof/>
        </w:rPr>
        <w:t>(6), 1001–2. http://doi.org/10.1038/mt.2011.94</w:t>
      </w:r>
    </w:p>
    <w:p w14:paraId="009399B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Krieg, A. M., Yi, A.-K., Matson, S., Waldschmidt, T. J., Bishop, G. A., Teasdale, R., … Klinman, D. M. (1995). CpG motifs in bacterial DNA trigger direct B-cell activation.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374</w:t>
      </w:r>
      <w:r w:rsidRPr="009378D4">
        <w:rPr>
          <w:rFonts w:eastAsia="Times New Roman"/>
          <w:noProof/>
        </w:rPr>
        <w:t>(6522), 546–549. http://doi.org/10.1038/374546a0</w:t>
      </w:r>
    </w:p>
    <w:p w14:paraId="397D7A3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Krol, J., Sobczak, K., Wilczynska, U., Drath, M., Jasinska, A., Kaczynska, D., &amp; Krzyzosiak, W. J. (2004). Structural features of microRNA (miRNA) precursors and their relevance to miRNA biogenesis and small interfering RNA/short hairpin RNA design. </w:t>
      </w:r>
      <w:r w:rsidRPr="009378D4">
        <w:rPr>
          <w:rFonts w:eastAsia="Times New Roman"/>
          <w:i/>
          <w:iCs/>
          <w:noProof/>
        </w:rPr>
        <w:t>J Biol Chem</w:t>
      </w:r>
      <w:r w:rsidRPr="009378D4">
        <w:rPr>
          <w:rFonts w:eastAsia="Times New Roman"/>
          <w:noProof/>
        </w:rPr>
        <w:t xml:space="preserve">, </w:t>
      </w:r>
      <w:r w:rsidRPr="009378D4">
        <w:rPr>
          <w:rFonts w:eastAsia="Times New Roman"/>
          <w:i/>
          <w:iCs/>
          <w:noProof/>
        </w:rPr>
        <w:t>279</w:t>
      </w:r>
      <w:r w:rsidRPr="009378D4">
        <w:rPr>
          <w:rFonts w:eastAsia="Times New Roman"/>
          <w:noProof/>
        </w:rPr>
        <w:t>(40), 42230–42239. http://doi.org/10.1074/jbc.M404931200</w:t>
      </w:r>
    </w:p>
    <w:p w14:paraId="1DC7782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Kumar, R., Singh, S. K., Koshkin, A. A., Rajwanshi, V. K., Meldgaard, M., &amp; Wengel, J. (1998). The first analogues of LNA (locked nucleic acids): phosphorothioate-LNA and 2’-thio-LNA. </w:t>
      </w:r>
      <w:r w:rsidRPr="009378D4">
        <w:rPr>
          <w:rFonts w:eastAsia="Times New Roman"/>
          <w:i/>
          <w:iCs/>
          <w:noProof/>
        </w:rPr>
        <w:t>Bioorganic &amp; Medicinal Chemistry Letters</w:t>
      </w:r>
      <w:r w:rsidRPr="009378D4">
        <w:rPr>
          <w:rFonts w:eastAsia="Times New Roman"/>
          <w:noProof/>
        </w:rPr>
        <w:t xml:space="preserve">, </w:t>
      </w:r>
      <w:r w:rsidRPr="009378D4">
        <w:rPr>
          <w:rFonts w:eastAsia="Times New Roman"/>
          <w:i/>
          <w:iCs/>
          <w:noProof/>
        </w:rPr>
        <w:t>8</w:t>
      </w:r>
      <w:r w:rsidRPr="009378D4">
        <w:rPr>
          <w:rFonts w:eastAsia="Times New Roman"/>
          <w:noProof/>
        </w:rPr>
        <w:t>(16), 2219–22. Retrieved from http://www.ncbi.nlm.nih.gov/pubmed/9873516</w:t>
      </w:r>
    </w:p>
    <w:p w14:paraId="0859A7D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Labiris, N. R., &amp; Dolovich, M. B. (2003). Pulmonary drug delivery. Part I: physiological factors affecting therapeutic effectiveness of aerosolized medications. </w:t>
      </w:r>
      <w:r w:rsidRPr="009378D4">
        <w:rPr>
          <w:rFonts w:eastAsia="Times New Roman"/>
          <w:i/>
          <w:iCs/>
          <w:noProof/>
        </w:rPr>
        <w:t>British Journal of Clinical Pharmacology</w:t>
      </w:r>
      <w:r w:rsidRPr="009378D4">
        <w:rPr>
          <w:rFonts w:eastAsia="Times New Roman"/>
          <w:noProof/>
        </w:rPr>
        <w:t xml:space="preserve">, </w:t>
      </w:r>
      <w:r w:rsidRPr="009378D4">
        <w:rPr>
          <w:rFonts w:eastAsia="Times New Roman"/>
          <w:i/>
          <w:iCs/>
          <w:noProof/>
        </w:rPr>
        <w:t>56</w:t>
      </w:r>
      <w:r w:rsidRPr="009378D4">
        <w:rPr>
          <w:rFonts w:eastAsia="Times New Roman"/>
          <w:noProof/>
        </w:rPr>
        <w:t>(6), 588–99. Retrieved from http://www.pubmedcentral.nih.gov/articlerender.fcgi?artid=1884307&amp;tool=pmcentrez&amp;rendertype=abstract</w:t>
      </w:r>
    </w:p>
    <w:p w14:paraId="7287DE7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Lahens, N. F., Kavakli, I. H., Zhang, R., Hayer, K., Black, M. B., Dueck, H., … Hogenesch, </w:t>
      </w:r>
      <w:r w:rsidRPr="009378D4">
        <w:rPr>
          <w:rFonts w:eastAsia="Times New Roman"/>
          <w:noProof/>
        </w:rPr>
        <w:lastRenderedPageBreak/>
        <w:t xml:space="preserve">J. B. (2014). IVT-seq reveals extreme bias in RNA sequencing. </w:t>
      </w:r>
      <w:r w:rsidRPr="009378D4">
        <w:rPr>
          <w:rFonts w:eastAsia="Times New Roman"/>
          <w:i/>
          <w:iCs/>
          <w:noProof/>
        </w:rPr>
        <w:t>Genome Biology</w:t>
      </w:r>
      <w:r w:rsidRPr="009378D4">
        <w:rPr>
          <w:rFonts w:eastAsia="Times New Roman"/>
          <w:noProof/>
        </w:rPr>
        <w:t xml:space="preserve">, </w:t>
      </w:r>
      <w:r w:rsidRPr="009378D4">
        <w:rPr>
          <w:rFonts w:eastAsia="Times New Roman"/>
          <w:i/>
          <w:iCs/>
          <w:noProof/>
        </w:rPr>
        <w:t>15</w:t>
      </w:r>
      <w:r w:rsidRPr="009378D4">
        <w:rPr>
          <w:rFonts w:eastAsia="Times New Roman"/>
          <w:noProof/>
        </w:rPr>
        <w:t>(6), R86. http://doi.org/10.1186/gb-2014-15-6-r86</w:t>
      </w:r>
    </w:p>
    <w:p w14:paraId="616F018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Lai, S. K., Wang, Y.-Y., Wirtz, D., &amp; Hanes, J. (2009). Micro- and macrorheology of mucus. </w:t>
      </w:r>
      <w:r w:rsidRPr="009378D4">
        <w:rPr>
          <w:rFonts w:eastAsia="Times New Roman"/>
          <w:i/>
          <w:iCs/>
          <w:noProof/>
        </w:rPr>
        <w:t>Advanced Drug Delivery Reviews</w:t>
      </w:r>
      <w:r w:rsidRPr="009378D4">
        <w:rPr>
          <w:rFonts w:eastAsia="Times New Roman"/>
          <w:noProof/>
        </w:rPr>
        <w:t xml:space="preserve">, </w:t>
      </w:r>
      <w:r w:rsidRPr="009378D4">
        <w:rPr>
          <w:rFonts w:eastAsia="Times New Roman"/>
          <w:i/>
          <w:iCs/>
          <w:noProof/>
        </w:rPr>
        <w:t>61</w:t>
      </w:r>
      <w:r w:rsidRPr="009378D4">
        <w:rPr>
          <w:rFonts w:eastAsia="Times New Roman"/>
          <w:noProof/>
        </w:rPr>
        <w:t>(2), 86–100. http://doi.org/10.1016/j.addr.2008.09.012</w:t>
      </w:r>
    </w:p>
    <w:p w14:paraId="7A9B7B9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Lai, S.-H., Stein, D. A., Guerrero-Plata, A., Liao, S.-L., Ivanciuc, T., Hong, C., … Garofalo, R. P. (2008). Inhibition of respiratory syncytial virus infections with morpholino oligomers in cell cultures and in mice. </w:t>
      </w:r>
      <w:r w:rsidRPr="009378D4">
        <w:rPr>
          <w:rFonts w:eastAsia="Times New Roman"/>
          <w:i/>
          <w:iCs/>
          <w:noProof/>
        </w:rPr>
        <w:t>Molecular Therapy : The Journal of the American Society of Gene Therapy</w:t>
      </w:r>
      <w:r w:rsidRPr="009378D4">
        <w:rPr>
          <w:rFonts w:eastAsia="Times New Roman"/>
          <w:noProof/>
        </w:rPr>
        <w:t xml:space="preserve">, </w:t>
      </w:r>
      <w:r w:rsidRPr="009378D4">
        <w:rPr>
          <w:rFonts w:eastAsia="Times New Roman"/>
          <w:i/>
          <w:iCs/>
          <w:noProof/>
        </w:rPr>
        <w:t>16</w:t>
      </w:r>
      <w:r w:rsidRPr="009378D4">
        <w:rPr>
          <w:rFonts w:eastAsia="Times New Roman"/>
          <w:noProof/>
        </w:rPr>
        <w:t>(6), 1120–8. http://doi.org/10.1038/mt.2008.81</w:t>
      </w:r>
    </w:p>
    <w:p w14:paraId="39E0B22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Lam, J. K. W., Chow, M. Y. T., Zhang, Y., &amp; Leung, S. W. S. (2015). siRNA Versus miRNA as Therapeutics for Gene Silencing. </w:t>
      </w:r>
      <w:r w:rsidRPr="009378D4">
        <w:rPr>
          <w:rFonts w:eastAsia="Times New Roman"/>
          <w:i/>
          <w:iCs/>
          <w:noProof/>
        </w:rPr>
        <w:t>Molecular Therapy. Nucleic Acids</w:t>
      </w:r>
      <w:r w:rsidRPr="009378D4">
        <w:rPr>
          <w:rFonts w:eastAsia="Times New Roman"/>
          <w:noProof/>
        </w:rPr>
        <w:t xml:space="preserve">, </w:t>
      </w:r>
      <w:r w:rsidRPr="009378D4">
        <w:rPr>
          <w:rFonts w:eastAsia="Times New Roman"/>
          <w:i/>
          <w:iCs/>
          <w:noProof/>
        </w:rPr>
        <w:t>4</w:t>
      </w:r>
      <w:r w:rsidRPr="009378D4">
        <w:rPr>
          <w:rFonts w:eastAsia="Times New Roman"/>
          <w:noProof/>
        </w:rPr>
        <w:t>, e252. http://doi.org/10.1038/mtna.2015.23</w:t>
      </w:r>
    </w:p>
    <w:p w14:paraId="7C20919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Lambert, R. K. (1989). A new computational model for expiratory flow from nonhomogeneous human lungs. </w:t>
      </w:r>
      <w:r w:rsidRPr="009378D4">
        <w:rPr>
          <w:rFonts w:eastAsia="Times New Roman"/>
          <w:i/>
          <w:iCs/>
          <w:noProof/>
        </w:rPr>
        <w:t>Journal of Biomechanical Engineering</w:t>
      </w:r>
      <w:r w:rsidRPr="009378D4">
        <w:rPr>
          <w:rFonts w:eastAsia="Times New Roman"/>
          <w:noProof/>
        </w:rPr>
        <w:t xml:space="preserve">, </w:t>
      </w:r>
      <w:r w:rsidRPr="009378D4">
        <w:rPr>
          <w:rFonts w:eastAsia="Times New Roman"/>
          <w:i/>
          <w:iCs/>
          <w:noProof/>
        </w:rPr>
        <w:t>111</w:t>
      </w:r>
      <w:r w:rsidRPr="009378D4">
        <w:rPr>
          <w:rFonts w:eastAsia="Times New Roman"/>
          <w:noProof/>
        </w:rPr>
        <w:t>(3), 200–5. Retrieved from http://www.ncbi.nlm.nih.gov/pubmed/2779184</w:t>
      </w:r>
    </w:p>
    <w:p w14:paraId="087EF40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Lambert, R. K., Wilson, T. A., Hyatt, R. E., &amp; Rodarte, J. R. (1982). A computational model for expiratory flow. </w:t>
      </w:r>
      <w:r w:rsidRPr="009378D4">
        <w:rPr>
          <w:rFonts w:eastAsia="Times New Roman"/>
          <w:i/>
          <w:iCs/>
          <w:noProof/>
        </w:rPr>
        <w:t>Journal of Applied Physiology: Respiratory, Environmental and Exercise Physiology</w:t>
      </w:r>
      <w:r w:rsidRPr="009378D4">
        <w:rPr>
          <w:rFonts w:eastAsia="Times New Roman"/>
          <w:noProof/>
        </w:rPr>
        <w:t xml:space="preserve">, </w:t>
      </w:r>
      <w:r w:rsidRPr="009378D4">
        <w:rPr>
          <w:rFonts w:eastAsia="Times New Roman"/>
          <w:i/>
          <w:iCs/>
          <w:noProof/>
        </w:rPr>
        <w:t>52</w:t>
      </w:r>
      <w:r w:rsidRPr="009378D4">
        <w:rPr>
          <w:rFonts w:eastAsia="Times New Roman"/>
          <w:noProof/>
        </w:rPr>
        <w:t>(1), 44–56. Retrieved from http://www.ncbi.nlm.nih.gov/pubmed/7061277</w:t>
      </w:r>
    </w:p>
    <w:p w14:paraId="096468D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Laube, B. L. (2014). The expanding role of aerosols in systemic drug delivery, gene therapy and vaccination: an update. </w:t>
      </w:r>
      <w:r w:rsidRPr="009378D4">
        <w:rPr>
          <w:rFonts w:eastAsia="Times New Roman"/>
          <w:i/>
          <w:iCs/>
          <w:noProof/>
        </w:rPr>
        <w:t>Translational Respiratory Medicine</w:t>
      </w:r>
      <w:r w:rsidRPr="009378D4">
        <w:rPr>
          <w:rFonts w:eastAsia="Times New Roman"/>
          <w:noProof/>
        </w:rPr>
        <w:t xml:space="preserve">, </w:t>
      </w:r>
      <w:r w:rsidRPr="009378D4">
        <w:rPr>
          <w:rFonts w:eastAsia="Times New Roman"/>
          <w:i/>
          <w:iCs/>
          <w:noProof/>
        </w:rPr>
        <w:t>2</w:t>
      </w:r>
      <w:r w:rsidRPr="009378D4">
        <w:rPr>
          <w:rFonts w:eastAsia="Times New Roman"/>
          <w:noProof/>
        </w:rPr>
        <w:t>, 3. http://doi.org/10.1186/2213-0802-2-3</w:t>
      </w:r>
    </w:p>
    <w:p w14:paraId="6C15DD3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Leckie, M. J., ten Brinke, A., Khan, J., Diamant, Z., O’Connor, B. J., Walls, C. M., … Barnes, P. J. (2000). Effects of an interleukin-5 blocking monoclonal antibody on </w:t>
      </w:r>
      <w:r w:rsidRPr="009378D4">
        <w:rPr>
          <w:rFonts w:eastAsia="Times New Roman"/>
          <w:noProof/>
        </w:rPr>
        <w:lastRenderedPageBreak/>
        <w:t xml:space="preserve">eosinophils, airway hyper-responsiveness, and the late asthmatic response. </w:t>
      </w:r>
      <w:r w:rsidRPr="009378D4">
        <w:rPr>
          <w:rFonts w:eastAsia="Times New Roman"/>
          <w:i/>
          <w:iCs/>
          <w:noProof/>
        </w:rPr>
        <w:t>Lancet (London, England)</w:t>
      </w:r>
      <w:r w:rsidRPr="009378D4">
        <w:rPr>
          <w:rFonts w:eastAsia="Times New Roman"/>
          <w:noProof/>
        </w:rPr>
        <w:t xml:space="preserve">, </w:t>
      </w:r>
      <w:r w:rsidRPr="009378D4">
        <w:rPr>
          <w:rFonts w:eastAsia="Times New Roman"/>
          <w:i/>
          <w:iCs/>
          <w:noProof/>
        </w:rPr>
        <w:t>356</w:t>
      </w:r>
      <w:r w:rsidRPr="009378D4">
        <w:rPr>
          <w:rFonts w:eastAsia="Times New Roman"/>
          <w:noProof/>
        </w:rPr>
        <w:t>(9248), 2144–8. Retrieved from http://www.ncbi.nlm.nih.gov/pubmed/11191542</w:t>
      </w:r>
    </w:p>
    <w:p w14:paraId="1DD43EC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Ledford, J. G., Addison, K. J., Foster, M. W., &amp; Que, L. G. (2014). Eosinophil-associated lung diseases. A cry for surfactant proteins A and D help? </w:t>
      </w:r>
      <w:r w:rsidRPr="009378D4">
        <w:rPr>
          <w:rFonts w:eastAsia="Times New Roman"/>
          <w:i/>
          <w:iCs/>
          <w:noProof/>
        </w:rPr>
        <w:t>American Journal of Respiratory Cell and Molecular Biology</w:t>
      </w:r>
      <w:r w:rsidRPr="009378D4">
        <w:rPr>
          <w:rFonts w:eastAsia="Times New Roman"/>
          <w:noProof/>
        </w:rPr>
        <w:t xml:space="preserve">, </w:t>
      </w:r>
      <w:r w:rsidRPr="009378D4">
        <w:rPr>
          <w:rFonts w:eastAsia="Times New Roman"/>
          <w:i/>
          <w:iCs/>
          <w:noProof/>
        </w:rPr>
        <w:t>51</w:t>
      </w:r>
      <w:r w:rsidRPr="009378D4">
        <w:rPr>
          <w:rFonts w:eastAsia="Times New Roman"/>
          <w:noProof/>
        </w:rPr>
        <w:t>(5), 604–14. http://doi.org/10.1165/rcmb.2014-0095TR</w:t>
      </w:r>
    </w:p>
    <w:p w14:paraId="727A24B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Lehmann, S. M., Krüger, C., Park, B., Derkow, K., Rosenberger, K., Baumgart, J., … Lehnardt, S. (2012). An unconventional role for miRNA: let-7 activates Toll-like receptor 7 and causes neurodegeneration. </w:t>
      </w:r>
      <w:r w:rsidRPr="009378D4">
        <w:rPr>
          <w:rFonts w:eastAsia="Times New Roman"/>
          <w:i/>
          <w:iCs/>
          <w:noProof/>
        </w:rPr>
        <w:t>Nature Neuroscience</w:t>
      </w:r>
      <w:r w:rsidRPr="009378D4">
        <w:rPr>
          <w:rFonts w:eastAsia="Times New Roman"/>
          <w:noProof/>
        </w:rPr>
        <w:t xml:space="preserve">, </w:t>
      </w:r>
      <w:r w:rsidRPr="009378D4">
        <w:rPr>
          <w:rFonts w:eastAsia="Times New Roman"/>
          <w:i/>
          <w:iCs/>
          <w:noProof/>
        </w:rPr>
        <w:t>15</w:t>
      </w:r>
      <w:r w:rsidRPr="009378D4">
        <w:rPr>
          <w:rFonts w:eastAsia="Times New Roman"/>
          <w:noProof/>
        </w:rPr>
        <w:t>(6), 827–35. http://doi.org/10.1038/nn.3113</w:t>
      </w:r>
    </w:p>
    <w:p w14:paraId="52E0B14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Leuschner, P. J., Ameres, S. L., Kueng, S., &amp; Martinez, J. (2006). Cleavage of the siRNA passenger strand during RISC assembly in human cells. </w:t>
      </w:r>
      <w:r w:rsidRPr="009378D4">
        <w:rPr>
          <w:rFonts w:eastAsia="Times New Roman"/>
          <w:i/>
          <w:iCs/>
          <w:noProof/>
        </w:rPr>
        <w:t>EMBO Rep</w:t>
      </w:r>
      <w:r w:rsidRPr="009378D4">
        <w:rPr>
          <w:rFonts w:eastAsia="Times New Roman"/>
          <w:noProof/>
        </w:rPr>
        <w:t xml:space="preserve">, </w:t>
      </w:r>
      <w:r w:rsidRPr="009378D4">
        <w:rPr>
          <w:rFonts w:eastAsia="Times New Roman"/>
          <w:i/>
          <w:iCs/>
          <w:noProof/>
        </w:rPr>
        <w:t>7</w:t>
      </w:r>
      <w:r w:rsidRPr="009378D4">
        <w:rPr>
          <w:rFonts w:eastAsia="Times New Roman"/>
          <w:noProof/>
        </w:rPr>
        <w:t>(3), 314–320. http://doi.org/10.1038/sj.embor.7400637</w:t>
      </w:r>
    </w:p>
    <w:p w14:paraId="10FD5D8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Lewis, B. P., Shih, I., Jones-Rhoades, M. W., Bartel, D. P., &amp; Burge, C. B. (2003). Prediction of mammalian microRNA targets. </w:t>
      </w:r>
      <w:r w:rsidRPr="009378D4">
        <w:rPr>
          <w:rFonts w:eastAsia="Times New Roman"/>
          <w:i/>
          <w:iCs/>
          <w:noProof/>
        </w:rPr>
        <w:t>Cell</w:t>
      </w:r>
      <w:r w:rsidRPr="009378D4">
        <w:rPr>
          <w:rFonts w:eastAsia="Times New Roman"/>
          <w:noProof/>
        </w:rPr>
        <w:t xml:space="preserve">, </w:t>
      </w:r>
      <w:r w:rsidRPr="009378D4">
        <w:rPr>
          <w:rFonts w:eastAsia="Times New Roman"/>
          <w:i/>
          <w:iCs/>
          <w:noProof/>
        </w:rPr>
        <w:t>115</w:t>
      </w:r>
      <w:r w:rsidRPr="009378D4">
        <w:rPr>
          <w:rFonts w:eastAsia="Times New Roman"/>
          <w:noProof/>
        </w:rPr>
        <w:t>(7), 787–98. Retrieved from http://www.ncbi.nlm.nih.gov/pubmed/14697198</w:t>
      </w:r>
    </w:p>
    <w:p w14:paraId="62FA36D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Li, F., Pallan, P. S., Maier, M. A., Rajeev, K. G., Mathieu, S. L., Kreutz, C., … Egli, M. (2007). Crystal structure, stability and in vitro RNAi activity of oligoribonucleotides containing the ribo-difluorotoluyl nucleotide: insights into substrate requirements by the human RISC Ago2 enzyme.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35</w:t>
      </w:r>
      <w:r w:rsidRPr="009378D4">
        <w:rPr>
          <w:rFonts w:eastAsia="Times New Roman"/>
          <w:noProof/>
        </w:rPr>
        <w:t>(19), 6424–38. http://doi.org/10.1093/nar/gkm664</w:t>
      </w:r>
    </w:p>
    <w:p w14:paraId="3415FF4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Li, L.-C., Okino, S. T., Zhao, H., Pookot, D., Place, R. F., Urakami, S., … Dahiya, R. (2006). Small dsRNAs induce transcriptional activation in human cells. </w:t>
      </w:r>
      <w:r w:rsidRPr="009378D4">
        <w:rPr>
          <w:rFonts w:eastAsia="Times New Roman"/>
          <w:i/>
          <w:iCs/>
          <w:noProof/>
        </w:rPr>
        <w:t xml:space="preserve">Proceedings of the </w:t>
      </w:r>
      <w:r w:rsidRPr="009378D4">
        <w:rPr>
          <w:rFonts w:eastAsia="Times New Roman"/>
          <w:i/>
          <w:iCs/>
          <w:noProof/>
        </w:rPr>
        <w:lastRenderedPageBreak/>
        <w:t>National Academy of Sciences of the United States of America</w:t>
      </w:r>
      <w:r w:rsidRPr="009378D4">
        <w:rPr>
          <w:rFonts w:eastAsia="Times New Roman"/>
          <w:noProof/>
        </w:rPr>
        <w:t xml:space="preserve">, </w:t>
      </w:r>
      <w:r w:rsidRPr="009378D4">
        <w:rPr>
          <w:rFonts w:eastAsia="Times New Roman"/>
          <w:i/>
          <w:iCs/>
          <w:noProof/>
        </w:rPr>
        <w:t>103</w:t>
      </w:r>
      <w:r w:rsidRPr="009378D4">
        <w:rPr>
          <w:rFonts w:eastAsia="Times New Roman"/>
          <w:noProof/>
        </w:rPr>
        <w:t>(46), 17337–42. http://doi.org/10.1073/pnas.0607015103</w:t>
      </w:r>
    </w:p>
    <w:p w14:paraId="4AEE998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Li, X., Wang, S., Zhu, R., Li, H., Han, Q., &amp; Zhao, R. C. (2016). Lung tumor exosomes induce a pro-inflammatory phenotype in mesenchymal stem cells via NFκB-TLR signaling pathway. </w:t>
      </w:r>
      <w:r w:rsidRPr="009378D4">
        <w:rPr>
          <w:rFonts w:eastAsia="Times New Roman"/>
          <w:i/>
          <w:iCs/>
          <w:noProof/>
        </w:rPr>
        <w:t>Journal of Hematology &amp; Oncology</w:t>
      </w:r>
      <w:r w:rsidRPr="009378D4">
        <w:rPr>
          <w:rFonts w:eastAsia="Times New Roman"/>
          <w:noProof/>
        </w:rPr>
        <w:t xml:space="preserve">, </w:t>
      </w:r>
      <w:r w:rsidRPr="009378D4">
        <w:rPr>
          <w:rFonts w:eastAsia="Times New Roman"/>
          <w:i/>
          <w:iCs/>
          <w:noProof/>
        </w:rPr>
        <w:t>9</w:t>
      </w:r>
      <w:r w:rsidRPr="009378D4">
        <w:rPr>
          <w:rFonts w:eastAsia="Times New Roman"/>
          <w:noProof/>
        </w:rPr>
        <w:t>, 42. http://doi.org/10.1186/s13045-016-0269-y</w:t>
      </w:r>
    </w:p>
    <w:p w14:paraId="3E8501B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Liu, J., Hu, J., &amp; Corey, D. R. (2012). Expanding the action of duplex RNAs into the nucleus: redirecting alternative splicing.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40</w:t>
      </w:r>
      <w:r w:rsidRPr="009378D4">
        <w:rPr>
          <w:rFonts w:eastAsia="Times New Roman"/>
          <w:noProof/>
        </w:rPr>
        <w:t>(3), 1240–50. http://doi.org/10.1093/nar/gkr780</w:t>
      </w:r>
    </w:p>
    <w:p w14:paraId="0F9EFD3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Liu, J., Valencia-Sanchez, M. A., Hannon, G. J., &amp; Parker, R. (2005). MicroRNA-dependent localization of targeted mRNAs to mammalian P-bodies. </w:t>
      </w:r>
      <w:r w:rsidRPr="009378D4">
        <w:rPr>
          <w:rFonts w:eastAsia="Times New Roman"/>
          <w:i/>
          <w:iCs/>
          <w:noProof/>
        </w:rPr>
        <w:t>Nature Cell Biology</w:t>
      </w:r>
      <w:r w:rsidRPr="009378D4">
        <w:rPr>
          <w:rFonts w:eastAsia="Times New Roman"/>
          <w:noProof/>
        </w:rPr>
        <w:t xml:space="preserve">, </w:t>
      </w:r>
      <w:r w:rsidRPr="009378D4">
        <w:rPr>
          <w:rFonts w:eastAsia="Times New Roman"/>
          <w:i/>
          <w:iCs/>
          <w:noProof/>
        </w:rPr>
        <w:t>7</w:t>
      </w:r>
      <w:r w:rsidRPr="009378D4">
        <w:rPr>
          <w:rFonts w:eastAsia="Times New Roman"/>
          <w:noProof/>
        </w:rPr>
        <w:t>(7), 719–23. http://doi.org/10.1038/ncb1274</w:t>
      </w:r>
    </w:p>
    <w:p w14:paraId="6164912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Liu, X., Zhang, L., &amp; Chen, S. (2015). Modeling Exon-Specific Bias Distribution Improves the Analysis of RNA-Seq Data. </w:t>
      </w:r>
      <w:r w:rsidRPr="009378D4">
        <w:rPr>
          <w:rFonts w:eastAsia="Times New Roman"/>
          <w:i/>
          <w:iCs/>
          <w:noProof/>
        </w:rPr>
        <w:t>PLOS ONE</w:t>
      </w:r>
      <w:r w:rsidRPr="009378D4">
        <w:rPr>
          <w:rFonts w:eastAsia="Times New Roman"/>
          <w:noProof/>
        </w:rPr>
        <w:t xml:space="preserve">, </w:t>
      </w:r>
      <w:r w:rsidRPr="009378D4">
        <w:rPr>
          <w:rFonts w:eastAsia="Times New Roman"/>
          <w:i/>
          <w:iCs/>
          <w:noProof/>
        </w:rPr>
        <w:t>10</w:t>
      </w:r>
      <w:r w:rsidRPr="009378D4">
        <w:rPr>
          <w:rFonts w:eastAsia="Times New Roman"/>
          <w:noProof/>
        </w:rPr>
        <w:t>(10), e0140032. http://doi.org/10.1371/journal.pone.0140032</w:t>
      </w:r>
    </w:p>
    <w:p w14:paraId="6A224AA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Loke, S. L., Stein, C. A., Zhang, X. H., Mori, K., Nakanishi, M., Subasinghe, C., … Neckers, L. M. (1989). Characterization of oligonucleotide transport into living cells.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86</w:t>
      </w:r>
      <w:r w:rsidRPr="009378D4">
        <w:rPr>
          <w:rFonts w:eastAsia="Times New Roman"/>
          <w:noProof/>
        </w:rPr>
        <w:t>(10), 3474–8. Retrieved from http://www.pubmedcentral.nih.gov/articlerender.fcgi?artid=287160&amp;tool=pmcentrez&amp;rendertype=abstract</w:t>
      </w:r>
    </w:p>
    <w:p w14:paraId="4096EAA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Lomas-Neira, J. L., Chung, C.-S., Wesche, D. E., Perl, M., &amp; Ayala, A. (2005). In vivo gene silencing (with siRNA) of pulmonary expression of MIP-2 versus KC results in divergent effects on hemorrhage-induced, neutrophil-mediated septic acute lung injury. </w:t>
      </w:r>
      <w:r w:rsidRPr="009378D4">
        <w:rPr>
          <w:rFonts w:eastAsia="Times New Roman"/>
          <w:i/>
          <w:iCs/>
          <w:noProof/>
        </w:rPr>
        <w:lastRenderedPageBreak/>
        <w:t>Journal of Leukocyte Biology</w:t>
      </w:r>
      <w:r w:rsidRPr="009378D4">
        <w:rPr>
          <w:rFonts w:eastAsia="Times New Roman"/>
          <w:noProof/>
        </w:rPr>
        <w:t xml:space="preserve">, </w:t>
      </w:r>
      <w:r w:rsidRPr="009378D4">
        <w:rPr>
          <w:rFonts w:eastAsia="Times New Roman"/>
          <w:i/>
          <w:iCs/>
          <w:noProof/>
        </w:rPr>
        <w:t>77</w:t>
      </w:r>
      <w:r w:rsidRPr="009378D4">
        <w:rPr>
          <w:rFonts w:eastAsia="Times New Roman"/>
          <w:noProof/>
        </w:rPr>
        <w:t>(6), 846–53. http://doi.org/10.1189/jlb.1004617</w:t>
      </w:r>
    </w:p>
    <w:p w14:paraId="78B5819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Lorenz, C., Hadwiger, P., John, M., Vornlocher, H.-P., &amp; Unverzagt, C. (2004). Steroid and lipid conjugates of siRNAs to enhance cellular uptake and gene silencing in liver cells. </w:t>
      </w:r>
      <w:r w:rsidRPr="009378D4">
        <w:rPr>
          <w:rFonts w:eastAsia="Times New Roman"/>
          <w:i/>
          <w:iCs/>
          <w:noProof/>
        </w:rPr>
        <w:t>Bioorganic &amp; Medicinal Chemistry Letters</w:t>
      </w:r>
      <w:r w:rsidRPr="009378D4">
        <w:rPr>
          <w:rFonts w:eastAsia="Times New Roman"/>
          <w:noProof/>
        </w:rPr>
        <w:t xml:space="preserve">, </w:t>
      </w:r>
      <w:r w:rsidRPr="009378D4">
        <w:rPr>
          <w:rFonts w:eastAsia="Times New Roman"/>
          <w:i/>
          <w:iCs/>
          <w:noProof/>
        </w:rPr>
        <w:t>14</w:t>
      </w:r>
      <w:r w:rsidRPr="009378D4">
        <w:rPr>
          <w:rFonts w:eastAsia="Times New Roman"/>
          <w:noProof/>
        </w:rPr>
        <w:t>(19), 4975–7. http://doi.org/10.1016/j.bmcl.2004.07.018</w:t>
      </w:r>
    </w:p>
    <w:p w14:paraId="6638F45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Lorenz, R. J. (1966). Weibel, E. R.: Morphometry of the Human Lung. Springer Verlag, Berlin-Göttingen-Heidelberg 1963; 151 S., 109 Abb., DM 36,-. </w:t>
      </w:r>
      <w:r w:rsidRPr="009378D4">
        <w:rPr>
          <w:rFonts w:eastAsia="Times New Roman"/>
          <w:i/>
          <w:iCs/>
          <w:noProof/>
        </w:rPr>
        <w:t>Biometrische Zeitschrift</w:t>
      </w:r>
      <w:r w:rsidRPr="009378D4">
        <w:rPr>
          <w:rFonts w:eastAsia="Times New Roman"/>
          <w:noProof/>
        </w:rPr>
        <w:t xml:space="preserve">, </w:t>
      </w:r>
      <w:r w:rsidRPr="009378D4">
        <w:rPr>
          <w:rFonts w:eastAsia="Times New Roman"/>
          <w:i/>
          <w:iCs/>
          <w:noProof/>
        </w:rPr>
        <w:t>8</w:t>
      </w:r>
      <w:r w:rsidRPr="009378D4">
        <w:rPr>
          <w:rFonts w:eastAsia="Times New Roman"/>
          <w:noProof/>
        </w:rPr>
        <w:t>(1-2), 143–144. http://doi.org/10.1002/bimj.19660080155</w:t>
      </w:r>
    </w:p>
    <w:p w14:paraId="320284E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Lorenzer, C., Dirin, M., Winkler, A.-M., Baumann, V., &amp; Winkler, J. (2015). Going beyond the liver: progress and challenges of targeted delivery of siRNA therapeutics. </w:t>
      </w:r>
      <w:r w:rsidRPr="009378D4">
        <w:rPr>
          <w:rFonts w:eastAsia="Times New Roman"/>
          <w:i/>
          <w:iCs/>
          <w:noProof/>
        </w:rPr>
        <w:t>Journal of Controlled Release : Official Journal of the Controlled Release Society</w:t>
      </w:r>
      <w:r w:rsidRPr="009378D4">
        <w:rPr>
          <w:rFonts w:eastAsia="Times New Roman"/>
          <w:noProof/>
        </w:rPr>
        <w:t xml:space="preserve">, </w:t>
      </w:r>
      <w:r w:rsidRPr="009378D4">
        <w:rPr>
          <w:rFonts w:eastAsia="Times New Roman"/>
          <w:i/>
          <w:iCs/>
          <w:noProof/>
        </w:rPr>
        <w:t>203</w:t>
      </w:r>
      <w:r w:rsidRPr="009378D4">
        <w:rPr>
          <w:rFonts w:eastAsia="Times New Roman"/>
          <w:noProof/>
        </w:rPr>
        <w:t>, 1–15. http://doi.org/10.1016/j.jconrel.2015.02.003</w:t>
      </w:r>
    </w:p>
    <w:p w14:paraId="25B1367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Lu, Q. L., Rabinowitz, A., Chen, Y. C., Yokota, T., Yin, H., Alter, J., … Partridge, T. (2005). Systemic delivery of antisense oligoribonucleotide restores dystrophin expression in body-wide skeletal muscles.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102</w:t>
      </w:r>
      <w:r w:rsidRPr="009378D4">
        <w:rPr>
          <w:rFonts w:eastAsia="Times New Roman"/>
          <w:noProof/>
        </w:rPr>
        <w:t>(1), 198–203. http://doi.org/10.1073/pnas.0406700102</w:t>
      </w:r>
    </w:p>
    <w:p w14:paraId="1A83FF1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Lu, Q.-L., Cirak, S., &amp; Partridge, T. (2014). What Can We Learn From Clinical Trials of Exon Skipping for DMD? </w:t>
      </w:r>
      <w:r w:rsidRPr="009378D4">
        <w:rPr>
          <w:rFonts w:eastAsia="Times New Roman"/>
          <w:i/>
          <w:iCs/>
          <w:noProof/>
        </w:rPr>
        <w:t>Molecular Therapy. Nucleic Acids</w:t>
      </w:r>
      <w:r w:rsidRPr="009378D4">
        <w:rPr>
          <w:rFonts w:eastAsia="Times New Roman"/>
          <w:noProof/>
        </w:rPr>
        <w:t xml:space="preserve">, </w:t>
      </w:r>
      <w:r w:rsidRPr="009378D4">
        <w:rPr>
          <w:rFonts w:eastAsia="Times New Roman"/>
          <w:i/>
          <w:iCs/>
          <w:noProof/>
        </w:rPr>
        <w:t>3</w:t>
      </w:r>
      <w:r w:rsidRPr="009378D4">
        <w:rPr>
          <w:rFonts w:eastAsia="Times New Roman"/>
          <w:noProof/>
        </w:rPr>
        <w:t>, e152. http://doi.org/10.1038/mtna.2014.6</w:t>
      </w:r>
    </w:p>
    <w:p w14:paraId="54DE49E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Lupfer, C., Stein, D. A., Mourich, D. V, Tepper, S. E., Iversen, P. L., &amp; Pastey, M. (2008). Inhibition of influenza A H3N8 virus infections in mice by morpholino oligomers. </w:t>
      </w:r>
      <w:r w:rsidRPr="009378D4">
        <w:rPr>
          <w:rFonts w:eastAsia="Times New Roman"/>
          <w:i/>
          <w:iCs/>
          <w:noProof/>
        </w:rPr>
        <w:t>Archives of Virology</w:t>
      </w:r>
      <w:r w:rsidRPr="009378D4">
        <w:rPr>
          <w:rFonts w:eastAsia="Times New Roman"/>
          <w:noProof/>
        </w:rPr>
        <w:t xml:space="preserve">, </w:t>
      </w:r>
      <w:r w:rsidRPr="009378D4">
        <w:rPr>
          <w:rFonts w:eastAsia="Times New Roman"/>
          <w:i/>
          <w:iCs/>
          <w:noProof/>
        </w:rPr>
        <w:t>153</w:t>
      </w:r>
      <w:r w:rsidRPr="009378D4">
        <w:rPr>
          <w:rFonts w:eastAsia="Times New Roman"/>
          <w:noProof/>
        </w:rPr>
        <w:t>(5), 929–37. http://doi.org/10.1007/s00705-008-0067-0</w:t>
      </w:r>
    </w:p>
    <w:p w14:paraId="6EC7263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 J., Mercer, R. R., Barger, M., Schwegler-Berry, D., Cohen, J. M., Demokritou, P., &amp; Castranova, V. (2015). Effects of amorphous silica coating on cerium oxide </w:t>
      </w:r>
      <w:r w:rsidRPr="009378D4">
        <w:rPr>
          <w:rFonts w:eastAsia="Times New Roman"/>
          <w:noProof/>
        </w:rPr>
        <w:lastRenderedPageBreak/>
        <w:t xml:space="preserve">nanoparticles induced pulmonary responses. </w:t>
      </w:r>
      <w:r w:rsidRPr="009378D4">
        <w:rPr>
          <w:rFonts w:eastAsia="Times New Roman"/>
          <w:i/>
          <w:iCs/>
          <w:noProof/>
        </w:rPr>
        <w:t>Toxicology and Applied Pharmacology</w:t>
      </w:r>
      <w:r w:rsidRPr="009378D4">
        <w:rPr>
          <w:rFonts w:eastAsia="Times New Roman"/>
          <w:noProof/>
        </w:rPr>
        <w:t xml:space="preserve">, </w:t>
      </w:r>
      <w:r w:rsidRPr="009378D4">
        <w:rPr>
          <w:rFonts w:eastAsia="Times New Roman"/>
          <w:i/>
          <w:iCs/>
          <w:noProof/>
        </w:rPr>
        <w:t>288</w:t>
      </w:r>
      <w:r w:rsidRPr="009378D4">
        <w:rPr>
          <w:rFonts w:eastAsia="Times New Roman"/>
          <w:noProof/>
        </w:rPr>
        <w:t>(1), 63–73. http://doi.org/10.1016/j.taap.2015.07.012</w:t>
      </w:r>
    </w:p>
    <w:p w14:paraId="69122EB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Maekawa, K., Azuma, M., Okuno, Y., Tsukamoto, T., Nishiguchi, K., Setsukinai, K.-I., … Rokushima, M. (2015). Antisense peptide nucleic acid-peptide conjugates for functional analyses of genes in Pseudomonas aeruginosa. </w:t>
      </w:r>
      <w:r w:rsidRPr="009378D4">
        <w:rPr>
          <w:rFonts w:eastAsia="Times New Roman"/>
          <w:i/>
          <w:iCs/>
          <w:noProof/>
        </w:rPr>
        <w:t>Bioorganic &amp; Medicinal Chemistry</w:t>
      </w:r>
      <w:r w:rsidRPr="009378D4">
        <w:rPr>
          <w:rFonts w:eastAsia="Times New Roman"/>
          <w:noProof/>
        </w:rPr>
        <w:t xml:space="preserve">, </w:t>
      </w:r>
      <w:r w:rsidRPr="009378D4">
        <w:rPr>
          <w:rFonts w:eastAsia="Times New Roman"/>
          <w:i/>
          <w:iCs/>
          <w:noProof/>
        </w:rPr>
        <w:t>23</w:t>
      </w:r>
      <w:r w:rsidRPr="009378D4">
        <w:rPr>
          <w:rFonts w:eastAsia="Times New Roman"/>
          <w:noProof/>
        </w:rPr>
        <w:t>(22), 7234–7239. http://doi.org/10.1016/j.bmc.2015.10.020</w:t>
      </w:r>
    </w:p>
    <w:p w14:paraId="79975D2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Manche, L., Green, S. R., Schmedt, C., &amp; Mathews, M. B. (1992). Interactions between double-stranded RNA regulators and the protein kinase DAI. </w:t>
      </w:r>
      <w:r w:rsidRPr="009378D4">
        <w:rPr>
          <w:rFonts w:eastAsia="Times New Roman"/>
          <w:i/>
          <w:iCs/>
          <w:noProof/>
        </w:rPr>
        <w:t>Molecular and Cellular Biology</w:t>
      </w:r>
      <w:r w:rsidRPr="009378D4">
        <w:rPr>
          <w:rFonts w:eastAsia="Times New Roman"/>
          <w:noProof/>
        </w:rPr>
        <w:t xml:space="preserve">, </w:t>
      </w:r>
      <w:r w:rsidRPr="009378D4">
        <w:rPr>
          <w:rFonts w:eastAsia="Times New Roman"/>
          <w:i/>
          <w:iCs/>
          <w:noProof/>
        </w:rPr>
        <w:t>12</w:t>
      </w:r>
      <w:r w:rsidRPr="009378D4">
        <w:rPr>
          <w:rFonts w:eastAsia="Times New Roman"/>
          <w:noProof/>
        </w:rPr>
        <w:t>(11), 5238–48. Retrieved from http://www.pubmedcentral.nih.gov/articlerender.fcgi?artid=360457&amp;tool=pmcentrez&amp;rendertype=abstract</w:t>
      </w:r>
    </w:p>
    <w:p w14:paraId="3EDC805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Maniataki, E., &amp; Mourelatos, Z. (2005). A human, ATP-independent, RISC assembly machine fueled by pre-miRNA. </w:t>
      </w:r>
      <w:r w:rsidRPr="009378D4">
        <w:rPr>
          <w:rFonts w:eastAsia="Times New Roman"/>
          <w:i/>
          <w:iCs/>
          <w:noProof/>
        </w:rPr>
        <w:t>Genes &amp; Development</w:t>
      </w:r>
      <w:r w:rsidRPr="009378D4">
        <w:rPr>
          <w:rFonts w:eastAsia="Times New Roman"/>
          <w:noProof/>
        </w:rPr>
        <w:t xml:space="preserve">, </w:t>
      </w:r>
      <w:r w:rsidRPr="009378D4">
        <w:rPr>
          <w:rFonts w:eastAsia="Times New Roman"/>
          <w:i/>
          <w:iCs/>
          <w:noProof/>
        </w:rPr>
        <w:t>19</w:t>
      </w:r>
      <w:r w:rsidRPr="009378D4">
        <w:rPr>
          <w:rFonts w:eastAsia="Times New Roman"/>
          <w:noProof/>
        </w:rPr>
        <w:t>(24), 2979–90. http://doi.org/10.1101/gad.1384005</w:t>
      </w:r>
    </w:p>
    <w:p w14:paraId="2C359E2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Marcon, E., Babak, T., Chua, G., Hughes, T., &amp; Moens, P. B. (2008). miRNA and piRNA localization in the male mammalian meiotic nucleus. </w:t>
      </w:r>
      <w:r w:rsidRPr="009378D4">
        <w:rPr>
          <w:rFonts w:eastAsia="Times New Roman"/>
          <w:i/>
          <w:iCs/>
          <w:noProof/>
        </w:rPr>
        <w:t>Chromosome Research : An International Journal on the Molecular, Supramolecular and Evolutionary Aspects of Chromosome Biology</w:t>
      </w:r>
      <w:r w:rsidRPr="009378D4">
        <w:rPr>
          <w:rFonts w:eastAsia="Times New Roman"/>
          <w:noProof/>
        </w:rPr>
        <w:t xml:space="preserve">, </w:t>
      </w:r>
      <w:r w:rsidRPr="009378D4">
        <w:rPr>
          <w:rFonts w:eastAsia="Times New Roman"/>
          <w:i/>
          <w:iCs/>
          <w:noProof/>
        </w:rPr>
        <w:t>16</w:t>
      </w:r>
      <w:r w:rsidRPr="009378D4">
        <w:rPr>
          <w:rFonts w:eastAsia="Times New Roman"/>
          <w:noProof/>
        </w:rPr>
        <w:t>(2), 243–60. http://doi.org/10.1007/s10577-007-1190-6</w:t>
      </w:r>
    </w:p>
    <w:p w14:paraId="2000BEE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Marlin, F., Simon, P., Bonneau, S., Alberti, P., Cordier, C., Boix, C., … Giovannangeli, C. (2012). Flavin conjugates for delivery of peptide nucleic acids. </w:t>
      </w:r>
      <w:r w:rsidRPr="009378D4">
        <w:rPr>
          <w:rFonts w:eastAsia="Times New Roman"/>
          <w:i/>
          <w:iCs/>
          <w:noProof/>
        </w:rPr>
        <w:t>Chembiochem : A European Journal of Chemical Biology</w:t>
      </w:r>
      <w:r w:rsidRPr="009378D4">
        <w:rPr>
          <w:rFonts w:eastAsia="Times New Roman"/>
          <w:noProof/>
        </w:rPr>
        <w:t xml:space="preserve">, </w:t>
      </w:r>
      <w:r w:rsidRPr="009378D4">
        <w:rPr>
          <w:rFonts w:eastAsia="Times New Roman"/>
          <w:i/>
          <w:iCs/>
          <w:noProof/>
        </w:rPr>
        <w:t>13</w:t>
      </w:r>
      <w:r w:rsidRPr="009378D4">
        <w:rPr>
          <w:rFonts w:eastAsia="Times New Roman"/>
          <w:noProof/>
        </w:rPr>
        <w:t>(17), 2593–8. http://doi.org/10.1002/cbic.201200505</w:t>
      </w:r>
    </w:p>
    <w:p w14:paraId="57A9102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Marques, J. T., Devosse, T., Wang, D., Zamanian-Daryoush, M., Serbinowski, P., Hartmann, R., … Williams, B. R. G. (2006). A structural basis for discriminating between self and </w:t>
      </w:r>
      <w:r w:rsidRPr="009378D4">
        <w:rPr>
          <w:rFonts w:eastAsia="Times New Roman"/>
          <w:noProof/>
        </w:rPr>
        <w:lastRenderedPageBreak/>
        <w:t xml:space="preserve">nonself double-stranded RNAs in mammalian cells. </w:t>
      </w:r>
      <w:r w:rsidRPr="009378D4">
        <w:rPr>
          <w:rFonts w:eastAsia="Times New Roman"/>
          <w:i/>
          <w:iCs/>
          <w:noProof/>
        </w:rPr>
        <w:t>Nature Biotechnology</w:t>
      </w:r>
      <w:r w:rsidRPr="009378D4">
        <w:rPr>
          <w:rFonts w:eastAsia="Times New Roman"/>
          <w:noProof/>
        </w:rPr>
        <w:t xml:space="preserve">, </w:t>
      </w:r>
      <w:r w:rsidRPr="009378D4">
        <w:rPr>
          <w:rFonts w:eastAsia="Times New Roman"/>
          <w:i/>
          <w:iCs/>
          <w:noProof/>
        </w:rPr>
        <w:t>24</w:t>
      </w:r>
      <w:r w:rsidRPr="009378D4">
        <w:rPr>
          <w:rFonts w:eastAsia="Times New Roman"/>
          <w:noProof/>
        </w:rPr>
        <w:t>(5), 559–65. http://doi.org/10.1038/nbt1205</w:t>
      </w:r>
    </w:p>
    <w:p w14:paraId="0BDE107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Masaki, T., Arend, K. C., Li, Y., Yamane, D., McGivern, D. R., Kato, T., … Lemon, S. M. (2015). miR-122 stimulates hepatitis C virus RNA synthesis by altering the balance of viral RNAs engaged in replication versus translation. </w:t>
      </w:r>
      <w:r w:rsidRPr="009378D4">
        <w:rPr>
          <w:rFonts w:eastAsia="Times New Roman"/>
          <w:i/>
          <w:iCs/>
          <w:noProof/>
        </w:rPr>
        <w:t>Cell Host &amp; Microbe</w:t>
      </w:r>
      <w:r w:rsidRPr="009378D4">
        <w:rPr>
          <w:rFonts w:eastAsia="Times New Roman"/>
          <w:noProof/>
        </w:rPr>
        <w:t xml:space="preserve">, </w:t>
      </w:r>
      <w:r w:rsidRPr="009378D4">
        <w:rPr>
          <w:rFonts w:eastAsia="Times New Roman"/>
          <w:i/>
          <w:iCs/>
          <w:noProof/>
        </w:rPr>
        <w:t>17</w:t>
      </w:r>
      <w:r w:rsidRPr="009378D4">
        <w:rPr>
          <w:rFonts w:eastAsia="Times New Roman"/>
          <w:noProof/>
        </w:rPr>
        <w:t>(2), 217–28. http://doi.org/10.1016/j.chom.2014.12.014</w:t>
      </w:r>
    </w:p>
    <w:p w14:paraId="6129C28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Matranga, C., Tomari, Y., Shin, C., Bartel, D. P., &amp; Zamore, P. D. (2005). Passenger-strand cleavage facilitates assembly of siRNA into Ago2-containing RNAi enzyme complexes. </w:t>
      </w:r>
      <w:r w:rsidRPr="009378D4">
        <w:rPr>
          <w:rFonts w:eastAsia="Times New Roman"/>
          <w:i/>
          <w:iCs/>
          <w:noProof/>
        </w:rPr>
        <w:t>Cell</w:t>
      </w:r>
      <w:r w:rsidRPr="009378D4">
        <w:rPr>
          <w:rFonts w:eastAsia="Times New Roman"/>
          <w:noProof/>
        </w:rPr>
        <w:t xml:space="preserve">, </w:t>
      </w:r>
      <w:r w:rsidRPr="009378D4">
        <w:rPr>
          <w:rFonts w:eastAsia="Times New Roman"/>
          <w:i/>
          <w:iCs/>
          <w:noProof/>
        </w:rPr>
        <w:t>123</w:t>
      </w:r>
      <w:r w:rsidRPr="009378D4">
        <w:rPr>
          <w:rFonts w:eastAsia="Times New Roman"/>
          <w:noProof/>
        </w:rPr>
        <w:t>(4), 607–620. http://doi.org/10.1016/j.cell.2005.08.044</w:t>
      </w:r>
    </w:p>
    <w:p w14:paraId="1A196C9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Matsui, M., Chu, Y., Zhang, H., Gagnon, K. T., Shaikh, S., Kuchimanchi, S., … Janowski, B. A. (2013). Promoter RNA links transcriptional regulation of inflammatory pathway genes.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41</w:t>
      </w:r>
      <w:r w:rsidRPr="009378D4">
        <w:rPr>
          <w:rFonts w:eastAsia="Times New Roman"/>
          <w:noProof/>
        </w:rPr>
        <w:t>(22), 10086–109. http://doi.org/10.1093/nar/gkt777</w:t>
      </w:r>
    </w:p>
    <w:p w14:paraId="5C67E71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Matsui, M., Prakash, T. P., &amp; Corey, D. R. (2013). Transcriptional silencing by single-stranded RNAs targeting a noncoding RNA that overlaps a gene promoter. </w:t>
      </w:r>
      <w:r w:rsidRPr="009378D4">
        <w:rPr>
          <w:rFonts w:eastAsia="Times New Roman"/>
          <w:i/>
          <w:iCs/>
          <w:noProof/>
        </w:rPr>
        <w:t>ACS Chemical Biology</w:t>
      </w:r>
      <w:r w:rsidRPr="009378D4">
        <w:rPr>
          <w:rFonts w:eastAsia="Times New Roman"/>
          <w:noProof/>
        </w:rPr>
        <w:t xml:space="preserve">, </w:t>
      </w:r>
      <w:r w:rsidRPr="009378D4">
        <w:rPr>
          <w:rFonts w:eastAsia="Times New Roman"/>
          <w:i/>
          <w:iCs/>
          <w:noProof/>
        </w:rPr>
        <w:t>8</w:t>
      </w:r>
      <w:r w:rsidRPr="009378D4">
        <w:rPr>
          <w:rFonts w:eastAsia="Times New Roman"/>
          <w:noProof/>
        </w:rPr>
        <w:t>(1), 122–6. http://doi.org/10.1021/cb300490j</w:t>
      </w:r>
    </w:p>
    <w:p w14:paraId="191988C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Mauroy, B., Flaud, P., Pelca, D., Fausser, C., Merckx, J., &amp; Mitchell, B. R. (2015). Toward the modeling of mucus draining from human lung: role of airways deformation on air-mucus interaction. </w:t>
      </w:r>
      <w:r w:rsidRPr="009378D4">
        <w:rPr>
          <w:rFonts w:eastAsia="Times New Roman"/>
          <w:i/>
          <w:iCs/>
          <w:noProof/>
        </w:rPr>
        <w:t>Frontiers in Physiology</w:t>
      </w:r>
      <w:r w:rsidRPr="009378D4">
        <w:rPr>
          <w:rFonts w:eastAsia="Times New Roman"/>
          <w:noProof/>
        </w:rPr>
        <w:t xml:space="preserve">, </w:t>
      </w:r>
      <w:r w:rsidRPr="009378D4">
        <w:rPr>
          <w:rFonts w:eastAsia="Times New Roman"/>
          <w:i/>
          <w:iCs/>
          <w:noProof/>
        </w:rPr>
        <w:t>6</w:t>
      </w:r>
      <w:r w:rsidRPr="009378D4">
        <w:rPr>
          <w:rFonts w:eastAsia="Times New Roman"/>
          <w:noProof/>
        </w:rPr>
        <w:t>, 214. http://doi.org/10.3389/fphys.2015.00214</w:t>
      </w:r>
    </w:p>
    <w:p w14:paraId="03A19E0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McNeer, N. A., Anandalingam, K., Fields, R. J., Caputo, C., Kopic, S., Gupta, A., … Egan, M. E. (2015). Nanoparticles that deliver triplex-forming peptide nucleic acid molecules correct F508del CFTR in airway epithelium. </w:t>
      </w:r>
      <w:r w:rsidRPr="009378D4">
        <w:rPr>
          <w:rFonts w:eastAsia="Times New Roman"/>
          <w:i/>
          <w:iCs/>
          <w:noProof/>
        </w:rPr>
        <w:t>Nature Communications</w:t>
      </w:r>
      <w:r w:rsidRPr="009378D4">
        <w:rPr>
          <w:rFonts w:eastAsia="Times New Roman"/>
          <w:noProof/>
        </w:rPr>
        <w:t xml:space="preserve">, </w:t>
      </w:r>
      <w:r w:rsidRPr="009378D4">
        <w:rPr>
          <w:rFonts w:eastAsia="Times New Roman"/>
          <w:i/>
          <w:iCs/>
          <w:noProof/>
        </w:rPr>
        <w:t>6</w:t>
      </w:r>
      <w:r w:rsidRPr="009378D4">
        <w:rPr>
          <w:rFonts w:eastAsia="Times New Roman"/>
          <w:noProof/>
        </w:rPr>
        <w:t>, 6952. http://doi.org/10.1038/ncomms7952</w:t>
      </w:r>
    </w:p>
    <w:p w14:paraId="6A37401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Mehiri, M., Upert, G., Tripathi, S., Di Giorgio, A., Condom, R., Pandey, V. N., &amp; Patino, N. </w:t>
      </w:r>
      <w:r w:rsidRPr="009378D4">
        <w:rPr>
          <w:rFonts w:eastAsia="Times New Roman"/>
          <w:noProof/>
        </w:rPr>
        <w:lastRenderedPageBreak/>
        <w:t xml:space="preserve">(2008). An efficient biodelivery system for antisense polyamide nucleic acid (PNA). </w:t>
      </w:r>
      <w:r w:rsidRPr="009378D4">
        <w:rPr>
          <w:rFonts w:eastAsia="Times New Roman"/>
          <w:i/>
          <w:iCs/>
          <w:noProof/>
        </w:rPr>
        <w:t>Oligonucleotides</w:t>
      </w:r>
      <w:r w:rsidRPr="009378D4">
        <w:rPr>
          <w:rFonts w:eastAsia="Times New Roman"/>
          <w:noProof/>
        </w:rPr>
        <w:t xml:space="preserve">, </w:t>
      </w:r>
      <w:r w:rsidRPr="009378D4">
        <w:rPr>
          <w:rFonts w:eastAsia="Times New Roman"/>
          <w:i/>
          <w:iCs/>
          <w:noProof/>
        </w:rPr>
        <w:t>18</w:t>
      </w:r>
      <w:r w:rsidRPr="009378D4">
        <w:rPr>
          <w:rFonts w:eastAsia="Times New Roman"/>
          <w:noProof/>
        </w:rPr>
        <w:t>(3), 245–56. http://doi.org/10.1089/oli.2008.0126</w:t>
      </w:r>
    </w:p>
    <w:p w14:paraId="64A18C6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Miceli, M. C., &amp; Nelson, S. F. (2016). The case for eteplirsen: Paving the way for precision medicine. </w:t>
      </w:r>
      <w:r w:rsidRPr="009378D4">
        <w:rPr>
          <w:rFonts w:eastAsia="Times New Roman"/>
          <w:i/>
          <w:iCs/>
          <w:noProof/>
        </w:rPr>
        <w:t>Molecular Genetics and Metabolism</w:t>
      </w:r>
      <w:r w:rsidRPr="009378D4">
        <w:rPr>
          <w:rFonts w:eastAsia="Times New Roman"/>
          <w:noProof/>
        </w:rPr>
        <w:t>. http://doi.org/10.1016/j.ymgme.2016.04.001</w:t>
      </w:r>
    </w:p>
    <w:p w14:paraId="2493A55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Mitchell, J., Bauer, R., Lyapustina, S., Tougas, T., &amp; Glaab, V. (2011). Non-impactor-based methods for sizing of aerosols emitted from orally inhaled and nasal drug products (OINDPs). </w:t>
      </w:r>
      <w:r w:rsidRPr="009378D4">
        <w:rPr>
          <w:rFonts w:eastAsia="Times New Roman"/>
          <w:i/>
          <w:iCs/>
          <w:noProof/>
        </w:rPr>
        <w:t>AAPS PharmSciTech</w:t>
      </w:r>
      <w:r w:rsidRPr="009378D4">
        <w:rPr>
          <w:rFonts w:eastAsia="Times New Roman"/>
          <w:noProof/>
        </w:rPr>
        <w:t xml:space="preserve">, </w:t>
      </w:r>
      <w:r w:rsidRPr="009378D4">
        <w:rPr>
          <w:rFonts w:eastAsia="Times New Roman"/>
          <w:i/>
          <w:iCs/>
          <w:noProof/>
        </w:rPr>
        <w:t>12</w:t>
      </w:r>
      <w:r w:rsidRPr="009378D4">
        <w:rPr>
          <w:rFonts w:eastAsia="Times New Roman"/>
          <w:noProof/>
        </w:rPr>
        <w:t>(3), 965–988. http://doi.org/10.1208/s12249-011-9662-6</w:t>
      </w:r>
    </w:p>
    <w:p w14:paraId="4F3B636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Moreno, P. M. D., Wenska, M., Lundin, K. E., Wrange, O., Strömberg, R., &amp; Smith, C. I. E. (2009). A synthetic snRNA m3G-CAP enhances nuclear delivery of exogenous proteins and nucleic acids.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37</w:t>
      </w:r>
      <w:r w:rsidRPr="009378D4">
        <w:rPr>
          <w:rFonts w:eastAsia="Times New Roman"/>
          <w:noProof/>
        </w:rPr>
        <w:t>(6), 1925–35. http://doi.org/10.1093/nar/gkp048</w:t>
      </w:r>
    </w:p>
    <w:p w14:paraId="3461745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Morgan, P., Van Der Graaf, P. H., Arrowsmith, J., Feltner, D. E., Drummond, K. S., Wegner, C. D., &amp; Street, S. D. A. (2012). Can the flow of medicines be improved? Fundamental pharmacokinetic and pharmacological principles toward improving Phase II survival. </w:t>
      </w:r>
      <w:r w:rsidRPr="009378D4">
        <w:rPr>
          <w:rFonts w:eastAsia="Times New Roman"/>
          <w:i/>
          <w:iCs/>
          <w:noProof/>
        </w:rPr>
        <w:t>Drug Discovery Today</w:t>
      </w:r>
      <w:r w:rsidRPr="009378D4">
        <w:rPr>
          <w:rFonts w:eastAsia="Times New Roman"/>
          <w:noProof/>
        </w:rPr>
        <w:t xml:space="preserve">, </w:t>
      </w:r>
      <w:r w:rsidRPr="009378D4">
        <w:rPr>
          <w:rFonts w:eastAsia="Times New Roman"/>
          <w:i/>
          <w:iCs/>
          <w:noProof/>
        </w:rPr>
        <w:t>17</w:t>
      </w:r>
      <w:r w:rsidRPr="009378D4">
        <w:rPr>
          <w:rFonts w:eastAsia="Times New Roman"/>
          <w:noProof/>
        </w:rPr>
        <w:t>(9-10), 419–24. http://doi.org/10.1016/j.drudis.2011.12.020</w:t>
      </w:r>
    </w:p>
    <w:p w14:paraId="19B8BBC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Morin, R. D., O’Connor, M. D., Griffith, M., Kuchenbauer, F., Delaney, A., Prabhu, A.-L., … Marra, M. A. (2008). Application of massively parallel sequencing to microRNA profiling and discovery in human embryonic stem cells. </w:t>
      </w:r>
      <w:r w:rsidRPr="009378D4">
        <w:rPr>
          <w:rFonts w:eastAsia="Times New Roman"/>
          <w:i/>
          <w:iCs/>
          <w:noProof/>
        </w:rPr>
        <w:t>Genome Research</w:t>
      </w:r>
      <w:r w:rsidRPr="009378D4">
        <w:rPr>
          <w:rFonts w:eastAsia="Times New Roman"/>
          <w:noProof/>
        </w:rPr>
        <w:t xml:space="preserve">, </w:t>
      </w:r>
      <w:r w:rsidRPr="009378D4">
        <w:rPr>
          <w:rFonts w:eastAsia="Times New Roman"/>
          <w:i/>
          <w:iCs/>
          <w:noProof/>
        </w:rPr>
        <w:t>18</w:t>
      </w:r>
      <w:r w:rsidRPr="009378D4">
        <w:rPr>
          <w:rFonts w:eastAsia="Times New Roman"/>
          <w:noProof/>
        </w:rPr>
        <w:t>(4), 610–21. http://doi.org/10.1101/gr.7179508</w:t>
      </w:r>
    </w:p>
    <w:p w14:paraId="5F0834B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Morris, K. V., Santoso, S., Turner, A.-M., Pastori, C., &amp; Hawkins, P. G. (2008). Bidirectional Transcription Directs Both Transcriptional Gene Activation and Suppression in Human Cells. </w:t>
      </w:r>
      <w:r w:rsidRPr="009378D4">
        <w:rPr>
          <w:rFonts w:eastAsia="Times New Roman"/>
          <w:i/>
          <w:iCs/>
          <w:noProof/>
        </w:rPr>
        <w:t>PLoS Genetics</w:t>
      </w:r>
      <w:r w:rsidRPr="009378D4">
        <w:rPr>
          <w:rFonts w:eastAsia="Times New Roman"/>
          <w:noProof/>
        </w:rPr>
        <w:t xml:space="preserve">, </w:t>
      </w:r>
      <w:r w:rsidRPr="009378D4">
        <w:rPr>
          <w:rFonts w:eastAsia="Times New Roman"/>
          <w:i/>
          <w:iCs/>
          <w:noProof/>
        </w:rPr>
        <w:t>4</w:t>
      </w:r>
      <w:r w:rsidRPr="009378D4">
        <w:rPr>
          <w:rFonts w:eastAsia="Times New Roman"/>
          <w:noProof/>
        </w:rPr>
        <w:t>(11), e1000258. http://doi.org/10.1371/journal.pgen.1000258</w:t>
      </w:r>
    </w:p>
    <w:p w14:paraId="58DAC9D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lastRenderedPageBreak/>
        <w:t xml:space="preserve">Mortimer, S. A., &amp; Doudna, J. A. (2013). Unconventional miR-122 binding stabilizes the HCV genome by forming a trimolecular RNA structure.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41</w:t>
      </w:r>
      <w:r w:rsidRPr="009378D4">
        <w:rPr>
          <w:rFonts w:eastAsia="Times New Roman"/>
          <w:noProof/>
        </w:rPr>
        <w:t>(7), 4230–40. http://doi.org/10.1093/nar/gkt075</w:t>
      </w:r>
    </w:p>
    <w:p w14:paraId="5C7D040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Moschos, S. A. (2013). MicroRNA Biotherapeutics: Key Challenges from a Drug Development Perspective. In L. Jones &amp; A. J. McKnight (Eds.), </w:t>
      </w:r>
      <w:r w:rsidRPr="009378D4">
        <w:rPr>
          <w:rFonts w:eastAsia="Times New Roman"/>
          <w:i/>
          <w:iCs/>
          <w:noProof/>
        </w:rPr>
        <w:t>Biotherapeutics: Recent Developments using Chemical and Molecular Biology</w:t>
      </w:r>
      <w:r w:rsidRPr="009378D4">
        <w:rPr>
          <w:rFonts w:eastAsia="Times New Roman"/>
          <w:noProof/>
        </w:rPr>
        <w:t xml:space="preserve"> (pp. 176–223). London: Royal Society of Chemistry Publishing.</w:t>
      </w:r>
    </w:p>
    <w:p w14:paraId="43108E1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Moschos, S. A., Frick, M., Taylor, B., Turnpenny, P., Graves, H., Spink, K. G., … Yeadon, M. (2011). Uptake, efficacy, and systemic distribution of naked, inhaled short interfering RNA (siRNA) and locked nucleic acid (LNA) antisense. </w:t>
      </w:r>
      <w:r w:rsidRPr="009378D4">
        <w:rPr>
          <w:rFonts w:eastAsia="Times New Roman"/>
          <w:i/>
          <w:iCs/>
          <w:noProof/>
        </w:rPr>
        <w:t>Mol Ther</w:t>
      </w:r>
      <w:r w:rsidRPr="009378D4">
        <w:rPr>
          <w:rFonts w:eastAsia="Times New Roman"/>
          <w:noProof/>
        </w:rPr>
        <w:t xml:space="preserve">, </w:t>
      </w:r>
      <w:r w:rsidRPr="009378D4">
        <w:rPr>
          <w:rFonts w:eastAsia="Times New Roman"/>
          <w:i/>
          <w:iCs/>
          <w:noProof/>
        </w:rPr>
        <w:t>19</w:t>
      </w:r>
      <w:r w:rsidRPr="009378D4">
        <w:rPr>
          <w:rFonts w:eastAsia="Times New Roman"/>
          <w:noProof/>
        </w:rPr>
        <w:t>(12), 2163–2168. http://doi.org/10.1038/mt.2011.206</w:t>
      </w:r>
    </w:p>
    <w:p w14:paraId="6D279A0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Moschos, S. A., Jones, S. W., Perry, M. M., Williams, A. E., Erjefalt, J. S., Turner, J. J., … Lindsay, M. A. (2007). Lung delivery studies using siRNA conjugated to TAT(48-60) and penetratin reveal peptide induced reduction in gene expression and induction of innate immunity. </w:t>
      </w:r>
      <w:r w:rsidRPr="009378D4">
        <w:rPr>
          <w:rFonts w:eastAsia="Times New Roman"/>
          <w:i/>
          <w:iCs/>
          <w:noProof/>
        </w:rPr>
        <w:t>Bioconjug Chem</w:t>
      </w:r>
      <w:r w:rsidRPr="009378D4">
        <w:rPr>
          <w:rFonts w:eastAsia="Times New Roman"/>
          <w:noProof/>
        </w:rPr>
        <w:t xml:space="preserve">, </w:t>
      </w:r>
      <w:r w:rsidRPr="009378D4">
        <w:rPr>
          <w:rFonts w:eastAsia="Times New Roman"/>
          <w:i/>
          <w:iCs/>
          <w:noProof/>
        </w:rPr>
        <w:t>18</w:t>
      </w:r>
      <w:r w:rsidRPr="009378D4">
        <w:rPr>
          <w:rFonts w:eastAsia="Times New Roman"/>
          <w:noProof/>
        </w:rPr>
        <w:t>(5), 1450–1459. http://doi.org/10.1021/bc070077d</w:t>
      </w:r>
    </w:p>
    <w:p w14:paraId="234D466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Moschos, S. A., Spinks, K., Williams, A. E., &amp; Lindsay, M. A. (2008). Targeting the lung using siRNA and antisense based oligonucleotides. </w:t>
      </w:r>
      <w:r w:rsidRPr="009378D4">
        <w:rPr>
          <w:rFonts w:eastAsia="Times New Roman"/>
          <w:i/>
          <w:iCs/>
          <w:noProof/>
        </w:rPr>
        <w:t>Curr Pharm Des</w:t>
      </w:r>
      <w:r w:rsidRPr="009378D4">
        <w:rPr>
          <w:rFonts w:eastAsia="Times New Roman"/>
          <w:noProof/>
        </w:rPr>
        <w:t xml:space="preserve">, </w:t>
      </w:r>
      <w:r w:rsidRPr="009378D4">
        <w:rPr>
          <w:rFonts w:eastAsia="Times New Roman"/>
          <w:i/>
          <w:iCs/>
          <w:noProof/>
        </w:rPr>
        <w:t>14</w:t>
      </w:r>
      <w:r w:rsidRPr="009378D4">
        <w:rPr>
          <w:rFonts w:eastAsia="Times New Roman"/>
          <w:noProof/>
        </w:rPr>
        <w:t>(34), 3620–3627. Retrieved from http://www.ncbi.nlm.nih.gov/pubmed/19075738</w:t>
      </w:r>
    </w:p>
    <w:p w14:paraId="6691BB7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Moulton, H. M., Fletcher, S., Neuman, B. W., McClorey, G., Stein, D. A., Abes, S., … Iversen, P. L. (2007). Cell-penetrating peptide-morpholino conjugates alter pre-mRNA splicing of DMD (Duchenne muscular dystrophy) and inhibit murine coronavirus replication in vivo. </w:t>
      </w:r>
      <w:r w:rsidRPr="009378D4">
        <w:rPr>
          <w:rFonts w:eastAsia="Times New Roman"/>
          <w:i/>
          <w:iCs/>
          <w:noProof/>
        </w:rPr>
        <w:t>Biochemical Society Transactions</w:t>
      </w:r>
      <w:r w:rsidRPr="009378D4">
        <w:rPr>
          <w:rFonts w:eastAsia="Times New Roman"/>
          <w:noProof/>
        </w:rPr>
        <w:t xml:space="preserve">, </w:t>
      </w:r>
      <w:r w:rsidRPr="009378D4">
        <w:rPr>
          <w:rFonts w:eastAsia="Times New Roman"/>
          <w:i/>
          <w:iCs/>
          <w:noProof/>
        </w:rPr>
        <w:t>35</w:t>
      </w:r>
      <w:r w:rsidRPr="009378D4">
        <w:rPr>
          <w:rFonts w:eastAsia="Times New Roman"/>
          <w:noProof/>
        </w:rPr>
        <w:t>(Pt 4), 826–8. http://doi.org/10.1042/BST0350826</w:t>
      </w:r>
    </w:p>
    <w:p w14:paraId="7FD2E32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Narbus, C. M., Israelow, B., Sourisseau, M., Michta, M. L., Hopcraft, S. E., Zeiner, G. M., &amp; </w:t>
      </w:r>
      <w:r w:rsidRPr="009378D4">
        <w:rPr>
          <w:rFonts w:eastAsia="Times New Roman"/>
          <w:noProof/>
        </w:rPr>
        <w:lastRenderedPageBreak/>
        <w:t xml:space="preserve">Evans, M. J. (2011). HepG2 cells expressing microRNA miR-122 support the entire hepatitis C virus life cycle. </w:t>
      </w:r>
      <w:r w:rsidRPr="009378D4">
        <w:rPr>
          <w:rFonts w:eastAsia="Times New Roman"/>
          <w:i/>
          <w:iCs/>
          <w:noProof/>
        </w:rPr>
        <w:t>Journal of Virology</w:t>
      </w:r>
      <w:r w:rsidRPr="009378D4">
        <w:rPr>
          <w:rFonts w:eastAsia="Times New Roman"/>
          <w:noProof/>
        </w:rPr>
        <w:t xml:space="preserve">, </w:t>
      </w:r>
      <w:r w:rsidRPr="009378D4">
        <w:rPr>
          <w:rFonts w:eastAsia="Times New Roman"/>
          <w:i/>
          <w:iCs/>
          <w:noProof/>
        </w:rPr>
        <w:t>85</w:t>
      </w:r>
      <w:r w:rsidRPr="009378D4">
        <w:rPr>
          <w:rFonts w:eastAsia="Times New Roman"/>
          <w:noProof/>
        </w:rPr>
        <w:t>(22), 12087–92. http://doi.org/10.1128/JVI.05843-11</w:t>
      </w:r>
    </w:p>
    <w:p w14:paraId="5862591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Nelson, P. T., De Planell-Saguer, M., Lamprinaki, S., Kiriakidou, M., Zhang, P., O’Doherty, U., &amp; Mourelatos, Z. (2007). A novel monoclonal antibody against human Argonaute proteins reveals unexpected characteristics of miRNAs in human blood cells. </w:t>
      </w:r>
      <w:r w:rsidRPr="009378D4">
        <w:rPr>
          <w:rFonts w:eastAsia="Times New Roman"/>
          <w:i/>
          <w:iCs/>
          <w:noProof/>
        </w:rPr>
        <w:t>RNA (New York, N.Y.)</w:t>
      </w:r>
      <w:r w:rsidRPr="009378D4">
        <w:rPr>
          <w:rFonts w:eastAsia="Times New Roman"/>
          <w:noProof/>
        </w:rPr>
        <w:t xml:space="preserve">, </w:t>
      </w:r>
      <w:r w:rsidRPr="009378D4">
        <w:rPr>
          <w:rFonts w:eastAsia="Times New Roman"/>
          <w:i/>
          <w:iCs/>
          <w:noProof/>
        </w:rPr>
        <w:t>13</w:t>
      </w:r>
      <w:r w:rsidRPr="009378D4">
        <w:rPr>
          <w:rFonts w:eastAsia="Times New Roman"/>
          <w:noProof/>
        </w:rPr>
        <w:t>(10), 1787–92. http://doi.org/10.1261/rna.646007</w:t>
      </w:r>
    </w:p>
    <w:p w14:paraId="4FFFB6A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Ng, W. L., Chen, G., Wang, M., Wang, H., Story, M., Shay, J. W., … Wang, Y. (2014). OCT4 as a target of miR-34a stimulates p63 but inhibits p53 to promote human cell transformation. </w:t>
      </w:r>
      <w:r w:rsidRPr="009378D4">
        <w:rPr>
          <w:rFonts w:eastAsia="Times New Roman"/>
          <w:i/>
          <w:iCs/>
          <w:noProof/>
        </w:rPr>
        <w:t>Cell Death &amp; Disease</w:t>
      </w:r>
      <w:r w:rsidRPr="009378D4">
        <w:rPr>
          <w:rFonts w:eastAsia="Times New Roman"/>
          <w:noProof/>
        </w:rPr>
        <w:t xml:space="preserve">, </w:t>
      </w:r>
      <w:r w:rsidRPr="009378D4">
        <w:rPr>
          <w:rFonts w:eastAsia="Times New Roman"/>
          <w:i/>
          <w:iCs/>
          <w:noProof/>
        </w:rPr>
        <w:t>5</w:t>
      </w:r>
      <w:r w:rsidRPr="009378D4">
        <w:rPr>
          <w:rFonts w:eastAsia="Times New Roman"/>
          <w:noProof/>
        </w:rPr>
        <w:t>, e1024. http://doi.org/10.1038/cddis.2013.563</w:t>
      </w:r>
    </w:p>
    <w:p w14:paraId="200FA1A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Nichols, J. E., Niles, J. A., Vega, S. P., Argueta, L. B., Eastaway, A., &amp; Cortiella, J. (2014). Modeling the lung: Design and development of tissue engineered macro- and micro-physiologic lung models for research use. </w:t>
      </w:r>
      <w:r w:rsidRPr="009378D4">
        <w:rPr>
          <w:rFonts w:eastAsia="Times New Roman"/>
          <w:i/>
          <w:iCs/>
          <w:noProof/>
        </w:rPr>
        <w:t>Experimental Biology and Medicine</w:t>
      </w:r>
      <w:r w:rsidRPr="009378D4">
        <w:rPr>
          <w:rFonts w:eastAsia="Times New Roman"/>
          <w:noProof/>
        </w:rPr>
        <w:t xml:space="preserve">, </w:t>
      </w:r>
      <w:r w:rsidRPr="009378D4">
        <w:rPr>
          <w:rFonts w:eastAsia="Times New Roman"/>
          <w:i/>
          <w:iCs/>
          <w:noProof/>
        </w:rPr>
        <w:t>239</w:t>
      </w:r>
      <w:r w:rsidRPr="009378D4">
        <w:rPr>
          <w:rFonts w:eastAsia="Times New Roman"/>
          <w:noProof/>
        </w:rPr>
        <w:t>(9), 1135–1169. http://doi.org/10.1177/1535370214536679</w:t>
      </w:r>
    </w:p>
    <w:p w14:paraId="12B8595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Nicklin, P. L., Bayley, D., Giddings, J., Craig, S. J., Cummins, L. L., Hastewell, J. G., &amp; Phillips, J. A. (1998). Pulmonary bioavailability of a phosphorothioate oligonucleotide (CGP 64128A): comparison with other delivery routes. </w:t>
      </w:r>
      <w:r w:rsidRPr="009378D4">
        <w:rPr>
          <w:rFonts w:eastAsia="Times New Roman"/>
          <w:i/>
          <w:iCs/>
          <w:noProof/>
        </w:rPr>
        <w:t>Pharm Res</w:t>
      </w:r>
      <w:r w:rsidRPr="009378D4">
        <w:rPr>
          <w:rFonts w:eastAsia="Times New Roman"/>
          <w:noProof/>
        </w:rPr>
        <w:t xml:space="preserve">, </w:t>
      </w:r>
      <w:r w:rsidRPr="009378D4">
        <w:rPr>
          <w:rFonts w:eastAsia="Times New Roman"/>
          <w:i/>
          <w:iCs/>
          <w:noProof/>
        </w:rPr>
        <w:t>15</w:t>
      </w:r>
      <w:r w:rsidRPr="009378D4">
        <w:rPr>
          <w:rFonts w:eastAsia="Times New Roman"/>
          <w:noProof/>
        </w:rPr>
        <w:t>(4), 583–591. Retrieved from http://www.ncbi.nlm.nih.gov/pubmed/9587955</w:t>
      </w:r>
    </w:p>
    <w:p w14:paraId="4548D6E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Nielsen, P. E., Egholm, M., Berg, R. H., &amp; Buchardt, O. (1991). Sequence-selective recognition of DNA by strand displacement with a thymine-substituted polyamide. </w:t>
      </w:r>
      <w:r w:rsidRPr="009378D4">
        <w:rPr>
          <w:rFonts w:eastAsia="Times New Roman"/>
          <w:i/>
          <w:iCs/>
          <w:noProof/>
        </w:rPr>
        <w:t>Science (New York, N.Y.)</w:t>
      </w:r>
      <w:r w:rsidRPr="009378D4">
        <w:rPr>
          <w:rFonts w:eastAsia="Times New Roman"/>
          <w:noProof/>
        </w:rPr>
        <w:t xml:space="preserve">, </w:t>
      </w:r>
      <w:r w:rsidRPr="009378D4">
        <w:rPr>
          <w:rFonts w:eastAsia="Times New Roman"/>
          <w:i/>
          <w:iCs/>
          <w:noProof/>
        </w:rPr>
        <w:t>254</w:t>
      </w:r>
      <w:r w:rsidRPr="009378D4">
        <w:rPr>
          <w:rFonts w:eastAsia="Times New Roman"/>
          <w:noProof/>
        </w:rPr>
        <w:t>(5037), 1497–500. Retrieved from http://www.ncbi.nlm.nih.gov/pubmed/1962210</w:t>
      </w:r>
    </w:p>
    <w:p w14:paraId="1669CD9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Nikula, K. J., McCartney, J. E., McGovern, T., Miller, G. K., Odin, M., Pino, M. V, &amp; Reed, M. D. (2014). STP position paper: interpreting the significance of increased alveolar </w:t>
      </w:r>
      <w:r w:rsidRPr="009378D4">
        <w:rPr>
          <w:rFonts w:eastAsia="Times New Roman"/>
          <w:noProof/>
        </w:rPr>
        <w:lastRenderedPageBreak/>
        <w:t xml:space="preserve">macrophages in rodents following inhalation of pharmaceutical materials. </w:t>
      </w:r>
      <w:r w:rsidRPr="009378D4">
        <w:rPr>
          <w:rFonts w:eastAsia="Times New Roman"/>
          <w:i/>
          <w:iCs/>
          <w:noProof/>
        </w:rPr>
        <w:t>Toxicologic Pathology</w:t>
      </w:r>
      <w:r w:rsidRPr="009378D4">
        <w:rPr>
          <w:rFonts w:eastAsia="Times New Roman"/>
          <w:noProof/>
        </w:rPr>
        <w:t xml:space="preserve">, </w:t>
      </w:r>
      <w:r w:rsidRPr="009378D4">
        <w:rPr>
          <w:rFonts w:eastAsia="Times New Roman"/>
          <w:i/>
          <w:iCs/>
          <w:noProof/>
        </w:rPr>
        <w:t>42</w:t>
      </w:r>
      <w:r w:rsidRPr="009378D4">
        <w:rPr>
          <w:rFonts w:eastAsia="Times New Roman"/>
          <w:noProof/>
        </w:rPr>
        <w:t>(3), 472–86. http://doi.org/10.1177/0192623313507003</w:t>
      </w:r>
    </w:p>
    <w:p w14:paraId="73FFDF2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Nissim-Rafinia, M., Aviram, M., Randell, S. H., Shushi, L., Ozeri, E., Chiba-Falek, O., … Kerem, B. (2004). Restoration of the cystic fibrosis transmembrane conductance regulator function by splicing modulation. </w:t>
      </w:r>
      <w:r w:rsidRPr="009378D4">
        <w:rPr>
          <w:rFonts w:eastAsia="Times New Roman"/>
          <w:i/>
          <w:iCs/>
          <w:noProof/>
        </w:rPr>
        <w:t>EMBO Reports</w:t>
      </w:r>
      <w:r w:rsidRPr="009378D4">
        <w:rPr>
          <w:rFonts w:eastAsia="Times New Roman"/>
          <w:noProof/>
        </w:rPr>
        <w:t xml:space="preserve">, </w:t>
      </w:r>
      <w:r w:rsidRPr="009378D4">
        <w:rPr>
          <w:rFonts w:eastAsia="Times New Roman"/>
          <w:i/>
          <w:iCs/>
          <w:noProof/>
        </w:rPr>
        <w:t>5</w:t>
      </w:r>
      <w:r w:rsidRPr="009378D4">
        <w:rPr>
          <w:rFonts w:eastAsia="Times New Roman"/>
          <w:noProof/>
        </w:rPr>
        <w:t>(11), 1071–7. http://doi.org/10.1038/sj.embor.7400273</w:t>
      </w:r>
    </w:p>
    <w:p w14:paraId="3A2002A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Noble, P. B., Pascoe, C. D., Lan, B., Ito, S., Kistemaker, L. E. M., Tatler, A. L., … West, A. R. (2014). Airway smooth muscle in asthma: linking contraction and mechanotransduction to disease pathogenesis and remodelling. </w:t>
      </w:r>
      <w:r w:rsidRPr="009378D4">
        <w:rPr>
          <w:rFonts w:eastAsia="Times New Roman"/>
          <w:i/>
          <w:iCs/>
          <w:noProof/>
        </w:rPr>
        <w:t>Pulmonary Pharmacology &amp; Therapeutics</w:t>
      </w:r>
      <w:r w:rsidRPr="009378D4">
        <w:rPr>
          <w:rFonts w:eastAsia="Times New Roman"/>
          <w:noProof/>
        </w:rPr>
        <w:t xml:space="preserve">, </w:t>
      </w:r>
      <w:r w:rsidRPr="009378D4">
        <w:rPr>
          <w:rFonts w:eastAsia="Times New Roman"/>
          <w:i/>
          <w:iCs/>
          <w:noProof/>
        </w:rPr>
        <w:t>29</w:t>
      </w:r>
      <w:r w:rsidRPr="009378D4">
        <w:rPr>
          <w:rFonts w:eastAsia="Times New Roman"/>
          <w:noProof/>
        </w:rPr>
        <w:t>(2), 96–107. http://doi.org/10.1016/j.pupt.2014.07.005</w:t>
      </w:r>
    </w:p>
    <w:p w14:paraId="7913934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Nolting, A., DeLong, R. K., Fisher, M. H., Wickstrom, E., Pollack, G. M., Juliano, R. L., &amp; Brouwer, K. L. (1997). Hepatic distribution and clearance of antisense oligonucleotides in the isolated perfused rat liver. </w:t>
      </w:r>
      <w:r w:rsidRPr="009378D4">
        <w:rPr>
          <w:rFonts w:eastAsia="Times New Roman"/>
          <w:i/>
          <w:iCs/>
          <w:noProof/>
        </w:rPr>
        <w:t>Pharmaceutical Research</w:t>
      </w:r>
      <w:r w:rsidRPr="009378D4">
        <w:rPr>
          <w:rFonts w:eastAsia="Times New Roman"/>
          <w:noProof/>
        </w:rPr>
        <w:t xml:space="preserve">, </w:t>
      </w:r>
      <w:r w:rsidRPr="009378D4">
        <w:rPr>
          <w:rFonts w:eastAsia="Times New Roman"/>
          <w:i/>
          <w:iCs/>
          <w:noProof/>
        </w:rPr>
        <w:t>14</w:t>
      </w:r>
      <w:r w:rsidRPr="009378D4">
        <w:rPr>
          <w:rFonts w:eastAsia="Times New Roman"/>
          <w:noProof/>
        </w:rPr>
        <w:t>(4), 516–21. Retrieved from http://www.ncbi.nlm.nih.gov/pubmed/9144742</w:t>
      </w:r>
    </w:p>
    <w:p w14:paraId="7F05918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Obad, S., dos Santos, C. O., Petri, A., Heidenblad, M., Broom, O., Ruse, C., … Kauppinen, S. (2011). Silencing of microRNA families by seed-targeting tiny LNAs. </w:t>
      </w:r>
      <w:r w:rsidRPr="009378D4">
        <w:rPr>
          <w:rFonts w:eastAsia="Times New Roman"/>
          <w:i/>
          <w:iCs/>
          <w:noProof/>
        </w:rPr>
        <w:t>Nature Genetics</w:t>
      </w:r>
      <w:r w:rsidRPr="009378D4">
        <w:rPr>
          <w:rFonts w:eastAsia="Times New Roman"/>
          <w:noProof/>
        </w:rPr>
        <w:t xml:space="preserve">, </w:t>
      </w:r>
      <w:r w:rsidRPr="009378D4">
        <w:rPr>
          <w:rFonts w:eastAsia="Times New Roman"/>
          <w:i/>
          <w:iCs/>
          <w:noProof/>
        </w:rPr>
        <w:t>43</w:t>
      </w:r>
      <w:r w:rsidRPr="009378D4">
        <w:rPr>
          <w:rFonts w:eastAsia="Times New Roman"/>
          <w:noProof/>
        </w:rPr>
        <w:t>(4), 371–8. http://doi.org/10.1038/ng.786</w:t>
      </w:r>
    </w:p>
    <w:p w14:paraId="13AD1C1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Ochs, M. (2014). Estimating structural alterations in animal models of lung emphysema. Is there a gold standard? </w:t>
      </w:r>
      <w:r w:rsidRPr="009378D4">
        <w:rPr>
          <w:rFonts w:eastAsia="Times New Roman"/>
          <w:i/>
          <w:iCs/>
          <w:noProof/>
        </w:rPr>
        <w:t>Annals of Anatomy = Anatomischer Anzeiger : Official Organ of the Anatomische Gesellschaft</w:t>
      </w:r>
      <w:r w:rsidRPr="009378D4">
        <w:rPr>
          <w:rFonts w:eastAsia="Times New Roman"/>
          <w:noProof/>
        </w:rPr>
        <w:t xml:space="preserve">, </w:t>
      </w:r>
      <w:r w:rsidRPr="009378D4">
        <w:rPr>
          <w:rFonts w:eastAsia="Times New Roman"/>
          <w:i/>
          <w:iCs/>
          <w:noProof/>
        </w:rPr>
        <w:t>196</w:t>
      </w:r>
      <w:r w:rsidRPr="009378D4">
        <w:rPr>
          <w:rFonts w:eastAsia="Times New Roman"/>
          <w:noProof/>
        </w:rPr>
        <w:t>(1), 26–33. http://doi.org/10.1016/j.aanat.2013.10.004</w:t>
      </w:r>
    </w:p>
    <w:p w14:paraId="731BB12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Oh, S. Y., Ju, Y., &amp; Park, H. (2009). A highly effective and long-lasting inhibition of miRNAs with PNA-based antisense oligonucleotides. </w:t>
      </w:r>
      <w:r w:rsidRPr="009378D4">
        <w:rPr>
          <w:rFonts w:eastAsia="Times New Roman"/>
          <w:i/>
          <w:iCs/>
          <w:noProof/>
        </w:rPr>
        <w:t>Molecules and Cells</w:t>
      </w:r>
      <w:r w:rsidRPr="009378D4">
        <w:rPr>
          <w:rFonts w:eastAsia="Times New Roman"/>
          <w:noProof/>
        </w:rPr>
        <w:t xml:space="preserve">, </w:t>
      </w:r>
      <w:r w:rsidRPr="009378D4">
        <w:rPr>
          <w:rFonts w:eastAsia="Times New Roman"/>
          <w:i/>
          <w:iCs/>
          <w:noProof/>
        </w:rPr>
        <w:t>28</w:t>
      </w:r>
      <w:r w:rsidRPr="009378D4">
        <w:rPr>
          <w:rFonts w:eastAsia="Times New Roman"/>
          <w:noProof/>
        </w:rPr>
        <w:t>(4), 341–5. http://doi.org/10.1007/s10059-009-0134-8</w:t>
      </w:r>
    </w:p>
    <w:p w14:paraId="0867858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lastRenderedPageBreak/>
        <w:t xml:space="preserve">Ohrt, T., Mütze, J., Staroske, W., Weinmann, L., Höck, J., Crell, K., … Schwille, P. (2008). Fluorescence correlation spectroscopy and fluorescence cross-correlation spectroscopy reveal the cytoplasmic origination of loaded nuclear RISC in vivo in human cells.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36</w:t>
      </w:r>
      <w:r w:rsidRPr="009378D4">
        <w:rPr>
          <w:rFonts w:eastAsia="Times New Roman"/>
          <w:noProof/>
        </w:rPr>
        <w:t>(20), 6439–49. http://doi.org/10.1093/nar/gkn693</w:t>
      </w:r>
    </w:p>
    <w:p w14:paraId="067B333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Olin, J. T., &amp; Wechsler, M. E. (2014). Asthma: pathogenesis and novel drugs for treatment. </w:t>
      </w:r>
      <w:r w:rsidRPr="009378D4">
        <w:rPr>
          <w:rFonts w:eastAsia="Times New Roman"/>
          <w:i/>
          <w:iCs/>
          <w:noProof/>
        </w:rPr>
        <w:t>BMJ (Clinical Research Ed.)</w:t>
      </w:r>
      <w:r w:rsidRPr="009378D4">
        <w:rPr>
          <w:rFonts w:eastAsia="Times New Roman"/>
          <w:noProof/>
        </w:rPr>
        <w:t xml:space="preserve">, </w:t>
      </w:r>
      <w:r w:rsidRPr="009378D4">
        <w:rPr>
          <w:rFonts w:eastAsia="Times New Roman"/>
          <w:i/>
          <w:iCs/>
          <w:noProof/>
        </w:rPr>
        <w:t>349</w:t>
      </w:r>
      <w:r w:rsidRPr="009378D4">
        <w:rPr>
          <w:rFonts w:eastAsia="Times New Roman"/>
          <w:noProof/>
        </w:rPr>
        <w:t>(nov24_8), g5517. http://doi.org/10.1136/bmj.g5517</w:t>
      </w:r>
    </w:p>
    <w:p w14:paraId="3F677E6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Opriessnig, T., Patel, D., Wang, R., Halbur, P. G., Meng, X.-J., Stein, D. A., &amp; Zhang, Y.-J. (2011). Inhibition of porcine reproductive and respiratory syndrome virus infection in piglets by a peptide-conjugated morpholino oligomer. </w:t>
      </w:r>
      <w:r w:rsidRPr="009378D4">
        <w:rPr>
          <w:rFonts w:eastAsia="Times New Roman"/>
          <w:i/>
          <w:iCs/>
          <w:noProof/>
        </w:rPr>
        <w:t>Antiviral Research</w:t>
      </w:r>
      <w:r w:rsidRPr="009378D4">
        <w:rPr>
          <w:rFonts w:eastAsia="Times New Roman"/>
          <w:noProof/>
        </w:rPr>
        <w:t xml:space="preserve">, </w:t>
      </w:r>
      <w:r w:rsidRPr="009378D4">
        <w:rPr>
          <w:rFonts w:eastAsia="Times New Roman"/>
          <w:i/>
          <w:iCs/>
          <w:noProof/>
        </w:rPr>
        <w:t>91</w:t>
      </w:r>
      <w:r w:rsidRPr="009378D4">
        <w:rPr>
          <w:rFonts w:eastAsia="Times New Roman"/>
          <w:noProof/>
        </w:rPr>
        <w:t>(1), 36–42. http://doi.org/10.1016/j.antiviral.2011.04.012</w:t>
      </w:r>
    </w:p>
    <w:p w14:paraId="0069C1B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Ørom, U. A., Nielsen, F. C., &amp; Lund, A. H. (2008). MicroRNA-10a binds the 5’UTR of ribosomal protein mRNAs and enhances their translation. </w:t>
      </w:r>
      <w:r w:rsidRPr="009378D4">
        <w:rPr>
          <w:rFonts w:eastAsia="Times New Roman"/>
          <w:i/>
          <w:iCs/>
          <w:noProof/>
        </w:rPr>
        <w:t>Molecular Cell</w:t>
      </w:r>
      <w:r w:rsidRPr="009378D4">
        <w:rPr>
          <w:rFonts w:eastAsia="Times New Roman"/>
          <w:noProof/>
        </w:rPr>
        <w:t xml:space="preserve">, </w:t>
      </w:r>
      <w:r w:rsidRPr="009378D4">
        <w:rPr>
          <w:rFonts w:eastAsia="Times New Roman"/>
          <w:i/>
          <w:iCs/>
          <w:noProof/>
        </w:rPr>
        <w:t>30</w:t>
      </w:r>
      <w:r w:rsidRPr="009378D4">
        <w:rPr>
          <w:rFonts w:eastAsia="Times New Roman"/>
          <w:noProof/>
        </w:rPr>
        <w:t>(4), 460–71. http://doi.org/10.1016/j.molcel.2008.05.001</w:t>
      </w:r>
    </w:p>
    <w:p w14:paraId="743A349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Panta, R., Dahal, K., &amp; Kunwar, S. (2015). Efficacy and safety of mipomersen in treatment of dyslipidemia: A meta-analysis of randomized controlled trials. </w:t>
      </w:r>
      <w:r w:rsidRPr="009378D4">
        <w:rPr>
          <w:rFonts w:eastAsia="Times New Roman"/>
          <w:i/>
          <w:iCs/>
          <w:noProof/>
        </w:rPr>
        <w:t>Journal of Clinical Lipidology</w:t>
      </w:r>
      <w:r w:rsidRPr="009378D4">
        <w:rPr>
          <w:rFonts w:eastAsia="Times New Roman"/>
          <w:noProof/>
        </w:rPr>
        <w:t xml:space="preserve">, </w:t>
      </w:r>
      <w:r w:rsidRPr="009378D4">
        <w:rPr>
          <w:rFonts w:eastAsia="Times New Roman"/>
          <w:i/>
          <w:iCs/>
          <w:noProof/>
        </w:rPr>
        <w:t>9</w:t>
      </w:r>
      <w:r w:rsidRPr="009378D4">
        <w:rPr>
          <w:rFonts w:eastAsia="Times New Roman"/>
          <w:noProof/>
        </w:rPr>
        <w:t>(2), 217–225. http://doi.org/10.1016/j.jacl.2014.12.006</w:t>
      </w:r>
    </w:p>
    <w:p w14:paraId="7800894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Park, C.-K., Xu, Z.-Z., Berta, T., Han, Q., Chen, G., Liu, X.-J., &amp; Ji, R.-R. (2014). Extracellular microRNAs activate nociceptor neurons to elicit pain via TLR7 and TRPA1. </w:t>
      </w:r>
      <w:r w:rsidRPr="009378D4">
        <w:rPr>
          <w:rFonts w:eastAsia="Times New Roman"/>
          <w:i/>
          <w:iCs/>
          <w:noProof/>
        </w:rPr>
        <w:t>Neuron</w:t>
      </w:r>
      <w:r w:rsidRPr="009378D4">
        <w:rPr>
          <w:rFonts w:eastAsia="Times New Roman"/>
          <w:noProof/>
        </w:rPr>
        <w:t xml:space="preserve">, </w:t>
      </w:r>
      <w:r w:rsidRPr="009378D4">
        <w:rPr>
          <w:rFonts w:eastAsia="Times New Roman"/>
          <w:i/>
          <w:iCs/>
          <w:noProof/>
        </w:rPr>
        <w:t>82</w:t>
      </w:r>
      <w:r w:rsidRPr="009378D4">
        <w:rPr>
          <w:rFonts w:eastAsia="Times New Roman"/>
          <w:noProof/>
        </w:rPr>
        <w:t>(1), 47–54. http://doi.org/10.1016/j.neuron.2014.02.011</w:t>
      </w:r>
    </w:p>
    <w:p w14:paraId="479E695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Park, J. H., &amp; Shin, C. (2015). Slicer-independent mechanism drives small-RNA strand separation during human RISC assembly.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43</w:t>
      </w:r>
      <w:r w:rsidRPr="009378D4">
        <w:rPr>
          <w:rFonts w:eastAsia="Times New Roman"/>
          <w:noProof/>
        </w:rPr>
        <w:t>(19), 9418–33. http://doi.org/10.1093/nar/gkv937</w:t>
      </w:r>
    </w:p>
    <w:p w14:paraId="233C09A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Parker, J. C., &amp; Townsley, M. I. (2008). Physiological determinants of the pulmonary filtration coefficient. </w:t>
      </w:r>
      <w:r w:rsidRPr="009378D4">
        <w:rPr>
          <w:rFonts w:eastAsia="Times New Roman"/>
          <w:i/>
          <w:iCs/>
          <w:noProof/>
        </w:rPr>
        <w:t xml:space="preserve">American Journal of Physiology. Lung Cellular and Molecular </w:t>
      </w:r>
      <w:r w:rsidRPr="009378D4">
        <w:rPr>
          <w:rFonts w:eastAsia="Times New Roman"/>
          <w:i/>
          <w:iCs/>
          <w:noProof/>
        </w:rPr>
        <w:lastRenderedPageBreak/>
        <w:t>Physiology</w:t>
      </w:r>
      <w:r w:rsidRPr="009378D4">
        <w:rPr>
          <w:rFonts w:eastAsia="Times New Roman"/>
          <w:noProof/>
        </w:rPr>
        <w:t xml:space="preserve">, </w:t>
      </w:r>
      <w:r w:rsidRPr="009378D4">
        <w:rPr>
          <w:rFonts w:eastAsia="Times New Roman"/>
          <w:i/>
          <w:iCs/>
          <w:noProof/>
        </w:rPr>
        <w:t>295</w:t>
      </w:r>
      <w:r w:rsidRPr="009378D4">
        <w:rPr>
          <w:rFonts w:eastAsia="Times New Roman"/>
          <w:noProof/>
        </w:rPr>
        <w:t>(2), L235–7. http://doi.org/10.1152/ajplung.00064.2008</w:t>
      </w:r>
    </w:p>
    <w:p w14:paraId="514ACD0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Parker, R., &amp; Sheth, U. (2007). P bodies and the control of mRNA translation and degradation. </w:t>
      </w:r>
      <w:r w:rsidRPr="009378D4">
        <w:rPr>
          <w:rFonts w:eastAsia="Times New Roman"/>
          <w:i/>
          <w:iCs/>
          <w:noProof/>
        </w:rPr>
        <w:t>Molecular Cell</w:t>
      </w:r>
      <w:r w:rsidRPr="009378D4">
        <w:rPr>
          <w:rFonts w:eastAsia="Times New Roman"/>
          <w:noProof/>
        </w:rPr>
        <w:t xml:space="preserve">, </w:t>
      </w:r>
      <w:r w:rsidRPr="009378D4">
        <w:rPr>
          <w:rFonts w:eastAsia="Times New Roman"/>
          <w:i/>
          <w:iCs/>
          <w:noProof/>
        </w:rPr>
        <w:t>25</w:t>
      </w:r>
      <w:r w:rsidRPr="009378D4">
        <w:rPr>
          <w:rFonts w:eastAsia="Times New Roman"/>
          <w:noProof/>
        </w:rPr>
        <w:t>(5), 635–46. http://doi.org/10.1016/j.molcel.2007.02.011</w:t>
      </w:r>
    </w:p>
    <w:p w14:paraId="3DA7F6A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Parra, E., &amp; Pérez-Gil, J. (2015). Composition, structure and mechanical properties define performance of pulmonary surfactant membranes and films. </w:t>
      </w:r>
      <w:r w:rsidRPr="009378D4">
        <w:rPr>
          <w:rFonts w:eastAsia="Times New Roman"/>
          <w:i/>
          <w:iCs/>
          <w:noProof/>
        </w:rPr>
        <w:t>Chemistry and Physics of Lipids</w:t>
      </w:r>
      <w:r w:rsidRPr="009378D4">
        <w:rPr>
          <w:rFonts w:eastAsia="Times New Roman"/>
          <w:noProof/>
        </w:rPr>
        <w:t xml:space="preserve">, </w:t>
      </w:r>
      <w:r w:rsidRPr="009378D4">
        <w:rPr>
          <w:rFonts w:eastAsia="Times New Roman"/>
          <w:i/>
          <w:iCs/>
          <w:noProof/>
        </w:rPr>
        <w:t>185</w:t>
      </w:r>
      <w:r w:rsidRPr="009378D4">
        <w:rPr>
          <w:rFonts w:eastAsia="Times New Roman"/>
          <w:noProof/>
        </w:rPr>
        <w:t>, 153–75. http://doi.org/10.1016/j.chemphyslip.2014.09.002</w:t>
      </w:r>
    </w:p>
    <w:p w14:paraId="6FAD791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Patton, J. G., Franklin, J. L., Weaver, A. M., Vickers, K., Zhang, B., Coffey, R. J., … McManus, M. T. (2015). Biogenesis, delivery, and function of extracellular RNA. </w:t>
      </w:r>
      <w:r w:rsidRPr="009378D4">
        <w:rPr>
          <w:rFonts w:eastAsia="Times New Roman"/>
          <w:i/>
          <w:iCs/>
          <w:noProof/>
        </w:rPr>
        <w:t>Journal of Extracellular Vesicles</w:t>
      </w:r>
      <w:r w:rsidRPr="009378D4">
        <w:rPr>
          <w:rFonts w:eastAsia="Times New Roman"/>
          <w:noProof/>
        </w:rPr>
        <w:t xml:space="preserve">, </w:t>
      </w:r>
      <w:r w:rsidRPr="009378D4">
        <w:rPr>
          <w:rFonts w:eastAsia="Times New Roman"/>
          <w:i/>
          <w:iCs/>
          <w:noProof/>
        </w:rPr>
        <w:t>4</w:t>
      </w:r>
      <w:r w:rsidRPr="009378D4">
        <w:rPr>
          <w:rFonts w:eastAsia="Times New Roman"/>
          <w:noProof/>
        </w:rPr>
        <w:t>, 27494. Retrieved from http://www.pubmedcentral.nih.gov/articlerender.fcgi?artid=4553266&amp;tool=pmcentrez&amp;rendertype=abstract</w:t>
      </w:r>
    </w:p>
    <w:p w14:paraId="6D0A87A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Perkins, S. M., Webb, D. L., Torrance, S. A., El Saleeby, C., Harrison, L. M., Aitken, J. A., … DeVincenzo, J. P. (2005). Comparison of a real-time reverse transcriptase PCR assay and a culture technique for quantitative assessment of viral load in children naturally infected with respiratory syncytial virus. </w:t>
      </w:r>
      <w:r w:rsidRPr="009378D4">
        <w:rPr>
          <w:rFonts w:eastAsia="Times New Roman"/>
          <w:i/>
          <w:iCs/>
          <w:noProof/>
        </w:rPr>
        <w:t>Journal of Clinical Microbiology</w:t>
      </w:r>
      <w:r w:rsidRPr="009378D4">
        <w:rPr>
          <w:rFonts w:eastAsia="Times New Roman"/>
          <w:noProof/>
        </w:rPr>
        <w:t xml:space="preserve">, </w:t>
      </w:r>
      <w:r w:rsidRPr="009378D4">
        <w:rPr>
          <w:rFonts w:eastAsia="Times New Roman"/>
          <w:i/>
          <w:iCs/>
          <w:noProof/>
        </w:rPr>
        <w:t>43</w:t>
      </w:r>
      <w:r w:rsidRPr="009378D4">
        <w:rPr>
          <w:rFonts w:eastAsia="Times New Roman"/>
          <w:noProof/>
        </w:rPr>
        <w:t>(5), 2356–62. http://doi.org/10.1128/JCM.43.5.2356-2362.2005</w:t>
      </w:r>
    </w:p>
    <w:p w14:paraId="4803AD1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Perl, M., Chung, C.-S., Lomas-Neira, J., Rachel, T.-M., Biffl, W. L., Cioffi, W. G., &amp; Ayala, A. (2005). Silencing of Fas, but not caspase-8, in lung epithelial cells ameliorates pulmonary apoptosis, inflammation, and neutrophil influx after hemorrhagic shock and sepsis. </w:t>
      </w:r>
      <w:r w:rsidRPr="009378D4">
        <w:rPr>
          <w:rFonts w:eastAsia="Times New Roman"/>
          <w:i/>
          <w:iCs/>
          <w:noProof/>
        </w:rPr>
        <w:t>The American Journal of Pathology</w:t>
      </w:r>
      <w:r w:rsidRPr="009378D4">
        <w:rPr>
          <w:rFonts w:eastAsia="Times New Roman"/>
          <w:noProof/>
        </w:rPr>
        <w:t xml:space="preserve">, </w:t>
      </w:r>
      <w:r w:rsidRPr="009378D4">
        <w:rPr>
          <w:rFonts w:eastAsia="Times New Roman"/>
          <w:i/>
          <w:iCs/>
          <w:noProof/>
        </w:rPr>
        <w:t>167</w:t>
      </w:r>
      <w:r w:rsidRPr="009378D4">
        <w:rPr>
          <w:rFonts w:eastAsia="Times New Roman"/>
          <w:noProof/>
        </w:rPr>
        <w:t>(6), 1545–59. http://doi.org/10.1016/S0002-9440(10)61240-0</w:t>
      </w:r>
    </w:p>
    <w:p w14:paraId="50155DC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Perry, M. M., Moschos, S. A., Williams, A. E., Shepherd, N. J., Larner-Svensson, H. M., &amp; Lindsay, M. A. (2008). Rapid changes in microRNA-146a expression negatively regulate the IL-1beta-induced inflammatory response in human lung alveolar epithelial </w:t>
      </w:r>
      <w:r w:rsidRPr="009378D4">
        <w:rPr>
          <w:rFonts w:eastAsia="Times New Roman"/>
          <w:noProof/>
        </w:rPr>
        <w:lastRenderedPageBreak/>
        <w:t xml:space="preserve">cells. </w:t>
      </w:r>
      <w:r w:rsidRPr="009378D4">
        <w:rPr>
          <w:rFonts w:eastAsia="Times New Roman"/>
          <w:i/>
          <w:iCs/>
          <w:noProof/>
        </w:rPr>
        <w:t>J Immunol</w:t>
      </w:r>
      <w:r w:rsidRPr="009378D4">
        <w:rPr>
          <w:rFonts w:eastAsia="Times New Roman"/>
          <w:noProof/>
        </w:rPr>
        <w:t xml:space="preserve">, </w:t>
      </w:r>
      <w:r w:rsidRPr="009378D4">
        <w:rPr>
          <w:rFonts w:eastAsia="Times New Roman"/>
          <w:i/>
          <w:iCs/>
          <w:noProof/>
        </w:rPr>
        <w:t>180</w:t>
      </w:r>
      <w:r w:rsidRPr="009378D4">
        <w:rPr>
          <w:rFonts w:eastAsia="Times New Roman"/>
          <w:noProof/>
        </w:rPr>
        <w:t>(8), 5689–5698. Retrieved from http://www.ncbi.nlm.nih.gov/pubmed/18390754</w:t>
      </w:r>
    </w:p>
    <w:p w14:paraId="5EBC254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Pichlmair, A., Schulz, O., Tan, C. P., Näslund, T. I., Liljeström, P., Weber, F., &amp; Reis e Sousa, C. (2006). RIG-I-mediated antiviral responses to single-stranded RNA bearing 5’-phosphates. </w:t>
      </w:r>
      <w:r w:rsidRPr="009378D4">
        <w:rPr>
          <w:rFonts w:eastAsia="Times New Roman"/>
          <w:i/>
          <w:iCs/>
          <w:noProof/>
        </w:rPr>
        <w:t>Science (New York, N.Y.)</w:t>
      </w:r>
      <w:r w:rsidRPr="009378D4">
        <w:rPr>
          <w:rFonts w:eastAsia="Times New Roman"/>
          <w:noProof/>
        </w:rPr>
        <w:t xml:space="preserve">, </w:t>
      </w:r>
      <w:r w:rsidRPr="009378D4">
        <w:rPr>
          <w:rFonts w:eastAsia="Times New Roman"/>
          <w:i/>
          <w:iCs/>
          <w:noProof/>
        </w:rPr>
        <w:t>314</w:t>
      </w:r>
      <w:r w:rsidRPr="009378D4">
        <w:rPr>
          <w:rFonts w:eastAsia="Times New Roman"/>
          <w:noProof/>
        </w:rPr>
        <w:t>(5801), 997–1001. http://doi.org/10.1126/science.1132998</w:t>
      </w:r>
    </w:p>
    <w:p w14:paraId="72EF5AF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Place, R. F., Li, L.-C., Pookot, D., Noonan, E. J., &amp; Dahiya, R. (2008). MicroRNA-373 induces expression of genes with complementary promoter sequences.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105</w:t>
      </w:r>
      <w:r w:rsidRPr="009378D4">
        <w:rPr>
          <w:rFonts w:eastAsia="Times New Roman"/>
          <w:noProof/>
        </w:rPr>
        <w:t>(5), 1608–13. http://doi.org/10.1073/pnas.0707594105</w:t>
      </w:r>
    </w:p>
    <w:p w14:paraId="6382138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Politz, J. C. R., Zhang, F., &amp; Pederson, T. (2006). MicroRNA-206 colocalizes with ribosome-rich regions in both the nucleolus and cytoplasm of rat myogenic cells.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103</w:t>
      </w:r>
      <w:r w:rsidRPr="009378D4">
        <w:rPr>
          <w:rFonts w:eastAsia="Times New Roman"/>
          <w:noProof/>
        </w:rPr>
        <w:t>(50), 18957–62. http://doi.org/10.1073/pnas.0609466103</w:t>
      </w:r>
    </w:p>
    <w:p w14:paraId="1033A1F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Pooga, M., Land, T., Bartfai, T., &amp; Langel, U. (2001). PNA oligomers as tools for specific modulation of gene expression. </w:t>
      </w:r>
      <w:r w:rsidRPr="009378D4">
        <w:rPr>
          <w:rFonts w:eastAsia="Times New Roman"/>
          <w:i/>
          <w:iCs/>
          <w:noProof/>
        </w:rPr>
        <w:t>Biomolecular Engineering</w:t>
      </w:r>
      <w:r w:rsidRPr="009378D4">
        <w:rPr>
          <w:rFonts w:eastAsia="Times New Roman"/>
          <w:noProof/>
        </w:rPr>
        <w:t xml:space="preserve">, </w:t>
      </w:r>
      <w:r w:rsidRPr="009378D4">
        <w:rPr>
          <w:rFonts w:eastAsia="Times New Roman"/>
          <w:i/>
          <w:iCs/>
          <w:noProof/>
        </w:rPr>
        <w:t>17</w:t>
      </w:r>
      <w:r w:rsidRPr="009378D4">
        <w:rPr>
          <w:rFonts w:eastAsia="Times New Roman"/>
          <w:noProof/>
        </w:rPr>
        <w:t>(6), 183–92. Retrieved from http://www.ncbi.nlm.nih.gov/pubmed/11337277</w:t>
      </w:r>
    </w:p>
    <w:p w14:paraId="27D979F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Prakash, T. P., Naik, N., Sioufi, N., Bhat, B., &amp; Swayze, E. E. (2009). Activity of siRNAs with 2-thio-2’-O-methyluridine modification in mammalian cells. </w:t>
      </w:r>
      <w:r w:rsidRPr="009378D4">
        <w:rPr>
          <w:rFonts w:eastAsia="Times New Roman"/>
          <w:i/>
          <w:iCs/>
          <w:noProof/>
        </w:rPr>
        <w:t>Nucleosides, Nucleotides &amp; Nucleic Acids</w:t>
      </w:r>
      <w:r w:rsidRPr="009378D4">
        <w:rPr>
          <w:rFonts w:eastAsia="Times New Roman"/>
          <w:noProof/>
        </w:rPr>
        <w:t xml:space="preserve">, </w:t>
      </w:r>
      <w:r w:rsidRPr="009378D4">
        <w:rPr>
          <w:rFonts w:eastAsia="Times New Roman"/>
          <w:i/>
          <w:iCs/>
          <w:noProof/>
        </w:rPr>
        <w:t>28</w:t>
      </w:r>
      <w:r w:rsidRPr="009378D4">
        <w:rPr>
          <w:rFonts w:eastAsia="Times New Roman"/>
          <w:noProof/>
        </w:rPr>
        <w:t>(10), 902–10. http://doi.org/10.1080/15257770903316145</w:t>
      </w:r>
    </w:p>
    <w:p w14:paraId="5D28CE8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Pu, Y., Kline, L. C., Khawaja, N., Van Liew, M., &amp; Berry, J. (2015). Comparison of optical particle sizing and cascade impaction for measuring the particle size of a suspension metered dose inhaler. </w:t>
      </w:r>
      <w:r w:rsidRPr="009378D4">
        <w:rPr>
          <w:rFonts w:eastAsia="Times New Roman"/>
          <w:i/>
          <w:iCs/>
          <w:noProof/>
        </w:rPr>
        <w:t>Drug Development and Industrial Pharmacy</w:t>
      </w:r>
      <w:r w:rsidRPr="009378D4">
        <w:rPr>
          <w:rFonts w:eastAsia="Times New Roman"/>
          <w:noProof/>
        </w:rPr>
        <w:t xml:space="preserve">, </w:t>
      </w:r>
      <w:r w:rsidRPr="009378D4">
        <w:rPr>
          <w:rFonts w:eastAsia="Times New Roman"/>
          <w:i/>
          <w:iCs/>
          <w:noProof/>
        </w:rPr>
        <w:t>41</w:t>
      </w:r>
      <w:r w:rsidRPr="009378D4">
        <w:rPr>
          <w:rFonts w:eastAsia="Times New Roman"/>
          <w:noProof/>
        </w:rPr>
        <w:t xml:space="preserve">(5), 737–43. </w:t>
      </w:r>
      <w:r w:rsidRPr="009378D4">
        <w:rPr>
          <w:rFonts w:eastAsia="Times New Roman"/>
          <w:noProof/>
        </w:rPr>
        <w:lastRenderedPageBreak/>
        <w:t>http://doi.org/10.3109/03639045.2014.900079</w:t>
      </w:r>
    </w:p>
    <w:p w14:paraId="0187C3B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Raabe, C. A., Tang, T.-H., Brosius, J., &amp; Rozhdestvensky, T. S. (2014). Biases in small RNA deep sequencing data.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42</w:t>
      </w:r>
      <w:r w:rsidRPr="009378D4">
        <w:rPr>
          <w:rFonts w:eastAsia="Times New Roman"/>
          <w:noProof/>
        </w:rPr>
        <w:t>(3), 1414–26. http://doi.org/10.1093/nar/gkt1021</w:t>
      </w:r>
    </w:p>
    <w:p w14:paraId="506B556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Rajsbaum, R., Versteeg, G. A., Schmid, S., Maestre, A. M., Belicha-Villanueva, A., Martínez-Romero, C., … García-Sastre, A. (2014). Unanchored K48-linked polyubiquitin synthesized by the E3-ubiquitin ligase TRIM6 stimulates the interferon-IKKε kinase-mediated antiviral response. </w:t>
      </w:r>
      <w:r w:rsidRPr="009378D4">
        <w:rPr>
          <w:rFonts w:eastAsia="Times New Roman"/>
          <w:i/>
          <w:iCs/>
          <w:noProof/>
        </w:rPr>
        <w:t>Immunity</w:t>
      </w:r>
      <w:r w:rsidRPr="009378D4">
        <w:rPr>
          <w:rFonts w:eastAsia="Times New Roman"/>
          <w:noProof/>
        </w:rPr>
        <w:t xml:space="preserve">, </w:t>
      </w:r>
      <w:r w:rsidRPr="009378D4">
        <w:rPr>
          <w:rFonts w:eastAsia="Times New Roman"/>
          <w:i/>
          <w:iCs/>
          <w:noProof/>
        </w:rPr>
        <w:t>40</w:t>
      </w:r>
      <w:r w:rsidRPr="009378D4">
        <w:rPr>
          <w:rFonts w:eastAsia="Times New Roman"/>
          <w:noProof/>
        </w:rPr>
        <w:t>(6), 880–95. http://doi.org/10.1016/j.immuni.2014.04.018</w:t>
      </w:r>
    </w:p>
    <w:p w14:paraId="40B87D8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Rameix-Welti, M.-A., Le Goffic, R., Hervé, P.-L., Sourimant, J., Rémot, A., Riffault, S., … Eléouët, J.-F. (2014). Visualizing the replication of respiratory syncytial virus in cells and in living mice. </w:t>
      </w:r>
      <w:r w:rsidRPr="009378D4">
        <w:rPr>
          <w:rFonts w:eastAsia="Times New Roman"/>
          <w:i/>
          <w:iCs/>
          <w:noProof/>
        </w:rPr>
        <w:t>Nature Communications</w:t>
      </w:r>
      <w:r w:rsidRPr="009378D4">
        <w:rPr>
          <w:rFonts w:eastAsia="Times New Roman"/>
          <w:noProof/>
        </w:rPr>
        <w:t xml:space="preserve">, </w:t>
      </w:r>
      <w:r w:rsidRPr="009378D4">
        <w:rPr>
          <w:rFonts w:eastAsia="Times New Roman"/>
          <w:i/>
          <w:iCs/>
          <w:noProof/>
        </w:rPr>
        <w:t>5</w:t>
      </w:r>
      <w:r w:rsidRPr="009378D4">
        <w:rPr>
          <w:rFonts w:eastAsia="Times New Roman"/>
          <w:noProof/>
        </w:rPr>
        <w:t>, 5104. http://doi.org/10.1038/ncomms6104</w:t>
      </w:r>
    </w:p>
    <w:p w14:paraId="00B3937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Raoof, A. A., Chiu, P., Ramtoola, Z., Cumming, I. K., Teng, C., Weinbach, S. P., … Geary, R. S. (2004). Oral bioavailability and multiple dose tolerability of an antisense oligonucleotide tablet formulated with sodium caprate. </w:t>
      </w:r>
      <w:r w:rsidRPr="009378D4">
        <w:rPr>
          <w:rFonts w:eastAsia="Times New Roman"/>
          <w:i/>
          <w:iCs/>
          <w:noProof/>
        </w:rPr>
        <w:t>J Pharm Sci</w:t>
      </w:r>
      <w:r w:rsidRPr="009378D4">
        <w:rPr>
          <w:rFonts w:eastAsia="Times New Roman"/>
          <w:noProof/>
        </w:rPr>
        <w:t xml:space="preserve">, </w:t>
      </w:r>
      <w:r w:rsidRPr="009378D4">
        <w:rPr>
          <w:rFonts w:eastAsia="Times New Roman"/>
          <w:i/>
          <w:iCs/>
          <w:noProof/>
        </w:rPr>
        <w:t>93</w:t>
      </w:r>
      <w:r w:rsidRPr="009378D4">
        <w:rPr>
          <w:rFonts w:eastAsia="Times New Roman"/>
          <w:noProof/>
        </w:rPr>
        <w:t>(6), 1431–1439. http://doi.org/10.1002/jps.20051</w:t>
      </w:r>
    </w:p>
    <w:p w14:paraId="042BCD7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Reid, G., Pel, M. E., Kirschner, M. B., Cheng, Y. Y., Mugridge, N., Weiss, J., … van Zandwijk, N. (2013). Restoring expression of miR-16: a novel approach to therapy for malignant pleural mesothelioma. </w:t>
      </w:r>
      <w:r w:rsidRPr="009378D4">
        <w:rPr>
          <w:rFonts w:eastAsia="Times New Roman"/>
          <w:i/>
          <w:iCs/>
          <w:noProof/>
        </w:rPr>
        <w:t>Annals of Oncology : Official Journal of the European Society for Medical Oncology / ESMO</w:t>
      </w:r>
      <w:r w:rsidRPr="009378D4">
        <w:rPr>
          <w:rFonts w:eastAsia="Times New Roman"/>
          <w:noProof/>
        </w:rPr>
        <w:t xml:space="preserve">, </w:t>
      </w:r>
      <w:r w:rsidRPr="009378D4">
        <w:rPr>
          <w:rFonts w:eastAsia="Times New Roman"/>
          <w:i/>
          <w:iCs/>
          <w:noProof/>
        </w:rPr>
        <w:t>24</w:t>
      </w:r>
      <w:r w:rsidRPr="009378D4">
        <w:rPr>
          <w:rFonts w:eastAsia="Times New Roman"/>
          <w:noProof/>
        </w:rPr>
        <w:t>(12), 3128–35. http://doi.org/10.1093/annonc/mdt412</w:t>
      </w:r>
    </w:p>
    <w:p w14:paraId="1F74F97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Rembach, A., Turner, B. J., Bruce, S., Cheah, I. K., Scott, R. L., Lopes, E. C., … Cheema, S. S. (2004). Antisense peptide nucleic acid targeting GluR3 delays disease onset and </w:t>
      </w:r>
      <w:r w:rsidRPr="009378D4">
        <w:rPr>
          <w:rFonts w:eastAsia="Times New Roman"/>
          <w:noProof/>
        </w:rPr>
        <w:lastRenderedPageBreak/>
        <w:t xml:space="preserve">progression in the SOD1 G93A mouse model of familial ALS. </w:t>
      </w:r>
      <w:r w:rsidRPr="009378D4">
        <w:rPr>
          <w:rFonts w:eastAsia="Times New Roman"/>
          <w:i/>
          <w:iCs/>
          <w:noProof/>
        </w:rPr>
        <w:t>Journal of Neuroscience Research</w:t>
      </w:r>
      <w:r w:rsidRPr="009378D4">
        <w:rPr>
          <w:rFonts w:eastAsia="Times New Roman"/>
          <w:noProof/>
        </w:rPr>
        <w:t xml:space="preserve">, </w:t>
      </w:r>
      <w:r w:rsidRPr="009378D4">
        <w:rPr>
          <w:rFonts w:eastAsia="Times New Roman"/>
          <w:i/>
          <w:iCs/>
          <w:noProof/>
        </w:rPr>
        <w:t>77</w:t>
      </w:r>
      <w:r w:rsidRPr="009378D4">
        <w:rPr>
          <w:rFonts w:eastAsia="Times New Roman"/>
          <w:noProof/>
        </w:rPr>
        <w:t>(4), 573–82. http://doi.org/10.1002/jnr.20191</w:t>
      </w:r>
    </w:p>
    <w:p w14:paraId="6592020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Reus, A. A., Maas, W. J. M., Jansen, H. T., Constant, S., Staal, Y. C. M., van Triel, J. J., &amp; Kuper, C. F. (2014). Feasibility of a 3D human airway epithelial model to study respiratory absorption. </w:t>
      </w:r>
      <w:r w:rsidRPr="009378D4">
        <w:rPr>
          <w:rFonts w:eastAsia="Times New Roman"/>
          <w:i/>
          <w:iCs/>
          <w:noProof/>
        </w:rPr>
        <w:t>Toxicology in Vitro : An International Journal Published in Association with BIBRA</w:t>
      </w:r>
      <w:r w:rsidRPr="009378D4">
        <w:rPr>
          <w:rFonts w:eastAsia="Times New Roman"/>
          <w:noProof/>
        </w:rPr>
        <w:t xml:space="preserve">, </w:t>
      </w:r>
      <w:r w:rsidRPr="009378D4">
        <w:rPr>
          <w:rFonts w:eastAsia="Times New Roman"/>
          <w:i/>
          <w:iCs/>
          <w:noProof/>
        </w:rPr>
        <w:t>28</w:t>
      </w:r>
      <w:r w:rsidRPr="009378D4">
        <w:rPr>
          <w:rFonts w:eastAsia="Times New Roman"/>
          <w:noProof/>
        </w:rPr>
        <w:t>(2), 258–64. http://doi.org/10.1016/j.tiv.2013.10.025</w:t>
      </w:r>
    </w:p>
    <w:p w14:paraId="2D65AEC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Richardson, L. S., Belshe, R. B., Sly, D. L., London, W. T., Prevar, D. A., Camargo, E., &amp; Chanock, R. M. (1978). Experimental respiratory syncytial virus pneumonia in cebus monkeys. </w:t>
      </w:r>
      <w:r w:rsidRPr="009378D4">
        <w:rPr>
          <w:rFonts w:eastAsia="Times New Roman"/>
          <w:i/>
          <w:iCs/>
          <w:noProof/>
        </w:rPr>
        <w:t>Journal of Medical Virology</w:t>
      </w:r>
      <w:r w:rsidRPr="009378D4">
        <w:rPr>
          <w:rFonts w:eastAsia="Times New Roman"/>
          <w:noProof/>
        </w:rPr>
        <w:t xml:space="preserve">, </w:t>
      </w:r>
      <w:r w:rsidRPr="009378D4">
        <w:rPr>
          <w:rFonts w:eastAsia="Times New Roman"/>
          <w:i/>
          <w:iCs/>
          <w:noProof/>
        </w:rPr>
        <w:t>2</w:t>
      </w:r>
      <w:r w:rsidRPr="009378D4">
        <w:rPr>
          <w:rFonts w:eastAsia="Times New Roman"/>
          <w:noProof/>
        </w:rPr>
        <w:t>(1), 45–59. Retrieved from http://www.ncbi.nlm.nih.gov/pubmed/210254</w:t>
      </w:r>
    </w:p>
    <w:p w14:paraId="30EE3E9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Riiser, A. (2015). The human microbiome, asthma, and allergy. </w:t>
      </w:r>
      <w:r w:rsidRPr="009378D4">
        <w:rPr>
          <w:rFonts w:eastAsia="Times New Roman"/>
          <w:i/>
          <w:iCs/>
          <w:noProof/>
        </w:rPr>
        <w:t>Allergy, Asthma, and Clinical Immunology : Official Journal of the Canadian Society of Allergy and Clinical Immunology</w:t>
      </w:r>
      <w:r w:rsidRPr="009378D4">
        <w:rPr>
          <w:rFonts w:eastAsia="Times New Roman"/>
          <w:noProof/>
        </w:rPr>
        <w:t xml:space="preserve">, </w:t>
      </w:r>
      <w:r w:rsidRPr="009378D4">
        <w:rPr>
          <w:rFonts w:eastAsia="Times New Roman"/>
          <w:i/>
          <w:iCs/>
          <w:noProof/>
        </w:rPr>
        <w:t>11</w:t>
      </w:r>
      <w:r w:rsidRPr="009378D4">
        <w:rPr>
          <w:rFonts w:eastAsia="Times New Roman"/>
          <w:noProof/>
        </w:rPr>
        <w:t>, 35. http://doi.org/10.1186/s13223-015-0102-0</w:t>
      </w:r>
    </w:p>
    <w:p w14:paraId="3EE2FE5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Ripple, M. J., You, D., Honnegowda, S., Giaimo, J. D., Sewell, A. B., Becnel, D. M., &amp; Cormier, S. A. (2010). Immunomodulation with IL-4R alpha antisense oligonucleotide prevents respiratory syncytial virus-mediated pulmonary disease. </w:t>
      </w:r>
      <w:r w:rsidRPr="009378D4">
        <w:rPr>
          <w:rFonts w:eastAsia="Times New Roman"/>
          <w:i/>
          <w:iCs/>
          <w:noProof/>
        </w:rPr>
        <w:t>Journal of Immunology (Baltimore, Md. : 1950)</w:t>
      </w:r>
      <w:r w:rsidRPr="009378D4">
        <w:rPr>
          <w:rFonts w:eastAsia="Times New Roman"/>
          <w:noProof/>
        </w:rPr>
        <w:t xml:space="preserve">, </w:t>
      </w:r>
      <w:r w:rsidRPr="009378D4">
        <w:rPr>
          <w:rFonts w:eastAsia="Times New Roman"/>
          <w:i/>
          <w:iCs/>
          <w:noProof/>
        </w:rPr>
        <w:t>185</w:t>
      </w:r>
      <w:r w:rsidRPr="009378D4">
        <w:rPr>
          <w:rFonts w:eastAsia="Times New Roman"/>
          <w:noProof/>
        </w:rPr>
        <w:t>(8), 4804–11. http://doi.org/10.4049/jimmunol.1000484</w:t>
      </w:r>
    </w:p>
    <w:p w14:paraId="25443C4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Ro, S., Ma, H.-Y., Park, C., Ortogero, N., Song, R., Hennig, G. W., … Yan, W. (2013). The mitochondrial genome encodes abundant small noncoding RNAs. </w:t>
      </w:r>
      <w:r w:rsidRPr="009378D4">
        <w:rPr>
          <w:rFonts w:eastAsia="Times New Roman"/>
          <w:i/>
          <w:iCs/>
          <w:noProof/>
        </w:rPr>
        <w:t>Cell Research</w:t>
      </w:r>
      <w:r w:rsidRPr="009378D4">
        <w:rPr>
          <w:rFonts w:eastAsia="Times New Roman"/>
          <w:noProof/>
        </w:rPr>
        <w:t xml:space="preserve">, </w:t>
      </w:r>
      <w:r w:rsidRPr="009378D4">
        <w:rPr>
          <w:rFonts w:eastAsia="Times New Roman"/>
          <w:i/>
          <w:iCs/>
          <w:noProof/>
        </w:rPr>
        <w:t>23</w:t>
      </w:r>
      <w:r w:rsidRPr="009378D4">
        <w:rPr>
          <w:rFonts w:eastAsia="Times New Roman"/>
          <w:noProof/>
        </w:rPr>
        <w:t>(6), 759–74. http://doi.org/10.1038/cr.2013.37</w:t>
      </w:r>
    </w:p>
    <w:p w14:paraId="45C84BA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Robaczewska, M., Narayan, R., Seigneres, B., Schorr, O., Thermet, A., Podhajska, A. J., … Cova, L. (2005). Sequence-specific inhibition of duck hepatitis B virus reverse transcription by peptide nucleic acids (PNA). </w:t>
      </w:r>
      <w:r w:rsidRPr="009378D4">
        <w:rPr>
          <w:rFonts w:eastAsia="Times New Roman"/>
          <w:i/>
          <w:iCs/>
          <w:noProof/>
        </w:rPr>
        <w:t>Journal of Hepatology</w:t>
      </w:r>
      <w:r w:rsidRPr="009378D4">
        <w:rPr>
          <w:rFonts w:eastAsia="Times New Roman"/>
          <w:noProof/>
        </w:rPr>
        <w:t xml:space="preserve">, </w:t>
      </w:r>
      <w:r w:rsidRPr="009378D4">
        <w:rPr>
          <w:rFonts w:eastAsia="Times New Roman"/>
          <w:i/>
          <w:iCs/>
          <w:noProof/>
        </w:rPr>
        <w:t>42</w:t>
      </w:r>
      <w:r w:rsidRPr="009378D4">
        <w:rPr>
          <w:rFonts w:eastAsia="Times New Roman"/>
          <w:noProof/>
        </w:rPr>
        <w:t xml:space="preserve">(2), 180–7. </w:t>
      </w:r>
      <w:r w:rsidRPr="009378D4">
        <w:rPr>
          <w:rFonts w:eastAsia="Times New Roman"/>
          <w:noProof/>
        </w:rPr>
        <w:lastRenderedPageBreak/>
        <w:t>http://doi.org/10.1016/j.jhep.2004.10.010</w:t>
      </w:r>
    </w:p>
    <w:p w14:paraId="300A13F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Robbins, M., Judge, A., Liang, L., McClintock, K., Yaworski, E., &amp; MacLachlan, I. (2007). 2’-O-methyl-modified RNAs act as TLR7 antagonists. </w:t>
      </w:r>
      <w:r w:rsidRPr="009378D4">
        <w:rPr>
          <w:rFonts w:eastAsia="Times New Roman"/>
          <w:i/>
          <w:iCs/>
          <w:noProof/>
        </w:rPr>
        <w:t>Molecular Therapy : The Journal of the American Society of Gene Therapy</w:t>
      </w:r>
      <w:r w:rsidRPr="009378D4">
        <w:rPr>
          <w:rFonts w:eastAsia="Times New Roman"/>
          <w:noProof/>
        </w:rPr>
        <w:t xml:space="preserve">, </w:t>
      </w:r>
      <w:r w:rsidRPr="009378D4">
        <w:rPr>
          <w:rFonts w:eastAsia="Times New Roman"/>
          <w:i/>
          <w:iCs/>
          <w:noProof/>
        </w:rPr>
        <w:t>15</w:t>
      </w:r>
      <w:r w:rsidRPr="009378D4">
        <w:rPr>
          <w:rFonts w:eastAsia="Times New Roman"/>
          <w:noProof/>
        </w:rPr>
        <w:t>(9), 1663–9. http://doi.org/10.1038/sj.mt.6300240</w:t>
      </w:r>
    </w:p>
    <w:p w14:paraId="0DABBDB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Robinson, D., Hamid, Q., Bentley, A., Ying, S., Kay, A. B., &amp; Durham, S. R. (1993). Activation of CD4+ T cells, increased TH2-type cytokine mRNA expression, and eosinophil recruitment in bronchoalveolar lavage after allergen inhalation challenge in patients with atopic asthma. </w:t>
      </w:r>
      <w:r w:rsidRPr="009378D4">
        <w:rPr>
          <w:rFonts w:eastAsia="Times New Roman"/>
          <w:i/>
          <w:iCs/>
          <w:noProof/>
        </w:rPr>
        <w:t>The Journal of Allergy and Clinical Immunology</w:t>
      </w:r>
      <w:r w:rsidRPr="009378D4">
        <w:rPr>
          <w:rFonts w:eastAsia="Times New Roman"/>
          <w:noProof/>
        </w:rPr>
        <w:t xml:space="preserve">, </w:t>
      </w:r>
      <w:r w:rsidRPr="009378D4">
        <w:rPr>
          <w:rFonts w:eastAsia="Times New Roman"/>
          <w:i/>
          <w:iCs/>
          <w:noProof/>
        </w:rPr>
        <w:t>92</w:t>
      </w:r>
      <w:r w:rsidRPr="009378D4">
        <w:rPr>
          <w:rFonts w:eastAsia="Times New Roman"/>
          <w:noProof/>
        </w:rPr>
        <w:t>(2), 313–24. Retrieved from http://www.ncbi.nlm.nih.gov/pubmed/8349942</w:t>
      </w:r>
    </w:p>
    <w:p w14:paraId="109A2C6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Robinson, D. S., Damia, R., Zeibecoglou, K., Molet, S., North, J., Yamada, T., … Hamid, Q. (1999). CD34(+)/interleukin-5Ralpha messenger RNA+ cells in the bronchial mucosa in asthma: potential airway eosinophil progenitors. </w:t>
      </w:r>
      <w:r w:rsidRPr="009378D4">
        <w:rPr>
          <w:rFonts w:eastAsia="Times New Roman"/>
          <w:i/>
          <w:iCs/>
          <w:noProof/>
        </w:rPr>
        <w:t>American Journal of Respiratory Cell and Molecular Biology</w:t>
      </w:r>
      <w:r w:rsidRPr="009378D4">
        <w:rPr>
          <w:rFonts w:eastAsia="Times New Roman"/>
          <w:noProof/>
        </w:rPr>
        <w:t xml:space="preserve">, </w:t>
      </w:r>
      <w:r w:rsidRPr="009378D4">
        <w:rPr>
          <w:rFonts w:eastAsia="Times New Roman"/>
          <w:i/>
          <w:iCs/>
          <w:noProof/>
        </w:rPr>
        <w:t>20</w:t>
      </w:r>
      <w:r w:rsidRPr="009378D4">
        <w:rPr>
          <w:rFonts w:eastAsia="Times New Roman"/>
          <w:noProof/>
        </w:rPr>
        <w:t>(1), 9–13. http://doi.org/10.1165/ajrcmb.20.1.3449</w:t>
      </w:r>
    </w:p>
    <w:p w14:paraId="05A5A51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Romanet-Manent, S., Charpin, D., Magnan, A., Lanteaume, A., &amp; Vervloet, D. (2002). Allergic vs nonallergic asthma: what makes the difference? </w:t>
      </w:r>
      <w:r w:rsidRPr="009378D4">
        <w:rPr>
          <w:rFonts w:eastAsia="Times New Roman"/>
          <w:i/>
          <w:iCs/>
          <w:noProof/>
        </w:rPr>
        <w:t>Allergy</w:t>
      </w:r>
      <w:r w:rsidRPr="009378D4">
        <w:rPr>
          <w:rFonts w:eastAsia="Times New Roman"/>
          <w:noProof/>
        </w:rPr>
        <w:t xml:space="preserve">, </w:t>
      </w:r>
      <w:r w:rsidRPr="009378D4">
        <w:rPr>
          <w:rFonts w:eastAsia="Times New Roman"/>
          <w:i/>
          <w:iCs/>
          <w:noProof/>
        </w:rPr>
        <w:t>57</w:t>
      </w:r>
      <w:r w:rsidRPr="009378D4">
        <w:rPr>
          <w:rFonts w:eastAsia="Times New Roman"/>
          <w:noProof/>
        </w:rPr>
        <w:t>(7), 607–13. Retrieved from http://www.ncbi.nlm.nih.gov/pubmed/12100301</w:t>
      </w:r>
    </w:p>
    <w:p w14:paraId="3EBA1B2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Rubin, B. K. (2014). Secretion properties, clearance, and therapy in airway disease. </w:t>
      </w:r>
      <w:r w:rsidRPr="009378D4">
        <w:rPr>
          <w:rFonts w:eastAsia="Times New Roman"/>
          <w:i/>
          <w:iCs/>
          <w:noProof/>
        </w:rPr>
        <w:t>Translational Respiratory Medicine</w:t>
      </w:r>
      <w:r w:rsidRPr="009378D4">
        <w:rPr>
          <w:rFonts w:eastAsia="Times New Roman"/>
          <w:noProof/>
        </w:rPr>
        <w:t xml:space="preserve">, </w:t>
      </w:r>
      <w:r w:rsidRPr="009378D4">
        <w:rPr>
          <w:rFonts w:eastAsia="Times New Roman"/>
          <w:i/>
          <w:iCs/>
          <w:noProof/>
        </w:rPr>
        <w:t>2</w:t>
      </w:r>
      <w:r w:rsidRPr="009378D4">
        <w:rPr>
          <w:rFonts w:eastAsia="Times New Roman"/>
          <w:noProof/>
        </w:rPr>
        <w:t>(1), 6. http://doi.org/10.1186/2213-0802-2-6</w:t>
      </w:r>
    </w:p>
    <w:p w14:paraId="04B04D7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Rutz, M., Metzger, J., Gellert, T., Luppa, P., Lipford, G. B., Wagner, H., &amp; Bauer, S. (2004). Toll-like receptor 9 binds single-stranded CpG-DNA in a sequence- and pH-dependent manner. </w:t>
      </w:r>
      <w:r w:rsidRPr="009378D4">
        <w:rPr>
          <w:rFonts w:eastAsia="Times New Roman"/>
          <w:i/>
          <w:iCs/>
          <w:noProof/>
        </w:rPr>
        <w:t>European Journal of Immunology</w:t>
      </w:r>
      <w:r w:rsidRPr="009378D4">
        <w:rPr>
          <w:rFonts w:eastAsia="Times New Roman"/>
          <w:noProof/>
        </w:rPr>
        <w:t xml:space="preserve">, </w:t>
      </w:r>
      <w:r w:rsidRPr="009378D4">
        <w:rPr>
          <w:rFonts w:eastAsia="Times New Roman"/>
          <w:i/>
          <w:iCs/>
          <w:noProof/>
        </w:rPr>
        <w:t>34</w:t>
      </w:r>
      <w:r w:rsidRPr="009378D4">
        <w:rPr>
          <w:rFonts w:eastAsia="Times New Roman"/>
          <w:noProof/>
        </w:rPr>
        <w:t>(9), 2541–50. http://doi.org/10.1002/eji.200425218</w:t>
      </w:r>
    </w:p>
    <w:p w14:paraId="7A98545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Sabin, L. R., Delás, M. J., &amp; Hannon, G. J. (2013). Dogma Derailed: The Many Influences of </w:t>
      </w:r>
      <w:r w:rsidRPr="009378D4">
        <w:rPr>
          <w:rFonts w:eastAsia="Times New Roman"/>
          <w:noProof/>
        </w:rPr>
        <w:lastRenderedPageBreak/>
        <w:t xml:space="preserve">RNA on the Genome. </w:t>
      </w:r>
      <w:r w:rsidRPr="009378D4">
        <w:rPr>
          <w:rFonts w:eastAsia="Times New Roman"/>
          <w:i/>
          <w:iCs/>
          <w:noProof/>
        </w:rPr>
        <w:t>Molecular Cell</w:t>
      </w:r>
      <w:r w:rsidRPr="009378D4">
        <w:rPr>
          <w:rFonts w:eastAsia="Times New Roman"/>
          <w:noProof/>
        </w:rPr>
        <w:t xml:space="preserve">, </w:t>
      </w:r>
      <w:r w:rsidRPr="009378D4">
        <w:rPr>
          <w:rFonts w:eastAsia="Times New Roman"/>
          <w:i/>
          <w:iCs/>
          <w:noProof/>
        </w:rPr>
        <w:t>49</w:t>
      </w:r>
      <w:r w:rsidRPr="009378D4">
        <w:rPr>
          <w:rFonts w:eastAsia="Times New Roman"/>
          <w:noProof/>
        </w:rPr>
        <w:t>(5), 783–794. http://doi.org/10.1016/j.molcel.2013.02.010</w:t>
      </w:r>
    </w:p>
    <w:p w14:paraId="40E9BCA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Salter, S. J., Cox, M. J., Turek, E. M., Calus, S. T., Cookson, W. O., Moffatt, M. F., … Walker, A. W. (2014). Reagent and laboratory contamination can critically impact sequence-based microbiome analyses. </w:t>
      </w:r>
      <w:r w:rsidRPr="009378D4">
        <w:rPr>
          <w:rFonts w:eastAsia="Times New Roman"/>
          <w:i/>
          <w:iCs/>
          <w:noProof/>
        </w:rPr>
        <w:t>BMC Biology</w:t>
      </w:r>
      <w:r w:rsidRPr="009378D4">
        <w:rPr>
          <w:rFonts w:eastAsia="Times New Roman"/>
          <w:noProof/>
        </w:rPr>
        <w:t xml:space="preserve">, </w:t>
      </w:r>
      <w:r w:rsidRPr="009378D4">
        <w:rPr>
          <w:rFonts w:eastAsia="Times New Roman"/>
          <w:i/>
          <w:iCs/>
          <w:noProof/>
        </w:rPr>
        <w:t>12</w:t>
      </w:r>
      <w:r w:rsidRPr="009378D4">
        <w:rPr>
          <w:rFonts w:eastAsia="Times New Roman"/>
          <w:noProof/>
        </w:rPr>
        <w:t>(1), 87. http://doi.org/10.1186/s12915-014-0087-z</w:t>
      </w:r>
    </w:p>
    <w:p w14:paraId="61F7C53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Sampey, G. C., Saifuddin, M., Schwab, A., Barclay, R., Punya, S., Chung, M.-C., … Kashanchi, F. (2016). Exosomes from HIV-1-infected Cells Stimulate Production of Pro-inflammatory Cytokines through Trans-activating Response (TAR) RNA. </w:t>
      </w:r>
      <w:r w:rsidRPr="009378D4">
        <w:rPr>
          <w:rFonts w:eastAsia="Times New Roman"/>
          <w:i/>
          <w:iCs/>
          <w:noProof/>
        </w:rPr>
        <w:t>The Journal of Biological Chemistry</w:t>
      </w:r>
      <w:r w:rsidRPr="009378D4">
        <w:rPr>
          <w:rFonts w:eastAsia="Times New Roman"/>
          <w:noProof/>
        </w:rPr>
        <w:t xml:space="preserve">, </w:t>
      </w:r>
      <w:r w:rsidRPr="009378D4">
        <w:rPr>
          <w:rFonts w:eastAsia="Times New Roman"/>
          <w:i/>
          <w:iCs/>
          <w:noProof/>
        </w:rPr>
        <w:t>291</w:t>
      </w:r>
      <w:r w:rsidRPr="009378D4">
        <w:rPr>
          <w:rFonts w:eastAsia="Times New Roman"/>
          <w:noProof/>
        </w:rPr>
        <w:t>(3), 1251–66. http://doi.org/10.1074/jbc.M115.662171</w:t>
      </w:r>
    </w:p>
    <w:p w14:paraId="7955815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Santos, R. D., Raal, F. J., Donovan, J. M., &amp; Cromwell, W. C. (2015). Mipomersen preferentially reduces small low-density lipoprotein particle number in patients with hypercholesterolemia. </w:t>
      </w:r>
      <w:r w:rsidRPr="009378D4">
        <w:rPr>
          <w:rFonts w:eastAsia="Times New Roman"/>
          <w:i/>
          <w:iCs/>
          <w:noProof/>
        </w:rPr>
        <w:t>Journal of Clinical Lipidology</w:t>
      </w:r>
      <w:r w:rsidRPr="009378D4">
        <w:rPr>
          <w:rFonts w:eastAsia="Times New Roman"/>
          <w:noProof/>
        </w:rPr>
        <w:t xml:space="preserve">, </w:t>
      </w:r>
      <w:r w:rsidRPr="009378D4">
        <w:rPr>
          <w:rFonts w:eastAsia="Times New Roman"/>
          <w:i/>
          <w:iCs/>
          <w:noProof/>
        </w:rPr>
        <w:t>9</w:t>
      </w:r>
      <w:r w:rsidRPr="009378D4">
        <w:rPr>
          <w:rFonts w:eastAsia="Times New Roman"/>
          <w:noProof/>
        </w:rPr>
        <w:t>(2), 201–209. http://doi.org/10.1016/j.jacl.2014.12.008</w:t>
      </w:r>
    </w:p>
    <w:p w14:paraId="604F761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Sarvestani, S. T., Stunden, H. J., Behlke, M. A., Forster, S. C., McCoy, C. E., Tate, M. D., … Gantier, M. P. (2015). Sequence-dependent off-target inhibition of TLR7/8 sensing by synthetic microRNA inhibitors.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43</w:t>
      </w:r>
      <w:r w:rsidRPr="009378D4">
        <w:rPr>
          <w:rFonts w:eastAsia="Times New Roman"/>
          <w:noProof/>
        </w:rPr>
        <w:t>(2), 1177–88. http://doi.org/10.1093/nar/gku1343</w:t>
      </w:r>
    </w:p>
    <w:p w14:paraId="6373277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Saturni, S., Contoli, M., Spanevello, A., &amp; Papi, A. (2015). Models of Respiratory Infections: Virus-Induced Asthma Exacerbations and Beyond. </w:t>
      </w:r>
      <w:r w:rsidRPr="009378D4">
        <w:rPr>
          <w:rFonts w:eastAsia="Times New Roman"/>
          <w:i/>
          <w:iCs/>
          <w:noProof/>
        </w:rPr>
        <w:t>Allergy, Asthma &amp; Immunology Research</w:t>
      </w:r>
      <w:r w:rsidRPr="009378D4">
        <w:rPr>
          <w:rFonts w:eastAsia="Times New Roman"/>
          <w:noProof/>
        </w:rPr>
        <w:t xml:space="preserve">, </w:t>
      </w:r>
      <w:r w:rsidRPr="009378D4">
        <w:rPr>
          <w:rFonts w:eastAsia="Times New Roman"/>
          <w:i/>
          <w:iCs/>
          <w:noProof/>
        </w:rPr>
        <w:t>7</w:t>
      </w:r>
      <w:r w:rsidRPr="009378D4">
        <w:rPr>
          <w:rFonts w:eastAsia="Times New Roman"/>
          <w:noProof/>
        </w:rPr>
        <w:t>(6), 525–33. http://doi.org/10.4168/aair.2015.7.6.525</w:t>
      </w:r>
    </w:p>
    <w:p w14:paraId="53BD5CB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Sazani, P., Gemignani, F., Kang, S.-H., Maier, M. A., Manoharan, M., Persmark, M., … Kole, R. (2002). Systemically delivered antisense oligomers upregulate gene expression </w:t>
      </w:r>
      <w:r w:rsidRPr="009378D4">
        <w:rPr>
          <w:rFonts w:eastAsia="Times New Roman"/>
          <w:noProof/>
        </w:rPr>
        <w:lastRenderedPageBreak/>
        <w:t xml:space="preserve">in mouse tissues. </w:t>
      </w:r>
      <w:r w:rsidRPr="009378D4">
        <w:rPr>
          <w:rFonts w:eastAsia="Times New Roman"/>
          <w:i/>
          <w:iCs/>
          <w:noProof/>
        </w:rPr>
        <w:t>Nature Biotechnology</w:t>
      </w:r>
      <w:r w:rsidRPr="009378D4">
        <w:rPr>
          <w:rFonts w:eastAsia="Times New Roman"/>
          <w:noProof/>
        </w:rPr>
        <w:t xml:space="preserve">, </w:t>
      </w:r>
      <w:r w:rsidRPr="009378D4">
        <w:rPr>
          <w:rFonts w:eastAsia="Times New Roman"/>
          <w:i/>
          <w:iCs/>
          <w:noProof/>
        </w:rPr>
        <w:t>20</w:t>
      </w:r>
      <w:r w:rsidRPr="009378D4">
        <w:rPr>
          <w:rFonts w:eastAsia="Times New Roman"/>
          <w:noProof/>
        </w:rPr>
        <w:t>(12), 1228–33. http://doi.org/10.1038/nbt759</w:t>
      </w:r>
    </w:p>
    <w:p w14:paraId="229AAE9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Schlee, M., Hornung, V., &amp; Hartmann, G. (2006). siRNA and isRNA: two edges of one sword. </w:t>
      </w:r>
      <w:r w:rsidRPr="009378D4">
        <w:rPr>
          <w:rFonts w:eastAsia="Times New Roman"/>
          <w:i/>
          <w:iCs/>
          <w:noProof/>
        </w:rPr>
        <w:t>Molecular Therapy : The Journal of the American Society of Gene Therapy</w:t>
      </w:r>
      <w:r w:rsidRPr="009378D4">
        <w:rPr>
          <w:rFonts w:eastAsia="Times New Roman"/>
          <w:noProof/>
        </w:rPr>
        <w:t xml:space="preserve">, </w:t>
      </w:r>
      <w:r w:rsidRPr="009378D4">
        <w:rPr>
          <w:rFonts w:eastAsia="Times New Roman"/>
          <w:i/>
          <w:iCs/>
          <w:noProof/>
        </w:rPr>
        <w:t>14</w:t>
      </w:r>
      <w:r w:rsidRPr="009378D4">
        <w:rPr>
          <w:rFonts w:eastAsia="Times New Roman"/>
          <w:noProof/>
        </w:rPr>
        <w:t>(4), 463–70. http://doi.org/10.1016/j.ymthe.2006.06.001</w:t>
      </w:r>
    </w:p>
    <w:p w14:paraId="23280BE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Schnall-Levin, M., Rissland, O. S., Johnston, W. K., Perrimon, N., Bartel, D. P., &amp; Berger, B. (2011). Unusually effective microRNA targeting within repeat-rich coding regions of mammalian mRNAs. </w:t>
      </w:r>
      <w:r w:rsidRPr="009378D4">
        <w:rPr>
          <w:rFonts w:eastAsia="Times New Roman"/>
          <w:i/>
          <w:iCs/>
          <w:noProof/>
        </w:rPr>
        <w:t>Genome Research</w:t>
      </w:r>
      <w:r w:rsidRPr="009378D4">
        <w:rPr>
          <w:rFonts w:eastAsia="Times New Roman"/>
          <w:noProof/>
        </w:rPr>
        <w:t xml:space="preserve">, </w:t>
      </w:r>
      <w:r w:rsidRPr="009378D4">
        <w:rPr>
          <w:rFonts w:eastAsia="Times New Roman"/>
          <w:i/>
          <w:iCs/>
          <w:noProof/>
        </w:rPr>
        <w:t>21</w:t>
      </w:r>
      <w:r w:rsidRPr="009378D4">
        <w:rPr>
          <w:rFonts w:eastAsia="Times New Roman"/>
          <w:noProof/>
        </w:rPr>
        <w:t>(9), 1395–403. http://doi.org/10.1101/gr.121210.111</w:t>
      </w:r>
    </w:p>
    <w:p w14:paraId="525E6AB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Schopman, N. C. T., ter Brake, O., &amp; Berkhout, B. (2010). Anticipating and blocking HIV-1 escape by second generation antiviral shRNAs. </w:t>
      </w:r>
      <w:r w:rsidRPr="009378D4">
        <w:rPr>
          <w:rFonts w:eastAsia="Times New Roman"/>
          <w:i/>
          <w:iCs/>
          <w:noProof/>
        </w:rPr>
        <w:t>Retrovirology</w:t>
      </w:r>
      <w:r w:rsidRPr="009378D4">
        <w:rPr>
          <w:rFonts w:eastAsia="Times New Roman"/>
          <w:noProof/>
        </w:rPr>
        <w:t xml:space="preserve">, </w:t>
      </w:r>
      <w:r w:rsidRPr="009378D4">
        <w:rPr>
          <w:rFonts w:eastAsia="Times New Roman"/>
          <w:i/>
          <w:iCs/>
          <w:noProof/>
        </w:rPr>
        <w:t>7</w:t>
      </w:r>
      <w:r w:rsidRPr="009378D4">
        <w:rPr>
          <w:rFonts w:eastAsia="Times New Roman"/>
          <w:noProof/>
        </w:rPr>
        <w:t>, 52. http://doi.org/10.1186/1742-4690-7-52</w:t>
      </w:r>
    </w:p>
    <w:p w14:paraId="0B311D1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Schraivogel, D., Schindler, S. G., Danner, J., Kremmer, E., Pfaff, J., Hannus, S., … Meister, G. (2015). Importin-β facilitates nuclear import of human GW proteins and balances cytoplasmic gene silencing protein levels.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43</w:t>
      </w:r>
      <w:r w:rsidRPr="009378D4">
        <w:rPr>
          <w:rFonts w:eastAsia="Times New Roman"/>
          <w:noProof/>
        </w:rPr>
        <w:t>(15), 7447–61. http://doi.org/10.1093/nar/gkv705</w:t>
      </w:r>
    </w:p>
    <w:p w14:paraId="7634D13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Schulte-Merker, S., &amp; Stainier, D. Y. R. (2014). Out with the old, in with the new: reassessing morpholino knockdowns in light of genome editing technology. </w:t>
      </w:r>
      <w:r w:rsidRPr="009378D4">
        <w:rPr>
          <w:rFonts w:eastAsia="Times New Roman"/>
          <w:i/>
          <w:iCs/>
          <w:noProof/>
        </w:rPr>
        <w:t>Development (Cambridge, England)</w:t>
      </w:r>
      <w:r w:rsidRPr="009378D4">
        <w:rPr>
          <w:rFonts w:eastAsia="Times New Roman"/>
          <w:noProof/>
        </w:rPr>
        <w:t xml:space="preserve">, </w:t>
      </w:r>
      <w:r w:rsidRPr="009378D4">
        <w:rPr>
          <w:rFonts w:eastAsia="Times New Roman"/>
          <w:i/>
          <w:iCs/>
          <w:noProof/>
        </w:rPr>
        <w:t>141</w:t>
      </w:r>
      <w:r w:rsidRPr="009378D4">
        <w:rPr>
          <w:rFonts w:eastAsia="Times New Roman"/>
          <w:noProof/>
        </w:rPr>
        <w:t>(16), 3103–4. http://doi.org/10.1242/dev.112003</w:t>
      </w:r>
    </w:p>
    <w:p w14:paraId="634A319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Schwartz, J. C., Younger, S. T., Nguyen, N.-B., Hardy, D. B., Monia, B. P., Corey, D. R., &amp; Janowski, B. A. (2008). Antisense transcripts are targets for activating small RNAs. </w:t>
      </w:r>
      <w:r w:rsidRPr="009378D4">
        <w:rPr>
          <w:rFonts w:eastAsia="Times New Roman"/>
          <w:i/>
          <w:iCs/>
          <w:noProof/>
        </w:rPr>
        <w:t>Nature Structural &amp; Molecular Biology</w:t>
      </w:r>
      <w:r w:rsidRPr="009378D4">
        <w:rPr>
          <w:rFonts w:eastAsia="Times New Roman"/>
          <w:noProof/>
        </w:rPr>
        <w:t xml:space="preserve">, </w:t>
      </w:r>
      <w:r w:rsidRPr="009378D4">
        <w:rPr>
          <w:rFonts w:eastAsia="Times New Roman"/>
          <w:i/>
          <w:iCs/>
          <w:noProof/>
        </w:rPr>
        <w:t>15</w:t>
      </w:r>
      <w:r w:rsidRPr="009378D4">
        <w:rPr>
          <w:rFonts w:eastAsia="Times New Roman"/>
          <w:noProof/>
        </w:rPr>
        <w:t>(8), 842–8. http://doi.org/10.1038/nsmb.1444</w:t>
      </w:r>
    </w:p>
    <w:p w14:paraId="305D8A8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Sedano, C. D., &amp; Sarnow, P. (2014). Hepatitis C virus subverts liver-specific miR-122 to protect the viral genome from exoribonuclease Xrn2. </w:t>
      </w:r>
      <w:r w:rsidRPr="009378D4">
        <w:rPr>
          <w:rFonts w:eastAsia="Times New Roman"/>
          <w:i/>
          <w:iCs/>
          <w:noProof/>
        </w:rPr>
        <w:t>Cell Host &amp; Microbe</w:t>
      </w:r>
      <w:r w:rsidRPr="009378D4">
        <w:rPr>
          <w:rFonts w:eastAsia="Times New Roman"/>
          <w:noProof/>
        </w:rPr>
        <w:t xml:space="preserve">, </w:t>
      </w:r>
      <w:r w:rsidRPr="009378D4">
        <w:rPr>
          <w:rFonts w:eastAsia="Times New Roman"/>
          <w:i/>
          <w:iCs/>
          <w:noProof/>
        </w:rPr>
        <w:t>16</w:t>
      </w:r>
      <w:r w:rsidRPr="009378D4">
        <w:rPr>
          <w:rFonts w:eastAsia="Times New Roman"/>
          <w:noProof/>
        </w:rPr>
        <w:t>(2), 257–</w:t>
      </w:r>
      <w:r w:rsidRPr="009378D4">
        <w:rPr>
          <w:rFonts w:eastAsia="Times New Roman"/>
          <w:noProof/>
        </w:rPr>
        <w:lastRenderedPageBreak/>
        <w:t>64. http://doi.org/10.1016/j.chom.2014.07.006</w:t>
      </w:r>
    </w:p>
    <w:p w14:paraId="0F9855F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Séguin, R. M., &amp; Ferrari, N. (2009). Emerging oligonucleotide therapies for asthma and chronic obstructive pulmonary disease. </w:t>
      </w:r>
      <w:r w:rsidRPr="009378D4">
        <w:rPr>
          <w:rFonts w:eastAsia="Times New Roman"/>
          <w:i/>
          <w:iCs/>
          <w:noProof/>
        </w:rPr>
        <w:t>Expert Opinion on Investigational Drugs</w:t>
      </w:r>
      <w:r w:rsidRPr="009378D4">
        <w:rPr>
          <w:rFonts w:eastAsia="Times New Roman"/>
          <w:noProof/>
        </w:rPr>
        <w:t xml:space="preserve">, </w:t>
      </w:r>
      <w:r w:rsidRPr="009378D4">
        <w:rPr>
          <w:rFonts w:eastAsia="Times New Roman"/>
          <w:i/>
          <w:iCs/>
          <w:noProof/>
        </w:rPr>
        <w:t>18</w:t>
      </w:r>
      <w:r w:rsidRPr="009378D4">
        <w:rPr>
          <w:rFonts w:eastAsia="Times New Roman"/>
          <w:noProof/>
        </w:rPr>
        <w:t>(10), 1505–17. http://doi.org/10.1517/13543780903179294</w:t>
      </w:r>
    </w:p>
    <w:p w14:paraId="6227381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Sehmi, R., Dorman, S., Baatjes, A., Watson, R., Foley, R., Ying, S., … Denburg, J. A. (2003). Allergen-induced fluctuation in CC chemokine receptor 3 expression on bone marrow CD34+ cells from asthmatic subjects: significance for mobilization of haemopoietic progenitor cells in allergic inflammation. </w:t>
      </w:r>
      <w:r w:rsidRPr="009378D4">
        <w:rPr>
          <w:rFonts w:eastAsia="Times New Roman"/>
          <w:i/>
          <w:iCs/>
          <w:noProof/>
        </w:rPr>
        <w:t>Immunology</w:t>
      </w:r>
      <w:r w:rsidRPr="009378D4">
        <w:rPr>
          <w:rFonts w:eastAsia="Times New Roman"/>
          <w:noProof/>
        </w:rPr>
        <w:t xml:space="preserve">, </w:t>
      </w:r>
      <w:r w:rsidRPr="009378D4">
        <w:rPr>
          <w:rFonts w:eastAsia="Times New Roman"/>
          <w:i/>
          <w:iCs/>
          <w:noProof/>
        </w:rPr>
        <w:t>109</w:t>
      </w:r>
      <w:r w:rsidRPr="009378D4">
        <w:rPr>
          <w:rFonts w:eastAsia="Times New Roman"/>
          <w:noProof/>
        </w:rPr>
        <w:t>(4), 536–46. Retrieved from http://www.pubmedcentral.nih.gov/articlerender.fcgi?artid=1782995&amp;tool=pmcentrez&amp;rendertype=abstract</w:t>
      </w:r>
    </w:p>
    <w:p w14:paraId="15A026F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Sehmi, R., Howie, K., Sutherland, D. R., Schragge, W., O’Byrne, P. M., &amp; Denburg, J. A. (1996). Increased levels of CD34+ hemopoietic progenitor cells in atopic subjects. </w:t>
      </w:r>
      <w:r w:rsidRPr="009378D4">
        <w:rPr>
          <w:rFonts w:eastAsia="Times New Roman"/>
          <w:i/>
          <w:iCs/>
          <w:noProof/>
        </w:rPr>
        <w:t>American Journal of Respiratory Cell and Molecular Biology</w:t>
      </w:r>
      <w:r w:rsidRPr="009378D4">
        <w:rPr>
          <w:rFonts w:eastAsia="Times New Roman"/>
          <w:noProof/>
        </w:rPr>
        <w:t xml:space="preserve">, </w:t>
      </w:r>
      <w:r w:rsidRPr="009378D4">
        <w:rPr>
          <w:rFonts w:eastAsia="Times New Roman"/>
          <w:i/>
          <w:iCs/>
          <w:noProof/>
        </w:rPr>
        <w:t>15</w:t>
      </w:r>
      <w:r w:rsidRPr="009378D4">
        <w:rPr>
          <w:rFonts w:eastAsia="Times New Roman"/>
          <w:noProof/>
        </w:rPr>
        <w:t>(5), 645–55. http://doi.org/10.1165/ajrcmb.15.5.8918371</w:t>
      </w:r>
    </w:p>
    <w:p w14:paraId="3C02E22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Sehmi, R., Wood, L. J., Watson, R., Foley, R., Hamid, Q., O’Byrne, P. M., &amp; Denburg, J. A. (1997). Allergen-induced increases in IL-5 receptor alpha-subunit expression on bone marrow-derived CD34+ cells from asthmatic subjects. A novel marker of progenitor cell commitment towards eosinophilic differentiation. </w:t>
      </w:r>
      <w:r w:rsidRPr="009378D4">
        <w:rPr>
          <w:rFonts w:eastAsia="Times New Roman"/>
          <w:i/>
          <w:iCs/>
          <w:noProof/>
        </w:rPr>
        <w:t>The Journal of Clinical Investigation</w:t>
      </w:r>
      <w:r w:rsidRPr="009378D4">
        <w:rPr>
          <w:rFonts w:eastAsia="Times New Roman"/>
          <w:noProof/>
        </w:rPr>
        <w:t xml:space="preserve">, </w:t>
      </w:r>
      <w:r w:rsidRPr="009378D4">
        <w:rPr>
          <w:rFonts w:eastAsia="Times New Roman"/>
          <w:i/>
          <w:iCs/>
          <w:noProof/>
        </w:rPr>
        <w:t>100</w:t>
      </w:r>
      <w:r w:rsidRPr="009378D4">
        <w:rPr>
          <w:rFonts w:eastAsia="Times New Roman"/>
          <w:noProof/>
        </w:rPr>
        <w:t>(10), 2466–75. http://doi.org/10.1172/JCI119789</w:t>
      </w:r>
    </w:p>
    <w:p w14:paraId="55AB2D5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Sender, V., &amp; Stamme, C. (2014). Lung cell-specific modulation of LPS-induced TLR4 receptor and adaptor localization. </w:t>
      </w:r>
      <w:r w:rsidRPr="009378D4">
        <w:rPr>
          <w:rFonts w:eastAsia="Times New Roman"/>
          <w:i/>
          <w:iCs/>
          <w:noProof/>
        </w:rPr>
        <w:t>Communicative &amp; Integrative Biology</w:t>
      </w:r>
      <w:r w:rsidRPr="009378D4">
        <w:rPr>
          <w:rFonts w:eastAsia="Times New Roman"/>
          <w:noProof/>
        </w:rPr>
        <w:t xml:space="preserve">, </w:t>
      </w:r>
      <w:r w:rsidRPr="009378D4">
        <w:rPr>
          <w:rFonts w:eastAsia="Times New Roman"/>
          <w:i/>
          <w:iCs/>
          <w:noProof/>
        </w:rPr>
        <w:t>7</w:t>
      </w:r>
      <w:r w:rsidRPr="009378D4">
        <w:rPr>
          <w:rFonts w:eastAsia="Times New Roman"/>
          <w:noProof/>
        </w:rPr>
        <w:t>, e29053. http://doi.org/10.4161/cib.29053</w:t>
      </w:r>
    </w:p>
    <w:p w14:paraId="22F7326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Seok, J., Warren, H. S., Cuenca, A. G., Mindrinos, M. N., Baker, H. V, Xu, W., … </w:t>
      </w:r>
      <w:r w:rsidRPr="009378D4">
        <w:rPr>
          <w:rFonts w:eastAsia="Times New Roman"/>
          <w:noProof/>
        </w:rPr>
        <w:lastRenderedPageBreak/>
        <w:t xml:space="preserve">Tompkins, R. G. (2013). Genomic responses in mouse models poorly mimic human inflammatory diseases.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110</w:t>
      </w:r>
      <w:r w:rsidRPr="009378D4">
        <w:rPr>
          <w:rFonts w:eastAsia="Times New Roman"/>
          <w:noProof/>
        </w:rPr>
        <w:t>(9), 3507–12. http://doi.org/10.1073/pnas.1222878110</w:t>
      </w:r>
    </w:p>
    <w:p w14:paraId="0055846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Sergejeva, S., Johansson, A.-K., Malmhäll, C., &amp; Lötvall, J. (2004). Allergen exposure-induced differences in CD34+ cell phenotype: relationship to eosinophilopoietic responses in different compartments. </w:t>
      </w:r>
      <w:r w:rsidRPr="009378D4">
        <w:rPr>
          <w:rFonts w:eastAsia="Times New Roman"/>
          <w:i/>
          <w:iCs/>
          <w:noProof/>
        </w:rPr>
        <w:t>Blood</w:t>
      </w:r>
      <w:r w:rsidRPr="009378D4">
        <w:rPr>
          <w:rFonts w:eastAsia="Times New Roman"/>
          <w:noProof/>
        </w:rPr>
        <w:t xml:space="preserve">, </w:t>
      </w:r>
      <w:r w:rsidRPr="009378D4">
        <w:rPr>
          <w:rFonts w:eastAsia="Times New Roman"/>
          <w:i/>
          <w:iCs/>
          <w:noProof/>
        </w:rPr>
        <w:t>103</w:t>
      </w:r>
      <w:r w:rsidRPr="009378D4">
        <w:rPr>
          <w:rFonts w:eastAsia="Times New Roman"/>
          <w:noProof/>
        </w:rPr>
        <w:t>(4), 1270–7. http://doi.org/10.1182/blood-2003-05-1618</w:t>
      </w:r>
    </w:p>
    <w:p w14:paraId="6BC5BF0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Seth, P. P., Siwkowski, A., Allerson, C. R., Vasquez, G., Lee, S., Prakash, T. P., … Swayze, E. E. (2009). Short antisense oligonucleotides with novel 2’-4' conformationaly restricted nucleoside analogues show improved potency without increased toxicity in animals. </w:t>
      </w:r>
      <w:r w:rsidRPr="009378D4">
        <w:rPr>
          <w:rFonts w:eastAsia="Times New Roman"/>
          <w:i/>
          <w:iCs/>
          <w:noProof/>
        </w:rPr>
        <w:t>Journal of Medicinal Chemistry</w:t>
      </w:r>
      <w:r w:rsidRPr="009378D4">
        <w:rPr>
          <w:rFonts w:eastAsia="Times New Roman"/>
          <w:noProof/>
        </w:rPr>
        <w:t xml:space="preserve">, </w:t>
      </w:r>
      <w:r w:rsidRPr="009378D4">
        <w:rPr>
          <w:rFonts w:eastAsia="Times New Roman"/>
          <w:i/>
          <w:iCs/>
          <w:noProof/>
        </w:rPr>
        <w:t>52</w:t>
      </w:r>
      <w:r w:rsidRPr="009378D4">
        <w:rPr>
          <w:rFonts w:eastAsia="Times New Roman"/>
          <w:noProof/>
        </w:rPr>
        <w:t>(1), 10–3. http://doi.org/10.1021/jm801294h</w:t>
      </w:r>
    </w:p>
    <w:p w14:paraId="1C3E7EA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Shepard, A. R., Jacobson, N., &amp; Clark, A. F. (2005). Importance of quantitative PCR primer location for short interfering RNA efficacy determination. </w:t>
      </w:r>
      <w:r w:rsidRPr="009378D4">
        <w:rPr>
          <w:rFonts w:eastAsia="Times New Roman"/>
          <w:i/>
          <w:iCs/>
          <w:noProof/>
        </w:rPr>
        <w:t>Analytical Biochemistry</w:t>
      </w:r>
      <w:r w:rsidRPr="009378D4">
        <w:rPr>
          <w:rFonts w:eastAsia="Times New Roman"/>
          <w:noProof/>
        </w:rPr>
        <w:t xml:space="preserve">, </w:t>
      </w:r>
      <w:r w:rsidRPr="009378D4">
        <w:rPr>
          <w:rFonts w:eastAsia="Times New Roman"/>
          <w:i/>
          <w:iCs/>
          <w:noProof/>
        </w:rPr>
        <w:t>344</w:t>
      </w:r>
      <w:r w:rsidRPr="009378D4">
        <w:rPr>
          <w:rFonts w:eastAsia="Times New Roman"/>
          <w:noProof/>
        </w:rPr>
        <w:t>(2), 287–8. http://doi.org/10.1016/j.ab.2005.06.005</w:t>
      </w:r>
    </w:p>
    <w:p w14:paraId="248DD8B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Shin, C., Nam, J.-W., Farh, K. K.-H., Chiang, H. R., Shkumatava, A., &amp; Bartel, D. P. (2010). Expanding the microRNA targeting code: functional sites with centered pairing. </w:t>
      </w:r>
      <w:r w:rsidRPr="009378D4">
        <w:rPr>
          <w:rFonts w:eastAsia="Times New Roman"/>
          <w:i/>
          <w:iCs/>
          <w:noProof/>
        </w:rPr>
        <w:t>Molecular Cell</w:t>
      </w:r>
      <w:r w:rsidRPr="009378D4">
        <w:rPr>
          <w:rFonts w:eastAsia="Times New Roman"/>
          <w:noProof/>
        </w:rPr>
        <w:t xml:space="preserve">, </w:t>
      </w:r>
      <w:r w:rsidRPr="009378D4">
        <w:rPr>
          <w:rFonts w:eastAsia="Times New Roman"/>
          <w:i/>
          <w:iCs/>
          <w:noProof/>
        </w:rPr>
        <w:t>38</w:t>
      </w:r>
      <w:r w:rsidRPr="009378D4">
        <w:rPr>
          <w:rFonts w:eastAsia="Times New Roman"/>
          <w:noProof/>
        </w:rPr>
        <w:t>(6), 789–802. http://doi.org/10.1016/j.molcel.2010.06.005</w:t>
      </w:r>
    </w:p>
    <w:p w14:paraId="70BF843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Shogren, R., Gerken, T. A., &amp; Jentoft, N. (1989). Role of glycosylation on the conformation and chain dimensions of O-linked glycoproteins: light-scattering studies of ovine submaxillary mucin. </w:t>
      </w:r>
      <w:r w:rsidRPr="009378D4">
        <w:rPr>
          <w:rFonts w:eastAsia="Times New Roman"/>
          <w:i/>
          <w:iCs/>
          <w:noProof/>
        </w:rPr>
        <w:t>Biochemistry</w:t>
      </w:r>
      <w:r w:rsidRPr="009378D4">
        <w:rPr>
          <w:rFonts w:eastAsia="Times New Roman"/>
          <w:noProof/>
        </w:rPr>
        <w:t xml:space="preserve">, </w:t>
      </w:r>
      <w:r w:rsidRPr="009378D4">
        <w:rPr>
          <w:rFonts w:eastAsia="Times New Roman"/>
          <w:i/>
          <w:iCs/>
          <w:noProof/>
        </w:rPr>
        <w:t>28</w:t>
      </w:r>
      <w:r w:rsidRPr="009378D4">
        <w:rPr>
          <w:rFonts w:eastAsia="Times New Roman"/>
          <w:noProof/>
        </w:rPr>
        <w:t>(13), 5525–36. Retrieved from http://www.ncbi.nlm.nih.gov/pubmed/2775721</w:t>
      </w:r>
    </w:p>
    <w:p w14:paraId="7E4165A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Singh, M., Mahajan, L., Chaudhary, N., Kaur, S., Madan, T., &amp; Sarma, P. U. (2015). Murine models of Aspergillosis: Role of collectins in host defense. </w:t>
      </w:r>
      <w:r w:rsidRPr="009378D4">
        <w:rPr>
          <w:rFonts w:eastAsia="Times New Roman"/>
          <w:i/>
          <w:iCs/>
          <w:noProof/>
        </w:rPr>
        <w:t xml:space="preserve">Indian Journal of </w:t>
      </w:r>
      <w:r w:rsidRPr="009378D4">
        <w:rPr>
          <w:rFonts w:eastAsia="Times New Roman"/>
          <w:i/>
          <w:iCs/>
          <w:noProof/>
        </w:rPr>
        <w:lastRenderedPageBreak/>
        <w:t>Experimental Biology</w:t>
      </w:r>
      <w:r w:rsidRPr="009378D4">
        <w:rPr>
          <w:rFonts w:eastAsia="Times New Roman"/>
          <w:noProof/>
        </w:rPr>
        <w:t xml:space="preserve">, </w:t>
      </w:r>
      <w:r w:rsidRPr="009378D4">
        <w:rPr>
          <w:rFonts w:eastAsia="Times New Roman"/>
          <w:i/>
          <w:iCs/>
          <w:noProof/>
        </w:rPr>
        <w:t>53</w:t>
      </w:r>
      <w:r w:rsidRPr="009378D4">
        <w:rPr>
          <w:rFonts w:eastAsia="Times New Roman"/>
          <w:noProof/>
        </w:rPr>
        <w:t>(11), 691–700. Retrieved from http://www.ncbi.nlm.nih.gov/pubmed/26669011</w:t>
      </w:r>
    </w:p>
    <w:p w14:paraId="2DE6F41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Sioud, M., Furset, G., &amp; Cekaite, L. (2007). Suppression of immunostimulatory siRNA-driven innate immune activation by 2’-modified RNAs. </w:t>
      </w:r>
      <w:r w:rsidRPr="009378D4">
        <w:rPr>
          <w:rFonts w:eastAsia="Times New Roman"/>
          <w:i/>
          <w:iCs/>
          <w:noProof/>
        </w:rPr>
        <w:t>Biochemical and Biophysical Research Communications</w:t>
      </w:r>
      <w:r w:rsidRPr="009378D4">
        <w:rPr>
          <w:rFonts w:eastAsia="Times New Roman"/>
          <w:noProof/>
        </w:rPr>
        <w:t xml:space="preserve">, </w:t>
      </w:r>
      <w:r w:rsidRPr="009378D4">
        <w:rPr>
          <w:rFonts w:eastAsia="Times New Roman"/>
          <w:i/>
          <w:iCs/>
          <w:noProof/>
        </w:rPr>
        <w:t>361</w:t>
      </w:r>
      <w:r w:rsidRPr="009378D4">
        <w:rPr>
          <w:rFonts w:eastAsia="Times New Roman"/>
          <w:noProof/>
        </w:rPr>
        <w:t>(1), 122–6. http://doi.org/10.1016/j.bbrc.2007.06.177</w:t>
      </w:r>
    </w:p>
    <w:p w14:paraId="102E160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Sipa, K., Sochacka, E., Kazmierczak-Baranska, J., Maszewska, M., Janicka, M., Nowak, G., &amp; Nawrot, B. (2007). Effect of base modifications on structure, thermodynamic stability, and gene silencing activity of short interfering RNA. </w:t>
      </w:r>
      <w:r w:rsidRPr="009378D4">
        <w:rPr>
          <w:rFonts w:eastAsia="Times New Roman"/>
          <w:i/>
          <w:iCs/>
          <w:noProof/>
        </w:rPr>
        <w:t>RNA (New York, N.Y.)</w:t>
      </w:r>
      <w:r w:rsidRPr="009378D4">
        <w:rPr>
          <w:rFonts w:eastAsia="Times New Roman"/>
          <w:noProof/>
        </w:rPr>
        <w:t xml:space="preserve">, </w:t>
      </w:r>
      <w:r w:rsidRPr="009378D4">
        <w:rPr>
          <w:rFonts w:eastAsia="Times New Roman"/>
          <w:i/>
          <w:iCs/>
          <w:noProof/>
        </w:rPr>
        <w:t>13</w:t>
      </w:r>
      <w:r w:rsidRPr="009378D4">
        <w:rPr>
          <w:rFonts w:eastAsia="Times New Roman"/>
          <w:noProof/>
        </w:rPr>
        <w:t>(8), 1301–16. http://doi.org/10.1261/rna.538907</w:t>
      </w:r>
    </w:p>
    <w:p w14:paraId="530EF86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Sledz, C. A., Holko, M., de Veer, M. J., Silverman, R. H., &amp; Williams, B. R. G. (2003). Activation of the interferon system by short-interfering RNAs. </w:t>
      </w:r>
      <w:r w:rsidRPr="009378D4">
        <w:rPr>
          <w:rFonts w:eastAsia="Times New Roman"/>
          <w:i/>
          <w:iCs/>
          <w:noProof/>
        </w:rPr>
        <w:t>Nature Cell Biology</w:t>
      </w:r>
      <w:r w:rsidRPr="009378D4">
        <w:rPr>
          <w:rFonts w:eastAsia="Times New Roman"/>
          <w:noProof/>
        </w:rPr>
        <w:t xml:space="preserve">, </w:t>
      </w:r>
      <w:r w:rsidRPr="009378D4">
        <w:rPr>
          <w:rFonts w:eastAsia="Times New Roman"/>
          <w:i/>
          <w:iCs/>
          <w:noProof/>
        </w:rPr>
        <w:t>5</w:t>
      </w:r>
      <w:r w:rsidRPr="009378D4">
        <w:rPr>
          <w:rFonts w:eastAsia="Times New Roman"/>
          <w:noProof/>
        </w:rPr>
        <w:t>(9), 834–9. http://doi.org/10.1038/ncb1038</w:t>
      </w:r>
    </w:p>
    <w:p w14:paraId="005D8C8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Song, R., Hennig, G. W., Wu, Q., Jose, C., Zheng, H., &amp; Yan, W. (2011). Male germ cells express abundant endogenous siRNAs.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108</w:t>
      </w:r>
      <w:r w:rsidRPr="009378D4">
        <w:rPr>
          <w:rFonts w:eastAsia="Times New Roman"/>
          <w:noProof/>
        </w:rPr>
        <w:t>(32), 13159–64. http://doi.org/10.1073/pnas.1108567108</w:t>
      </w:r>
    </w:p>
    <w:p w14:paraId="1FE4AE2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Sorefan, K., Pais, H., Hall, A. E., Kozomara, A., Griffiths-Jones, S., Moulton, V., &amp; Dalmay, T. (2012). Reducing ligation bias of small RNAs in libraries for next generation sequencing. </w:t>
      </w:r>
      <w:r w:rsidRPr="009378D4">
        <w:rPr>
          <w:rFonts w:eastAsia="Times New Roman"/>
          <w:i/>
          <w:iCs/>
          <w:noProof/>
        </w:rPr>
        <w:t>Silence</w:t>
      </w:r>
      <w:r w:rsidRPr="009378D4">
        <w:rPr>
          <w:rFonts w:eastAsia="Times New Roman"/>
          <w:noProof/>
        </w:rPr>
        <w:t xml:space="preserve">, </w:t>
      </w:r>
      <w:r w:rsidRPr="009378D4">
        <w:rPr>
          <w:rFonts w:eastAsia="Times New Roman"/>
          <w:i/>
          <w:iCs/>
          <w:noProof/>
        </w:rPr>
        <w:t>3</w:t>
      </w:r>
      <w:r w:rsidRPr="009378D4">
        <w:rPr>
          <w:rFonts w:eastAsia="Times New Roman"/>
          <w:noProof/>
        </w:rPr>
        <w:t>(1), 4. http://doi.org/10.1186/1758-907X-3-4</w:t>
      </w:r>
    </w:p>
    <w:p w14:paraId="22F8B30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Southam, D. S., Widmer, N., Ellis, R., Hirota, J. A., Inman, M. D., &amp; Sehmi, R. (2005). Increased eosinophil-lineage committed progenitors in the lung of allergen-challenged mice. </w:t>
      </w:r>
      <w:r w:rsidRPr="009378D4">
        <w:rPr>
          <w:rFonts w:eastAsia="Times New Roman"/>
          <w:i/>
          <w:iCs/>
          <w:noProof/>
        </w:rPr>
        <w:t>The Journal of Allergy and Clinical Immunology</w:t>
      </w:r>
      <w:r w:rsidRPr="009378D4">
        <w:rPr>
          <w:rFonts w:eastAsia="Times New Roman"/>
          <w:noProof/>
        </w:rPr>
        <w:t xml:space="preserve">, </w:t>
      </w:r>
      <w:r w:rsidRPr="009378D4">
        <w:rPr>
          <w:rFonts w:eastAsia="Times New Roman"/>
          <w:i/>
          <w:iCs/>
          <w:noProof/>
        </w:rPr>
        <w:t>115</w:t>
      </w:r>
      <w:r w:rsidRPr="009378D4">
        <w:rPr>
          <w:rFonts w:eastAsia="Times New Roman"/>
          <w:noProof/>
        </w:rPr>
        <w:t>(1), 95–102. http://doi.org/10.1016/j.jaci.2004.09.022</w:t>
      </w:r>
    </w:p>
    <w:p w14:paraId="39F80A2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Soutschek, J., Akinc, A., Bramlage, B., Charisse, K., Constien, R., Donoghue, M., … </w:t>
      </w:r>
      <w:r w:rsidRPr="009378D4">
        <w:rPr>
          <w:rFonts w:eastAsia="Times New Roman"/>
          <w:noProof/>
        </w:rPr>
        <w:lastRenderedPageBreak/>
        <w:t xml:space="preserve">Vornlocher, H.-P. (2004). Therapeutic silencing of an endogenous gene by systemic administration of modified siRNAs.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432</w:t>
      </w:r>
      <w:r w:rsidRPr="009378D4">
        <w:rPr>
          <w:rFonts w:eastAsia="Times New Roman"/>
          <w:noProof/>
        </w:rPr>
        <w:t>(7014), 173–8. http://doi.org/10.1038/nature03121</w:t>
      </w:r>
    </w:p>
    <w:p w14:paraId="7BA9428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Staton, A. A., &amp; Giraldez, A. J. (2011). Use of target protector morpholinos to analyze the physiological roles of specific miRNA-mRNA pairs in vivo. </w:t>
      </w:r>
      <w:r w:rsidRPr="009378D4">
        <w:rPr>
          <w:rFonts w:eastAsia="Times New Roman"/>
          <w:i/>
          <w:iCs/>
          <w:noProof/>
        </w:rPr>
        <w:t>Nature Protocols</w:t>
      </w:r>
      <w:r w:rsidRPr="009378D4">
        <w:rPr>
          <w:rFonts w:eastAsia="Times New Roman"/>
          <w:noProof/>
        </w:rPr>
        <w:t xml:space="preserve">, </w:t>
      </w:r>
      <w:r w:rsidRPr="009378D4">
        <w:rPr>
          <w:rFonts w:eastAsia="Times New Roman"/>
          <w:i/>
          <w:iCs/>
          <w:noProof/>
        </w:rPr>
        <w:t>6</w:t>
      </w:r>
      <w:r w:rsidRPr="009378D4">
        <w:rPr>
          <w:rFonts w:eastAsia="Times New Roman"/>
          <w:noProof/>
        </w:rPr>
        <w:t>(12), 2035–49. http://doi.org/10.1038/nprot.2011.423</w:t>
      </w:r>
    </w:p>
    <w:p w14:paraId="2769BA7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Stein, C. A., Hansen, J. B., Lai, J., Wu, S., Voskresenskiy, A., Høg, A., … Koch, T. (2010). Efficient gene silencing by delivery of locked nucleic acid antisense oligonucleotides, unassisted by transfection reagents.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38</w:t>
      </w:r>
      <w:r w:rsidRPr="009378D4">
        <w:rPr>
          <w:rFonts w:eastAsia="Times New Roman"/>
          <w:noProof/>
        </w:rPr>
        <w:t>(1), e3. http://doi.org/10.1093/nar/gkp841</w:t>
      </w:r>
    </w:p>
    <w:p w14:paraId="1E22378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Stone, D., Niyonzima, N., &amp; Jerome, K. R. (2016). Genome editing and the next generation of antiviral therapy. </w:t>
      </w:r>
      <w:r w:rsidRPr="009378D4">
        <w:rPr>
          <w:rFonts w:eastAsia="Times New Roman"/>
          <w:i/>
          <w:iCs/>
          <w:noProof/>
        </w:rPr>
        <w:t>Human Genetics</w:t>
      </w:r>
      <w:r w:rsidRPr="009378D4">
        <w:rPr>
          <w:rFonts w:eastAsia="Times New Roman"/>
          <w:noProof/>
        </w:rPr>
        <w:t>. http://doi.org/10.1007/s00439-016-1686-2</w:t>
      </w:r>
    </w:p>
    <w:p w14:paraId="21B8EB8B"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Straarup, E. M., Fisker, N., Hedtjärn, M., Lindholm, M. W., Rosenbohm, C., Aarup, V., … Koch, T. (2010). Short locked nucleic acid antisense oligonucleotides potently reduce apolipoprotein B mRNA and serum cholesterol in mice and non-human primates.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38</w:t>
      </w:r>
      <w:r w:rsidRPr="009378D4">
        <w:rPr>
          <w:rFonts w:eastAsia="Times New Roman"/>
          <w:noProof/>
        </w:rPr>
        <w:t>(20), 7100–11. http://doi.org/10.1093/nar/gkq457</w:t>
      </w:r>
    </w:p>
    <w:p w14:paraId="4E31017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Summerton, J. (1999). Morpholino antisense oligomers: the case for an RNase H-independent structural type. </w:t>
      </w:r>
      <w:r w:rsidRPr="009378D4">
        <w:rPr>
          <w:rFonts w:eastAsia="Times New Roman"/>
          <w:i/>
          <w:iCs/>
          <w:noProof/>
        </w:rPr>
        <w:t>Biochimica et Biophysica Acta (BBA) - Gene Structure and Expression</w:t>
      </w:r>
      <w:r w:rsidRPr="009378D4">
        <w:rPr>
          <w:rFonts w:eastAsia="Times New Roman"/>
          <w:noProof/>
        </w:rPr>
        <w:t xml:space="preserve">, </w:t>
      </w:r>
      <w:r w:rsidRPr="009378D4">
        <w:rPr>
          <w:rFonts w:eastAsia="Times New Roman"/>
          <w:i/>
          <w:iCs/>
          <w:noProof/>
        </w:rPr>
        <w:t>1489</w:t>
      </w:r>
      <w:r w:rsidRPr="009378D4">
        <w:rPr>
          <w:rFonts w:eastAsia="Times New Roman"/>
          <w:noProof/>
        </w:rPr>
        <w:t>(1), 141–158. http://doi.org/10.1016/S0167-4781(99)00150-5</w:t>
      </w:r>
    </w:p>
    <w:p w14:paraId="4913425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Summerton, J. E. (2007). Morpholino, siRNA, and S-DNA compared: impact of structure and mechanism of action on off-target effects and sequence specificity. </w:t>
      </w:r>
      <w:r w:rsidRPr="009378D4">
        <w:rPr>
          <w:rFonts w:eastAsia="Times New Roman"/>
          <w:i/>
          <w:iCs/>
          <w:noProof/>
        </w:rPr>
        <w:t>Current Topics in Medicinal Chemistry</w:t>
      </w:r>
      <w:r w:rsidRPr="009378D4">
        <w:rPr>
          <w:rFonts w:eastAsia="Times New Roman"/>
          <w:noProof/>
        </w:rPr>
        <w:t xml:space="preserve">, </w:t>
      </w:r>
      <w:r w:rsidRPr="009378D4">
        <w:rPr>
          <w:rFonts w:eastAsia="Times New Roman"/>
          <w:i/>
          <w:iCs/>
          <w:noProof/>
        </w:rPr>
        <w:t>7</w:t>
      </w:r>
      <w:r w:rsidRPr="009378D4">
        <w:rPr>
          <w:rFonts w:eastAsia="Times New Roman"/>
          <w:noProof/>
        </w:rPr>
        <w:t>(7), 651–60. Retrieved from http://www.ncbi.nlm.nih.gov/pubmed/17430206</w:t>
      </w:r>
    </w:p>
    <w:p w14:paraId="02E528A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Summerton, J., &amp; Weller, D. (1997). Morpholino Antisense Oligomers: Design, Preparation, </w:t>
      </w:r>
      <w:r w:rsidRPr="009378D4">
        <w:rPr>
          <w:rFonts w:eastAsia="Times New Roman"/>
          <w:noProof/>
        </w:rPr>
        <w:lastRenderedPageBreak/>
        <w:t xml:space="preserve">and Properties. </w:t>
      </w:r>
      <w:r w:rsidRPr="009378D4">
        <w:rPr>
          <w:rFonts w:eastAsia="Times New Roman"/>
          <w:i/>
          <w:iCs/>
          <w:noProof/>
        </w:rPr>
        <w:t>Antisense and Nucleic Acid Drug Development</w:t>
      </w:r>
      <w:r w:rsidRPr="009378D4">
        <w:rPr>
          <w:rFonts w:eastAsia="Times New Roman"/>
          <w:noProof/>
        </w:rPr>
        <w:t xml:space="preserve">, </w:t>
      </w:r>
      <w:r w:rsidRPr="009378D4">
        <w:rPr>
          <w:rFonts w:eastAsia="Times New Roman"/>
          <w:i/>
          <w:iCs/>
          <w:noProof/>
        </w:rPr>
        <w:t>7</w:t>
      </w:r>
      <w:r w:rsidRPr="009378D4">
        <w:rPr>
          <w:rFonts w:eastAsia="Times New Roman"/>
          <w:noProof/>
        </w:rPr>
        <w:t>(3), 187–195. http://doi.org/10.1089/oli.1.1997.7.187</w:t>
      </w:r>
    </w:p>
    <w:p w14:paraId="2C562E3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Sundaram, P., Kurniawan, H., Byrne, M. E., &amp; Wower, J. (2013). Therapeutic RNA aptamers in clinical trials. </w:t>
      </w:r>
      <w:r w:rsidRPr="009378D4">
        <w:rPr>
          <w:rFonts w:eastAsia="Times New Roman"/>
          <w:i/>
          <w:iCs/>
          <w:noProof/>
        </w:rPr>
        <w:t>European Journal of Pharmaceutical Sciences : Official Journal of the European Federation for Pharmaceutical Sciences</w:t>
      </w:r>
      <w:r w:rsidRPr="009378D4">
        <w:rPr>
          <w:rFonts w:eastAsia="Times New Roman"/>
          <w:noProof/>
        </w:rPr>
        <w:t xml:space="preserve">, </w:t>
      </w:r>
      <w:r w:rsidRPr="009378D4">
        <w:rPr>
          <w:rFonts w:eastAsia="Times New Roman"/>
          <w:i/>
          <w:iCs/>
          <w:noProof/>
        </w:rPr>
        <w:t>48</w:t>
      </w:r>
      <w:r w:rsidRPr="009378D4">
        <w:rPr>
          <w:rFonts w:eastAsia="Times New Roman"/>
          <w:noProof/>
        </w:rPr>
        <w:t>(1-2), 259–71. http://doi.org/10.1016/j.ejps.2012.10.014</w:t>
      </w:r>
    </w:p>
    <w:p w14:paraId="0138DF9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Tabernero, J., Shapiro, G. I., LoRusso, P. M., Cervantes, A., Schwartz, G. K., Weiss, G. J., … Burris, H. A. (2013). First-in-humans trial of an RNA interference therapeutic targeting VEGF and KSP in cancer patients with liver involvement. </w:t>
      </w:r>
      <w:r w:rsidRPr="009378D4">
        <w:rPr>
          <w:rFonts w:eastAsia="Times New Roman"/>
          <w:i/>
          <w:iCs/>
          <w:noProof/>
        </w:rPr>
        <w:t>Cancer Discovery</w:t>
      </w:r>
      <w:r w:rsidRPr="009378D4">
        <w:rPr>
          <w:rFonts w:eastAsia="Times New Roman"/>
          <w:noProof/>
        </w:rPr>
        <w:t xml:space="preserve">, </w:t>
      </w:r>
      <w:r w:rsidRPr="009378D4">
        <w:rPr>
          <w:rFonts w:eastAsia="Times New Roman"/>
          <w:i/>
          <w:iCs/>
          <w:noProof/>
        </w:rPr>
        <w:t>3</w:t>
      </w:r>
      <w:r w:rsidRPr="009378D4">
        <w:rPr>
          <w:rFonts w:eastAsia="Times New Roman"/>
          <w:noProof/>
        </w:rPr>
        <w:t>(4), 406–17. http://doi.org/10.1158/2159-8290.CD-12-0429</w:t>
      </w:r>
    </w:p>
    <w:p w14:paraId="7DE7416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Takao, K., &amp; Miyakawa, T. (2015). Genomic responses in mouse models greatly mimic human inflammatory diseases.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112</w:t>
      </w:r>
      <w:r w:rsidRPr="009378D4">
        <w:rPr>
          <w:rFonts w:eastAsia="Times New Roman"/>
          <w:noProof/>
        </w:rPr>
        <w:t>(4), 1167–72. http://doi.org/10.1073/pnas.1401965111</w:t>
      </w:r>
    </w:p>
    <w:p w14:paraId="2BC5158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Tam, O. H., Aravin, A. A., Stein, P., Girard, A., Murchison, E. P., Cheloufi, S., … Hannon, G. J. (2008). Pseudogene-derived small interfering RNAs regulate gene expression in mouse oocytes.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453</w:t>
      </w:r>
      <w:r w:rsidRPr="009378D4">
        <w:rPr>
          <w:rFonts w:eastAsia="Times New Roman"/>
          <w:noProof/>
        </w:rPr>
        <w:t>(7194), 534–8. http://doi.org/10.1038/nature06904</w:t>
      </w:r>
    </w:p>
    <w:p w14:paraId="42D81D9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Tang, R., Li, L., Zhu, D., Hou, D., Cao, T., Gu, H., … Zen, K. (2012). Mouse miRNA-709 directly regulates miRNA-15a/16-1 biogenesis at the posttranscriptional level in the nucleus: evidence for a microRNA hierarchy system. </w:t>
      </w:r>
      <w:r w:rsidRPr="009378D4">
        <w:rPr>
          <w:rFonts w:eastAsia="Times New Roman"/>
          <w:i/>
          <w:iCs/>
          <w:noProof/>
        </w:rPr>
        <w:t>Cell Research</w:t>
      </w:r>
      <w:r w:rsidRPr="009378D4">
        <w:rPr>
          <w:rFonts w:eastAsia="Times New Roman"/>
          <w:noProof/>
        </w:rPr>
        <w:t xml:space="preserve">, </w:t>
      </w:r>
      <w:r w:rsidRPr="009378D4">
        <w:rPr>
          <w:rFonts w:eastAsia="Times New Roman"/>
          <w:i/>
          <w:iCs/>
          <w:noProof/>
        </w:rPr>
        <w:t>22</w:t>
      </w:r>
      <w:r w:rsidRPr="009378D4">
        <w:rPr>
          <w:rFonts w:eastAsia="Times New Roman"/>
          <w:noProof/>
        </w:rPr>
        <w:t>(3), 504–15. http://doi.org/10.1038/cr.2011.137</w:t>
      </w:r>
    </w:p>
    <w:p w14:paraId="77F3BDC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Tanganyika-de Winter, C. L., Heemskerk, H., Karnaoukh, T. G., van Putten, M., de Kimpe, S. J., van Deutekom, J., &amp; Aartsma-Rus, A. (2012). Long-term Exon Skipping Studies With 2’-O-Methyl Phosphorothioate Antisense Oligonucleotides in Dystrophic Mouse Models. </w:t>
      </w:r>
      <w:r w:rsidRPr="009378D4">
        <w:rPr>
          <w:rFonts w:eastAsia="Times New Roman"/>
          <w:i/>
          <w:iCs/>
          <w:noProof/>
        </w:rPr>
        <w:t>Molecular Therapy. Nucleic Acids</w:t>
      </w:r>
      <w:r w:rsidRPr="009378D4">
        <w:rPr>
          <w:rFonts w:eastAsia="Times New Roman"/>
          <w:noProof/>
        </w:rPr>
        <w:t xml:space="preserve">, </w:t>
      </w:r>
      <w:r w:rsidRPr="009378D4">
        <w:rPr>
          <w:rFonts w:eastAsia="Times New Roman"/>
          <w:i/>
          <w:iCs/>
          <w:noProof/>
        </w:rPr>
        <w:t>1</w:t>
      </w:r>
      <w:r w:rsidRPr="009378D4">
        <w:rPr>
          <w:rFonts w:eastAsia="Times New Roman"/>
          <w:noProof/>
        </w:rPr>
        <w:t>, e44. http://doi.org/10.1038/mtna.2012.38</w:t>
      </w:r>
    </w:p>
    <w:p w14:paraId="5CC4ADF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lastRenderedPageBreak/>
        <w:t xml:space="preserve">Tay, Y., Zhang, J., Thomson, A. M., Lim, B., &amp; Rigoutsos, I. (2008). MicroRNAs to Nanog, Oct4 and Sox2 coding regions modulate embryonic stem cell differentiation.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455</w:t>
      </w:r>
      <w:r w:rsidRPr="009378D4">
        <w:rPr>
          <w:rFonts w:eastAsia="Times New Roman"/>
          <w:noProof/>
        </w:rPr>
        <w:t>(7216), 1124–8. http://doi.org/10.1038/nature07299</w:t>
      </w:r>
    </w:p>
    <w:p w14:paraId="0053F1B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Templin, M. V., Levin, A. A., Graham, M. J., Åberg, P. M., Axelsson, B. I., Butler, M., … Bennett, C. F. (2000). Pharmacokinetic and Toxicity Profile of a Phosphorothioate Oligonucleotide Following Inhalation Delivery to Lung in Mice. </w:t>
      </w:r>
      <w:r w:rsidRPr="009378D4">
        <w:rPr>
          <w:rFonts w:eastAsia="Times New Roman"/>
          <w:i/>
          <w:iCs/>
          <w:noProof/>
        </w:rPr>
        <w:t>Antisense and Nucleic Acid Drug Development</w:t>
      </w:r>
      <w:r w:rsidRPr="009378D4">
        <w:rPr>
          <w:rFonts w:eastAsia="Times New Roman"/>
          <w:noProof/>
        </w:rPr>
        <w:t xml:space="preserve">, </w:t>
      </w:r>
      <w:r w:rsidRPr="009378D4">
        <w:rPr>
          <w:rFonts w:eastAsia="Times New Roman"/>
          <w:i/>
          <w:iCs/>
          <w:noProof/>
        </w:rPr>
        <w:t>10</w:t>
      </w:r>
      <w:r w:rsidRPr="009378D4">
        <w:rPr>
          <w:rFonts w:eastAsia="Times New Roman"/>
          <w:noProof/>
        </w:rPr>
        <w:t>(5), 359–368. http://doi.org/10.1089/oli.1.2000.10.359</w:t>
      </w:r>
    </w:p>
    <w:p w14:paraId="2F6CF0C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Thibault, P. A., Huys, A., Amador-Cañizares, Y., Gailius, J. E., Pinel, D. E., &amp; Wilson, J. A. (2015). Regulation of Hepatitis C Virus Genome Replication by Xrn1 and MicroRNA-122 Binding to Individual Sites in the 5’ Untranslated Region. </w:t>
      </w:r>
      <w:r w:rsidRPr="009378D4">
        <w:rPr>
          <w:rFonts w:eastAsia="Times New Roman"/>
          <w:i/>
          <w:iCs/>
          <w:noProof/>
        </w:rPr>
        <w:t>Journal of Virology</w:t>
      </w:r>
      <w:r w:rsidRPr="009378D4">
        <w:rPr>
          <w:rFonts w:eastAsia="Times New Roman"/>
          <w:noProof/>
        </w:rPr>
        <w:t xml:space="preserve">, </w:t>
      </w:r>
      <w:r w:rsidRPr="009378D4">
        <w:rPr>
          <w:rFonts w:eastAsia="Times New Roman"/>
          <w:i/>
          <w:iCs/>
          <w:noProof/>
        </w:rPr>
        <w:t>89</w:t>
      </w:r>
      <w:r w:rsidRPr="009378D4">
        <w:rPr>
          <w:rFonts w:eastAsia="Times New Roman"/>
          <w:noProof/>
        </w:rPr>
        <w:t>(12), 6294–311. http://doi.org/10.1128/JVI.03631-14</w:t>
      </w:r>
    </w:p>
    <w:p w14:paraId="015D6FA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Tsitsiou, E., Williams, A. E., Moschos, S. A., Patel, K., Rossios, C., Jiang, X., … Lindsay, M. A. (2012). Transcriptome analysis shows activation of circulating CD8+ T cells in patients with severe asthma. </w:t>
      </w:r>
      <w:r w:rsidRPr="009378D4">
        <w:rPr>
          <w:rFonts w:eastAsia="Times New Roman"/>
          <w:i/>
          <w:iCs/>
          <w:noProof/>
        </w:rPr>
        <w:t>J Allergy Clin Immunol</w:t>
      </w:r>
      <w:r w:rsidRPr="009378D4">
        <w:rPr>
          <w:rFonts w:eastAsia="Times New Roman"/>
          <w:noProof/>
        </w:rPr>
        <w:t xml:space="preserve">, </w:t>
      </w:r>
      <w:r w:rsidRPr="009378D4">
        <w:rPr>
          <w:rFonts w:eastAsia="Times New Roman"/>
          <w:i/>
          <w:iCs/>
          <w:noProof/>
        </w:rPr>
        <w:t>129</w:t>
      </w:r>
      <w:r w:rsidRPr="009378D4">
        <w:rPr>
          <w:rFonts w:eastAsia="Times New Roman"/>
          <w:noProof/>
        </w:rPr>
        <w:t>(1), 95–103. http://doi.org/S0091-6749(11)01310-8 [pii]10.1016/j.jaci.2011.08.011</w:t>
      </w:r>
    </w:p>
    <w:p w14:paraId="78909FA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Turner, J. J., Jones, S. W., Moschos, S. A., Lindsay, M. A., &amp; Gait, M. J. (2007). MALDI-TOF mass spectral analysis of siRNA degradation in serum confirms an RNAse A-like activity. </w:t>
      </w:r>
      <w:r w:rsidRPr="009378D4">
        <w:rPr>
          <w:rFonts w:eastAsia="Times New Roman"/>
          <w:i/>
          <w:iCs/>
          <w:noProof/>
        </w:rPr>
        <w:t>Mol Biosyst</w:t>
      </w:r>
      <w:r w:rsidRPr="009378D4">
        <w:rPr>
          <w:rFonts w:eastAsia="Times New Roman"/>
          <w:noProof/>
        </w:rPr>
        <w:t xml:space="preserve">, </w:t>
      </w:r>
      <w:r w:rsidRPr="009378D4">
        <w:rPr>
          <w:rFonts w:eastAsia="Times New Roman"/>
          <w:i/>
          <w:iCs/>
          <w:noProof/>
        </w:rPr>
        <w:t>3</w:t>
      </w:r>
      <w:r w:rsidRPr="009378D4">
        <w:rPr>
          <w:rFonts w:eastAsia="Times New Roman"/>
          <w:noProof/>
        </w:rPr>
        <w:t>(1), 43–50. http://doi.org/10.1039/b611612d</w:t>
      </w:r>
    </w:p>
    <w:p w14:paraId="5F4A730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Uhlmann, E. (1998). Peptide nucleic acids (PNA) and PNA-DNA chimeras: from high binding affinity towards biological function. </w:t>
      </w:r>
      <w:r w:rsidRPr="009378D4">
        <w:rPr>
          <w:rFonts w:eastAsia="Times New Roman"/>
          <w:i/>
          <w:iCs/>
          <w:noProof/>
        </w:rPr>
        <w:t>Biological Chemistry</w:t>
      </w:r>
      <w:r w:rsidRPr="009378D4">
        <w:rPr>
          <w:rFonts w:eastAsia="Times New Roman"/>
          <w:noProof/>
        </w:rPr>
        <w:t xml:space="preserve">, </w:t>
      </w:r>
      <w:r w:rsidRPr="009378D4">
        <w:rPr>
          <w:rFonts w:eastAsia="Times New Roman"/>
          <w:i/>
          <w:iCs/>
          <w:noProof/>
        </w:rPr>
        <w:t>379</w:t>
      </w:r>
      <w:r w:rsidRPr="009378D4">
        <w:rPr>
          <w:rFonts w:eastAsia="Times New Roman"/>
          <w:noProof/>
        </w:rPr>
        <w:t>(8-9), 1045–52. Retrieved from http://www.ncbi.nlm.nih.gov/pubmed/9792437</w:t>
      </w:r>
    </w:p>
    <w:p w14:paraId="462CE94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Usmani, O. S. (2014). Small airways dysfunction in asthma: evaluation and management to improve asthma control. </w:t>
      </w:r>
      <w:r w:rsidRPr="009378D4">
        <w:rPr>
          <w:rFonts w:eastAsia="Times New Roman"/>
          <w:i/>
          <w:iCs/>
          <w:noProof/>
        </w:rPr>
        <w:t>Allergy, Asthma &amp; Immunology Research</w:t>
      </w:r>
      <w:r w:rsidRPr="009378D4">
        <w:rPr>
          <w:rFonts w:eastAsia="Times New Roman"/>
          <w:noProof/>
        </w:rPr>
        <w:t xml:space="preserve">, </w:t>
      </w:r>
      <w:r w:rsidRPr="009378D4">
        <w:rPr>
          <w:rFonts w:eastAsia="Times New Roman"/>
          <w:i/>
          <w:iCs/>
          <w:noProof/>
        </w:rPr>
        <w:t>6</w:t>
      </w:r>
      <w:r w:rsidRPr="009378D4">
        <w:rPr>
          <w:rFonts w:eastAsia="Times New Roman"/>
          <w:noProof/>
        </w:rPr>
        <w:t>(5), 376–88. http://doi.org/10.4168/aair.2014.6.5.376</w:t>
      </w:r>
    </w:p>
    <w:p w14:paraId="43FE390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lastRenderedPageBreak/>
        <w:t xml:space="preserve">Valoczi, A., Hornyik, C., Varga, N., Burgyan, J., Kauppinen, S., &amp; Havelda, Z. (2004). Sensitive and specific detection of microRNAs by northern blot analysis using LNA-modified oligonucleotide probes. </w:t>
      </w:r>
      <w:r w:rsidRPr="009378D4">
        <w:rPr>
          <w:rFonts w:eastAsia="Times New Roman"/>
          <w:i/>
          <w:iCs/>
          <w:noProof/>
        </w:rPr>
        <w:t>Nucleic Acids Res</w:t>
      </w:r>
      <w:r w:rsidRPr="009378D4">
        <w:rPr>
          <w:rFonts w:eastAsia="Times New Roman"/>
          <w:noProof/>
        </w:rPr>
        <w:t xml:space="preserve">, </w:t>
      </w:r>
      <w:r w:rsidRPr="009378D4">
        <w:rPr>
          <w:rFonts w:eastAsia="Times New Roman"/>
          <w:i/>
          <w:iCs/>
          <w:noProof/>
        </w:rPr>
        <w:t>32</w:t>
      </w:r>
      <w:r w:rsidRPr="009378D4">
        <w:rPr>
          <w:rFonts w:eastAsia="Times New Roman"/>
          <w:noProof/>
        </w:rPr>
        <w:t>(22), e175. http://doi.org/10.1093/nar/gnh171</w:t>
      </w:r>
    </w:p>
    <w:p w14:paraId="0ADEEBD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van de Wetering, J. K., van Remoortere, A., Vaandrager, A. B., Batenburg, J. J., van Golde, L. M. G., Hokke, C. H., &amp; van Hellemond, J. J. (2004). Surfactant protein D binding to terminal alpha1-3-linked fucose residues and to Schistosoma mansoni. </w:t>
      </w:r>
      <w:r w:rsidRPr="009378D4">
        <w:rPr>
          <w:rFonts w:eastAsia="Times New Roman"/>
          <w:i/>
          <w:iCs/>
          <w:noProof/>
        </w:rPr>
        <w:t>American Journal of Respiratory Cell and Molecular Biology</w:t>
      </w:r>
      <w:r w:rsidRPr="009378D4">
        <w:rPr>
          <w:rFonts w:eastAsia="Times New Roman"/>
          <w:noProof/>
        </w:rPr>
        <w:t xml:space="preserve">, </w:t>
      </w:r>
      <w:r w:rsidRPr="009378D4">
        <w:rPr>
          <w:rFonts w:eastAsia="Times New Roman"/>
          <w:i/>
          <w:iCs/>
          <w:noProof/>
        </w:rPr>
        <w:t>31</w:t>
      </w:r>
      <w:r w:rsidRPr="009378D4">
        <w:rPr>
          <w:rFonts w:eastAsia="Times New Roman"/>
          <w:noProof/>
        </w:rPr>
        <w:t>(5), 565–72. http://doi.org/10.1165/rcmb.2004-0105OC</w:t>
      </w:r>
    </w:p>
    <w:p w14:paraId="250B056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van der Ree, M. H., van der Meer, A. J., de Bruijne, J., Maan, R., van Vliet, A., Welzel, T. M., … Reesink, H. W. (2014). Long-term safety and efficacy of microRNA-targeted therapy in chronic hepatitis C patients. </w:t>
      </w:r>
      <w:r w:rsidRPr="009378D4">
        <w:rPr>
          <w:rFonts w:eastAsia="Times New Roman"/>
          <w:i/>
          <w:iCs/>
          <w:noProof/>
        </w:rPr>
        <w:t>Antiviral Research</w:t>
      </w:r>
      <w:r w:rsidRPr="009378D4">
        <w:rPr>
          <w:rFonts w:eastAsia="Times New Roman"/>
          <w:noProof/>
        </w:rPr>
        <w:t xml:space="preserve">, </w:t>
      </w:r>
      <w:r w:rsidRPr="009378D4">
        <w:rPr>
          <w:rFonts w:eastAsia="Times New Roman"/>
          <w:i/>
          <w:iCs/>
          <w:noProof/>
        </w:rPr>
        <w:t>111</w:t>
      </w:r>
      <w:r w:rsidRPr="009378D4">
        <w:rPr>
          <w:rFonts w:eastAsia="Times New Roman"/>
          <w:noProof/>
        </w:rPr>
        <w:t>, 53–9. http://doi.org/10.1016/j.antiviral.2014.08.015</w:t>
      </w:r>
    </w:p>
    <w:p w14:paraId="32DA256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van Deutekom, J. C., Janson, A. A., Ginjaar, I. B., Frankhuizen, W. S., Aartsma-Rus, A., Bremmer-Bout, M., … van Ommen, G.-J. B. (2007). Local dystrophin restoration with antisense oligonucleotide PRO051. </w:t>
      </w:r>
      <w:r w:rsidRPr="009378D4">
        <w:rPr>
          <w:rFonts w:eastAsia="Times New Roman"/>
          <w:i/>
          <w:iCs/>
          <w:noProof/>
        </w:rPr>
        <w:t>The New England Journal of Medicine</w:t>
      </w:r>
      <w:r w:rsidRPr="009378D4">
        <w:rPr>
          <w:rFonts w:eastAsia="Times New Roman"/>
          <w:noProof/>
        </w:rPr>
        <w:t xml:space="preserve">, </w:t>
      </w:r>
      <w:r w:rsidRPr="009378D4">
        <w:rPr>
          <w:rFonts w:eastAsia="Times New Roman"/>
          <w:i/>
          <w:iCs/>
          <w:noProof/>
        </w:rPr>
        <w:t>357</w:t>
      </w:r>
      <w:r w:rsidRPr="009378D4">
        <w:rPr>
          <w:rFonts w:eastAsia="Times New Roman"/>
          <w:noProof/>
        </w:rPr>
        <w:t>(26), 2677–86. http://doi.org/10.1056/NEJMoa073108</w:t>
      </w:r>
    </w:p>
    <w:p w14:paraId="75D94E4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van Dijk, E. L., Jaszczyszyn, Y., &amp; Thermes, C. (2014). Library preparation methods for next-generation sequencing: tone down the bias. </w:t>
      </w:r>
      <w:r w:rsidRPr="009378D4">
        <w:rPr>
          <w:rFonts w:eastAsia="Times New Roman"/>
          <w:i/>
          <w:iCs/>
          <w:noProof/>
        </w:rPr>
        <w:t>Experimental Cell Research</w:t>
      </w:r>
      <w:r w:rsidRPr="009378D4">
        <w:rPr>
          <w:rFonts w:eastAsia="Times New Roman"/>
          <w:noProof/>
        </w:rPr>
        <w:t xml:space="preserve">, </w:t>
      </w:r>
      <w:r w:rsidRPr="009378D4">
        <w:rPr>
          <w:rFonts w:eastAsia="Times New Roman"/>
          <w:i/>
          <w:iCs/>
          <w:noProof/>
        </w:rPr>
        <w:t>322</w:t>
      </w:r>
      <w:r w:rsidRPr="009378D4">
        <w:rPr>
          <w:rFonts w:eastAsia="Times New Roman"/>
          <w:noProof/>
        </w:rPr>
        <w:t>(1), 12–20. http://doi.org/10.1016/j.yexcr.2014.01.008</w:t>
      </w:r>
    </w:p>
    <w:p w14:paraId="2C9D220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Vattanasit, U., Navasumrit, P., Khadka, M. B., Kanitwithayanun, J., Promvijit, J., Autrup, H., &amp; Ruchirawat, M. (2014). Oxidative DNA damage and inflammatory responses in cultured human cells and in humans exposed to traffic-related particles. </w:t>
      </w:r>
      <w:r w:rsidRPr="009378D4">
        <w:rPr>
          <w:rFonts w:eastAsia="Times New Roman"/>
          <w:i/>
          <w:iCs/>
          <w:noProof/>
        </w:rPr>
        <w:t>International Journal of Hygiene and Environmental Health</w:t>
      </w:r>
      <w:r w:rsidRPr="009378D4">
        <w:rPr>
          <w:rFonts w:eastAsia="Times New Roman"/>
          <w:noProof/>
        </w:rPr>
        <w:t xml:space="preserve">, </w:t>
      </w:r>
      <w:r w:rsidRPr="009378D4">
        <w:rPr>
          <w:rFonts w:eastAsia="Times New Roman"/>
          <w:i/>
          <w:iCs/>
          <w:noProof/>
        </w:rPr>
        <w:t>217</w:t>
      </w:r>
      <w:r w:rsidRPr="009378D4">
        <w:rPr>
          <w:rFonts w:eastAsia="Times New Roman"/>
          <w:noProof/>
        </w:rPr>
        <w:t xml:space="preserve">(1), 23–33. </w:t>
      </w:r>
      <w:r w:rsidRPr="009378D4">
        <w:rPr>
          <w:rFonts w:eastAsia="Times New Roman"/>
          <w:noProof/>
        </w:rPr>
        <w:lastRenderedPageBreak/>
        <w:t>http://doi.org/10.1016/j.ijheh.2013.03.002</w:t>
      </w:r>
    </w:p>
    <w:p w14:paraId="232E785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Veldhoen, S., Laufer, S. D., &amp; Restle, T. (2008). Recent developments in peptide-based nucleic acid delivery. </w:t>
      </w:r>
      <w:r w:rsidRPr="009378D4">
        <w:rPr>
          <w:rFonts w:eastAsia="Times New Roman"/>
          <w:i/>
          <w:iCs/>
          <w:noProof/>
        </w:rPr>
        <w:t>International Journal of Molecular Sciences</w:t>
      </w:r>
      <w:r w:rsidRPr="009378D4">
        <w:rPr>
          <w:rFonts w:eastAsia="Times New Roman"/>
          <w:noProof/>
        </w:rPr>
        <w:t xml:space="preserve">, </w:t>
      </w:r>
      <w:r w:rsidRPr="009378D4">
        <w:rPr>
          <w:rFonts w:eastAsia="Times New Roman"/>
          <w:i/>
          <w:iCs/>
          <w:noProof/>
        </w:rPr>
        <w:t>9</w:t>
      </w:r>
      <w:r w:rsidRPr="009378D4">
        <w:rPr>
          <w:rFonts w:eastAsia="Times New Roman"/>
          <w:noProof/>
        </w:rPr>
        <w:t>(7), 1276–320. http://doi.org/10.3390/ijms9071276</w:t>
      </w:r>
    </w:p>
    <w:p w14:paraId="48CADA9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Vickers, T. A., &amp; Crooke, S. T. (2015). The rates of the major steps in the molecular mechanism of RNase H1-dependent antisense oligonucleotide induced degradation of RNA.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43</w:t>
      </w:r>
      <w:r w:rsidRPr="009378D4">
        <w:rPr>
          <w:rFonts w:eastAsia="Times New Roman"/>
          <w:noProof/>
        </w:rPr>
        <w:t>(18), 8955–63. http://doi.org/10.1093/nar/gkv920</w:t>
      </w:r>
    </w:p>
    <w:p w14:paraId="29300BC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Warren, T. K., Warfield, K. L., Wells, J., Swenson, D. L., Donner, K. S., Van Tongeren, S. A., … Bavari, S. (2010). Advanced antisense therapies for postexposure protection against lethal filovirus infections. </w:t>
      </w:r>
      <w:r w:rsidRPr="009378D4">
        <w:rPr>
          <w:rFonts w:eastAsia="Times New Roman"/>
          <w:i/>
          <w:iCs/>
          <w:noProof/>
        </w:rPr>
        <w:t>Nature Medicine</w:t>
      </w:r>
      <w:r w:rsidRPr="009378D4">
        <w:rPr>
          <w:rFonts w:eastAsia="Times New Roman"/>
          <w:noProof/>
        </w:rPr>
        <w:t xml:space="preserve">, </w:t>
      </w:r>
      <w:r w:rsidRPr="009378D4">
        <w:rPr>
          <w:rFonts w:eastAsia="Times New Roman"/>
          <w:i/>
          <w:iCs/>
          <w:noProof/>
        </w:rPr>
        <w:t>16</w:t>
      </w:r>
      <w:r w:rsidRPr="009378D4">
        <w:rPr>
          <w:rFonts w:eastAsia="Times New Roman"/>
          <w:noProof/>
        </w:rPr>
        <w:t>(9), 991–4. http://doi.org/10.1038/nm.2202</w:t>
      </w:r>
    </w:p>
    <w:p w14:paraId="333F902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Warren, T. K., Whitehouse, C. A., Wells, J., Welch, L., Heald, A. E., Charleston, J. S., … Bavari, S. (2015). A single phosphorodiamidate morpholino oligomer targeting VP24 protects rhesus monkeys against lethal Ebola virus infection. </w:t>
      </w:r>
      <w:r w:rsidRPr="009378D4">
        <w:rPr>
          <w:rFonts w:eastAsia="Times New Roman"/>
          <w:i/>
          <w:iCs/>
          <w:noProof/>
        </w:rPr>
        <w:t>mBio</w:t>
      </w:r>
      <w:r w:rsidRPr="009378D4">
        <w:rPr>
          <w:rFonts w:eastAsia="Times New Roman"/>
          <w:noProof/>
        </w:rPr>
        <w:t xml:space="preserve">, </w:t>
      </w:r>
      <w:r w:rsidRPr="009378D4">
        <w:rPr>
          <w:rFonts w:eastAsia="Times New Roman"/>
          <w:i/>
          <w:iCs/>
          <w:noProof/>
        </w:rPr>
        <w:t>6</w:t>
      </w:r>
      <w:r w:rsidRPr="009378D4">
        <w:rPr>
          <w:rFonts w:eastAsia="Times New Roman"/>
          <w:noProof/>
        </w:rPr>
        <w:t>(1). http://doi.org/10.1128/mBio.02344-14</w:t>
      </w:r>
    </w:p>
    <w:p w14:paraId="2889117D"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Watanabe, T. A., Geary, R. S., &amp; Levin, A. A. (2006). Plasma protein binding of an antisense oligonucleotide targeting human ICAM-1 (ISIS 2302). </w:t>
      </w:r>
      <w:r w:rsidRPr="009378D4">
        <w:rPr>
          <w:rFonts w:eastAsia="Times New Roman"/>
          <w:i/>
          <w:iCs/>
          <w:noProof/>
        </w:rPr>
        <w:t>Oligonucleotides</w:t>
      </w:r>
      <w:r w:rsidRPr="009378D4">
        <w:rPr>
          <w:rFonts w:eastAsia="Times New Roman"/>
          <w:noProof/>
        </w:rPr>
        <w:t xml:space="preserve">, </w:t>
      </w:r>
      <w:r w:rsidRPr="009378D4">
        <w:rPr>
          <w:rFonts w:eastAsia="Times New Roman"/>
          <w:i/>
          <w:iCs/>
          <w:noProof/>
        </w:rPr>
        <w:t>16</w:t>
      </w:r>
      <w:r w:rsidRPr="009378D4">
        <w:rPr>
          <w:rFonts w:eastAsia="Times New Roman"/>
          <w:noProof/>
        </w:rPr>
        <w:t>(2), 169–80. http://doi.org/10.1089/oli.2006.16.169</w:t>
      </w:r>
    </w:p>
    <w:p w14:paraId="2D70B78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Watanabe, T., Totoki, Y., Toyoda, A., Kaneda, M., Kuramochi-Miyagawa, S., Obata, Y., … Sasaki, H. (2008). Endogenous siRNAs from naturally formed dsRNAs regulate transcripts in mouse oocytes. </w:t>
      </w:r>
      <w:r w:rsidRPr="009378D4">
        <w:rPr>
          <w:rFonts w:eastAsia="Times New Roman"/>
          <w:i/>
          <w:iCs/>
          <w:noProof/>
        </w:rPr>
        <w:t>Nature</w:t>
      </w:r>
      <w:r w:rsidRPr="009378D4">
        <w:rPr>
          <w:rFonts w:eastAsia="Times New Roman"/>
          <w:noProof/>
        </w:rPr>
        <w:t xml:space="preserve">, </w:t>
      </w:r>
      <w:r w:rsidRPr="009378D4">
        <w:rPr>
          <w:rFonts w:eastAsia="Times New Roman"/>
          <w:i/>
          <w:iCs/>
          <w:noProof/>
        </w:rPr>
        <w:t>453</w:t>
      </w:r>
      <w:r w:rsidRPr="009378D4">
        <w:rPr>
          <w:rFonts w:eastAsia="Times New Roman"/>
          <w:noProof/>
        </w:rPr>
        <w:t>(7194), 539–43. http://doi.org/10.1038/nature06908</w:t>
      </w:r>
    </w:p>
    <w:p w14:paraId="583DD56A"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Wei, W., Ba, Z., Gao, M., Wu, Y., Ma, Y., Amiard, S., … Qi, Y. (2012). A role for small RNAs in DNA double-strand break repair. </w:t>
      </w:r>
      <w:r w:rsidRPr="009378D4">
        <w:rPr>
          <w:rFonts w:eastAsia="Times New Roman"/>
          <w:i/>
          <w:iCs/>
          <w:noProof/>
        </w:rPr>
        <w:t>Cell</w:t>
      </w:r>
      <w:r w:rsidRPr="009378D4">
        <w:rPr>
          <w:rFonts w:eastAsia="Times New Roman"/>
          <w:noProof/>
        </w:rPr>
        <w:t xml:space="preserve">, </w:t>
      </w:r>
      <w:r w:rsidRPr="009378D4">
        <w:rPr>
          <w:rFonts w:eastAsia="Times New Roman"/>
          <w:i/>
          <w:iCs/>
          <w:noProof/>
        </w:rPr>
        <w:t>149</w:t>
      </w:r>
      <w:r w:rsidRPr="009378D4">
        <w:rPr>
          <w:rFonts w:eastAsia="Times New Roman"/>
          <w:noProof/>
        </w:rPr>
        <w:t xml:space="preserve">(1), 101–12. </w:t>
      </w:r>
      <w:r w:rsidRPr="009378D4">
        <w:rPr>
          <w:rFonts w:eastAsia="Times New Roman"/>
          <w:noProof/>
        </w:rPr>
        <w:lastRenderedPageBreak/>
        <w:t>http://doi.org/10.1016/j.cell.2012.03.002</w:t>
      </w:r>
    </w:p>
    <w:p w14:paraId="57312AC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Weinmann, L., Höck, J., Ivacevic, T., Ohrt, T., Mütze, J., Schwille, P., … Meister, G. (2009). Importin 8 is a gene silencing factor that targets argonaute proteins to distinct mRNAs. </w:t>
      </w:r>
      <w:r w:rsidRPr="009378D4">
        <w:rPr>
          <w:rFonts w:eastAsia="Times New Roman"/>
          <w:i/>
          <w:iCs/>
          <w:noProof/>
        </w:rPr>
        <w:t>Cell</w:t>
      </w:r>
      <w:r w:rsidRPr="009378D4">
        <w:rPr>
          <w:rFonts w:eastAsia="Times New Roman"/>
          <w:noProof/>
        </w:rPr>
        <w:t xml:space="preserve">, </w:t>
      </w:r>
      <w:r w:rsidRPr="009378D4">
        <w:rPr>
          <w:rFonts w:eastAsia="Times New Roman"/>
          <w:i/>
          <w:iCs/>
          <w:noProof/>
        </w:rPr>
        <w:t>136</w:t>
      </w:r>
      <w:r w:rsidRPr="009378D4">
        <w:rPr>
          <w:rFonts w:eastAsia="Times New Roman"/>
          <w:noProof/>
        </w:rPr>
        <w:t>(3), 496–507. http://doi.org/10.1016/j.cell.2008.12.023</w:t>
      </w:r>
    </w:p>
    <w:p w14:paraId="144239D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Wengel, J. (1999). Synthesis of 3‘- C - and 4‘- C -Branched Oligodeoxynucleotides and the Development of Locked Nucleic Acid (LNA). </w:t>
      </w:r>
      <w:r w:rsidRPr="009378D4">
        <w:rPr>
          <w:rFonts w:eastAsia="Times New Roman"/>
          <w:i/>
          <w:iCs/>
          <w:noProof/>
        </w:rPr>
        <w:t>Accounts of Chemical Research</w:t>
      </w:r>
      <w:r w:rsidRPr="009378D4">
        <w:rPr>
          <w:rFonts w:eastAsia="Times New Roman"/>
          <w:noProof/>
        </w:rPr>
        <w:t xml:space="preserve">, </w:t>
      </w:r>
      <w:r w:rsidRPr="009378D4">
        <w:rPr>
          <w:rFonts w:eastAsia="Times New Roman"/>
          <w:i/>
          <w:iCs/>
          <w:noProof/>
        </w:rPr>
        <w:t>32</w:t>
      </w:r>
      <w:r w:rsidRPr="009378D4">
        <w:rPr>
          <w:rFonts w:eastAsia="Times New Roman"/>
          <w:noProof/>
        </w:rPr>
        <w:t>(4), 301–310. http://doi.org/10.1021/ar980051p</w:t>
      </w:r>
    </w:p>
    <w:p w14:paraId="4BB2572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Wenzel, S. E. (2006). Asthma: defining of the persistent adult phenotypes. </w:t>
      </w:r>
      <w:r w:rsidRPr="009378D4">
        <w:rPr>
          <w:rFonts w:eastAsia="Times New Roman"/>
          <w:i/>
          <w:iCs/>
          <w:noProof/>
        </w:rPr>
        <w:t>Lancet (London, England)</w:t>
      </w:r>
      <w:r w:rsidRPr="009378D4">
        <w:rPr>
          <w:rFonts w:eastAsia="Times New Roman"/>
          <w:noProof/>
        </w:rPr>
        <w:t xml:space="preserve">, </w:t>
      </w:r>
      <w:r w:rsidRPr="009378D4">
        <w:rPr>
          <w:rFonts w:eastAsia="Times New Roman"/>
          <w:i/>
          <w:iCs/>
          <w:noProof/>
        </w:rPr>
        <w:t>368</w:t>
      </w:r>
      <w:r w:rsidRPr="009378D4">
        <w:rPr>
          <w:rFonts w:eastAsia="Times New Roman"/>
          <w:noProof/>
        </w:rPr>
        <w:t>(9537), 804–13. http://doi.org/10.1016/S0140-6736(06)69290-8</w:t>
      </w:r>
    </w:p>
    <w:p w14:paraId="13C76AA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Werner, A., Cockell, S., Falconer, J., Carlile, M., Alnumeir, S., &amp; Robinson, J. (2014). Contribution of natural antisense transcription to an endogenous siRNA signature in human cells. </w:t>
      </w:r>
      <w:r w:rsidRPr="009378D4">
        <w:rPr>
          <w:rFonts w:eastAsia="Times New Roman"/>
          <w:i/>
          <w:iCs/>
          <w:noProof/>
        </w:rPr>
        <w:t>BMC Genomics</w:t>
      </w:r>
      <w:r w:rsidRPr="009378D4">
        <w:rPr>
          <w:rFonts w:eastAsia="Times New Roman"/>
          <w:noProof/>
        </w:rPr>
        <w:t xml:space="preserve">, </w:t>
      </w:r>
      <w:r w:rsidRPr="009378D4">
        <w:rPr>
          <w:rFonts w:eastAsia="Times New Roman"/>
          <w:i/>
          <w:iCs/>
          <w:noProof/>
        </w:rPr>
        <w:t>15</w:t>
      </w:r>
      <w:r w:rsidRPr="009378D4">
        <w:rPr>
          <w:rFonts w:eastAsia="Times New Roman"/>
          <w:noProof/>
        </w:rPr>
        <w:t>, 19. http://doi.org/10.1186/1471-2164-15-19</w:t>
      </w:r>
    </w:p>
    <w:p w14:paraId="6452AA68"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Wesolowski, D., Alonso, D., &amp; Altman, S. (2013). Combined effect of a peptide-morpholino oligonucleotide conjugate and a cell-penetrating peptide as an antibiotic. </w:t>
      </w:r>
      <w:r w:rsidRPr="009378D4">
        <w:rPr>
          <w:rFonts w:eastAsia="Times New Roman"/>
          <w:i/>
          <w:iCs/>
          <w:noProof/>
        </w:rPr>
        <w:t>Proceedings of the National Academy of Sciences of the United States of America</w:t>
      </w:r>
      <w:r w:rsidRPr="009378D4">
        <w:rPr>
          <w:rFonts w:eastAsia="Times New Roman"/>
          <w:noProof/>
        </w:rPr>
        <w:t xml:space="preserve">, </w:t>
      </w:r>
      <w:r w:rsidRPr="009378D4">
        <w:rPr>
          <w:rFonts w:eastAsia="Times New Roman"/>
          <w:i/>
          <w:iCs/>
          <w:noProof/>
        </w:rPr>
        <w:t>110</w:t>
      </w:r>
      <w:r w:rsidRPr="009378D4">
        <w:rPr>
          <w:rFonts w:eastAsia="Times New Roman"/>
          <w:noProof/>
        </w:rPr>
        <w:t>(21), 8686–9. http://doi.org/10.1073/pnas.1306911110</w:t>
      </w:r>
    </w:p>
    <w:p w14:paraId="526044A7"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Whitsett, J. A. (2010). Review: The intersection of surfactant homeostasis and innate host defense of the lung: lessons from newborn infants. </w:t>
      </w:r>
      <w:r w:rsidRPr="009378D4">
        <w:rPr>
          <w:rFonts w:eastAsia="Times New Roman"/>
          <w:i/>
          <w:iCs/>
          <w:noProof/>
        </w:rPr>
        <w:t>Innate Immunity</w:t>
      </w:r>
      <w:r w:rsidRPr="009378D4">
        <w:rPr>
          <w:rFonts w:eastAsia="Times New Roman"/>
          <w:noProof/>
        </w:rPr>
        <w:t xml:space="preserve">, </w:t>
      </w:r>
      <w:r w:rsidRPr="009378D4">
        <w:rPr>
          <w:rFonts w:eastAsia="Times New Roman"/>
          <w:i/>
          <w:iCs/>
          <w:noProof/>
        </w:rPr>
        <w:t>16</w:t>
      </w:r>
      <w:r w:rsidRPr="009378D4">
        <w:rPr>
          <w:rFonts w:eastAsia="Times New Roman"/>
          <w:noProof/>
        </w:rPr>
        <w:t>(3), 138–42. http://doi.org/10.1177/1753425910366879</w:t>
      </w:r>
    </w:p>
    <w:p w14:paraId="5236919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Whitsett, J. A., Wert, S. E., &amp; Weaver, T. E. (2015). Diseases of pulmonary surfactant homeostasis. </w:t>
      </w:r>
      <w:r w:rsidRPr="009378D4">
        <w:rPr>
          <w:rFonts w:eastAsia="Times New Roman"/>
          <w:i/>
          <w:iCs/>
          <w:noProof/>
        </w:rPr>
        <w:t>Annual Review of Pathology</w:t>
      </w:r>
      <w:r w:rsidRPr="009378D4">
        <w:rPr>
          <w:rFonts w:eastAsia="Times New Roman"/>
          <w:noProof/>
        </w:rPr>
        <w:t xml:space="preserve">, </w:t>
      </w:r>
      <w:r w:rsidRPr="009378D4">
        <w:rPr>
          <w:rFonts w:eastAsia="Times New Roman"/>
          <w:i/>
          <w:iCs/>
          <w:noProof/>
        </w:rPr>
        <w:t>10</w:t>
      </w:r>
      <w:r w:rsidRPr="009378D4">
        <w:rPr>
          <w:rFonts w:eastAsia="Times New Roman"/>
          <w:noProof/>
        </w:rPr>
        <w:t>, 371–93. http://doi.org/10.1146/annurev-pathol-012513-104644</w:t>
      </w:r>
    </w:p>
    <w:p w14:paraId="127BF5F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Williams, K., &amp; Roman, J. (2015). Studying human respiratory disease in animals - Role of </w:t>
      </w:r>
      <w:r w:rsidRPr="009378D4">
        <w:rPr>
          <w:rFonts w:eastAsia="Times New Roman"/>
          <w:noProof/>
        </w:rPr>
        <w:lastRenderedPageBreak/>
        <w:t xml:space="preserve">induced and naturally-occurring models. </w:t>
      </w:r>
      <w:r w:rsidRPr="009378D4">
        <w:rPr>
          <w:rFonts w:eastAsia="Times New Roman"/>
          <w:i/>
          <w:iCs/>
          <w:noProof/>
        </w:rPr>
        <w:t>The Journal of Pathology</w:t>
      </w:r>
      <w:r w:rsidRPr="009378D4">
        <w:rPr>
          <w:rFonts w:eastAsia="Times New Roman"/>
          <w:noProof/>
        </w:rPr>
        <w:t xml:space="preserve">, </w:t>
      </w:r>
      <w:r w:rsidRPr="009378D4">
        <w:rPr>
          <w:rFonts w:eastAsia="Times New Roman"/>
          <w:i/>
          <w:iCs/>
          <w:noProof/>
        </w:rPr>
        <w:t>238</w:t>
      </w:r>
      <w:r w:rsidRPr="009378D4">
        <w:rPr>
          <w:rFonts w:eastAsia="Times New Roman"/>
          <w:noProof/>
        </w:rPr>
        <w:t>(2), 220–32. http://doi.org/10.1002/path.4658</w:t>
      </w:r>
    </w:p>
    <w:p w14:paraId="3896FF36"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Wolfrum, C., Shi, S., Jayaprakash, K. N., Jayaraman, M., Wang, G., Pandey, R. K., … Stoffel, M. (2007). Mechanisms and optimization of in vivo delivery of lipophilic siRNAs. </w:t>
      </w:r>
      <w:r w:rsidRPr="009378D4">
        <w:rPr>
          <w:rFonts w:eastAsia="Times New Roman"/>
          <w:i/>
          <w:iCs/>
          <w:noProof/>
        </w:rPr>
        <w:t>Nature Biotechnology</w:t>
      </w:r>
      <w:r w:rsidRPr="009378D4">
        <w:rPr>
          <w:rFonts w:eastAsia="Times New Roman"/>
          <w:noProof/>
        </w:rPr>
        <w:t xml:space="preserve">, </w:t>
      </w:r>
      <w:r w:rsidRPr="009378D4">
        <w:rPr>
          <w:rFonts w:eastAsia="Times New Roman"/>
          <w:i/>
          <w:iCs/>
          <w:noProof/>
        </w:rPr>
        <w:t>25</w:t>
      </w:r>
      <w:r w:rsidRPr="009378D4">
        <w:rPr>
          <w:rFonts w:eastAsia="Times New Roman"/>
          <w:noProof/>
        </w:rPr>
        <w:t>(10), 1149–57. http://doi.org/10.1038/nbt1339</w:t>
      </w:r>
    </w:p>
    <w:p w14:paraId="13C97A3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Wright, P. F., Ikizler, M. R., Gonzales, R. A., Carroll, K. N., Johnson, J. E., &amp; Werkhaven, J. A. (2005). Growth of respiratory syncytial virus in primary epithelial cells from the human respiratory tract. </w:t>
      </w:r>
      <w:r w:rsidRPr="009378D4">
        <w:rPr>
          <w:rFonts w:eastAsia="Times New Roman"/>
          <w:i/>
          <w:iCs/>
          <w:noProof/>
        </w:rPr>
        <w:t>Journal of Virology</w:t>
      </w:r>
      <w:r w:rsidRPr="009378D4">
        <w:rPr>
          <w:rFonts w:eastAsia="Times New Roman"/>
          <w:noProof/>
        </w:rPr>
        <w:t xml:space="preserve">, </w:t>
      </w:r>
      <w:r w:rsidRPr="009378D4">
        <w:rPr>
          <w:rFonts w:eastAsia="Times New Roman"/>
          <w:i/>
          <w:iCs/>
          <w:noProof/>
        </w:rPr>
        <w:t>79</w:t>
      </w:r>
      <w:r w:rsidRPr="009378D4">
        <w:rPr>
          <w:rFonts w:eastAsia="Times New Roman"/>
          <w:noProof/>
        </w:rPr>
        <w:t>(13), 8651–4. http://doi.org/10.1128/JVI.79.13.8651-8654.2005</w:t>
      </w:r>
    </w:p>
    <w:p w14:paraId="33630B71"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Wu, B., Lu, P., Benrashid, E., Malik, S., Ashar, J., Doran, T. J., &amp; Lu, Q. L. (2010). Dose-dependent restoration of dystrophin expression in cardiac muscle of dystrophic mice by systemically delivered morpholino. </w:t>
      </w:r>
      <w:r w:rsidRPr="009378D4">
        <w:rPr>
          <w:rFonts w:eastAsia="Times New Roman"/>
          <w:i/>
          <w:iCs/>
          <w:noProof/>
        </w:rPr>
        <w:t>Gene Therapy</w:t>
      </w:r>
      <w:r w:rsidRPr="009378D4">
        <w:rPr>
          <w:rFonts w:eastAsia="Times New Roman"/>
          <w:noProof/>
        </w:rPr>
        <w:t xml:space="preserve">, </w:t>
      </w:r>
      <w:r w:rsidRPr="009378D4">
        <w:rPr>
          <w:rFonts w:eastAsia="Times New Roman"/>
          <w:i/>
          <w:iCs/>
          <w:noProof/>
        </w:rPr>
        <w:t>17</w:t>
      </w:r>
      <w:r w:rsidRPr="009378D4">
        <w:rPr>
          <w:rFonts w:eastAsia="Times New Roman"/>
          <w:noProof/>
        </w:rPr>
        <w:t>(1), 132–40. http://doi.org/10.1038/gt.2009.120</w:t>
      </w:r>
    </w:p>
    <w:p w14:paraId="79BAB80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Wu, H., Lima, W. F., &amp; Crooke, S. T. (1999). Properties of cloned and expressed human RNase H1. </w:t>
      </w:r>
      <w:r w:rsidRPr="009378D4">
        <w:rPr>
          <w:rFonts w:eastAsia="Times New Roman"/>
          <w:i/>
          <w:iCs/>
          <w:noProof/>
        </w:rPr>
        <w:t>The Journal of Biological Chemistry</w:t>
      </w:r>
      <w:r w:rsidRPr="009378D4">
        <w:rPr>
          <w:rFonts w:eastAsia="Times New Roman"/>
          <w:noProof/>
        </w:rPr>
        <w:t xml:space="preserve">, </w:t>
      </w:r>
      <w:r w:rsidRPr="009378D4">
        <w:rPr>
          <w:rFonts w:eastAsia="Times New Roman"/>
          <w:i/>
          <w:iCs/>
          <w:noProof/>
        </w:rPr>
        <w:t>274</w:t>
      </w:r>
      <w:r w:rsidRPr="009378D4">
        <w:rPr>
          <w:rFonts w:eastAsia="Times New Roman"/>
          <w:noProof/>
        </w:rPr>
        <w:t>(40), 28270–8. Retrieved from http://www.ncbi.nlm.nih.gov/pubmed/10497183</w:t>
      </w:r>
    </w:p>
    <w:p w14:paraId="0B31E2EC"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Xaubet, A., Ancochea, J., Bollo, E., Fernández-Fabrellas, E., Franquet, T., Molina-Molina, M., … Serrano-Mollar, A. (2013). Guidelines for the Diagnosis and Treatment of Idiopathic Pulmonary Fibrosis. </w:t>
      </w:r>
      <w:r w:rsidRPr="009378D4">
        <w:rPr>
          <w:rFonts w:eastAsia="Times New Roman"/>
          <w:i/>
          <w:iCs/>
          <w:noProof/>
        </w:rPr>
        <w:t>Archivos de Bronconeumología (English Edition)</w:t>
      </w:r>
      <w:r w:rsidRPr="009378D4">
        <w:rPr>
          <w:rFonts w:eastAsia="Times New Roman"/>
          <w:noProof/>
        </w:rPr>
        <w:t xml:space="preserve">, </w:t>
      </w:r>
      <w:r w:rsidRPr="009378D4">
        <w:rPr>
          <w:rFonts w:eastAsia="Times New Roman"/>
          <w:i/>
          <w:iCs/>
          <w:noProof/>
        </w:rPr>
        <w:t>49</w:t>
      </w:r>
      <w:r w:rsidRPr="009378D4">
        <w:rPr>
          <w:rFonts w:eastAsia="Times New Roman"/>
          <w:noProof/>
        </w:rPr>
        <w:t>(8), 343–353. http://doi.org/10.1016/j.arbr.2013.06.003</w:t>
      </w:r>
    </w:p>
    <w:p w14:paraId="13DB223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Yamakawa, N., Okuyama, K., Ogata, J., Kanai, A., Helwak, A., Takamatsu, M., … Kotani, A. (2014). Novel functional small RNAs are selectively loaded onto mammalian Ago1.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42</w:t>
      </w:r>
      <w:r w:rsidRPr="009378D4">
        <w:rPr>
          <w:rFonts w:eastAsia="Times New Roman"/>
          <w:noProof/>
        </w:rPr>
        <w:t>(8), 5289–301. http://doi.org/10.1093/nar/gku137</w:t>
      </w:r>
    </w:p>
    <w:p w14:paraId="58BC97CF"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Yang, T. Y., &amp; Jeong, S. (2013). Grouped False-Discovery Rate for Removing the Gene-Set-</w:t>
      </w:r>
      <w:r w:rsidRPr="009378D4">
        <w:rPr>
          <w:rFonts w:eastAsia="Times New Roman"/>
          <w:noProof/>
        </w:rPr>
        <w:lastRenderedPageBreak/>
        <w:t xml:space="preserve">Level Bias of RNA-seq. </w:t>
      </w:r>
      <w:r w:rsidRPr="009378D4">
        <w:rPr>
          <w:rFonts w:eastAsia="Times New Roman"/>
          <w:i/>
          <w:iCs/>
          <w:noProof/>
        </w:rPr>
        <w:t>Evolutionary Bioinformatics Online</w:t>
      </w:r>
      <w:r w:rsidRPr="009378D4">
        <w:rPr>
          <w:rFonts w:eastAsia="Times New Roman"/>
          <w:noProof/>
        </w:rPr>
        <w:t xml:space="preserve">, </w:t>
      </w:r>
      <w:r w:rsidRPr="009378D4">
        <w:rPr>
          <w:rFonts w:eastAsia="Times New Roman"/>
          <w:i/>
          <w:iCs/>
          <w:noProof/>
        </w:rPr>
        <w:t>9</w:t>
      </w:r>
      <w:r w:rsidRPr="009378D4">
        <w:rPr>
          <w:rFonts w:eastAsia="Times New Roman"/>
          <w:noProof/>
        </w:rPr>
        <w:t>, 467–78. http://doi.org/10.4137/EBO.S13099</w:t>
      </w:r>
    </w:p>
    <w:p w14:paraId="5618B56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Younger, S. T., &amp; Corey, D. R. (2011). Transcriptional gene silencing in mammalian cells by miRNA mimics that target gene promoters. </w:t>
      </w:r>
      <w:r w:rsidRPr="009378D4">
        <w:rPr>
          <w:rFonts w:eastAsia="Times New Roman"/>
          <w:i/>
          <w:iCs/>
          <w:noProof/>
        </w:rPr>
        <w:t>Nucleic Acids Research</w:t>
      </w:r>
      <w:r w:rsidRPr="009378D4">
        <w:rPr>
          <w:rFonts w:eastAsia="Times New Roman"/>
          <w:noProof/>
        </w:rPr>
        <w:t xml:space="preserve">, </w:t>
      </w:r>
      <w:r w:rsidRPr="009378D4">
        <w:rPr>
          <w:rFonts w:eastAsia="Times New Roman"/>
          <w:i/>
          <w:iCs/>
          <w:noProof/>
        </w:rPr>
        <w:t>39</w:t>
      </w:r>
      <w:r w:rsidRPr="009378D4">
        <w:rPr>
          <w:rFonts w:eastAsia="Times New Roman"/>
          <w:noProof/>
        </w:rPr>
        <w:t>(13), 5682–91. http://doi.org/10.1093/nar/gkr155</w:t>
      </w:r>
    </w:p>
    <w:p w14:paraId="0CF3AB5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Zamora, M. R., Budev, M., Rolfe, M., Gottlieb, J., Humar, A., Devincenzo, J., … Glanville, A. R. (2011a). RNA interference therapy in lung transplant patients infected with respiratory syncytial virus. </w:t>
      </w:r>
      <w:r w:rsidRPr="009378D4">
        <w:rPr>
          <w:rFonts w:eastAsia="Times New Roman"/>
          <w:i/>
          <w:iCs/>
          <w:noProof/>
        </w:rPr>
        <w:t>American Journal of Respiratory and Critical Care Medicine</w:t>
      </w:r>
      <w:r w:rsidRPr="009378D4">
        <w:rPr>
          <w:rFonts w:eastAsia="Times New Roman"/>
          <w:noProof/>
        </w:rPr>
        <w:t xml:space="preserve">, </w:t>
      </w:r>
      <w:r w:rsidRPr="009378D4">
        <w:rPr>
          <w:rFonts w:eastAsia="Times New Roman"/>
          <w:i/>
          <w:iCs/>
          <w:noProof/>
        </w:rPr>
        <w:t>183</w:t>
      </w:r>
      <w:r w:rsidRPr="009378D4">
        <w:rPr>
          <w:rFonts w:eastAsia="Times New Roman"/>
          <w:noProof/>
        </w:rPr>
        <w:t>(4), 531–8. http://doi.org/10.1164/rccm.201003-0422OC</w:t>
      </w:r>
    </w:p>
    <w:p w14:paraId="7B005B80"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Zamora, M. R., Budev, M., Rolfe, M., Gottlieb, J., Humar, A., Devincenzo, J., … Glanville, A. R. (2011b). RNA interference therapy in lung transplant patients infected with respiratory syncytial virus. </w:t>
      </w:r>
      <w:r w:rsidRPr="009378D4">
        <w:rPr>
          <w:rFonts w:eastAsia="Times New Roman"/>
          <w:i/>
          <w:iCs/>
          <w:noProof/>
        </w:rPr>
        <w:t>American Journal of Respiratory and Critical Care Medicine</w:t>
      </w:r>
      <w:r w:rsidRPr="009378D4">
        <w:rPr>
          <w:rFonts w:eastAsia="Times New Roman"/>
          <w:noProof/>
        </w:rPr>
        <w:t xml:space="preserve">, </w:t>
      </w:r>
      <w:r w:rsidRPr="009378D4">
        <w:rPr>
          <w:rFonts w:eastAsia="Times New Roman"/>
          <w:i/>
          <w:iCs/>
          <w:noProof/>
        </w:rPr>
        <w:t>183</w:t>
      </w:r>
      <w:r w:rsidRPr="009378D4">
        <w:rPr>
          <w:rFonts w:eastAsia="Times New Roman"/>
          <w:noProof/>
        </w:rPr>
        <w:t>(4), 531–8. http://doi.org/10.1164/rccm.201003-0422OC</w:t>
      </w:r>
    </w:p>
    <w:p w14:paraId="57C34139"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Zardo, G., Ciolfi, A., Vian, L., Billi, M., Racanicchi, S., Grignani, F., &amp; Nervi, C. (2012). Transcriptional targeting by microRNA-polycomb complexes: a novel route in cell fate determination. </w:t>
      </w:r>
      <w:r w:rsidRPr="009378D4">
        <w:rPr>
          <w:rFonts w:eastAsia="Times New Roman"/>
          <w:i/>
          <w:iCs/>
          <w:noProof/>
        </w:rPr>
        <w:t>Cell Cycle (Georgetown, Tex.)</w:t>
      </w:r>
      <w:r w:rsidRPr="009378D4">
        <w:rPr>
          <w:rFonts w:eastAsia="Times New Roman"/>
          <w:noProof/>
        </w:rPr>
        <w:t xml:space="preserve">, </w:t>
      </w:r>
      <w:r w:rsidRPr="009378D4">
        <w:rPr>
          <w:rFonts w:eastAsia="Times New Roman"/>
          <w:i/>
          <w:iCs/>
          <w:noProof/>
        </w:rPr>
        <w:t>11</w:t>
      </w:r>
      <w:r w:rsidRPr="009378D4">
        <w:rPr>
          <w:rFonts w:eastAsia="Times New Roman"/>
          <w:noProof/>
        </w:rPr>
        <w:t>(19), 3543–9. http://doi.org/10.4161/cc.21468</w:t>
      </w:r>
    </w:p>
    <w:p w14:paraId="78AA0E22"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Zasłona, Z., Przybranowski, S., Wilke, C., van Rooijen, N., Teitz-Tennenbaum, S., Osterholzer, J. J., … Peters-Golden, M. (2014). Resident alveolar macrophages suppress, whereas recruited monocytes promote, allergic lung inflammation in murine models of asthma. </w:t>
      </w:r>
      <w:r w:rsidRPr="009378D4">
        <w:rPr>
          <w:rFonts w:eastAsia="Times New Roman"/>
          <w:i/>
          <w:iCs/>
          <w:noProof/>
        </w:rPr>
        <w:t>Journal of Immunology (Baltimore, Md. : 1950)</w:t>
      </w:r>
      <w:r w:rsidRPr="009378D4">
        <w:rPr>
          <w:rFonts w:eastAsia="Times New Roman"/>
          <w:noProof/>
        </w:rPr>
        <w:t xml:space="preserve">, </w:t>
      </w:r>
      <w:r w:rsidRPr="009378D4">
        <w:rPr>
          <w:rFonts w:eastAsia="Times New Roman"/>
          <w:i/>
          <w:iCs/>
          <w:noProof/>
        </w:rPr>
        <w:t>193</w:t>
      </w:r>
      <w:r w:rsidRPr="009378D4">
        <w:rPr>
          <w:rFonts w:eastAsia="Times New Roman"/>
          <w:noProof/>
        </w:rPr>
        <w:t>(8), 4245–53. http://doi.org/10.4049/jimmunol.1400580</w:t>
      </w:r>
    </w:p>
    <w:p w14:paraId="2EED13CE"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Zhang, X., Shan, P., Jiang, D., Noble, P. W., Abraham, N. G., Kappas, A., &amp; Lee, P. J. (2004). Small interfering RNA targeting heme oxygenase-1 enhances ischemia-</w:t>
      </w:r>
      <w:r w:rsidRPr="009378D4">
        <w:rPr>
          <w:rFonts w:eastAsia="Times New Roman"/>
          <w:noProof/>
        </w:rPr>
        <w:lastRenderedPageBreak/>
        <w:t xml:space="preserve">reperfusion-induced lung apoptosis. </w:t>
      </w:r>
      <w:r w:rsidRPr="009378D4">
        <w:rPr>
          <w:rFonts w:eastAsia="Times New Roman"/>
          <w:i/>
          <w:iCs/>
          <w:noProof/>
        </w:rPr>
        <w:t>The Journal of Biological Chemistry</w:t>
      </w:r>
      <w:r w:rsidRPr="009378D4">
        <w:rPr>
          <w:rFonts w:eastAsia="Times New Roman"/>
          <w:noProof/>
        </w:rPr>
        <w:t xml:space="preserve">, </w:t>
      </w:r>
      <w:r w:rsidRPr="009378D4">
        <w:rPr>
          <w:rFonts w:eastAsia="Times New Roman"/>
          <w:i/>
          <w:iCs/>
          <w:noProof/>
        </w:rPr>
        <w:t>279</w:t>
      </w:r>
      <w:r w:rsidRPr="009378D4">
        <w:rPr>
          <w:rFonts w:eastAsia="Times New Roman"/>
          <w:noProof/>
        </w:rPr>
        <w:t>(11), 10677–84. http://doi.org/10.1074/jbc.M312941200</w:t>
      </w:r>
    </w:p>
    <w:p w14:paraId="581D9D93"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Zhang, X., Zuo, X., Yang, B., Li, Z., Xue, Y., Zhou, Y., … Fu, X.-D. (2014). MicroRNA directly enhances mitochondrial translation during muscle differentiation. </w:t>
      </w:r>
      <w:r w:rsidRPr="009378D4">
        <w:rPr>
          <w:rFonts w:eastAsia="Times New Roman"/>
          <w:i/>
          <w:iCs/>
          <w:noProof/>
        </w:rPr>
        <w:t>Cell</w:t>
      </w:r>
      <w:r w:rsidRPr="009378D4">
        <w:rPr>
          <w:rFonts w:eastAsia="Times New Roman"/>
          <w:noProof/>
        </w:rPr>
        <w:t xml:space="preserve">, </w:t>
      </w:r>
      <w:r w:rsidRPr="009378D4">
        <w:rPr>
          <w:rFonts w:eastAsia="Times New Roman"/>
          <w:i/>
          <w:iCs/>
          <w:noProof/>
        </w:rPr>
        <w:t>158</w:t>
      </w:r>
      <w:r w:rsidRPr="009378D4">
        <w:rPr>
          <w:rFonts w:eastAsia="Times New Roman"/>
          <w:noProof/>
        </w:rPr>
        <w:t>(3), 607–19. http://doi.org/10.1016/j.cell.2014.05.047</w:t>
      </w:r>
    </w:p>
    <w:p w14:paraId="03330525"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Zhang, Y., Fan, M., Zhang, X., Huang, F., Wu, K., Zhang, J., … Zhang, H. (2014). Cellular microRNAs up-regulate transcription via interaction with promoter TATA-box motifs. </w:t>
      </w:r>
      <w:r w:rsidRPr="009378D4">
        <w:rPr>
          <w:rFonts w:eastAsia="Times New Roman"/>
          <w:i/>
          <w:iCs/>
          <w:noProof/>
        </w:rPr>
        <w:t>RNA (New York, N.Y.)</w:t>
      </w:r>
      <w:r w:rsidRPr="009378D4">
        <w:rPr>
          <w:rFonts w:eastAsia="Times New Roman"/>
          <w:noProof/>
        </w:rPr>
        <w:t xml:space="preserve">, </w:t>
      </w:r>
      <w:r w:rsidRPr="009378D4">
        <w:rPr>
          <w:rFonts w:eastAsia="Times New Roman"/>
          <w:i/>
          <w:iCs/>
          <w:noProof/>
        </w:rPr>
        <w:t>20</w:t>
      </w:r>
      <w:r w:rsidRPr="009378D4">
        <w:rPr>
          <w:rFonts w:eastAsia="Times New Roman"/>
          <w:noProof/>
        </w:rPr>
        <w:t>(12), 1878–89. http://doi.org/10.1261/rna.045633.114</w:t>
      </w:r>
    </w:p>
    <w:p w14:paraId="57590FC4" w14:textId="77777777" w:rsidR="009378D4" w:rsidRPr="009378D4" w:rsidRDefault="009378D4" w:rsidP="009378D4">
      <w:pPr>
        <w:widowControl w:val="0"/>
        <w:autoSpaceDE w:val="0"/>
        <w:autoSpaceDN w:val="0"/>
        <w:adjustRightInd w:val="0"/>
        <w:spacing w:after="140" w:line="480" w:lineRule="auto"/>
        <w:ind w:left="480" w:hanging="480"/>
        <w:rPr>
          <w:rFonts w:eastAsia="Times New Roman"/>
          <w:noProof/>
        </w:rPr>
      </w:pPr>
      <w:r w:rsidRPr="009378D4">
        <w:rPr>
          <w:rFonts w:eastAsia="Times New Roman"/>
          <w:noProof/>
        </w:rPr>
        <w:t xml:space="preserve">Zhu, B., Haghi, M., Goud, M., Young, P. M., &amp; Traini, D. (2015). The formulation of a pressurized metered dose inhaler containing theophylline for inhalation. </w:t>
      </w:r>
      <w:r w:rsidRPr="009378D4">
        <w:rPr>
          <w:rFonts w:eastAsia="Times New Roman"/>
          <w:i/>
          <w:iCs/>
          <w:noProof/>
        </w:rPr>
        <w:t>European Journal of Pharmaceutical Sciences : Official Journal of the European Federation for Pharmaceutical Sciences</w:t>
      </w:r>
      <w:r w:rsidRPr="009378D4">
        <w:rPr>
          <w:rFonts w:eastAsia="Times New Roman"/>
          <w:noProof/>
        </w:rPr>
        <w:t xml:space="preserve">, </w:t>
      </w:r>
      <w:r w:rsidRPr="009378D4">
        <w:rPr>
          <w:rFonts w:eastAsia="Times New Roman"/>
          <w:i/>
          <w:iCs/>
          <w:noProof/>
        </w:rPr>
        <w:t>76</w:t>
      </w:r>
      <w:r w:rsidRPr="009378D4">
        <w:rPr>
          <w:rFonts w:eastAsia="Times New Roman"/>
          <w:noProof/>
        </w:rPr>
        <w:t>, 68–72. http://doi.org/10.1016/j.ejps.2015.04.016</w:t>
      </w:r>
    </w:p>
    <w:p w14:paraId="0EBEBC4F" w14:textId="77777777" w:rsidR="009378D4" w:rsidRPr="009378D4" w:rsidRDefault="009378D4" w:rsidP="009378D4">
      <w:pPr>
        <w:widowControl w:val="0"/>
        <w:autoSpaceDE w:val="0"/>
        <w:autoSpaceDN w:val="0"/>
        <w:adjustRightInd w:val="0"/>
        <w:spacing w:after="140" w:line="480" w:lineRule="auto"/>
        <w:ind w:left="480" w:hanging="480"/>
        <w:rPr>
          <w:noProof/>
        </w:rPr>
      </w:pPr>
      <w:r w:rsidRPr="009378D4">
        <w:rPr>
          <w:rFonts w:eastAsia="Times New Roman"/>
          <w:noProof/>
        </w:rPr>
        <w:t xml:space="preserve">Zuo, L., Lucas, K., Fortuna, C. A., Chuang, C.-C., &amp; Best, T. M. (2015). Molecular Regulation of Toll-like Receptors in Asthma and COPD. </w:t>
      </w:r>
      <w:r w:rsidRPr="009378D4">
        <w:rPr>
          <w:rFonts w:eastAsia="Times New Roman"/>
          <w:i/>
          <w:iCs/>
          <w:noProof/>
        </w:rPr>
        <w:t>Frontiers in Physiology</w:t>
      </w:r>
      <w:r w:rsidRPr="009378D4">
        <w:rPr>
          <w:rFonts w:eastAsia="Times New Roman"/>
          <w:noProof/>
        </w:rPr>
        <w:t xml:space="preserve">, </w:t>
      </w:r>
      <w:r w:rsidRPr="009378D4">
        <w:rPr>
          <w:rFonts w:eastAsia="Times New Roman"/>
          <w:i/>
          <w:iCs/>
          <w:noProof/>
        </w:rPr>
        <w:t>6</w:t>
      </w:r>
      <w:r w:rsidRPr="009378D4">
        <w:rPr>
          <w:rFonts w:eastAsia="Times New Roman"/>
          <w:noProof/>
        </w:rPr>
        <w:t>, 312. http://doi.org/10.3389/fphys.2015.00312</w:t>
      </w:r>
    </w:p>
    <w:p w14:paraId="55700AE8" w14:textId="0A598CCC" w:rsidR="00AE56C9" w:rsidRPr="00C4343E" w:rsidRDefault="00AE56C9" w:rsidP="009378D4">
      <w:pPr>
        <w:widowControl w:val="0"/>
        <w:autoSpaceDE w:val="0"/>
        <w:autoSpaceDN w:val="0"/>
        <w:adjustRightInd w:val="0"/>
        <w:spacing w:after="140" w:line="480" w:lineRule="auto"/>
        <w:ind w:left="480" w:hanging="480"/>
        <w:rPr>
          <w:rFonts w:ascii="Calibri" w:hAnsi="Calibri" w:cs="Arial"/>
        </w:rPr>
      </w:pPr>
      <w:r w:rsidRPr="00C4343E">
        <w:rPr>
          <w:rFonts w:ascii="Calibri" w:hAnsi="Calibri" w:cs="Arial"/>
        </w:rPr>
        <w:fldChar w:fldCharType="end"/>
      </w:r>
    </w:p>
    <w:p w14:paraId="6A174311" w14:textId="77777777" w:rsidR="001837E0" w:rsidRDefault="001837E0">
      <w:pPr>
        <w:rPr>
          <w:rFonts w:ascii="Calibri" w:hAnsi="Calibri" w:cs="Arial"/>
          <w:b/>
        </w:rPr>
      </w:pPr>
      <w:r>
        <w:rPr>
          <w:rFonts w:ascii="Calibri" w:hAnsi="Calibri" w:cs="Arial"/>
          <w:b/>
        </w:rPr>
        <w:br w:type="page"/>
      </w:r>
    </w:p>
    <w:p w14:paraId="10C7AC2F" w14:textId="155B4949" w:rsidR="003D4FB7" w:rsidRDefault="009B2533" w:rsidP="003D4FB7">
      <w:pPr>
        <w:spacing w:line="480" w:lineRule="auto"/>
        <w:jc w:val="both"/>
        <w:rPr>
          <w:rFonts w:ascii="Calibri" w:hAnsi="Calibri" w:cs="Arial"/>
          <w:b/>
        </w:rPr>
      </w:pPr>
      <w:r>
        <w:rPr>
          <w:rFonts w:ascii="Calibri" w:hAnsi="Calibri" w:cs="Arial"/>
          <w:b/>
        </w:rPr>
        <w:lastRenderedPageBreak/>
        <w:t>Figure</w:t>
      </w:r>
      <w:r w:rsidR="001837E0">
        <w:rPr>
          <w:rFonts w:ascii="Calibri" w:hAnsi="Calibri" w:cs="Arial"/>
          <w:b/>
        </w:rPr>
        <w:t>s</w:t>
      </w:r>
      <w:r>
        <w:rPr>
          <w:rFonts w:ascii="Calibri" w:hAnsi="Calibri" w:cs="Arial"/>
          <w:b/>
        </w:rPr>
        <w:t xml:space="preserve"> </w:t>
      </w:r>
    </w:p>
    <w:p w14:paraId="57253767" w14:textId="4EF17C3F" w:rsidR="003D4FB7" w:rsidRDefault="001837E0" w:rsidP="003D4FB7">
      <w:pPr>
        <w:spacing w:line="480" w:lineRule="auto"/>
        <w:jc w:val="both"/>
        <w:rPr>
          <w:rFonts w:ascii="Calibri" w:hAnsi="Calibri" w:cs="Arial"/>
          <w:b/>
        </w:rPr>
      </w:pPr>
      <w:r w:rsidRPr="001837E0">
        <w:rPr>
          <w:rFonts w:ascii="Calibri" w:hAnsi="Calibri" w:cs="Arial"/>
          <w:b/>
        </w:rPr>
        <w:drawing>
          <wp:inline distT="0" distB="0" distL="0" distR="0" wp14:anchorId="21385DFF" wp14:editId="11698D58">
            <wp:extent cx="5727700" cy="247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2470150"/>
                    </a:xfrm>
                    <a:prstGeom prst="rect">
                      <a:avLst/>
                    </a:prstGeom>
                  </pic:spPr>
                </pic:pic>
              </a:graphicData>
            </a:graphic>
          </wp:inline>
        </w:drawing>
      </w:r>
    </w:p>
    <w:p w14:paraId="49CB4A53" w14:textId="77777777" w:rsidR="003D4FB7" w:rsidRDefault="003D4FB7" w:rsidP="003D4FB7">
      <w:pPr>
        <w:spacing w:line="480" w:lineRule="auto"/>
        <w:jc w:val="both"/>
        <w:rPr>
          <w:rFonts w:ascii="Calibri" w:hAnsi="Calibri" w:cs="Arial"/>
        </w:rPr>
      </w:pPr>
      <w:r>
        <w:rPr>
          <w:rFonts w:ascii="Calibri" w:hAnsi="Calibri" w:cs="Arial"/>
          <w:b/>
        </w:rPr>
        <w:t xml:space="preserve">Figure 1: Anatomy of the lung, airway dynamics and drug delivery. </w:t>
      </w:r>
      <w:r>
        <w:rPr>
          <w:rFonts w:ascii="Calibri" w:hAnsi="Calibri" w:cs="Arial"/>
        </w:rPr>
        <w:t xml:space="preserve">A) The nasopharynx, trachea and first bronchial bifurcation (upper lung / large airways (&gt;2 mm diameter)) lead to conducting airways (&lt; 2 mm diameter: bronchi and bronchioles) that split into alveolar ducts (lower / deep lung or small / peripheral airways) </w:t>
      </w:r>
      <w:r>
        <w:rPr>
          <w:rFonts w:ascii="Calibri" w:hAnsi="Calibri" w:cs="Arial"/>
        </w:rPr>
        <w:fldChar w:fldCharType="begin" w:fldLock="1"/>
      </w:r>
      <w:r>
        <w:rPr>
          <w:rFonts w:ascii="Calibri" w:hAnsi="Calibri" w:cs="Arial"/>
        </w:rPr>
        <w:instrText>ADDIN CSL_CITATION { "citationItems" : [ { "id" : "ITEM-1", "itemData" : { "ISSN" : "0306-5251", "PMID" : "14616418", "abstract" : "As the end organ for the treatment of local diseases or as the route of administration for systemic therapies, the lung is a very attractive target for drug delivery. It provides direct access to disease in the treatment of respiratory diseases, while providing an enormous surface area and a relatively low enzymatic, controlled environment for systemic absorption of medications. As a major port of entry, the lung has evolved to prevent the invasion of unwanted airborne particles from entering into the body. Airway geometry, humidity, mucociliary clearance and alveolar macrophages play a vital role in maintaining the sterility of the lung and consequently are barriers to the therapeutic effectiveness of inhaled medications. In addition, a drug's efficacy may be affected by where in the respiratory tract it is deposited, its delivered dose and the disease it may be trying to treat.", "author" : [ { "dropping-particle" : "", "family" : "Labiris", "given" : "N R", "non-dropping-particle" : "", "parse-names" : false, "suffix" : "" }, { "dropping-particle" : "", "family" : "Dolovich", "given" : "M B", "non-dropping-particle" : "", "parse-names" : false, "suffix" : "" } ], "container-title" : "British journal of clinical pharmacology", "id" : "ITEM-1", "issue" : "6", "issued" : { "date-parts" : [ [ "2003", "12" ] ] }, "page" : "588-99", "title" : "Pulmonary drug delivery. Part I: physiological factors affecting therapeutic effectiveness of aerosolized medications.", "type" : "article-journal", "volume" : "56" }, "uris" : [ "http://www.mendeley.com/documents/?uuid=9a8c1021-e2c4-4d28-b1f6-ae302a4b8506" ] } ], "mendeley" : { "formattedCitation" : "(Labiris &amp; Dolovich, 2003)", "plainTextFormattedCitation" : "(Labiris &amp; Dolovich, 2003)", "previouslyFormattedCitation" : "(Labiris &amp; Dolovich, 2003)" }, "properties" : { "noteIndex" : 0 }, "schema" : "https://github.com/citation-style-language/schema/raw/master/csl-citation.json" }</w:instrText>
      </w:r>
      <w:r>
        <w:rPr>
          <w:rFonts w:ascii="Calibri" w:hAnsi="Calibri" w:cs="Arial"/>
        </w:rPr>
        <w:fldChar w:fldCharType="separate"/>
      </w:r>
      <w:r w:rsidRPr="009355D2">
        <w:rPr>
          <w:rFonts w:ascii="Calibri" w:hAnsi="Calibri" w:cs="Arial"/>
          <w:noProof/>
        </w:rPr>
        <w:t>(Labiris &amp; Dolovich, 2003)</w:t>
      </w:r>
      <w:r>
        <w:rPr>
          <w:rFonts w:ascii="Calibri" w:hAnsi="Calibri" w:cs="Arial"/>
        </w:rPr>
        <w:fldChar w:fldCharType="end"/>
      </w:r>
      <w:r>
        <w:rPr>
          <w:rFonts w:ascii="Calibri" w:hAnsi="Calibri" w:cs="Arial"/>
        </w:rPr>
        <w:t xml:space="preserve">. Alveolar ducts conclude into alveolar sacs wherein gaseous exchange takes place.  Bronchi and bronchioles are ringed tangentially by smooth muscle </w:t>
      </w:r>
      <w:r>
        <w:rPr>
          <w:rFonts w:ascii="Calibri" w:hAnsi="Calibri" w:cs="Arial"/>
        </w:rPr>
        <w:fldChar w:fldCharType="begin" w:fldLock="1"/>
      </w:r>
      <w:r>
        <w:rPr>
          <w:rFonts w:ascii="Calibri" w:hAnsi="Calibri" w:cs="Arial"/>
        </w:rPr>
        <w:instrText>ADDIN CSL_CITATION { "citationItems" : [ { "id" : "ITEM-1", "itemData" : { "DOI" : "10.1002/bimj.19660080155", "ISSN" : "00063452", "author" : [ { "dropping-particle" : "", "family" : "Lorenz", "given" : "R. J.", "non-dropping-particle" : "", "parse-names" : false, "suffix" : "" } ], "container-title" : "Biometrische Zeitschrift", "id" : "ITEM-1", "issue" : "1-2", "issued" : { "date-parts" : [ [ "1966" ] ] }, "page" : "143-144", "title" : "Weibel, E. R.: Morphometry of the Human Lung. Springer Verlag, Berlin-G\u00f6ttingen-Heidelberg 1963; 151 S., 109 Abb., DM 36,-", "type" : "article-journal", "volume" : "8" }, "uris" : [ "http://www.mendeley.com/documents/?uuid=6cc9bf1a-865a-4b3b-ac3a-a645fb9e37f3" ] } ], "mendeley" : { "formattedCitation" : "(R. J. Lorenz, 1966)", "plainTextFormattedCitation" : "(R. J. Lorenz, 1966)", "previouslyFormattedCitation" : "(R. J. Lorenz, 1966)" }, "properties" : { "noteIndex" : 0 }, "schema" : "https://github.com/citation-style-language/schema/raw/master/csl-citation.json" }</w:instrText>
      </w:r>
      <w:r>
        <w:rPr>
          <w:rFonts w:ascii="Calibri" w:hAnsi="Calibri" w:cs="Arial"/>
        </w:rPr>
        <w:fldChar w:fldCharType="separate"/>
      </w:r>
      <w:r w:rsidRPr="008F5076">
        <w:rPr>
          <w:rFonts w:ascii="Calibri" w:hAnsi="Calibri" w:cs="Arial"/>
          <w:noProof/>
        </w:rPr>
        <w:t>(R. J. Lorenz, 1966)</w:t>
      </w:r>
      <w:r>
        <w:rPr>
          <w:rFonts w:ascii="Calibri" w:hAnsi="Calibri" w:cs="Arial"/>
        </w:rPr>
        <w:fldChar w:fldCharType="end"/>
      </w:r>
      <w:r>
        <w:rPr>
          <w:rFonts w:ascii="Calibri" w:hAnsi="Calibri" w:cs="Arial"/>
        </w:rPr>
        <w:t xml:space="preserve">, which controls airflow through constriction and relaxation </w:t>
      </w:r>
      <w:r>
        <w:rPr>
          <w:rFonts w:ascii="Calibri" w:hAnsi="Calibri" w:cs="Arial"/>
        </w:rPr>
        <w:fldChar w:fldCharType="begin" w:fldLock="1"/>
      </w:r>
      <w:r>
        <w:rPr>
          <w:rFonts w:ascii="Calibri" w:hAnsi="Calibri" w:cs="Arial"/>
        </w:rPr>
        <w:instrText>ADDIN CSL_CITATION { "citationItems" : [ { "id" : "ITEM-1", "itemData" : { "DOI" : "10.1378/chest.14-1142", "ISSN" : "1931-3543", "PMID" : "25732446", "abstract" : "Recent work has demonstrated that mechanical forces occurring in the airway as a consequence of bronchoconstriction are sufficient to not only induce symptoms but also influence airway biology. Animal and human in vitro and in vivo work demonstrates that the airways are structurally and functionally altered by mechanical stress induced by bronchoconstriction. Compression of the airway epithelium and mechanosensing by the airway smooth muscle trigger the activation and release of growth factors, causing cell proliferation, extracellular matrix protein accumulation, and goblet cell differentiation. These effects of bronchoconstriction are of major importance to asthma pathophysiology and appear sufficient to induce remodeling independent of the inflammatory response. We review these findings in detail and discuss previous studies in light of this new evidence regarding the influence of mechanical forces in the airways. Furthermore, we highlight potential impacts of therapies influencing mechanical forces on airway structure and function in asthma.", "author" : [ { "dropping-particle" : "", "family" : "Gosens", "given" : "Reinoud", "non-dropping-particle" : "", "parse-names" : false, "suffix" : "" }, { "dropping-particle" : "", "family" : "Grainge", "given" : "Chris", "non-dropping-particle" : "", "parse-names" : false, "suffix" : "" } ], "container-title" : "Chest", "id" : "ITEM-1", "issue" : "3", "issued" : { "date-parts" : [ [ "2015", "3", "1" ] ] }, "page" : "798-803", "publisher" : "American College of Chest Physicians", "title" : "Bronchoconstriction and airway biology: potential impact and therapeutic opportunities.", "type" : "article-journal", "volume" : "147" }, "uris" : [ "http://www.mendeley.com/documents/?uuid=db03465b-412c-468c-a472-a171b63420ee" ] } ], "mendeley" : { "formattedCitation" : "(Gosens &amp; Grainge, 2015)", "plainTextFormattedCitation" : "(Gosens &amp; Grainge, 2015)", "previouslyFormattedCitation" : "(Gosens &amp; Grainge, 2015)" }, "properties" : { "noteIndex" : 0 }, "schema" : "https://github.com/citation-style-language/schema/raw/master/csl-citation.json" }</w:instrText>
      </w:r>
      <w:r>
        <w:rPr>
          <w:rFonts w:ascii="Calibri" w:hAnsi="Calibri" w:cs="Arial"/>
        </w:rPr>
        <w:fldChar w:fldCharType="separate"/>
      </w:r>
      <w:r w:rsidRPr="00AE77EB">
        <w:rPr>
          <w:rFonts w:ascii="Calibri" w:hAnsi="Calibri" w:cs="Arial"/>
          <w:noProof/>
        </w:rPr>
        <w:t>(Gosens &amp; Grainge, 2015)</w:t>
      </w:r>
      <w:r>
        <w:rPr>
          <w:rFonts w:ascii="Calibri" w:hAnsi="Calibri" w:cs="Arial"/>
        </w:rPr>
        <w:fldChar w:fldCharType="end"/>
      </w:r>
      <w:r>
        <w:rPr>
          <w:rFonts w:ascii="Calibri" w:hAnsi="Calibri" w:cs="Arial"/>
        </w:rPr>
        <w:t xml:space="preserve">, whereas alveolar sacs are surrounded by capillaries, forming a short diffusion gradient for gas exchange.  B) Particle dimensions and deposition mechanics by airway compartment </w:t>
      </w:r>
      <w:r>
        <w:rPr>
          <w:rFonts w:ascii="Calibri" w:hAnsi="Calibri" w:cs="Arial"/>
        </w:rPr>
        <w:fldChar w:fldCharType="begin" w:fldLock="1"/>
      </w:r>
      <w:r>
        <w:rPr>
          <w:rFonts w:ascii="Calibri" w:hAnsi="Calibri" w:cs="Arial"/>
        </w:rPr>
        <w:instrText>ADDIN CSL_CITATION { "citationItems" : [ { "id" : "ITEM-1", "itemData" : { "ISSN" : "0306-5251", "PMID" : "14616418", "abstract" : "As the end organ for the treatment of local diseases or as the route of administration for systemic therapies, the lung is a very attractive target for drug delivery. It provides direct access to disease in the treatment of respiratory diseases, while providing an enormous surface area and a relatively low enzymatic, controlled environment for systemic absorption of medications. As a major port of entry, the lung has evolved to prevent the invasion of unwanted airborne particles from entering into the body. Airway geometry, humidity, mucociliary clearance and alveolar macrophages play a vital role in maintaining the sterility of the lung and consequently are barriers to the therapeutic effectiveness of inhaled medications. In addition, a drug's efficacy may be affected by where in the respiratory tract it is deposited, its delivered dose and the disease it may be trying to treat.", "author" : [ { "dropping-particle" : "", "family" : "Labiris", "given" : "N R", "non-dropping-particle" : "", "parse-names" : false, "suffix" : "" }, { "dropping-particle" : "", "family" : "Dolovich", "given" : "M B", "non-dropping-particle" : "", "parse-names" : false, "suffix" : "" } ], "container-title" : "British journal of clinical pharmacology", "id" : "ITEM-1", "issue" : "6", "issued" : { "date-parts" : [ [ "2003", "12" ] ] }, "page" : "588-99", "title" : "Pulmonary drug delivery. Part I: physiological factors affecting therapeutic effectiveness of aerosolized medications.", "type" : "article-journal", "volume" : "56" }, "uris" : [ "http://www.mendeley.com/documents/?uuid=9a8c1021-e2c4-4d28-b1f6-ae302a4b8506" ] }, { "id" : "ITEM-2", "itemData" : { "abstract" : "Particle behavior in the human respiratory tract is well understood and can be used to (1) estimate particle deposition in all regions of the respiratory tract for any aerosol respired at any pattern, and (2) optimize targeting of all regions of the respiratory tract in respiratory drug delivery. Extrathoracic and alveolar regions can effectively be targeted with mono- and polydisperse aerosols respired steadily. Effective targeting of the bronchial region can only be achieved with bolus inhalations. When particles are suspended in a gas heavier than air, targeting the alveolar region can be enhanced.", "author" : [ { "dropping-particle" : "", "family" : "Heyder", "given" : "Joachim", "non-dropping-particle" : "", "parse-names" : false, "suffix" : "" } ], "container-title" : "Proceedings of the American Thoracic Society", "id" : "ITEM-2", "issued" : { "date-parts" : [ [ "2012", "12", "20" ] ] }, "language" : "en", "publisher" : "American Thoracic Society", "title" : "Deposition of Inhaled Particles in the Human Respiratory Tract and Consequences for Regional Targeting in Respiratory Drug Delivery", "type" : "article-journal" }, "uris" : [ "http://www.mendeley.com/documents/?uuid=40450cc3-f740-4ae1-9b77-b64818345b2b" ] } ], "mendeley" : { "formattedCitation" : "(Heyder, 2012; Labiris &amp; Dolovich, 2003)", "plainTextFormattedCitation" : "(Heyder, 2012; Labiris &amp; Dolovich, 2003)", "previouslyFormattedCitation" : "(Heyder, 2012; Labiris &amp; Dolovich, 2003)" }, "properties" : { "noteIndex" : 0 }, "schema" : "https://github.com/citation-style-language/schema/raw/master/csl-citation.json" }</w:instrText>
      </w:r>
      <w:r>
        <w:rPr>
          <w:rFonts w:ascii="Calibri" w:hAnsi="Calibri" w:cs="Arial"/>
        </w:rPr>
        <w:fldChar w:fldCharType="separate"/>
      </w:r>
      <w:r w:rsidRPr="009355D2">
        <w:rPr>
          <w:rFonts w:ascii="Calibri" w:hAnsi="Calibri" w:cs="Arial"/>
          <w:noProof/>
        </w:rPr>
        <w:t>(Heyder, 2012; Labiris &amp; Dolovich, 2003)</w:t>
      </w:r>
      <w:r>
        <w:rPr>
          <w:rFonts w:ascii="Calibri" w:hAnsi="Calibri" w:cs="Arial"/>
        </w:rPr>
        <w:fldChar w:fldCharType="end"/>
      </w:r>
      <w:r>
        <w:rPr>
          <w:rFonts w:ascii="Calibri" w:hAnsi="Calibri" w:cs="Arial"/>
        </w:rPr>
        <w:t xml:space="preserve">; maximal efficiency is achieved with 1-3 </w:t>
      </w:r>
      <w:r w:rsidRPr="00C13250">
        <w:rPr>
          <w:rFonts w:ascii="Symbol" w:hAnsi="Symbol" w:cs="Arial"/>
        </w:rPr>
        <w:t></w:t>
      </w:r>
      <w:r>
        <w:rPr>
          <w:rFonts w:ascii="Calibri" w:hAnsi="Calibri" w:cs="Arial"/>
        </w:rPr>
        <w:t xml:space="preserve">m particles, whereas &lt;500 nm particles may diffuse into the alveolar tissue where airflow is low, but are generally exhaled. </w:t>
      </w:r>
    </w:p>
    <w:p w14:paraId="16EF3F2D" w14:textId="77777777" w:rsidR="003D4FB7" w:rsidRDefault="003D4FB7" w:rsidP="003D4FB7">
      <w:pPr>
        <w:spacing w:line="480" w:lineRule="auto"/>
        <w:jc w:val="both"/>
        <w:rPr>
          <w:rFonts w:ascii="Calibri" w:hAnsi="Calibri" w:cs="Arial"/>
          <w:b/>
        </w:rPr>
      </w:pPr>
    </w:p>
    <w:p w14:paraId="73575FD6" w14:textId="1FE5979D" w:rsidR="001837E0" w:rsidRDefault="001837E0">
      <w:pPr>
        <w:rPr>
          <w:rFonts w:ascii="Calibri" w:hAnsi="Calibri" w:cs="Arial"/>
          <w:b/>
        </w:rPr>
      </w:pPr>
      <w:r>
        <w:rPr>
          <w:rFonts w:ascii="Calibri" w:hAnsi="Calibri" w:cs="Arial"/>
          <w:b/>
        </w:rPr>
        <w:br w:type="page"/>
      </w:r>
    </w:p>
    <w:p w14:paraId="45F624B9" w14:textId="0EA9600B" w:rsidR="003D4FB7" w:rsidRDefault="001837E0" w:rsidP="003D4FB7">
      <w:pPr>
        <w:spacing w:line="480" w:lineRule="auto"/>
        <w:jc w:val="both"/>
        <w:rPr>
          <w:rFonts w:ascii="Calibri" w:hAnsi="Calibri" w:cs="Arial"/>
          <w:b/>
        </w:rPr>
      </w:pPr>
      <w:r w:rsidRPr="001837E0">
        <w:rPr>
          <w:rFonts w:ascii="Calibri" w:hAnsi="Calibri" w:cs="Arial"/>
          <w:b/>
        </w:rPr>
        <w:lastRenderedPageBreak/>
        <w:drawing>
          <wp:inline distT="0" distB="0" distL="0" distR="0" wp14:anchorId="12D63AD3" wp14:editId="6D480E1F">
            <wp:extent cx="5727700" cy="401891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4018915"/>
                    </a:xfrm>
                    <a:prstGeom prst="rect">
                      <a:avLst/>
                    </a:prstGeom>
                  </pic:spPr>
                </pic:pic>
              </a:graphicData>
            </a:graphic>
          </wp:inline>
        </w:drawing>
      </w:r>
    </w:p>
    <w:p w14:paraId="7A04814F" w14:textId="715E3FE2" w:rsidR="003D4FB7" w:rsidRDefault="003D4FB7" w:rsidP="003D4FB7">
      <w:pPr>
        <w:spacing w:line="480" w:lineRule="auto"/>
        <w:jc w:val="both"/>
        <w:rPr>
          <w:rFonts w:ascii="Calibri" w:hAnsi="Calibri" w:cs="Arial"/>
        </w:rPr>
      </w:pPr>
      <w:r>
        <w:rPr>
          <w:rFonts w:ascii="Calibri" w:hAnsi="Calibri" w:cs="Arial"/>
          <w:b/>
        </w:rPr>
        <w:t xml:space="preserve">Figure 2: Classes of oligonucleotide drugs used in the lung and their mode of action. </w:t>
      </w:r>
      <w:r>
        <w:rPr>
          <w:rFonts w:ascii="Calibri" w:hAnsi="Calibri" w:cs="Arial"/>
        </w:rPr>
        <w:t xml:space="preserve">Oligonucleotide therapeutics (bold black lines) recognize molecular targets (red lines) through Watson-Crick base pairing. (A) ASO form DNA::RNA heteroduplexes in a sense (target) – antisense (drug) manner, recruit RNase H and endonucleotically cleave target RNA to create a novel 5’ end (bold), resulting to target degradation and translation inhibition. (B) Alternatively, translation inhibition can be directed by targeting ASOs to translation start sites in transcripts (AUG box), preventing access to eukaryotic translation initiation factors (eIF). Both of these MOAs are active on coding and ncRNA, with stoichiometric inhibition in the latter involving steric hindrances to nucleic acid or ribonucleoprotein complex formation (C) Premature stop codons, cryptic exons and nonsense mutations (etc.) can be ‘skipped’ by directing spliceosome activity. The clinical implementation in Duchenne’s Muscular Dystrophy uses ASOs to stop the spliceosome from including an exon (red boxes) containing a premature stop mutation (vertical grey line), so that the translated protein may retain </w:t>
      </w:r>
      <w:r>
        <w:rPr>
          <w:rFonts w:ascii="Calibri" w:hAnsi="Calibri" w:cs="Arial"/>
        </w:rPr>
        <w:lastRenderedPageBreak/>
        <w:t xml:space="preserve">some function (Becker phenotype) </w:t>
      </w:r>
      <w:r>
        <w:rPr>
          <w:rFonts w:ascii="Calibri" w:hAnsi="Calibri" w:cs="Arial"/>
        </w:rPr>
        <w:fldChar w:fldCharType="begin" w:fldLock="1"/>
      </w:r>
      <w:r>
        <w:rPr>
          <w:rFonts w:ascii="Calibri" w:hAnsi="Calibri" w:cs="Arial"/>
        </w:rPr>
        <w:instrText>ADDIN CSL_CITATION { "citationItems" : [ { "id" : "ITEM-1", "itemData" : { "DOI" : "10.1056/NEJMoa073108", "ISSN" : "1533-4406", "PMID" : "18160687", "abstract" : "BACKGROUND: Duchenne's muscular dystrophy is associated with severe, progressive muscle weakness and typically leads to death between the ages of 20 and 35 years. By inducing specific exon skipping during messenger RNA (mRNA) splicing, antisense compounds were recently shown to correct the open reading frame of the DMD gene and thus to restore dystrophin expression in vitro and in animal models in vivo. We explored the safety, adverse-event profile, and local dystrophin-restoring effect of a single, intramuscular dose of an antisense oligonucleotide, PRO051, in patients with this disease.\n\nMETHODS: Four patients, who were selected on the basis of their mutational status, muscle condition, and positive exon-skipping response to PRO051 in vitro, received a dose of 0.8 mg of PRO051 injected into the tibialis anterior muscle. A biopsy was performed 28 days later. Safety measures, composition of mRNA, and dystrophin expression were assessed.\n\nRESULTS: PRO051 injection was not associated with clinically apparent adverse events. Each patient showed specific skipping of exon 51 and sarcolemmal dystrophin in 64 to 97% of myofibers. The amount of dystrophin in total protein extracts ranged from 3 to 12% of that found in the control specimen and from 17 to 35% of that of the control specimen in the quantitative ratio of dystrophin to laminin alpha2.\n\nCONCLUSIONS: Intramuscular injection of antisense oligonucleotide PRO051 induced dystrophin synthesis in four patients with Duchenne's muscular dystrophy who had suitable mutations, suggesting that further studies might be feasible.", "author" : [ { "dropping-particle" : "", "family" : "Deutekom", "given" : "Judith C", "non-dropping-particle" : "van", "parse-names" : false, "suffix" : "" }, { "dropping-particle" : "", "family" : "Janson", "given" : "Anneke A", "non-dropping-particle" : "", "parse-names" : false, "suffix" : "" }, { "dropping-particle" : "", "family" : "Ginjaar", "given" : "Ieke B", "non-dropping-particle" : "", "parse-names" : false, "suffix" : "" }, { "dropping-particle" : "", "family" : "Frankhuizen", "given" : "Wendy S", "non-dropping-particle" : "", "parse-names" : false, "suffix" : "" }, { "dropping-particle" : "", "family" : "Aartsma-Rus", "given" : "Annemieke", "non-dropping-particle" : "", "parse-names" : false, "suffix" : "" }, { "dropping-particle" : "", "family" : "Bremmer-Bout", "given" : "Mattie", "non-dropping-particle" : "", "parse-names" : false, "suffix" : "" }, { "dropping-particle" : "", "family" : "Dunnen", "given" : "Johan T", "non-dropping-particle" : "den", "parse-names" : false, "suffix" : "" }, { "dropping-particle" : "", "family" : "Koop", "given" : "Klaas", "non-dropping-particle" : "", "parse-names" : false, "suffix" : "" }, { "dropping-particle" : "", "family" : "Kooi", "given" : "Anneke J", "non-dropping-particle" : "van der", "parse-names" : false, "suffix" : "" }, { "dropping-particle" : "", "family" : "Goemans", "given" : "Nathalie M", "non-dropping-particle" : "", "parse-names" : false, "suffix" : "" }, { "dropping-particle" : "", "family" : "Kimpe", "given" : "Sjef J", "non-dropping-particle" : "de", "parse-names" : false, "suffix" : "" }, { "dropping-particle" : "", "family" : "Ekhart", "given" : "Peter F", "non-dropping-particle" : "", "parse-names" : false, "suffix" : "" }, { "dropping-particle" : "", "family" : "Venneker", "given" : "Edna H", "non-dropping-particle" : "", "parse-names" : false, "suffix" : "" }, { "dropping-particle" : "", "family" : "Platenburg", "given" : "Gerard J", "non-dropping-particle" : "", "parse-names" : false, "suffix" : "" }, { "dropping-particle" : "", "family" : "Verschuuren", "given" : "Jan J", "non-dropping-particle" : "", "parse-names" : false, "suffix" : "" }, { "dropping-particle" : "", "family" : "Ommen", "given" : "Gert-Jan B", "non-dropping-particle" : "van", "parse-names" : false, "suffix" : "" } ], "container-title" : "The New England journal of medicine", "id" : "ITEM-1", "issue" : "26", "issued" : { "date-parts" : [ [ "2007", "12", "27" ] ] }, "page" : "2677-86", "title" : "Local dystrophin restoration with antisense oligonucleotide PRO051.", "type" : "article-journal", "volume" : "357" }, "uris" : [ "http://www.mendeley.com/documents/?uuid=7f769ead-223d-4846-8d69-495b3380eaf5" ] }, { "id" : "ITEM-2", "itemData" : { "DOI" : "10.1038/mtna.2014.6", "ISSN" : "2162-2531", "PMID" : "24618851", "author" : [ { "dropping-particle" : "", "family" : "Lu", "given" : "Qi-Long", "non-dropping-particle" : "", "parse-names" : false, "suffix" : "" }, { "dropping-particle" : "", "family" : "Cirak", "given" : "Sebahattin", "non-dropping-particle" : "", "parse-names" : false, "suffix" : "" }, { "dropping-particle" : "", "family" : "Partridge", "given" : "Terence", "non-dropping-particle" : "", "parse-names" : false, "suffix" : "" } ], "container-title" : "Molecular therapy. Nucleic acids", "id" : "ITEM-2", "issued" : { "date-parts" : [ [ "2014", "1", "11" ] ] }, "page" : "e152", "publisher" : "The American Society of Gene &amp; Cell Therapy", "title" : "What Can We Learn From Clinical Trials of Exon Skipping for DMD?", "title-short" : "Mol Ther Nucleic Acids", "type" : "article-journal", "volume" : "3" }, "uris" : [ "http://www.mendeley.com/documents/?uuid=8af1738c-df90-4a46-b0a0-2dc87e88f673" ] }, { "id" : "ITEM-3", "itemData" : { "DOI" : "10.1089/hum.2013.234", "ISSN" : "1557-7422", "PMID" : "24826963", "abstract" : "Synthetic splice-switching oligonucleotides (SSOs) target nuclear pre-mRNA molecules to change exon splicing and generate an alternative protein isoform. Clinical trials with two competitive SSO drugs are underway to treat Duchenne muscular dystrophy (DMD). Beyond DMD, many additional therapeutic applications are possible, with some in phase 1 clinical trials or advanced preclinical evaluation. Here, we present an overview of the central factors involved in developing therapeutic SSOs for the treatment of diseases. The selection of susceptible pre-mRNA target sequences, as well as the design and chemical modification of SSOs to increase SSO stability and effectiveness, are key initial considerations. Identification of effective SSO target sequences is still largely empirical and published guidelines are not a universal guarantee for success. Specifically, exon-targeted SSOs, which are successful in modifying dystrophin splicing, can be ineffective for splice-switching in other contexts. Chemical modifications, importantly, are associated with certain characteristic toxicities, which need to be addressed as target diseases require chronic treatment with SSOs. Moreover, SSO delivery in adequate quantities to the nucleus of target cells without toxicity can prove difficult. Last, the means by which these SSOs are administered needs to be acceptable to the patient. Engineering an efficient therapeutic SSO, therefore, necessarily entails a compromise between desirable qualities and effectiveness. Here, we describe how the application of optimal solutions may differ from case to case.", "author" : [ { "dropping-particle" : "", "family" : "Disterer", "given" : "Petra", "non-dropping-particle" : "", "parse-names" : false, "suffix" : "" }, { "dropping-particle" : "", "family" : "Kryczka", "given" : "Adrianna", "non-dropping-particle" : "", "parse-names" : false, "suffix" : "" }, { "dropping-particle" : "", "family" : "Liu", "given" : "Yuqi", "non-dropping-particle" : "", "parse-names" : false, "suffix" : "" }, { "dropping-particle" : "", "family" : "Badi", "given" : "Yusef E", "non-dropping-particle" : "", "parse-names" : false, "suffix" : "" }, { "dropping-particle" : "", "family" : "Wong", "given" : "Jessie J", "non-dropping-particle" : "", "parse-names" : false, "suffix" : "" }, { "dropping-particle" : "", "family" : "Owen", "given" : "James S", "non-dropping-particle" : "", "parse-names" : false, "suffix" : "" }, { "dropping-particle" : "", "family" : "Khoo", "given" : "Bernard", "non-dropping-particle" : "", "parse-names" : false, "suffix" : "" } ], "container-title" : "Human gene therapy", "id" : "ITEM-3", "issue" : "7", "issued" : { "date-parts" : [ [ "2014", "7" ] ] }, "page" : "587-98", "title" : "Development of therapeutic splice-switching oligonucleotides.", "type" : "article-journal", "volume" : "25" }, "uris" : [ "http://www.mendeley.com/documents/?uuid=7396feb3-9959-459d-8201-d784ef997691" ] } ], "mendeley" : { "formattedCitation" : "(Disterer et al., 2014; Q.-L. Lu et al., 2014; van Deutekom et al., 2007)", "plainTextFormattedCitation" : "(Disterer et al., 2014; Q.-L. Lu et al., 2014; van Deutekom et al., 2007)", "previouslyFormattedCitation" : "(Disterer et al., 2014; Q.-L. Lu et al., 2014; van Deutekom et al., 2007)" }, "properties" : { "noteIndex" : 0 }, "schema" : "https://github.com/citation-style-language/schema/raw/master/csl-citation.json" }</w:instrText>
      </w:r>
      <w:r>
        <w:rPr>
          <w:rFonts w:ascii="Calibri" w:hAnsi="Calibri" w:cs="Arial"/>
        </w:rPr>
        <w:fldChar w:fldCharType="separate"/>
      </w:r>
      <w:r w:rsidRPr="00D573DB">
        <w:rPr>
          <w:rFonts w:ascii="Calibri" w:hAnsi="Calibri" w:cs="Arial"/>
          <w:noProof/>
        </w:rPr>
        <w:t>(Disterer et al., 2014; Q.-L. Lu et al., 2014; van Deutekom et al., 2007)</w:t>
      </w:r>
      <w:r>
        <w:rPr>
          <w:rFonts w:ascii="Calibri" w:hAnsi="Calibri" w:cs="Arial"/>
        </w:rPr>
        <w:fldChar w:fldCharType="end"/>
      </w:r>
      <w:r>
        <w:rPr>
          <w:rFonts w:ascii="Calibri" w:hAnsi="Calibri" w:cs="Arial"/>
        </w:rPr>
        <w:t>. (D)</w:t>
      </w:r>
      <w:r w:rsidRPr="00783F43">
        <w:rPr>
          <w:rFonts w:ascii="Calibri" w:hAnsi="Calibri" w:cs="Arial"/>
        </w:rPr>
        <w:t xml:space="preserve"> </w:t>
      </w:r>
      <w:r w:rsidRPr="00A9637D">
        <w:rPr>
          <w:rFonts w:ascii="Calibri" w:hAnsi="Calibri" w:cs="Arial"/>
        </w:rPr>
        <w:t xml:space="preserve">The minimal bioactive complex of </w:t>
      </w:r>
      <w:r>
        <w:rPr>
          <w:rFonts w:ascii="Calibri" w:hAnsi="Calibri" w:cs="Arial"/>
        </w:rPr>
        <w:t xml:space="preserve">human </w:t>
      </w:r>
      <w:r w:rsidRPr="00A9637D">
        <w:rPr>
          <w:rFonts w:ascii="Calibri" w:hAnsi="Calibri" w:cs="Arial"/>
        </w:rPr>
        <w:t xml:space="preserve">RNAi, the RNA-induced silencing complex (RISC), consists </w:t>
      </w:r>
      <w:r>
        <w:rPr>
          <w:rFonts w:ascii="Calibri" w:hAnsi="Calibri" w:cs="Arial"/>
        </w:rPr>
        <w:t>of a</w:t>
      </w:r>
      <w:r w:rsidRPr="00A9637D">
        <w:rPr>
          <w:rFonts w:ascii="Calibri" w:hAnsi="Calibri" w:cs="Arial"/>
        </w:rPr>
        <w:t xml:space="preserve"> ~21 </w:t>
      </w:r>
      <w:r>
        <w:rPr>
          <w:rFonts w:ascii="Calibri" w:hAnsi="Calibri" w:cs="Arial"/>
        </w:rPr>
        <w:t>nt strand of RNA</w:t>
      </w:r>
      <w:r w:rsidRPr="00A9637D">
        <w:rPr>
          <w:rFonts w:ascii="Calibri" w:hAnsi="Calibri" w:cs="Arial"/>
        </w:rPr>
        <w:t xml:space="preserve"> in length </w:t>
      </w:r>
      <w:r>
        <w:rPr>
          <w:rFonts w:ascii="Calibri" w:hAnsi="Calibri" w:cs="Arial"/>
        </w:rPr>
        <w:t xml:space="preserve">(black; ‘active’ or ‘guide’ strand </w:t>
      </w:r>
      <w:r>
        <w:rPr>
          <w:rFonts w:ascii="Calibri" w:hAnsi="Calibri" w:cs="Arial"/>
        </w:rPr>
        <w:fldChar w:fldCharType="begin" w:fldLock="1"/>
      </w:r>
      <w:r>
        <w:rPr>
          <w:rFonts w:ascii="Calibri" w:hAnsi="Calibri" w:cs="Arial"/>
        </w:rPr>
        <w:instrText>ADDIN CSL_CITATION { "citationItems" : [ { "id" : "ITEM-1", "itemData" : { "DOI" : "10.1073/pnas.1018023108", "ISSN" : "1091-6490", "PMID" : "21576459", "abstract" : "MicroRNAs and siRNAs interact with target sequences in mRNAs, inducing cleavage- and non-cleavage-based gene repression through the RNA-induced silencing complex (RISC) that consists of one of four mammalian Argonaute proteins, Ago1-Ago4. The process of how Dicer substrate small hairpin RNAs (shRNAs) are loaded into different mammalian Agos in vivo is not well established. Here we report that shRNAs are loaded into mammalian Agos in two stepwise processes, physical association and activation, with the latter being the rate-limiting step with noncleaving RISC. We establish that, although RNA duplexes processed from shRNAs bind to Agos in cells with similar affinity, the degree by which the complexes are activated (coupled with the removal of the passenger strand) correlates with the thermodynamic instability of RNA duplexes being loaded rather than the structure of the RNA, as was previously demonstrated in Drosophila. Interestingly, Ago loading of siRNAs is less sensitive to thermostability than that of their shRNA equivalents. These results may have important implications for the future design of RNAi-based therapeutics.", "author" : [ { "dropping-particle" : "", "family" : "Gu", "given" : "Shuo", "non-dropping-particle" : "", "parse-names" : false, "suffix" : "" }, { "dropping-particle" : "", "family" : "Jin", "given" : "Lan", "non-dropping-particle" : "", "parse-names" : false, "suffix" : "" }, { "dropping-particle" : "", "family" : "Zhang", "given" : "Feijie", "non-dropping-particle" : "", "parse-names" : false, "suffix" : "" }, { "dropping-particle" : "", "family" : "Huang", "given" : "Yong", "non-dropping-particle" : "", "parse-names" : false, "suffix" : "" }, { "dropping-particle" : "", "family" : "Grimm", "given" : "Dirk", "non-dropping-particle" : "", "parse-names" : false, "suffix" : "" }, { "dropping-particle" : "", "family" : "Rossi", "given" : "John J", "non-dropping-particle" : "", "parse-names" : false, "suffix" : "" }, { "dropping-particle" : "", "family" : "Kay", "given" : "Mark A", "non-dropping-particle" : "", "parse-names" : false, "suffix" : "" } ], "container-title" : "Proceedings of the National Academy of Sciences of the United States of America", "id" : "ITEM-1", "issue" : "22", "issued" : { "date-parts" : [ [ "2011", "5", "31" ] ] }, "page" : "9208-13", "title" : "Thermodynamic stability of small hairpin RNAs highly influences the loading process of different mammalian Argonautes.", "type" : "article-journal", "volume" : "108" }, "uris" : [ "http://www.mendeley.com/documents/?uuid=4fcd975b-8213-4ce4-ac17-4974a87c7b01" ] }, { "id" : "ITEM-2", "itemData" : { "ISBN" : "0092-8674 (Print)\r0092-8674 (Linking)", "PMID" : "14567918", "abstract" : "Both microRNAs (miRNA) and small interfering RNAs (siRNA) share a common set of cellular proteins (Dicer and the RNA-induced silencing complex [RISC]) to elicit RNA interference. In the following work, a statistical analysis of the internal stability of published miRNA sequences in the context of miRNA precursor hairpins revealed enhanced flexibility of miRNA precursors, especially at the 5'-anti-sense (AS) terminal base pair. The same trend was observed in siRNA, with functional duplexes displaying a lower internal stability (Delta0.5 kcal/mol) at the 5'-AS end than nonfunctional duplexes. Average internal stability of siRNA molecules retrieved from plant cells after introduction of long RNA sequences also shows this characteristic thermodynamic signature. Together, these results suggest that the thermodynamic properties of siRNA play a critical role in determining the molecule's function and longevity, possibly biasing the steps involved in duplex unwinding and strand retention by RISC.", "author" : [ { "dropping-particle" : "", "family" : "Khvorova", "given" : "A", "non-dropping-particle" : "", "parse-names" : false, "suffix" : "" }, { "dropping-particle" : "", "family" : "Reynolds", "given" : "A", "non-dropping-particle" : "", "parse-names" : false, "suffix" : "" }, { "dropping-particle" : "", "family" : "Jayasena", "given" : "S D", "non-dropping-particle" : "", "parse-names" : false, "suffix" : "" } ], "container-title" : "Cell", "edition" : "2003/10/22", "id" : "ITEM-2", "issue" : "2", "issued" : { "date-parts" : [ [ "2003" ] ] }, "language" : "eng", "note" : "Khvorova, Anastasia\nReynolds, Angela\nJayasena, Sumedha D\nCell. 2003 Oct 17;115(2):209-16.", "page" : "209-216", "title" : "Functional siRNAs and miRNAs exhibit strand bias", "type" : "article-journal", "volume" : "115" }, "uris" : [ "http://www.mendeley.com/documents/?uuid=c4450dc5-c10c-4bc5-9f86-0fa6a65b2853" ] }, { "id" : "ITEM-3", "itemData" : { "DOI" : "10.1074/jbc.M404931200", "ISBN" : "0021-9258 (Print)\r0021-9258 (Linking)", "PMID" : "15292246", "abstract" : "We have established the structures of 10 human microRNA (miRNA) precursors using biochemical methods. Eight of these structures turned out to be different from those that were computer-predicted. The differences localized in the terminal loop region and at the opposite side of the precursor hairpin stem. We have analyzed the features of these structures from the perspectives of miRNA biogenesis and active strand selection. We demonstrated the different thermodynamic stability profiles for pre-miRNA hairpins harboring miRNAs at their 5'- and 3'-sides and discussed their functional implications. Our results showed that miRNA prediction based on predicted precursor structures may give ambiguous results, and the success rate is significantly higher for the experimentally determined structures. On the other hand, the differences between the predicted and experimentally determined structures did not affect the stability of termini produced through \"conceptual dicing.\" This result confirms the value of thermodynamic analysis based on mfold as a predictor of strand section by RNAi-induced silencing complex (RISC).", "author" : [ { "dropping-particle" : "", "family" : "Krol", "given" : "J", "non-dropping-particle" : "", "parse-names" : false, "suffix" : "" }, { "dropping-particle" : "", "family" : "Sobczak", "given" : "K", "non-dropping-particle" : "", "parse-names" : false, "suffix" : "" }, { "dropping-particle" : "", "family" : "Wilczynska", "given" : "U", "non-dropping-particle" : "", "parse-names" : false, "suffix" : "" }, { "dropping-particle" : "", "family" : "Drath", "given" : "M", "non-dropping-particle" : "", "parse-names" : false, "suffix" : "" }, { "dropping-particle" : "", "family" : "Jasinska", "given" : "A", "non-dropping-particle" : "", "parse-names" : false, "suffix" : "" }, { "dropping-particle" : "", "family" : "Kaczynska", "given" : "D", "non-dropping-particle" : "", "parse-names" : false, "suffix" : "" }, { "dropping-particle" : "", "family" : "Krzyzosiak", "given" : "W J", "non-dropping-particle" : "", "parse-names" : false, "suffix" : "" } ], "container-title" : "J Biol Chem", "edition" : "2004/08/05", "id" : "ITEM-3", "issue" : "40", "issued" : { "date-parts" : [ [ "2004" ] ] }, "language" : "eng", "note" : "Krol, Jacek\nSobczak, Krzysztof\nWilczynska, Urszula\nDrath, Maria\nJasinska, Anna\nKaczynska, Danuta\nKrzyzosiak, Wlodzimierz J\nJ Biol Chem. 2004 Oct 1;279(40):42230-9. Epub 2004 Aug 2.", "page" : "42230-42239", "title" : "Structural features of microRNA (miRNA) precursors and their relevance to miRNA biogenesis and small interfering RNA/short hairpin RNA design", "type" : "article-journal", "volume" : "279" }, "uris" : [ "http://www.mendeley.com/documents/?uuid=b27a9f11-54e9-4c2b-a24d-e6bfc88a7d3b" ] } ], "mendeley" : { "formattedCitation" : "(Gu et al., 2011; Khvorova, Reynolds, &amp; Jayasena, 2003; Krol et al., 2004)", "plainTextFormattedCitation" : "(Gu et al., 2011; Khvorova, Reynolds, &amp; Jayasena, 2003; Krol et al., 2004)", "previouslyFormattedCitation" : "(Gu et al., 2011; Khvorova, Reynolds, &amp; Jayasena, 2003; Krol et al., 2004)" }, "properties" : { "noteIndex" : 0 }, "schema" : "https://github.com/citation-style-language/schema/raw/master/csl-citation.json" }</w:instrText>
      </w:r>
      <w:r>
        <w:rPr>
          <w:rFonts w:ascii="Calibri" w:hAnsi="Calibri" w:cs="Arial"/>
        </w:rPr>
        <w:fldChar w:fldCharType="separate"/>
      </w:r>
      <w:r w:rsidRPr="001C309E">
        <w:rPr>
          <w:rFonts w:ascii="Calibri" w:hAnsi="Calibri" w:cs="Arial"/>
          <w:noProof/>
        </w:rPr>
        <w:t>(Gu et al., 2011; Khvorova, Reynolds, &amp; Jayasena, 2003; Krol et al., 2004)</w:t>
      </w:r>
      <w:r>
        <w:rPr>
          <w:rFonts w:ascii="Calibri" w:hAnsi="Calibri" w:cs="Arial"/>
        </w:rPr>
        <w:fldChar w:fldCharType="end"/>
      </w:r>
      <w:r>
        <w:rPr>
          <w:rFonts w:ascii="Calibri" w:hAnsi="Calibri" w:cs="Arial"/>
        </w:rPr>
        <w:t xml:space="preserve">) </w:t>
      </w:r>
      <w:r w:rsidRPr="00A9637D">
        <w:rPr>
          <w:rFonts w:ascii="Calibri" w:hAnsi="Calibri" w:cs="Arial"/>
        </w:rPr>
        <w:t>loaded into one of the four Argonaute (AGO)</w:t>
      </w:r>
      <w:r>
        <w:rPr>
          <w:rFonts w:ascii="Calibri" w:hAnsi="Calibri" w:cs="Arial"/>
        </w:rPr>
        <w:t xml:space="preserve"> proteins</w:t>
      </w:r>
      <w:r w:rsidRPr="00A9637D">
        <w:rPr>
          <w:rFonts w:ascii="Calibri" w:hAnsi="Calibri" w:cs="Arial"/>
        </w:rPr>
        <w:t xml:space="preserve"> </w:t>
      </w:r>
      <w:r>
        <w:rPr>
          <w:rFonts w:ascii="Calibri" w:hAnsi="Calibri" w:cs="Arial"/>
        </w:rPr>
        <w:fldChar w:fldCharType="begin" w:fldLock="1"/>
      </w:r>
      <w:r>
        <w:rPr>
          <w:rFonts w:ascii="Calibri" w:hAnsi="Calibri" w:cs="Arial"/>
        </w:rPr>
        <w:instrText>ADDIN CSL_CITATION { "citationItems" : [ { "id" : "ITEM-1", "itemData" : { "DOI" : "10.1016/j.tibs.2010.03.009", "ISSN" : "0968-0004", "PMID" : "20395147", "abstract" : "It is well established that 20- to 30-nt small RNAs, including small interfering RNAs, microRNAs and Piwi-interacting RNAs, play crucial roles in regulating gene expression and control a surprisingly diverse array of biological processes. These small RNAs cannot work alone: they must form effector ribonucleoprotein complexes - RNA-induced silencing complexes (RISCs) - to exert their function. Thus, RISC assembly is a key process in small RNA-mediated silencing. Recent biochemical analyses of RISC assembly, together with new structural studies of Argonaute, the core protein component of RISC, suggest a revised view of how mature RISC, which contains single-stranded guide RNA, is built from small RNAs that are born double-stranded.", "author" : [ { "dropping-particle" : "", "family" : "Kawamata", "given" : "Tomoko", "non-dropping-particle" : "", "parse-names" : false, "suffix" : "" }, { "dropping-particle" : "", "family" : "Tomari", "given" : "Yukihide", "non-dropping-particle" : "", "parse-names" : false, "suffix" : "" } ], "container-title" : "Trends in biochemical sciences", "id" : "ITEM-1", "issue" : "7", "issued" : { "date-parts" : [ [ "2010", "7" ] ] }, "page" : "368-76", "title" : "Making RISC.", "type" : "article-journal", "volume" : "35" }, "uris" : [ "http://www.mendeley.com/documents/?uuid=5dd83afa-d214-4c17-ba39-cb3b79bc7241" ] } ], "mendeley" : { "formattedCitation" : "(Kawamata &amp; Tomari, 2010)", "plainTextFormattedCitation" : "(Kawamata &amp; Tomari, 2010)", "previouslyFormattedCitation" : "(Kawamata &amp; Tomari, 2010)" }, "properties" : { "noteIndex" : 0 }, "schema" : "https://github.com/citation-style-language/schema/raw/master/csl-citation.json" }</w:instrText>
      </w:r>
      <w:r>
        <w:rPr>
          <w:rFonts w:ascii="Calibri" w:hAnsi="Calibri" w:cs="Arial"/>
        </w:rPr>
        <w:fldChar w:fldCharType="separate"/>
      </w:r>
      <w:r w:rsidRPr="001C309E">
        <w:rPr>
          <w:rFonts w:ascii="Calibri" w:hAnsi="Calibri" w:cs="Arial"/>
          <w:noProof/>
        </w:rPr>
        <w:t>(Kawamata &amp; Tomari, 2010)</w:t>
      </w:r>
      <w:r>
        <w:rPr>
          <w:rFonts w:ascii="Calibri" w:hAnsi="Calibri" w:cs="Arial"/>
        </w:rPr>
        <w:fldChar w:fldCharType="end"/>
      </w:r>
      <w:r>
        <w:rPr>
          <w:rFonts w:ascii="Calibri" w:hAnsi="Calibri" w:cs="Arial"/>
        </w:rPr>
        <w:t xml:space="preserve"> from an endogenous (miRNA) or exogenous (siRNA) dsRNA precursor</w:t>
      </w:r>
      <w:r w:rsidRPr="00A9637D">
        <w:rPr>
          <w:rFonts w:ascii="Calibri" w:hAnsi="Calibri" w:cs="Arial"/>
        </w:rPr>
        <w:t xml:space="preserve">. </w:t>
      </w:r>
      <w:r>
        <w:rPr>
          <w:rFonts w:ascii="Calibri" w:hAnsi="Calibri" w:cs="Arial"/>
        </w:rPr>
        <w:t>T</w:t>
      </w:r>
      <w:r w:rsidRPr="00A9637D">
        <w:rPr>
          <w:rFonts w:ascii="Calibri" w:hAnsi="Calibri" w:cs="Arial"/>
        </w:rPr>
        <w:t xml:space="preserve">he reverse complement ‘passenger’ strand </w:t>
      </w:r>
      <w:r>
        <w:rPr>
          <w:rFonts w:ascii="Calibri" w:hAnsi="Calibri" w:cs="Arial"/>
        </w:rPr>
        <w:t xml:space="preserve">(blue) </w:t>
      </w:r>
      <w:r w:rsidRPr="00A9637D">
        <w:rPr>
          <w:rFonts w:ascii="Calibri" w:hAnsi="Calibri" w:cs="Arial"/>
        </w:rPr>
        <w:t>is discarded.</w:t>
      </w:r>
      <w:r>
        <w:rPr>
          <w:rFonts w:ascii="Calibri" w:hAnsi="Calibri" w:cs="Arial"/>
        </w:rPr>
        <w:t xml:space="preserve"> The outcome of target interaction with RISC depends on the AGO component, site of RISC interaction within the target (e.g. coding or untranslated regions (UTR)), degree of complementarity and subcellular complex localization, i.e the cytosol (blue functions) or the nucleus (</w:t>
      </w:r>
      <w:r w:rsidR="001837E0">
        <w:rPr>
          <w:rFonts w:ascii="Calibri" w:hAnsi="Calibri" w:cs="Arial"/>
        </w:rPr>
        <w:t>red</w:t>
      </w:r>
      <w:r>
        <w:rPr>
          <w:rFonts w:ascii="Calibri" w:hAnsi="Calibri" w:cs="Arial"/>
        </w:rPr>
        <w:t xml:space="preserve"> functions).</w:t>
      </w:r>
    </w:p>
    <w:p w14:paraId="19E1BB8C" w14:textId="77777777" w:rsidR="003D4FB7" w:rsidRDefault="003D4FB7" w:rsidP="003D4FB7">
      <w:pPr>
        <w:spacing w:line="480" w:lineRule="auto"/>
        <w:jc w:val="both"/>
        <w:rPr>
          <w:rFonts w:ascii="Calibri" w:hAnsi="Calibri" w:cs="Arial"/>
        </w:rPr>
      </w:pPr>
    </w:p>
    <w:p w14:paraId="03E4A97A" w14:textId="77777777" w:rsidR="003D4FB7" w:rsidRDefault="003D4FB7" w:rsidP="003D4FB7">
      <w:pPr>
        <w:spacing w:line="480" w:lineRule="auto"/>
        <w:jc w:val="both"/>
        <w:rPr>
          <w:rFonts w:ascii="Calibri" w:hAnsi="Calibri" w:cs="Arial"/>
        </w:rPr>
      </w:pPr>
    </w:p>
    <w:p w14:paraId="764668F6" w14:textId="77777777" w:rsidR="003D4FB7" w:rsidRDefault="003D4FB7" w:rsidP="003D4FB7">
      <w:pPr>
        <w:spacing w:line="480" w:lineRule="auto"/>
        <w:jc w:val="both"/>
        <w:rPr>
          <w:rFonts w:ascii="Calibri" w:hAnsi="Calibri" w:cs="Arial"/>
        </w:rPr>
      </w:pPr>
    </w:p>
    <w:p w14:paraId="063595B0" w14:textId="47C5B40B" w:rsidR="001837E0" w:rsidRDefault="001837E0">
      <w:pPr>
        <w:rPr>
          <w:rFonts w:ascii="Calibri" w:hAnsi="Calibri" w:cs="Arial"/>
        </w:rPr>
      </w:pPr>
      <w:r>
        <w:rPr>
          <w:rFonts w:ascii="Calibri" w:hAnsi="Calibri" w:cs="Arial"/>
        </w:rPr>
        <w:br w:type="page"/>
      </w:r>
    </w:p>
    <w:p w14:paraId="0698D60D" w14:textId="53D29D02" w:rsidR="003D4FB7" w:rsidRDefault="001837E0" w:rsidP="003D4FB7">
      <w:pPr>
        <w:spacing w:line="480" w:lineRule="auto"/>
        <w:jc w:val="both"/>
        <w:rPr>
          <w:rFonts w:ascii="Calibri" w:hAnsi="Calibri" w:cs="Arial"/>
        </w:rPr>
      </w:pPr>
      <w:r w:rsidRPr="001837E0">
        <w:rPr>
          <w:rFonts w:ascii="Calibri" w:hAnsi="Calibri" w:cs="Arial"/>
        </w:rPr>
        <w:lastRenderedPageBreak/>
        <w:drawing>
          <wp:inline distT="0" distB="0" distL="0" distR="0" wp14:anchorId="51DE436C" wp14:editId="0AFB6BDD">
            <wp:extent cx="5727700" cy="419544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4195445"/>
                    </a:xfrm>
                    <a:prstGeom prst="rect">
                      <a:avLst/>
                    </a:prstGeom>
                  </pic:spPr>
                </pic:pic>
              </a:graphicData>
            </a:graphic>
          </wp:inline>
        </w:drawing>
      </w:r>
    </w:p>
    <w:p w14:paraId="50BC3F34" w14:textId="77777777" w:rsidR="003D4FB7" w:rsidRPr="004B56C9" w:rsidRDefault="003D4FB7" w:rsidP="003D4FB7">
      <w:pPr>
        <w:spacing w:line="480" w:lineRule="auto"/>
        <w:jc w:val="both"/>
        <w:rPr>
          <w:rFonts w:ascii="Calibri" w:hAnsi="Calibri" w:cs="Arial"/>
        </w:rPr>
      </w:pPr>
      <w:r>
        <w:rPr>
          <w:rFonts w:ascii="Calibri" w:hAnsi="Calibri" w:cs="Arial"/>
          <w:b/>
        </w:rPr>
        <w:t xml:space="preserve">Figure 3: Key backbone and nucleoside modifications used in oligonucleotide therapeutics. </w:t>
      </w:r>
      <w:r>
        <w:rPr>
          <w:rFonts w:ascii="Calibri" w:hAnsi="Calibri" w:cs="Arial"/>
        </w:rPr>
        <w:t xml:space="preserve">(A) The most popular oligonucleotide modification (orange) of oligonucleotide backbones replaces one oxygen with a sulfur group. Morpholinos (PMO) have an uncharged backbone and six-membered rings replacing riboses that do not impact on solubility, appear to increase affinity (melting temperatures with RNA targets, ~20oC increase per ASO </w:t>
      </w:r>
      <w:r>
        <w:rPr>
          <w:rFonts w:ascii="Calibri" w:hAnsi="Calibri" w:cs="Arial"/>
        </w:rPr>
        <w:fldChar w:fldCharType="begin" w:fldLock="1"/>
      </w:r>
      <w:r>
        <w:rPr>
          <w:rFonts w:ascii="Calibri" w:hAnsi="Calibri" w:cs="Arial"/>
        </w:rPr>
        <w:instrText>ADDIN CSL_CITATION { "citationItems" : [ { "id" : "ITEM-1", "itemData" : { "DOI" : "10.1089/oli.1.1997.7.187", "ISSN" : "1087-2906", "abstract" : "Antisense promised major advances in treating a broad range of intractable diseases, but in recent years progress has been stymied by technical problems, most notably inadequate specificity, ineffective delivery into the proper subcellular compartment, and unpredictable activity within cells. Herein is an overview of the design, preparation, and properties of Morpholino oligos, a novel antisense structural type that solves the sequence specificity problem and provides high and predictable activity in cells. Morpholino oligos also exhibit little or no nonantisense activity, afford good water solubility, are immune to nucleases, and are designed to have low production costs.", "author" : [ { "dropping-particle" : "", "family" : "Summerton", "given" : "James", "non-dropping-particle" : "", "parse-names" : false, "suffix" : "" }, { "dropping-particle" : "", "family" : "Weller", "given" : "Dwight", "non-dropping-particle" : "", "parse-names" : false, "suffix" : "" } ], "container-title" : "Antisense and Nucleic Acid Drug Development", "id" : "ITEM-1", "issue" : "3", "issued" : { "date-parts" : [ [ "1997", "6", "30" ] ] }, "language" : "EN", "page" : "187-195", "title" : "Morpholino Antisense Oligomers: Design, Preparation, and Properties", "type" : "article-journal", "volume" : "7" }, "uris" : [ "http://www.mendeley.com/documents/?uuid=b9af7dad-721e-4f88-b0ae-5f6e00705e43" ] } ], "mendeley" : { "formattedCitation" : "(J. Summerton &amp; Weller, 1997)", "manualFormatting" : "(Summerton &amp; Weller, 1997)", "plainTextFormattedCitation" : "(J. Summerton &amp; Weller, 1997)", "previouslyFormattedCitation" : "(J. Summerton &amp; Weller, 1997)" }, "properties" : { "noteIndex" : 0 }, "schema" : "https://github.com/citation-style-language/schema/raw/master/csl-citation.json" }</w:instrText>
      </w:r>
      <w:r>
        <w:rPr>
          <w:rFonts w:ascii="Calibri" w:hAnsi="Calibri" w:cs="Arial"/>
        </w:rPr>
        <w:fldChar w:fldCharType="separate"/>
      </w:r>
      <w:r w:rsidRPr="00832EE5">
        <w:rPr>
          <w:rFonts w:ascii="Calibri" w:hAnsi="Calibri" w:cs="Arial"/>
          <w:noProof/>
        </w:rPr>
        <w:t>(S</w:t>
      </w:r>
      <w:r>
        <w:rPr>
          <w:rFonts w:ascii="Calibri" w:hAnsi="Calibri" w:cs="Arial"/>
          <w:noProof/>
        </w:rPr>
        <w:t>ummerton</w:t>
      </w:r>
      <w:r w:rsidRPr="00832EE5">
        <w:rPr>
          <w:rFonts w:ascii="Calibri" w:hAnsi="Calibri" w:cs="Arial"/>
          <w:noProof/>
        </w:rPr>
        <w:t xml:space="preserve"> &amp; W</w:t>
      </w:r>
      <w:r>
        <w:rPr>
          <w:rFonts w:ascii="Calibri" w:hAnsi="Calibri" w:cs="Arial"/>
          <w:noProof/>
        </w:rPr>
        <w:t>eller</w:t>
      </w:r>
      <w:r w:rsidRPr="00832EE5">
        <w:rPr>
          <w:rFonts w:ascii="Calibri" w:hAnsi="Calibri" w:cs="Arial"/>
          <w:noProof/>
        </w:rPr>
        <w:t>, 1997)</w:t>
      </w:r>
      <w:r>
        <w:rPr>
          <w:rFonts w:ascii="Calibri" w:hAnsi="Calibri" w:cs="Arial"/>
        </w:rPr>
        <w:fldChar w:fldCharType="end"/>
      </w:r>
      <w:r>
        <w:rPr>
          <w:rFonts w:ascii="Calibri" w:hAnsi="Calibri" w:cs="Arial"/>
        </w:rPr>
        <w:t xml:space="preserve">). The MOA of PMO is restricted to RNase H-free mechanisms </w:t>
      </w:r>
      <w:r>
        <w:rPr>
          <w:rFonts w:ascii="Calibri" w:hAnsi="Calibri" w:cs="Arial"/>
        </w:rPr>
        <w:fldChar w:fldCharType="begin" w:fldLock="1"/>
      </w:r>
      <w:r>
        <w:rPr>
          <w:rFonts w:ascii="Calibri" w:hAnsi="Calibri" w:cs="Arial"/>
        </w:rPr>
        <w:instrText>ADDIN CSL_CITATION { "citationItems" : [ { "id" : "ITEM-1", "itemData" : { "DOI" : "10.1016/S0167-4781(99)00150-5", "ISSN" : "01674781", "abstract" : "RNase H-competent phosphorothioates (S-DNAs) have dominated the antisense field in large part because they offer reasonable resistance to nucleases, they afford good efficacy in cell-free test systems, they can be targeted against sites throughout the RNA transcript of a gene, and they are widely available from commercial sources at modest prices. However, these merits are counterbalanced by significant limitations, including: degradation by nucleases, poor in-cell targeting predictability, low sequence specificity, and a variety of non-antisense activities. In cell-free and cultured-cell systems where one wishes to block the translation of a messenger RNA coding for a normal protein, RNase H-independent morpholino antisense oligos provide complete resistance to nucleases, generally good targeting predictability, generally high in-cell efficacy, excellent sequence specificity, and very preliminary results suggest they may exhibit little non-antisense activity.", "author" : [ { "dropping-particle" : "", "family" : "Summerton", "given" : "James", "non-dropping-particle" : "", "parse-names" : false, "suffix" : "" } ], "container-title" : "Biochimica et Biophysica Acta (BBA) - Gene Structure and Expression", "id" : "ITEM-1", "issue" : "1", "issued" : { "date-parts" : [ [ "1999", "12" ] ] }, "page" : "141-158", "title" : "Morpholino antisense oligomers: the case for an RNase H-independent structural type", "type" : "article-journal", "volume" : "1489" }, "uris" : [ "http://www.mendeley.com/documents/?uuid=8d528888-bcdb-4b02-944b-0121fe9a7a8e" ] } ], "mendeley" : { "formattedCitation" : "(J. Summerton, 1999)", "plainTextFormattedCitation" : "(J. Summerton, 1999)", "previouslyFormattedCitation" : "(J. Summerton, 1999)" }, "properties" : { "noteIndex" : 0 }, "schema" : "https://github.com/citation-style-language/schema/raw/master/csl-citation.json" }</w:instrText>
      </w:r>
      <w:r>
        <w:rPr>
          <w:rFonts w:ascii="Calibri" w:hAnsi="Calibri" w:cs="Arial"/>
        </w:rPr>
        <w:fldChar w:fldCharType="separate"/>
      </w:r>
      <w:r w:rsidRPr="00B3723C">
        <w:rPr>
          <w:rFonts w:ascii="Calibri" w:hAnsi="Calibri" w:cs="Arial"/>
          <w:noProof/>
        </w:rPr>
        <w:t>(J. Summerton, 1999)</w:t>
      </w:r>
      <w:r>
        <w:rPr>
          <w:rFonts w:ascii="Calibri" w:hAnsi="Calibri" w:cs="Arial"/>
        </w:rPr>
        <w:fldChar w:fldCharType="end"/>
      </w:r>
      <w:r>
        <w:rPr>
          <w:rFonts w:ascii="Calibri" w:hAnsi="Calibri" w:cs="Arial"/>
        </w:rPr>
        <w:t xml:space="preserve"> and involves translation inhibition, splice switching and miRNA blockade  </w:t>
      </w:r>
      <w:r>
        <w:rPr>
          <w:rFonts w:ascii="Calibri" w:hAnsi="Calibri" w:cs="Arial"/>
        </w:rPr>
        <w:fldChar w:fldCharType="begin" w:fldLock="1"/>
      </w:r>
      <w:r>
        <w:rPr>
          <w:rFonts w:ascii="Calibri" w:hAnsi="Calibri" w:cs="Arial"/>
        </w:rPr>
        <w:instrText>ADDIN CSL_CITATION { "citationItems" : [ { "id" : "ITEM-1", "itemData" : { "DOI" : "10.1242/dev.001115", "ISSN" : "0950-1991", "PMID" : "18403413", "abstract" : "One of the most significant problems facing developmental biologists who do not work on an organism with well-developed genetics - and even for some who do - is how to inhibit the action of a gene of interest during development so as to learn about its normal biological function. A widely adopted approach is to use antisense technologies, and especially morpholino antisense oligonucleotides. In this article, we review the use of such reagents and present examples of how they have provided insights into developmental mechanisms. We also discuss how the use of morpholinos can lead to misleading results, including off-target effects, and we suggest controls that will allow researchers to interpret morpholino experiments correctly.", "author" : [ { "dropping-particle" : "", "family" : "Eisen", "given" : "Judith S", "non-dropping-particle" : "", "parse-names" : false, "suffix" : "" }, { "dropping-particle" : "", "family" : "Smith", "given" : "James C", "non-dropping-particle" : "", "parse-names" : false, "suffix" : "" } ], "container-title" : "Development (Cambridge, England)", "id" : "ITEM-1", "issue" : "10", "issued" : { "date-parts" : [ [ "2008", "5", "15" ] ] }, "page" : "1735-43", "title" : "Controlling morpholino experiments: don't stop making antisense.", "type" : "article-journal", "volume" : "135" }, "uris" : [ "http://www.mendeley.com/documents/?uuid=79881dec-a181-4a92-9d37-6241ebf6a2ee" ] } ], "mendeley" : { "formattedCitation" : "(Eisen &amp; Smith, 2008)", "plainTextFormattedCitation" : "(Eisen &amp; Smith, 2008)", "previouslyFormattedCitation" : "(Eisen &amp; Smith, 2008)" }, "properties" : { "noteIndex" : 0 }, "schema" : "https://github.com/citation-style-language/schema/raw/master/csl-citation.json" }</w:instrText>
      </w:r>
      <w:r>
        <w:rPr>
          <w:rFonts w:ascii="Calibri" w:hAnsi="Calibri" w:cs="Arial"/>
        </w:rPr>
        <w:fldChar w:fldCharType="separate"/>
      </w:r>
      <w:r w:rsidRPr="003A62F0">
        <w:rPr>
          <w:rFonts w:ascii="Calibri" w:hAnsi="Calibri" w:cs="Arial"/>
          <w:noProof/>
        </w:rPr>
        <w:t>(Eisen &amp; Smith, 2008)</w:t>
      </w:r>
      <w:r>
        <w:rPr>
          <w:rFonts w:ascii="Calibri" w:hAnsi="Calibri" w:cs="Arial"/>
        </w:rPr>
        <w:fldChar w:fldCharType="end"/>
      </w:r>
      <w:r>
        <w:rPr>
          <w:rFonts w:ascii="Calibri" w:hAnsi="Calibri" w:cs="Arial"/>
        </w:rPr>
        <w:t xml:space="preserve">. Peptide nucleic acids (PNA) use entirely acyclic backbones conveying generally neutral charge and robust nuclease resistance and improve target affinity </w:t>
      </w:r>
      <w:r>
        <w:rPr>
          <w:rFonts w:ascii="Calibri" w:hAnsi="Calibri" w:cs="Arial"/>
        </w:rPr>
        <w:fldChar w:fldCharType="begin" w:fldLock="1"/>
      </w:r>
      <w:r>
        <w:rPr>
          <w:rFonts w:ascii="Calibri" w:hAnsi="Calibri" w:cs="Arial"/>
        </w:rPr>
        <w:instrText>ADDIN CSL_CITATION { "citationItems" : [ { "id" : "ITEM-1", "itemData" : { "ISSN" : "0036-8075", "PMID" : "1962210", "abstract" : "A polyamide nucleic acid (PNA) was designed by detaching the deoxyribose phosphate backbone of DNA in a computer model and replacing it with an achiral polyamide backbone. On the basis of this model, oligomers consisting of thymine-linked aminoethylglycyl units were prepared. These oligomers recognize their complementary target in double-stranded DNA by strand displacement. The displacement is made possible by the extraordinarily high stability of the PNA-DNA hybrids. The results show that the backbone of DNA can be replaced by a polyamide, with the resulting oligomer retaining base-specific hybridization.", "author" : [ { "dropping-particle" : "", "family" : "Nielsen", "given" : "P E", "non-dropping-particle" : "", "parse-names" : false, "suffix" : "" }, { "dropping-particle" : "", "family" : "Egholm", "given" : "M", "non-dropping-particle" : "", "parse-names" : false, "suffix" : "" }, { "dropping-particle" : "", "family" : "Berg", "given" : "R H", "non-dropping-particle" : "", "parse-names" : false, "suffix" : "" }, { "dropping-particle" : "", "family" : "Buchardt", "given" : "O", "non-dropping-particle" : "", "parse-names" : false, "suffix" : "" } ], "container-title" : "Science (New York, N.Y.)", "id" : "ITEM-1", "issue" : "5037", "issued" : { "date-parts" : [ [ "1991", "12", "6" ] ] }, "page" : "1497-500", "title" : "Sequence-selective recognition of DNA by strand displacement with a thymine-substituted polyamide.", "type" : "article-journal", "volume" : "254" }, "uris" : [ "http://www.mendeley.com/documents/?uuid=b72aba2c-7dcc-4ce0-b863-970bceaf240d" ] } ], "mendeley" : { "formattedCitation" : "(Nielsen, Egholm, Berg, &amp; Buchardt, 1991)", "plainTextFormattedCitation" : "(Nielsen, Egholm, Berg, &amp; Buchardt, 1991)", "previouslyFormattedCitation" : "(Nielsen, Egholm, Berg, &amp; Buchardt, 1991)" }, "properties" : { "noteIndex" : 0 }, "schema" : "https://github.com/citation-style-language/schema/raw/master/csl-citation.json" }</w:instrText>
      </w:r>
      <w:r>
        <w:rPr>
          <w:rFonts w:ascii="Calibri" w:hAnsi="Calibri" w:cs="Arial"/>
        </w:rPr>
        <w:fldChar w:fldCharType="separate"/>
      </w:r>
      <w:r w:rsidRPr="007B0102">
        <w:rPr>
          <w:rFonts w:ascii="Calibri" w:hAnsi="Calibri" w:cs="Arial"/>
          <w:noProof/>
        </w:rPr>
        <w:t>(Nielsen, Egholm, Berg, &amp; Buchardt, 1991)</w:t>
      </w:r>
      <w:r>
        <w:rPr>
          <w:rFonts w:ascii="Calibri" w:hAnsi="Calibri" w:cs="Arial"/>
        </w:rPr>
        <w:fldChar w:fldCharType="end"/>
      </w:r>
      <w:r>
        <w:rPr>
          <w:rFonts w:ascii="Calibri" w:hAnsi="Calibri" w:cs="Arial"/>
        </w:rPr>
        <w:t xml:space="preserve">, evidenced even in siRNA modification </w:t>
      </w:r>
      <w:r>
        <w:rPr>
          <w:rFonts w:ascii="Calibri" w:hAnsi="Calibri" w:cs="Arial"/>
        </w:rPr>
        <w:fldChar w:fldCharType="begin" w:fldLock="1"/>
      </w:r>
      <w:r>
        <w:rPr>
          <w:rFonts w:ascii="Calibri" w:hAnsi="Calibri" w:cs="Arial"/>
        </w:rPr>
        <w:instrText>ADDIN CSL_CITATION { "citationItems" : [ { "id" : "ITEM-1", "itemData" : { "DOI" : "10.1016/j.bmcl.2012.09.009", "ISSN" : "1464-3405", "PMID" : "23062704", "abstract" : "Chemically modified short interfering RNAs (siRNAs) that contain backbone amide-bonds at both 3'-overhangs and internal positions were synthesized. These siRNAs contain the modifications within both the sense and antisense strands that target the transcripts from pGL2 and pGL3. The siRNAs were synthesized via site-specific incorporation of a PNA-RNA dimer by solid-phase phosphoramidite techniques. The silencing data suggest a high degree of compatibility of amide-modified siRNAs within the RNAi pathway when located internally within the sense strand and at 3'-overhangs. Biophysical data indicates that melting temperatures of the siRNAs decrease when the modification is located internally.", "author" : [ { "dropping-particle" : "", "family" : "Gong", "given" : "Wei", "non-dropping-particle" : "", "parse-names" : false, "suffix" : "" }, { "dropping-particle" : "", "family" : "Desaulniers", "given" : "Jean-Paul", "non-dropping-particle" : "", "parse-names" : false, "suffix" : "" } ], "container-title" : "Bioorganic &amp; medicinal chemistry letters", "id" : "ITEM-1", "issue" : "22", "issued" : { "date-parts" : [ [ "2012", "11", "15" ] ] }, "page" : "6934-7", "title" : "Gene-silencing properties of siRNAs that contain internal amide-bond linkages.", "type" : "article-journal", "volume" : "22" }, "uris" : [ "http://www.mendeley.com/documents/?uuid=8b5f1c34-bd84-416c-8598-a23c18bf73de" ] } ], "mendeley" : { "formattedCitation" : "(Gong &amp; Desaulniers, 2012)", "plainTextFormattedCitation" : "(Gong &amp; Desaulniers, 2012)", "previouslyFormattedCitation" : "(Gong &amp; Desaulniers, 2012)" }, "properties" : { "noteIndex" : 0 }, "schema" : "https://github.com/citation-style-language/schema/raw/master/csl-citation.json" }</w:instrText>
      </w:r>
      <w:r>
        <w:rPr>
          <w:rFonts w:ascii="Calibri" w:hAnsi="Calibri" w:cs="Arial"/>
        </w:rPr>
        <w:fldChar w:fldCharType="separate"/>
      </w:r>
      <w:r w:rsidRPr="00842050">
        <w:rPr>
          <w:rFonts w:ascii="Calibri" w:hAnsi="Calibri" w:cs="Arial"/>
          <w:noProof/>
        </w:rPr>
        <w:t>(Gong &amp; Desaulniers, 2012)</w:t>
      </w:r>
      <w:r>
        <w:rPr>
          <w:rFonts w:ascii="Calibri" w:hAnsi="Calibri" w:cs="Arial"/>
        </w:rPr>
        <w:fldChar w:fldCharType="end"/>
      </w:r>
      <w:r>
        <w:rPr>
          <w:rFonts w:ascii="Calibri" w:hAnsi="Calibri" w:cs="Arial"/>
        </w:rPr>
        <w:t xml:space="preserve">. They direct non-RNase H MOA </w:t>
      </w:r>
      <w:r>
        <w:rPr>
          <w:rFonts w:ascii="Calibri" w:hAnsi="Calibri" w:cs="Arial"/>
        </w:rPr>
        <w:fldChar w:fldCharType="begin" w:fldLock="1"/>
      </w:r>
      <w:r>
        <w:rPr>
          <w:rFonts w:ascii="Calibri" w:hAnsi="Calibri" w:cs="Arial"/>
        </w:rPr>
        <w:instrText>ADDIN CSL_CITATION { "citationItems" : [ { "id" : "ITEM-1", "itemData" : { "ISSN" : "1431-6730", "PMID" : "9792437", "abstract" : "Oligonucleotide analogs are of major interest as tools in molecular biology, as diagnostics, and as potential pharmaceuticals which bind in a predictable way to certain nucleic acid target sequences, aiming at the inhibition of expression of disease-causing genes. One of the most promising nucleic acid mimetics are the peptide - or polyamide- nucleic acids (PNA) which bind with higher affinity to DNA and RNA than natural oligonucleotides. In these non-ionic PNAs, the entire sugar-phosphate backbone is replaced by an N-aminoethylglycine-based polyamide structure. A unique property of PNA is its ability to displace one strand of a DNA double-helix. This strand displacement process, which is inefficient with DNA, is supported by the formation of an unusually stable internal (PNA)2 x DNA triple helix. The combination of PNA and DNA in one molecule results in PNA/DNA chimeras with new properties. They show improved aqueous solubility compared to pure PNAs due to their partially negatively charged structure. Furthermore, the cellular uptake of the chimeras is better than of pure PNAs. In contrast to PNA, the chimeras bind exclusively in the antiparallel orientation under physiological conditions. The binding affinity is generally stronger when the PNA/DNA chimeras are hybridized to RNAthan to DNA, whereby the strength of binding strongly depends on the PNA: DNA ratio. Most interestingly, PNA/DNA chimeras are recognized as substrates by various nucleic acid processing enzymes, and consequently can also assume biological functions, such as a primer function for DNA polymerases. Pure PNA cannot induce RNase H cleavage of target RNA, which is believed to support the biological efficacy of antisense agents. However, DNA-PNA chimeras are able to stimulate cleavage of the target RNA by RNase H upon formation of an RNA x chimera duplex.", "author" : [ { "dropping-particle" : "", "family" : "Uhlmann", "given" : "E", "non-dropping-particle" : "", "parse-names" : false, "suffix" : "" } ], "container-title" : "Biological chemistry", "id" : "ITEM-1", "issue" : "8-9", "issued" : { "date-parts" : [ [ "1998", "1" ] ] }, "page" : "1045-52", "title" : "Peptide nucleic acids (PNA) and PNA-DNA chimeras: from high binding affinity towards biological function.", "type" : "article-journal", "volume" : "379" }, "uris" : [ "http://www.mendeley.com/documents/?uuid=8c484104-d8ea-44e2-a698-b8800fcaa0cf" ] } ], "mendeley" : { "formattedCitation" : "(Uhlmann, 1998)", "plainTextFormattedCitation" : "(Uhlmann, 1998)", "previouslyFormattedCitation" : "(Uhlmann, 1998)" }, "properties" : { "noteIndex" : 0 }, "schema" : "https://github.com/citation-style-language/schema/raw/master/csl-citation.json" }</w:instrText>
      </w:r>
      <w:r>
        <w:rPr>
          <w:rFonts w:ascii="Calibri" w:hAnsi="Calibri" w:cs="Arial"/>
        </w:rPr>
        <w:fldChar w:fldCharType="separate"/>
      </w:r>
      <w:r w:rsidRPr="001E1444">
        <w:rPr>
          <w:rFonts w:ascii="Calibri" w:hAnsi="Calibri" w:cs="Arial"/>
          <w:noProof/>
        </w:rPr>
        <w:t>(Uhlmann, 1998)</w:t>
      </w:r>
      <w:r>
        <w:rPr>
          <w:rFonts w:ascii="Calibri" w:hAnsi="Calibri" w:cs="Arial"/>
        </w:rPr>
        <w:fldChar w:fldCharType="end"/>
      </w:r>
      <w:r>
        <w:rPr>
          <w:rFonts w:ascii="Calibri" w:hAnsi="Calibri" w:cs="Arial"/>
        </w:rPr>
        <w:t xml:space="preserve">  in eukaryotes and prokaryotes </w:t>
      </w:r>
      <w:r>
        <w:rPr>
          <w:rFonts w:ascii="Calibri" w:hAnsi="Calibri" w:cs="Arial"/>
        </w:rPr>
        <w:fldChar w:fldCharType="begin" w:fldLock="1"/>
      </w:r>
      <w:r>
        <w:rPr>
          <w:rFonts w:ascii="Calibri" w:hAnsi="Calibri" w:cs="Arial"/>
        </w:rPr>
        <w:instrText>ADDIN CSL_CITATION { "citationItems" : [ { "id" : "ITEM-1", "itemData" : { "ISSN" : "1389-0344", "PMID" : "11337277", "abstract" : "Small synthetic molecules that can specifically inhibit translation and/or transcription have shown great promise as potential antisense/antigene drugs. Peptide nucleic acid (PNA), an oligonucleotide mimic, has a non-charged achiral polyamide backbone to which the nucleobases are attached. PNA oligomers are extremely stable in biological fluids and they specifically hybridise to DNA or RNA in a complementary manner, forming very strong heteroduplexes. Some of the mRNAs have yet undetermined and possibly long half-lives, successful down regulation of gene expression by antisense oligonucleotides (ON) requires that the antisense agent is long lived. PNA fulfils this requirement better than phosphodiester or phosphorothioate ONs. PNA can inhibit transcription and translation of respective genes by tight binding to DNA or mRNA. First in vitro experiments to specifically down regulate protein expression by PNA have been followed by successful antisense and antigene application of PNA oligomers in vivo. This review discusses the principles of the in vitro and in vivo use of PNA oligonucleotides.", "author" : [ { "dropping-particle" : "", "family" : "Pooga", "given" : "M", "non-dropping-particle" : "", "parse-names" : false, "suffix" : "" }, { "dropping-particle" : "", "family" : "Land", "given" : "T", "non-dropping-particle" : "", "parse-names" : false, "suffix" : "" }, { "dropping-particle" : "", "family" : "Bartfai", "given" : "T", "non-dropping-particle" : "", "parse-names" : false, "suffix" : "" }, { "dropping-particle" : "", "family" : "Langel", "given" : "U", "non-dropping-particle" : "", "parse-names" : false, "suffix" : "" } ], "container-title" : "Biomolecular engineering", "id" : "ITEM-1", "issue" : "6", "issued" : { "date-parts" : [ [ "2001", "6" ] ] }, "page" : "183-92", "title" : "PNA oligomers as tools for specific modulation of gene expression.", "type" : "article-journal", "volume" : "17" }, "uris" : [ "http://www.mendeley.com/documents/?uuid=e92e9aaa-945f-4f0e-991b-fbf1961bcd0f" ] } ], "mendeley" : { "formattedCitation" : "(Pooga, Land, Bartfai, &amp; Langel, 2001)", "plainTextFormattedCitation" : "(Pooga, Land, Bartfai, &amp; Langel, 2001)", "previouslyFormattedCitation" : "(Pooga, Land, Bartfai, &amp; Langel, 2001)" }, "properties" : { "noteIndex" : 0 }, "schema" : "https://github.com/citation-style-language/schema/raw/master/csl-citation.json" }</w:instrText>
      </w:r>
      <w:r>
        <w:rPr>
          <w:rFonts w:ascii="Calibri" w:hAnsi="Calibri" w:cs="Arial"/>
        </w:rPr>
        <w:fldChar w:fldCharType="separate"/>
      </w:r>
      <w:r w:rsidRPr="001E1444">
        <w:rPr>
          <w:rFonts w:ascii="Calibri" w:hAnsi="Calibri" w:cs="Arial"/>
          <w:noProof/>
        </w:rPr>
        <w:t>(Pooga, Land, Bartfai, &amp; Langel, 2001)</w:t>
      </w:r>
      <w:r>
        <w:rPr>
          <w:rFonts w:ascii="Calibri" w:hAnsi="Calibri" w:cs="Arial"/>
        </w:rPr>
        <w:fldChar w:fldCharType="end"/>
      </w:r>
      <w:r>
        <w:rPr>
          <w:rFonts w:ascii="Calibri" w:hAnsi="Calibri" w:cs="Arial"/>
        </w:rPr>
        <w:t xml:space="preserve">. (B) Nucleoside modifications have </w:t>
      </w:r>
      <w:r>
        <w:rPr>
          <w:rFonts w:ascii="Calibri" w:hAnsi="Calibri" w:cs="Arial"/>
        </w:rPr>
        <w:lastRenderedPageBreak/>
        <w:t xml:space="preserve">principally involved substitution of the 2’ H (DNA) or OH (RNA) group with more complicated alkyl groups, but also 2’-5’ linking groups and 2’ arabinose stereoisomers such as the </w:t>
      </w:r>
      <w:r w:rsidRPr="00F83C2A">
        <w:rPr>
          <w:rFonts w:ascii="Calibri" w:hAnsi="Calibri" w:cs="Arial"/>
          <w:lang w:val="en-GB"/>
        </w:rPr>
        <w:t>2'-deoxy-2'-fluoro-beta-D-arabinonucleic acid</w:t>
      </w:r>
      <w:r>
        <w:rPr>
          <w:rFonts w:ascii="Calibri" w:hAnsi="Calibri" w:cs="Arial"/>
          <w:lang w:val="en-GB"/>
        </w:rPr>
        <w:t xml:space="preserve"> (2’-fluoroarabino, or </w:t>
      </w:r>
      <w:r>
        <w:rPr>
          <w:rFonts w:ascii="Calibri" w:hAnsi="Calibri" w:cs="Arial"/>
        </w:rPr>
        <w:t xml:space="preserve">FANA) chemistry.  </w:t>
      </w:r>
    </w:p>
    <w:p w14:paraId="60D1858E" w14:textId="77777777" w:rsidR="003D4FB7" w:rsidRDefault="003D4FB7" w:rsidP="003D4FB7">
      <w:pPr>
        <w:spacing w:line="480" w:lineRule="auto"/>
        <w:jc w:val="both"/>
        <w:rPr>
          <w:rFonts w:ascii="Calibri" w:hAnsi="Calibri" w:cs="Arial"/>
          <w:b/>
        </w:rPr>
      </w:pPr>
    </w:p>
    <w:p w14:paraId="60FD865B" w14:textId="335B5076" w:rsidR="001837E0" w:rsidRDefault="001837E0">
      <w:pPr>
        <w:rPr>
          <w:rFonts w:ascii="Calibri" w:hAnsi="Calibri" w:cs="Arial"/>
          <w:b/>
        </w:rPr>
      </w:pPr>
      <w:r>
        <w:rPr>
          <w:rFonts w:ascii="Calibri" w:hAnsi="Calibri" w:cs="Arial"/>
          <w:b/>
        </w:rPr>
        <w:br w:type="page"/>
      </w:r>
    </w:p>
    <w:p w14:paraId="512A92F0" w14:textId="6C19B026" w:rsidR="003D4FB7" w:rsidRDefault="001837E0" w:rsidP="003D4FB7">
      <w:pPr>
        <w:spacing w:line="480" w:lineRule="auto"/>
        <w:jc w:val="both"/>
        <w:rPr>
          <w:rFonts w:ascii="Calibri" w:hAnsi="Calibri" w:cs="Arial"/>
          <w:b/>
        </w:rPr>
      </w:pPr>
      <w:r w:rsidRPr="001837E0">
        <w:rPr>
          <w:rFonts w:ascii="Calibri" w:hAnsi="Calibri" w:cs="Arial"/>
          <w:b/>
        </w:rPr>
        <w:lastRenderedPageBreak/>
        <w:drawing>
          <wp:inline distT="0" distB="0" distL="0" distR="0" wp14:anchorId="30879DD0" wp14:editId="5DBDFFB7">
            <wp:extent cx="5613400"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3924300"/>
                    </a:xfrm>
                    <a:prstGeom prst="rect">
                      <a:avLst/>
                    </a:prstGeom>
                  </pic:spPr>
                </pic:pic>
              </a:graphicData>
            </a:graphic>
          </wp:inline>
        </w:drawing>
      </w:r>
    </w:p>
    <w:p w14:paraId="79182EDE" w14:textId="77777777" w:rsidR="003D4FB7" w:rsidRPr="006825A8" w:rsidRDefault="003D4FB7" w:rsidP="003D4FB7">
      <w:pPr>
        <w:spacing w:line="480" w:lineRule="auto"/>
        <w:jc w:val="both"/>
        <w:rPr>
          <w:rFonts w:ascii="Calibri" w:hAnsi="Calibri" w:cs="Arial"/>
        </w:rPr>
      </w:pPr>
      <w:r>
        <w:rPr>
          <w:rFonts w:ascii="Calibri" w:hAnsi="Calibri" w:cs="Arial"/>
          <w:b/>
        </w:rPr>
        <w:t xml:space="preserve">Figure 4: The three generations of antisense oligonucleotides. </w:t>
      </w:r>
      <w:r>
        <w:rPr>
          <w:rFonts w:ascii="Calibri" w:hAnsi="Calibri" w:cs="Arial"/>
        </w:rPr>
        <w:t xml:space="preserve">(A) Uniform modification of the ASO backbone from phosphorothioate (black line) to phosphodiester (green line; first generation) enabled better retention in circulation, significant loading in the liver and kidney and </w:t>
      </w:r>
      <w:r>
        <w:rPr>
          <w:rFonts w:ascii="Calibri" w:hAnsi="Calibri" w:cs="Arial"/>
          <w:i/>
        </w:rPr>
        <w:t xml:space="preserve">in vivo </w:t>
      </w:r>
      <w:r>
        <w:rPr>
          <w:rFonts w:ascii="Calibri" w:hAnsi="Calibri" w:cs="Arial"/>
        </w:rPr>
        <w:t xml:space="preserve">activity without delivery systems </w:t>
      </w:r>
      <w:r>
        <w:rPr>
          <w:rFonts w:ascii="Calibri" w:hAnsi="Calibri" w:cs="Arial"/>
        </w:rPr>
        <w:fldChar w:fldCharType="begin" w:fldLock="1"/>
      </w:r>
      <w:r>
        <w:rPr>
          <w:rFonts w:ascii="Calibri" w:hAnsi="Calibri" w:cs="Arial"/>
        </w:rPr>
        <w:instrText>ADDIN CSL_CITATION { "citationItems" : [ { "id" : "ITEM-1", "itemData" : { "DOI" : "10.1172/JCI117860", "ISSN" : "0021-9738", "PMID" : "7706488", "abstract" : "An enhanced appreciation of uptake mechanisms and intracellular trafficking of phosphorothioate modified oligodeoxynucleotides (P-ODN) might facilitate the use of these compounds for experimental and therapeutic purposes. We addressed these issues by identifying cell surface proteins with which P-ODN specifically interact, studying P-ODN internalization mechanisms, and by tracking internalized P-ODN through the cell using immunochemical and ultrastructural techniques. Chemical cross-linking studies with a biotin-labeled P-ODN (bP-ODN), revealed the existence of five major cell surface P-ODN binding protein groups ranging in size from approximately 20-143 kD. Binding to these proteins was competitively inhibited with unlabeled P-ODN, but not free biotin, suggesting specificity of the interactions. Additional experiments suggested that binding proteins likely exist as single chain structures, and that carbohydrate moieties may play a role in P-ODN binding. Uptake studies with 35S-labeled P-ODN revealed that endocytosis, mediated by a receptor-like mechanism, predominated at P-ODN concentrations &lt; 1 microM, whereas fluid-phase endocytosis prevailed at higher concentrations. Cell fractionation and ultrastructural analysis demonstrated the presence of ODN in clathrin coated pits, and in vesicular structures consistent with endosomes and lysosomes. Labeled ODN were also found in significant amounts in the nucleus, while none was associated with ribosomes, or ribosomes associated with rough endoplasmic reticulum (ER). Since nuclear uptake was not blocked by wheat germ agglutinin or concanavalin A, a nucleoporin independent, perhaps diffusion driven, import process is suggested. These data imply that antisense DNA may exert their effect in the nucleus. They also suggest rational ways to design ODN which might increase their efficiency.", "author" : [ { "dropping-particle" : "", "family" : "Beltinger", "given" : "C", "non-dropping-particle" : "", "parse-names" : false, "suffix" : "" }, { "dropping-particle" : "", "family" : "Saragovi", "given" : "H U", "non-dropping-particle" : "", "parse-names" : false, "suffix" : "" }, { "dropping-particle" : "", "family" : "Smith", "given" : "R M", "non-dropping-particle" : "", "parse-names" : false, "suffix" : "" }, { "dropping-particle" : "", "family" : "LeSauteur", "given" : "L", "non-dropping-particle" : "", "parse-names" : false, "suffix" : "" }, { "dropping-particle" : "", "family" : "Shah", "given" : "N", "non-dropping-particle" : "", "parse-names" : false, "suffix" : "" }, { "dropping-particle" : "", "family" : "DeDionisio", "given" : "L", "non-dropping-particle" : "", "parse-names" : false, "suffix" : "" }, { "dropping-particle" : "", "family" : "Christensen", "given" : "L", "non-dropping-particle" : "", "parse-names" : false, "suffix" : "" }, { "dropping-particle" : "", "family" : "Raible", "given" : "A", "non-dropping-particle" : "", "parse-names" : false, "suffix" : "" }, { "dropping-particle" : "", "family" : "Jarett", "given" : "L", "non-dropping-particle" : "", "parse-names" : false, "suffix" : "" }, { "dropping-particle" : "", "family" : "Gewirtz", "given" : "A M", "non-dropping-particle" : "", "parse-names" : false, "suffix" : "" } ], "container-title" : "The Journal of clinical investigation", "id" : "ITEM-1", "issue" : "4", "issued" : { "date-parts" : [ [ "1995", "5", "1" ] ] }, "language" : "en", "page" : "1814-23", "publisher" : "American Society for Clinical Investigation", "title" : "Binding, uptake, and intracellular trafficking of phosphorothioate-modified oligodeoxynucleotides.", "type" : "article-journal", "volume" : "95" }, "uris" : [ "http://www.mendeley.com/documents/?uuid=4104c114-3b9f-4460-a84e-ccbe33530cff" ] }, { "id" : "ITEM-2", "itemData" : { "ISSN" : "0022-3565", "PMID" : "8166890", "abstract" : "5'-TTGCTTCCATCTTCCTCGTC-3' (ISIS 2105) is a phosphorothioate oligodeoxynucleotide currently being evaluated as an intralesional antiviral drug for the treatment of genital warts that are caused by the human papillomavirus. ISIS 2105, labeled with 14C (at the carbon-2 position of thymine) was administered as a single i.v. injection (3.6 mg/kg) to female Sprague-Dawley rats to assess the disposition of the drug. After i.v. administration of [14C]2105, blood radioactivity disappeared in a multiexponential manner with the half-lives of the phases equal to 0.4, 1.9, 7.1 and 5.1 hr. The initial volume of distribution was 22 ml and the postdistribution volume of distribution was 1076 ml, which indicated an extensive distribution of radioactivity. The apparent blood clearance was 14.7 ml/hr. The radioactivity in the expired air accounted for 51% of the administered dose over the 10-day period. Urinary and fecal radioactivity accounted for 15% and 5% of the administered dose, respectively. The major sites of radioactivity uptake were the liver (up to 22.6% of the dose), kidneys (renal cortex, up to 14% of the dose), bone marrow (up to 14% of the dose), skin (up to 13% of the dose) and skeletal muscle (up to 9% of the dose). Other tissues contained approximately 1% or less of the dose. The overall recovery of radioactivity 10 days postdosing was 95.1 +/- 7.5% (mean +/- S.D.) of the administered single dose. The radioactivity in the blood was almost completely in the plasma during the course of the study. In the plasma, the radioactivity was extensively bound to proteins, as assessed by size-exclusion high-performance liquid chromatography (HPLC), in samples up to 8 hr postdosing. Retention data on size-exclusion HPLC and in vitro incubations using purified proteins suggested that the plasma proteins that bound [14C]2105 were albumin and alpha 2-macroglobulin. The complex formed between the plasma proteins and [14C]2105-derived radioactivity was dissociated on anion-exchange HPLC to indicate that the great majority of plasma radioactivity coeluted with intact [14C]2105 in samples that contained sufficient radioactivity for analysis. There was a time-dependent decrease in the proportion of hepatic and renal radioactivity that coeluted with the intact [14C]2105 during the course of the study. The urine did not contain radioactivity that eluted with intact [14C]2105 on anion-exchange HPLC.", "author" : [ { "dropping-particle" : "", "family" : "Cossum", "given" : "P A", "non-dropping-particle" : "", "parse-names" : false, "suffix" : "" }, { "dropping-particle" : "", "family" : "Sasmor", "given" : "H", "non-dropping-particle" : "", "parse-names" : false, "suffix" : "" }, { "dropping-particle" : "", "family" : "Dellinger", "given" : "D", "non-dropping-particle" : "", "parse-names" : false, "suffix" : "" }, { "dropping-particle" : "", "family" : "Truong", "given" : "L", "non-dropping-particle" : "", "parse-names" : false, "suffix" : "" }, { "dropping-particle" : "", "family" : "Cummins", "given" : "L", "non-dropping-particle" : "", "parse-names" : false, "suffix" : "" }, { "dropping-particle" : "", "family" : "Owens", "given" : "S R", "non-dropping-particle" : "", "parse-names" : false, "suffix" : "" }, { "dropping-particle" : "", "family" : "Markham", "given" : "P M", "non-dropping-particle" : "", "parse-names" : false, "suffix" : "" }, { "dropping-particle" : "", "family" : "Shea", "given" : "J P", "non-dropping-particle" : "", "parse-names" : false, "suffix" : "" }, { "dropping-particle" : "", "family" : "Crooke", "given" : "S", "non-dropping-particle" : "", "parse-names" : false, "suffix" : "" } ], "container-title" : "The Journal of pharmacology and experimental therapeutics", "id" : "ITEM-2", "issue" : "3", "issued" : { "date-parts" : [ [ "1993", "12" ] ] }, "page" : "1181-90", "title" : "Disposition of the 14C-labeled phosphorothioate oligonucleotide ISIS 2105 after intravenous administration to rats.", "type" : "article-journal", "volume" : "267" }, "uris" : [ "http://www.mendeley.com/documents/?uuid=b9c43ea2-093d-4094-a821-45a707c420e7" ] }, { "id" : "ITEM-3", "itemData" : { "ISSN" : "0022-3565", "PMID" : "8627575", "abstract" : "Biophysical and pharmacokinetic properties of five analogs of ISIS 3082, a 20-mer phosphorothioate oligodeoxynucleotide that inhibits the expression of mouse intercellular adhesion molecule 1, were evaluated. Compared to the parent compound, ISIS 3082, the 2'-propoxy modified phosphodiester, ISIS 9044 and the 2'-propoxy phosphorothioate, ISIS 9045, had greater affinity for complementary RNA and were more lipophilic. A chimeric oligonucleotide comprised of 2'-propoxy diester wings and a phosphorothioate deoxy center (ISIS 9046) had equal affinity. It was also more lipophilic than ISIS 3082, but less so than the other 2'-propoxy modified analogs. The two analogs with 5'-lipophilic conjugates, ISIS 9047 (5'-octadecylamine) and ISIS 8005 (5'-(2'-O-hexylamino-carbonyl-oxycholesterol) were more lipophilic than ISIS 3082 (3- and 7-fold, respectively) but had similar affinity for complementary RNA. Binding of ISIS 3082 to bovine serum albumin was salt-dependent and, at physiological concentration (320 mOsmol), the dissociation constant (Kd) was 140 microM. Similarly, the 2'-propoxy phosphodiester, ISIS 9044, displayed salt-dependent bovine serum albumin binding, but not binding was measurable at physiological salt conditions. In contrast, the more lipophilic phosphorothioate analogs displayed much higher affinity to bovine serum albumin at 320 mOsmol than ISIS 3082. After bolus injection to mice, the initial volumes of distribution of the more lipophilic phosphorothioate analogs, ISIS 9045, ISIS 9047 and ISIS 8005, were less and the initial clearance from plasma was slower than ISIS 3082. The pharmacokinetics of the other analogs was similar to ISIS 3082. Distribution of ISIS 3082 into peripheral tissues was similar to that reported for other phosphorothioates with liver and kidney accumulating the highest fraction of the dose. The only modification to markedly influence distribution was the very lipophilic cholesterol conjugate (ISIS 8005), which increased substantially the fraction of the dose accumulated by the liver. Little intact drug was found in urine or feces for any analog, and the patterns of metabolites suggested that for all analogs the principal metabolic pathway was due to 3'-exonuclease activity. The metabolism of ISIS 3082 was similar to that reported for other phosphorothioates. After 2 hr, most of the radioactivity in plasma represented metabolites but, in tissues, intact ISIS 3082 was present for much longer periods of time and metabolites ac\u2026", "author" : [ { "dropping-particle" : "", "family" : "Crooke", "given" : "S T", "non-dropping-particle" : "", "parse-names" : false, "suffix" : "" }, { "dropping-particle" : "", "family" : "Graham", "given" : "M J", "non-dropping-particle" : "", "parse-names" : false, "suffix" : "" }, { "dropping-particle" : "", "family" : "Zuckerman", "given" : "J E", "non-dropping-particle" : "", "parse-names" : false, "suffix" : "" }, { "dropping-particle" : "", "family" : "Brooks", "given" : "D", "non-dropping-particle" : "", "parse-names" : false, "suffix" : "" }, { "dropping-particle" : "", "family" : "Conklin", "given" : "B S", "non-dropping-particle" : "", "parse-names" : false, "suffix" : "" }, { "dropping-particle" : "", "family" : "Cummins", "given" : "L L", "non-dropping-particle" : "", "parse-names" : false, "suffix" : "" }, { "dropping-particle" : "", "family" : "Greig", "given" : "M J", "non-dropping-particle" : "", "parse-names" : false, "suffix" : "" }, { "dropping-particle" : "", "family" : "Guinosso", "given" : "C J", "non-dropping-particle" : "", "parse-names" : false, "suffix" : "" }, { "dropping-particle" : "", "family" : "Kornbrust", "given" : "D", "non-dropping-particle" : "", "parse-names" : false, "suffix" : "" }, { "dropping-particle" : "", "family" : "Manoharan", "given" : "M", "non-dropping-particle" : "", "parse-names" : false, "suffix" : "" }, { "dropping-particle" : "", "family" : "Sasmor", "given" : "H M", "non-dropping-particle" : "", "parse-names" : false, "suffix" : "" }, { "dropping-particle" : "", "family" : "Schleich", "given" : "T", "non-dropping-particle" : "", "parse-names" : false, "suffix" : "" }, { "dropping-particle" : "", "family" : "Tivel", "given" : "K L", "non-dropping-particle" : "", "parse-names" : false, "suffix" : "" }, { "dropping-particle" : "", "family" : "Griffey", "given" : "R H", "non-dropping-particle" : "", "parse-names" : false, "suffix" : "" } ], "container-title" : "The Journal of pharmacology and experimental therapeutics", "id" : "ITEM-3", "issue" : "2", "issued" : { "date-parts" : [ [ "1996", "5" ] ] }, "page" : "923-37", "title" : "Pharmacokinetic properties of several novel oligonucleotide analogs in mice.", "type" : "article-journal", "volume" : "277" }, "uris" : [ "http://www.mendeley.com/documents/?uuid=48200fdb-bfc0-4295-b907-e136c4224efb" ] }, { "id" : "ITEM-4", "itemData" : { "ISSN" : "0724-8741", "PMID" : "9144742", "abstract" : "PURPOSE: This study was conducted to investigate the impact of backbone modifications on the hepatobiliary disposition of oligonucleotides.\n\nMETHODS: The disposition of backbone-modified antisense oligonucleotides [phosphorothioate (PS) and methylphosphonate (MP)] of the same base-length and sequence (5'-TAC-GCC-AAC-AGC-TCC-3'), complementary to the codon 12 activating mutation of Ki-ras, was investigated in the isolated perfused rat liver. Livers were perfused for 2 hr: perfusate and bile concentrations were analyzed by HPLC. Hepatocellular distribution was examined by measuring the amount of radiolabeled PS oligonucleotide associated with hepatocytes and Kupffer cells. Protein binding of the PS and MP oligonucleotides was determined in rat serum by ultrafiltration.\n\nRESULTS: MP oligonucleotide perfusate concentrations remained constant during the 2-hour perfusion. In contrast, PS oligonucleotide was eliminated slowly by the isolated perfused liver [CI = 1.05 +/- 0.21 mL/min; extraction ratio = 0.06 +/- 0.01]. Uptake of PS oligonucleotide by Kupffer cells appeared to exceed uptake by hepatocytes, based on standard cell separation techniques as well as confocal microscopy. The degree of protein binding in rat serum was greater for the PS oligonucleotide (79.9 +/- 2.2%) than for the MP oligonucleotide (53.0 +/- 4.7%).\n\nCONCLUSIONS: Backbone modifications significantly-influence the hepatic clearance of oligonucleotides. Uncharged MP oligonucleotides are not extracted by the isolated perfused rat liver, whereas the charged PS oligonucleotide is processed more readily.", "author" : [ { "dropping-particle" : "", "family" : "Nolting", "given" : "A", "non-dropping-particle" : "", "parse-names" : false, "suffix" : "" }, { "dropping-particle" : "", "family" : "DeLong", "given" : "R K", "non-dropping-particle" : "", "parse-names" : false, "suffix" : "" }, { "dropping-particle" : "", "family" : "Fisher", "given" : "M H", "non-dropping-particle" : "", "parse-names" : false, "suffix" : "" }, { "dropping-particle" : "", "family" : "Wickstrom", "given" : "E", "non-dropping-particle" : "", "parse-names" : false, "suffix" : "" }, { "dropping-particle" : "", "family" : "Pollack", "given" : "G M", "non-dropping-particle" : "", "parse-names" : false, "suffix" : "" }, { "dropping-particle" : "", "family" : "Juliano", "given" : "R L", "non-dropping-particle" : "", "parse-names" : false, "suffix" : "" }, { "dropping-particle" : "", "family" : "Brouwer", "given" : "K L", "non-dropping-particle" : "", "parse-names" : false, "suffix" : "" } ], "container-title" : "Pharmaceutical research", "id" : "ITEM-4", "issue" : "4", "issued" : { "date-parts" : [ [ "1997", "5" ] ] }, "page" : "516-21", "title" : "Hepatic distribution and clearance of antisense oligonucleotides in the isolated perfused rat liver.", "type" : "article-journal", "volume" : "14" }, "uris" : [ "http://www.mendeley.com/documents/?uuid=bd156890-d39b-4790-ac02-c1d725b85c60" ] } ], "mendeley" : { "formattedCitation" : "(Beltinger et al., 1995; Cossum et al., 1993; Crooke et al., 1996; Nolting et al., 1997)", "plainTextFormattedCitation" : "(Beltinger et al., 1995; Cossum et al., 1993; Crooke et al., 1996; Nolting et al., 1997)", "previouslyFormattedCitation" : "(Beltinger et al., 1995; Cossum et al., 1993; Crooke et al., 1996; Nolting et al., 1997)" }, "properties" : { "noteIndex" : 0 }, "schema" : "https://github.com/citation-style-language/schema/raw/master/csl-citation.json" }</w:instrText>
      </w:r>
      <w:r>
        <w:rPr>
          <w:rFonts w:ascii="Calibri" w:hAnsi="Calibri" w:cs="Arial"/>
        </w:rPr>
        <w:fldChar w:fldCharType="separate"/>
      </w:r>
      <w:r w:rsidRPr="00BD2654">
        <w:rPr>
          <w:rFonts w:ascii="Calibri" w:hAnsi="Calibri" w:cs="Arial"/>
          <w:noProof/>
        </w:rPr>
        <w:t>(Beltinger et al., 1995; Cossum et al., 1993; Crooke et al., 1996; Nolting et al., 1997)</w:t>
      </w:r>
      <w:r>
        <w:rPr>
          <w:rFonts w:ascii="Calibri" w:hAnsi="Calibri" w:cs="Arial"/>
        </w:rPr>
        <w:fldChar w:fldCharType="end"/>
      </w:r>
      <w:r>
        <w:rPr>
          <w:rFonts w:ascii="Calibri" w:hAnsi="Calibri" w:cs="Arial"/>
        </w:rPr>
        <w:t xml:space="preserve"> at a small cost of affinity for targets </w:t>
      </w:r>
      <w:r>
        <w:rPr>
          <w:rFonts w:ascii="Calibri" w:hAnsi="Calibri" w:cs="Arial"/>
        </w:rPr>
        <w:fldChar w:fldCharType="begin" w:fldLock="1"/>
      </w:r>
      <w:r>
        <w:rPr>
          <w:rFonts w:ascii="Calibri" w:hAnsi="Calibri" w:cs="Arial"/>
        </w:rPr>
        <w:instrText>ADDIN CSL_CITATION { "citationItems" : [ { "id" : "ITEM-1", "itemData" : { "DOI" : "10.1089/oli.1.1997.7.187", "ISSN" : "1087-2906", "abstract" : "Antisense promised major advances in treating a broad range of intractable diseases, but in recent years progress has been stymied by technical problems, most notably inadequate specificity, ineffective delivery into the proper subcellular compartment, and unpredictable activity within cells. Herein is an overview of the design, preparation, and properties of Morpholino oligos, a novel antisense structural type that solves the sequence specificity problem and provides high and predictable activity in cells. Morpholino oligos also exhibit little or no nonantisense activity, afford good water solubility, are immune to nucleases, and are designed to have low production costs.", "author" : [ { "dropping-particle" : "", "family" : "Summerton", "given" : "James", "non-dropping-particle" : "", "parse-names" : false, "suffix" : "" }, { "dropping-particle" : "", "family" : "Weller", "given" : "Dwight", "non-dropping-particle" : "", "parse-names" : false, "suffix" : "" } ], "container-title" : "Antisense and Nucleic Acid Drug Development", "id" : "ITEM-1", "issue" : "3", "issued" : { "date-parts" : [ [ "1997", "6", "30" ] ] }, "language" : "EN", "page" : "187-195", "title" : "Morpholino Antisense Oligomers: Design, Preparation, and Properties", "type" : "article-journal", "volume" : "7" }, "uris" : [ "http://www.mendeley.com/documents/?uuid=b9af7dad-721e-4f88-b0ae-5f6e00705e43" ] } ], "mendeley" : { "formattedCitation" : "(J. Summerton &amp; Weller, 1997)", "manualFormatting" : "(Summerton &amp; Weller, 1997)", "plainTextFormattedCitation" : "(J. Summerton &amp; Weller, 1997)", "previouslyFormattedCitation" : "(J. Summerton &amp; Weller, 1997)" }, "properties" : { "noteIndex" : 0 }, "schema" : "https://github.com/citation-style-language/schema/raw/master/csl-citation.json" }</w:instrText>
      </w:r>
      <w:r>
        <w:rPr>
          <w:rFonts w:ascii="Calibri" w:hAnsi="Calibri" w:cs="Arial"/>
        </w:rPr>
        <w:fldChar w:fldCharType="separate"/>
      </w:r>
      <w:r w:rsidRPr="00093CA7">
        <w:rPr>
          <w:rFonts w:ascii="Calibri" w:hAnsi="Calibri" w:cs="Arial"/>
          <w:noProof/>
        </w:rPr>
        <w:t>(S</w:t>
      </w:r>
      <w:r>
        <w:rPr>
          <w:rFonts w:ascii="Calibri" w:hAnsi="Calibri" w:cs="Arial"/>
          <w:noProof/>
        </w:rPr>
        <w:t>ummerton</w:t>
      </w:r>
      <w:r w:rsidRPr="00093CA7">
        <w:rPr>
          <w:rFonts w:ascii="Calibri" w:hAnsi="Calibri" w:cs="Arial"/>
          <w:noProof/>
        </w:rPr>
        <w:t xml:space="preserve"> &amp; W</w:t>
      </w:r>
      <w:r>
        <w:rPr>
          <w:rFonts w:ascii="Calibri" w:hAnsi="Calibri" w:cs="Arial"/>
          <w:noProof/>
        </w:rPr>
        <w:t>eller</w:t>
      </w:r>
      <w:r w:rsidRPr="00093CA7">
        <w:rPr>
          <w:rFonts w:ascii="Calibri" w:hAnsi="Calibri" w:cs="Arial"/>
          <w:noProof/>
        </w:rPr>
        <w:t>, 1997)</w:t>
      </w:r>
      <w:r>
        <w:rPr>
          <w:rFonts w:ascii="Calibri" w:hAnsi="Calibri" w:cs="Arial"/>
        </w:rPr>
        <w:fldChar w:fldCharType="end"/>
      </w:r>
      <w:r>
        <w:rPr>
          <w:rFonts w:ascii="Calibri" w:hAnsi="Calibri" w:cs="Arial"/>
        </w:rPr>
        <w:t xml:space="preserve">. (B) Second generation, 2’-modified ASOs retain backbone modifications, are typically </w:t>
      </w:r>
      <w:r w:rsidRPr="00906B82">
        <w:rPr>
          <w:rFonts w:ascii="Calibri" w:hAnsi="Calibri" w:cs="Arial"/>
        </w:rPr>
        <w:t>20-30 nt long</w:t>
      </w:r>
      <w:r>
        <w:rPr>
          <w:rFonts w:ascii="Calibri" w:hAnsi="Calibri" w:cs="Arial"/>
        </w:rPr>
        <w:t xml:space="preserve"> and are</w:t>
      </w:r>
      <w:r w:rsidRPr="00906B82">
        <w:rPr>
          <w:rFonts w:ascii="Calibri" w:hAnsi="Calibri" w:cs="Arial"/>
        </w:rPr>
        <w:t xml:space="preserve"> structured </w:t>
      </w:r>
      <w:r>
        <w:rPr>
          <w:rFonts w:ascii="Calibri" w:hAnsi="Calibri" w:cs="Arial"/>
        </w:rPr>
        <w:t xml:space="preserve">either with modifications (orange nucleosides) interspersed in the ASO (mixomers) or </w:t>
      </w:r>
      <w:r w:rsidRPr="00906B82">
        <w:rPr>
          <w:rFonts w:ascii="Calibri" w:hAnsi="Calibri" w:cs="Arial"/>
        </w:rPr>
        <w:t>as a central 6-8 nucleoside stretch with no ribose modifications and flanked at the 5’ and 3’ ends with 2’- modified nucleosides (gapmer</w:t>
      </w:r>
      <w:r>
        <w:rPr>
          <w:rFonts w:ascii="Calibri" w:hAnsi="Calibri" w:cs="Arial"/>
        </w:rPr>
        <w:t>s</w:t>
      </w:r>
      <w:r w:rsidRPr="00906B82">
        <w:rPr>
          <w:rFonts w:ascii="Calibri" w:hAnsi="Calibri" w:cs="Arial"/>
        </w:rPr>
        <w:t>)</w:t>
      </w:r>
      <w:r>
        <w:rPr>
          <w:rFonts w:ascii="Calibri" w:hAnsi="Calibri" w:cs="Arial"/>
        </w:rPr>
        <w:t xml:space="preserve">. (C) Third generation 2’-5’ chemistries (blue nucleosides) impart conformational rigidity that greatly enhances ASO affinity to their targets, increasing melting temperatures by as much as 4-8 </w:t>
      </w:r>
      <w:r w:rsidRPr="004F6296">
        <w:rPr>
          <w:rFonts w:ascii="Calibri" w:hAnsi="Calibri" w:cs="Arial"/>
          <w:vertAlign w:val="superscript"/>
        </w:rPr>
        <w:t>o</w:t>
      </w:r>
      <w:r>
        <w:rPr>
          <w:rFonts w:ascii="Calibri" w:hAnsi="Calibri" w:cs="Arial"/>
        </w:rPr>
        <w:t xml:space="preserve">C per modified nucleoside </w:t>
      </w:r>
      <w:r>
        <w:rPr>
          <w:rFonts w:ascii="Calibri" w:hAnsi="Calibri" w:cs="Arial"/>
        </w:rPr>
        <w:fldChar w:fldCharType="begin" w:fldLock="1"/>
      </w:r>
      <w:r>
        <w:rPr>
          <w:rFonts w:ascii="Calibri" w:hAnsi="Calibri" w:cs="Arial"/>
        </w:rPr>
        <w:instrText>ADDIN CSL_CITATION { "citationItems" : [ { "id" : "ITEM-1", "itemData" : { "ISSN" : "0960-894X", "PMID" : "9873516", "abstract" : "LNA (Locked Nucleic Acids, 1, X = O, Y = O) is a novel oligonucleotide analogue capable of recognizing complementary DNA and RNA with unprecedented thermal affinities. Synthesis of the first chemically modified LNA analogues is reported. A 9-mer phosphorothioate-LNA containing three LNA thymine monomers (1, X = O, Y = S, Base = thymin-1-yl) and 9-mer LNAs containing one, three or five 2'-thio-LNA monomers (1, X = S, Y = O, Base = uracil-1-yl) were able to recognize both complementary DNA and RNA with thermal affinities comparable to those of parent LNA.", "author" : [ { "dropping-particle" : "", "family" : "Kumar", "given" : "R", "non-dropping-particle" : "", "parse-names" : false, "suffix" : "" }, { "dropping-particle" : "", "family" : "Singh", "given" : "S K", "non-dropping-particle" : "", "parse-names" : false, "suffix" : "" }, { "dropping-particle" : "", "family" : "Koshkin", "given" : "A A", "non-dropping-particle" : "", "parse-names" : false, "suffix" : "" }, { "dropping-particle" : "", "family" : "Rajwanshi", "given" : "V K", "non-dropping-particle" : "", "parse-names" : false, "suffix" : "" }, { "dropping-particle" : "", "family" : "Meldgaard", "given" : "M", "non-dropping-particle" : "", "parse-names" : false, "suffix" : "" }, { "dropping-particle" : "", "family" : "Wengel", "given" : "J", "non-dropping-particle" : "", "parse-names" : false, "suffix" : "" } ], "container-title" : "Bioorganic &amp; medicinal chemistry letters", "id" : "ITEM-1", "issue" : "16", "issued" : { "date-parts" : [ [ "1998", "8", "18" ] ] }, "page" : "2219-22", "title" : "The first analogues of LNA (locked nucleic acids): phosphorothioate-LNA and 2'-thio-LNA.", "type" : "article-journal", "volume" : "8" }, "uris" : [ "http://www.mendeley.com/documents/?uuid=e9ec6834-e804-495b-a9d3-b603938daec8" ] } ], "mendeley" : { "formattedCitation" : "(Kumar et al., 1998)", "plainTextFormattedCitation" : "(Kumar et al., 1998)", "previouslyFormattedCitation" : "(Kumar et al., 1998)" }, "properties" : { "noteIndex" : 0 }, "schema" : "https://github.com/citation-style-language/schema/raw/master/csl-citation.json" }</w:instrText>
      </w:r>
      <w:r>
        <w:rPr>
          <w:rFonts w:ascii="Calibri" w:hAnsi="Calibri" w:cs="Arial"/>
        </w:rPr>
        <w:fldChar w:fldCharType="separate"/>
      </w:r>
      <w:r w:rsidRPr="00D36F42">
        <w:rPr>
          <w:rFonts w:ascii="Calibri" w:hAnsi="Calibri" w:cs="Arial"/>
          <w:noProof/>
        </w:rPr>
        <w:t>(Kumar et al., 1998)</w:t>
      </w:r>
      <w:r>
        <w:rPr>
          <w:rFonts w:ascii="Calibri" w:hAnsi="Calibri" w:cs="Arial"/>
        </w:rPr>
        <w:fldChar w:fldCharType="end"/>
      </w:r>
      <w:r>
        <w:rPr>
          <w:rFonts w:ascii="Calibri" w:hAnsi="Calibri" w:cs="Arial"/>
        </w:rPr>
        <w:t>.</w:t>
      </w:r>
      <w:r w:rsidRPr="009876DB">
        <w:rPr>
          <w:rFonts w:ascii="Calibri" w:hAnsi="Calibri" w:cs="Arial"/>
        </w:rPr>
        <w:t xml:space="preserve"> </w:t>
      </w:r>
      <w:r>
        <w:rPr>
          <w:rFonts w:ascii="Calibri" w:hAnsi="Calibri" w:cs="Arial"/>
        </w:rPr>
        <w:t xml:space="preserve">Consequently, shorter ASO (e.g. 16-20 nt) can match or even outperform longer (20-30 nt) </w:t>
      </w:r>
      <w:r>
        <w:rPr>
          <w:rFonts w:ascii="Calibri" w:hAnsi="Calibri" w:cs="Arial"/>
        </w:rPr>
        <w:lastRenderedPageBreak/>
        <w:t>2</w:t>
      </w:r>
      <w:r w:rsidRPr="00AD46A2">
        <w:rPr>
          <w:rFonts w:ascii="Calibri" w:hAnsi="Calibri" w:cs="Arial"/>
          <w:vertAlign w:val="superscript"/>
        </w:rPr>
        <w:t>nd</w:t>
      </w:r>
      <w:r>
        <w:rPr>
          <w:rFonts w:ascii="Calibri" w:hAnsi="Calibri" w:cs="Arial"/>
        </w:rPr>
        <w:t xml:space="preserve"> generation equivalents: bridged nucleosides force ASO not to tolerate base mismatches with their targets, thereby improving specificity </w:t>
      </w:r>
      <w:r>
        <w:rPr>
          <w:rFonts w:ascii="Calibri" w:hAnsi="Calibri" w:cs="Arial"/>
        </w:rPr>
        <w:fldChar w:fldCharType="begin" w:fldLock="1"/>
      </w:r>
      <w:r>
        <w:rPr>
          <w:rFonts w:ascii="Calibri" w:hAnsi="Calibri" w:cs="Arial"/>
        </w:rPr>
        <w:instrText>ADDIN CSL_CITATION { "citationItems" : [ { "id" : "ITEM-1", "itemData" : { "DOI" : "10.1093/nar/gnh171", "ISBN" : "1362-4962 (Electronic)\r0305-1048 (Linking)", "PMID" : "15598818", "abstract" : "We describe here a new method for highly efficient detection of microRNAs by northern blot analysis using LNA (locked nucleic acid)-modified oligonucleotides. In order to exploit the improved hybridization properties of LNA with their target RNA molecules, we designed several LNA-modified oligonucleotide probes for detection of different microRNAs in animals and plants. By modifying DNA oligonucleotides with LNAs using a design, in which every third nucleotide position was substituted by LNA, we could use the probes in northern blot analysis employing standard end-labelling techniques and hybridization conditions. The sensitivity in detecting mature microRNAs by northern blots was increased by at least 10-fold compared to DNA probes, while simultaneously being highly specific, as demonstrated by the use of different single and double mismatched LNA probes. Besides being highly efficient as northern probes, the same LNA-modified oligonucleotide probes would also be useful for miRNA in situ hybridization and miRNA expression profiling by LNA oligonucleotide microarrays.", "author" : [ { "dropping-particle" : "", "family" : "Valoczi", "given" : "A", "non-dropping-particle" : "", "parse-names" : false, "suffix" : "" }, { "dropping-particle" : "", "family" : "Hornyik", "given" : "C", "non-dropping-particle" : "", "parse-names" : false, "suffix" : "" }, { "dropping-particle" : "", "family" : "Varga", "given" : "N", "non-dropping-particle" : "", "parse-names" : false, "suffix" : "" }, { "dropping-particle" : "", "family" : "Burgyan", "given" : "J", "non-dropping-particle" : "", "parse-names" : false, "suffix" : "" }, { "dropping-particle" : "", "family" : "Kauppinen", "given" : "S", "non-dropping-particle" : "", "parse-names" : false, "suffix" : "" }, { "dropping-particle" : "", "family" : "Havelda", "given" : "Z", "non-dropping-particle" : "", "parse-names" : false, "suffix" : "" } ], "container-title" : "Nucleic Acids Res", "edition" : "2004/12/16", "id" : "ITEM-1", "issue" : "22", "issued" : { "date-parts" : [ [ "2004" ] ] }, "language" : "eng", "note" : "Valoczi, Anna\nHornyik, Csaba\nVarga, Nora\nBurgyan, Jozsef\nKauppinen, Sakari\nHavelda, Zoltan\nEngland\nNucleic Acids Res. 2004 Dec 14;32(22):e175.", "page" : "e175", "title" : "Sensitive and specific detection of microRNAs by northern blot analysis using LNA-modified oligonucleotide probes", "type" : "article-journal", "volume" : "32" }, "uris" : [ "http://www.mendeley.com/documents/?uuid=bf2ba385-933a-4883-8686-4c4915719566" ] } ], "mendeley" : { "formattedCitation" : "(Valoczi et al., 2004)", "plainTextFormattedCitation" : "(Valoczi et al., 2004)", "previouslyFormattedCitation" : "(Valoczi et al., 2004)" }, "properties" : { "noteIndex" : 0 }, "schema" : "https://github.com/citation-style-language/schema/raw/master/csl-citation.json" }</w:instrText>
      </w:r>
      <w:r>
        <w:rPr>
          <w:rFonts w:ascii="Calibri" w:hAnsi="Calibri" w:cs="Arial"/>
        </w:rPr>
        <w:fldChar w:fldCharType="separate"/>
      </w:r>
      <w:r w:rsidRPr="00D36F42">
        <w:rPr>
          <w:rFonts w:ascii="Calibri" w:hAnsi="Calibri" w:cs="Arial"/>
          <w:noProof/>
        </w:rPr>
        <w:t>(Valoczi et al., 2004)</w:t>
      </w:r>
      <w:r>
        <w:rPr>
          <w:rFonts w:ascii="Calibri" w:hAnsi="Calibri" w:cs="Arial"/>
        </w:rPr>
        <w:fldChar w:fldCharType="end"/>
      </w:r>
      <w:r>
        <w:rPr>
          <w:rFonts w:ascii="Calibri" w:hAnsi="Calibri" w:cs="Arial"/>
        </w:rPr>
        <w:t>.</w:t>
      </w:r>
      <w:r w:rsidRPr="00C03C22">
        <w:rPr>
          <w:rFonts w:ascii="Calibri" w:hAnsi="Calibri" w:cs="Arial"/>
        </w:rPr>
        <w:t xml:space="preserve"> </w:t>
      </w:r>
      <w:r>
        <w:rPr>
          <w:rFonts w:ascii="Calibri" w:hAnsi="Calibri" w:cs="Arial"/>
        </w:rPr>
        <w:t xml:space="preserve">Short 100% modified octamers (tiny) may block entire miRNA classes with common seed sequences </w:t>
      </w:r>
      <w:r>
        <w:rPr>
          <w:rFonts w:ascii="Calibri" w:hAnsi="Calibri" w:cs="Arial"/>
          <w:i/>
        </w:rPr>
        <w:t xml:space="preserve">en masse </w:t>
      </w:r>
      <w:r>
        <w:rPr>
          <w:rFonts w:ascii="Calibri" w:hAnsi="Calibri" w:cs="Arial"/>
        </w:rPr>
        <w:fldChar w:fldCharType="begin" w:fldLock="1"/>
      </w:r>
      <w:r>
        <w:rPr>
          <w:rFonts w:ascii="Calibri" w:hAnsi="Calibri" w:cs="Arial"/>
        </w:rPr>
        <w:instrText>ADDIN CSL_CITATION { "citationItems" : [ { "id" : "ITEM-1", "itemData" : { "DOI" : "10.1038/ng.786", "ISSN" : "1546-1718", "PMID" : "21423181", "abstract" : "The challenge of understanding the widespread biological roles of animal microRNAs (miRNAs) has prompted the development of genetic and functional genomics technologies for miRNA loss-of-function studies. However, tools for exploring the functions of entire miRNA families are still limited. We developed a method that enables antagonism of miRNA function using seed-targeting 8-mer locked nucleic acid (LNA) oligonucleotides, termed tiny LNAs. Transfection of tiny LNAs into cells resulted in simultaneous inhibition of miRNAs within families sharing the same seed with concomitant upregulation of direct targets. In addition, systemically delivered, unconjugated tiny LNAs showed uptake in many normal tissues and in breast tumors in mice, coinciding with long-term miRNA silencing. Transcriptional and proteomic profiling suggested that tiny LNAs have negligible off-target effects, not significantly altering the output from mRNAs with perfect tiny LNA complementary sites. Considered together, these data support the utility of tiny LNAs in elucidating the functions of miRNA families in vivo.", "author" : [ { "dropping-particle" : "", "family" : "Obad", "given" : "Susanna", "non-dropping-particle" : "", "parse-names" : false, "suffix" : "" }, { "dropping-particle" : "", "family" : "Santos", "given" : "Camila O", "non-dropping-particle" : "dos", "parse-names" : false, "suffix" : "" }, { "dropping-particle" : "", "family" : "Petri", "given" : "Andreas", "non-dropping-particle" : "", "parse-names" : false, "suffix" : "" }, { "dropping-particle" : "", "family" : "Heidenblad", "given" : "Markus", "non-dropping-particle" : "", "parse-names" : false, "suffix" : "" }, { "dropping-particle" : "", "family" : "Broom", "given" : "Oliver", "non-dropping-particle" : "", "parse-names" : false, "suffix" : "" }, { "dropping-particle" : "", "family" : "Ruse", "given" : "Cristian", "non-dropping-particle" : "", "parse-names" : false, "suffix" : "" }, { "dropping-particle" : "", "family" : "Fu", "given" : "Cexiong", "non-dropping-particle" : "", "parse-names" : false, "suffix" : "" }, { "dropping-particle" : "", "family" : "Lindow", "given" : "Morten", "non-dropping-particle" : "", "parse-names" : false, "suffix" : "" }, { "dropping-particle" : "", "family" : "Stenvang", "given" : "Jan", "non-dropping-particle" : "", "parse-names" : false, "suffix" : "" }, { "dropping-particle" : "", "family" : "Straarup", "given" : "Ellen Marie", "non-dropping-particle" : "", "parse-names" : false, "suffix" : "" }, { "dropping-particle" : "", "family" : "Hansen", "given" : "Henrik Frydenlund", "non-dropping-particle" : "", "parse-names" : false, "suffix" : "" }, { "dropping-particle" : "", "family" : "Koch", "given" : "Troels", "non-dropping-particle" : "", "parse-names" : false, "suffix" : "" }, { "dropping-particle" : "", "family" : "Pappin", "given" : "Darryl", "non-dropping-particle" : "", "parse-names" : false, "suffix" : "" }, { "dropping-particle" : "", "family" : "Hannon", "given" : "Gregory J", "non-dropping-particle" : "", "parse-names" : false, "suffix" : "" }, { "dropping-particle" : "", "family" : "Kauppinen", "given" : "Sakari", "non-dropping-particle" : "", "parse-names" : false, "suffix" : "" } ], "container-title" : "Nature genetics", "id" : "ITEM-1", "issue" : "4", "issued" : { "date-parts" : [ [ "2011", "4" ] ] }, "page" : "371-8", "publisher" : "Nature Publishing Group, a division of Macmillan Publishers Limited. All Rights Reserved.", "title" : "Silencing of microRNA families by seed-targeting tiny LNAs.", "title-short" : "Nat Genet", "type" : "article-journal", "volume" : "43" }, "uris" : [ "http://www.mendeley.com/documents/?uuid=87c6d6c5-cfae-4dda-bbce-532522c411f7" ] } ], "mendeley" : { "formattedCitation" : "(Obad et al., 2011)", "plainTextFormattedCitation" : "(Obad et al., 2011)", "previouslyFormattedCitation" : "(Obad et al., 2011)" }, "properties" : { "noteIndex" : 0 }, "schema" : "https://github.com/citation-style-language/schema/raw/master/csl-citation.json" }</w:instrText>
      </w:r>
      <w:r>
        <w:rPr>
          <w:rFonts w:ascii="Calibri" w:hAnsi="Calibri" w:cs="Arial"/>
        </w:rPr>
        <w:fldChar w:fldCharType="separate"/>
      </w:r>
      <w:r w:rsidRPr="007644C5">
        <w:rPr>
          <w:rFonts w:ascii="Calibri" w:hAnsi="Calibri" w:cs="Arial"/>
          <w:noProof/>
        </w:rPr>
        <w:t>(Obad et al., 2011)</w:t>
      </w:r>
      <w:r>
        <w:rPr>
          <w:rFonts w:ascii="Calibri" w:hAnsi="Calibri" w:cs="Arial"/>
        </w:rPr>
        <w:fldChar w:fldCharType="end"/>
      </w:r>
      <w:r>
        <w:rPr>
          <w:rFonts w:ascii="Calibri" w:hAnsi="Calibri" w:cs="Arial"/>
        </w:rPr>
        <w:t xml:space="preserve">. </w:t>
      </w:r>
    </w:p>
    <w:p w14:paraId="2FCAE460" w14:textId="77777777" w:rsidR="003D4FB7" w:rsidRDefault="003D4FB7" w:rsidP="003D4FB7">
      <w:pPr>
        <w:spacing w:line="480" w:lineRule="auto"/>
        <w:jc w:val="both"/>
        <w:rPr>
          <w:rFonts w:ascii="Calibri" w:hAnsi="Calibri" w:cs="Arial"/>
          <w:b/>
        </w:rPr>
      </w:pPr>
    </w:p>
    <w:p w14:paraId="15A7F5BE" w14:textId="77777777" w:rsidR="003D4FB7" w:rsidRDefault="003D4FB7" w:rsidP="003D4FB7">
      <w:pPr>
        <w:spacing w:line="480" w:lineRule="auto"/>
        <w:jc w:val="both"/>
        <w:rPr>
          <w:rFonts w:ascii="Calibri" w:hAnsi="Calibri" w:cs="Arial"/>
          <w:b/>
        </w:rPr>
      </w:pPr>
    </w:p>
    <w:p w14:paraId="678B3CB5" w14:textId="3B99B4B3" w:rsidR="001837E0" w:rsidRDefault="001837E0">
      <w:pPr>
        <w:rPr>
          <w:rFonts w:ascii="Calibri" w:hAnsi="Calibri" w:cs="Arial"/>
          <w:b/>
        </w:rPr>
      </w:pPr>
      <w:r>
        <w:rPr>
          <w:rFonts w:ascii="Calibri" w:hAnsi="Calibri" w:cs="Arial"/>
          <w:b/>
        </w:rPr>
        <w:br w:type="page"/>
      </w:r>
    </w:p>
    <w:p w14:paraId="12B60209" w14:textId="7F8CCF36" w:rsidR="003D4FB7" w:rsidRDefault="001837E0" w:rsidP="003D4FB7">
      <w:pPr>
        <w:spacing w:line="480" w:lineRule="auto"/>
        <w:jc w:val="both"/>
        <w:rPr>
          <w:rFonts w:ascii="Calibri" w:hAnsi="Calibri" w:cs="Arial"/>
          <w:b/>
        </w:rPr>
      </w:pPr>
      <w:bookmarkStart w:id="5" w:name="_GoBack"/>
      <w:r w:rsidRPr="001837E0">
        <w:rPr>
          <w:rFonts w:ascii="Calibri" w:hAnsi="Calibri" w:cs="Arial"/>
          <w:b/>
        </w:rPr>
        <w:lastRenderedPageBreak/>
        <w:drawing>
          <wp:inline distT="0" distB="0" distL="0" distR="0" wp14:anchorId="57F64918" wp14:editId="634E88A8">
            <wp:extent cx="5727700" cy="396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965575"/>
                    </a:xfrm>
                    <a:prstGeom prst="rect">
                      <a:avLst/>
                    </a:prstGeom>
                  </pic:spPr>
                </pic:pic>
              </a:graphicData>
            </a:graphic>
          </wp:inline>
        </w:drawing>
      </w:r>
    </w:p>
    <w:bookmarkEnd w:id="5"/>
    <w:p w14:paraId="63A4DEEB" w14:textId="77777777" w:rsidR="003D4FB7" w:rsidRDefault="003D4FB7" w:rsidP="003D4FB7">
      <w:pPr>
        <w:spacing w:line="480" w:lineRule="auto"/>
        <w:jc w:val="both"/>
        <w:rPr>
          <w:rFonts w:ascii="Calibri" w:hAnsi="Calibri" w:cs="Arial"/>
        </w:rPr>
      </w:pPr>
      <w:r>
        <w:rPr>
          <w:rFonts w:ascii="Calibri" w:hAnsi="Calibri" w:cs="Arial"/>
          <w:b/>
        </w:rPr>
        <w:t xml:space="preserve">Figure 5: microRNA organization and maturation into bioactive RISC. </w:t>
      </w:r>
      <w:r>
        <w:rPr>
          <w:rFonts w:ascii="Calibri" w:hAnsi="Calibri" w:cs="Arial"/>
        </w:rPr>
        <w:t xml:space="preserve">(A) </w:t>
      </w:r>
      <w:r w:rsidRPr="006825A8">
        <w:rPr>
          <w:rFonts w:ascii="Calibri" w:hAnsi="Calibri" w:cs="Arial"/>
        </w:rPr>
        <w:t xml:space="preserve">miRNA </w:t>
      </w:r>
      <w:r>
        <w:rPr>
          <w:rFonts w:ascii="Calibri" w:hAnsi="Calibri" w:cs="Arial"/>
        </w:rPr>
        <w:t xml:space="preserve">arise from </w:t>
      </w:r>
      <w:r w:rsidRPr="006825A8">
        <w:rPr>
          <w:rFonts w:ascii="Calibri" w:hAnsi="Calibri" w:cs="Arial"/>
        </w:rPr>
        <w:t>exons (</w:t>
      </w:r>
      <w:r>
        <w:rPr>
          <w:rFonts w:ascii="Calibri" w:hAnsi="Calibri" w:cs="Arial"/>
        </w:rPr>
        <w:t>blue</w:t>
      </w:r>
      <w:r w:rsidRPr="006825A8">
        <w:rPr>
          <w:rFonts w:ascii="Calibri" w:hAnsi="Calibri" w:cs="Arial"/>
        </w:rPr>
        <w:t xml:space="preserve"> boxes) or introns (light </w:t>
      </w:r>
      <w:r>
        <w:rPr>
          <w:rFonts w:ascii="Calibri" w:hAnsi="Calibri" w:cs="Arial"/>
        </w:rPr>
        <w:t>blue</w:t>
      </w:r>
      <w:r w:rsidRPr="006825A8">
        <w:rPr>
          <w:rFonts w:ascii="Calibri" w:hAnsi="Calibri" w:cs="Arial"/>
        </w:rPr>
        <w:t xml:space="preserve"> angled lines). </w:t>
      </w:r>
      <w:r>
        <w:rPr>
          <w:rFonts w:ascii="Calibri" w:hAnsi="Calibri" w:cs="Arial"/>
        </w:rPr>
        <w:t>Some short introns can encode miRNA (m</w:t>
      </w:r>
      <w:r w:rsidRPr="006825A8">
        <w:rPr>
          <w:rFonts w:ascii="Calibri" w:hAnsi="Calibri" w:cs="Arial"/>
        </w:rPr>
        <w:t>irtrons</w:t>
      </w:r>
      <w:r>
        <w:rPr>
          <w:rFonts w:ascii="Calibri" w:hAnsi="Calibri" w:cs="Arial"/>
        </w:rPr>
        <w:t>), whereas other miRNA precursors arise from exon-intron junctions</w:t>
      </w:r>
      <w:r w:rsidRPr="006825A8">
        <w:rPr>
          <w:rFonts w:ascii="Calibri" w:hAnsi="Calibri" w:cs="Arial"/>
        </w:rPr>
        <w:t>, or span entire short exons</w:t>
      </w:r>
      <w:r>
        <w:rPr>
          <w:rFonts w:ascii="Calibri" w:hAnsi="Calibri" w:cs="Arial"/>
        </w:rPr>
        <w:t xml:space="preserve"> (e</w:t>
      </w:r>
      <w:r w:rsidRPr="006825A8">
        <w:rPr>
          <w:rFonts w:ascii="Calibri" w:hAnsi="Calibri" w:cs="Arial"/>
        </w:rPr>
        <w:t>xon-overlap</w:t>
      </w:r>
      <w:r>
        <w:rPr>
          <w:rFonts w:ascii="Calibri" w:hAnsi="Calibri" w:cs="Arial"/>
        </w:rPr>
        <w:t>). Yet others are processed out of 5’ and</w:t>
      </w:r>
      <w:r w:rsidRPr="006825A8">
        <w:rPr>
          <w:rFonts w:ascii="Calibri" w:hAnsi="Calibri" w:cs="Arial"/>
        </w:rPr>
        <w:t xml:space="preserve"> 3’ UTR</w:t>
      </w:r>
      <w:r>
        <w:rPr>
          <w:rFonts w:ascii="Calibri" w:hAnsi="Calibri" w:cs="Arial"/>
        </w:rPr>
        <w:t>s</w:t>
      </w:r>
      <w:r w:rsidRPr="006825A8">
        <w:rPr>
          <w:rFonts w:ascii="Calibri" w:hAnsi="Calibri" w:cs="Arial"/>
        </w:rPr>
        <w:t xml:space="preserve">. </w:t>
      </w:r>
      <w:r>
        <w:rPr>
          <w:rFonts w:ascii="Calibri" w:hAnsi="Calibri" w:cs="Arial"/>
        </w:rPr>
        <w:t>(B) Endogenous RNAi mediator transcripts typically form stem-loop hairpin structures (primary miRNA) excised by the microprocessor complex in the nucleus into pre-miRNA and actively transported to the cytosol by Exportin 5. Here, the loop is endonucleotically removed by Dicer to form miRNA and then loaded onto AGO to form RISC; guide strand selection is driven by the orientation of the duplex loading onto AGO. N</w:t>
      </w:r>
      <w:r w:rsidRPr="00C4343E">
        <w:rPr>
          <w:rFonts w:ascii="Calibri" w:hAnsi="Calibri" w:cs="Arial"/>
        </w:rPr>
        <w:t xml:space="preserve">otable updates </w:t>
      </w:r>
      <w:r>
        <w:rPr>
          <w:rFonts w:ascii="Calibri" w:hAnsi="Calibri" w:cs="Arial"/>
        </w:rPr>
        <w:t>involve</w:t>
      </w:r>
      <w:r w:rsidRPr="00C4343E">
        <w:rPr>
          <w:rFonts w:ascii="Calibri" w:hAnsi="Calibri" w:cs="Arial"/>
        </w:rPr>
        <w:t xml:space="preserve"> mitochondrial ncRNA</w:t>
      </w:r>
      <w:r>
        <w:rPr>
          <w:rFonts w:ascii="Calibri" w:hAnsi="Calibri" w:cs="Arial"/>
        </w:rPr>
        <w:t>-derived miRNA</w:t>
      </w:r>
      <w:r w:rsidRPr="00C4343E">
        <w:rPr>
          <w:rFonts w:ascii="Calibri" w:hAnsi="Calibri" w:cs="Arial"/>
        </w:rPr>
        <w:t xml:space="preserve"> </w:t>
      </w:r>
      <w:r>
        <w:rPr>
          <w:rFonts w:ascii="Calibri" w:hAnsi="Calibri" w:cs="Arial"/>
        </w:rPr>
        <w:t xml:space="preserve">(mito-miRs) </w:t>
      </w:r>
      <w:r>
        <w:rPr>
          <w:rFonts w:ascii="Calibri" w:hAnsi="Calibri" w:cs="Arial"/>
        </w:rPr>
        <w:fldChar w:fldCharType="begin" w:fldLock="1"/>
      </w:r>
      <w:r>
        <w:rPr>
          <w:rFonts w:ascii="Calibri" w:hAnsi="Calibri" w:cs="Arial"/>
        </w:rPr>
        <w:instrText>ADDIN CSL_CITATION { "citationItems" : [ { "id" : "ITEM-1", "itemData" : { "DOI" : "10.1038/cr.2013.37", "ISSN" : "1748-7838", "PMID" : "23478297", "abstract" : "Small noncoding RNAs identified thus far are all encoded by the nuclear genome. Here, we report that the murine and human mitochondrial genomes encode thousands of small noncoding RNAs, which are predominantly derived from the sense transcripts of the mitochondrial genes (host genes), and we termed these small RNAs mitochondrial genome-encoded small RNAs (mitosRNAs). DICER inactivation affected, but did not completely abolish mitosRNA production. MitosRNAs appear to be products of currently unidentified mitochondrial ribonucleases. Overexpression of mitosRNAs enhanced expression levels of their host genes in vitro, and dysregulated mitosRNA expression was generally associated with aberrant mitochondrial gene expression in vivo. Our data demonstrate that in addition to 37 known mitochondrial genes, the mammalian mitochondrial genome also encodes abundant mitosRNAs, which may play an important regulatory role in the control of mitochondrial gene expression in the cell.", "author" : [ { "dropping-particle" : "", "family" : "Ro", "given" : "Seungil", "non-dropping-particle" : "", "parse-names" : false, "suffix" : "" }, { "dropping-particle" : "", "family" : "Ma", "given" : "Hsiu-Yen", "non-dropping-particle" : "", "parse-names" : false, "suffix" : "" }, { "dropping-particle" : "", "family" : "Park", "given" : "Chanjae", "non-dropping-particle" : "", "parse-names" : false, "suffix" : "" }, { "dropping-particle" : "", "family" : "Ortogero", "given" : "Nicole", "non-dropping-particle" : "", "parse-names" : false, "suffix" : "" }, { "dropping-particle" : "", "family" : "Song", "given" : "Rui", "non-dropping-particle" : "", "parse-names" : false, "suffix" : "" }, { "dropping-particle" : "", "family" : "Hennig", "given" : "Grant W", "non-dropping-particle" : "", "parse-names" : false, "suffix" : "" }, { "dropping-particle" : "", "family" : "Zheng", "given" : "Huili", "non-dropping-particle" : "", "parse-names" : false, "suffix" : "" }, { "dropping-particle" : "", "family" : "Lin", "given" : "Yung-Ming", "non-dropping-particle" : "", "parse-names" : false, "suffix" : "" }, { "dropping-particle" : "", "family" : "Moro", "given" : "Loredana", "non-dropping-particle" : "", "parse-names" : false, "suffix" : "" }, { "dropping-particle" : "", "family" : "Hsieh", "given" : "Jer-Tsong", "non-dropping-particle" : "", "parse-names" : false, "suffix" : "" }, { "dropping-particle" : "", "family" : "Yan", "given" : "Wei", "non-dropping-particle" : "", "parse-names" : false, "suffix" : "" } ], "container-title" : "Cell research", "id" : "ITEM-1", "issue" : "6", "issued" : { "date-parts" : [ [ "2013", "6" ] ] }, "page" : "759-74", "title" : "The mitochondrial genome encodes abundant small noncoding RNAs.", "type" : "article-journal", "volume" : "23" }, "uris" : [ "http://www.mendeley.com/documents/?uuid=8d33bcab-a64a-4d34-9477-b49ff2fbd733" ] }, { "id" : "ITEM-2", "itemData" : { "DOI" : "10.1161/CIRCGENETICS.115.001067", "ISSN" : "1942-3268", "PMID" : "26377859", "abstract" : "BACKGROUND: -Cardiomyocytes are rich in mitochondria which are situated in spatially-distinct subcellular regions including those under the plasma membrane, subsarcolemmal mitochondria; and those between the myofibrils, interfibrillar mitochondria. We previously observed subpopulation-specific differences in mitochondrial proteomes following diabetic insult. The objective of this study was to determine whether mitochondrial genome-encoded proteins are regulated by microRNAs inside the mitochondrion and whether subcellular spatial location or diabetes mellitus influences the dynamics.\n\nMETHODS AND RESULTS: -Using microarray technology coupled with cross-linking immunoprecipitation and next generation sequencing, we identified a pool of mitochondrial microRNAs, termed mitomiRs that are redistributed in spatially-distinct mitochondrial subpopulations in an inverse manner following diabetic insult. Redistributed mitomiRs displayed distinct interactions with the mitochondrial genome requiring specific stoichiometric associations with RISC constituents argonaute-2 (Ago2) and fragile X mental retardation-related protein 1 (FXR1) for translational regulation. In the presence of Ago2 and FXR1, redistribution of mitomiR-378 to the IFM following diabetic insult led to down regulation of mitochondrially-encoded F0 component ATP6. Next generation sequencing analyses identified specific transcriptome and mitomiR sequences associated with ATP6 regulation. Overexpression of mitomiR-378 in HL-1 cells resulted in its accumulation in the mitochondrion and down-regulation of functional ATP6 protein, while antagomir blockade restored functional ATP6 protein and cardiac pump function.\n\nCONCLUSIONS: -We propose mitomiRs can translationally regulate mitochondrially-encoded proteins in spatially-distinct mitochondrial subpopulations during diabetes mellitus. The results reveal the requirement of RISC constituents in the mitochondrion for functional mitomiR translational regulation and provide a connecting link between diabetic insult and ATP synthase function.", "author" : [ { "dropping-particle" : "", "family" : "Jagannathan", "given" : "Rajaganapathi", "non-dropping-particle" : "", "parse-names" : false, "suffix" : "" }, { "dropping-particle" : "", "family" : "Thapa", "given" : "Dharendra", "non-dropping-particle" : "", "parse-names" : false, "suffix" : "" }, { "dropping-particle" : "", "family" : "Nichols", "given" : "Cody E", "non-dropping-particle" : "", "parse-names" : false, "suffix" : "" }, { "dropping-particle" : "", "family" : "Shepherd", "given" : "Danielle L", "non-dropping-particle" : "", "parse-names" : false, "suffix" : "" }, { "dropping-particle" : "", "family" : "Stricker", "given" : "Janelle C", "non-dropping-particle" : "", "parse-names" : false, "suffix" : "" }, { "dropping-particle" : "", "family" : "Croston", "given" : "Tara L", "non-dropping-particle" : "", "parse-names" : false, "suffix" : "" }, { "dropping-particle" : "", "family" : "Baseler", "given" : "Walter A", "non-dropping-particle" : "", "parse-names" : false, "suffix" : "" }, { "dropping-particle" : "", "family" : "Lewis", "given" : "Sara E", "non-dropping-particle" : "", "parse-names" : false, "suffix" : "" }, { "dropping-particle" : "", "family" : "Martinez", "given" : "Ivan", "non-dropping-particle" : "", "parse-names" : false, "suffix" : "" }, { "dropping-particle" : "", "family" : "Hollander", "given" : "John M", "non-dropping-particle" : "", "parse-names" : false, "suffix" : "" } ], "container-title" : "Circulation. Cardiovascular genetics", "id" : "ITEM-2", "issued" : { "date-parts" : [ [ "2015", "9", "16" ] ] }, "title" : "Translational Regulation of the Mitochondrial Genome Following Redistribution of Mitochondrial MicroRNA (MitomiR) in the Diabetic Heart.", "type" : "article-journal" }, "uris" : [ "http://www.mendeley.com/documents/?uuid=6a3063f1-da98-4d5f-80e1-85bec81ad615" ] } ], "mendeley" : { "formattedCitation" : "(Jagannathan et al., 2015; Ro et al., 2013)", "plainTextFormattedCitation" : "(Jagannathan et al., 2015; Ro et al., 2013)", "previouslyFormattedCitation" : "(Jagannathan et al., 2015; Ro et al., 2013)" }, "properties" : { "noteIndex" : 0 }, "schema" : "https://github.com/citation-style-language/schema/raw/master/csl-citation.json" }</w:instrText>
      </w:r>
      <w:r>
        <w:rPr>
          <w:rFonts w:ascii="Calibri" w:hAnsi="Calibri" w:cs="Arial"/>
        </w:rPr>
        <w:fldChar w:fldCharType="separate"/>
      </w:r>
      <w:r w:rsidRPr="00E83627">
        <w:rPr>
          <w:rFonts w:ascii="Calibri" w:hAnsi="Calibri" w:cs="Arial"/>
          <w:noProof/>
        </w:rPr>
        <w:t>(Jagannathan et al., 2015; Ro et al., 2013)</w:t>
      </w:r>
      <w:r>
        <w:rPr>
          <w:rFonts w:ascii="Calibri" w:hAnsi="Calibri" w:cs="Arial"/>
        </w:rPr>
        <w:fldChar w:fldCharType="end"/>
      </w:r>
      <w:r>
        <w:rPr>
          <w:rFonts w:ascii="Calibri" w:hAnsi="Calibri" w:cs="Arial"/>
        </w:rPr>
        <w:t xml:space="preserve">, </w:t>
      </w:r>
      <w:r w:rsidRPr="00C4343E">
        <w:rPr>
          <w:rFonts w:ascii="Calibri" w:hAnsi="Calibri" w:cs="Arial"/>
        </w:rPr>
        <w:t xml:space="preserve">as well as AGO-directed small ncRNA (AGO-taxic ncRNA) </w:t>
      </w:r>
      <w:r>
        <w:rPr>
          <w:rFonts w:ascii="Calibri" w:hAnsi="Calibri" w:cs="Arial"/>
        </w:rPr>
        <w:t>of</w:t>
      </w:r>
      <w:r w:rsidRPr="00C4343E">
        <w:rPr>
          <w:rFonts w:ascii="Calibri" w:hAnsi="Calibri" w:cs="Arial"/>
        </w:rPr>
        <w:t xml:space="preserve"> distinct </w:t>
      </w:r>
      <w:r>
        <w:rPr>
          <w:rFonts w:ascii="Calibri" w:hAnsi="Calibri" w:cs="Arial"/>
        </w:rPr>
        <w:t>genomic origin, but</w:t>
      </w:r>
      <w:r w:rsidRPr="00C4343E">
        <w:rPr>
          <w:rFonts w:ascii="Calibri" w:hAnsi="Calibri" w:cs="Arial"/>
        </w:rPr>
        <w:t xml:space="preserve"> uniquely equipped to select AGO partners in RISC formation </w:t>
      </w:r>
      <w:r w:rsidRPr="00C4343E">
        <w:rPr>
          <w:rFonts w:ascii="Calibri" w:hAnsi="Calibri" w:cs="Arial"/>
        </w:rPr>
        <w:fldChar w:fldCharType="begin" w:fldLock="1"/>
      </w:r>
      <w:r w:rsidRPr="00C4343E">
        <w:rPr>
          <w:rFonts w:ascii="Calibri" w:hAnsi="Calibri" w:cs="Arial"/>
        </w:rPr>
        <w:instrText>ADDIN CSL_CITATION { "citationItems" : [ { "id" : "ITEM-1", "itemData" : { "DOI" : "10.1093/nar/gku137", "ISSN" : "1362-4962", "PMID" : "24627180", "abstract" : "Argonaute (Ago) proteins function in RNA silencing as components of the RNA-induced silencing complex (RISC). In lower organisms, the small interfering RNA and miRNA pathways diverge due in part to sorting mechanisms that direct distinct small RNA (sRNA) duplexes onto specific Ago-RISCs. However, such sorting mechanisms appear to be lost in mammals. miRNAs appear not to distinguish among Ago1-4. To determine the effect of viral infection on the sorting system, we compared the content of deep-sequenced RNA extracted from immunoprecipitation experiments with the Ago1 and Ago2 proteins using Epstein-Barr virus (EBV)-infected cells. Consistent with previous observations, sequence tags derived from miRNA loci in EBV and humans globally associate in approximately equivalent amounts with Ago1 and Ago2. Interestingly, additional sRNAs, which have not been registered as miRNAs, were associated with Ago1. Among them, some unique sequence tags derived from tandem loci in the human genome associate exclusively with Ago1 but not, or rarely, with Ago2. This is supported by the observation that the expression of the unique sRNAs in the cells is highly dependent on Ago1 proteins. When we knocked down Ago1, the expression of the Ago1-specific sRNAs decreased dramatically. Most importantly, the Ago1-specific sRNAs bound to mRNAs and regulated target genes and were dramatically upregulated, depending on the EBV life cycle. Therefore, even in mammals, the sorting mechanism in the Ago1-4 family is functional. Moreover, the existence of Ago1-specific sRNAs implies vital roles in some aspects of mammalian biology.", "author" : [ { "dropping-particle" : "", "family" : "Yamakawa", "given" : "Natsuko", "non-dropping-particle" : "", "parse-names" : false, "suffix" : "" }, { "dropping-particle" : "", "family" : "Okuyama", "given" : "Kazuki", "non-dropping-particle" : "", "parse-names" : false, "suffix" : "" }, { "dropping-particle" : "", "family" : "Ogata", "given" : "Jun", "non-dropping-particle" : "", "parse-names" : false, "suffix" : "" }, { "dropping-particle" : "", "family" : "Kanai", "given" : "Akinori", "non-dropping-particle" : "", "parse-names" : false, "suffix" : "" }, { "dropping-particle" : "", "family" : "Helwak", "given" : "Aleksandra", "non-dropping-particle" : "", "parse-names" : false, "suffix" : "" }, { "dropping-particle" : "", "family" : "Takamatsu", "given" : "Masako", "non-dropping-particle" : "", "parse-names" : false, "suffix" : "" }, { "dropping-particle" : "", "family" : "Imadome", "given" : "Ken-ichi", "non-dropping-particle" : "", "parse-names" : false, "suffix" : "" }, { "dropping-particle" : "", "family" : "Takakura", "given" : "Kohei", "non-dropping-particle" : "", "parse-names" : false, "suffix" : "" }, { "dropping-particle" : "", "family" : "Chanda", "given" : "Bidisha", "non-dropping-particle" : "", "parse-names" : false, "suffix" : "" }, { "dropping-particle" : "", "family" : "Kurosaki", "given" : "Natsumi", "non-dropping-particle" : "", "parse-names" : false, "suffix" : "" }, { "dropping-particle" : "", "family" : "Yamamoto", "given" : "Haruna", "non-dropping-particle" : "", "parse-names" : false, "suffix" : "" }, { "dropping-particle" : "", "family" : "Ando", "given" : "Kiyoshi", "non-dropping-particle" : "", "parse-names" : false, "suffix" : "" }, { "dropping-particle" : "", "family" : "Matsui", "given" : "Hirotaka", "non-dropping-particle" : "", "parse-names" : false, "suffix" : "" }, { "dropping-particle" : "", "family" : "Inaba", "given" : "Toshiya", "non-dropping-particle" : "", "parse-names" : false, "suffix" : "" }, { "dropping-particle" : "", "family" : "Kotani", "given" : "Ai", "non-dropping-particle" : "", "parse-names" : false, "suffix" : "" } ], "container-title" : "Nucleic acids research", "id" : "ITEM-1", "issue" : "8", "issued" : { "date-parts" : [ [ "2014", "4" ] ] }, "page" : "5289-301", "title" : "Novel functional small RNAs are selectively loaded onto mammalian Ago1.", "type" : "article-journal", "volume" : "42" }, "uris" : [ "http://www.mendeley.com/documents/?uuid=973904c4-e881-4b4e-8b37-260041804b28" ] } ], "mendeley" : { "formattedCitation" : "(Yamakawa et al., 2014)", "plainTextFormattedCitation" : "(Yamakawa et al., 2014)", "previouslyFormattedCitation" : "(Yamakawa et al., 2014)" }, "properties" : { "noteIndex" : 0 }, "schema" : "https://github.com/citation-style-language/schema/raw/master/csl-citation.json" }</w:instrText>
      </w:r>
      <w:r w:rsidRPr="00C4343E">
        <w:rPr>
          <w:rFonts w:ascii="Calibri" w:hAnsi="Calibri" w:cs="Arial"/>
        </w:rPr>
        <w:fldChar w:fldCharType="separate"/>
      </w:r>
      <w:r w:rsidRPr="00C4343E">
        <w:rPr>
          <w:rFonts w:ascii="Calibri" w:hAnsi="Calibri" w:cs="Arial"/>
          <w:noProof/>
        </w:rPr>
        <w:t>(Yamakawa et al., 2014)</w:t>
      </w:r>
      <w:r w:rsidRPr="00C4343E">
        <w:rPr>
          <w:rFonts w:ascii="Calibri" w:hAnsi="Calibri" w:cs="Arial"/>
        </w:rPr>
        <w:fldChar w:fldCharType="end"/>
      </w:r>
      <w:r w:rsidRPr="00C4343E">
        <w:rPr>
          <w:rFonts w:ascii="Calibri" w:hAnsi="Calibri" w:cs="Arial"/>
        </w:rPr>
        <w:t>.</w:t>
      </w:r>
      <w:r>
        <w:rPr>
          <w:rFonts w:ascii="Calibri" w:hAnsi="Calibri" w:cs="Arial"/>
        </w:rPr>
        <w:t xml:space="preserve"> Small interfering RNA and miRNA replacement therapy can be achieved by gene therapy </w:t>
      </w:r>
      <w:r>
        <w:rPr>
          <w:rFonts w:ascii="Calibri" w:hAnsi="Calibri" w:cs="Arial"/>
        </w:rPr>
        <w:lastRenderedPageBreak/>
        <w:t xml:space="preserve">approaches exploiting any of these genomic organization structures or by providing exogenous, synthetic RNA (e.g. hairpins, duplexes) that engage with the latter processing steps of miRNA biogenesis. Adapted from </w:t>
      </w:r>
      <w:r>
        <w:rPr>
          <w:rFonts w:ascii="Calibri" w:hAnsi="Calibri" w:cs="Arial"/>
        </w:rPr>
        <w:fldChar w:fldCharType="begin" w:fldLock="1"/>
      </w:r>
      <w:r>
        <w:rPr>
          <w:rFonts w:ascii="Calibri" w:hAnsi="Calibri" w:cs="Arial"/>
        </w:rPr>
        <w:instrText>ADDIN CSL_CITATION { "citationItems" : [ { "id" : "ITEM-1", "itemData" : { "author" : [ { "dropping-particle" : "", "family" : "Moschos", "given" : "S A", "non-dropping-particle" : "", "parse-names" : false, "suffix" : "" } ], "chapter-number" : "7", "container-title" : "Biotherapeutics: Recent Developments using Chemical and Molecular Biology", "editor" : [ { "dropping-particle" : "", "family" : "Jones", "given" : "L", "non-dropping-particle" : "", "parse-names" : false, "suffix" : "" }, { "dropping-particle" : "", "family" : "McKnight", "given" : "A J", "non-dropping-particle" : "", "parse-names" : false, "suffix" : "" } ], "id" : "ITEM-1", "issued" : { "date-parts" : [ [ "2013" ] ] }, "page" : "176-223", "publisher" : "Royal Society of Chemistry Publishing", "publisher-place" : "London", "title" : "MicroRNA Biotherapeutics: Key Challenges from a Drug Development Perspective", "type" : "chapter" }, "uris" : [ "http://www.mendeley.com/documents/?uuid=762298b4-c5a5-4d8f-a8bf-0b40443e3804" ] } ], "mendeley" : { "formattedCitation" : "(Moschos, 2013)", "plainTextFormattedCitation" : "(Moschos, 2013)", "previouslyFormattedCitation" : "(Moschos, 2013)" }, "properties" : { "noteIndex" : 0 }, "schema" : "https://github.com/citation-style-language/schema/raw/master/csl-citation.json" }</w:instrText>
      </w:r>
      <w:r>
        <w:rPr>
          <w:rFonts w:ascii="Calibri" w:hAnsi="Calibri" w:cs="Arial"/>
        </w:rPr>
        <w:fldChar w:fldCharType="separate"/>
      </w:r>
      <w:r w:rsidRPr="00E72663">
        <w:rPr>
          <w:rFonts w:ascii="Calibri" w:hAnsi="Calibri" w:cs="Arial"/>
          <w:noProof/>
        </w:rPr>
        <w:t>(Moschos, 2013)</w:t>
      </w:r>
      <w:r>
        <w:rPr>
          <w:rFonts w:ascii="Calibri" w:hAnsi="Calibri" w:cs="Arial"/>
        </w:rPr>
        <w:fldChar w:fldCharType="end"/>
      </w:r>
      <w:r>
        <w:rPr>
          <w:rFonts w:ascii="Calibri" w:hAnsi="Calibri" w:cs="Arial"/>
        </w:rPr>
        <w:t>.</w:t>
      </w:r>
    </w:p>
    <w:p w14:paraId="465F56E6" w14:textId="56C4D31A" w:rsidR="003F7B85" w:rsidRDefault="003F7B85" w:rsidP="005837A4">
      <w:pPr>
        <w:spacing w:line="480" w:lineRule="auto"/>
      </w:pPr>
    </w:p>
    <w:sectPr w:rsidR="003F7B85" w:rsidSect="007A00C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D10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D29151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FAA2E51"/>
    <w:multiLevelType w:val="hybridMultilevel"/>
    <w:tmpl w:val="39889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93051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7B23F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9D3579D"/>
    <w:multiLevelType w:val="hybridMultilevel"/>
    <w:tmpl w:val="67385632"/>
    <w:lvl w:ilvl="0" w:tplc="D9CCF194">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4E0CA1"/>
    <w:multiLevelType w:val="multilevel"/>
    <w:tmpl w:val="EDFA58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BA5FC2"/>
    <w:multiLevelType w:val="multilevel"/>
    <w:tmpl w:val="9C283F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2A410B"/>
    <w:multiLevelType w:val="hybridMultilevel"/>
    <w:tmpl w:val="6E5A0C70"/>
    <w:lvl w:ilvl="0" w:tplc="0A6AEE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41422"/>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2C8A67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E692C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6FB0958"/>
    <w:multiLevelType w:val="hybridMultilevel"/>
    <w:tmpl w:val="B82AB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B14EDD"/>
    <w:multiLevelType w:val="hybridMultilevel"/>
    <w:tmpl w:val="5F10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130C4D"/>
    <w:multiLevelType w:val="multilevel"/>
    <w:tmpl w:val="EDCC5F28"/>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C5131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CEE495B"/>
    <w:multiLevelType w:val="hybridMultilevel"/>
    <w:tmpl w:val="3498F860"/>
    <w:lvl w:ilvl="0" w:tplc="6F7EB7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87D1E"/>
    <w:multiLevelType w:val="multilevel"/>
    <w:tmpl w:val="7C28AAB8"/>
    <w:lvl w:ilvl="0">
      <w:start w:val="3"/>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0C74FF5"/>
    <w:multiLevelType w:val="hybridMultilevel"/>
    <w:tmpl w:val="264462F0"/>
    <w:lvl w:ilvl="0" w:tplc="04090001">
      <w:start w:val="1"/>
      <w:numFmt w:val="bullet"/>
      <w:lvlText w:val=""/>
      <w:lvlJc w:val="left"/>
      <w:pPr>
        <w:ind w:left="720" w:hanging="360"/>
      </w:pPr>
      <w:rPr>
        <w:rFonts w:ascii="Symbol" w:hAnsi="Symbol" w:hint="default"/>
      </w:rPr>
    </w:lvl>
    <w:lvl w:ilvl="1" w:tplc="CC8EFE4C">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BF64F2"/>
    <w:multiLevelType w:val="multilevel"/>
    <w:tmpl w:val="6BE46DA0"/>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4C1550C"/>
    <w:multiLevelType w:val="hybridMultilevel"/>
    <w:tmpl w:val="3314D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E543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6585616"/>
    <w:multiLevelType w:val="multilevel"/>
    <w:tmpl w:val="A4F862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BA23878"/>
    <w:multiLevelType w:val="hybridMultilevel"/>
    <w:tmpl w:val="3498F860"/>
    <w:lvl w:ilvl="0" w:tplc="6F7EB7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1D79A3"/>
    <w:multiLevelType w:val="multilevel"/>
    <w:tmpl w:val="0F42B8C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FA23CD2"/>
    <w:multiLevelType w:val="multilevel"/>
    <w:tmpl w:val="7EE0BC8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58795A8E"/>
    <w:multiLevelType w:val="multilevel"/>
    <w:tmpl w:val="491AC3EC"/>
    <w:lvl w:ilvl="0">
      <w:start w:val="1"/>
      <w:numFmt w:val="decimal"/>
      <w:lvlText w:val="%1"/>
      <w:lvlJc w:val="left"/>
      <w:pPr>
        <w:ind w:left="672" w:hanging="432"/>
      </w:pPr>
    </w:lvl>
    <w:lvl w:ilvl="1">
      <w:start w:val="1"/>
      <w:numFmt w:val="decimal"/>
      <w:lvlText w:val="%1.%2"/>
      <w:lvlJc w:val="left"/>
      <w:pPr>
        <w:ind w:left="816" w:hanging="576"/>
      </w:pPr>
    </w:lvl>
    <w:lvl w:ilvl="2">
      <w:start w:val="1"/>
      <w:numFmt w:val="decimal"/>
      <w:lvlText w:val="%1.%2.%3"/>
      <w:lvlJc w:val="left"/>
      <w:pPr>
        <w:ind w:left="960" w:hanging="720"/>
      </w:pPr>
    </w:lvl>
    <w:lvl w:ilvl="3">
      <w:start w:val="1"/>
      <w:numFmt w:val="decimal"/>
      <w:lvlText w:val="%1.%2.%3.%4"/>
      <w:lvlJc w:val="left"/>
      <w:pPr>
        <w:ind w:left="1104" w:hanging="864"/>
      </w:pPr>
    </w:lvl>
    <w:lvl w:ilvl="4">
      <w:start w:val="1"/>
      <w:numFmt w:val="decimal"/>
      <w:lvlText w:val="%1.%2.%3.%4.%5"/>
      <w:lvlJc w:val="left"/>
      <w:pPr>
        <w:ind w:left="1248" w:hanging="1008"/>
      </w:pPr>
    </w:lvl>
    <w:lvl w:ilvl="5">
      <w:start w:val="1"/>
      <w:numFmt w:val="decimal"/>
      <w:lvlText w:val="%1.%2.%3.%4.%5.%6"/>
      <w:lvlJc w:val="left"/>
      <w:pPr>
        <w:ind w:left="1392" w:hanging="1152"/>
      </w:pPr>
    </w:lvl>
    <w:lvl w:ilvl="6">
      <w:start w:val="1"/>
      <w:numFmt w:val="decimal"/>
      <w:lvlText w:val="%1.%2.%3.%4.%5.%6.%7"/>
      <w:lvlJc w:val="left"/>
      <w:pPr>
        <w:ind w:left="1536" w:hanging="1296"/>
      </w:pPr>
    </w:lvl>
    <w:lvl w:ilvl="7">
      <w:start w:val="1"/>
      <w:numFmt w:val="decimal"/>
      <w:lvlText w:val="%1.%2.%3.%4.%5.%6.%7.%8"/>
      <w:lvlJc w:val="left"/>
      <w:pPr>
        <w:ind w:left="1680" w:hanging="1440"/>
      </w:pPr>
    </w:lvl>
    <w:lvl w:ilvl="8">
      <w:start w:val="1"/>
      <w:numFmt w:val="decimal"/>
      <w:lvlText w:val="%1.%2.%3.%4.%5.%6.%7.%8.%9"/>
      <w:lvlJc w:val="left"/>
      <w:pPr>
        <w:ind w:left="1824" w:hanging="1584"/>
      </w:pPr>
    </w:lvl>
  </w:abstractNum>
  <w:abstractNum w:abstractNumId="27">
    <w:nsid w:val="58E929AD"/>
    <w:multiLevelType w:val="multilevel"/>
    <w:tmpl w:val="9C283F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416B04"/>
    <w:multiLevelType w:val="hybridMultilevel"/>
    <w:tmpl w:val="33CC7C5A"/>
    <w:lvl w:ilvl="0" w:tplc="04090001">
      <w:start w:val="1"/>
      <w:numFmt w:val="bullet"/>
      <w:lvlText w:val=""/>
      <w:lvlJc w:val="left"/>
      <w:pPr>
        <w:ind w:left="720" w:hanging="360"/>
      </w:pPr>
      <w:rPr>
        <w:rFonts w:ascii="Symbol" w:hAnsi="Symbol" w:hint="default"/>
      </w:rPr>
    </w:lvl>
    <w:lvl w:ilvl="1" w:tplc="FA227AB4">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044F8E"/>
    <w:multiLevelType w:val="multilevel"/>
    <w:tmpl w:val="9C283F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3615E74"/>
    <w:multiLevelType w:val="multilevel"/>
    <w:tmpl w:val="BC5ED6A0"/>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79B6926"/>
    <w:multiLevelType w:val="multilevel"/>
    <w:tmpl w:val="E79285C2"/>
    <w:lvl w:ilvl="0">
      <w:start w:val="1"/>
      <w:numFmt w:val="decimal"/>
      <w:lvlText w:val="%1"/>
      <w:lvlJc w:val="left"/>
      <w:pPr>
        <w:ind w:left="912" w:hanging="432"/>
      </w:pPr>
    </w:lvl>
    <w:lvl w:ilvl="1">
      <w:start w:val="1"/>
      <w:numFmt w:val="decimal"/>
      <w:lvlText w:val="%1.%2"/>
      <w:lvlJc w:val="left"/>
      <w:pPr>
        <w:ind w:left="1056" w:hanging="576"/>
      </w:pPr>
    </w:lvl>
    <w:lvl w:ilvl="2">
      <w:start w:val="1"/>
      <w:numFmt w:val="decimal"/>
      <w:lvlText w:val="%1.%2.%3"/>
      <w:lvlJc w:val="left"/>
      <w:pPr>
        <w:ind w:left="1200" w:hanging="720"/>
      </w:pPr>
    </w:lvl>
    <w:lvl w:ilvl="3">
      <w:start w:val="1"/>
      <w:numFmt w:val="decimal"/>
      <w:lvlText w:val="%1.%2.%3.%4"/>
      <w:lvlJc w:val="left"/>
      <w:pPr>
        <w:ind w:left="1344" w:hanging="864"/>
      </w:pPr>
    </w:lvl>
    <w:lvl w:ilvl="4">
      <w:start w:val="1"/>
      <w:numFmt w:val="decimal"/>
      <w:lvlText w:val="%1.%2.%3.%4.%5"/>
      <w:lvlJc w:val="left"/>
      <w:pPr>
        <w:ind w:left="1488" w:hanging="1008"/>
      </w:pPr>
    </w:lvl>
    <w:lvl w:ilvl="5">
      <w:start w:val="1"/>
      <w:numFmt w:val="decimal"/>
      <w:lvlText w:val="%1.%2.%3.%4.%5.%6"/>
      <w:lvlJc w:val="left"/>
      <w:pPr>
        <w:ind w:left="1632" w:hanging="1152"/>
      </w:pPr>
    </w:lvl>
    <w:lvl w:ilvl="6">
      <w:start w:val="1"/>
      <w:numFmt w:val="decimal"/>
      <w:lvlText w:val="%1.%2.%3.%4.%5.%6.%7"/>
      <w:lvlJc w:val="left"/>
      <w:pPr>
        <w:ind w:left="1776" w:hanging="1296"/>
      </w:pPr>
    </w:lvl>
    <w:lvl w:ilvl="7">
      <w:start w:val="1"/>
      <w:numFmt w:val="decimal"/>
      <w:lvlText w:val="%1.%2.%3.%4.%5.%6.%7.%8"/>
      <w:lvlJc w:val="left"/>
      <w:pPr>
        <w:ind w:left="1920" w:hanging="1440"/>
      </w:pPr>
    </w:lvl>
    <w:lvl w:ilvl="8">
      <w:start w:val="1"/>
      <w:numFmt w:val="decimal"/>
      <w:lvlText w:val="%1.%2.%3.%4.%5.%6.%7.%8.%9"/>
      <w:lvlJc w:val="left"/>
      <w:pPr>
        <w:ind w:left="2064" w:hanging="1584"/>
      </w:pPr>
    </w:lvl>
  </w:abstractNum>
  <w:abstractNum w:abstractNumId="32">
    <w:nsid w:val="680601D1"/>
    <w:multiLevelType w:val="hybridMultilevel"/>
    <w:tmpl w:val="9D22C0C4"/>
    <w:lvl w:ilvl="0" w:tplc="04090001">
      <w:start w:val="1"/>
      <w:numFmt w:val="bullet"/>
      <w:lvlText w:val=""/>
      <w:lvlJc w:val="left"/>
      <w:pPr>
        <w:ind w:left="720" w:hanging="360"/>
      </w:pPr>
      <w:rPr>
        <w:rFonts w:ascii="Symbol" w:hAnsi="Symbol" w:hint="default"/>
      </w:rPr>
    </w:lvl>
    <w:lvl w:ilvl="1" w:tplc="A82E9CA0">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AC65DB"/>
    <w:multiLevelType w:val="multilevel"/>
    <w:tmpl w:val="93468C84"/>
    <w:lvl w:ilvl="0">
      <w:start w:val="2"/>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6CC766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10228F0"/>
    <w:multiLevelType w:val="hybridMultilevel"/>
    <w:tmpl w:val="607042D2"/>
    <w:lvl w:ilvl="0" w:tplc="04090001">
      <w:start w:val="1"/>
      <w:numFmt w:val="bullet"/>
      <w:lvlText w:val=""/>
      <w:lvlJc w:val="left"/>
      <w:pPr>
        <w:ind w:left="720" w:hanging="360"/>
      </w:pPr>
      <w:rPr>
        <w:rFonts w:ascii="Symbol" w:hAnsi="Symbol" w:hint="default"/>
      </w:rPr>
    </w:lvl>
    <w:lvl w:ilvl="1" w:tplc="46C4265C">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8A7B5C"/>
    <w:multiLevelType w:val="multilevel"/>
    <w:tmpl w:val="5BB8224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3E6203E"/>
    <w:multiLevelType w:val="multilevel"/>
    <w:tmpl w:val="AC8C19D6"/>
    <w:lvl w:ilvl="0">
      <w:start w:val="1"/>
      <w:numFmt w:val="decimal"/>
      <w:lvlText w:val="%1"/>
      <w:lvlJc w:val="left"/>
      <w:pPr>
        <w:ind w:left="432" w:hanging="432"/>
      </w:pPr>
      <w:rPr>
        <w:rFonts w:hint="default"/>
        <w:b/>
        <w:bCs/>
        <w:i w:val="0"/>
        <w:iCs w:val="0"/>
        <w:color w:val="auto"/>
        <w:sz w:val="24"/>
        <w:szCs w:val="24"/>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7B2640E4"/>
    <w:multiLevelType w:val="multilevel"/>
    <w:tmpl w:val="5EB47492"/>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0"/>
  </w:num>
  <w:num w:numId="2">
    <w:abstractNumId w:val="12"/>
  </w:num>
  <w:num w:numId="3">
    <w:abstractNumId w:val="22"/>
  </w:num>
  <w:num w:numId="4">
    <w:abstractNumId w:val="29"/>
  </w:num>
  <w:num w:numId="5">
    <w:abstractNumId w:val="8"/>
  </w:num>
  <w:num w:numId="6">
    <w:abstractNumId w:val="13"/>
  </w:num>
  <w:num w:numId="7">
    <w:abstractNumId w:val="6"/>
  </w:num>
  <w:num w:numId="8">
    <w:abstractNumId w:val="27"/>
  </w:num>
  <w:num w:numId="9">
    <w:abstractNumId w:val="7"/>
  </w:num>
  <w:num w:numId="10">
    <w:abstractNumId w:val="37"/>
  </w:num>
  <w:num w:numId="11">
    <w:abstractNumId w:val="2"/>
  </w:num>
  <w:num w:numId="12">
    <w:abstractNumId w:val="5"/>
  </w:num>
  <w:num w:numId="13">
    <w:abstractNumId w:val="23"/>
  </w:num>
  <w:num w:numId="14">
    <w:abstractNumId w:val="16"/>
  </w:num>
  <w:num w:numId="15">
    <w:abstractNumId w:val="38"/>
  </w:num>
  <w:num w:numId="16">
    <w:abstractNumId w:val="26"/>
  </w:num>
  <w:num w:numId="17">
    <w:abstractNumId w:val="31"/>
  </w:num>
  <w:num w:numId="18">
    <w:abstractNumId w:val="11"/>
  </w:num>
  <w:num w:numId="19">
    <w:abstractNumId w:val="0"/>
  </w:num>
  <w:num w:numId="20">
    <w:abstractNumId w:val="21"/>
  </w:num>
  <w:num w:numId="21">
    <w:abstractNumId w:val="4"/>
  </w:num>
  <w:num w:numId="22">
    <w:abstractNumId w:val="3"/>
  </w:num>
  <w:num w:numId="23">
    <w:abstractNumId w:val="25"/>
  </w:num>
  <w:num w:numId="24">
    <w:abstractNumId w:val="9"/>
  </w:num>
  <w:num w:numId="25">
    <w:abstractNumId w:val="1"/>
  </w:num>
  <w:num w:numId="26">
    <w:abstractNumId w:val="10"/>
  </w:num>
  <w:num w:numId="27">
    <w:abstractNumId w:val="15"/>
  </w:num>
  <w:num w:numId="28">
    <w:abstractNumId w:val="24"/>
  </w:num>
  <w:num w:numId="29">
    <w:abstractNumId w:val="19"/>
  </w:num>
  <w:num w:numId="30">
    <w:abstractNumId w:val="9"/>
  </w:num>
  <w:num w:numId="31">
    <w:abstractNumId w:val="14"/>
  </w:num>
  <w:num w:numId="32">
    <w:abstractNumId w:val="9"/>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0"/>
  </w:num>
  <w:num w:numId="35">
    <w:abstractNumId w:val="9"/>
  </w:num>
  <w:num w:numId="36">
    <w:abstractNumId w:val="9"/>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3"/>
  </w:num>
  <w:num w:numId="39">
    <w:abstractNumId w:val="36"/>
  </w:num>
  <w:num w:numId="40">
    <w:abstractNumId w:val="35"/>
  </w:num>
  <w:num w:numId="41">
    <w:abstractNumId w:val="32"/>
  </w:num>
  <w:num w:numId="42">
    <w:abstractNumId w:val="28"/>
  </w:num>
  <w:num w:numId="43">
    <w:abstractNumId w:val="18"/>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7CE"/>
    <w:rsid w:val="0000313A"/>
    <w:rsid w:val="00007E50"/>
    <w:rsid w:val="0001088D"/>
    <w:rsid w:val="000113BF"/>
    <w:rsid w:val="00012E98"/>
    <w:rsid w:val="000153BC"/>
    <w:rsid w:val="000172A4"/>
    <w:rsid w:val="00017CE2"/>
    <w:rsid w:val="00020277"/>
    <w:rsid w:val="00033DD4"/>
    <w:rsid w:val="000366C8"/>
    <w:rsid w:val="000367B6"/>
    <w:rsid w:val="000377B7"/>
    <w:rsid w:val="0003799A"/>
    <w:rsid w:val="0004000C"/>
    <w:rsid w:val="00040C83"/>
    <w:rsid w:val="0004222C"/>
    <w:rsid w:val="00042467"/>
    <w:rsid w:val="00043BDF"/>
    <w:rsid w:val="000445E3"/>
    <w:rsid w:val="00054D27"/>
    <w:rsid w:val="00057131"/>
    <w:rsid w:val="0006047E"/>
    <w:rsid w:val="000609A8"/>
    <w:rsid w:val="00061C07"/>
    <w:rsid w:val="00062124"/>
    <w:rsid w:val="00063133"/>
    <w:rsid w:val="00066F5D"/>
    <w:rsid w:val="00067820"/>
    <w:rsid w:val="00072270"/>
    <w:rsid w:val="00073225"/>
    <w:rsid w:val="0007546D"/>
    <w:rsid w:val="00080235"/>
    <w:rsid w:val="000834B2"/>
    <w:rsid w:val="000841B5"/>
    <w:rsid w:val="00087564"/>
    <w:rsid w:val="00093CA7"/>
    <w:rsid w:val="00095633"/>
    <w:rsid w:val="00097B7E"/>
    <w:rsid w:val="000A23E1"/>
    <w:rsid w:val="000A487B"/>
    <w:rsid w:val="000A512B"/>
    <w:rsid w:val="000A71C1"/>
    <w:rsid w:val="000B205C"/>
    <w:rsid w:val="000C1571"/>
    <w:rsid w:val="000C35DF"/>
    <w:rsid w:val="000C633D"/>
    <w:rsid w:val="000C6871"/>
    <w:rsid w:val="000C6CB0"/>
    <w:rsid w:val="000C6CDD"/>
    <w:rsid w:val="000D0C5C"/>
    <w:rsid w:val="000D47E8"/>
    <w:rsid w:val="000D5E1B"/>
    <w:rsid w:val="000D6258"/>
    <w:rsid w:val="000D6916"/>
    <w:rsid w:val="000D6E32"/>
    <w:rsid w:val="000E0D2F"/>
    <w:rsid w:val="000E66C8"/>
    <w:rsid w:val="000F3947"/>
    <w:rsid w:val="001004F3"/>
    <w:rsid w:val="00102715"/>
    <w:rsid w:val="001035FA"/>
    <w:rsid w:val="00103F21"/>
    <w:rsid w:val="00110465"/>
    <w:rsid w:val="0011158C"/>
    <w:rsid w:val="00117D4D"/>
    <w:rsid w:val="00121611"/>
    <w:rsid w:val="00121A9C"/>
    <w:rsid w:val="00124293"/>
    <w:rsid w:val="0013032A"/>
    <w:rsid w:val="00130FAF"/>
    <w:rsid w:val="00132E4C"/>
    <w:rsid w:val="00135AB3"/>
    <w:rsid w:val="00140CEE"/>
    <w:rsid w:val="001518A6"/>
    <w:rsid w:val="00155E9E"/>
    <w:rsid w:val="00157723"/>
    <w:rsid w:val="00160062"/>
    <w:rsid w:val="00162071"/>
    <w:rsid w:val="00162D0D"/>
    <w:rsid w:val="0016600A"/>
    <w:rsid w:val="00167105"/>
    <w:rsid w:val="00172BC7"/>
    <w:rsid w:val="00173355"/>
    <w:rsid w:val="00180CA8"/>
    <w:rsid w:val="001837E0"/>
    <w:rsid w:val="00185291"/>
    <w:rsid w:val="0018541E"/>
    <w:rsid w:val="00186357"/>
    <w:rsid w:val="00196CE9"/>
    <w:rsid w:val="001A0F45"/>
    <w:rsid w:val="001B0C59"/>
    <w:rsid w:val="001B57CD"/>
    <w:rsid w:val="001C309E"/>
    <w:rsid w:val="001C45D6"/>
    <w:rsid w:val="001C5BF1"/>
    <w:rsid w:val="001C73EB"/>
    <w:rsid w:val="001D06D2"/>
    <w:rsid w:val="001D45DE"/>
    <w:rsid w:val="001D5B0E"/>
    <w:rsid w:val="001D77B5"/>
    <w:rsid w:val="001E1444"/>
    <w:rsid w:val="001E1D74"/>
    <w:rsid w:val="001E2412"/>
    <w:rsid w:val="001F00B8"/>
    <w:rsid w:val="001F171A"/>
    <w:rsid w:val="001F440B"/>
    <w:rsid w:val="001F62D2"/>
    <w:rsid w:val="001F743D"/>
    <w:rsid w:val="00201A69"/>
    <w:rsid w:val="002110D7"/>
    <w:rsid w:val="002147BB"/>
    <w:rsid w:val="00220334"/>
    <w:rsid w:val="00221162"/>
    <w:rsid w:val="00221FAE"/>
    <w:rsid w:val="002237A0"/>
    <w:rsid w:val="00230205"/>
    <w:rsid w:val="00232E1F"/>
    <w:rsid w:val="002330AA"/>
    <w:rsid w:val="00234CE5"/>
    <w:rsid w:val="002364BF"/>
    <w:rsid w:val="0023669C"/>
    <w:rsid w:val="002375C8"/>
    <w:rsid w:val="002378BD"/>
    <w:rsid w:val="002425F3"/>
    <w:rsid w:val="0025225B"/>
    <w:rsid w:val="0025637F"/>
    <w:rsid w:val="00267D57"/>
    <w:rsid w:val="00271D0D"/>
    <w:rsid w:val="002753D2"/>
    <w:rsid w:val="00276E12"/>
    <w:rsid w:val="0028155E"/>
    <w:rsid w:val="00281F68"/>
    <w:rsid w:val="00282DA6"/>
    <w:rsid w:val="00285238"/>
    <w:rsid w:val="00285C93"/>
    <w:rsid w:val="00293241"/>
    <w:rsid w:val="00296787"/>
    <w:rsid w:val="002A25D9"/>
    <w:rsid w:val="002B1746"/>
    <w:rsid w:val="002B331D"/>
    <w:rsid w:val="002B57F4"/>
    <w:rsid w:val="002B5D61"/>
    <w:rsid w:val="002B5E50"/>
    <w:rsid w:val="002B71C6"/>
    <w:rsid w:val="002C49E5"/>
    <w:rsid w:val="002C6506"/>
    <w:rsid w:val="002C6B83"/>
    <w:rsid w:val="002D3299"/>
    <w:rsid w:val="002D511D"/>
    <w:rsid w:val="002E1151"/>
    <w:rsid w:val="002E2AC0"/>
    <w:rsid w:val="002E41A0"/>
    <w:rsid w:val="002F0F85"/>
    <w:rsid w:val="002F2765"/>
    <w:rsid w:val="002F35E5"/>
    <w:rsid w:val="002F592A"/>
    <w:rsid w:val="00300B2D"/>
    <w:rsid w:val="003027DB"/>
    <w:rsid w:val="00304225"/>
    <w:rsid w:val="003049BE"/>
    <w:rsid w:val="00304BC3"/>
    <w:rsid w:val="003055A1"/>
    <w:rsid w:val="00305BE5"/>
    <w:rsid w:val="003150BC"/>
    <w:rsid w:val="003170D2"/>
    <w:rsid w:val="00322071"/>
    <w:rsid w:val="00323AEF"/>
    <w:rsid w:val="00327D76"/>
    <w:rsid w:val="0033318C"/>
    <w:rsid w:val="00333438"/>
    <w:rsid w:val="00333B40"/>
    <w:rsid w:val="00333C03"/>
    <w:rsid w:val="00336CAE"/>
    <w:rsid w:val="003373DB"/>
    <w:rsid w:val="0034141D"/>
    <w:rsid w:val="00341874"/>
    <w:rsid w:val="003424A6"/>
    <w:rsid w:val="003464B7"/>
    <w:rsid w:val="0034692A"/>
    <w:rsid w:val="00347154"/>
    <w:rsid w:val="00347B8D"/>
    <w:rsid w:val="00353305"/>
    <w:rsid w:val="00353BD8"/>
    <w:rsid w:val="003606E2"/>
    <w:rsid w:val="00366466"/>
    <w:rsid w:val="003700F4"/>
    <w:rsid w:val="00370F3F"/>
    <w:rsid w:val="003765C1"/>
    <w:rsid w:val="00377BCA"/>
    <w:rsid w:val="00383CA0"/>
    <w:rsid w:val="003850D8"/>
    <w:rsid w:val="003924A5"/>
    <w:rsid w:val="00394ACA"/>
    <w:rsid w:val="003966ED"/>
    <w:rsid w:val="003A33F4"/>
    <w:rsid w:val="003A62F0"/>
    <w:rsid w:val="003B1E7B"/>
    <w:rsid w:val="003B3941"/>
    <w:rsid w:val="003B4B50"/>
    <w:rsid w:val="003B561E"/>
    <w:rsid w:val="003D16F8"/>
    <w:rsid w:val="003D2BEB"/>
    <w:rsid w:val="003D3C00"/>
    <w:rsid w:val="003D4FB7"/>
    <w:rsid w:val="003D53DC"/>
    <w:rsid w:val="003E04DA"/>
    <w:rsid w:val="003E5ADA"/>
    <w:rsid w:val="003E6987"/>
    <w:rsid w:val="003E7BAE"/>
    <w:rsid w:val="003F13DC"/>
    <w:rsid w:val="003F4665"/>
    <w:rsid w:val="003F78E9"/>
    <w:rsid w:val="003F7B85"/>
    <w:rsid w:val="00401434"/>
    <w:rsid w:val="004026C8"/>
    <w:rsid w:val="004075E7"/>
    <w:rsid w:val="00411B15"/>
    <w:rsid w:val="004121A3"/>
    <w:rsid w:val="00414FE4"/>
    <w:rsid w:val="0041550D"/>
    <w:rsid w:val="00416287"/>
    <w:rsid w:val="00417547"/>
    <w:rsid w:val="0042507B"/>
    <w:rsid w:val="004258C7"/>
    <w:rsid w:val="0042635F"/>
    <w:rsid w:val="00432B0D"/>
    <w:rsid w:val="004347C9"/>
    <w:rsid w:val="00434E25"/>
    <w:rsid w:val="00436A25"/>
    <w:rsid w:val="00440D0E"/>
    <w:rsid w:val="0044257C"/>
    <w:rsid w:val="004430E5"/>
    <w:rsid w:val="00446663"/>
    <w:rsid w:val="00446BB5"/>
    <w:rsid w:val="004471C0"/>
    <w:rsid w:val="004478D6"/>
    <w:rsid w:val="00450D3F"/>
    <w:rsid w:val="00451195"/>
    <w:rsid w:val="00451740"/>
    <w:rsid w:val="00454FCA"/>
    <w:rsid w:val="00457D14"/>
    <w:rsid w:val="00461586"/>
    <w:rsid w:val="00462512"/>
    <w:rsid w:val="004633E1"/>
    <w:rsid w:val="004725F1"/>
    <w:rsid w:val="0047550C"/>
    <w:rsid w:val="00480C6D"/>
    <w:rsid w:val="0048373A"/>
    <w:rsid w:val="00486472"/>
    <w:rsid w:val="00490679"/>
    <w:rsid w:val="00494FA2"/>
    <w:rsid w:val="00496ACA"/>
    <w:rsid w:val="004A028B"/>
    <w:rsid w:val="004A5298"/>
    <w:rsid w:val="004B2015"/>
    <w:rsid w:val="004B3032"/>
    <w:rsid w:val="004B5685"/>
    <w:rsid w:val="004B56C9"/>
    <w:rsid w:val="004C0E07"/>
    <w:rsid w:val="004C15F6"/>
    <w:rsid w:val="004C40DB"/>
    <w:rsid w:val="004C64A5"/>
    <w:rsid w:val="004D4C40"/>
    <w:rsid w:val="004D59AB"/>
    <w:rsid w:val="004E328A"/>
    <w:rsid w:val="004E3E8C"/>
    <w:rsid w:val="004E5430"/>
    <w:rsid w:val="004F2FBE"/>
    <w:rsid w:val="004F4303"/>
    <w:rsid w:val="004F5409"/>
    <w:rsid w:val="004F5548"/>
    <w:rsid w:val="004F6296"/>
    <w:rsid w:val="004F66D4"/>
    <w:rsid w:val="0050281B"/>
    <w:rsid w:val="00503884"/>
    <w:rsid w:val="00505C49"/>
    <w:rsid w:val="0050727F"/>
    <w:rsid w:val="00510287"/>
    <w:rsid w:val="00511BC2"/>
    <w:rsid w:val="00512E4C"/>
    <w:rsid w:val="00513798"/>
    <w:rsid w:val="005179BD"/>
    <w:rsid w:val="00522B17"/>
    <w:rsid w:val="00522E7E"/>
    <w:rsid w:val="0054271F"/>
    <w:rsid w:val="00542D3A"/>
    <w:rsid w:val="0054346A"/>
    <w:rsid w:val="00551275"/>
    <w:rsid w:val="00552CE7"/>
    <w:rsid w:val="0055317C"/>
    <w:rsid w:val="00554283"/>
    <w:rsid w:val="00557A50"/>
    <w:rsid w:val="005600F2"/>
    <w:rsid w:val="00560AE0"/>
    <w:rsid w:val="00561915"/>
    <w:rsid w:val="0056754C"/>
    <w:rsid w:val="00570092"/>
    <w:rsid w:val="005712F5"/>
    <w:rsid w:val="00571E36"/>
    <w:rsid w:val="0057308B"/>
    <w:rsid w:val="00575361"/>
    <w:rsid w:val="005837A4"/>
    <w:rsid w:val="005845E0"/>
    <w:rsid w:val="0059103E"/>
    <w:rsid w:val="00591783"/>
    <w:rsid w:val="0059485C"/>
    <w:rsid w:val="00595465"/>
    <w:rsid w:val="00595B9C"/>
    <w:rsid w:val="00596CBF"/>
    <w:rsid w:val="005977C1"/>
    <w:rsid w:val="005A03BF"/>
    <w:rsid w:val="005B31A4"/>
    <w:rsid w:val="005B78EB"/>
    <w:rsid w:val="005B7E51"/>
    <w:rsid w:val="005C6E25"/>
    <w:rsid w:val="005C7F82"/>
    <w:rsid w:val="005D6140"/>
    <w:rsid w:val="005E06D6"/>
    <w:rsid w:val="005E171D"/>
    <w:rsid w:val="005E2AB3"/>
    <w:rsid w:val="005E2FAC"/>
    <w:rsid w:val="005E6A2E"/>
    <w:rsid w:val="005E7772"/>
    <w:rsid w:val="005F09AC"/>
    <w:rsid w:val="005F1F3D"/>
    <w:rsid w:val="005F2EEE"/>
    <w:rsid w:val="005F7075"/>
    <w:rsid w:val="006033CF"/>
    <w:rsid w:val="00604A85"/>
    <w:rsid w:val="00605941"/>
    <w:rsid w:val="00611A5B"/>
    <w:rsid w:val="0061378A"/>
    <w:rsid w:val="006224C2"/>
    <w:rsid w:val="00627BD5"/>
    <w:rsid w:val="006300B0"/>
    <w:rsid w:val="00633BB3"/>
    <w:rsid w:val="00637989"/>
    <w:rsid w:val="00651307"/>
    <w:rsid w:val="00651AB9"/>
    <w:rsid w:val="00651D16"/>
    <w:rsid w:val="006549AD"/>
    <w:rsid w:val="006613C5"/>
    <w:rsid w:val="00661C43"/>
    <w:rsid w:val="006673D8"/>
    <w:rsid w:val="00681FDD"/>
    <w:rsid w:val="006825A8"/>
    <w:rsid w:val="0068271A"/>
    <w:rsid w:val="0068691F"/>
    <w:rsid w:val="00687596"/>
    <w:rsid w:val="00696FB6"/>
    <w:rsid w:val="006A045B"/>
    <w:rsid w:val="006A0576"/>
    <w:rsid w:val="006A55C1"/>
    <w:rsid w:val="006B5B0E"/>
    <w:rsid w:val="006B6812"/>
    <w:rsid w:val="006C0CA5"/>
    <w:rsid w:val="006C18FA"/>
    <w:rsid w:val="006C33A1"/>
    <w:rsid w:val="006C6A6E"/>
    <w:rsid w:val="006D23AB"/>
    <w:rsid w:val="006D29D0"/>
    <w:rsid w:val="006D3D50"/>
    <w:rsid w:val="006D7ECA"/>
    <w:rsid w:val="006E3ED4"/>
    <w:rsid w:val="006E5B60"/>
    <w:rsid w:val="006E74AE"/>
    <w:rsid w:val="006F341F"/>
    <w:rsid w:val="006F6A97"/>
    <w:rsid w:val="00702C5E"/>
    <w:rsid w:val="00706E7A"/>
    <w:rsid w:val="0071165A"/>
    <w:rsid w:val="007248F5"/>
    <w:rsid w:val="00745A33"/>
    <w:rsid w:val="00752180"/>
    <w:rsid w:val="00755CAD"/>
    <w:rsid w:val="007563B0"/>
    <w:rsid w:val="00756DAC"/>
    <w:rsid w:val="00757DAD"/>
    <w:rsid w:val="007600B8"/>
    <w:rsid w:val="00762E50"/>
    <w:rsid w:val="007644C5"/>
    <w:rsid w:val="00767AE1"/>
    <w:rsid w:val="007712A6"/>
    <w:rsid w:val="007735EB"/>
    <w:rsid w:val="007755D0"/>
    <w:rsid w:val="0077636A"/>
    <w:rsid w:val="00776840"/>
    <w:rsid w:val="007771EF"/>
    <w:rsid w:val="00783F43"/>
    <w:rsid w:val="0078633F"/>
    <w:rsid w:val="00787897"/>
    <w:rsid w:val="007A00CA"/>
    <w:rsid w:val="007A1B8F"/>
    <w:rsid w:val="007A2E32"/>
    <w:rsid w:val="007A4073"/>
    <w:rsid w:val="007A513C"/>
    <w:rsid w:val="007A51CE"/>
    <w:rsid w:val="007A695D"/>
    <w:rsid w:val="007B0102"/>
    <w:rsid w:val="007B427E"/>
    <w:rsid w:val="007C46DD"/>
    <w:rsid w:val="007C76BB"/>
    <w:rsid w:val="007D2C1C"/>
    <w:rsid w:val="007E1888"/>
    <w:rsid w:val="007E1A3C"/>
    <w:rsid w:val="007E1E41"/>
    <w:rsid w:val="007E29FF"/>
    <w:rsid w:val="007E36C4"/>
    <w:rsid w:val="007F1AC6"/>
    <w:rsid w:val="007F2245"/>
    <w:rsid w:val="007F2391"/>
    <w:rsid w:val="008016AF"/>
    <w:rsid w:val="00801B34"/>
    <w:rsid w:val="00801DC1"/>
    <w:rsid w:val="0080250A"/>
    <w:rsid w:val="008028FA"/>
    <w:rsid w:val="00803523"/>
    <w:rsid w:val="00803D8B"/>
    <w:rsid w:val="00804AFF"/>
    <w:rsid w:val="0080560E"/>
    <w:rsid w:val="00813221"/>
    <w:rsid w:val="008132B4"/>
    <w:rsid w:val="00814069"/>
    <w:rsid w:val="008226D9"/>
    <w:rsid w:val="008240DA"/>
    <w:rsid w:val="00825A68"/>
    <w:rsid w:val="008260F3"/>
    <w:rsid w:val="00830A0C"/>
    <w:rsid w:val="00831EC2"/>
    <w:rsid w:val="00832EE5"/>
    <w:rsid w:val="00833B63"/>
    <w:rsid w:val="00833D11"/>
    <w:rsid w:val="00841AC5"/>
    <w:rsid w:val="00842050"/>
    <w:rsid w:val="00843EAF"/>
    <w:rsid w:val="00850C89"/>
    <w:rsid w:val="00853D8B"/>
    <w:rsid w:val="008560A4"/>
    <w:rsid w:val="0086453F"/>
    <w:rsid w:val="00865B83"/>
    <w:rsid w:val="0087087A"/>
    <w:rsid w:val="00874AEF"/>
    <w:rsid w:val="00877632"/>
    <w:rsid w:val="00877B8A"/>
    <w:rsid w:val="0088045A"/>
    <w:rsid w:val="008826E1"/>
    <w:rsid w:val="00887E52"/>
    <w:rsid w:val="00894274"/>
    <w:rsid w:val="00894558"/>
    <w:rsid w:val="00895E5D"/>
    <w:rsid w:val="008962B8"/>
    <w:rsid w:val="008B0557"/>
    <w:rsid w:val="008B40E4"/>
    <w:rsid w:val="008B6AAC"/>
    <w:rsid w:val="008B7190"/>
    <w:rsid w:val="008C18E5"/>
    <w:rsid w:val="008C4EB2"/>
    <w:rsid w:val="008C6C7D"/>
    <w:rsid w:val="008C6C88"/>
    <w:rsid w:val="008C6F2E"/>
    <w:rsid w:val="008D0866"/>
    <w:rsid w:val="008D0AC2"/>
    <w:rsid w:val="008D4EFF"/>
    <w:rsid w:val="008E1805"/>
    <w:rsid w:val="008E18CB"/>
    <w:rsid w:val="008E4709"/>
    <w:rsid w:val="008E4EFA"/>
    <w:rsid w:val="008F2499"/>
    <w:rsid w:val="008F3AAD"/>
    <w:rsid w:val="008F5076"/>
    <w:rsid w:val="008F7CDE"/>
    <w:rsid w:val="00900833"/>
    <w:rsid w:val="009015F5"/>
    <w:rsid w:val="00906B82"/>
    <w:rsid w:val="00910CF7"/>
    <w:rsid w:val="00911ADA"/>
    <w:rsid w:val="009151F4"/>
    <w:rsid w:val="009241EC"/>
    <w:rsid w:val="00925E56"/>
    <w:rsid w:val="00931D07"/>
    <w:rsid w:val="009322C7"/>
    <w:rsid w:val="0093336B"/>
    <w:rsid w:val="009350FF"/>
    <w:rsid w:val="009355D2"/>
    <w:rsid w:val="009363E0"/>
    <w:rsid w:val="009365FE"/>
    <w:rsid w:val="009378D4"/>
    <w:rsid w:val="0094378A"/>
    <w:rsid w:val="00944DC2"/>
    <w:rsid w:val="0095120F"/>
    <w:rsid w:val="00952B28"/>
    <w:rsid w:val="00953263"/>
    <w:rsid w:val="00956089"/>
    <w:rsid w:val="009565BC"/>
    <w:rsid w:val="00961F78"/>
    <w:rsid w:val="009662E6"/>
    <w:rsid w:val="0097074F"/>
    <w:rsid w:val="009719CE"/>
    <w:rsid w:val="0097502F"/>
    <w:rsid w:val="0097754A"/>
    <w:rsid w:val="0098340B"/>
    <w:rsid w:val="009835E0"/>
    <w:rsid w:val="00984900"/>
    <w:rsid w:val="009876DB"/>
    <w:rsid w:val="00990822"/>
    <w:rsid w:val="00991F43"/>
    <w:rsid w:val="00993796"/>
    <w:rsid w:val="009964DD"/>
    <w:rsid w:val="009A0452"/>
    <w:rsid w:val="009A264A"/>
    <w:rsid w:val="009A3635"/>
    <w:rsid w:val="009A505C"/>
    <w:rsid w:val="009B2533"/>
    <w:rsid w:val="009B2F32"/>
    <w:rsid w:val="009C13DD"/>
    <w:rsid w:val="009C2079"/>
    <w:rsid w:val="009C5143"/>
    <w:rsid w:val="009C644C"/>
    <w:rsid w:val="009C77AE"/>
    <w:rsid w:val="009D40CF"/>
    <w:rsid w:val="009E219F"/>
    <w:rsid w:val="009E27C7"/>
    <w:rsid w:val="009E2A82"/>
    <w:rsid w:val="009E3836"/>
    <w:rsid w:val="009F0320"/>
    <w:rsid w:val="009F0DBA"/>
    <w:rsid w:val="009F262A"/>
    <w:rsid w:val="009F2AD3"/>
    <w:rsid w:val="009F4384"/>
    <w:rsid w:val="009F7C53"/>
    <w:rsid w:val="00A137E2"/>
    <w:rsid w:val="00A144A8"/>
    <w:rsid w:val="00A21669"/>
    <w:rsid w:val="00A24E74"/>
    <w:rsid w:val="00A25217"/>
    <w:rsid w:val="00A25D34"/>
    <w:rsid w:val="00A31910"/>
    <w:rsid w:val="00A360A3"/>
    <w:rsid w:val="00A36F46"/>
    <w:rsid w:val="00A4049C"/>
    <w:rsid w:val="00A421A8"/>
    <w:rsid w:val="00A42EAB"/>
    <w:rsid w:val="00A44F43"/>
    <w:rsid w:val="00A45720"/>
    <w:rsid w:val="00A51350"/>
    <w:rsid w:val="00A5549D"/>
    <w:rsid w:val="00A57394"/>
    <w:rsid w:val="00A71DD1"/>
    <w:rsid w:val="00A72DB5"/>
    <w:rsid w:val="00A75F93"/>
    <w:rsid w:val="00A77412"/>
    <w:rsid w:val="00A81A41"/>
    <w:rsid w:val="00A830BC"/>
    <w:rsid w:val="00A83A13"/>
    <w:rsid w:val="00A87432"/>
    <w:rsid w:val="00A92863"/>
    <w:rsid w:val="00A95E2E"/>
    <w:rsid w:val="00A9637D"/>
    <w:rsid w:val="00AA2686"/>
    <w:rsid w:val="00AA5455"/>
    <w:rsid w:val="00AB2385"/>
    <w:rsid w:val="00AB3937"/>
    <w:rsid w:val="00AC0940"/>
    <w:rsid w:val="00AC1B41"/>
    <w:rsid w:val="00AC1DF6"/>
    <w:rsid w:val="00AC29B1"/>
    <w:rsid w:val="00AC4F95"/>
    <w:rsid w:val="00AD046B"/>
    <w:rsid w:val="00AD07AB"/>
    <w:rsid w:val="00AD1D91"/>
    <w:rsid w:val="00AD305A"/>
    <w:rsid w:val="00AD46A2"/>
    <w:rsid w:val="00AD471F"/>
    <w:rsid w:val="00AD5984"/>
    <w:rsid w:val="00AD66D4"/>
    <w:rsid w:val="00AD758B"/>
    <w:rsid w:val="00AD776D"/>
    <w:rsid w:val="00AE0E41"/>
    <w:rsid w:val="00AE56C9"/>
    <w:rsid w:val="00AE5908"/>
    <w:rsid w:val="00AE641D"/>
    <w:rsid w:val="00AE742D"/>
    <w:rsid w:val="00AE77EB"/>
    <w:rsid w:val="00AE7E22"/>
    <w:rsid w:val="00AF5019"/>
    <w:rsid w:val="00AF59AE"/>
    <w:rsid w:val="00AF5D38"/>
    <w:rsid w:val="00AF7825"/>
    <w:rsid w:val="00B00C9A"/>
    <w:rsid w:val="00B01725"/>
    <w:rsid w:val="00B06314"/>
    <w:rsid w:val="00B11896"/>
    <w:rsid w:val="00B11A08"/>
    <w:rsid w:val="00B138A9"/>
    <w:rsid w:val="00B165B7"/>
    <w:rsid w:val="00B16772"/>
    <w:rsid w:val="00B21532"/>
    <w:rsid w:val="00B23D65"/>
    <w:rsid w:val="00B24799"/>
    <w:rsid w:val="00B30788"/>
    <w:rsid w:val="00B318D8"/>
    <w:rsid w:val="00B32BE9"/>
    <w:rsid w:val="00B3723C"/>
    <w:rsid w:val="00B37B6B"/>
    <w:rsid w:val="00B4110B"/>
    <w:rsid w:val="00B453E8"/>
    <w:rsid w:val="00B610E9"/>
    <w:rsid w:val="00B62D5F"/>
    <w:rsid w:val="00B65305"/>
    <w:rsid w:val="00B67435"/>
    <w:rsid w:val="00B737A4"/>
    <w:rsid w:val="00B7387C"/>
    <w:rsid w:val="00B808F8"/>
    <w:rsid w:val="00B817C5"/>
    <w:rsid w:val="00B87EC7"/>
    <w:rsid w:val="00B87F8E"/>
    <w:rsid w:val="00B91104"/>
    <w:rsid w:val="00B93A7F"/>
    <w:rsid w:val="00B94DB4"/>
    <w:rsid w:val="00BA1566"/>
    <w:rsid w:val="00BA4A6D"/>
    <w:rsid w:val="00BB2751"/>
    <w:rsid w:val="00BB324D"/>
    <w:rsid w:val="00BB63A6"/>
    <w:rsid w:val="00BC250F"/>
    <w:rsid w:val="00BC7774"/>
    <w:rsid w:val="00BC77BD"/>
    <w:rsid w:val="00BC7C66"/>
    <w:rsid w:val="00BC7D82"/>
    <w:rsid w:val="00BD10E1"/>
    <w:rsid w:val="00BD2654"/>
    <w:rsid w:val="00BE5180"/>
    <w:rsid w:val="00BE65D6"/>
    <w:rsid w:val="00BF2977"/>
    <w:rsid w:val="00BF3DAF"/>
    <w:rsid w:val="00BF7CCB"/>
    <w:rsid w:val="00C00491"/>
    <w:rsid w:val="00C03C22"/>
    <w:rsid w:val="00C045FB"/>
    <w:rsid w:val="00C07FEB"/>
    <w:rsid w:val="00C11DE9"/>
    <w:rsid w:val="00C11FE4"/>
    <w:rsid w:val="00C13250"/>
    <w:rsid w:val="00C13B7D"/>
    <w:rsid w:val="00C16353"/>
    <w:rsid w:val="00C24E0F"/>
    <w:rsid w:val="00C258DB"/>
    <w:rsid w:val="00C267FD"/>
    <w:rsid w:val="00C32A49"/>
    <w:rsid w:val="00C34B80"/>
    <w:rsid w:val="00C34DFB"/>
    <w:rsid w:val="00C37E7B"/>
    <w:rsid w:val="00C41AEF"/>
    <w:rsid w:val="00C43294"/>
    <w:rsid w:val="00C44927"/>
    <w:rsid w:val="00C46CAB"/>
    <w:rsid w:val="00C52742"/>
    <w:rsid w:val="00C53CDB"/>
    <w:rsid w:val="00C55981"/>
    <w:rsid w:val="00C570FB"/>
    <w:rsid w:val="00C5742D"/>
    <w:rsid w:val="00C5768B"/>
    <w:rsid w:val="00C60AA7"/>
    <w:rsid w:val="00C651FB"/>
    <w:rsid w:val="00C70380"/>
    <w:rsid w:val="00C742C8"/>
    <w:rsid w:val="00C8103D"/>
    <w:rsid w:val="00C8187C"/>
    <w:rsid w:val="00C82272"/>
    <w:rsid w:val="00C90F01"/>
    <w:rsid w:val="00C93921"/>
    <w:rsid w:val="00C9774C"/>
    <w:rsid w:val="00CA046D"/>
    <w:rsid w:val="00CA250B"/>
    <w:rsid w:val="00CA4715"/>
    <w:rsid w:val="00CA4782"/>
    <w:rsid w:val="00CA60F0"/>
    <w:rsid w:val="00CA632C"/>
    <w:rsid w:val="00CA681B"/>
    <w:rsid w:val="00CA7DA2"/>
    <w:rsid w:val="00CB0B75"/>
    <w:rsid w:val="00CC18B0"/>
    <w:rsid w:val="00CC1B88"/>
    <w:rsid w:val="00CC7F76"/>
    <w:rsid w:val="00CD03B1"/>
    <w:rsid w:val="00CD5B39"/>
    <w:rsid w:val="00CD6D53"/>
    <w:rsid w:val="00CD7A79"/>
    <w:rsid w:val="00CE12C2"/>
    <w:rsid w:val="00CE5184"/>
    <w:rsid w:val="00CE636D"/>
    <w:rsid w:val="00CE7FB0"/>
    <w:rsid w:val="00CF23CA"/>
    <w:rsid w:val="00CF345E"/>
    <w:rsid w:val="00CF47DB"/>
    <w:rsid w:val="00CF4B6A"/>
    <w:rsid w:val="00CF6996"/>
    <w:rsid w:val="00CF6AD6"/>
    <w:rsid w:val="00D03062"/>
    <w:rsid w:val="00D135FE"/>
    <w:rsid w:val="00D13EA3"/>
    <w:rsid w:val="00D15A72"/>
    <w:rsid w:val="00D173D2"/>
    <w:rsid w:val="00D2094D"/>
    <w:rsid w:val="00D22293"/>
    <w:rsid w:val="00D2409A"/>
    <w:rsid w:val="00D277EF"/>
    <w:rsid w:val="00D32270"/>
    <w:rsid w:val="00D36CFE"/>
    <w:rsid w:val="00D36F42"/>
    <w:rsid w:val="00D37FB2"/>
    <w:rsid w:val="00D4085A"/>
    <w:rsid w:val="00D40877"/>
    <w:rsid w:val="00D43449"/>
    <w:rsid w:val="00D4489A"/>
    <w:rsid w:val="00D45480"/>
    <w:rsid w:val="00D47B9F"/>
    <w:rsid w:val="00D53DC4"/>
    <w:rsid w:val="00D54597"/>
    <w:rsid w:val="00D5673C"/>
    <w:rsid w:val="00D573DB"/>
    <w:rsid w:val="00D6558F"/>
    <w:rsid w:val="00D669DC"/>
    <w:rsid w:val="00D672F8"/>
    <w:rsid w:val="00D7023D"/>
    <w:rsid w:val="00D7027C"/>
    <w:rsid w:val="00D705FF"/>
    <w:rsid w:val="00D707C3"/>
    <w:rsid w:val="00D73531"/>
    <w:rsid w:val="00D75128"/>
    <w:rsid w:val="00D816AE"/>
    <w:rsid w:val="00D83624"/>
    <w:rsid w:val="00D85962"/>
    <w:rsid w:val="00D86E94"/>
    <w:rsid w:val="00D93238"/>
    <w:rsid w:val="00D935BC"/>
    <w:rsid w:val="00D96435"/>
    <w:rsid w:val="00DA2BE7"/>
    <w:rsid w:val="00DA2CA3"/>
    <w:rsid w:val="00DA4B8F"/>
    <w:rsid w:val="00DA7FEC"/>
    <w:rsid w:val="00DB0686"/>
    <w:rsid w:val="00DB473A"/>
    <w:rsid w:val="00DB73B3"/>
    <w:rsid w:val="00DC6B01"/>
    <w:rsid w:val="00DD1C90"/>
    <w:rsid w:val="00DD579C"/>
    <w:rsid w:val="00DD5E6D"/>
    <w:rsid w:val="00DD647A"/>
    <w:rsid w:val="00DF128F"/>
    <w:rsid w:val="00DF25C9"/>
    <w:rsid w:val="00DF3613"/>
    <w:rsid w:val="00DF46EC"/>
    <w:rsid w:val="00DF6144"/>
    <w:rsid w:val="00E02697"/>
    <w:rsid w:val="00E033D1"/>
    <w:rsid w:val="00E03DB9"/>
    <w:rsid w:val="00E06180"/>
    <w:rsid w:val="00E07870"/>
    <w:rsid w:val="00E11641"/>
    <w:rsid w:val="00E12734"/>
    <w:rsid w:val="00E1380A"/>
    <w:rsid w:val="00E17649"/>
    <w:rsid w:val="00E2062D"/>
    <w:rsid w:val="00E23F82"/>
    <w:rsid w:val="00E2440E"/>
    <w:rsid w:val="00E257C5"/>
    <w:rsid w:val="00E26254"/>
    <w:rsid w:val="00E26D84"/>
    <w:rsid w:val="00E31E0A"/>
    <w:rsid w:val="00E4022F"/>
    <w:rsid w:val="00E42C3C"/>
    <w:rsid w:val="00E50367"/>
    <w:rsid w:val="00E51F94"/>
    <w:rsid w:val="00E542D7"/>
    <w:rsid w:val="00E55ED9"/>
    <w:rsid w:val="00E60AB2"/>
    <w:rsid w:val="00E62E5D"/>
    <w:rsid w:val="00E640FE"/>
    <w:rsid w:val="00E72663"/>
    <w:rsid w:val="00E72DA9"/>
    <w:rsid w:val="00E7686F"/>
    <w:rsid w:val="00E812D1"/>
    <w:rsid w:val="00E829B1"/>
    <w:rsid w:val="00E82B8C"/>
    <w:rsid w:val="00E83627"/>
    <w:rsid w:val="00E844E9"/>
    <w:rsid w:val="00E9269B"/>
    <w:rsid w:val="00E9316B"/>
    <w:rsid w:val="00E938F9"/>
    <w:rsid w:val="00E93928"/>
    <w:rsid w:val="00E9441C"/>
    <w:rsid w:val="00E9727A"/>
    <w:rsid w:val="00EA1174"/>
    <w:rsid w:val="00EA4D41"/>
    <w:rsid w:val="00EA7B2E"/>
    <w:rsid w:val="00EB0EFD"/>
    <w:rsid w:val="00EB35DA"/>
    <w:rsid w:val="00EB5C87"/>
    <w:rsid w:val="00EC06B9"/>
    <w:rsid w:val="00EC46F6"/>
    <w:rsid w:val="00EC4F10"/>
    <w:rsid w:val="00ED0FCE"/>
    <w:rsid w:val="00ED1AF1"/>
    <w:rsid w:val="00ED1E0E"/>
    <w:rsid w:val="00ED2E67"/>
    <w:rsid w:val="00ED714B"/>
    <w:rsid w:val="00ED78F9"/>
    <w:rsid w:val="00EE16F9"/>
    <w:rsid w:val="00EE24BD"/>
    <w:rsid w:val="00EE3BCA"/>
    <w:rsid w:val="00EE4BAE"/>
    <w:rsid w:val="00EE773D"/>
    <w:rsid w:val="00EF20FD"/>
    <w:rsid w:val="00EF63BF"/>
    <w:rsid w:val="00EF68C6"/>
    <w:rsid w:val="00F01D59"/>
    <w:rsid w:val="00F13800"/>
    <w:rsid w:val="00F15E58"/>
    <w:rsid w:val="00F21CCE"/>
    <w:rsid w:val="00F22D3A"/>
    <w:rsid w:val="00F23884"/>
    <w:rsid w:val="00F2418F"/>
    <w:rsid w:val="00F268BD"/>
    <w:rsid w:val="00F306F0"/>
    <w:rsid w:val="00F31697"/>
    <w:rsid w:val="00F360B9"/>
    <w:rsid w:val="00F37918"/>
    <w:rsid w:val="00F43432"/>
    <w:rsid w:val="00F44794"/>
    <w:rsid w:val="00F44CCE"/>
    <w:rsid w:val="00F4510E"/>
    <w:rsid w:val="00F544E4"/>
    <w:rsid w:val="00F5515E"/>
    <w:rsid w:val="00F55AEE"/>
    <w:rsid w:val="00F62FF5"/>
    <w:rsid w:val="00F658B1"/>
    <w:rsid w:val="00F668A4"/>
    <w:rsid w:val="00F677CE"/>
    <w:rsid w:val="00F7354A"/>
    <w:rsid w:val="00F75944"/>
    <w:rsid w:val="00F82DA6"/>
    <w:rsid w:val="00F82F9F"/>
    <w:rsid w:val="00F83C2A"/>
    <w:rsid w:val="00F90B92"/>
    <w:rsid w:val="00F90CD9"/>
    <w:rsid w:val="00F91D6E"/>
    <w:rsid w:val="00F932BB"/>
    <w:rsid w:val="00F9350D"/>
    <w:rsid w:val="00F94C0D"/>
    <w:rsid w:val="00FA0778"/>
    <w:rsid w:val="00FA119C"/>
    <w:rsid w:val="00FA1813"/>
    <w:rsid w:val="00FA29B0"/>
    <w:rsid w:val="00FA3AE7"/>
    <w:rsid w:val="00FA43F3"/>
    <w:rsid w:val="00FA4C86"/>
    <w:rsid w:val="00FA4EDA"/>
    <w:rsid w:val="00FA5FE8"/>
    <w:rsid w:val="00FA7865"/>
    <w:rsid w:val="00FB2682"/>
    <w:rsid w:val="00FB484C"/>
    <w:rsid w:val="00FB6E09"/>
    <w:rsid w:val="00FC0AE4"/>
    <w:rsid w:val="00FC0D88"/>
    <w:rsid w:val="00FC4C64"/>
    <w:rsid w:val="00FC500E"/>
    <w:rsid w:val="00FC5705"/>
    <w:rsid w:val="00FC6807"/>
    <w:rsid w:val="00FC78E7"/>
    <w:rsid w:val="00FD7A21"/>
    <w:rsid w:val="00FE2AAE"/>
    <w:rsid w:val="00FE4AA4"/>
    <w:rsid w:val="00FE57AD"/>
    <w:rsid w:val="00FF0F26"/>
    <w:rsid w:val="00FF435E"/>
    <w:rsid w:val="00FF5C8F"/>
    <w:rsid w:val="00FF5E56"/>
    <w:rsid w:val="00FF74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4DF1D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56C9"/>
    <w:rPr>
      <w:rFonts w:ascii="Times New Roman" w:eastAsiaTheme="minorHAnsi" w:hAnsi="Times New Roman" w:cs="Times New Roman"/>
      <w:lang w:val="en-US"/>
    </w:rPr>
  </w:style>
  <w:style w:type="paragraph" w:styleId="Heading1">
    <w:name w:val="heading 1"/>
    <w:basedOn w:val="TOC1"/>
    <w:next w:val="Normal"/>
    <w:link w:val="Heading1Char"/>
    <w:autoRedefine/>
    <w:uiPriority w:val="9"/>
    <w:qFormat/>
    <w:rsid w:val="00803D8B"/>
    <w:pPr>
      <w:keepNext/>
      <w:keepLines/>
      <w:spacing w:before="0"/>
      <w:jc w:val="both"/>
      <w:outlineLvl w:val="0"/>
    </w:pPr>
    <w:rPr>
      <w:rFonts w:asciiTheme="majorHAnsi" w:eastAsiaTheme="majorEastAsia" w:hAnsiTheme="majorHAnsi" w:cstheme="majorBidi"/>
      <w:bCs/>
      <w:color w:val="000000" w:themeColor="text1"/>
      <w:szCs w:val="32"/>
    </w:rPr>
  </w:style>
  <w:style w:type="paragraph" w:styleId="Heading2">
    <w:name w:val="heading 2"/>
    <w:basedOn w:val="Normal"/>
    <w:next w:val="Normal"/>
    <w:link w:val="Heading2Char"/>
    <w:autoRedefine/>
    <w:uiPriority w:val="9"/>
    <w:unhideWhenUsed/>
    <w:qFormat/>
    <w:rsid w:val="00803D8B"/>
    <w:pPr>
      <w:keepNext/>
      <w:keepLines/>
      <w:spacing w:line="480" w:lineRule="auto"/>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autoRedefine/>
    <w:uiPriority w:val="9"/>
    <w:unhideWhenUsed/>
    <w:qFormat/>
    <w:rsid w:val="004C40DB"/>
    <w:pPr>
      <w:keepNext/>
      <w:keepLines/>
      <w:spacing w:line="480" w:lineRule="auto"/>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17CE2"/>
    <w:pPr>
      <w:keepNext/>
      <w:keepLines/>
      <w:numPr>
        <w:ilvl w:val="3"/>
        <w:numId w:val="3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17CE2"/>
    <w:pPr>
      <w:keepNext/>
      <w:keepLines/>
      <w:numPr>
        <w:ilvl w:val="4"/>
        <w:numId w:val="3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17CE2"/>
    <w:pPr>
      <w:keepNext/>
      <w:keepLines/>
      <w:numPr>
        <w:ilvl w:val="5"/>
        <w:numId w:val="3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17CE2"/>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17CE2"/>
    <w:pPr>
      <w:keepNext/>
      <w:keepLines/>
      <w:numPr>
        <w:ilvl w:val="7"/>
        <w:numId w:val="3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17CE2"/>
    <w:pPr>
      <w:keepNext/>
      <w:keepLines/>
      <w:numPr>
        <w:ilvl w:val="8"/>
        <w:numId w:val="3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D8B"/>
    <w:rPr>
      <w:rFonts w:asciiTheme="majorHAnsi" w:eastAsiaTheme="majorEastAsia" w:hAnsiTheme="majorHAnsi" w:cstheme="majorBidi"/>
      <w:b/>
      <w:bCs/>
      <w:color w:val="000000" w:themeColor="text1"/>
      <w:szCs w:val="32"/>
      <w:lang w:val="en-US"/>
    </w:rPr>
  </w:style>
  <w:style w:type="character" w:styleId="Hyperlink">
    <w:name w:val="Hyperlink"/>
    <w:basedOn w:val="DefaultParagraphFont"/>
    <w:uiPriority w:val="99"/>
    <w:unhideWhenUsed/>
    <w:rsid w:val="00AE56C9"/>
    <w:rPr>
      <w:color w:val="0000FF"/>
      <w:u w:val="single"/>
    </w:rPr>
  </w:style>
  <w:style w:type="character" w:customStyle="1" w:styleId="apple-converted-space">
    <w:name w:val="apple-converted-space"/>
    <w:basedOn w:val="DefaultParagraphFont"/>
    <w:rsid w:val="00AE56C9"/>
  </w:style>
  <w:style w:type="table" w:styleId="TableGrid">
    <w:name w:val="Table Grid"/>
    <w:basedOn w:val="TableNormal"/>
    <w:uiPriority w:val="39"/>
    <w:rsid w:val="00AE56C9"/>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56C9"/>
    <w:pPr>
      <w:ind w:left="720"/>
      <w:contextualSpacing/>
    </w:pPr>
  </w:style>
  <w:style w:type="paragraph" w:styleId="Header">
    <w:name w:val="header"/>
    <w:basedOn w:val="Normal"/>
    <w:link w:val="HeaderChar"/>
    <w:uiPriority w:val="99"/>
    <w:unhideWhenUsed/>
    <w:rsid w:val="00AE56C9"/>
    <w:pPr>
      <w:tabs>
        <w:tab w:val="center" w:pos="4320"/>
        <w:tab w:val="right" w:pos="8640"/>
      </w:tabs>
    </w:pPr>
  </w:style>
  <w:style w:type="character" w:customStyle="1" w:styleId="HeaderChar">
    <w:name w:val="Header Char"/>
    <w:basedOn w:val="DefaultParagraphFont"/>
    <w:link w:val="Header"/>
    <w:uiPriority w:val="99"/>
    <w:rsid w:val="00AE56C9"/>
    <w:rPr>
      <w:rFonts w:ascii="Times New Roman" w:eastAsiaTheme="minorHAnsi" w:hAnsi="Times New Roman" w:cs="Times New Roman"/>
      <w:lang w:val="en-US"/>
    </w:rPr>
  </w:style>
  <w:style w:type="paragraph" w:styleId="Footer">
    <w:name w:val="footer"/>
    <w:basedOn w:val="Normal"/>
    <w:link w:val="FooterChar"/>
    <w:uiPriority w:val="99"/>
    <w:unhideWhenUsed/>
    <w:rsid w:val="00AE56C9"/>
    <w:pPr>
      <w:tabs>
        <w:tab w:val="center" w:pos="4320"/>
        <w:tab w:val="right" w:pos="8640"/>
      </w:tabs>
    </w:pPr>
  </w:style>
  <w:style w:type="character" w:customStyle="1" w:styleId="FooterChar">
    <w:name w:val="Footer Char"/>
    <w:basedOn w:val="DefaultParagraphFont"/>
    <w:link w:val="Footer"/>
    <w:uiPriority w:val="99"/>
    <w:rsid w:val="00AE56C9"/>
    <w:rPr>
      <w:rFonts w:ascii="Times New Roman" w:eastAsiaTheme="minorHAnsi" w:hAnsi="Times New Roman" w:cs="Times New Roman"/>
      <w:lang w:val="en-US"/>
    </w:rPr>
  </w:style>
  <w:style w:type="character" w:customStyle="1" w:styleId="BalloonTextChar">
    <w:name w:val="Balloon Text Char"/>
    <w:basedOn w:val="DefaultParagraphFont"/>
    <w:link w:val="BalloonText"/>
    <w:uiPriority w:val="99"/>
    <w:semiHidden/>
    <w:rsid w:val="00AE56C9"/>
    <w:rPr>
      <w:rFonts w:ascii="Lucida Grande" w:eastAsiaTheme="minorHAnsi" w:hAnsi="Lucida Grande" w:cs="Lucida Grande"/>
      <w:sz w:val="18"/>
      <w:szCs w:val="18"/>
      <w:lang w:val="en-US"/>
    </w:rPr>
  </w:style>
  <w:style w:type="paragraph" w:styleId="BalloonText">
    <w:name w:val="Balloon Text"/>
    <w:basedOn w:val="Normal"/>
    <w:link w:val="BalloonTextChar"/>
    <w:uiPriority w:val="99"/>
    <w:semiHidden/>
    <w:unhideWhenUsed/>
    <w:rsid w:val="00AE56C9"/>
    <w:rPr>
      <w:rFonts w:ascii="Lucida Grande" w:hAnsi="Lucida Grande" w:cs="Lucida Grande"/>
      <w:sz w:val="18"/>
      <w:szCs w:val="18"/>
    </w:rPr>
  </w:style>
  <w:style w:type="character" w:customStyle="1" w:styleId="CommentTextChar">
    <w:name w:val="Comment Text Char"/>
    <w:basedOn w:val="DefaultParagraphFont"/>
    <w:link w:val="CommentText"/>
    <w:uiPriority w:val="99"/>
    <w:semiHidden/>
    <w:rsid w:val="00AE56C9"/>
    <w:rPr>
      <w:rFonts w:ascii="Times New Roman" w:eastAsiaTheme="minorHAnsi" w:hAnsi="Times New Roman" w:cs="Times New Roman"/>
      <w:lang w:val="en-US"/>
    </w:rPr>
  </w:style>
  <w:style w:type="paragraph" w:styleId="CommentText">
    <w:name w:val="annotation text"/>
    <w:basedOn w:val="Normal"/>
    <w:link w:val="CommentTextChar"/>
    <w:uiPriority w:val="99"/>
    <w:semiHidden/>
    <w:unhideWhenUsed/>
    <w:rsid w:val="00AE56C9"/>
  </w:style>
  <w:style w:type="character" w:customStyle="1" w:styleId="CommentSubjectChar">
    <w:name w:val="Comment Subject Char"/>
    <w:basedOn w:val="CommentTextChar"/>
    <w:link w:val="CommentSubject"/>
    <w:uiPriority w:val="99"/>
    <w:semiHidden/>
    <w:rsid w:val="00AE56C9"/>
    <w:rPr>
      <w:rFonts w:ascii="Times New Roman" w:eastAsiaTheme="minorHAnsi"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AE56C9"/>
    <w:rPr>
      <w:b/>
      <w:bCs/>
      <w:sz w:val="20"/>
      <w:szCs w:val="20"/>
    </w:rPr>
  </w:style>
  <w:style w:type="character" w:customStyle="1" w:styleId="Heading3Char">
    <w:name w:val="Heading 3 Char"/>
    <w:basedOn w:val="DefaultParagraphFont"/>
    <w:link w:val="Heading3"/>
    <w:uiPriority w:val="9"/>
    <w:rsid w:val="004C40DB"/>
    <w:rPr>
      <w:rFonts w:asciiTheme="majorHAnsi" w:eastAsiaTheme="majorEastAsia" w:hAnsiTheme="majorHAnsi" w:cstheme="majorBidi"/>
      <w:b/>
      <w:bCs/>
      <w:color w:val="000000" w:themeColor="text1"/>
      <w:lang w:val="en-US"/>
    </w:rPr>
  </w:style>
  <w:style w:type="character" w:customStyle="1" w:styleId="Heading2Char">
    <w:name w:val="Heading 2 Char"/>
    <w:basedOn w:val="DefaultParagraphFont"/>
    <w:link w:val="Heading2"/>
    <w:uiPriority w:val="9"/>
    <w:rsid w:val="00803D8B"/>
    <w:rPr>
      <w:rFonts w:asciiTheme="majorHAnsi" w:eastAsiaTheme="majorEastAsia" w:hAnsiTheme="majorHAnsi" w:cstheme="majorBidi"/>
      <w:b/>
      <w:bCs/>
      <w:color w:val="000000" w:themeColor="text1"/>
      <w:szCs w:val="26"/>
      <w:lang w:val="en-US"/>
    </w:rPr>
  </w:style>
  <w:style w:type="character" w:styleId="Strong">
    <w:name w:val="Strong"/>
    <w:basedOn w:val="DefaultParagraphFont"/>
    <w:uiPriority w:val="22"/>
    <w:qFormat/>
    <w:rsid w:val="00D5673C"/>
    <w:rPr>
      <w:b/>
      <w:bCs/>
    </w:rPr>
  </w:style>
  <w:style w:type="paragraph" w:styleId="TOCHeading">
    <w:name w:val="TOC Heading"/>
    <w:basedOn w:val="Heading1"/>
    <w:next w:val="Normal"/>
    <w:uiPriority w:val="39"/>
    <w:unhideWhenUsed/>
    <w:qFormat/>
    <w:rsid w:val="007E1888"/>
    <w:pPr>
      <w:spacing w:line="276" w:lineRule="auto"/>
      <w:jc w:val="left"/>
      <w:outlineLvl w:val="9"/>
    </w:pPr>
    <w:rPr>
      <w:color w:val="365F91" w:themeColor="accent1" w:themeShade="BF"/>
      <w:sz w:val="28"/>
      <w:szCs w:val="28"/>
    </w:rPr>
  </w:style>
  <w:style w:type="paragraph" w:styleId="TOC1">
    <w:name w:val="toc 1"/>
    <w:basedOn w:val="Normal"/>
    <w:next w:val="Normal"/>
    <w:autoRedefine/>
    <w:uiPriority w:val="39"/>
    <w:unhideWhenUsed/>
    <w:rsid w:val="000153BC"/>
    <w:pPr>
      <w:spacing w:before="120" w:line="480" w:lineRule="auto"/>
    </w:pPr>
    <w:rPr>
      <w:rFonts w:ascii="Calibri" w:hAnsi="Calibri"/>
      <w:b/>
    </w:rPr>
  </w:style>
  <w:style w:type="paragraph" w:styleId="TOC2">
    <w:name w:val="toc 2"/>
    <w:basedOn w:val="Normal"/>
    <w:next w:val="Normal"/>
    <w:autoRedefine/>
    <w:uiPriority w:val="39"/>
    <w:unhideWhenUsed/>
    <w:rsid w:val="000153BC"/>
    <w:pPr>
      <w:spacing w:line="480" w:lineRule="auto"/>
    </w:pPr>
    <w:rPr>
      <w:rFonts w:ascii="Calibri" w:hAnsi="Calibri"/>
      <w:b/>
      <w:szCs w:val="22"/>
    </w:rPr>
  </w:style>
  <w:style w:type="paragraph" w:styleId="TOC3">
    <w:name w:val="toc 3"/>
    <w:basedOn w:val="Normal"/>
    <w:next w:val="Normal"/>
    <w:autoRedefine/>
    <w:uiPriority w:val="39"/>
    <w:unhideWhenUsed/>
    <w:rsid w:val="00017CE2"/>
    <w:pPr>
      <w:spacing w:line="480" w:lineRule="auto"/>
    </w:pPr>
    <w:rPr>
      <w:rFonts w:ascii="Calibri" w:hAnsi="Calibri"/>
      <w:b/>
      <w:szCs w:val="22"/>
    </w:rPr>
  </w:style>
  <w:style w:type="paragraph" w:styleId="TOC4">
    <w:name w:val="toc 4"/>
    <w:basedOn w:val="Normal"/>
    <w:next w:val="Normal"/>
    <w:autoRedefine/>
    <w:uiPriority w:val="39"/>
    <w:unhideWhenUsed/>
    <w:rsid w:val="007E1888"/>
    <w:pPr>
      <w:ind w:left="720"/>
    </w:pPr>
    <w:rPr>
      <w:rFonts w:asciiTheme="minorHAnsi" w:hAnsiTheme="minorHAnsi"/>
      <w:sz w:val="20"/>
      <w:szCs w:val="20"/>
    </w:rPr>
  </w:style>
  <w:style w:type="paragraph" w:styleId="TOC5">
    <w:name w:val="toc 5"/>
    <w:basedOn w:val="Normal"/>
    <w:next w:val="Normal"/>
    <w:autoRedefine/>
    <w:uiPriority w:val="39"/>
    <w:unhideWhenUsed/>
    <w:rsid w:val="007E1888"/>
    <w:pPr>
      <w:ind w:left="960"/>
    </w:pPr>
    <w:rPr>
      <w:rFonts w:asciiTheme="minorHAnsi" w:hAnsiTheme="minorHAnsi"/>
      <w:sz w:val="20"/>
      <w:szCs w:val="20"/>
    </w:rPr>
  </w:style>
  <w:style w:type="paragraph" w:styleId="TOC6">
    <w:name w:val="toc 6"/>
    <w:basedOn w:val="Normal"/>
    <w:next w:val="Normal"/>
    <w:autoRedefine/>
    <w:uiPriority w:val="39"/>
    <w:unhideWhenUsed/>
    <w:rsid w:val="007E1888"/>
    <w:pPr>
      <w:ind w:left="1200"/>
    </w:pPr>
    <w:rPr>
      <w:rFonts w:asciiTheme="minorHAnsi" w:hAnsiTheme="minorHAnsi"/>
      <w:sz w:val="20"/>
      <w:szCs w:val="20"/>
    </w:rPr>
  </w:style>
  <w:style w:type="paragraph" w:styleId="TOC7">
    <w:name w:val="toc 7"/>
    <w:basedOn w:val="Normal"/>
    <w:next w:val="Normal"/>
    <w:autoRedefine/>
    <w:uiPriority w:val="39"/>
    <w:unhideWhenUsed/>
    <w:rsid w:val="007E1888"/>
    <w:pPr>
      <w:ind w:left="1440"/>
    </w:pPr>
    <w:rPr>
      <w:rFonts w:asciiTheme="minorHAnsi" w:hAnsiTheme="minorHAnsi"/>
      <w:sz w:val="20"/>
      <w:szCs w:val="20"/>
    </w:rPr>
  </w:style>
  <w:style w:type="paragraph" w:styleId="TOC8">
    <w:name w:val="toc 8"/>
    <w:basedOn w:val="Normal"/>
    <w:next w:val="Normal"/>
    <w:autoRedefine/>
    <w:uiPriority w:val="39"/>
    <w:unhideWhenUsed/>
    <w:rsid w:val="007E1888"/>
    <w:pPr>
      <w:ind w:left="1680"/>
    </w:pPr>
    <w:rPr>
      <w:rFonts w:asciiTheme="minorHAnsi" w:hAnsiTheme="minorHAnsi"/>
      <w:sz w:val="20"/>
      <w:szCs w:val="20"/>
    </w:rPr>
  </w:style>
  <w:style w:type="paragraph" w:styleId="TOC9">
    <w:name w:val="toc 9"/>
    <w:basedOn w:val="Normal"/>
    <w:next w:val="Normal"/>
    <w:autoRedefine/>
    <w:uiPriority w:val="39"/>
    <w:unhideWhenUsed/>
    <w:rsid w:val="007E1888"/>
    <w:pPr>
      <w:ind w:left="1920"/>
    </w:pPr>
    <w:rPr>
      <w:rFonts w:asciiTheme="minorHAnsi" w:hAnsiTheme="minorHAnsi"/>
      <w:sz w:val="20"/>
      <w:szCs w:val="20"/>
    </w:rPr>
  </w:style>
  <w:style w:type="character" w:customStyle="1" w:styleId="Heading4Char">
    <w:name w:val="Heading 4 Char"/>
    <w:basedOn w:val="DefaultParagraphFont"/>
    <w:link w:val="Heading4"/>
    <w:uiPriority w:val="9"/>
    <w:semiHidden/>
    <w:rsid w:val="00017CE2"/>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017CE2"/>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017CE2"/>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017CE2"/>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17CE2"/>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17CE2"/>
    <w:rPr>
      <w:rFonts w:asciiTheme="majorHAnsi" w:eastAsiaTheme="majorEastAsia" w:hAnsiTheme="majorHAnsi" w:cstheme="majorBidi"/>
      <w:i/>
      <w:iCs/>
      <w:color w:val="404040" w:themeColor="text1" w:themeTint="BF"/>
      <w:sz w:val="20"/>
      <w:szCs w:val="20"/>
      <w:lang w:val="en-US"/>
    </w:rPr>
  </w:style>
  <w:style w:type="character" w:styleId="CommentReference">
    <w:name w:val="annotation reference"/>
    <w:basedOn w:val="DefaultParagraphFont"/>
    <w:uiPriority w:val="99"/>
    <w:semiHidden/>
    <w:unhideWhenUsed/>
    <w:rsid w:val="008B0557"/>
    <w:rPr>
      <w:sz w:val="18"/>
      <w:szCs w:val="18"/>
    </w:rPr>
  </w:style>
  <w:style w:type="paragraph" w:styleId="Revision">
    <w:name w:val="Revision"/>
    <w:hidden/>
    <w:uiPriority w:val="99"/>
    <w:semiHidden/>
    <w:rsid w:val="00BE65D6"/>
    <w:rPr>
      <w:rFonts w:ascii="Times New Roman" w:eastAsiaTheme="minorHAnsi"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811345">
      <w:bodyDiv w:val="1"/>
      <w:marLeft w:val="0"/>
      <w:marRight w:val="0"/>
      <w:marTop w:val="0"/>
      <w:marBottom w:val="0"/>
      <w:divBdr>
        <w:top w:val="none" w:sz="0" w:space="0" w:color="auto"/>
        <w:left w:val="none" w:sz="0" w:space="0" w:color="auto"/>
        <w:bottom w:val="none" w:sz="0" w:space="0" w:color="auto"/>
        <w:right w:val="none" w:sz="0" w:space="0" w:color="auto"/>
      </w:divBdr>
    </w:div>
    <w:div w:id="499737645">
      <w:bodyDiv w:val="1"/>
      <w:marLeft w:val="0"/>
      <w:marRight w:val="0"/>
      <w:marTop w:val="0"/>
      <w:marBottom w:val="0"/>
      <w:divBdr>
        <w:top w:val="none" w:sz="0" w:space="0" w:color="auto"/>
        <w:left w:val="none" w:sz="0" w:space="0" w:color="auto"/>
        <w:bottom w:val="none" w:sz="0" w:space="0" w:color="auto"/>
        <w:right w:val="none" w:sz="0" w:space="0" w:color="auto"/>
      </w:divBdr>
    </w:div>
    <w:div w:id="563175876">
      <w:bodyDiv w:val="1"/>
      <w:marLeft w:val="0"/>
      <w:marRight w:val="0"/>
      <w:marTop w:val="0"/>
      <w:marBottom w:val="0"/>
      <w:divBdr>
        <w:top w:val="none" w:sz="0" w:space="0" w:color="auto"/>
        <w:left w:val="none" w:sz="0" w:space="0" w:color="auto"/>
        <w:bottom w:val="none" w:sz="0" w:space="0" w:color="auto"/>
        <w:right w:val="none" w:sz="0" w:space="0" w:color="auto"/>
      </w:divBdr>
    </w:div>
    <w:div w:id="869223793">
      <w:bodyDiv w:val="1"/>
      <w:marLeft w:val="0"/>
      <w:marRight w:val="0"/>
      <w:marTop w:val="0"/>
      <w:marBottom w:val="0"/>
      <w:divBdr>
        <w:top w:val="none" w:sz="0" w:space="0" w:color="auto"/>
        <w:left w:val="none" w:sz="0" w:space="0" w:color="auto"/>
        <w:bottom w:val="none" w:sz="0" w:space="0" w:color="auto"/>
        <w:right w:val="none" w:sz="0" w:space="0" w:color="auto"/>
      </w:divBdr>
    </w:div>
    <w:div w:id="1007027020">
      <w:bodyDiv w:val="1"/>
      <w:marLeft w:val="0"/>
      <w:marRight w:val="0"/>
      <w:marTop w:val="0"/>
      <w:marBottom w:val="0"/>
      <w:divBdr>
        <w:top w:val="none" w:sz="0" w:space="0" w:color="auto"/>
        <w:left w:val="none" w:sz="0" w:space="0" w:color="auto"/>
        <w:bottom w:val="none" w:sz="0" w:space="0" w:color="auto"/>
        <w:right w:val="none" w:sz="0" w:space="0" w:color="auto"/>
      </w:divBdr>
    </w:div>
    <w:div w:id="1089814857">
      <w:bodyDiv w:val="1"/>
      <w:marLeft w:val="0"/>
      <w:marRight w:val="0"/>
      <w:marTop w:val="0"/>
      <w:marBottom w:val="0"/>
      <w:divBdr>
        <w:top w:val="none" w:sz="0" w:space="0" w:color="auto"/>
        <w:left w:val="none" w:sz="0" w:space="0" w:color="auto"/>
        <w:bottom w:val="none" w:sz="0" w:space="0" w:color="auto"/>
        <w:right w:val="none" w:sz="0" w:space="0" w:color="auto"/>
      </w:divBdr>
    </w:div>
    <w:div w:id="1325353712">
      <w:bodyDiv w:val="1"/>
      <w:marLeft w:val="0"/>
      <w:marRight w:val="0"/>
      <w:marTop w:val="0"/>
      <w:marBottom w:val="0"/>
      <w:divBdr>
        <w:top w:val="none" w:sz="0" w:space="0" w:color="auto"/>
        <w:left w:val="none" w:sz="0" w:space="0" w:color="auto"/>
        <w:bottom w:val="none" w:sz="0" w:space="0" w:color="auto"/>
        <w:right w:val="none" w:sz="0" w:space="0" w:color="auto"/>
      </w:divBdr>
    </w:div>
    <w:div w:id="1430464517">
      <w:bodyDiv w:val="1"/>
      <w:marLeft w:val="0"/>
      <w:marRight w:val="0"/>
      <w:marTop w:val="0"/>
      <w:marBottom w:val="0"/>
      <w:divBdr>
        <w:top w:val="none" w:sz="0" w:space="0" w:color="auto"/>
        <w:left w:val="none" w:sz="0" w:space="0" w:color="auto"/>
        <w:bottom w:val="none" w:sz="0" w:space="0" w:color="auto"/>
        <w:right w:val="none" w:sz="0" w:space="0" w:color="auto"/>
      </w:divBdr>
    </w:div>
    <w:div w:id="21440786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s.moschos@westminster.ac.uk" TargetMode="Externa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3557D-9E2A-9C4C-AA24-3D3489624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116</Pages>
  <Words>266943</Words>
  <Characters>1521576</Characters>
  <Application>Microsoft Macintosh Word</Application>
  <DocSecurity>0</DocSecurity>
  <Lines>12679</Lines>
  <Paragraphs>3569</Paragraphs>
  <ScaleCrop>false</ScaleCrop>
  <HeadingPairs>
    <vt:vector size="2" baseType="variant">
      <vt:variant>
        <vt:lpstr>Title</vt:lpstr>
      </vt:variant>
      <vt:variant>
        <vt:i4>1</vt:i4>
      </vt:variant>
    </vt:vector>
  </HeadingPairs>
  <TitlesOfParts>
    <vt:vector size="1" baseType="lpstr">
      <vt:lpstr/>
    </vt:vector>
  </TitlesOfParts>
  <Company>University Of Westmimster</Company>
  <LinksUpToDate>false</LinksUpToDate>
  <CharactersWithSpaces>1784950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Sterghios Moschos</dc:creator>
  <cp:keywords/>
  <dc:description/>
  <cp:lastModifiedBy>Sterghios Moschos</cp:lastModifiedBy>
  <cp:revision>3</cp:revision>
  <dcterms:created xsi:type="dcterms:W3CDTF">2016-10-21T10:25:00Z</dcterms:created>
  <dcterms:modified xsi:type="dcterms:W3CDTF">2016-10-21T10:31:00Z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s.moschos@westminster.ac.uk@www.mendeley.com</vt:lpwstr>
  </property>
  <property fmtid="{D5CDD505-2E9C-101B-9397-08002B2CF9AE}" pid="4" name="Mendeley Citation Style_1">
    <vt:lpwstr>http://www.zotero.org/styles/pharmacology-and-therapeutics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http://www.zotero.org/styles/pharmacology-and-therapeutics</vt:lpwstr>
  </property>
  <property fmtid="{D5CDD505-2E9C-101B-9397-08002B2CF9AE}" pid="24" name="Mendeley Recent Style Name 9_1">
    <vt:lpwstr>Pharmacology and Therapeutics</vt:lpwstr>
  </property>
</Properties>
</file>