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8D24C0C" w14:textId="3E2DE76B" w:rsidR="002B0082" w:rsidRDefault="002B0082" w:rsidP="005E24B2">
      <w:r>
        <w:object w:dxaOrig="9900" w:dyaOrig="3389" w14:anchorId="274C55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154.5pt" o:ole="">
            <v:imagedata r:id="rId8" o:title=""/>
          </v:shape>
          <o:OLEObject Type="Embed" ProgID="ChemDraw.Document.6.0" ShapeID="_x0000_i1025" DrawAspect="Content" ObjectID="_1540621543" r:id="rId9"/>
        </w:object>
      </w:r>
    </w:p>
    <w:p w14:paraId="0213DA4D" w14:textId="77777777" w:rsidR="002B0082" w:rsidRDefault="002B0082" w:rsidP="005E24B2"/>
    <w:p w14:paraId="24216064" w14:textId="77777777" w:rsidR="00836D39" w:rsidRDefault="00D162FE" w:rsidP="005E24B2">
      <w:r>
        <w:t>S</w:t>
      </w:r>
      <w:r w:rsidR="0009790D">
        <w:t>tudies relating</w:t>
      </w:r>
      <w:r>
        <w:t xml:space="preserve"> to the synthesis, enzymatic reduction and cytotoxicity</w:t>
      </w:r>
      <w:r w:rsidR="0009790D">
        <w:t xml:space="preserve"> of </w:t>
      </w:r>
      <w:r>
        <w:t xml:space="preserve">a series of </w:t>
      </w:r>
      <w:r w:rsidR="0009790D">
        <w:t>nitroaromatic prodrugs</w:t>
      </w:r>
      <w:r>
        <w:t xml:space="preserve"> </w:t>
      </w:r>
    </w:p>
    <w:p w14:paraId="2F7B9281" w14:textId="77777777" w:rsidR="005E24B2" w:rsidRPr="005E24B2" w:rsidRDefault="005E24B2" w:rsidP="005E24B2">
      <w:r w:rsidRPr="005E24B2">
        <w:t>Philip J. Burke,</w:t>
      </w:r>
      <w:r w:rsidRPr="005E24B2">
        <w:rPr>
          <w:vertAlign w:val="superscript"/>
        </w:rPr>
        <w:t>a</w:t>
      </w:r>
      <w:r w:rsidRPr="005E24B2">
        <w:t xml:space="preserve"> Lai Chun Wong,</w:t>
      </w:r>
      <w:r w:rsidRPr="005E24B2">
        <w:rPr>
          <w:vertAlign w:val="superscript"/>
        </w:rPr>
        <w:t>b</w:t>
      </w:r>
      <w:r w:rsidRPr="005E24B2">
        <w:t xml:space="preserve"> Terence C. Jenkins,</w:t>
      </w:r>
      <w:r w:rsidRPr="005E24B2">
        <w:rPr>
          <w:vertAlign w:val="superscript"/>
        </w:rPr>
        <w:t>a</w:t>
      </w:r>
      <w:r w:rsidRPr="005E24B2">
        <w:t xml:space="preserve"> Richard J. Knox,</w:t>
      </w:r>
      <w:r w:rsidRPr="005E24B2">
        <w:rPr>
          <w:vertAlign w:val="superscript"/>
        </w:rPr>
        <w:t>a</w:t>
      </w:r>
      <w:r w:rsidRPr="005E24B2">
        <w:t xml:space="preserve"> Ian T. Meikle</w:t>
      </w:r>
      <w:r w:rsidRPr="005E24B2">
        <w:rPr>
          <w:vertAlign w:val="superscript"/>
        </w:rPr>
        <w:t>b</w:t>
      </w:r>
      <w:r w:rsidRPr="005E24B2">
        <w:t xml:space="preserve"> and Stephen P. Stanforth.</w:t>
      </w:r>
      <w:r w:rsidRPr="005E24B2">
        <w:rPr>
          <w:vertAlign w:val="superscript"/>
        </w:rPr>
        <w:t>b*</w:t>
      </w:r>
    </w:p>
    <w:p w14:paraId="32B01EDA" w14:textId="77777777" w:rsidR="005E24B2" w:rsidRPr="005E24B2" w:rsidRDefault="005E24B2" w:rsidP="00795747">
      <w:r w:rsidRPr="005E24B2">
        <w:rPr>
          <w:vertAlign w:val="superscript"/>
        </w:rPr>
        <w:t>a</w:t>
      </w:r>
      <w:r w:rsidRPr="005E24B2">
        <w:t xml:space="preserve"> Morvus Technology Ltd, </w:t>
      </w:r>
      <w:r w:rsidR="00795747">
        <w:t>Llanvetherine Court, Llanvetherine, Abergavenny, NP7 8NL</w:t>
      </w:r>
      <w:r w:rsidRPr="005E24B2">
        <w:t>, UK</w:t>
      </w:r>
    </w:p>
    <w:p w14:paraId="299C6FAE" w14:textId="77777777" w:rsidR="005E24B2" w:rsidRPr="005E24B2" w:rsidRDefault="005E24B2" w:rsidP="005E24B2">
      <w:r w:rsidRPr="005E24B2">
        <w:rPr>
          <w:vertAlign w:val="superscript"/>
        </w:rPr>
        <w:t>b</w:t>
      </w:r>
      <w:r w:rsidR="00431C5C">
        <w:t xml:space="preserve"> Department of Applied</w:t>
      </w:r>
      <w:r w:rsidRPr="005E24B2">
        <w:t xml:space="preserve"> Sciences, University of Northumbria, Newcastle-upon-Tyne, NE1 8ST, UK</w:t>
      </w:r>
    </w:p>
    <w:p w14:paraId="717541EC" w14:textId="4A4AC262" w:rsidR="00DE4B8D" w:rsidRDefault="00DE4B8D" w:rsidP="00DE4B8D">
      <w:r>
        <w:t xml:space="preserve">Abstract: A series of </w:t>
      </w:r>
      <w:r w:rsidRPr="00DE4B8D">
        <w:rPr>
          <w:i/>
        </w:rPr>
        <w:t>N</w:t>
      </w:r>
      <w:r w:rsidRPr="00DE4B8D">
        <w:t xml:space="preserve">-nitroarylated </w:t>
      </w:r>
      <w:r>
        <w:t>-3-chloromethyl</w:t>
      </w:r>
      <w:r w:rsidRPr="00DE4B8D">
        <w:t xml:space="preserve"> </w:t>
      </w:r>
      <w:r>
        <w:t>-</w:t>
      </w:r>
      <w:r w:rsidRPr="00DE4B8D">
        <w:t>1,2,3,4-tetrahydroisoquinoline derivatives</w:t>
      </w:r>
      <w:r>
        <w:t>, several of which also possessed a trifluorometh</w:t>
      </w:r>
      <w:r w:rsidR="005D3879">
        <w:t>yl substituent, were prepared</w:t>
      </w:r>
      <w:r>
        <w:t xml:space="preserve"> </w:t>
      </w:r>
      <w:r w:rsidR="00447AD9">
        <w:t xml:space="preserve">and assessed as </w:t>
      </w:r>
      <w:r>
        <w:t>potential nitroaromatic prodrugs. The enzymatic reduction of these compounds and their cytotoxicities were studied. The compounds were cytotoxic, but this is probably not related to their enzymatic reduction.</w:t>
      </w:r>
    </w:p>
    <w:p w14:paraId="3A6EE129" w14:textId="77777777" w:rsidR="005E24B2" w:rsidRPr="005E24B2" w:rsidRDefault="00DE4B8D" w:rsidP="005E24B2">
      <w:r>
        <w:t>Keywords: nitrogen mustards,</w:t>
      </w:r>
      <w:r w:rsidRPr="00DE4B8D">
        <w:t xml:space="preserve"> </w:t>
      </w:r>
      <w:r>
        <w:t>NQO1</w:t>
      </w:r>
      <w:r w:rsidRPr="00DE4B8D">
        <w:t xml:space="preserve">, </w:t>
      </w:r>
      <w:r>
        <w:t xml:space="preserve">nitroreductase, CB </w:t>
      </w:r>
      <w:r w:rsidRPr="00DE4B8D">
        <w:t xml:space="preserve">1954, </w:t>
      </w:r>
      <w:r>
        <w:t xml:space="preserve">nitroaromatic </w:t>
      </w:r>
      <w:r w:rsidRPr="00DE4B8D">
        <w:t>prodrugs.</w:t>
      </w:r>
    </w:p>
    <w:p w14:paraId="4AC0C76C" w14:textId="77777777" w:rsidR="005E24B2" w:rsidRPr="005E24B2" w:rsidRDefault="005E24B2" w:rsidP="005E24B2">
      <w:r w:rsidRPr="005E24B2">
        <w:t>*e-mail: steven.stanforth@northumbria.ac.uk</w:t>
      </w:r>
    </w:p>
    <w:p w14:paraId="60AF58CB" w14:textId="5D2B598B" w:rsidR="00332DC6" w:rsidRDefault="00874FBA" w:rsidP="005E24B2">
      <w:r>
        <w:t>The reductive a</w:t>
      </w:r>
      <w:r w:rsidR="00C73476">
        <w:t>ctivation of t</w:t>
      </w:r>
      <w:r w:rsidR="005972DB">
        <w:t>he</w:t>
      </w:r>
      <w:r w:rsidR="00B15C9B">
        <w:t xml:space="preserve"> nitroaromatic pro</w:t>
      </w:r>
      <w:r w:rsidR="00C01312">
        <w:t xml:space="preserve">drug </w:t>
      </w:r>
      <w:r w:rsidR="00250067">
        <w:t xml:space="preserve">CB </w:t>
      </w:r>
      <w:r w:rsidR="005972DB" w:rsidRPr="005972DB">
        <w:t xml:space="preserve">1954 </w:t>
      </w:r>
      <w:r w:rsidR="005972DB" w:rsidRPr="005972DB">
        <w:rPr>
          <w:b/>
        </w:rPr>
        <w:t>1</w:t>
      </w:r>
      <w:r w:rsidR="005972DB" w:rsidRPr="005972DB">
        <w:t xml:space="preserve"> (Figure 1) </w:t>
      </w:r>
      <w:r>
        <w:t xml:space="preserve">produces </w:t>
      </w:r>
      <w:r w:rsidR="00C01312">
        <w:t>a bifunctional DNA-alkylating agent</w:t>
      </w:r>
      <w:r w:rsidR="003C560B">
        <w:t xml:space="preserve"> </w:t>
      </w:r>
      <w:r w:rsidR="00CC153E">
        <w:t>that</w:t>
      </w:r>
      <w:r>
        <w:t xml:space="preserve"> is </w:t>
      </w:r>
      <w:r w:rsidR="003C560B" w:rsidRPr="003C560B">
        <w:t>capable of producing DNA-DNA interstrand crosslinks</w:t>
      </w:r>
      <w:r w:rsidR="00F77E75">
        <w:t>.</w:t>
      </w:r>
      <w:r w:rsidR="00956784">
        <w:rPr>
          <w:vertAlign w:val="superscript"/>
        </w:rPr>
        <w:t>1-3</w:t>
      </w:r>
      <w:r w:rsidR="00F77E75" w:rsidRPr="00C40FF1">
        <w:rPr>
          <w:vertAlign w:val="superscript"/>
        </w:rPr>
        <w:t xml:space="preserve"> </w:t>
      </w:r>
      <w:r w:rsidR="00F77E75">
        <w:t>In rats,</w:t>
      </w:r>
      <w:r w:rsidR="005972DB">
        <w:t xml:space="preserve"> reductive metabolism</w:t>
      </w:r>
      <w:r w:rsidR="00C01312">
        <w:t xml:space="preserve"> of the 4-nitro-group by </w:t>
      </w:r>
      <w:r w:rsidR="005972DB">
        <w:t xml:space="preserve">the enzyme </w:t>
      </w:r>
      <w:r w:rsidR="00C01312" w:rsidRPr="00C01312">
        <w:t>NAD(P)H: quinone oxidoreductase 1 (NQO1</w:t>
      </w:r>
      <w:r w:rsidR="00241990">
        <w:t xml:space="preserve">, also known as </w:t>
      </w:r>
      <w:r w:rsidR="00241990" w:rsidRPr="00241990">
        <w:rPr>
          <w:bCs/>
        </w:rPr>
        <w:t>DT-diaphorase</w:t>
      </w:r>
      <w:r w:rsidR="00C01312" w:rsidRPr="00C01312">
        <w:t>)</w:t>
      </w:r>
      <w:r w:rsidR="00C01312">
        <w:t xml:space="preserve"> </w:t>
      </w:r>
      <w:r w:rsidR="0047693A">
        <w:t xml:space="preserve">resulted in the formation of </w:t>
      </w:r>
      <w:r w:rsidR="00C01312">
        <w:t xml:space="preserve">the corresponding </w:t>
      </w:r>
      <w:r w:rsidR="00106061">
        <w:t>4-</w:t>
      </w:r>
      <w:r w:rsidR="00C01312">
        <w:t xml:space="preserve">hydroxylamine derivative </w:t>
      </w:r>
      <w:r w:rsidR="00C01312" w:rsidRPr="003C560B">
        <w:rPr>
          <w:b/>
        </w:rPr>
        <w:t>2</w:t>
      </w:r>
      <w:r w:rsidR="00CC153E">
        <w:t xml:space="preserve"> that</w:t>
      </w:r>
      <w:r w:rsidR="00C01312">
        <w:t xml:space="preserve"> </w:t>
      </w:r>
      <w:r w:rsidR="00332DC6">
        <w:t xml:space="preserve">subsequently </w:t>
      </w:r>
      <w:r w:rsidR="00761BA3">
        <w:t>underwent acylation</w:t>
      </w:r>
      <w:r w:rsidR="00B15C9B">
        <w:t xml:space="preserve"> generating the</w:t>
      </w:r>
      <w:r w:rsidR="005972DB">
        <w:t xml:space="preserve"> </w:t>
      </w:r>
      <w:r w:rsidR="00C01312">
        <w:t xml:space="preserve">cytotoxic species </w:t>
      </w:r>
      <w:r w:rsidR="00C01312" w:rsidRPr="003C560B">
        <w:rPr>
          <w:b/>
        </w:rPr>
        <w:t>3</w:t>
      </w:r>
      <w:r w:rsidR="00C01312">
        <w:t>.</w:t>
      </w:r>
      <w:r w:rsidR="00956784">
        <w:rPr>
          <w:vertAlign w:val="superscript"/>
        </w:rPr>
        <w:t>2,3</w:t>
      </w:r>
      <w:r w:rsidR="00C01312">
        <w:t xml:space="preserve"> </w:t>
      </w:r>
      <w:r w:rsidR="003C560B">
        <w:t xml:space="preserve">DNA alkylation then </w:t>
      </w:r>
      <w:r w:rsidR="00761BA3">
        <w:t>occurred</w:t>
      </w:r>
      <w:r w:rsidR="003C560B">
        <w:t xml:space="preserve"> through </w:t>
      </w:r>
      <w:r w:rsidR="00CC153E" w:rsidRPr="00CC153E">
        <w:t>the acylated hydroxylamine-group (</w:t>
      </w:r>
      <w:r w:rsidR="00CC153E" w:rsidRPr="00CC153E">
        <w:rPr>
          <w:i/>
        </w:rPr>
        <w:t>via</w:t>
      </w:r>
      <w:r w:rsidR="00CC153E" w:rsidRPr="00CC153E">
        <w:t xml:space="preserve"> a putative nitrenium species)</w:t>
      </w:r>
      <w:r w:rsidR="00CC153E">
        <w:t xml:space="preserve"> and presumably </w:t>
      </w:r>
      <w:r w:rsidR="003C560B">
        <w:t>the aziridine moiety</w:t>
      </w:r>
      <w:r w:rsidR="00CC153E">
        <w:t>,</w:t>
      </w:r>
      <w:r w:rsidR="008C525A">
        <w:t xml:space="preserve"> thus</w:t>
      </w:r>
      <w:r w:rsidR="00C73476">
        <w:t xml:space="preserve"> </w:t>
      </w:r>
      <w:r w:rsidR="00F77E75">
        <w:t xml:space="preserve">creating </w:t>
      </w:r>
      <w:r w:rsidR="00C73476">
        <w:t xml:space="preserve">the </w:t>
      </w:r>
      <w:r w:rsidR="008C525A">
        <w:t xml:space="preserve">DNA </w:t>
      </w:r>
      <w:r w:rsidR="00C73476">
        <w:t>cross</w:t>
      </w:r>
      <w:r w:rsidR="00F77E75">
        <w:t>links.</w:t>
      </w:r>
      <w:r w:rsidR="00956784">
        <w:rPr>
          <w:vertAlign w:val="superscript"/>
        </w:rPr>
        <w:t>4</w:t>
      </w:r>
      <w:r w:rsidR="003C560B">
        <w:t xml:space="preserve">  </w:t>
      </w:r>
      <w:r w:rsidR="00F77E75">
        <w:t>Since the</w:t>
      </w:r>
      <w:r w:rsidR="003C560B" w:rsidRPr="003C560B">
        <w:t xml:space="preserve"> highest levels of NQO1 are often found in tumour tissues (breast, colon, lung, and liver)</w:t>
      </w:r>
      <w:r w:rsidR="00106061">
        <w:t>,</w:t>
      </w:r>
      <w:r w:rsidR="003C560B" w:rsidRPr="003C560B">
        <w:t xml:space="preserve"> with lower lev</w:t>
      </w:r>
      <w:r w:rsidR="003C560B">
        <w:t>els detected in bone marrow</w:t>
      </w:r>
      <w:r w:rsidR="00106061">
        <w:t>,</w:t>
      </w:r>
      <w:r w:rsidR="003C560B">
        <w:t xml:space="preserve"> </w:t>
      </w:r>
      <w:r w:rsidR="00B15C9B">
        <w:t>this enzyme beca</w:t>
      </w:r>
      <w:r w:rsidR="00106061">
        <w:t xml:space="preserve">me </w:t>
      </w:r>
      <w:r w:rsidR="003C560B" w:rsidRPr="003C560B">
        <w:t>an attractive target for nitroaromatic-prodrug therapies</w:t>
      </w:r>
      <w:r w:rsidR="00F77E75">
        <w:t xml:space="preserve"> in humans</w:t>
      </w:r>
      <w:r w:rsidR="003C560B" w:rsidRPr="003C560B">
        <w:t>.</w:t>
      </w:r>
      <w:r w:rsidR="00956784">
        <w:rPr>
          <w:vertAlign w:val="superscript"/>
        </w:rPr>
        <w:t>5</w:t>
      </w:r>
      <w:r w:rsidR="003C560B">
        <w:t xml:space="preserve"> </w:t>
      </w:r>
      <w:r w:rsidR="00250067">
        <w:t xml:space="preserve">CB </w:t>
      </w:r>
      <w:r w:rsidR="009E2E7A" w:rsidRPr="009E2E7A">
        <w:t xml:space="preserve">1954 </w:t>
      </w:r>
      <w:r w:rsidR="009E2E7A" w:rsidRPr="009E2E7A">
        <w:rPr>
          <w:b/>
        </w:rPr>
        <w:t>1</w:t>
      </w:r>
      <w:r w:rsidR="009E2E7A">
        <w:t xml:space="preserve"> </w:t>
      </w:r>
      <w:r w:rsidR="009E2E7A" w:rsidRPr="009E2E7A">
        <w:t xml:space="preserve">has previously been shown to exhibit </w:t>
      </w:r>
      <w:r w:rsidR="009E2E7A" w:rsidRPr="009E2E7A">
        <w:lastRenderedPageBreak/>
        <w:t>substantial and selective cytotoxicity against rat Walker 256 carcinomas but</w:t>
      </w:r>
      <w:r w:rsidR="00532328">
        <w:t>,</w:t>
      </w:r>
      <w:r w:rsidR="009E2E7A" w:rsidRPr="009E2E7A">
        <w:t xml:space="preserve"> </w:t>
      </w:r>
      <w:r w:rsidR="00CC153E">
        <w:t>disappointingly</w:t>
      </w:r>
      <w:r w:rsidR="00532328">
        <w:t>,</w:t>
      </w:r>
      <w:r w:rsidR="00CC153E">
        <w:t xml:space="preserve"> </w:t>
      </w:r>
      <w:r w:rsidR="009E2E7A" w:rsidRPr="009E2E7A">
        <w:t xml:space="preserve">human cell lines, even those cells expressing high levels of NQO1, were unresponsive towards this agent.  </w:t>
      </w:r>
      <w:r w:rsidR="00F77E75" w:rsidRPr="00F77E75">
        <w:t xml:space="preserve">A change in the amino acid residue 104 (tyrosine in the rat enzyme and glutamine in the human enzyme) was attributed to the poor catalytic response of human NQO1 towards CB-1954 </w:t>
      </w:r>
      <w:r w:rsidR="00F77E75" w:rsidRPr="00F77E75">
        <w:rPr>
          <w:b/>
        </w:rPr>
        <w:t>1</w:t>
      </w:r>
      <w:r w:rsidR="00F77E75" w:rsidRPr="00F77E75">
        <w:t>.</w:t>
      </w:r>
      <w:r w:rsidR="00956784">
        <w:rPr>
          <w:vertAlign w:val="superscript"/>
        </w:rPr>
        <w:t>6,7</w:t>
      </w:r>
      <w:r w:rsidR="00F77E75">
        <w:rPr>
          <w:vertAlign w:val="superscript"/>
        </w:rPr>
        <w:t xml:space="preserve"> </w:t>
      </w:r>
      <w:r w:rsidR="00250067">
        <w:t xml:space="preserve">CB </w:t>
      </w:r>
      <w:r w:rsidR="009E2E7A" w:rsidRPr="009E2E7A">
        <w:t xml:space="preserve">1954 </w:t>
      </w:r>
      <w:r w:rsidR="009E2E7A" w:rsidRPr="009E2E7A">
        <w:rPr>
          <w:b/>
        </w:rPr>
        <w:t>1</w:t>
      </w:r>
      <w:r w:rsidR="00761BA3">
        <w:t xml:space="preserve"> was</w:t>
      </w:r>
      <w:r w:rsidR="00532328">
        <w:t>,</w:t>
      </w:r>
      <w:r w:rsidR="009E2E7A" w:rsidRPr="009E2E7A">
        <w:t xml:space="preserve"> however</w:t>
      </w:r>
      <w:r w:rsidR="00532328">
        <w:t>,</w:t>
      </w:r>
      <w:r w:rsidR="001B09DB">
        <w:t xml:space="preserve"> reduced more efficiently </w:t>
      </w:r>
      <w:r w:rsidR="001B09DB" w:rsidRPr="003D7A6A">
        <w:t>by</w:t>
      </w:r>
      <w:r w:rsidR="009E2E7A" w:rsidRPr="009E2E7A">
        <w:t xml:space="preserve"> </w:t>
      </w:r>
      <w:r w:rsidR="009E2E7A" w:rsidRPr="009E2E7A">
        <w:rPr>
          <w:i/>
          <w:iCs/>
        </w:rPr>
        <w:t>E. coli</w:t>
      </w:r>
      <w:r w:rsidR="009E2E7A" w:rsidRPr="009E2E7A">
        <w:t xml:space="preserve"> nitroreductase (NR)</w:t>
      </w:r>
      <w:r w:rsidR="00956784">
        <w:rPr>
          <w:vertAlign w:val="superscript"/>
        </w:rPr>
        <w:t>8</w:t>
      </w:r>
      <w:r w:rsidR="009E2E7A" w:rsidRPr="00EF1B03">
        <w:rPr>
          <w:vertAlign w:val="superscript"/>
        </w:rPr>
        <w:t xml:space="preserve"> </w:t>
      </w:r>
      <w:r w:rsidR="009E2E7A" w:rsidRPr="009E2E7A">
        <w:t>and this property has stimulated interest in usin</w:t>
      </w:r>
      <w:r w:rsidR="00CC153E">
        <w:t>g anti-body directed enzyme pro</w:t>
      </w:r>
      <w:r w:rsidR="009E2E7A" w:rsidRPr="009E2E7A">
        <w:t xml:space="preserve">drug therapy (ADEPT) or virus/gene-directed enzyme prodrug therapy (VDEPT/GDEPT) as </w:t>
      </w:r>
      <w:r w:rsidR="00C73476">
        <w:t xml:space="preserve">activation </w:t>
      </w:r>
      <w:r w:rsidR="00761BA3">
        <w:t xml:space="preserve">protocols </w:t>
      </w:r>
      <w:r w:rsidR="00C73476">
        <w:t>for</w:t>
      </w:r>
      <w:r w:rsidR="00250067">
        <w:t xml:space="preserve"> CB </w:t>
      </w:r>
      <w:r w:rsidR="009E2E7A" w:rsidRPr="009E2E7A">
        <w:t xml:space="preserve">1954 </w:t>
      </w:r>
      <w:r w:rsidR="009E2E7A" w:rsidRPr="009E2E7A">
        <w:rPr>
          <w:b/>
        </w:rPr>
        <w:t>1</w:t>
      </w:r>
      <w:r w:rsidR="009E2E7A" w:rsidRPr="009E2E7A">
        <w:t xml:space="preserve"> and related structures in tumours.</w:t>
      </w:r>
      <w:r w:rsidR="00CC2761">
        <w:rPr>
          <w:vertAlign w:val="superscript"/>
        </w:rPr>
        <w:t>9-17</w:t>
      </w:r>
      <w:r w:rsidR="009E2E7A">
        <w:t xml:space="preserve"> </w:t>
      </w:r>
      <w:r w:rsidR="00DD62E8" w:rsidRPr="00DD62E8">
        <w:t>The reduc</w:t>
      </w:r>
      <w:r w:rsidR="00250067">
        <w:t xml:space="preserve">tion of the 2-nitro-group in CB </w:t>
      </w:r>
      <w:r w:rsidR="00DD62E8" w:rsidRPr="00DD62E8">
        <w:t xml:space="preserve">1954 </w:t>
      </w:r>
      <w:r w:rsidR="00DD62E8" w:rsidRPr="00250067">
        <w:rPr>
          <w:b/>
        </w:rPr>
        <w:t>1</w:t>
      </w:r>
      <w:r w:rsidR="00761BA3">
        <w:t xml:space="preserve"> also occurred</w:t>
      </w:r>
      <w:r w:rsidR="00DD62E8" w:rsidRPr="00DD62E8">
        <w:t xml:space="preserve"> </w:t>
      </w:r>
      <w:r w:rsidR="00DD62E8">
        <w:t xml:space="preserve">in the presence of </w:t>
      </w:r>
      <w:r w:rsidR="00B63B0C" w:rsidRPr="00B63B0C">
        <w:rPr>
          <w:i/>
        </w:rPr>
        <w:t>E. coli</w:t>
      </w:r>
      <w:r w:rsidR="00B63B0C">
        <w:t xml:space="preserve"> </w:t>
      </w:r>
      <w:r w:rsidR="00DD62E8">
        <w:t xml:space="preserve">NR </w:t>
      </w:r>
      <w:r w:rsidR="00DD62E8" w:rsidRPr="00DD62E8">
        <w:t xml:space="preserve">resulting in the </w:t>
      </w:r>
      <w:r w:rsidR="00DD62E8">
        <w:t xml:space="preserve">ultimate formation of </w:t>
      </w:r>
      <w:r w:rsidR="00DD62E8" w:rsidRPr="00DD62E8">
        <w:t xml:space="preserve">amine derivative </w:t>
      </w:r>
      <w:r w:rsidR="00DD62E8" w:rsidRPr="00DE15AF">
        <w:rPr>
          <w:b/>
        </w:rPr>
        <w:t>4</w:t>
      </w:r>
      <w:r w:rsidR="00106061" w:rsidRPr="00106061">
        <w:t>, a monofunctional</w:t>
      </w:r>
      <w:r w:rsidR="00106061">
        <w:rPr>
          <w:b/>
        </w:rPr>
        <w:t xml:space="preserve"> </w:t>
      </w:r>
      <w:r w:rsidR="00D35134">
        <w:t>alkylating agent which exhibited a significant bystander effect.</w:t>
      </w:r>
      <w:r w:rsidR="00CC2761">
        <w:rPr>
          <w:vertAlign w:val="superscript"/>
        </w:rPr>
        <w:t>18</w:t>
      </w:r>
      <w:r w:rsidR="002D1B1D">
        <w:rPr>
          <w:vertAlign w:val="superscript"/>
        </w:rPr>
        <w:t xml:space="preserve"> </w:t>
      </w:r>
      <w:r w:rsidR="00106061">
        <w:t xml:space="preserve"> </w:t>
      </w:r>
      <w:r w:rsidR="00250067">
        <w:t xml:space="preserve">Analogues of CB </w:t>
      </w:r>
      <w:r w:rsidR="009E2E7A">
        <w:t xml:space="preserve">1954 </w:t>
      </w:r>
      <w:r w:rsidR="00DE15AF" w:rsidRPr="00DE15AF">
        <w:rPr>
          <w:b/>
        </w:rPr>
        <w:t>1</w:t>
      </w:r>
      <w:r w:rsidR="00DE15AF">
        <w:t xml:space="preserve"> </w:t>
      </w:r>
      <w:r w:rsidR="009E2E7A">
        <w:t xml:space="preserve">have also been prepared and studied as potential </w:t>
      </w:r>
      <w:r w:rsidR="00250067">
        <w:t>cytotoxic agents</w:t>
      </w:r>
      <w:r w:rsidR="00CC2761">
        <w:rPr>
          <w:vertAlign w:val="superscript"/>
        </w:rPr>
        <w:t>19</w:t>
      </w:r>
      <w:r w:rsidR="00DE15AF">
        <w:t xml:space="preserve"> </w:t>
      </w:r>
      <w:r w:rsidR="00EF1B03">
        <w:t xml:space="preserve"> </w:t>
      </w:r>
      <w:r w:rsidR="0015716A">
        <w:t>as have the s</w:t>
      </w:r>
      <w:r w:rsidR="00DE15AF">
        <w:t>tructurall</w:t>
      </w:r>
      <w:r w:rsidR="00250067">
        <w:t xml:space="preserve">y </w:t>
      </w:r>
      <w:r w:rsidR="00532328">
        <w:t xml:space="preserve">related </w:t>
      </w:r>
      <w:r w:rsidR="00DE15AF">
        <w:t>nitrogen-mustard</w:t>
      </w:r>
      <w:r w:rsidR="00822A5B">
        <w:t xml:space="preserve"> derivative</w:t>
      </w:r>
      <w:r w:rsidR="0015716A">
        <w:t>s</w:t>
      </w:r>
      <w:r w:rsidR="00DE15AF">
        <w:t xml:space="preserve"> SN 23862 </w:t>
      </w:r>
      <w:r w:rsidR="00DE15AF" w:rsidRPr="00822A5B">
        <w:rPr>
          <w:b/>
        </w:rPr>
        <w:t>5</w:t>
      </w:r>
      <w:r w:rsidR="00DE15AF">
        <w:t xml:space="preserve"> </w:t>
      </w:r>
      <w:r w:rsidR="00B15C9B">
        <w:t xml:space="preserve">and </w:t>
      </w:r>
      <w:r w:rsidR="0015716A">
        <w:t xml:space="preserve">its </w:t>
      </w:r>
      <w:r w:rsidR="00B15C9B">
        <w:t>analogues</w:t>
      </w:r>
      <w:r w:rsidR="00822A5B">
        <w:t>.</w:t>
      </w:r>
      <w:r w:rsidR="00CC2761">
        <w:rPr>
          <w:vertAlign w:val="superscript"/>
        </w:rPr>
        <w:t>20-26</w:t>
      </w:r>
      <w:r w:rsidR="002D1B1D">
        <w:rPr>
          <w:vertAlign w:val="superscript"/>
        </w:rPr>
        <w:t xml:space="preserve"> </w:t>
      </w:r>
      <w:r w:rsidR="00822A5B">
        <w:t xml:space="preserve">The 2-nitro-group in SN 23862 </w:t>
      </w:r>
      <w:r w:rsidR="00822A5B" w:rsidRPr="00822A5B">
        <w:rPr>
          <w:b/>
        </w:rPr>
        <w:t>5</w:t>
      </w:r>
      <w:r w:rsidR="00822A5B">
        <w:t xml:space="preserve"> </w:t>
      </w:r>
      <w:r w:rsidR="00DE15AF">
        <w:t xml:space="preserve">is reduced by </w:t>
      </w:r>
      <w:r w:rsidR="00B63B0C" w:rsidRPr="00B63B0C">
        <w:rPr>
          <w:i/>
        </w:rPr>
        <w:t>E. coli</w:t>
      </w:r>
      <w:r w:rsidR="00B63B0C">
        <w:t xml:space="preserve"> </w:t>
      </w:r>
      <w:r w:rsidR="00DE15AF">
        <w:t xml:space="preserve">NR producing </w:t>
      </w:r>
      <w:r w:rsidR="00822A5B">
        <w:t xml:space="preserve">the amine derivative </w:t>
      </w:r>
      <w:r w:rsidR="00822A5B" w:rsidRPr="00822A5B">
        <w:rPr>
          <w:b/>
        </w:rPr>
        <w:t>6</w:t>
      </w:r>
      <w:r w:rsidR="00822A5B">
        <w:t xml:space="preserve"> </w:t>
      </w:r>
      <w:r w:rsidR="00C73476">
        <w:t xml:space="preserve">thus </w:t>
      </w:r>
      <w:r w:rsidR="00B15C9B">
        <w:t xml:space="preserve">facilitating </w:t>
      </w:r>
      <w:r w:rsidR="00822A5B">
        <w:t xml:space="preserve">the formation of an aziridinium species </w:t>
      </w:r>
      <w:r w:rsidR="003E0DDA" w:rsidRPr="003E0DDA">
        <w:rPr>
          <w:b/>
        </w:rPr>
        <w:t>7</w:t>
      </w:r>
      <w:r w:rsidR="003E0DDA">
        <w:t xml:space="preserve"> </w:t>
      </w:r>
      <w:r w:rsidR="00822A5B">
        <w:t>from the mustard moiety.</w:t>
      </w:r>
    </w:p>
    <w:p w14:paraId="41EE466D" w14:textId="77777777" w:rsidR="00C26B16" w:rsidRDefault="00E05022" w:rsidP="005E24B2">
      <w:r>
        <w:object w:dxaOrig="9232" w:dyaOrig="6120" w14:anchorId="67B60135">
          <v:shape id="_x0000_i1026" type="#_x0000_t75" style="width:450.75pt;height:299.25pt" o:ole="">
            <v:imagedata r:id="rId10" o:title=""/>
          </v:shape>
          <o:OLEObject Type="Embed" ProgID="ChemDraw.Document.6.0" ShapeID="_x0000_i1026" DrawAspect="Content" ObjectID="_1540621544" r:id="rId11"/>
        </w:object>
      </w:r>
    </w:p>
    <w:p w14:paraId="6D10A5E7" w14:textId="77777777" w:rsidR="00332DC6" w:rsidRDefault="008A34D3" w:rsidP="005E24B2">
      <w:r w:rsidRPr="000C4607">
        <w:rPr>
          <w:b/>
        </w:rPr>
        <w:t>Figure 1</w:t>
      </w:r>
      <w:r>
        <w:t xml:space="preserve">.  </w:t>
      </w:r>
      <w:r w:rsidR="00DE15AF">
        <w:t xml:space="preserve">Nitroaromatic </w:t>
      </w:r>
      <w:r>
        <w:t>prod</w:t>
      </w:r>
      <w:r w:rsidR="00D75DC9">
        <w:t>r</w:t>
      </w:r>
      <w:r>
        <w:t>ugs and their active metabolites.</w:t>
      </w:r>
    </w:p>
    <w:p w14:paraId="32B974BF" w14:textId="158781CB" w:rsidR="00571E28" w:rsidRDefault="006A5A50" w:rsidP="005E24B2">
      <w:r>
        <w:t xml:space="preserve">In this Letter, we report the synthesis </w:t>
      </w:r>
      <w:r w:rsidR="00357853">
        <w:t xml:space="preserve">and evaluation (enzymatic and cytotoxicity) </w:t>
      </w:r>
      <w:r>
        <w:t xml:space="preserve">of a series of </w:t>
      </w:r>
      <w:r w:rsidRPr="006A5A50">
        <w:rPr>
          <w:i/>
        </w:rPr>
        <w:t>N</w:t>
      </w:r>
      <w:r>
        <w:t>-</w:t>
      </w:r>
      <w:r w:rsidR="006867DE">
        <w:t>nitro</w:t>
      </w:r>
      <w:r>
        <w:t xml:space="preserve">arylated 1,2,3,4-tetrahydroisoquinoline derivatives with a core structure represented by formula </w:t>
      </w:r>
      <w:r w:rsidRPr="006A5A50">
        <w:rPr>
          <w:b/>
        </w:rPr>
        <w:t>8</w:t>
      </w:r>
      <w:r>
        <w:t xml:space="preserve"> as potentia</w:t>
      </w:r>
      <w:r w:rsidR="00571E28">
        <w:t>l nitroaromatic prodrugs</w:t>
      </w:r>
      <w:r>
        <w:t xml:space="preserve">. </w:t>
      </w:r>
      <w:r w:rsidR="00CA7F74" w:rsidRPr="00CA7F74">
        <w:t>In view of the curr</w:t>
      </w:r>
      <w:r w:rsidR="00CA7F74">
        <w:t>ent interest in fluorinated compounds</w:t>
      </w:r>
      <w:r w:rsidR="00CA7F74" w:rsidRPr="00CA7F74">
        <w:t xml:space="preserve"> in medicinal chemistry,</w:t>
      </w:r>
      <w:r w:rsidR="00CC2761">
        <w:rPr>
          <w:vertAlign w:val="superscript"/>
        </w:rPr>
        <w:t>27-30</w:t>
      </w:r>
      <w:r w:rsidR="00CA7F74" w:rsidRPr="00CA7F74">
        <w:t xml:space="preserve"> structures </w:t>
      </w:r>
      <w:r w:rsidR="00CA7F74" w:rsidRPr="00CA7F74">
        <w:rPr>
          <w:b/>
        </w:rPr>
        <w:t>8</w:t>
      </w:r>
      <w:r w:rsidR="00CA7F74">
        <w:rPr>
          <w:b/>
        </w:rPr>
        <w:t>b-8d</w:t>
      </w:r>
      <w:r w:rsidR="00CA7F74" w:rsidRPr="00CA7F74">
        <w:t xml:space="preserve"> which possess </w:t>
      </w:r>
      <w:r w:rsidR="002F0770">
        <w:t>the strongly electro</w:t>
      </w:r>
      <w:r w:rsidR="00532328">
        <w:t>n</w:t>
      </w:r>
      <w:r w:rsidR="002F0770">
        <w:t xml:space="preserve">-withdrawing </w:t>
      </w:r>
      <w:r w:rsidR="00CA7F74">
        <w:t xml:space="preserve">trifluoromethyl </w:t>
      </w:r>
      <w:r w:rsidR="00CA7F74" w:rsidRPr="00CA7F74">
        <w:t>group</w:t>
      </w:r>
      <w:r w:rsidR="00CC2761">
        <w:rPr>
          <w:vertAlign w:val="superscript"/>
        </w:rPr>
        <w:t>31</w:t>
      </w:r>
      <w:r w:rsidR="00CA7F74" w:rsidRPr="00CA7F74">
        <w:t xml:space="preserve"> have bee</w:t>
      </w:r>
      <w:r w:rsidR="00CA7F74">
        <w:t>n prepared</w:t>
      </w:r>
      <w:r w:rsidR="00CE70DD">
        <w:t xml:space="preserve"> and</w:t>
      </w:r>
      <w:r w:rsidR="00CA7F74">
        <w:t xml:space="preserve"> </w:t>
      </w:r>
      <w:r w:rsidR="00CE70DD">
        <w:t>compared</w:t>
      </w:r>
      <w:r w:rsidR="00CA7F74">
        <w:t xml:space="preserve"> with the </w:t>
      </w:r>
      <w:r w:rsidR="00CE70DD">
        <w:t>non-</w:t>
      </w:r>
      <w:r w:rsidR="00FC79EA">
        <w:t>trifluoromethylated</w:t>
      </w:r>
      <w:r w:rsidR="00CE70DD">
        <w:t xml:space="preserve"> </w:t>
      </w:r>
      <w:r w:rsidR="00CA7F74">
        <w:t>mono- and di-nitro com</w:t>
      </w:r>
      <w:r w:rsidR="00CA7F74">
        <w:lastRenderedPageBreak/>
        <w:t xml:space="preserve">pounds </w:t>
      </w:r>
      <w:r w:rsidR="00CA7F74" w:rsidRPr="00CA7F74">
        <w:rPr>
          <w:b/>
        </w:rPr>
        <w:t>8a</w:t>
      </w:r>
      <w:r w:rsidR="00CA7F74">
        <w:t xml:space="preserve"> and </w:t>
      </w:r>
      <w:r w:rsidR="00CA7F74" w:rsidRPr="00CA7F74">
        <w:rPr>
          <w:b/>
        </w:rPr>
        <w:t>8e</w:t>
      </w:r>
      <w:r w:rsidR="00CA7F74">
        <w:t xml:space="preserve"> respectively. </w:t>
      </w:r>
      <w:r w:rsidR="006867DE">
        <w:t xml:space="preserve">It was anticipated that if </w:t>
      </w:r>
      <w:r w:rsidR="004D15EC">
        <w:t xml:space="preserve">metabolic </w:t>
      </w:r>
      <w:r w:rsidR="006867DE">
        <w:t>reduction of the nitro-group occurred</w:t>
      </w:r>
      <w:r w:rsidR="004D15EC">
        <w:t xml:space="preserve"> in these molecules</w:t>
      </w:r>
      <w:r w:rsidR="00CE70DD">
        <w:t xml:space="preserve"> </w:t>
      </w:r>
      <w:r w:rsidR="00CE70DD" w:rsidRPr="00CE70DD">
        <w:rPr>
          <w:b/>
        </w:rPr>
        <w:t>8</w:t>
      </w:r>
      <w:r w:rsidR="006867DE">
        <w:t xml:space="preserve">, the resulting hydroxylamine (or amine) </w:t>
      </w:r>
      <w:r w:rsidR="00AC73B3">
        <w:t xml:space="preserve">derivative </w:t>
      </w:r>
      <w:r w:rsidR="006867DE">
        <w:t xml:space="preserve">would facilitate the formation of an aziridinium ion </w:t>
      </w:r>
      <w:r w:rsidR="006867DE" w:rsidRPr="006867DE">
        <w:rPr>
          <w:b/>
        </w:rPr>
        <w:t>9</w:t>
      </w:r>
      <w:r w:rsidR="006867DE">
        <w:t xml:space="preserve"> (</w:t>
      </w:r>
      <w:r w:rsidR="006867DE" w:rsidRPr="006867DE">
        <w:rPr>
          <w:i/>
        </w:rPr>
        <w:t>i.e.</w:t>
      </w:r>
      <w:r w:rsidR="006867DE">
        <w:t xml:space="preserve"> </w:t>
      </w:r>
      <w:r w:rsidR="004D15EC">
        <w:t>a similar activation process of transforming</w:t>
      </w:r>
      <w:r w:rsidR="006867DE">
        <w:t xml:space="preserve"> SN 23862 </w:t>
      </w:r>
      <w:r w:rsidR="006867DE" w:rsidRPr="006867DE">
        <w:rPr>
          <w:b/>
        </w:rPr>
        <w:t>5</w:t>
      </w:r>
      <w:r w:rsidR="004D15EC">
        <w:rPr>
          <w:b/>
        </w:rPr>
        <w:t xml:space="preserve"> </w:t>
      </w:r>
      <w:r w:rsidR="004D15EC">
        <w:t xml:space="preserve">into the aziridinium ion </w:t>
      </w:r>
      <w:r w:rsidR="004D15EC" w:rsidRPr="004D15EC">
        <w:rPr>
          <w:b/>
        </w:rPr>
        <w:t>7</w:t>
      </w:r>
      <w:r w:rsidR="00761BA3">
        <w:t xml:space="preserve">). </w:t>
      </w:r>
      <w:r w:rsidR="00FF3986">
        <w:t xml:space="preserve">With compounds </w:t>
      </w:r>
      <w:r w:rsidR="00FF3986" w:rsidRPr="00FF3986">
        <w:rPr>
          <w:b/>
        </w:rPr>
        <w:t>8d</w:t>
      </w:r>
      <w:r w:rsidR="00FF3986">
        <w:t xml:space="preserve"> and </w:t>
      </w:r>
      <w:r w:rsidR="00FF3986" w:rsidRPr="00FF3986">
        <w:rPr>
          <w:b/>
        </w:rPr>
        <w:t>8e</w:t>
      </w:r>
      <w:r w:rsidR="00FF3986">
        <w:t xml:space="preserve"> (which are both associated with R</w:t>
      </w:r>
      <w:r w:rsidR="00FF3986" w:rsidRPr="00FF3986">
        <w:rPr>
          <w:vertAlign w:val="superscript"/>
        </w:rPr>
        <w:t>1</w:t>
      </w:r>
      <w:r w:rsidR="00FF3986">
        <w:t xml:space="preserve"> = NO</w:t>
      </w:r>
      <w:r w:rsidR="00FF3986" w:rsidRPr="00FF3986">
        <w:rPr>
          <w:vertAlign w:val="subscript"/>
        </w:rPr>
        <w:t>2</w:t>
      </w:r>
      <w:r w:rsidR="00FF3986">
        <w:t>), s</w:t>
      </w:r>
      <w:r w:rsidR="00761BA3">
        <w:t>ubsequent a</w:t>
      </w:r>
      <w:r w:rsidR="006867DE">
        <w:t>cylation of the hydro</w:t>
      </w:r>
      <w:r w:rsidR="00761BA3">
        <w:t>xylamine-group (if formed) might</w:t>
      </w:r>
      <w:r w:rsidR="006867DE">
        <w:t xml:space="preserve"> then afford a potential bifunctional alkylating agent, </w:t>
      </w:r>
      <w:r w:rsidR="00761BA3">
        <w:t xml:space="preserve">structurally </w:t>
      </w:r>
      <w:r w:rsidR="006867DE">
        <w:t>simi</w:t>
      </w:r>
      <w:r w:rsidR="004D15EC">
        <w:t>l</w:t>
      </w:r>
      <w:r w:rsidR="006867DE">
        <w:t xml:space="preserve">ar to </w:t>
      </w:r>
      <w:r w:rsidR="0015716A">
        <w:t xml:space="preserve">the </w:t>
      </w:r>
      <w:r w:rsidR="006867DE">
        <w:t>CB 1954</w:t>
      </w:r>
      <w:r w:rsidR="0015716A">
        <w:t xml:space="preserve"> metabolite</w:t>
      </w:r>
      <w:r w:rsidR="006867DE">
        <w:t xml:space="preserve"> </w:t>
      </w:r>
      <w:r w:rsidR="0015716A">
        <w:rPr>
          <w:b/>
        </w:rPr>
        <w:t>2</w:t>
      </w:r>
      <w:r w:rsidR="006867DE">
        <w:t>.</w:t>
      </w:r>
      <w:r w:rsidR="00357853">
        <w:t xml:space="preserve"> </w:t>
      </w:r>
      <w:r w:rsidR="00FF3986">
        <w:t xml:space="preserve">Compounds </w:t>
      </w:r>
      <w:r w:rsidR="00FF3986" w:rsidRPr="00FF3986">
        <w:rPr>
          <w:b/>
        </w:rPr>
        <w:t>8a-8e</w:t>
      </w:r>
      <w:r w:rsidR="00FF3986">
        <w:t xml:space="preserve"> (in which R</w:t>
      </w:r>
      <w:r w:rsidR="00FF3986" w:rsidRPr="00FF3986">
        <w:rPr>
          <w:vertAlign w:val="superscript"/>
        </w:rPr>
        <w:t>2</w:t>
      </w:r>
      <w:r w:rsidR="00FF3986">
        <w:t xml:space="preserve"> = NO</w:t>
      </w:r>
      <w:r w:rsidR="00FF3986" w:rsidRPr="00FF3986">
        <w:rPr>
          <w:vertAlign w:val="subscript"/>
        </w:rPr>
        <w:t>2</w:t>
      </w:r>
      <w:r w:rsidR="00FF3986">
        <w:t xml:space="preserve">) would not be expected to produce bifunctional alkylating species, but their corresponding amines (if formed), may exhibit a bystander effect similar to amine </w:t>
      </w:r>
      <w:r w:rsidR="00FF3986" w:rsidRPr="00FF3986">
        <w:rPr>
          <w:b/>
        </w:rPr>
        <w:t>4</w:t>
      </w:r>
      <w:r w:rsidR="00FF3986">
        <w:t>.</w:t>
      </w:r>
      <w:r w:rsidR="00CC2761">
        <w:rPr>
          <w:vertAlign w:val="superscript"/>
        </w:rPr>
        <w:t>18</w:t>
      </w:r>
      <w:r w:rsidR="00FF3986">
        <w:t xml:space="preserve">  </w:t>
      </w:r>
    </w:p>
    <w:p w14:paraId="0FC09789" w14:textId="41718ACB" w:rsidR="000566CB" w:rsidRPr="003D7A6A" w:rsidRDefault="000566CB" w:rsidP="000566CB">
      <w:r w:rsidRPr="000566CB">
        <w:t xml:space="preserve">Compounds </w:t>
      </w:r>
      <w:r>
        <w:rPr>
          <w:b/>
        </w:rPr>
        <w:t>8</w:t>
      </w:r>
      <w:r w:rsidRPr="000566CB">
        <w:rPr>
          <w:b/>
        </w:rPr>
        <w:t>a-e</w:t>
      </w:r>
      <w:r w:rsidRPr="000566CB">
        <w:t xml:space="preserve"> were therefore prepared from racemic 1,2,3,4-tetrahydroisoquinoline </w:t>
      </w:r>
      <w:r>
        <w:rPr>
          <w:b/>
        </w:rPr>
        <w:t>10</w:t>
      </w:r>
      <w:r>
        <w:t xml:space="preserve"> as outlined in Scheme 1</w:t>
      </w:r>
      <w:r w:rsidR="002A0372">
        <w:t xml:space="preserve"> (see supplementary information for experimental details). </w:t>
      </w:r>
      <w:r w:rsidRPr="000566CB">
        <w:t xml:space="preserve">Thus, compound </w:t>
      </w:r>
      <w:r>
        <w:rPr>
          <w:b/>
        </w:rPr>
        <w:t>10</w:t>
      </w:r>
      <w:r w:rsidRPr="000566CB">
        <w:t xml:space="preserve"> was reacted with an appro</w:t>
      </w:r>
      <w:r w:rsidR="00886924">
        <w:t xml:space="preserve">priate arylfluoride in warm </w:t>
      </w:r>
      <w:r w:rsidR="003D6768" w:rsidRPr="003D7A6A">
        <w:t>DMSO</w:t>
      </w:r>
      <w:r w:rsidR="003D6768">
        <w:t xml:space="preserve"> </w:t>
      </w:r>
      <w:r w:rsidRPr="000566CB">
        <w:t xml:space="preserve">solution in the presence of </w:t>
      </w:r>
      <w:r w:rsidR="003D6768" w:rsidRPr="003D7A6A">
        <w:t>K</w:t>
      </w:r>
      <w:r w:rsidR="003D6768" w:rsidRPr="003D7A6A">
        <w:rPr>
          <w:vertAlign w:val="subscript"/>
        </w:rPr>
        <w:t>2</w:t>
      </w:r>
      <w:r w:rsidR="003D6768" w:rsidRPr="003D7A6A">
        <w:t>CO</w:t>
      </w:r>
      <w:r w:rsidR="003D6768" w:rsidRPr="003D7A6A">
        <w:rPr>
          <w:vertAlign w:val="subscript"/>
        </w:rPr>
        <w:t>3</w:t>
      </w:r>
      <w:r w:rsidR="003D6768" w:rsidRPr="003D7A6A">
        <w:t xml:space="preserve"> </w:t>
      </w:r>
      <w:r w:rsidRPr="003D7A6A">
        <w:t xml:space="preserve">yielding, after acidification, the arylated carboxylic acid derivatives </w:t>
      </w:r>
      <w:r w:rsidRPr="003D7A6A">
        <w:rPr>
          <w:b/>
        </w:rPr>
        <w:t>11</w:t>
      </w:r>
      <w:r w:rsidR="003D7A6A">
        <w:rPr>
          <w:b/>
        </w:rPr>
        <w:t>a-d</w:t>
      </w:r>
      <w:r w:rsidRPr="003D7A6A">
        <w:t xml:space="preserve">. Compound </w:t>
      </w:r>
      <w:r w:rsidR="003D7A6A">
        <w:rPr>
          <w:b/>
        </w:rPr>
        <w:t>11e</w:t>
      </w:r>
      <w:r w:rsidRPr="003D7A6A">
        <w:t xml:space="preserve"> was prepared using a similar procedure except that boiling aqueo</w:t>
      </w:r>
      <w:r w:rsidR="003D6768" w:rsidRPr="003D7A6A">
        <w:t>us EtOH</w:t>
      </w:r>
      <w:r w:rsidRPr="003D7A6A">
        <w:t xml:space="preserve"> was used as the solvent. These products (with the exception of compounds </w:t>
      </w:r>
      <w:r w:rsidR="003D7A6A">
        <w:rPr>
          <w:b/>
        </w:rPr>
        <w:t>11</w:t>
      </w:r>
      <w:r w:rsidRPr="003D7A6A">
        <w:rPr>
          <w:b/>
        </w:rPr>
        <w:t xml:space="preserve">d </w:t>
      </w:r>
      <w:r w:rsidRPr="003D7A6A">
        <w:t xml:space="preserve">and </w:t>
      </w:r>
      <w:r w:rsidR="003D7A6A">
        <w:rPr>
          <w:b/>
        </w:rPr>
        <w:t>11</w:t>
      </w:r>
      <w:r w:rsidRPr="003D7A6A">
        <w:rPr>
          <w:b/>
        </w:rPr>
        <w:t>e</w:t>
      </w:r>
      <w:r w:rsidRPr="003D7A6A">
        <w:t xml:space="preserve">) were converted into their corresponding methyl esters </w:t>
      </w:r>
      <w:r w:rsidRPr="003D7A6A">
        <w:rPr>
          <w:b/>
        </w:rPr>
        <w:t>12</w:t>
      </w:r>
      <w:r w:rsidR="00886924" w:rsidRPr="003D7A6A">
        <w:t xml:space="preserve"> by treatment with dimethyl sulph</w:t>
      </w:r>
      <w:r w:rsidRPr="003D7A6A">
        <w:t>ate under</w:t>
      </w:r>
      <w:r w:rsidR="002A0372" w:rsidRPr="003D7A6A">
        <w:t xml:space="preserve"> basic conditions</w:t>
      </w:r>
      <w:r w:rsidRPr="003D7A6A">
        <w:t xml:space="preserve">. Reduction of these esters </w:t>
      </w:r>
      <w:r w:rsidRPr="003D7A6A">
        <w:rPr>
          <w:b/>
        </w:rPr>
        <w:t>12</w:t>
      </w:r>
      <w:r w:rsidRPr="003D7A6A">
        <w:t xml:space="preserve"> with </w:t>
      </w:r>
      <w:r w:rsidR="003D6768" w:rsidRPr="003D7A6A">
        <w:t>LiBH</w:t>
      </w:r>
      <w:r w:rsidR="003D6768" w:rsidRPr="003D7A6A">
        <w:rPr>
          <w:vertAlign w:val="subscript"/>
        </w:rPr>
        <w:t>4</w:t>
      </w:r>
      <w:r w:rsidR="003D6768" w:rsidRPr="003D7A6A">
        <w:t xml:space="preserve"> </w:t>
      </w:r>
      <w:r w:rsidRPr="003D7A6A">
        <w:t xml:space="preserve">in the presence of a catalytic quantity of </w:t>
      </w:r>
      <w:r w:rsidR="003D6768" w:rsidRPr="003D7A6A">
        <w:t>B(OMe)</w:t>
      </w:r>
      <w:r w:rsidR="003D6768" w:rsidRPr="003D7A6A">
        <w:rPr>
          <w:vertAlign w:val="subscript"/>
        </w:rPr>
        <w:t>3</w:t>
      </w:r>
      <w:r w:rsidR="003D6768" w:rsidRPr="003D7A6A">
        <w:t xml:space="preserve"> </w:t>
      </w:r>
      <w:r w:rsidRPr="003D7A6A">
        <w:t xml:space="preserve">afforded the alcohols </w:t>
      </w:r>
      <w:r w:rsidRPr="003D7A6A">
        <w:rPr>
          <w:b/>
        </w:rPr>
        <w:t>13</w:t>
      </w:r>
      <w:r w:rsidRPr="003D7A6A">
        <w:t>.</w:t>
      </w:r>
      <w:r w:rsidR="00CC2761" w:rsidRPr="003D7A6A">
        <w:rPr>
          <w:vertAlign w:val="superscript"/>
        </w:rPr>
        <w:t>32</w:t>
      </w:r>
      <w:r w:rsidRPr="003D7A6A">
        <w:t xml:space="preserve"> The alcohols </w:t>
      </w:r>
      <w:r w:rsidRPr="003D7A6A">
        <w:rPr>
          <w:b/>
        </w:rPr>
        <w:t>13</w:t>
      </w:r>
      <w:r w:rsidRPr="003D7A6A">
        <w:t xml:space="preserve"> could also be prepared directly from the carboxylic acids </w:t>
      </w:r>
      <w:r w:rsidRPr="003D7A6A">
        <w:rPr>
          <w:b/>
        </w:rPr>
        <w:t>11</w:t>
      </w:r>
      <w:r w:rsidRPr="003D7A6A">
        <w:t xml:space="preserve"> by formation of a mixed anhydride with ethyl chloroformate under basic co</w:t>
      </w:r>
      <w:r w:rsidR="003D6768" w:rsidRPr="003D7A6A">
        <w:t>nditions followed by NaBH</w:t>
      </w:r>
      <w:r w:rsidR="003D6768" w:rsidRPr="003D7A6A">
        <w:rPr>
          <w:vertAlign w:val="subscript"/>
        </w:rPr>
        <w:t>4</w:t>
      </w:r>
      <w:r w:rsidR="002A0372" w:rsidRPr="003D7A6A">
        <w:t xml:space="preserve"> reduction</w:t>
      </w:r>
      <w:r w:rsidRPr="003D7A6A">
        <w:t>.</w:t>
      </w:r>
      <w:r w:rsidR="00512408" w:rsidRPr="003D7A6A">
        <w:rPr>
          <w:vertAlign w:val="superscript"/>
        </w:rPr>
        <w:t>3</w:t>
      </w:r>
      <w:r w:rsidR="00CC2761" w:rsidRPr="003D7A6A">
        <w:rPr>
          <w:vertAlign w:val="superscript"/>
        </w:rPr>
        <w:t>3</w:t>
      </w:r>
      <w:r w:rsidR="00512408" w:rsidRPr="003D7A6A">
        <w:rPr>
          <w:vertAlign w:val="superscript"/>
        </w:rPr>
        <w:t xml:space="preserve">, </w:t>
      </w:r>
      <w:r w:rsidR="00CC2761" w:rsidRPr="003D7A6A">
        <w:rPr>
          <w:vertAlign w:val="superscript"/>
        </w:rPr>
        <w:t>34</w:t>
      </w:r>
      <w:r w:rsidRPr="003D7A6A">
        <w:t xml:space="preserve"> The required chloromethyl derivatives </w:t>
      </w:r>
      <w:r w:rsidRPr="003D7A6A">
        <w:rPr>
          <w:b/>
        </w:rPr>
        <w:t>8</w:t>
      </w:r>
      <w:r w:rsidRPr="003D7A6A">
        <w:t xml:space="preserve"> were prepared from the alcohols </w:t>
      </w:r>
      <w:r w:rsidRPr="003D7A6A">
        <w:rPr>
          <w:b/>
        </w:rPr>
        <w:t>13</w:t>
      </w:r>
      <w:r w:rsidRPr="003D7A6A">
        <w:t xml:space="preserve"> by </w:t>
      </w:r>
      <w:r w:rsidR="00D0620C" w:rsidRPr="003D7A6A">
        <w:t xml:space="preserve">their </w:t>
      </w:r>
      <w:r w:rsidR="003D6768" w:rsidRPr="003D7A6A">
        <w:t>reaction with SOCl</w:t>
      </w:r>
      <w:r w:rsidR="003D6768" w:rsidRPr="003D7A6A">
        <w:rPr>
          <w:vertAlign w:val="subscript"/>
        </w:rPr>
        <w:t>2</w:t>
      </w:r>
      <w:r w:rsidRPr="003D7A6A">
        <w:t xml:space="preserve"> in </w:t>
      </w:r>
      <w:r w:rsidR="003D6768" w:rsidRPr="003D7A6A">
        <w:t>CH</w:t>
      </w:r>
      <w:r w:rsidR="003D6768" w:rsidRPr="003D7A6A">
        <w:rPr>
          <w:vertAlign w:val="subscript"/>
        </w:rPr>
        <w:t>2</w:t>
      </w:r>
      <w:r w:rsidR="003D6768" w:rsidRPr="003D7A6A">
        <w:t>Cl</w:t>
      </w:r>
      <w:r w:rsidR="003D6768" w:rsidRPr="003D7A6A">
        <w:rPr>
          <w:vertAlign w:val="subscript"/>
        </w:rPr>
        <w:t>2</w:t>
      </w:r>
      <w:r w:rsidR="003D6768" w:rsidRPr="003D7A6A">
        <w:t xml:space="preserve"> </w:t>
      </w:r>
      <w:r w:rsidR="00886924" w:rsidRPr="003D7A6A">
        <w:t xml:space="preserve">solution </w:t>
      </w:r>
      <w:r w:rsidR="002A0372" w:rsidRPr="003D7A6A">
        <w:t>at reflux</w:t>
      </w:r>
      <w:r w:rsidRPr="003D7A6A">
        <w:t xml:space="preserve">. </w:t>
      </w:r>
    </w:p>
    <w:p w14:paraId="6A821592" w14:textId="77777777" w:rsidR="00431C5C" w:rsidRDefault="00431C5C" w:rsidP="005E24B2"/>
    <w:p w14:paraId="1B8261BA" w14:textId="6E69F0BF" w:rsidR="002465D9" w:rsidRDefault="00FF78F1" w:rsidP="005E24B2">
      <w:r>
        <w:object w:dxaOrig="9396" w:dyaOrig="4310" w14:anchorId="398F3317">
          <v:shape id="_x0000_i1027" type="#_x0000_t75" style="width:450.75pt;height:207pt" o:ole="">
            <v:imagedata r:id="rId12" o:title=""/>
          </v:shape>
          <o:OLEObject Type="Embed" ProgID="ChemDraw.Document.6.0" ShapeID="_x0000_i1027" DrawAspect="Content" ObjectID="_1540621545" r:id="rId13"/>
        </w:object>
      </w:r>
    </w:p>
    <w:p w14:paraId="73EBCE52" w14:textId="77777777" w:rsidR="002465D9" w:rsidRDefault="002465D9" w:rsidP="005E24B2"/>
    <w:p w14:paraId="38571102" w14:textId="71547EA9" w:rsidR="006134CD" w:rsidRDefault="002465D9" w:rsidP="006134CD">
      <w:r>
        <w:rPr>
          <w:b/>
        </w:rPr>
        <w:t>Scheme 1</w:t>
      </w:r>
      <w:r w:rsidRPr="00B66970">
        <w:t xml:space="preserve">. Synthesis of the prodrugs </w:t>
      </w:r>
      <w:r>
        <w:rPr>
          <w:b/>
        </w:rPr>
        <w:t>8</w:t>
      </w:r>
      <w:r w:rsidR="002B3D61">
        <w:rPr>
          <w:b/>
        </w:rPr>
        <w:t>a-e</w:t>
      </w:r>
      <w:r w:rsidRPr="00B66970">
        <w:t>. Reagents and conditions: (i), ArF, DMSO, K</w:t>
      </w:r>
      <w:r w:rsidRPr="00B66970">
        <w:rPr>
          <w:vertAlign w:val="subscript"/>
        </w:rPr>
        <w:t>2</w:t>
      </w:r>
      <w:r w:rsidRPr="00B66970">
        <w:t>CO</w:t>
      </w:r>
      <w:r w:rsidRPr="00B66970">
        <w:rPr>
          <w:vertAlign w:val="subscript"/>
        </w:rPr>
        <w:t>3</w:t>
      </w:r>
      <w:r w:rsidRPr="00B66970">
        <w:t xml:space="preserve">, 80 </w:t>
      </w:r>
      <w:r w:rsidRPr="00B66970">
        <w:rPr>
          <w:vertAlign w:val="superscript"/>
        </w:rPr>
        <w:t>o</w:t>
      </w:r>
      <w:r w:rsidR="00001DE2">
        <w:t>C then dil. HCl</w:t>
      </w:r>
      <w:r w:rsidRPr="00B66970">
        <w:t>; (ii) Me</w:t>
      </w:r>
      <w:r w:rsidRPr="00B66970">
        <w:rPr>
          <w:vertAlign w:val="subscript"/>
        </w:rPr>
        <w:t>2</w:t>
      </w:r>
      <w:r w:rsidRPr="00B66970">
        <w:t>SO</w:t>
      </w:r>
      <w:r w:rsidRPr="00B66970">
        <w:rPr>
          <w:vertAlign w:val="subscript"/>
        </w:rPr>
        <w:t>4</w:t>
      </w:r>
      <w:r w:rsidR="00001DE2">
        <w:t>, acetone, reflux</w:t>
      </w:r>
      <w:r w:rsidRPr="00B66970">
        <w:t>; (iii) EtOCOCl, Et</w:t>
      </w:r>
      <w:r w:rsidRPr="00B66970">
        <w:rPr>
          <w:vertAlign w:val="subscript"/>
        </w:rPr>
        <w:t>3</w:t>
      </w:r>
      <w:r w:rsidRPr="00B66970">
        <w:t xml:space="preserve">N, THF, -15 </w:t>
      </w:r>
      <w:r w:rsidRPr="00B66970">
        <w:rPr>
          <w:vertAlign w:val="superscript"/>
        </w:rPr>
        <w:t>o</w:t>
      </w:r>
      <w:r w:rsidRPr="00B66970">
        <w:t>C then NaBH</w:t>
      </w:r>
      <w:r w:rsidRPr="00B66970">
        <w:rPr>
          <w:vertAlign w:val="subscript"/>
        </w:rPr>
        <w:t>4</w:t>
      </w:r>
      <w:r w:rsidRPr="00B66970">
        <w:t xml:space="preserve">, MeOH, 10 </w:t>
      </w:r>
      <w:r w:rsidRPr="00B66970">
        <w:rPr>
          <w:vertAlign w:val="superscript"/>
        </w:rPr>
        <w:t>o</w:t>
      </w:r>
      <w:r w:rsidR="00001DE2">
        <w:t>C</w:t>
      </w:r>
      <w:r w:rsidRPr="00B66970">
        <w:t>; (iv) LiBH</w:t>
      </w:r>
      <w:r w:rsidRPr="00B66970">
        <w:rPr>
          <w:vertAlign w:val="subscript"/>
        </w:rPr>
        <w:t>4</w:t>
      </w:r>
      <w:r w:rsidRPr="00B66970">
        <w:t>, B(OMe)</w:t>
      </w:r>
      <w:r w:rsidRPr="00B66970">
        <w:rPr>
          <w:vertAlign w:val="subscript"/>
        </w:rPr>
        <w:t>3</w:t>
      </w:r>
      <w:r w:rsidRPr="00B66970">
        <w:t xml:space="preserve"> (cat.), Et</w:t>
      </w:r>
      <w:r w:rsidRPr="00B66970">
        <w:rPr>
          <w:vertAlign w:val="subscript"/>
        </w:rPr>
        <w:t>2</w:t>
      </w:r>
      <w:r w:rsidR="00001DE2">
        <w:t>O, reflux</w:t>
      </w:r>
      <w:r w:rsidRPr="00B66970">
        <w:t>; (v) SOCl</w:t>
      </w:r>
      <w:r w:rsidRPr="00B66970">
        <w:rPr>
          <w:vertAlign w:val="subscript"/>
        </w:rPr>
        <w:t>2</w:t>
      </w:r>
      <w:r w:rsidRPr="00B66970">
        <w:t>, CH</w:t>
      </w:r>
      <w:r w:rsidRPr="00B66970">
        <w:rPr>
          <w:vertAlign w:val="subscript"/>
        </w:rPr>
        <w:t>2</w:t>
      </w:r>
      <w:r w:rsidRPr="00B66970">
        <w:t>Cl</w:t>
      </w:r>
      <w:r w:rsidRPr="00B66970">
        <w:rPr>
          <w:vertAlign w:val="subscript"/>
        </w:rPr>
        <w:t>2</w:t>
      </w:r>
      <w:r w:rsidRPr="00B66970">
        <w:t>, re</w:t>
      </w:r>
      <w:r w:rsidR="00001DE2">
        <w:t>flux</w:t>
      </w:r>
      <w:r w:rsidRPr="00B66970">
        <w:t>.</w:t>
      </w:r>
    </w:p>
    <w:p w14:paraId="7F343EE2" w14:textId="29FFFDA1" w:rsidR="00EE383E" w:rsidRDefault="00580B71" w:rsidP="006134CD">
      <w:r>
        <w:lastRenderedPageBreak/>
        <w:t xml:space="preserve">The series of prodrugs </w:t>
      </w:r>
      <w:r w:rsidRPr="00580B71">
        <w:rPr>
          <w:b/>
        </w:rPr>
        <w:t>8</w:t>
      </w:r>
      <w:r>
        <w:t xml:space="preserve"> were assessed against the enzymes </w:t>
      </w:r>
      <w:r w:rsidR="00602645">
        <w:t xml:space="preserve">human </w:t>
      </w:r>
      <w:r>
        <w:t xml:space="preserve">NQO1 and </w:t>
      </w:r>
      <w:r w:rsidR="00602645" w:rsidRPr="00602645">
        <w:rPr>
          <w:i/>
        </w:rPr>
        <w:t>E. coli</w:t>
      </w:r>
      <w:r w:rsidR="00602645">
        <w:t xml:space="preserve"> </w:t>
      </w:r>
      <w:r>
        <w:t xml:space="preserve">NR and their </w:t>
      </w:r>
      <w:r w:rsidR="001A7BF6">
        <w:t>specific activities (</w:t>
      </w:r>
      <w:r w:rsidR="001A7BF6" w:rsidRPr="001A7BF6">
        <w:rPr>
          <w:lang w:val="en-US"/>
        </w:rPr>
        <w:t xml:space="preserve">calculated by dividing the initial rate </w:t>
      </w:r>
      <w:r w:rsidR="001A7BF6">
        <w:rPr>
          <w:lang w:val="en-US"/>
        </w:rPr>
        <w:t xml:space="preserve">of reaction </w:t>
      </w:r>
      <w:r w:rsidR="001A7BF6" w:rsidRPr="001A7BF6">
        <w:rPr>
          <w:lang w:val="en-US"/>
        </w:rPr>
        <w:t xml:space="preserve">by the concentration of the enzyme used and quoted </w:t>
      </w:r>
      <w:r w:rsidR="001A7BF6" w:rsidRPr="001A7BF6">
        <w:t>as µmoles of compound reduced per minute per mg of protein (µmol/min/mg)</w:t>
      </w:r>
      <w:r w:rsidR="001A7BF6">
        <w:t>)</w:t>
      </w:r>
      <w:r w:rsidR="001A7BF6" w:rsidRPr="001A7BF6">
        <w:t xml:space="preserve"> </w:t>
      </w:r>
      <w:r>
        <w:t xml:space="preserve">have been compared to CB 1954 </w:t>
      </w:r>
      <w:r w:rsidRPr="00580B71">
        <w:rPr>
          <w:b/>
        </w:rPr>
        <w:t>1</w:t>
      </w:r>
      <w:r>
        <w:t xml:space="preserve"> (Table 1). Interestingly, all the trifluoromethylated derivatives </w:t>
      </w:r>
      <w:r w:rsidRPr="004B7BC8">
        <w:rPr>
          <w:b/>
        </w:rPr>
        <w:t>8b-d</w:t>
      </w:r>
      <w:r>
        <w:t xml:space="preserve"> exhibited higher </w:t>
      </w:r>
      <w:r w:rsidR="001A7BF6">
        <w:t>specific activities</w:t>
      </w:r>
      <w:r w:rsidR="001C5891">
        <w:t xml:space="preserve"> with human NQO1</w:t>
      </w:r>
      <w:r w:rsidR="001A7BF6">
        <w:t xml:space="preserve"> </w:t>
      </w:r>
      <w:r>
        <w:t xml:space="preserve">than CB 1954 </w:t>
      </w:r>
      <w:r w:rsidRPr="004B7BC8">
        <w:rPr>
          <w:b/>
        </w:rPr>
        <w:t>1</w:t>
      </w:r>
      <w:r>
        <w:t xml:space="preserve">. The mono-nitro derivative </w:t>
      </w:r>
      <w:r w:rsidRPr="004B7BC8">
        <w:rPr>
          <w:b/>
        </w:rPr>
        <w:t>8a</w:t>
      </w:r>
      <w:r>
        <w:t xml:space="preserve"> was a poor substrate for </w:t>
      </w:r>
      <w:r w:rsidR="001C5891">
        <w:t xml:space="preserve">human </w:t>
      </w:r>
      <w:r>
        <w:t>NQO1</w:t>
      </w:r>
      <w:r w:rsidR="00794CF9">
        <w:t>,</w:t>
      </w:r>
      <w:r>
        <w:t xml:space="preserve"> and</w:t>
      </w:r>
      <w:r w:rsidR="001A7BF6">
        <w:t xml:space="preserve"> in the absence of a second electro</w:t>
      </w:r>
      <w:r w:rsidR="00794CF9">
        <w:t>n</w:t>
      </w:r>
      <w:r w:rsidR="001A7BF6">
        <w:t xml:space="preserve">-withdrawing group </w:t>
      </w:r>
      <w:r w:rsidR="00155687">
        <w:t xml:space="preserve">located </w:t>
      </w:r>
      <w:r w:rsidR="001A7BF6">
        <w:t xml:space="preserve">on the </w:t>
      </w:r>
      <w:r w:rsidR="001A7BF6" w:rsidRPr="00794CF9">
        <w:rPr>
          <w:i/>
        </w:rPr>
        <w:t>N</w:t>
      </w:r>
      <w:r w:rsidR="001A7BF6">
        <w:t>-aryl-substituent, this observation was not unexpected.</w:t>
      </w:r>
      <w:r>
        <w:t xml:space="preserve"> </w:t>
      </w:r>
      <w:r w:rsidR="001A7BF6">
        <w:t xml:space="preserve"> T</w:t>
      </w:r>
      <w:r w:rsidR="004B7BC8">
        <w:t xml:space="preserve">he </w:t>
      </w:r>
      <w:r w:rsidR="001A7BF6">
        <w:t xml:space="preserve">specific activity </w:t>
      </w:r>
      <w:r w:rsidR="004B7BC8">
        <w:t xml:space="preserve">of </w:t>
      </w:r>
      <w:r>
        <w:t>the dinitro-derivativ</w:t>
      </w:r>
      <w:r w:rsidR="004B7BC8">
        <w:t>e</w:t>
      </w:r>
      <w:r>
        <w:t xml:space="preserve"> </w:t>
      </w:r>
      <w:r w:rsidR="004B7BC8" w:rsidRPr="004B7BC8">
        <w:rPr>
          <w:b/>
        </w:rPr>
        <w:t>8e</w:t>
      </w:r>
      <w:r w:rsidR="004B7BC8">
        <w:t xml:space="preserve"> was </w:t>
      </w:r>
      <w:r w:rsidR="001C5891">
        <w:t>lower</w:t>
      </w:r>
      <w:r w:rsidR="00B24740">
        <w:t xml:space="preserve"> than the nitro/trifluoromethylated </w:t>
      </w:r>
      <w:r w:rsidR="004B7BC8">
        <w:t xml:space="preserve">derivatives </w:t>
      </w:r>
      <w:r w:rsidR="004B7BC8">
        <w:rPr>
          <w:b/>
        </w:rPr>
        <w:t>8b-d</w:t>
      </w:r>
      <w:r w:rsidR="004B7BC8">
        <w:t xml:space="preserve">. </w:t>
      </w:r>
      <w:r w:rsidR="00186ECD">
        <w:t xml:space="preserve">All </w:t>
      </w:r>
      <w:r w:rsidR="00B24740">
        <w:t xml:space="preserve">of </w:t>
      </w:r>
      <w:r w:rsidR="00186ECD">
        <w:t xml:space="preserve">the </w:t>
      </w:r>
      <w:r w:rsidR="00B24740">
        <w:t xml:space="preserve">series of </w:t>
      </w:r>
      <w:r w:rsidR="00186ECD">
        <w:t xml:space="preserve">prodrugs </w:t>
      </w:r>
      <w:r w:rsidR="00186ECD" w:rsidRPr="00186ECD">
        <w:rPr>
          <w:b/>
        </w:rPr>
        <w:t>8a-8e</w:t>
      </w:r>
      <w:r w:rsidR="00186ECD">
        <w:t xml:space="preserve"> </w:t>
      </w:r>
      <w:r w:rsidR="0030419A">
        <w:t xml:space="preserve">showed poor specific activities with </w:t>
      </w:r>
      <w:r w:rsidR="00B476D1" w:rsidRPr="00B476D1">
        <w:rPr>
          <w:i/>
        </w:rPr>
        <w:t>E. coli</w:t>
      </w:r>
      <w:r w:rsidR="00B476D1">
        <w:t xml:space="preserve"> </w:t>
      </w:r>
      <w:r w:rsidR="00186ECD">
        <w:t xml:space="preserve">NR compared </w:t>
      </w:r>
      <w:r w:rsidR="001C5891">
        <w:t xml:space="preserve">to </w:t>
      </w:r>
      <w:r w:rsidR="00186ECD">
        <w:t xml:space="preserve">CB-1954 </w:t>
      </w:r>
      <w:r w:rsidR="00186ECD" w:rsidRPr="00186ECD">
        <w:rPr>
          <w:b/>
        </w:rPr>
        <w:t>1</w:t>
      </w:r>
      <w:r w:rsidR="00186ECD">
        <w:t xml:space="preserve">. </w:t>
      </w:r>
      <w:r w:rsidR="00B476D1">
        <w:t>Noteworth</w:t>
      </w:r>
      <w:r w:rsidR="00155687">
        <w:t>y is the observation that the</w:t>
      </w:r>
      <w:r w:rsidR="00B476D1">
        <w:t xml:space="preserve"> prodrug </w:t>
      </w:r>
      <w:r w:rsidR="00B476D1" w:rsidRPr="00B476D1">
        <w:rPr>
          <w:b/>
        </w:rPr>
        <w:t>8d</w:t>
      </w:r>
      <w:r w:rsidR="001320AA">
        <w:t xml:space="preserve">, which lacks a </w:t>
      </w:r>
      <w:r w:rsidR="001320AA" w:rsidRPr="001320AA">
        <w:rPr>
          <w:i/>
        </w:rPr>
        <w:t>para</w:t>
      </w:r>
      <w:r w:rsidR="001320AA">
        <w:t>-</w:t>
      </w:r>
      <w:r w:rsidR="00B476D1">
        <w:t xml:space="preserve">nitro substituent in the </w:t>
      </w:r>
      <w:r w:rsidR="00B476D1" w:rsidRPr="00B476D1">
        <w:rPr>
          <w:i/>
        </w:rPr>
        <w:t>N</w:t>
      </w:r>
      <w:r w:rsidR="00B476D1">
        <w:t xml:space="preserve">-aryl ring, exhibits very little </w:t>
      </w:r>
      <w:r w:rsidR="0030419A">
        <w:t xml:space="preserve">specific activity </w:t>
      </w:r>
      <w:r w:rsidR="001C5891" w:rsidRPr="001C5891">
        <w:t xml:space="preserve">with </w:t>
      </w:r>
      <w:r w:rsidR="001C5891" w:rsidRPr="001C5891">
        <w:rPr>
          <w:i/>
        </w:rPr>
        <w:t>E. coli</w:t>
      </w:r>
      <w:r w:rsidR="001C5891" w:rsidRPr="001C5891">
        <w:t xml:space="preserve"> NR </w:t>
      </w:r>
      <w:r w:rsidR="0030419A">
        <w:t>compared to</w:t>
      </w:r>
      <w:r w:rsidR="00B476D1">
        <w:t xml:space="preserve"> prodrugs </w:t>
      </w:r>
      <w:r w:rsidR="00B476D1" w:rsidRPr="00B476D1">
        <w:rPr>
          <w:b/>
        </w:rPr>
        <w:t>8b</w:t>
      </w:r>
      <w:r w:rsidR="00B476D1">
        <w:t xml:space="preserve">, </w:t>
      </w:r>
      <w:r w:rsidR="00B476D1" w:rsidRPr="00B476D1">
        <w:rPr>
          <w:b/>
        </w:rPr>
        <w:t>8d</w:t>
      </w:r>
      <w:r w:rsidR="00B476D1">
        <w:t xml:space="preserve"> and </w:t>
      </w:r>
      <w:r w:rsidR="00B476D1" w:rsidRPr="00B476D1">
        <w:rPr>
          <w:b/>
        </w:rPr>
        <w:t>8e</w:t>
      </w:r>
      <w:r w:rsidR="001C5891">
        <w:t>. T</w:t>
      </w:r>
      <w:r w:rsidR="001320AA">
        <w:t>his correlates with</w:t>
      </w:r>
      <w:r w:rsidR="001C5891">
        <w:t xml:space="preserve"> the </w:t>
      </w:r>
      <w:r w:rsidR="001C5891" w:rsidRPr="001C5891">
        <w:rPr>
          <w:i/>
        </w:rPr>
        <w:t>E. coli</w:t>
      </w:r>
      <w:r w:rsidR="001C5891" w:rsidRPr="001C5891">
        <w:t xml:space="preserve"> NR</w:t>
      </w:r>
      <w:r w:rsidR="00532328">
        <w:t>-</w:t>
      </w:r>
      <w:r w:rsidR="001C5891">
        <w:t>induced reduction of the nitro-group</w:t>
      </w:r>
      <w:r w:rsidR="00B476D1">
        <w:t xml:space="preserve"> in </w:t>
      </w:r>
      <w:r w:rsidR="001C5891">
        <w:t xml:space="preserve">both </w:t>
      </w:r>
      <w:r w:rsidR="00B476D1">
        <w:t xml:space="preserve">CB 1954 </w:t>
      </w:r>
      <w:r w:rsidR="00B476D1" w:rsidRPr="00B476D1">
        <w:rPr>
          <w:b/>
        </w:rPr>
        <w:t>1</w:t>
      </w:r>
      <w:r w:rsidR="00B476D1">
        <w:t xml:space="preserve"> and SN 23862 </w:t>
      </w:r>
      <w:r w:rsidR="00B476D1" w:rsidRPr="00B476D1">
        <w:rPr>
          <w:b/>
        </w:rPr>
        <w:t>5</w:t>
      </w:r>
      <w:r w:rsidR="001C5891">
        <w:t xml:space="preserve"> </w:t>
      </w:r>
      <w:r w:rsidR="00B476D1">
        <w:t>(</w:t>
      </w:r>
      <w:r w:rsidR="00B476D1" w:rsidRPr="000C6A68">
        <w:rPr>
          <w:i/>
        </w:rPr>
        <w:t xml:space="preserve">i.e. </w:t>
      </w:r>
      <w:r w:rsidR="001C5891">
        <w:t xml:space="preserve">the nitro-group </w:t>
      </w:r>
      <w:r w:rsidR="00B476D1" w:rsidRPr="000C6A68">
        <w:rPr>
          <w:i/>
        </w:rPr>
        <w:t>para</w:t>
      </w:r>
      <w:r w:rsidR="00B476D1">
        <w:t xml:space="preserve"> to the aziridine/mustard </w:t>
      </w:r>
      <w:r w:rsidR="000C6A68">
        <w:t>moieties</w:t>
      </w:r>
      <w:r w:rsidR="001C5891">
        <w:t xml:space="preserve"> is reduced</w:t>
      </w:r>
      <w:r w:rsidR="000C6A68">
        <w:t>)</w:t>
      </w:r>
      <w:r w:rsidR="001C5891">
        <w:t>.</w:t>
      </w:r>
    </w:p>
    <w:p w14:paraId="125D570B" w14:textId="77777777" w:rsidR="000C6A68" w:rsidRPr="006134CD" w:rsidRDefault="000C6A68" w:rsidP="006134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1829"/>
        <w:gridCol w:w="1778"/>
        <w:gridCol w:w="1830"/>
        <w:gridCol w:w="1779"/>
      </w:tblGrid>
      <w:tr w:rsidR="002B3D61" w:rsidRPr="006134CD" w14:paraId="146ADE57" w14:textId="77777777" w:rsidTr="00FC7AD6">
        <w:tc>
          <w:tcPr>
            <w:tcW w:w="1848" w:type="dxa"/>
          </w:tcPr>
          <w:p w14:paraId="21E10D0D" w14:textId="77777777" w:rsidR="002B3D61" w:rsidRPr="006134CD" w:rsidRDefault="002B3D61" w:rsidP="006134CD">
            <w:pPr>
              <w:spacing w:after="200" w:line="276" w:lineRule="auto"/>
            </w:pPr>
          </w:p>
        </w:tc>
        <w:tc>
          <w:tcPr>
            <w:tcW w:w="3696" w:type="dxa"/>
            <w:gridSpan w:val="2"/>
          </w:tcPr>
          <w:p w14:paraId="11708105" w14:textId="6BC139E3" w:rsidR="002B3D61" w:rsidRPr="006134CD" w:rsidRDefault="002B3D61" w:rsidP="002B3D61">
            <w:pPr>
              <w:spacing w:after="200" w:line="276" w:lineRule="auto"/>
              <w:jc w:val="center"/>
            </w:pPr>
            <w:r>
              <w:t xml:space="preserve">Human </w:t>
            </w:r>
            <w:r w:rsidRPr="006134CD">
              <w:t>NQO1</w:t>
            </w:r>
          </w:p>
        </w:tc>
        <w:tc>
          <w:tcPr>
            <w:tcW w:w="3698" w:type="dxa"/>
            <w:gridSpan w:val="2"/>
          </w:tcPr>
          <w:p w14:paraId="6D0C8583" w14:textId="2A41DE2F" w:rsidR="002B3D61" w:rsidRPr="006134CD" w:rsidRDefault="002B3D61" w:rsidP="002B3D61">
            <w:pPr>
              <w:spacing w:after="200" w:line="276" w:lineRule="auto"/>
              <w:jc w:val="center"/>
            </w:pPr>
            <w:r w:rsidRPr="00B63B0C">
              <w:rPr>
                <w:i/>
              </w:rPr>
              <w:t>E. coli</w:t>
            </w:r>
            <w:r>
              <w:t xml:space="preserve"> </w:t>
            </w:r>
            <w:r w:rsidRPr="006134CD">
              <w:t>NR</w:t>
            </w:r>
          </w:p>
        </w:tc>
      </w:tr>
      <w:tr w:rsidR="006134CD" w:rsidRPr="006134CD" w14:paraId="46AC49B7" w14:textId="77777777" w:rsidTr="007151EB">
        <w:tc>
          <w:tcPr>
            <w:tcW w:w="1848" w:type="dxa"/>
          </w:tcPr>
          <w:p w14:paraId="62E06ADF" w14:textId="77777777" w:rsidR="006134CD" w:rsidRPr="006134CD" w:rsidRDefault="006134CD" w:rsidP="006134CD">
            <w:pPr>
              <w:spacing w:after="200" w:line="276" w:lineRule="auto"/>
            </w:pPr>
            <w:r w:rsidRPr="006134CD">
              <w:t>Compound</w:t>
            </w:r>
          </w:p>
        </w:tc>
        <w:tc>
          <w:tcPr>
            <w:tcW w:w="1848" w:type="dxa"/>
          </w:tcPr>
          <w:p w14:paraId="5670E0DA" w14:textId="77777777" w:rsidR="006134CD" w:rsidRPr="006134CD" w:rsidRDefault="006134CD" w:rsidP="006134CD">
            <w:pPr>
              <w:spacing w:after="200" w:line="276" w:lineRule="auto"/>
            </w:pPr>
            <w:r w:rsidRPr="006134CD">
              <w:t>(µmol/min/mg)</w:t>
            </w:r>
          </w:p>
        </w:tc>
        <w:tc>
          <w:tcPr>
            <w:tcW w:w="1848" w:type="dxa"/>
          </w:tcPr>
          <w:p w14:paraId="436EDDFE" w14:textId="3BF570FD" w:rsidR="006134CD" w:rsidRPr="006134CD" w:rsidRDefault="006134CD" w:rsidP="006134CD">
            <w:pPr>
              <w:spacing w:after="200" w:line="276" w:lineRule="auto"/>
            </w:pPr>
            <w:r w:rsidRPr="006134CD">
              <w:t>Relative to CB 1954</w:t>
            </w:r>
            <w:r w:rsidR="002B3D61">
              <w:t xml:space="preserve"> </w:t>
            </w:r>
            <w:r w:rsidR="002B3D61" w:rsidRPr="002B3D61">
              <w:rPr>
                <w:b/>
              </w:rPr>
              <w:t>1</w:t>
            </w:r>
          </w:p>
        </w:tc>
        <w:tc>
          <w:tcPr>
            <w:tcW w:w="1849" w:type="dxa"/>
          </w:tcPr>
          <w:p w14:paraId="0F47281A" w14:textId="77777777" w:rsidR="006134CD" w:rsidRPr="006134CD" w:rsidRDefault="006134CD" w:rsidP="006134CD">
            <w:pPr>
              <w:spacing w:after="200" w:line="276" w:lineRule="auto"/>
            </w:pPr>
            <w:r w:rsidRPr="006134CD">
              <w:t>(µmol/min/mg)</w:t>
            </w:r>
          </w:p>
        </w:tc>
        <w:tc>
          <w:tcPr>
            <w:tcW w:w="1849" w:type="dxa"/>
          </w:tcPr>
          <w:p w14:paraId="37DA2438" w14:textId="51FC716D" w:rsidR="006134CD" w:rsidRPr="006134CD" w:rsidRDefault="006134CD" w:rsidP="006134CD">
            <w:pPr>
              <w:spacing w:after="200" w:line="276" w:lineRule="auto"/>
            </w:pPr>
            <w:r w:rsidRPr="006134CD">
              <w:t>Relative to CB 1954</w:t>
            </w:r>
            <w:r w:rsidR="002B3D61">
              <w:t xml:space="preserve"> </w:t>
            </w:r>
            <w:r w:rsidR="002B3D61" w:rsidRPr="002B3D61">
              <w:rPr>
                <w:b/>
              </w:rPr>
              <w:t>1</w:t>
            </w:r>
          </w:p>
        </w:tc>
      </w:tr>
      <w:tr w:rsidR="006134CD" w:rsidRPr="006134CD" w14:paraId="67AF6D61" w14:textId="77777777" w:rsidTr="007151EB">
        <w:tc>
          <w:tcPr>
            <w:tcW w:w="1848" w:type="dxa"/>
          </w:tcPr>
          <w:p w14:paraId="5A94D55C" w14:textId="77777777" w:rsidR="006134CD" w:rsidRPr="006134CD" w:rsidRDefault="006134CD" w:rsidP="006134CD">
            <w:pPr>
              <w:spacing w:after="200" w:line="276" w:lineRule="auto"/>
            </w:pPr>
            <w:r w:rsidRPr="006134CD">
              <w:t>CB 1954</w:t>
            </w:r>
            <w:r w:rsidR="005E4473">
              <w:t xml:space="preserve"> </w:t>
            </w:r>
            <w:r w:rsidR="005E4473" w:rsidRPr="005E4473">
              <w:rPr>
                <w:b/>
              </w:rPr>
              <w:t>1</w:t>
            </w:r>
          </w:p>
        </w:tc>
        <w:tc>
          <w:tcPr>
            <w:tcW w:w="1848" w:type="dxa"/>
            <w:vAlign w:val="center"/>
          </w:tcPr>
          <w:p w14:paraId="1ACA0922" w14:textId="65BEFE18" w:rsidR="006134CD" w:rsidRPr="003D7A6A" w:rsidRDefault="001B09DB" w:rsidP="006134CD">
            <w:pPr>
              <w:spacing w:after="200" w:line="276" w:lineRule="auto"/>
            </w:pPr>
            <w:r w:rsidRPr="003D7A6A">
              <w:t>0.0062</w:t>
            </w:r>
          </w:p>
        </w:tc>
        <w:tc>
          <w:tcPr>
            <w:tcW w:w="1848" w:type="dxa"/>
            <w:vAlign w:val="center"/>
          </w:tcPr>
          <w:p w14:paraId="53CD279B" w14:textId="77777777" w:rsidR="006134CD" w:rsidRPr="003D7A6A" w:rsidRDefault="006134CD" w:rsidP="006134CD">
            <w:pPr>
              <w:spacing w:after="200" w:line="276" w:lineRule="auto"/>
            </w:pPr>
            <w:r w:rsidRPr="003D7A6A">
              <w:t>1.000</w:t>
            </w:r>
          </w:p>
        </w:tc>
        <w:tc>
          <w:tcPr>
            <w:tcW w:w="1849" w:type="dxa"/>
            <w:vAlign w:val="center"/>
          </w:tcPr>
          <w:p w14:paraId="00753F60" w14:textId="77777777" w:rsidR="006134CD" w:rsidRPr="003D7A6A" w:rsidRDefault="006134CD" w:rsidP="006134CD">
            <w:pPr>
              <w:spacing w:after="200" w:line="276" w:lineRule="auto"/>
            </w:pPr>
            <w:r w:rsidRPr="003D7A6A">
              <w:t>1.860</w:t>
            </w:r>
          </w:p>
        </w:tc>
        <w:tc>
          <w:tcPr>
            <w:tcW w:w="1849" w:type="dxa"/>
            <w:vAlign w:val="center"/>
          </w:tcPr>
          <w:p w14:paraId="2D0D0617" w14:textId="77777777" w:rsidR="006134CD" w:rsidRPr="003D7A6A" w:rsidRDefault="006134CD" w:rsidP="006134CD">
            <w:pPr>
              <w:spacing w:after="200" w:line="276" w:lineRule="auto"/>
            </w:pPr>
            <w:r w:rsidRPr="003D7A6A">
              <w:t>1.000</w:t>
            </w:r>
          </w:p>
        </w:tc>
      </w:tr>
      <w:tr w:rsidR="006134CD" w:rsidRPr="006134CD" w14:paraId="68FDC69D" w14:textId="77777777" w:rsidTr="007151EB">
        <w:tc>
          <w:tcPr>
            <w:tcW w:w="1848" w:type="dxa"/>
          </w:tcPr>
          <w:p w14:paraId="50042374" w14:textId="51866EF1" w:rsidR="006134CD" w:rsidRPr="006134CD" w:rsidRDefault="006134CD" w:rsidP="002B3D61">
            <w:pPr>
              <w:spacing w:after="200" w:line="276" w:lineRule="auto"/>
            </w:pPr>
            <w:r w:rsidRPr="006134CD">
              <w:rPr>
                <w:b/>
              </w:rPr>
              <w:t xml:space="preserve">8a </w:t>
            </w:r>
          </w:p>
        </w:tc>
        <w:tc>
          <w:tcPr>
            <w:tcW w:w="1848" w:type="dxa"/>
            <w:vAlign w:val="center"/>
          </w:tcPr>
          <w:p w14:paraId="49D0E904" w14:textId="77777777" w:rsidR="006134CD" w:rsidRPr="003D7A6A" w:rsidRDefault="006134CD" w:rsidP="006134CD">
            <w:pPr>
              <w:spacing w:after="200" w:line="276" w:lineRule="auto"/>
            </w:pPr>
            <w:r w:rsidRPr="003D7A6A">
              <w:t>&lt;0.0001</w:t>
            </w:r>
          </w:p>
        </w:tc>
        <w:tc>
          <w:tcPr>
            <w:tcW w:w="1848" w:type="dxa"/>
            <w:vAlign w:val="center"/>
          </w:tcPr>
          <w:p w14:paraId="6E880A0E" w14:textId="77777777" w:rsidR="006134CD" w:rsidRPr="003D7A6A" w:rsidRDefault="006134CD" w:rsidP="006134CD">
            <w:pPr>
              <w:spacing w:after="200" w:line="276" w:lineRule="auto"/>
            </w:pPr>
            <w:r w:rsidRPr="003D7A6A">
              <w:t>&lt;0.01</w:t>
            </w:r>
          </w:p>
        </w:tc>
        <w:tc>
          <w:tcPr>
            <w:tcW w:w="1849" w:type="dxa"/>
            <w:vAlign w:val="center"/>
          </w:tcPr>
          <w:p w14:paraId="73F69F7D" w14:textId="77777777" w:rsidR="006134CD" w:rsidRPr="003D7A6A" w:rsidRDefault="0005317C" w:rsidP="006134CD">
            <w:pPr>
              <w:spacing w:after="200" w:line="276" w:lineRule="auto"/>
            </w:pPr>
            <w:r w:rsidRPr="003D7A6A">
              <w:t>&lt;</w:t>
            </w:r>
            <w:r w:rsidR="006134CD" w:rsidRPr="003D7A6A">
              <w:t>0.01</w:t>
            </w:r>
          </w:p>
        </w:tc>
        <w:tc>
          <w:tcPr>
            <w:tcW w:w="1849" w:type="dxa"/>
            <w:vAlign w:val="center"/>
          </w:tcPr>
          <w:p w14:paraId="57516789" w14:textId="77777777" w:rsidR="006134CD" w:rsidRPr="003D7A6A" w:rsidRDefault="0005317C" w:rsidP="006134CD">
            <w:pPr>
              <w:spacing w:after="200" w:line="276" w:lineRule="auto"/>
            </w:pPr>
            <w:r w:rsidRPr="003D7A6A">
              <w:t>&lt;</w:t>
            </w:r>
            <w:r w:rsidR="006134CD" w:rsidRPr="003D7A6A">
              <w:t>0.001</w:t>
            </w:r>
          </w:p>
        </w:tc>
      </w:tr>
      <w:tr w:rsidR="006134CD" w:rsidRPr="006134CD" w14:paraId="496AB720" w14:textId="77777777" w:rsidTr="007151EB">
        <w:tc>
          <w:tcPr>
            <w:tcW w:w="1848" w:type="dxa"/>
          </w:tcPr>
          <w:p w14:paraId="6AB958B0" w14:textId="2D5AE526" w:rsidR="006134CD" w:rsidRPr="006134CD" w:rsidRDefault="006134CD" w:rsidP="002B3D61">
            <w:pPr>
              <w:spacing w:after="200" w:line="276" w:lineRule="auto"/>
            </w:pPr>
            <w:r w:rsidRPr="006134CD">
              <w:rPr>
                <w:b/>
              </w:rPr>
              <w:t>8b</w:t>
            </w:r>
            <w:r w:rsidRPr="006134CD">
              <w:t xml:space="preserve"> </w:t>
            </w:r>
          </w:p>
        </w:tc>
        <w:tc>
          <w:tcPr>
            <w:tcW w:w="1848" w:type="dxa"/>
            <w:vAlign w:val="center"/>
          </w:tcPr>
          <w:p w14:paraId="638C481A" w14:textId="77777777" w:rsidR="006134CD" w:rsidRPr="003D7A6A" w:rsidRDefault="006134CD" w:rsidP="006134CD">
            <w:pPr>
              <w:spacing w:after="200" w:line="276" w:lineRule="auto"/>
            </w:pPr>
            <w:r w:rsidRPr="003D7A6A">
              <w:t>0.027</w:t>
            </w:r>
            <w:r w:rsidR="00580B71" w:rsidRPr="003D7A6A">
              <w:t>0</w:t>
            </w:r>
          </w:p>
        </w:tc>
        <w:tc>
          <w:tcPr>
            <w:tcW w:w="1848" w:type="dxa"/>
            <w:vAlign w:val="center"/>
          </w:tcPr>
          <w:p w14:paraId="17B70A6E" w14:textId="3478EC08" w:rsidR="006134CD" w:rsidRPr="003D7A6A" w:rsidRDefault="006134CD" w:rsidP="00196808">
            <w:pPr>
              <w:spacing w:after="200" w:line="276" w:lineRule="auto"/>
            </w:pPr>
            <w:r w:rsidRPr="003D7A6A">
              <w:t>4.</w:t>
            </w:r>
            <w:r w:rsidR="00196808" w:rsidRPr="003D7A6A">
              <w:t>355</w:t>
            </w:r>
          </w:p>
        </w:tc>
        <w:tc>
          <w:tcPr>
            <w:tcW w:w="1849" w:type="dxa"/>
            <w:vAlign w:val="center"/>
          </w:tcPr>
          <w:p w14:paraId="6417D089" w14:textId="77777777" w:rsidR="006134CD" w:rsidRPr="003D7A6A" w:rsidRDefault="006134CD" w:rsidP="006134CD">
            <w:pPr>
              <w:spacing w:after="200" w:line="276" w:lineRule="auto"/>
            </w:pPr>
            <w:r w:rsidRPr="003D7A6A">
              <w:t>0.166</w:t>
            </w:r>
          </w:p>
        </w:tc>
        <w:tc>
          <w:tcPr>
            <w:tcW w:w="1849" w:type="dxa"/>
            <w:vAlign w:val="center"/>
          </w:tcPr>
          <w:p w14:paraId="00A808EA" w14:textId="77777777" w:rsidR="006134CD" w:rsidRPr="003D7A6A" w:rsidRDefault="006134CD" w:rsidP="006134CD">
            <w:pPr>
              <w:spacing w:after="200" w:line="276" w:lineRule="auto"/>
            </w:pPr>
            <w:r w:rsidRPr="003D7A6A">
              <w:t>0.089</w:t>
            </w:r>
          </w:p>
        </w:tc>
      </w:tr>
      <w:tr w:rsidR="006134CD" w:rsidRPr="006134CD" w14:paraId="2B77AD90" w14:textId="77777777" w:rsidTr="007151EB">
        <w:tc>
          <w:tcPr>
            <w:tcW w:w="1848" w:type="dxa"/>
          </w:tcPr>
          <w:p w14:paraId="1E00105C" w14:textId="1315B53B" w:rsidR="006134CD" w:rsidRPr="006134CD" w:rsidRDefault="006134CD" w:rsidP="002B3D61">
            <w:pPr>
              <w:spacing w:after="200" w:line="276" w:lineRule="auto"/>
              <w:rPr>
                <w:b/>
              </w:rPr>
            </w:pPr>
            <w:r w:rsidRPr="006134CD">
              <w:rPr>
                <w:b/>
              </w:rPr>
              <w:t xml:space="preserve">8c </w:t>
            </w:r>
          </w:p>
        </w:tc>
        <w:tc>
          <w:tcPr>
            <w:tcW w:w="1848" w:type="dxa"/>
            <w:vAlign w:val="center"/>
          </w:tcPr>
          <w:p w14:paraId="03804E2D" w14:textId="77777777" w:rsidR="006134CD" w:rsidRPr="003D7A6A" w:rsidRDefault="006134CD" w:rsidP="006134CD">
            <w:pPr>
              <w:spacing w:after="200" w:line="276" w:lineRule="auto"/>
            </w:pPr>
            <w:r w:rsidRPr="003D7A6A">
              <w:t>0.0120</w:t>
            </w:r>
          </w:p>
        </w:tc>
        <w:tc>
          <w:tcPr>
            <w:tcW w:w="1848" w:type="dxa"/>
            <w:vAlign w:val="center"/>
          </w:tcPr>
          <w:p w14:paraId="6C43C307" w14:textId="6EE40270" w:rsidR="006134CD" w:rsidRPr="003D7A6A" w:rsidRDefault="00196808" w:rsidP="006134CD">
            <w:pPr>
              <w:spacing w:after="200" w:line="276" w:lineRule="auto"/>
            </w:pPr>
            <w:r w:rsidRPr="003D7A6A">
              <w:t>1.936</w:t>
            </w:r>
          </w:p>
        </w:tc>
        <w:tc>
          <w:tcPr>
            <w:tcW w:w="1849" w:type="dxa"/>
            <w:vAlign w:val="center"/>
          </w:tcPr>
          <w:p w14:paraId="7E9DC399" w14:textId="77777777" w:rsidR="006134CD" w:rsidRPr="003D7A6A" w:rsidRDefault="006134CD" w:rsidP="006134CD">
            <w:pPr>
              <w:spacing w:after="200" w:line="276" w:lineRule="auto"/>
            </w:pPr>
            <w:r w:rsidRPr="003D7A6A">
              <w:t>0.106</w:t>
            </w:r>
          </w:p>
        </w:tc>
        <w:tc>
          <w:tcPr>
            <w:tcW w:w="1849" w:type="dxa"/>
            <w:vAlign w:val="center"/>
          </w:tcPr>
          <w:p w14:paraId="0565BFB1" w14:textId="77777777" w:rsidR="006134CD" w:rsidRPr="003D7A6A" w:rsidRDefault="006134CD" w:rsidP="006134CD">
            <w:pPr>
              <w:spacing w:after="200" w:line="276" w:lineRule="auto"/>
            </w:pPr>
            <w:r w:rsidRPr="003D7A6A">
              <w:t>0.057</w:t>
            </w:r>
          </w:p>
        </w:tc>
      </w:tr>
      <w:tr w:rsidR="006134CD" w:rsidRPr="006134CD" w14:paraId="536E2A47" w14:textId="77777777" w:rsidTr="007151EB">
        <w:tc>
          <w:tcPr>
            <w:tcW w:w="1848" w:type="dxa"/>
          </w:tcPr>
          <w:p w14:paraId="294A32FF" w14:textId="42D6446B" w:rsidR="006134CD" w:rsidRPr="006134CD" w:rsidRDefault="006134CD" w:rsidP="002B3D61">
            <w:pPr>
              <w:spacing w:after="200" w:line="276" w:lineRule="auto"/>
              <w:rPr>
                <w:b/>
              </w:rPr>
            </w:pPr>
            <w:r w:rsidRPr="006134CD">
              <w:rPr>
                <w:b/>
              </w:rPr>
              <w:t xml:space="preserve">8d </w:t>
            </w:r>
          </w:p>
        </w:tc>
        <w:tc>
          <w:tcPr>
            <w:tcW w:w="1848" w:type="dxa"/>
            <w:vAlign w:val="center"/>
          </w:tcPr>
          <w:p w14:paraId="1E9337A1" w14:textId="77777777" w:rsidR="006134CD" w:rsidRPr="003D7A6A" w:rsidRDefault="006134CD" w:rsidP="006134CD">
            <w:pPr>
              <w:spacing w:after="200" w:line="276" w:lineRule="auto"/>
            </w:pPr>
            <w:r w:rsidRPr="003D7A6A">
              <w:t>0.0177</w:t>
            </w:r>
          </w:p>
        </w:tc>
        <w:tc>
          <w:tcPr>
            <w:tcW w:w="1848" w:type="dxa"/>
            <w:vAlign w:val="center"/>
          </w:tcPr>
          <w:p w14:paraId="10C9F0E9" w14:textId="72C3C263" w:rsidR="006134CD" w:rsidRPr="003D7A6A" w:rsidRDefault="00196808" w:rsidP="006134CD">
            <w:pPr>
              <w:spacing w:after="200" w:line="276" w:lineRule="auto"/>
            </w:pPr>
            <w:r w:rsidRPr="003D7A6A">
              <w:t>2.855</w:t>
            </w:r>
          </w:p>
        </w:tc>
        <w:tc>
          <w:tcPr>
            <w:tcW w:w="1849" w:type="dxa"/>
            <w:vAlign w:val="center"/>
          </w:tcPr>
          <w:p w14:paraId="2E2BD0D2" w14:textId="77777777" w:rsidR="006134CD" w:rsidRPr="003D7A6A" w:rsidRDefault="006134CD" w:rsidP="00F574D5">
            <w:pPr>
              <w:spacing w:after="200" w:line="276" w:lineRule="auto"/>
            </w:pPr>
            <w:r w:rsidRPr="003D7A6A">
              <w:t>&lt;0.01</w:t>
            </w:r>
          </w:p>
        </w:tc>
        <w:tc>
          <w:tcPr>
            <w:tcW w:w="1849" w:type="dxa"/>
            <w:vAlign w:val="center"/>
          </w:tcPr>
          <w:p w14:paraId="61F6C847" w14:textId="77777777" w:rsidR="006134CD" w:rsidRPr="003D7A6A" w:rsidRDefault="006134CD" w:rsidP="00F574D5">
            <w:pPr>
              <w:spacing w:after="200" w:line="276" w:lineRule="auto"/>
            </w:pPr>
            <w:r w:rsidRPr="003D7A6A">
              <w:t>&lt;0.001</w:t>
            </w:r>
          </w:p>
        </w:tc>
      </w:tr>
      <w:tr w:rsidR="006134CD" w:rsidRPr="006134CD" w14:paraId="445BBE83" w14:textId="77777777" w:rsidTr="007151EB">
        <w:tc>
          <w:tcPr>
            <w:tcW w:w="1848" w:type="dxa"/>
          </w:tcPr>
          <w:p w14:paraId="4458C181" w14:textId="310B8840" w:rsidR="006134CD" w:rsidRPr="006134CD" w:rsidRDefault="006134CD" w:rsidP="002B3D61">
            <w:pPr>
              <w:spacing w:after="200" w:line="276" w:lineRule="auto"/>
            </w:pPr>
            <w:r w:rsidRPr="006134CD">
              <w:rPr>
                <w:b/>
              </w:rPr>
              <w:t xml:space="preserve">8e </w:t>
            </w:r>
          </w:p>
        </w:tc>
        <w:tc>
          <w:tcPr>
            <w:tcW w:w="1848" w:type="dxa"/>
            <w:vAlign w:val="center"/>
          </w:tcPr>
          <w:p w14:paraId="1C04584B" w14:textId="77777777" w:rsidR="006134CD" w:rsidRPr="003D7A6A" w:rsidRDefault="006134CD" w:rsidP="006134CD">
            <w:pPr>
              <w:spacing w:after="200" w:line="276" w:lineRule="auto"/>
            </w:pPr>
            <w:r w:rsidRPr="003D7A6A">
              <w:t>0.0033</w:t>
            </w:r>
          </w:p>
        </w:tc>
        <w:tc>
          <w:tcPr>
            <w:tcW w:w="1848" w:type="dxa"/>
            <w:vAlign w:val="center"/>
          </w:tcPr>
          <w:p w14:paraId="6DBBF455" w14:textId="319514CF" w:rsidR="006134CD" w:rsidRPr="003D7A6A" w:rsidRDefault="00196808" w:rsidP="006134CD">
            <w:pPr>
              <w:spacing w:after="200" w:line="276" w:lineRule="auto"/>
            </w:pPr>
            <w:r w:rsidRPr="003D7A6A">
              <w:t>0.532</w:t>
            </w:r>
          </w:p>
        </w:tc>
        <w:tc>
          <w:tcPr>
            <w:tcW w:w="1849" w:type="dxa"/>
            <w:vAlign w:val="center"/>
          </w:tcPr>
          <w:p w14:paraId="5E995ED5" w14:textId="77777777" w:rsidR="006134CD" w:rsidRPr="003D7A6A" w:rsidRDefault="006134CD" w:rsidP="006134CD">
            <w:pPr>
              <w:spacing w:after="200" w:line="276" w:lineRule="auto"/>
            </w:pPr>
            <w:r w:rsidRPr="003D7A6A">
              <w:t>0.254</w:t>
            </w:r>
          </w:p>
        </w:tc>
        <w:tc>
          <w:tcPr>
            <w:tcW w:w="1849" w:type="dxa"/>
            <w:vAlign w:val="center"/>
          </w:tcPr>
          <w:p w14:paraId="3CD7F842" w14:textId="2596B17F" w:rsidR="006134CD" w:rsidRPr="003D7A6A" w:rsidRDefault="00196808" w:rsidP="006134CD">
            <w:pPr>
              <w:spacing w:after="200" w:line="276" w:lineRule="auto"/>
            </w:pPr>
            <w:r w:rsidRPr="003D7A6A">
              <w:t>0.137</w:t>
            </w:r>
          </w:p>
        </w:tc>
      </w:tr>
    </w:tbl>
    <w:p w14:paraId="732F16F9" w14:textId="16EB3512" w:rsidR="00D960F0" w:rsidRDefault="002B3D61" w:rsidP="006134CD">
      <w:pPr>
        <w:rPr>
          <w:color w:val="FF0000"/>
        </w:rPr>
      </w:pPr>
      <w:r>
        <w:rPr>
          <w:color w:val="FF0000"/>
        </w:rPr>
        <w:t xml:space="preserve"> </w:t>
      </w:r>
    </w:p>
    <w:p w14:paraId="0F8F51A6" w14:textId="2B8BC811" w:rsidR="00D66290" w:rsidRDefault="000C4607" w:rsidP="00D66290">
      <w:r w:rsidRPr="000C4607">
        <w:rPr>
          <w:b/>
        </w:rPr>
        <w:t>Table 1</w:t>
      </w:r>
      <w:r>
        <w:t xml:space="preserve">. </w:t>
      </w:r>
      <w:r w:rsidR="001A7BF6">
        <w:t xml:space="preserve">Specific activities </w:t>
      </w:r>
      <w:r>
        <w:t xml:space="preserve">of CB 1954 </w:t>
      </w:r>
      <w:r w:rsidRPr="000C4607">
        <w:rPr>
          <w:b/>
        </w:rPr>
        <w:t>1</w:t>
      </w:r>
      <w:r>
        <w:t xml:space="preserve"> and prodrugs </w:t>
      </w:r>
      <w:r w:rsidRPr="000C4607">
        <w:rPr>
          <w:b/>
        </w:rPr>
        <w:t>8</w:t>
      </w:r>
      <w:r w:rsidR="002B3D61">
        <w:rPr>
          <w:b/>
        </w:rPr>
        <w:t>a-e</w:t>
      </w:r>
      <w:r>
        <w:t>.</w:t>
      </w:r>
    </w:p>
    <w:p w14:paraId="002D9363" w14:textId="13C1AFA4" w:rsidR="00A2688A" w:rsidRPr="003D7A6A" w:rsidRDefault="003F1CA6" w:rsidP="002B3D61">
      <w:pPr>
        <w:pStyle w:val="normal-2-p0"/>
        <w:spacing w:line="276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val="en-US" w:eastAsia="zh-CN"/>
        </w:rPr>
      </w:pPr>
      <w:r w:rsidRPr="007576B0">
        <w:rPr>
          <w:rFonts w:asciiTheme="minorHAnsi" w:eastAsiaTheme="minorEastAsia" w:hAnsiTheme="minorHAnsi" w:cstheme="minorBidi"/>
          <w:color w:val="auto"/>
          <w:sz w:val="22"/>
          <w:szCs w:val="22"/>
          <w:lang w:val="en-US" w:eastAsia="zh-CN"/>
        </w:rPr>
        <w:t>In order to assess t</w:t>
      </w:r>
      <w:r w:rsidR="005E4473" w:rsidRPr="007576B0">
        <w:rPr>
          <w:rFonts w:asciiTheme="minorHAnsi" w:eastAsiaTheme="minorEastAsia" w:hAnsiTheme="minorHAnsi" w:cstheme="minorBidi"/>
          <w:color w:val="auto"/>
          <w:sz w:val="22"/>
          <w:szCs w:val="22"/>
          <w:lang w:val="en-US" w:eastAsia="zh-CN"/>
        </w:rPr>
        <w:t>he cytotoxic</w:t>
      </w:r>
      <w:r w:rsidR="003120BA" w:rsidRPr="007576B0">
        <w:rPr>
          <w:rFonts w:asciiTheme="minorHAnsi" w:eastAsiaTheme="minorEastAsia" w:hAnsiTheme="minorHAnsi" w:cstheme="minorBidi"/>
          <w:color w:val="auto"/>
          <w:sz w:val="22"/>
          <w:szCs w:val="22"/>
          <w:lang w:val="en-US" w:eastAsia="zh-CN"/>
        </w:rPr>
        <w:t>ities</w:t>
      </w:r>
      <w:r w:rsidR="005E4473" w:rsidRPr="007576B0">
        <w:rPr>
          <w:rFonts w:asciiTheme="minorHAnsi" w:eastAsiaTheme="minorEastAsia" w:hAnsiTheme="minorHAnsi" w:cstheme="minorBidi"/>
          <w:color w:val="auto"/>
          <w:sz w:val="22"/>
          <w:szCs w:val="22"/>
          <w:lang w:val="en-US" w:eastAsia="zh-CN"/>
        </w:rPr>
        <w:t xml:space="preserve"> of the potential prodrugs </w:t>
      </w:r>
      <w:r w:rsidR="005E4473" w:rsidRPr="002B3D61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en-US" w:eastAsia="zh-CN"/>
        </w:rPr>
        <w:t>8</w:t>
      </w:r>
      <w:r w:rsidR="002B3D61">
        <w:rPr>
          <w:rFonts w:asciiTheme="minorHAnsi" w:eastAsiaTheme="minorEastAsia" w:hAnsiTheme="minorHAnsi" w:cstheme="minorBidi"/>
          <w:b/>
          <w:color w:val="auto"/>
          <w:sz w:val="22"/>
          <w:szCs w:val="22"/>
          <w:lang w:val="en-US" w:eastAsia="zh-CN"/>
        </w:rPr>
        <w:t>a-e</w:t>
      </w:r>
      <w:r w:rsidRPr="007576B0">
        <w:rPr>
          <w:rFonts w:asciiTheme="minorHAnsi" w:eastAsiaTheme="minorEastAsia" w:hAnsiTheme="minorHAnsi" w:cstheme="minorBidi"/>
          <w:color w:val="auto"/>
          <w:sz w:val="22"/>
          <w:szCs w:val="22"/>
          <w:lang w:val="en-US" w:eastAsia="zh-CN"/>
        </w:rPr>
        <w:t>, their IC</w:t>
      </w:r>
      <w:r w:rsidRPr="002B3D61">
        <w:rPr>
          <w:rFonts w:asciiTheme="minorHAnsi" w:eastAsiaTheme="minorEastAsia" w:hAnsiTheme="minorHAnsi" w:cstheme="minorBidi"/>
          <w:color w:val="auto"/>
          <w:sz w:val="22"/>
          <w:szCs w:val="22"/>
          <w:vertAlign w:val="subscript"/>
          <w:lang w:val="en-US" w:eastAsia="zh-CN"/>
        </w:rPr>
        <w:t>50</w:t>
      </w:r>
      <w:r w:rsidRPr="007576B0">
        <w:rPr>
          <w:rFonts w:asciiTheme="minorHAnsi" w:eastAsiaTheme="minorEastAsia" w:hAnsiTheme="minorHAnsi" w:cstheme="minorBidi"/>
          <w:color w:val="auto"/>
          <w:sz w:val="22"/>
          <w:szCs w:val="22"/>
          <w:lang w:val="en-US" w:eastAsia="zh-CN"/>
        </w:rPr>
        <w:t xml:space="preserve"> values</w:t>
      </w:r>
      <w:r w:rsidR="003120BA" w:rsidRPr="007576B0">
        <w:rPr>
          <w:rFonts w:asciiTheme="minorHAnsi" w:eastAsiaTheme="minorEastAsia" w:hAnsiTheme="minorHAnsi" w:cstheme="minorBidi"/>
          <w:color w:val="auto"/>
          <w:sz w:val="22"/>
          <w:szCs w:val="22"/>
          <w:lang w:val="en-US" w:eastAsia="zh-CN"/>
        </w:rPr>
        <w:t xml:space="preserve"> </w:t>
      </w:r>
      <w:r w:rsidRPr="007576B0">
        <w:rPr>
          <w:rFonts w:asciiTheme="minorHAnsi" w:eastAsiaTheme="minorEastAsia" w:hAnsiTheme="minorHAnsi" w:cstheme="minorBidi"/>
          <w:color w:val="auto"/>
          <w:sz w:val="22"/>
          <w:szCs w:val="22"/>
          <w:lang w:val="en-US" w:eastAsia="zh-CN"/>
        </w:rPr>
        <w:t xml:space="preserve">were determined </w:t>
      </w:r>
      <w:r w:rsidR="005E4473" w:rsidRPr="007576B0">
        <w:rPr>
          <w:rFonts w:asciiTheme="minorHAnsi" w:eastAsiaTheme="minorEastAsia" w:hAnsiTheme="minorHAnsi" w:cstheme="minorBidi"/>
          <w:color w:val="auto"/>
          <w:sz w:val="22"/>
          <w:szCs w:val="22"/>
          <w:lang w:val="en-US" w:eastAsia="zh-CN"/>
        </w:rPr>
        <w:t xml:space="preserve">against </w:t>
      </w:r>
      <w:r w:rsidR="00054714" w:rsidRPr="007576B0">
        <w:rPr>
          <w:rFonts w:asciiTheme="minorHAnsi" w:eastAsiaTheme="minorEastAsia" w:hAnsiTheme="minorHAnsi" w:cstheme="minorBidi"/>
          <w:color w:val="auto"/>
          <w:sz w:val="22"/>
          <w:szCs w:val="22"/>
          <w:lang w:val="en-US" w:eastAsia="zh-CN"/>
        </w:rPr>
        <w:t>constructed</w:t>
      </w:r>
      <w:r w:rsidR="005E4473" w:rsidRPr="007576B0">
        <w:rPr>
          <w:rFonts w:asciiTheme="minorHAnsi" w:eastAsiaTheme="minorEastAsia" w:hAnsiTheme="minorHAnsi" w:cstheme="minorBidi"/>
          <w:color w:val="auto"/>
          <w:sz w:val="22"/>
          <w:szCs w:val="22"/>
          <w:lang w:val="en-US" w:eastAsia="zh-CN"/>
        </w:rPr>
        <w:t xml:space="preserve"> cell-lines</w:t>
      </w:r>
      <w:r w:rsidR="00054714" w:rsidRPr="007576B0">
        <w:rPr>
          <w:rFonts w:asciiTheme="minorHAnsi" w:eastAsiaTheme="minorEastAsia" w:hAnsiTheme="minorHAnsi" w:cstheme="minorBidi"/>
          <w:color w:val="auto"/>
          <w:sz w:val="22"/>
          <w:szCs w:val="22"/>
          <w:lang w:val="en-US" w:eastAsia="zh-CN"/>
        </w:rPr>
        <w:t xml:space="preserve"> that expressed the relevant enzyme against a null background</w:t>
      </w:r>
      <w:r w:rsidR="00E6708C" w:rsidRPr="007576B0">
        <w:rPr>
          <w:rFonts w:asciiTheme="minorHAnsi" w:eastAsiaTheme="minorEastAsia" w:hAnsiTheme="minorHAnsi" w:cstheme="minorBidi"/>
          <w:color w:val="auto"/>
          <w:sz w:val="22"/>
          <w:szCs w:val="22"/>
          <w:lang w:val="en-US" w:eastAsia="zh-CN"/>
        </w:rPr>
        <w:t xml:space="preserve"> using a conventional sulforhodamine-B (SRB) assay</w:t>
      </w:r>
      <w:r w:rsidR="002B3D61">
        <w:rPr>
          <w:rFonts w:asciiTheme="minorHAnsi" w:eastAsiaTheme="minorEastAsia" w:hAnsiTheme="minorHAnsi" w:cstheme="minorBidi"/>
          <w:color w:val="auto"/>
          <w:sz w:val="22"/>
          <w:szCs w:val="22"/>
          <w:lang w:val="en-US" w:eastAsia="zh-CN"/>
        </w:rPr>
        <w:t>.</w:t>
      </w:r>
      <w:r w:rsidR="002A0372">
        <w:rPr>
          <w:rFonts w:asciiTheme="minorHAnsi" w:eastAsiaTheme="minorEastAsia" w:hAnsiTheme="minorHAnsi" w:cstheme="minorBidi"/>
          <w:color w:val="auto"/>
          <w:sz w:val="22"/>
          <w:szCs w:val="22"/>
          <w:vertAlign w:val="superscript"/>
          <w:lang w:val="en-US" w:eastAsia="zh-CN"/>
        </w:rPr>
        <w:t>35</w:t>
      </w:r>
      <w:r w:rsidR="00054714" w:rsidRPr="007576B0">
        <w:rPr>
          <w:rFonts w:asciiTheme="minorHAnsi" w:eastAsiaTheme="minorEastAsia" w:hAnsiTheme="minorHAnsi" w:cstheme="minorBidi"/>
          <w:color w:val="auto"/>
          <w:sz w:val="22"/>
          <w:szCs w:val="22"/>
          <w:lang w:val="en-US" w:eastAsia="zh-CN"/>
        </w:rPr>
        <w:t xml:space="preserve"> </w:t>
      </w:r>
      <w:r w:rsidR="002B3D61">
        <w:rPr>
          <w:rFonts w:asciiTheme="minorHAnsi" w:eastAsiaTheme="minorEastAsia" w:hAnsiTheme="minorHAnsi" w:cstheme="minorBidi"/>
          <w:color w:val="auto"/>
          <w:sz w:val="22"/>
          <w:szCs w:val="22"/>
          <w:lang w:val="en-US" w:eastAsia="zh-CN"/>
        </w:rPr>
        <w:t xml:space="preserve"> </w:t>
      </w:r>
      <w:r w:rsidR="0092395E" w:rsidRPr="002B3D61">
        <w:rPr>
          <w:rFonts w:asciiTheme="minorHAnsi" w:hAnsiTheme="minorHAnsi"/>
          <w:sz w:val="22"/>
          <w:szCs w:val="22"/>
        </w:rPr>
        <w:t>Examination of the cytotoxicity d</w:t>
      </w:r>
      <w:r w:rsidR="00371C75" w:rsidRPr="002B3D61">
        <w:rPr>
          <w:rFonts w:asciiTheme="minorHAnsi" w:hAnsiTheme="minorHAnsi"/>
          <w:sz w:val="22"/>
          <w:szCs w:val="22"/>
        </w:rPr>
        <w:t xml:space="preserve">ata </w:t>
      </w:r>
      <w:r w:rsidR="00E6708C" w:rsidRPr="002B3D61">
        <w:rPr>
          <w:rFonts w:asciiTheme="minorHAnsi" w:hAnsiTheme="minorHAnsi"/>
          <w:sz w:val="22"/>
          <w:szCs w:val="22"/>
        </w:rPr>
        <w:t>(Table 2)</w:t>
      </w:r>
      <w:r w:rsidR="007576B0" w:rsidRPr="002B3D61">
        <w:rPr>
          <w:rFonts w:asciiTheme="minorHAnsi" w:hAnsiTheme="minorHAnsi"/>
          <w:sz w:val="22"/>
          <w:szCs w:val="22"/>
        </w:rPr>
        <w:t xml:space="preserve"> </w:t>
      </w:r>
      <w:r w:rsidR="00371C75" w:rsidRPr="002B3D61">
        <w:rPr>
          <w:rFonts w:asciiTheme="minorHAnsi" w:hAnsiTheme="minorHAnsi"/>
          <w:sz w:val="22"/>
          <w:szCs w:val="22"/>
        </w:rPr>
        <w:t>revealed</w:t>
      </w:r>
      <w:r w:rsidR="00CD5118" w:rsidRPr="002B3D61">
        <w:rPr>
          <w:rFonts w:asciiTheme="minorHAnsi" w:hAnsiTheme="minorHAnsi"/>
          <w:sz w:val="22"/>
          <w:szCs w:val="22"/>
        </w:rPr>
        <w:t xml:space="preserve"> that</w:t>
      </w:r>
      <w:r w:rsidR="0092395E" w:rsidRPr="002B3D61">
        <w:rPr>
          <w:rFonts w:asciiTheme="minorHAnsi" w:hAnsiTheme="minorHAnsi"/>
          <w:sz w:val="22"/>
          <w:szCs w:val="22"/>
        </w:rPr>
        <w:t xml:space="preserve"> prodrugs </w:t>
      </w:r>
      <w:r w:rsidR="0092395E" w:rsidRPr="002B3D61">
        <w:rPr>
          <w:rFonts w:asciiTheme="minorHAnsi" w:hAnsiTheme="minorHAnsi"/>
          <w:b/>
          <w:sz w:val="22"/>
          <w:szCs w:val="22"/>
        </w:rPr>
        <w:t>8a</w:t>
      </w:r>
      <w:r w:rsidR="00CD5118" w:rsidRPr="002B3D61">
        <w:rPr>
          <w:rFonts w:asciiTheme="minorHAnsi" w:hAnsiTheme="minorHAnsi"/>
          <w:sz w:val="22"/>
          <w:szCs w:val="22"/>
        </w:rPr>
        <w:t xml:space="preserve"> and</w:t>
      </w:r>
      <w:r w:rsidR="0092395E" w:rsidRPr="002B3D61">
        <w:rPr>
          <w:rFonts w:asciiTheme="minorHAnsi" w:hAnsiTheme="minorHAnsi"/>
          <w:sz w:val="22"/>
          <w:szCs w:val="22"/>
        </w:rPr>
        <w:t xml:space="preserve"> </w:t>
      </w:r>
      <w:r w:rsidR="0092395E" w:rsidRPr="002B3D61">
        <w:rPr>
          <w:rFonts w:asciiTheme="minorHAnsi" w:hAnsiTheme="minorHAnsi"/>
          <w:b/>
          <w:sz w:val="22"/>
          <w:szCs w:val="22"/>
        </w:rPr>
        <w:t>8c</w:t>
      </w:r>
      <w:r w:rsidR="0092395E" w:rsidRPr="002B3D61">
        <w:rPr>
          <w:rFonts w:asciiTheme="minorHAnsi" w:hAnsiTheme="minorHAnsi"/>
          <w:sz w:val="22"/>
          <w:szCs w:val="22"/>
        </w:rPr>
        <w:t xml:space="preserve"> </w:t>
      </w:r>
      <w:r w:rsidR="00CD5118" w:rsidRPr="002B3D61">
        <w:rPr>
          <w:rFonts w:asciiTheme="minorHAnsi" w:hAnsiTheme="minorHAnsi"/>
          <w:sz w:val="22"/>
          <w:szCs w:val="22"/>
        </w:rPr>
        <w:t xml:space="preserve">exhibited </w:t>
      </w:r>
      <w:r w:rsidR="0092395E" w:rsidRPr="002B3D61">
        <w:rPr>
          <w:rFonts w:asciiTheme="minorHAnsi" w:hAnsiTheme="minorHAnsi"/>
          <w:sz w:val="22"/>
          <w:szCs w:val="22"/>
        </w:rPr>
        <w:t>broadly similar IC</w:t>
      </w:r>
      <w:r w:rsidR="0092395E" w:rsidRPr="002B3D61">
        <w:rPr>
          <w:rFonts w:asciiTheme="minorHAnsi" w:hAnsiTheme="minorHAnsi"/>
          <w:sz w:val="22"/>
          <w:szCs w:val="22"/>
          <w:vertAlign w:val="subscript"/>
        </w:rPr>
        <w:t>50</w:t>
      </w:r>
      <w:r w:rsidR="0092395E" w:rsidRPr="002B3D61">
        <w:rPr>
          <w:rFonts w:asciiTheme="minorHAnsi" w:hAnsiTheme="minorHAnsi"/>
          <w:sz w:val="22"/>
          <w:szCs w:val="22"/>
        </w:rPr>
        <w:t xml:space="preserve"> values across the f</w:t>
      </w:r>
      <w:r w:rsidR="00CD5118" w:rsidRPr="002B3D61">
        <w:rPr>
          <w:rFonts w:asciiTheme="minorHAnsi" w:hAnsiTheme="minorHAnsi"/>
          <w:sz w:val="22"/>
          <w:szCs w:val="22"/>
        </w:rPr>
        <w:t>our cell-lines and that there was</w:t>
      </w:r>
      <w:r w:rsidR="0092395E" w:rsidRPr="002B3D61">
        <w:rPr>
          <w:rFonts w:asciiTheme="minorHAnsi" w:hAnsiTheme="minorHAnsi"/>
          <w:sz w:val="22"/>
          <w:szCs w:val="22"/>
        </w:rPr>
        <w:t xml:space="preserve"> no clear differentiation between the control line and the three</w:t>
      </w:r>
      <w:r w:rsidR="00215A21" w:rsidRPr="002B3D61">
        <w:rPr>
          <w:rFonts w:asciiTheme="minorHAnsi" w:hAnsiTheme="minorHAnsi"/>
          <w:sz w:val="22"/>
          <w:szCs w:val="22"/>
        </w:rPr>
        <w:t xml:space="preserve"> nitroreductase-expressing cell-</w:t>
      </w:r>
      <w:r w:rsidR="0092395E" w:rsidRPr="002B3D61">
        <w:rPr>
          <w:rFonts w:asciiTheme="minorHAnsi" w:hAnsiTheme="minorHAnsi"/>
          <w:sz w:val="22"/>
          <w:szCs w:val="22"/>
        </w:rPr>
        <w:t xml:space="preserve">lines. </w:t>
      </w:r>
      <w:r w:rsidR="00CD5118" w:rsidRPr="002B3D61">
        <w:rPr>
          <w:rFonts w:asciiTheme="minorHAnsi" w:hAnsiTheme="minorHAnsi"/>
          <w:sz w:val="22"/>
          <w:szCs w:val="22"/>
        </w:rPr>
        <w:t>Additionally, both compounds</w:t>
      </w:r>
      <w:r w:rsidR="00764C77" w:rsidRPr="002B3D61">
        <w:rPr>
          <w:rFonts w:asciiTheme="minorHAnsi" w:hAnsiTheme="minorHAnsi"/>
          <w:sz w:val="22"/>
          <w:szCs w:val="22"/>
        </w:rPr>
        <w:t xml:space="preserve"> display</w:t>
      </w:r>
      <w:r w:rsidR="00CD5118" w:rsidRPr="002B3D61">
        <w:rPr>
          <w:rFonts w:asciiTheme="minorHAnsi" w:hAnsiTheme="minorHAnsi"/>
          <w:sz w:val="22"/>
          <w:szCs w:val="22"/>
        </w:rPr>
        <w:t>ed</w:t>
      </w:r>
      <w:r w:rsidR="00764C77" w:rsidRPr="002B3D61">
        <w:rPr>
          <w:rFonts w:asciiTheme="minorHAnsi" w:hAnsiTheme="minorHAnsi"/>
          <w:sz w:val="22"/>
          <w:szCs w:val="22"/>
        </w:rPr>
        <w:t xml:space="preserve"> a greater cytotoxicity in the control cell-line than CB 1954 </w:t>
      </w:r>
      <w:r w:rsidR="00764C77" w:rsidRPr="002B3D61">
        <w:rPr>
          <w:rFonts w:asciiTheme="minorHAnsi" w:hAnsiTheme="minorHAnsi"/>
          <w:b/>
          <w:sz w:val="22"/>
          <w:szCs w:val="22"/>
        </w:rPr>
        <w:t>1</w:t>
      </w:r>
      <w:r w:rsidR="00764C77" w:rsidRPr="002B3D61">
        <w:rPr>
          <w:rFonts w:asciiTheme="minorHAnsi" w:hAnsiTheme="minorHAnsi"/>
          <w:sz w:val="22"/>
          <w:szCs w:val="22"/>
        </w:rPr>
        <w:t xml:space="preserve">. </w:t>
      </w:r>
      <w:r w:rsidR="0092395E" w:rsidRPr="002B3D61">
        <w:rPr>
          <w:rFonts w:asciiTheme="minorHAnsi" w:hAnsiTheme="minorHAnsi"/>
          <w:sz w:val="22"/>
          <w:szCs w:val="22"/>
        </w:rPr>
        <w:t>Th</w:t>
      </w:r>
      <w:r w:rsidR="00764C77" w:rsidRPr="002B3D61">
        <w:rPr>
          <w:rFonts w:asciiTheme="minorHAnsi" w:hAnsiTheme="minorHAnsi"/>
          <w:sz w:val="22"/>
          <w:szCs w:val="22"/>
        </w:rPr>
        <w:t>ese observations</w:t>
      </w:r>
      <w:r w:rsidR="0092395E" w:rsidRPr="002B3D61">
        <w:rPr>
          <w:rFonts w:asciiTheme="minorHAnsi" w:hAnsiTheme="minorHAnsi"/>
          <w:sz w:val="22"/>
          <w:szCs w:val="22"/>
        </w:rPr>
        <w:t xml:space="preserve"> </w:t>
      </w:r>
      <w:r w:rsidR="00764C77" w:rsidRPr="002B3D61">
        <w:rPr>
          <w:rFonts w:asciiTheme="minorHAnsi" w:hAnsiTheme="minorHAnsi"/>
          <w:sz w:val="22"/>
          <w:szCs w:val="22"/>
        </w:rPr>
        <w:t>suggest</w:t>
      </w:r>
      <w:r w:rsidR="00CD5118" w:rsidRPr="002B3D61">
        <w:rPr>
          <w:rFonts w:asciiTheme="minorHAnsi" w:hAnsiTheme="minorHAnsi"/>
          <w:sz w:val="22"/>
          <w:szCs w:val="22"/>
        </w:rPr>
        <w:t>ed</w:t>
      </w:r>
      <w:r w:rsidR="00764C77" w:rsidRPr="002B3D61">
        <w:rPr>
          <w:rFonts w:asciiTheme="minorHAnsi" w:hAnsiTheme="minorHAnsi"/>
          <w:sz w:val="22"/>
          <w:szCs w:val="22"/>
        </w:rPr>
        <w:t xml:space="preserve"> that </w:t>
      </w:r>
      <w:r w:rsidR="0092395E" w:rsidRPr="002B3D61">
        <w:rPr>
          <w:rFonts w:asciiTheme="minorHAnsi" w:hAnsiTheme="minorHAnsi"/>
          <w:sz w:val="22"/>
          <w:szCs w:val="22"/>
        </w:rPr>
        <w:t xml:space="preserve">compounds </w:t>
      </w:r>
      <w:r w:rsidR="00764C77" w:rsidRPr="002B3D61">
        <w:rPr>
          <w:rFonts w:asciiTheme="minorHAnsi" w:hAnsiTheme="minorHAnsi"/>
          <w:b/>
          <w:sz w:val="22"/>
          <w:szCs w:val="22"/>
        </w:rPr>
        <w:t>8a</w:t>
      </w:r>
      <w:r w:rsidR="00CD5118" w:rsidRPr="002B3D61">
        <w:rPr>
          <w:rFonts w:asciiTheme="minorHAnsi" w:hAnsiTheme="minorHAnsi"/>
          <w:sz w:val="22"/>
          <w:szCs w:val="22"/>
        </w:rPr>
        <w:t xml:space="preserve"> and</w:t>
      </w:r>
      <w:r w:rsidR="00764C77" w:rsidRPr="002B3D61">
        <w:rPr>
          <w:rFonts w:asciiTheme="minorHAnsi" w:hAnsiTheme="minorHAnsi"/>
          <w:sz w:val="22"/>
          <w:szCs w:val="22"/>
        </w:rPr>
        <w:t xml:space="preserve"> </w:t>
      </w:r>
      <w:r w:rsidR="00764C77" w:rsidRPr="002B3D61">
        <w:rPr>
          <w:rFonts w:asciiTheme="minorHAnsi" w:hAnsiTheme="minorHAnsi"/>
          <w:b/>
          <w:sz w:val="22"/>
          <w:szCs w:val="22"/>
        </w:rPr>
        <w:t>8c</w:t>
      </w:r>
      <w:r w:rsidR="00764C77" w:rsidRPr="002B3D61">
        <w:rPr>
          <w:rFonts w:asciiTheme="minorHAnsi" w:hAnsiTheme="minorHAnsi"/>
          <w:sz w:val="22"/>
          <w:szCs w:val="22"/>
        </w:rPr>
        <w:t xml:space="preserve"> </w:t>
      </w:r>
      <w:r w:rsidR="0092395E" w:rsidRPr="002B3D61">
        <w:rPr>
          <w:rFonts w:asciiTheme="minorHAnsi" w:hAnsiTheme="minorHAnsi"/>
          <w:sz w:val="22"/>
          <w:szCs w:val="22"/>
        </w:rPr>
        <w:t xml:space="preserve">are </w:t>
      </w:r>
      <w:r w:rsidR="00CD5118" w:rsidRPr="002B3D61">
        <w:rPr>
          <w:rFonts w:asciiTheme="minorHAnsi" w:hAnsiTheme="minorHAnsi"/>
          <w:sz w:val="22"/>
          <w:szCs w:val="22"/>
        </w:rPr>
        <w:t xml:space="preserve">associated with </w:t>
      </w:r>
      <w:r w:rsidR="0092395E" w:rsidRPr="002B3D61">
        <w:rPr>
          <w:rFonts w:asciiTheme="minorHAnsi" w:hAnsiTheme="minorHAnsi"/>
          <w:sz w:val="22"/>
          <w:szCs w:val="22"/>
        </w:rPr>
        <w:t xml:space="preserve">a cytotoxic effect that </w:t>
      </w:r>
      <w:r w:rsidR="00B63B0C" w:rsidRPr="002B3D61">
        <w:rPr>
          <w:rFonts w:asciiTheme="minorHAnsi" w:hAnsiTheme="minorHAnsi"/>
          <w:sz w:val="22"/>
          <w:szCs w:val="22"/>
        </w:rPr>
        <w:t>is not related to their nitroreduct</w:t>
      </w:r>
      <w:r w:rsidR="0092395E" w:rsidRPr="002B3D61">
        <w:rPr>
          <w:rFonts w:asciiTheme="minorHAnsi" w:hAnsiTheme="minorHAnsi"/>
          <w:sz w:val="22"/>
          <w:szCs w:val="22"/>
        </w:rPr>
        <w:t>ase activity</w:t>
      </w:r>
      <w:r w:rsidR="005D3879">
        <w:rPr>
          <w:rFonts w:asciiTheme="minorHAnsi" w:hAnsiTheme="minorHAnsi"/>
          <w:sz w:val="22"/>
          <w:szCs w:val="22"/>
        </w:rPr>
        <w:t xml:space="preserve"> despite prodrug </w:t>
      </w:r>
      <w:r w:rsidR="005D3879" w:rsidRPr="005D3879">
        <w:rPr>
          <w:rFonts w:asciiTheme="minorHAnsi" w:hAnsiTheme="minorHAnsi"/>
          <w:b/>
          <w:sz w:val="22"/>
          <w:szCs w:val="22"/>
        </w:rPr>
        <w:t>8c</w:t>
      </w:r>
      <w:r w:rsidR="00CD5118" w:rsidRPr="002B3D61">
        <w:rPr>
          <w:rFonts w:asciiTheme="minorHAnsi" w:hAnsiTheme="minorHAnsi"/>
          <w:sz w:val="22"/>
          <w:szCs w:val="22"/>
        </w:rPr>
        <w:t xml:space="preserve"> showing </w:t>
      </w:r>
      <w:r w:rsidR="005D3879">
        <w:rPr>
          <w:rFonts w:asciiTheme="minorHAnsi" w:hAnsiTheme="minorHAnsi"/>
          <w:sz w:val="22"/>
          <w:szCs w:val="22"/>
        </w:rPr>
        <w:t xml:space="preserve">a </w:t>
      </w:r>
      <w:r w:rsidR="00CD5118" w:rsidRPr="002B3D61">
        <w:rPr>
          <w:rFonts w:asciiTheme="minorHAnsi" w:hAnsiTheme="minorHAnsi"/>
          <w:sz w:val="22"/>
          <w:szCs w:val="22"/>
        </w:rPr>
        <w:t>higher specific a</w:t>
      </w:r>
      <w:r w:rsidR="005D3879">
        <w:rPr>
          <w:rFonts w:asciiTheme="minorHAnsi" w:hAnsiTheme="minorHAnsi"/>
          <w:sz w:val="22"/>
          <w:szCs w:val="22"/>
        </w:rPr>
        <w:t>ctivity</w:t>
      </w:r>
      <w:r w:rsidR="006E718C" w:rsidRPr="002B3D61">
        <w:rPr>
          <w:rFonts w:asciiTheme="minorHAnsi" w:hAnsiTheme="minorHAnsi"/>
          <w:sz w:val="22"/>
          <w:szCs w:val="22"/>
        </w:rPr>
        <w:t xml:space="preserve"> to human NQO1 than CB 1954 </w:t>
      </w:r>
      <w:r w:rsidR="006E718C" w:rsidRPr="002B3D61">
        <w:rPr>
          <w:rFonts w:asciiTheme="minorHAnsi" w:hAnsiTheme="minorHAnsi"/>
          <w:b/>
          <w:sz w:val="22"/>
          <w:szCs w:val="22"/>
        </w:rPr>
        <w:t xml:space="preserve">1 </w:t>
      </w:r>
      <w:r w:rsidR="006E718C" w:rsidRPr="002B3D61">
        <w:rPr>
          <w:rFonts w:asciiTheme="minorHAnsi" w:hAnsiTheme="minorHAnsi"/>
          <w:sz w:val="22"/>
          <w:szCs w:val="22"/>
        </w:rPr>
        <w:t>(Table 1).</w:t>
      </w:r>
      <w:r w:rsidR="00B1757B" w:rsidRPr="002B3D61">
        <w:rPr>
          <w:rFonts w:asciiTheme="minorHAnsi" w:hAnsiTheme="minorHAnsi"/>
          <w:sz w:val="22"/>
          <w:szCs w:val="22"/>
        </w:rPr>
        <w:t xml:space="preserve"> A possible explanation for this observation is that these prodrugs are behaving as mo</w:t>
      </w:r>
      <w:r w:rsidR="00612192" w:rsidRPr="002B3D61">
        <w:rPr>
          <w:rFonts w:asciiTheme="minorHAnsi" w:hAnsiTheme="minorHAnsi"/>
          <w:sz w:val="22"/>
          <w:szCs w:val="22"/>
        </w:rPr>
        <w:t xml:space="preserve">no-functional alkylating agents, either as alkyl chlorides or </w:t>
      </w:r>
      <w:r w:rsidR="00612192" w:rsidRPr="002B3D61">
        <w:rPr>
          <w:rFonts w:asciiTheme="minorHAnsi" w:hAnsiTheme="minorHAnsi"/>
          <w:i/>
          <w:sz w:val="22"/>
          <w:szCs w:val="22"/>
        </w:rPr>
        <w:t>via</w:t>
      </w:r>
      <w:r w:rsidR="00612192" w:rsidRPr="002B3D61">
        <w:rPr>
          <w:rFonts w:asciiTheme="minorHAnsi" w:hAnsiTheme="minorHAnsi"/>
          <w:sz w:val="22"/>
          <w:szCs w:val="22"/>
        </w:rPr>
        <w:t xml:space="preserve"> aziridinium intermediates.</w:t>
      </w:r>
      <w:r w:rsidR="00B1757B" w:rsidRPr="002B3D61">
        <w:rPr>
          <w:rFonts w:asciiTheme="minorHAnsi" w:hAnsiTheme="minorHAnsi"/>
          <w:sz w:val="22"/>
          <w:szCs w:val="22"/>
        </w:rPr>
        <w:t xml:space="preserve"> </w:t>
      </w:r>
      <w:r w:rsidR="00612192" w:rsidRPr="002B3D61">
        <w:rPr>
          <w:rFonts w:asciiTheme="minorHAnsi" w:hAnsiTheme="minorHAnsi"/>
          <w:sz w:val="22"/>
          <w:szCs w:val="22"/>
        </w:rPr>
        <w:t xml:space="preserve"> In support </w:t>
      </w:r>
      <w:r w:rsidR="00612192" w:rsidRPr="002B3D61">
        <w:rPr>
          <w:rFonts w:asciiTheme="minorHAnsi" w:hAnsiTheme="minorHAnsi"/>
          <w:sz w:val="22"/>
          <w:szCs w:val="22"/>
        </w:rPr>
        <w:lastRenderedPageBreak/>
        <w:t xml:space="preserve">of this hypothesis, we have recently shown that the </w:t>
      </w:r>
      <w:r w:rsidR="00612192" w:rsidRPr="002B3D61">
        <w:rPr>
          <w:rFonts w:asciiTheme="minorHAnsi" w:hAnsiTheme="minorHAnsi"/>
          <w:i/>
          <w:sz w:val="22"/>
          <w:szCs w:val="22"/>
        </w:rPr>
        <w:t>N</w:t>
      </w:r>
      <w:r w:rsidR="00612192" w:rsidRPr="002B3D61">
        <w:rPr>
          <w:rFonts w:asciiTheme="minorHAnsi" w:hAnsiTheme="minorHAnsi"/>
          <w:sz w:val="22"/>
          <w:szCs w:val="22"/>
        </w:rPr>
        <w:t xml:space="preserve">-nitroaryl-3-chloropiperidine derivatives </w:t>
      </w:r>
      <w:r w:rsidR="00612192" w:rsidRPr="002B3D61">
        <w:rPr>
          <w:rFonts w:asciiTheme="minorHAnsi" w:hAnsiTheme="minorHAnsi"/>
          <w:b/>
          <w:sz w:val="22"/>
          <w:szCs w:val="22"/>
        </w:rPr>
        <w:t>14</w:t>
      </w:r>
      <w:r w:rsidR="00612192" w:rsidRPr="002B3D61">
        <w:rPr>
          <w:rFonts w:asciiTheme="minorHAnsi" w:hAnsiTheme="minorHAnsi"/>
          <w:sz w:val="22"/>
          <w:szCs w:val="22"/>
        </w:rPr>
        <w:t xml:space="preserve"> are </w:t>
      </w:r>
      <w:r w:rsidR="00612192" w:rsidRPr="00050192">
        <w:rPr>
          <w:rFonts w:asciiTheme="minorHAnsi" w:hAnsiTheme="minorHAnsi"/>
          <w:color w:val="auto"/>
          <w:sz w:val="22"/>
          <w:szCs w:val="22"/>
        </w:rPr>
        <w:t xml:space="preserve">converted </w:t>
      </w:r>
      <w:r w:rsidR="00612192" w:rsidRPr="00050192">
        <w:rPr>
          <w:rFonts w:asciiTheme="minorHAnsi" w:hAnsiTheme="minorHAnsi"/>
          <w:i/>
          <w:color w:val="auto"/>
          <w:sz w:val="22"/>
          <w:szCs w:val="22"/>
        </w:rPr>
        <w:t>via</w:t>
      </w:r>
      <w:r w:rsidR="00612192" w:rsidRPr="0005019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12192" w:rsidRPr="002B3D61">
        <w:rPr>
          <w:rFonts w:asciiTheme="minorHAnsi" w:hAnsiTheme="minorHAnsi"/>
          <w:sz w:val="22"/>
          <w:szCs w:val="22"/>
        </w:rPr>
        <w:t xml:space="preserve">aziridinium intermediates </w:t>
      </w:r>
      <w:r w:rsidR="00612192" w:rsidRPr="002B3D61">
        <w:rPr>
          <w:rFonts w:asciiTheme="minorHAnsi" w:hAnsiTheme="minorHAnsi"/>
          <w:b/>
          <w:sz w:val="22"/>
          <w:szCs w:val="22"/>
        </w:rPr>
        <w:t>15</w:t>
      </w:r>
      <w:r w:rsidR="00612192" w:rsidRPr="002B3D61">
        <w:rPr>
          <w:rFonts w:asciiTheme="minorHAnsi" w:hAnsiTheme="minorHAnsi"/>
          <w:sz w:val="22"/>
          <w:szCs w:val="22"/>
        </w:rPr>
        <w:t xml:space="preserve"> into the </w:t>
      </w:r>
      <w:r w:rsidR="00612192" w:rsidRPr="002B3D61">
        <w:rPr>
          <w:rFonts w:asciiTheme="minorHAnsi" w:hAnsiTheme="minorHAnsi"/>
          <w:i/>
          <w:sz w:val="22"/>
          <w:szCs w:val="22"/>
        </w:rPr>
        <w:t>N</w:t>
      </w:r>
      <w:r w:rsidR="00612192" w:rsidRPr="002B3D61">
        <w:rPr>
          <w:rFonts w:asciiTheme="minorHAnsi" w:hAnsiTheme="minorHAnsi"/>
          <w:sz w:val="22"/>
          <w:szCs w:val="22"/>
        </w:rPr>
        <w:t xml:space="preserve">-nitroaryl-2-chloropyrrolidines </w:t>
      </w:r>
      <w:r w:rsidR="00612192" w:rsidRPr="002B3D61">
        <w:rPr>
          <w:rFonts w:asciiTheme="minorHAnsi" w:hAnsiTheme="minorHAnsi"/>
          <w:b/>
          <w:sz w:val="22"/>
          <w:szCs w:val="22"/>
        </w:rPr>
        <w:t>16</w:t>
      </w:r>
      <w:r w:rsidR="00612192" w:rsidRPr="002B3D61">
        <w:rPr>
          <w:rFonts w:asciiTheme="minorHAnsi" w:hAnsiTheme="minorHAnsi"/>
          <w:sz w:val="22"/>
          <w:szCs w:val="22"/>
        </w:rPr>
        <w:t xml:space="preserve"> (Scheme 2).</w:t>
      </w:r>
      <w:r w:rsidR="002A0372">
        <w:rPr>
          <w:rFonts w:asciiTheme="minorHAnsi" w:hAnsiTheme="minorHAnsi"/>
          <w:sz w:val="22"/>
          <w:szCs w:val="22"/>
          <w:vertAlign w:val="superscript"/>
        </w:rPr>
        <w:t>36</w:t>
      </w:r>
      <w:r w:rsidR="00612192" w:rsidRPr="002B3D61">
        <w:rPr>
          <w:rFonts w:asciiTheme="minorHAnsi" w:hAnsiTheme="minorHAnsi"/>
          <w:sz w:val="22"/>
          <w:szCs w:val="22"/>
        </w:rPr>
        <w:t xml:space="preserve"> Hence compounds </w:t>
      </w:r>
      <w:r w:rsidR="00612192" w:rsidRPr="002B3D61">
        <w:rPr>
          <w:rFonts w:asciiTheme="minorHAnsi" w:hAnsiTheme="minorHAnsi"/>
          <w:b/>
          <w:sz w:val="22"/>
          <w:szCs w:val="22"/>
        </w:rPr>
        <w:t xml:space="preserve">8a </w:t>
      </w:r>
      <w:r w:rsidR="00612192" w:rsidRPr="002B3D61">
        <w:rPr>
          <w:rFonts w:asciiTheme="minorHAnsi" w:hAnsiTheme="minorHAnsi"/>
          <w:sz w:val="22"/>
          <w:szCs w:val="22"/>
        </w:rPr>
        <w:t>and</w:t>
      </w:r>
      <w:r w:rsidR="00612192" w:rsidRPr="002B3D61">
        <w:rPr>
          <w:rFonts w:asciiTheme="minorHAnsi" w:hAnsiTheme="minorHAnsi"/>
          <w:b/>
          <w:sz w:val="22"/>
          <w:szCs w:val="22"/>
        </w:rPr>
        <w:t xml:space="preserve"> 8c</w:t>
      </w:r>
      <w:r w:rsidR="00612192" w:rsidRPr="002B3D61">
        <w:rPr>
          <w:rFonts w:asciiTheme="minorHAnsi" w:hAnsiTheme="minorHAnsi"/>
          <w:sz w:val="22"/>
          <w:szCs w:val="22"/>
        </w:rPr>
        <w:t xml:space="preserve"> may be forming aziridinium intermediates </w:t>
      </w:r>
      <w:r w:rsidR="00612192" w:rsidRPr="002B3D61">
        <w:rPr>
          <w:rFonts w:asciiTheme="minorHAnsi" w:hAnsiTheme="minorHAnsi"/>
          <w:b/>
          <w:sz w:val="22"/>
          <w:szCs w:val="22"/>
        </w:rPr>
        <w:t>17</w:t>
      </w:r>
      <w:r w:rsidR="00612192" w:rsidRPr="002B3D61">
        <w:rPr>
          <w:rFonts w:asciiTheme="minorHAnsi" w:hAnsiTheme="minorHAnsi"/>
          <w:sz w:val="22"/>
          <w:szCs w:val="22"/>
        </w:rPr>
        <w:t xml:space="preserve"> (rather than aziridiniums </w:t>
      </w:r>
      <w:r w:rsidR="00612192" w:rsidRPr="002B3D61">
        <w:rPr>
          <w:rFonts w:asciiTheme="minorHAnsi" w:hAnsiTheme="minorHAnsi"/>
          <w:b/>
          <w:sz w:val="22"/>
          <w:szCs w:val="22"/>
        </w:rPr>
        <w:t>9</w:t>
      </w:r>
      <w:r w:rsidR="00612192" w:rsidRPr="002B3D61">
        <w:rPr>
          <w:rFonts w:asciiTheme="minorHAnsi" w:hAnsiTheme="minorHAnsi"/>
          <w:sz w:val="22"/>
          <w:szCs w:val="22"/>
        </w:rPr>
        <w:t xml:space="preserve">, Figure 1) </w:t>
      </w:r>
      <w:r w:rsidR="009808B4" w:rsidRPr="002B3D61">
        <w:rPr>
          <w:rFonts w:asciiTheme="minorHAnsi" w:hAnsiTheme="minorHAnsi"/>
          <w:sz w:val="22"/>
          <w:szCs w:val="22"/>
        </w:rPr>
        <w:t>that</w:t>
      </w:r>
      <w:r w:rsidR="00612192" w:rsidRPr="002B3D61">
        <w:rPr>
          <w:rFonts w:asciiTheme="minorHAnsi" w:hAnsiTheme="minorHAnsi"/>
          <w:sz w:val="22"/>
          <w:szCs w:val="22"/>
        </w:rPr>
        <w:t xml:space="preserve"> might be capable of functioning as mono-alkylating agents. </w:t>
      </w:r>
      <w:r w:rsidR="006E718C" w:rsidRPr="002B3D61">
        <w:rPr>
          <w:rFonts w:asciiTheme="minorHAnsi" w:hAnsiTheme="minorHAnsi"/>
          <w:sz w:val="22"/>
          <w:szCs w:val="22"/>
        </w:rPr>
        <w:t xml:space="preserve">Prodrug </w:t>
      </w:r>
      <w:r w:rsidR="006E718C" w:rsidRPr="002B3D61">
        <w:rPr>
          <w:rFonts w:asciiTheme="minorHAnsi" w:hAnsiTheme="minorHAnsi"/>
          <w:b/>
          <w:sz w:val="22"/>
          <w:szCs w:val="22"/>
        </w:rPr>
        <w:t>8d</w:t>
      </w:r>
      <w:r w:rsidR="006E718C" w:rsidRPr="002B3D61">
        <w:rPr>
          <w:rFonts w:asciiTheme="minorHAnsi" w:hAnsiTheme="minorHAnsi"/>
          <w:sz w:val="22"/>
          <w:szCs w:val="22"/>
        </w:rPr>
        <w:t xml:space="preserve"> also showed broadly similar, but significantly higher IC</w:t>
      </w:r>
      <w:r w:rsidR="006E718C" w:rsidRPr="002B3D61">
        <w:rPr>
          <w:rFonts w:asciiTheme="minorHAnsi" w:hAnsiTheme="minorHAnsi"/>
          <w:sz w:val="22"/>
          <w:szCs w:val="22"/>
          <w:vertAlign w:val="subscript"/>
        </w:rPr>
        <w:t>50</w:t>
      </w:r>
      <w:r w:rsidR="006E718C" w:rsidRPr="002B3D61">
        <w:rPr>
          <w:rFonts w:asciiTheme="minorHAnsi" w:hAnsiTheme="minorHAnsi"/>
          <w:sz w:val="22"/>
          <w:szCs w:val="22"/>
        </w:rPr>
        <w:t xml:space="preserve"> values across the four cell-lines compared to compounds </w:t>
      </w:r>
      <w:r w:rsidR="006E718C" w:rsidRPr="002B3D61">
        <w:rPr>
          <w:rFonts w:asciiTheme="minorHAnsi" w:hAnsiTheme="minorHAnsi"/>
          <w:b/>
          <w:sz w:val="22"/>
          <w:szCs w:val="22"/>
        </w:rPr>
        <w:t>8a</w:t>
      </w:r>
      <w:r w:rsidR="006E718C" w:rsidRPr="002B3D61">
        <w:rPr>
          <w:rFonts w:asciiTheme="minorHAnsi" w:hAnsiTheme="minorHAnsi"/>
          <w:sz w:val="22"/>
          <w:szCs w:val="22"/>
        </w:rPr>
        <w:t xml:space="preserve"> and </w:t>
      </w:r>
      <w:r w:rsidR="006E718C" w:rsidRPr="002B3D61">
        <w:rPr>
          <w:rFonts w:asciiTheme="minorHAnsi" w:hAnsiTheme="minorHAnsi"/>
          <w:b/>
          <w:sz w:val="22"/>
          <w:szCs w:val="22"/>
        </w:rPr>
        <w:t>8c</w:t>
      </w:r>
      <w:r w:rsidR="00363FCD" w:rsidRPr="002B3D61">
        <w:rPr>
          <w:rFonts w:asciiTheme="minorHAnsi" w:hAnsiTheme="minorHAnsi"/>
          <w:sz w:val="22"/>
          <w:szCs w:val="22"/>
        </w:rPr>
        <w:t>.</w:t>
      </w:r>
      <w:r w:rsidR="000A39B6" w:rsidRPr="002B3D61">
        <w:rPr>
          <w:rFonts w:asciiTheme="minorHAnsi" w:hAnsiTheme="minorHAnsi"/>
          <w:sz w:val="22"/>
          <w:szCs w:val="22"/>
        </w:rPr>
        <w:t xml:space="preserve"> </w:t>
      </w:r>
      <w:r w:rsidR="00F51FAE" w:rsidRPr="002B3D61">
        <w:rPr>
          <w:rFonts w:asciiTheme="minorHAnsi" w:hAnsiTheme="minorHAnsi"/>
          <w:sz w:val="22"/>
          <w:szCs w:val="22"/>
        </w:rPr>
        <w:t xml:space="preserve">Prodrugs </w:t>
      </w:r>
      <w:r w:rsidR="00DD314F" w:rsidRPr="002B3D61">
        <w:rPr>
          <w:rFonts w:asciiTheme="minorHAnsi" w:hAnsiTheme="minorHAnsi"/>
          <w:b/>
          <w:sz w:val="22"/>
          <w:szCs w:val="22"/>
        </w:rPr>
        <w:t>8b</w:t>
      </w:r>
      <w:r w:rsidR="00DD314F" w:rsidRPr="002B3D61">
        <w:rPr>
          <w:rFonts w:asciiTheme="minorHAnsi" w:hAnsiTheme="minorHAnsi"/>
          <w:sz w:val="22"/>
          <w:szCs w:val="22"/>
        </w:rPr>
        <w:t xml:space="preserve"> and </w:t>
      </w:r>
      <w:r w:rsidR="00DD314F" w:rsidRPr="002B3D61">
        <w:rPr>
          <w:rFonts w:asciiTheme="minorHAnsi" w:hAnsiTheme="minorHAnsi"/>
          <w:b/>
          <w:sz w:val="22"/>
          <w:szCs w:val="22"/>
        </w:rPr>
        <w:t>8e</w:t>
      </w:r>
      <w:r w:rsidR="00DD314F" w:rsidRPr="002B3D61">
        <w:rPr>
          <w:rFonts w:asciiTheme="minorHAnsi" w:hAnsiTheme="minorHAnsi"/>
          <w:sz w:val="22"/>
          <w:szCs w:val="22"/>
        </w:rPr>
        <w:t xml:space="preserve"> display</w:t>
      </w:r>
      <w:r w:rsidR="009F103B" w:rsidRPr="002B3D61">
        <w:rPr>
          <w:rFonts w:asciiTheme="minorHAnsi" w:hAnsiTheme="minorHAnsi"/>
          <w:sz w:val="22"/>
          <w:szCs w:val="22"/>
        </w:rPr>
        <w:t>ed</w:t>
      </w:r>
      <w:r w:rsidR="00DD314F" w:rsidRPr="002B3D61">
        <w:rPr>
          <w:rFonts w:asciiTheme="minorHAnsi" w:hAnsiTheme="minorHAnsi"/>
          <w:sz w:val="22"/>
          <w:szCs w:val="22"/>
        </w:rPr>
        <w:t xml:space="preserve"> broadly similar IC</w:t>
      </w:r>
      <w:r w:rsidR="00DD314F" w:rsidRPr="002B3D61">
        <w:rPr>
          <w:rFonts w:asciiTheme="minorHAnsi" w:hAnsiTheme="minorHAnsi"/>
          <w:sz w:val="22"/>
          <w:szCs w:val="22"/>
          <w:vertAlign w:val="subscript"/>
        </w:rPr>
        <w:t>50</w:t>
      </w:r>
      <w:r w:rsidR="00DD314F" w:rsidRPr="002B3D61">
        <w:rPr>
          <w:rFonts w:asciiTheme="minorHAnsi" w:hAnsiTheme="minorHAnsi"/>
          <w:sz w:val="22"/>
          <w:szCs w:val="22"/>
        </w:rPr>
        <w:t xml:space="preserve"> values across three of the cell-lines (</w:t>
      </w:r>
      <w:r w:rsidR="00F51FAE" w:rsidRPr="002B3D61">
        <w:rPr>
          <w:rFonts w:asciiTheme="minorHAnsi" w:hAnsiTheme="minorHAnsi"/>
          <w:sz w:val="22"/>
          <w:szCs w:val="22"/>
        </w:rPr>
        <w:t xml:space="preserve">control, </w:t>
      </w:r>
      <w:r w:rsidR="00AA2720" w:rsidRPr="002B3D61">
        <w:rPr>
          <w:rFonts w:asciiTheme="minorHAnsi" w:hAnsiTheme="minorHAnsi"/>
          <w:sz w:val="22"/>
          <w:szCs w:val="22"/>
        </w:rPr>
        <w:t xml:space="preserve">human </w:t>
      </w:r>
      <w:r w:rsidR="00F51FAE" w:rsidRPr="002B3D61">
        <w:rPr>
          <w:rFonts w:asciiTheme="minorHAnsi" w:hAnsiTheme="minorHAnsi"/>
          <w:sz w:val="22"/>
          <w:szCs w:val="22"/>
        </w:rPr>
        <w:t>NQO1 and rat NQO1)</w:t>
      </w:r>
      <w:r w:rsidR="00AA2720" w:rsidRPr="002B3D61">
        <w:rPr>
          <w:rFonts w:asciiTheme="minorHAnsi" w:hAnsiTheme="minorHAnsi"/>
          <w:sz w:val="22"/>
          <w:szCs w:val="22"/>
        </w:rPr>
        <w:t>,</w:t>
      </w:r>
      <w:r w:rsidR="009E2B12" w:rsidRPr="002B3D61">
        <w:rPr>
          <w:rFonts w:asciiTheme="minorHAnsi" w:hAnsiTheme="minorHAnsi"/>
          <w:sz w:val="22"/>
          <w:szCs w:val="22"/>
        </w:rPr>
        <w:t xml:space="preserve"> </w:t>
      </w:r>
      <w:r w:rsidR="00AA2720" w:rsidRPr="002B3D61">
        <w:rPr>
          <w:rFonts w:asciiTheme="minorHAnsi" w:hAnsiTheme="minorHAnsi"/>
          <w:sz w:val="22"/>
          <w:szCs w:val="22"/>
        </w:rPr>
        <w:t>but</w:t>
      </w:r>
      <w:r w:rsidR="00F51FAE" w:rsidRPr="002B3D61">
        <w:rPr>
          <w:rFonts w:asciiTheme="minorHAnsi" w:hAnsiTheme="minorHAnsi"/>
          <w:sz w:val="22"/>
          <w:szCs w:val="22"/>
        </w:rPr>
        <w:t xml:space="preserve"> </w:t>
      </w:r>
      <w:r w:rsidR="00570A48" w:rsidRPr="002B3D61">
        <w:rPr>
          <w:rFonts w:asciiTheme="minorHAnsi" w:hAnsiTheme="minorHAnsi"/>
          <w:sz w:val="22"/>
          <w:szCs w:val="22"/>
        </w:rPr>
        <w:t xml:space="preserve">both </w:t>
      </w:r>
      <w:r w:rsidR="00AA2720" w:rsidRPr="002B3D61">
        <w:rPr>
          <w:rFonts w:asciiTheme="minorHAnsi" w:hAnsiTheme="minorHAnsi"/>
          <w:sz w:val="22"/>
          <w:szCs w:val="22"/>
        </w:rPr>
        <w:t xml:space="preserve">of these compounds are </w:t>
      </w:r>
      <w:r w:rsidR="00F51FAE" w:rsidRPr="002B3D61">
        <w:rPr>
          <w:rFonts w:asciiTheme="minorHAnsi" w:hAnsiTheme="minorHAnsi"/>
          <w:sz w:val="22"/>
          <w:szCs w:val="22"/>
        </w:rPr>
        <w:t>associated with significantly lower IC</w:t>
      </w:r>
      <w:r w:rsidR="00F51FAE" w:rsidRPr="002B3D61">
        <w:rPr>
          <w:rFonts w:asciiTheme="minorHAnsi" w:hAnsiTheme="minorHAnsi"/>
          <w:sz w:val="22"/>
          <w:szCs w:val="22"/>
          <w:vertAlign w:val="subscript"/>
        </w:rPr>
        <w:t>50</w:t>
      </w:r>
      <w:r w:rsidR="00F51FAE" w:rsidRPr="002B3D61">
        <w:rPr>
          <w:rFonts w:asciiTheme="minorHAnsi" w:hAnsiTheme="minorHAnsi"/>
          <w:sz w:val="22"/>
          <w:szCs w:val="22"/>
        </w:rPr>
        <w:t xml:space="preserve"> values </w:t>
      </w:r>
      <w:r w:rsidR="00DD314F" w:rsidRPr="002B3D61">
        <w:rPr>
          <w:rFonts w:asciiTheme="minorHAnsi" w:hAnsiTheme="minorHAnsi"/>
          <w:sz w:val="22"/>
          <w:szCs w:val="22"/>
        </w:rPr>
        <w:t xml:space="preserve">in the </w:t>
      </w:r>
      <w:r w:rsidR="00DD314F" w:rsidRPr="002B3D61">
        <w:rPr>
          <w:rFonts w:asciiTheme="minorHAnsi" w:hAnsiTheme="minorHAnsi"/>
          <w:i/>
          <w:sz w:val="22"/>
          <w:szCs w:val="22"/>
        </w:rPr>
        <w:t>E. coli</w:t>
      </w:r>
      <w:r w:rsidR="00570A48" w:rsidRPr="002B3D61">
        <w:rPr>
          <w:rFonts w:asciiTheme="minorHAnsi" w:hAnsiTheme="minorHAnsi"/>
          <w:sz w:val="22"/>
          <w:szCs w:val="22"/>
        </w:rPr>
        <w:t xml:space="preserve"> NR cell-line for reasons that are as yet unclear. </w:t>
      </w:r>
      <w:r w:rsidR="002C49F4" w:rsidRPr="003D7A6A">
        <w:rPr>
          <w:rFonts w:asciiTheme="minorHAnsi" w:hAnsiTheme="minorHAnsi"/>
          <w:color w:val="auto"/>
          <w:sz w:val="22"/>
          <w:szCs w:val="22"/>
        </w:rPr>
        <w:t>The relative</w:t>
      </w:r>
      <w:r w:rsidR="000B16AA" w:rsidRPr="003D7A6A">
        <w:rPr>
          <w:rFonts w:asciiTheme="minorHAnsi" w:hAnsiTheme="minorHAnsi"/>
          <w:color w:val="auto"/>
          <w:sz w:val="22"/>
          <w:szCs w:val="22"/>
        </w:rPr>
        <w:t>ly</w:t>
      </w:r>
      <w:r w:rsidR="002C49F4" w:rsidRPr="003D7A6A">
        <w:rPr>
          <w:rFonts w:asciiTheme="minorHAnsi" w:hAnsiTheme="minorHAnsi"/>
          <w:color w:val="auto"/>
          <w:sz w:val="22"/>
          <w:szCs w:val="22"/>
        </w:rPr>
        <w:t xml:space="preserve"> high cytotox</w:t>
      </w:r>
      <w:r w:rsidR="00C04141" w:rsidRPr="003D7A6A">
        <w:rPr>
          <w:rFonts w:asciiTheme="minorHAnsi" w:hAnsiTheme="minorHAnsi"/>
          <w:color w:val="auto"/>
          <w:sz w:val="22"/>
          <w:szCs w:val="22"/>
        </w:rPr>
        <w:t>ic</w:t>
      </w:r>
      <w:r w:rsidR="002C49F4" w:rsidRPr="003D7A6A">
        <w:rPr>
          <w:rFonts w:asciiTheme="minorHAnsi" w:hAnsiTheme="minorHAnsi"/>
          <w:color w:val="auto"/>
          <w:sz w:val="22"/>
          <w:szCs w:val="22"/>
        </w:rPr>
        <w:t>ity</w:t>
      </w:r>
      <w:r w:rsidR="00BF45FB" w:rsidRPr="003D7A6A">
        <w:rPr>
          <w:rFonts w:asciiTheme="minorHAnsi" w:hAnsiTheme="minorHAnsi"/>
          <w:color w:val="auto"/>
          <w:sz w:val="22"/>
          <w:szCs w:val="22"/>
        </w:rPr>
        <w:t xml:space="preserve"> observed for </w:t>
      </w:r>
      <w:r w:rsidR="002C49F4" w:rsidRPr="003D7A6A">
        <w:rPr>
          <w:rFonts w:asciiTheme="minorHAnsi" w:hAnsiTheme="minorHAnsi"/>
          <w:color w:val="auto"/>
          <w:sz w:val="22"/>
          <w:szCs w:val="22"/>
        </w:rPr>
        <w:t xml:space="preserve">CB 1954 </w:t>
      </w:r>
      <w:r w:rsidR="002C49F4" w:rsidRPr="003D7A6A">
        <w:rPr>
          <w:rFonts w:asciiTheme="minorHAnsi" w:hAnsiTheme="minorHAnsi"/>
          <w:b/>
          <w:color w:val="auto"/>
          <w:sz w:val="22"/>
          <w:szCs w:val="22"/>
        </w:rPr>
        <w:t>1</w:t>
      </w:r>
      <w:r w:rsidR="002C49F4" w:rsidRPr="003D7A6A">
        <w:rPr>
          <w:rFonts w:asciiTheme="minorHAnsi" w:hAnsiTheme="minorHAnsi"/>
          <w:color w:val="auto"/>
          <w:sz w:val="22"/>
          <w:szCs w:val="22"/>
        </w:rPr>
        <w:t xml:space="preserve"> compared to </w:t>
      </w:r>
      <w:r w:rsidR="00BF45FB" w:rsidRPr="003D7A6A">
        <w:rPr>
          <w:rFonts w:asciiTheme="minorHAnsi" w:hAnsiTheme="minorHAnsi"/>
          <w:color w:val="auto"/>
          <w:sz w:val="22"/>
          <w:szCs w:val="22"/>
        </w:rPr>
        <w:t>the poor cytotoxicities seen for the</w:t>
      </w:r>
      <w:r w:rsidR="002C49F4" w:rsidRPr="003D7A6A">
        <w:rPr>
          <w:rFonts w:asciiTheme="minorHAnsi" w:hAnsiTheme="minorHAnsi"/>
          <w:color w:val="auto"/>
          <w:sz w:val="22"/>
          <w:szCs w:val="22"/>
        </w:rPr>
        <w:t xml:space="preserve"> mono-nitro analogues (</w:t>
      </w:r>
      <w:r w:rsidR="002C49F4" w:rsidRPr="003D7A6A">
        <w:rPr>
          <w:rFonts w:asciiTheme="minorHAnsi" w:hAnsiTheme="minorHAnsi"/>
          <w:i/>
          <w:color w:val="auto"/>
          <w:sz w:val="22"/>
          <w:szCs w:val="22"/>
        </w:rPr>
        <w:t>i.e.</w:t>
      </w:r>
      <w:r w:rsidR="002C49F4" w:rsidRPr="003D7A6A">
        <w:rPr>
          <w:rFonts w:asciiTheme="minorHAnsi" w:hAnsiTheme="minorHAnsi"/>
          <w:color w:val="auto"/>
          <w:sz w:val="22"/>
          <w:szCs w:val="22"/>
        </w:rPr>
        <w:t xml:space="preserve"> structure </w:t>
      </w:r>
      <w:r w:rsidR="002C49F4" w:rsidRPr="003D7A6A">
        <w:rPr>
          <w:rFonts w:asciiTheme="minorHAnsi" w:hAnsiTheme="minorHAnsi"/>
          <w:b/>
          <w:color w:val="auto"/>
          <w:sz w:val="22"/>
          <w:szCs w:val="22"/>
        </w:rPr>
        <w:t>1</w:t>
      </w:r>
      <w:r w:rsidR="002C49F4" w:rsidRPr="003D7A6A">
        <w:rPr>
          <w:rFonts w:asciiTheme="minorHAnsi" w:hAnsiTheme="minorHAnsi"/>
          <w:color w:val="auto"/>
          <w:sz w:val="22"/>
          <w:szCs w:val="22"/>
        </w:rPr>
        <w:t xml:space="preserve"> with one nitro-group replaced by hydrogen) in nitroreductase-transfected cell lines has been attributed to the reduction potential of these pro-drugs.</w:t>
      </w:r>
      <w:r w:rsidR="002C49F4" w:rsidRPr="003D7A6A">
        <w:rPr>
          <w:rFonts w:asciiTheme="minorHAnsi" w:hAnsiTheme="minorHAnsi"/>
          <w:color w:val="auto"/>
          <w:sz w:val="22"/>
          <w:szCs w:val="22"/>
          <w:vertAlign w:val="superscript"/>
        </w:rPr>
        <w:t>19</w:t>
      </w:r>
      <w:r w:rsidR="00BF45FB" w:rsidRPr="003D7A6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A5DA6" w:rsidRPr="003D7A6A">
        <w:rPr>
          <w:rFonts w:asciiTheme="minorHAnsi" w:hAnsiTheme="minorHAnsi"/>
          <w:color w:val="auto"/>
          <w:sz w:val="22"/>
          <w:szCs w:val="22"/>
        </w:rPr>
        <w:t>T</w:t>
      </w:r>
      <w:r w:rsidR="00BF45FB" w:rsidRPr="003D7A6A">
        <w:rPr>
          <w:rFonts w:asciiTheme="minorHAnsi" w:hAnsiTheme="minorHAnsi"/>
          <w:color w:val="auto"/>
          <w:sz w:val="22"/>
          <w:szCs w:val="22"/>
        </w:rPr>
        <w:t xml:space="preserve">he cytotoxicities of </w:t>
      </w:r>
      <w:r w:rsidR="000B16AA" w:rsidRPr="003D7A6A">
        <w:rPr>
          <w:rFonts w:asciiTheme="minorHAnsi" w:hAnsiTheme="minorHAnsi"/>
          <w:color w:val="auto"/>
          <w:sz w:val="22"/>
          <w:szCs w:val="22"/>
        </w:rPr>
        <w:t>the mono</w:t>
      </w:r>
      <w:r w:rsidR="002A5DA6" w:rsidRPr="003D7A6A">
        <w:rPr>
          <w:rFonts w:asciiTheme="minorHAnsi" w:hAnsiTheme="minorHAnsi"/>
          <w:color w:val="auto"/>
          <w:sz w:val="22"/>
          <w:szCs w:val="22"/>
        </w:rPr>
        <w:t xml:space="preserve"> and di</w:t>
      </w:r>
      <w:r w:rsidR="000B16AA" w:rsidRPr="003D7A6A">
        <w:rPr>
          <w:rFonts w:asciiTheme="minorHAnsi" w:hAnsiTheme="minorHAnsi"/>
          <w:color w:val="auto"/>
          <w:sz w:val="22"/>
          <w:szCs w:val="22"/>
        </w:rPr>
        <w:t xml:space="preserve">nitro </w:t>
      </w:r>
      <w:r w:rsidR="001124D4" w:rsidRPr="003D7A6A">
        <w:rPr>
          <w:rFonts w:asciiTheme="minorHAnsi" w:hAnsiTheme="minorHAnsi"/>
          <w:color w:val="auto"/>
          <w:sz w:val="22"/>
          <w:szCs w:val="22"/>
        </w:rPr>
        <w:t>pro</w:t>
      </w:r>
      <w:r w:rsidR="002A5DA6" w:rsidRPr="003D7A6A">
        <w:rPr>
          <w:rFonts w:asciiTheme="minorHAnsi" w:hAnsiTheme="minorHAnsi"/>
          <w:color w:val="auto"/>
          <w:sz w:val="22"/>
          <w:szCs w:val="22"/>
        </w:rPr>
        <w:t xml:space="preserve">drugs </w:t>
      </w:r>
      <w:r w:rsidR="002A5DA6" w:rsidRPr="003D7A6A">
        <w:rPr>
          <w:rFonts w:asciiTheme="minorHAnsi" w:hAnsiTheme="minorHAnsi"/>
          <w:b/>
          <w:color w:val="auto"/>
          <w:sz w:val="22"/>
          <w:szCs w:val="22"/>
        </w:rPr>
        <w:t>8a</w:t>
      </w:r>
      <w:r w:rsidR="002A5DA6" w:rsidRPr="003D7A6A">
        <w:rPr>
          <w:rFonts w:asciiTheme="minorHAnsi" w:hAnsiTheme="minorHAnsi"/>
          <w:color w:val="auto"/>
          <w:sz w:val="22"/>
          <w:szCs w:val="22"/>
        </w:rPr>
        <w:t xml:space="preserve"> and </w:t>
      </w:r>
      <w:r w:rsidR="002A5DA6" w:rsidRPr="003D7A6A">
        <w:rPr>
          <w:rFonts w:asciiTheme="minorHAnsi" w:hAnsiTheme="minorHAnsi"/>
          <w:b/>
          <w:color w:val="auto"/>
          <w:sz w:val="22"/>
          <w:szCs w:val="22"/>
        </w:rPr>
        <w:t>8e</w:t>
      </w:r>
      <w:r w:rsidR="002A5DA6" w:rsidRPr="003D7A6A">
        <w:rPr>
          <w:rFonts w:asciiTheme="minorHAnsi" w:hAnsiTheme="minorHAnsi"/>
          <w:color w:val="auto"/>
          <w:sz w:val="22"/>
          <w:szCs w:val="22"/>
        </w:rPr>
        <w:t xml:space="preserve"> respectively are not correlated with their perceived reduction potentials because compound </w:t>
      </w:r>
      <w:r w:rsidR="002A5DA6" w:rsidRPr="003D7A6A">
        <w:rPr>
          <w:rFonts w:asciiTheme="minorHAnsi" w:hAnsiTheme="minorHAnsi"/>
          <w:b/>
          <w:color w:val="auto"/>
          <w:sz w:val="22"/>
          <w:szCs w:val="22"/>
        </w:rPr>
        <w:t>8a</w:t>
      </w:r>
      <w:r w:rsidR="002A5DA6" w:rsidRPr="003D7A6A">
        <w:rPr>
          <w:rFonts w:asciiTheme="minorHAnsi" w:hAnsiTheme="minorHAnsi"/>
          <w:color w:val="auto"/>
          <w:sz w:val="22"/>
          <w:szCs w:val="22"/>
        </w:rPr>
        <w:t xml:space="preserve"> is significantly more cytotoxic than compound </w:t>
      </w:r>
      <w:r w:rsidR="002A5DA6" w:rsidRPr="003D7A6A">
        <w:rPr>
          <w:rFonts w:asciiTheme="minorHAnsi" w:hAnsiTheme="minorHAnsi"/>
          <w:b/>
          <w:color w:val="auto"/>
          <w:sz w:val="22"/>
          <w:szCs w:val="22"/>
        </w:rPr>
        <w:t>8e</w:t>
      </w:r>
      <w:r w:rsidR="002A5DA6" w:rsidRPr="003D7A6A">
        <w:rPr>
          <w:rFonts w:asciiTheme="minorHAnsi" w:hAnsiTheme="minorHAnsi"/>
          <w:color w:val="auto"/>
          <w:sz w:val="22"/>
          <w:szCs w:val="22"/>
        </w:rPr>
        <w:t xml:space="preserve"> in the control, human NQO1 and rat NQO1 cell lines and broadly similar to compound </w:t>
      </w:r>
      <w:r w:rsidR="002A5DA6" w:rsidRPr="003D7A6A">
        <w:rPr>
          <w:rFonts w:asciiTheme="minorHAnsi" w:hAnsiTheme="minorHAnsi"/>
          <w:b/>
          <w:color w:val="auto"/>
          <w:sz w:val="22"/>
          <w:szCs w:val="22"/>
        </w:rPr>
        <w:t>8e</w:t>
      </w:r>
      <w:r w:rsidR="002A5DA6" w:rsidRPr="003D7A6A">
        <w:rPr>
          <w:rFonts w:asciiTheme="minorHAnsi" w:hAnsiTheme="minorHAnsi"/>
          <w:color w:val="auto"/>
          <w:sz w:val="22"/>
          <w:szCs w:val="22"/>
        </w:rPr>
        <w:t xml:space="preserve"> in the </w:t>
      </w:r>
      <w:r w:rsidR="002A5DA6" w:rsidRPr="003D7A6A">
        <w:rPr>
          <w:rFonts w:asciiTheme="minorHAnsi" w:hAnsiTheme="minorHAnsi"/>
          <w:i/>
          <w:color w:val="auto"/>
          <w:sz w:val="22"/>
          <w:szCs w:val="22"/>
        </w:rPr>
        <w:t>E. coli</w:t>
      </w:r>
      <w:r w:rsidR="002A5DA6" w:rsidRPr="003D7A6A">
        <w:rPr>
          <w:rFonts w:asciiTheme="minorHAnsi" w:hAnsiTheme="minorHAnsi"/>
          <w:color w:val="auto"/>
          <w:sz w:val="22"/>
          <w:szCs w:val="22"/>
        </w:rPr>
        <w:t xml:space="preserve"> NR cell</w:t>
      </w:r>
      <w:r w:rsidR="00247EBA" w:rsidRPr="003D7A6A">
        <w:rPr>
          <w:rFonts w:asciiTheme="minorHAnsi" w:hAnsiTheme="minorHAnsi"/>
          <w:color w:val="auto"/>
          <w:sz w:val="22"/>
          <w:szCs w:val="22"/>
        </w:rPr>
        <w:t xml:space="preserve"> line.</w:t>
      </w:r>
      <w:r w:rsidR="000B16AA" w:rsidRPr="003D7A6A">
        <w:rPr>
          <w:rFonts w:asciiTheme="minorHAnsi" w:hAnsiTheme="minorHAnsi"/>
          <w:color w:val="auto"/>
          <w:sz w:val="22"/>
          <w:szCs w:val="22"/>
        </w:rPr>
        <w:t xml:space="preserve"> This evidence would also support the hypothesis that the series of</w:t>
      </w:r>
      <w:r w:rsidR="00A6535C" w:rsidRPr="003D7A6A">
        <w:rPr>
          <w:rFonts w:asciiTheme="minorHAnsi" w:hAnsiTheme="minorHAnsi"/>
          <w:color w:val="auto"/>
          <w:sz w:val="22"/>
          <w:szCs w:val="22"/>
        </w:rPr>
        <w:t xml:space="preserve"> pro</w:t>
      </w:r>
      <w:r w:rsidR="000B16AA" w:rsidRPr="003D7A6A">
        <w:rPr>
          <w:rFonts w:asciiTheme="minorHAnsi" w:hAnsiTheme="minorHAnsi"/>
          <w:color w:val="auto"/>
          <w:sz w:val="22"/>
          <w:szCs w:val="22"/>
        </w:rPr>
        <w:t xml:space="preserve">drugs </w:t>
      </w:r>
      <w:r w:rsidR="000B16AA" w:rsidRPr="003D7A6A">
        <w:rPr>
          <w:rFonts w:asciiTheme="minorHAnsi" w:hAnsiTheme="minorHAnsi"/>
          <w:b/>
          <w:color w:val="auto"/>
          <w:sz w:val="22"/>
          <w:szCs w:val="22"/>
        </w:rPr>
        <w:t>8a-8e</w:t>
      </w:r>
      <w:r w:rsidR="000B16AA" w:rsidRPr="003D7A6A">
        <w:rPr>
          <w:rFonts w:asciiTheme="minorHAnsi" w:hAnsiTheme="minorHAnsi"/>
          <w:color w:val="auto"/>
          <w:sz w:val="22"/>
          <w:szCs w:val="22"/>
        </w:rPr>
        <w:t xml:space="preserve"> may be acting as mono-alkylating agents.</w:t>
      </w:r>
    </w:p>
    <w:p w14:paraId="6F7BDD8E" w14:textId="159CA9ED" w:rsidR="00186ECD" w:rsidRPr="00D66290" w:rsidRDefault="00186ECD" w:rsidP="00D662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803"/>
        <w:gridCol w:w="1802"/>
        <w:gridCol w:w="1794"/>
        <w:gridCol w:w="1799"/>
      </w:tblGrid>
      <w:tr w:rsidR="006C6B21" w:rsidRPr="00D66290" w14:paraId="139D29F5" w14:textId="77777777" w:rsidTr="007151EB">
        <w:tc>
          <w:tcPr>
            <w:tcW w:w="1848" w:type="dxa"/>
          </w:tcPr>
          <w:p w14:paraId="7DEF9150" w14:textId="77777777" w:rsidR="006C6B21" w:rsidRPr="00D66290" w:rsidRDefault="006C6B21" w:rsidP="00D66290">
            <w:pPr>
              <w:spacing w:after="200" w:line="276" w:lineRule="auto"/>
            </w:pPr>
          </w:p>
        </w:tc>
        <w:tc>
          <w:tcPr>
            <w:tcW w:w="7394" w:type="dxa"/>
            <w:gridSpan w:val="4"/>
          </w:tcPr>
          <w:p w14:paraId="6AA69489" w14:textId="0F5B5B51" w:rsidR="006C6B21" w:rsidRPr="00D66290" w:rsidRDefault="006C6B21" w:rsidP="006C6B21">
            <w:pPr>
              <w:spacing w:after="200" w:line="276" w:lineRule="auto"/>
              <w:jc w:val="center"/>
            </w:pPr>
            <w:r w:rsidRPr="00D66290">
              <w:t>Cytotoxicity (3 days</w:t>
            </w:r>
            <w:r>
              <w:t xml:space="preserve"> exposure</w:t>
            </w:r>
            <w:r w:rsidRPr="00D66290">
              <w:t>)</w:t>
            </w:r>
            <w:r w:rsidR="002B3D61">
              <w:t>: IC</w:t>
            </w:r>
            <w:r w:rsidR="002B3D61" w:rsidRPr="002B3D61">
              <w:rPr>
                <w:vertAlign w:val="subscript"/>
              </w:rPr>
              <w:t xml:space="preserve">50 </w:t>
            </w:r>
            <w:r w:rsidR="002B3D61">
              <w:t>values</w:t>
            </w:r>
            <w:r>
              <w:t xml:space="preserve"> (µmol)</w:t>
            </w:r>
          </w:p>
        </w:tc>
      </w:tr>
      <w:tr w:rsidR="00D66290" w:rsidRPr="00B63B0C" w14:paraId="68D46C08" w14:textId="77777777" w:rsidTr="007151EB">
        <w:tc>
          <w:tcPr>
            <w:tcW w:w="1848" w:type="dxa"/>
          </w:tcPr>
          <w:p w14:paraId="0F5F5BD9" w14:textId="77777777" w:rsidR="00D66290" w:rsidRPr="00D66290" w:rsidRDefault="00D66290" w:rsidP="00B50E58">
            <w:pPr>
              <w:spacing w:line="276" w:lineRule="auto"/>
            </w:pPr>
            <w:r w:rsidRPr="00D66290">
              <w:t>Compound</w:t>
            </w:r>
          </w:p>
        </w:tc>
        <w:tc>
          <w:tcPr>
            <w:tcW w:w="1848" w:type="dxa"/>
          </w:tcPr>
          <w:p w14:paraId="58533E04" w14:textId="77777777" w:rsidR="00B50E58" w:rsidRDefault="00D66290" w:rsidP="00B50E58">
            <w:pPr>
              <w:spacing w:line="276" w:lineRule="auto"/>
            </w:pPr>
            <w:r w:rsidRPr="00D66290">
              <w:t xml:space="preserve">Control </w:t>
            </w:r>
          </w:p>
          <w:p w14:paraId="0C7F0369" w14:textId="77777777" w:rsidR="00D66290" w:rsidRPr="00D66290" w:rsidRDefault="00D66290" w:rsidP="00B50E58">
            <w:pPr>
              <w:spacing w:line="276" w:lineRule="auto"/>
            </w:pPr>
            <w:r w:rsidRPr="00D66290">
              <w:t>F179</w:t>
            </w:r>
          </w:p>
        </w:tc>
        <w:tc>
          <w:tcPr>
            <w:tcW w:w="1848" w:type="dxa"/>
          </w:tcPr>
          <w:p w14:paraId="7FB29275" w14:textId="77777777" w:rsidR="00D66290" w:rsidRPr="00D66290" w:rsidRDefault="00B63B0C" w:rsidP="00B50E58">
            <w:pPr>
              <w:spacing w:line="276" w:lineRule="auto"/>
            </w:pPr>
            <w:r>
              <w:t xml:space="preserve">Human </w:t>
            </w:r>
            <w:r w:rsidR="00D66290" w:rsidRPr="00D66290">
              <w:t>NQO1</w:t>
            </w:r>
          </w:p>
          <w:p w14:paraId="00A97F01" w14:textId="77777777" w:rsidR="00D66290" w:rsidRPr="00D66290" w:rsidRDefault="00D66290" w:rsidP="00B50E58">
            <w:pPr>
              <w:spacing w:line="276" w:lineRule="auto"/>
            </w:pPr>
            <w:r w:rsidRPr="00D66290">
              <w:t>hDT7</w:t>
            </w:r>
          </w:p>
        </w:tc>
        <w:tc>
          <w:tcPr>
            <w:tcW w:w="1849" w:type="dxa"/>
          </w:tcPr>
          <w:p w14:paraId="0179FD71" w14:textId="77777777" w:rsidR="00D66290" w:rsidRPr="00B63B0C" w:rsidRDefault="00B63B0C" w:rsidP="00B50E58">
            <w:pPr>
              <w:spacing w:line="276" w:lineRule="auto"/>
              <w:rPr>
                <w:lang w:val="fr-FR"/>
              </w:rPr>
            </w:pPr>
            <w:r w:rsidRPr="00B63B0C">
              <w:rPr>
                <w:i/>
                <w:lang w:val="fr-FR"/>
              </w:rPr>
              <w:t>E. coli</w:t>
            </w:r>
            <w:r>
              <w:rPr>
                <w:lang w:val="fr-FR"/>
              </w:rPr>
              <w:t xml:space="preserve"> </w:t>
            </w:r>
            <w:r w:rsidR="00D66290" w:rsidRPr="00B63B0C">
              <w:rPr>
                <w:lang w:val="fr-FR"/>
              </w:rPr>
              <w:t>NR</w:t>
            </w:r>
          </w:p>
          <w:p w14:paraId="3FFC94BF" w14:textId="77777777" w:rsidR="00D66290" w:rsidRPr="00B63B0C" w:rsidRDefault="00D66290" w:rsidP="00B50E58">
            <w:pPr>
              <w:spacing w:line="276" w:lineRule="auto"/>
              <w:rPr>
                <w:lang w:val="fr-FR"/>
              </w:rPr>
            </w:pPr>
            <w:r w:rsidRPr="00B63B0C">
              <w:rPr>
                <w:lang w:val="fr-FR"/>
              </w:rPr>
              <w:t>T116</w:t>
            </w:r>
          </w:p>
        </w:tc>
        <w:tc>
          <w:tcPr>
            <w:tcW w:w="1849" w:type="dxa"/>
          </w:tcPr>
          <w:p w14:paraId="57E3274E" w14:textId="77777777" w:rsidR="00D66290" w:rsidRPr="00B63B0C" w:rsidRDefault="00B63B0C" w:rsidP="00B50E58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R</w:t>
            </w:r>
            <w:r w:rsidR="003F1CA6" w:rsidRPr="00B63B0C">
              <w:rPr>
                <w:lang w:val="fr-FR"/>
              </w:rPr>
              <w:t xml:space="preserve">at </w:t>
            </w:r>
            <w:r w:rsidR="00D66290" w:rsidRPr="00B63B0C">
              <w:rPr>
                <w:lang w:val="fr-FR"/>
              </w:rPr>
              <w:t>NQO1</w:t>
            </w:r>
          </w:p>
          <w:p w14:paraId="4067CA9B" w14:textId="77777777" w:rsidR="00D66290" w:rsidRPr="00B63B0C" w:rsidRDefault="00D66290" w:rsidP="00B50E58">
            <w:pPr>
              <w:spacing w:line="276" w:lineRule="auto"/>
              <w:rPr>
                <w:lang w:val="fr-FR"/>
              </w:rPr>
            </w:pPr>
            <w:r w:rsidRPr="00B63B0C">
              <w:rPr>
                <w:lang w:val="fr-FR"/>
              </w:rPr>
              <w:t>186/6</w:t>
            </w:r>
          </w:p>
        </w:tc>
      </w:tr>
      <w:tr w:rsidR="00D66290" w:rsidRPr="00B63B0C" w14:paraId="4A5E1D1B" w14:textId="77777777" w:rsidTr="007151EB">
        <w:tc>
          <w:tcPr>
            <w:tcW w:w="1848" w:type="dxa"/>
          </w:tcPr>
          <w:p w14:paraId="384152F0" w14:textId="77777777" w:rsidR="00D66290" w:rsidRPr="00B63B0C" w:rsidRDefault="00D66290" w:rsidP="00D66290">
            <w:pPr>
              <w:spacing w:after="200" w:line="276" w:lineRule="auto"/>
              <w:rPr>
                <w:lang w:val="fr-FR"/>
              </w:rPr>
            </w:pPr>
            <w:r w:rsidRPr="00B63B0C">
              <w:rPr>
                <w:lang w:val="fr-FR"/>
              </w:rPr>
              <w:t>CB 1954</w:t>
            </w:r>
            <w:r w:rsidR="005E4473" w:rsidRPr="00B63B0C">
              <w:rPr>
                <w:lang w:val="fr-FR"/>
              </w:rPr>
              <w:t xml:space="preserve"> </w:t>
            </w:r>
            <w:r w:rsidR="005E4473" w:rsidRPr="00B63B0C">
              <w:rPr>
                <w:b/>
                <w:lang w:val="fr-FR"/>
              </w:rPr>
              <w:t>1</w:t>
            </w:r>
          </w:p>
        </w:tc>
        <w:tc>
          <w:tcPr>
            <w:tcW w:w="1848" w:type="dxa"/>
          </w:tcPr>
          <w:p w14:paraId="3D178779" w14:textId="77777777" w:rsidR="00D66290" w:rsidRPr="00B63B0C" w:rsidRDefault="00D66290" w:rsidP="00D66290">
            <w:pPr>
              <w:spacing w:after="200" w:line="276" w:lineRule="auto"/>
              <w:rPr>
                <w:lang w:val="fr-FR"/>
              </w:rPr>
            </w:pPr>
            <w:r w:rsidRPr="00B63B0C">
              <w:rPr>
                <w:lang w:val="fr-FR"/>
              </w:rPr>
              <w:t>195.9</w:t>
            </w:r>
          </w:p>
        </w:tc>
        <w:tc>
          <w:tcPr>
            <w:tcW w:w="1848" w:type="dxa"/>
          </w:tcPr>
          <w:p w14:paraId="4AB4EEF8" w14:textId="77777777" w:rsidR="00D66290" w:rsidRPr="00B63B0C" w:rsidRDefault="00D66290" w:rsidP="00D66290">
            <w:pPr>
              <w:spacing w:after="200" w:line="276" w:lineRule="auto"/>
              <w:rPr>
                <w:lang w:val="fr-FR"/>
              </w:rPr>
            </w:pPr>
            <w:r w:rsidRPr="00B63B0C">
              <w:rPr>
                <w:lang w:val="fr-FR"/>
              </w:rPr>
              <w:t>1.5</w:t>
            </w:r>
          </w:p>
        </w:tc>
        <w:tc>
          <w:tcPr>
            <w:tcW w:w="1849" w:type="dxa"/>
          </w:tcPr>
          <w:p w14:paraId="1A407AE9" w14:textId="77777777" w:rsidR="00D66290" w:rsidRPr="00B63B0C" w:rsidRDefault="00D66290" w:rsidP="00D66290">
            <w:pPr>
              <w:spacing w:after="200" w:line="276" w:lineRule="auto"/>
              <w:rPr>
                <w:lang w:val="fr-FR"/>
              </w:rPr>
            </w:pPr>
            <w:r w:rsidRPr="00B63B0C">
              <w:rPr>
                <w:lang w:val="fr-FR"/>
              </w:rPr>
              <w:t>0.03</w:t>
            </w:r>
          </w:p>
        </w:tc>
        <w:tc>
          <w:tcPr>
            <w:tcW w:w="1849" w:type="dxa"/>
          </w:tcPr>
          <w:p w14:paraId="36B7F5D1" w14:textId="77777777" w:rsidR="00D66290" w:rsidRPr="00B63B0C" w:rsidRDefault="00D66290" w:rsidP="00D66290">
            <w:pPr>
              <w:spacing w:after="200" w:line="276" w:lineRule="auto"/>
              <w:rPr>
                <w:lang w:val="fr-FR"/>
              </w:rPr>
            </w:pPr>
            <w:r w:rsidRPr="00B63B0C">
              <w:rPr>
                <w:lang w:val="fr-FR"/>
              </w:rPr>
              <w:t>0.05</w:t>
            </w:r>
          </w:p>
        </w:tc>
      </w:tr>
      <w:tr w:rsidR="00D66290" w:rsidRPr="00B63B0C" w14:paraId="578E30FF" w14:textId="77777777" w:rsidTr="007151EB">
        <w:tc>
          <w:tcPr>
            <w:tcW w:w="1848" w:type="dxa"/>
          </w:tcPr>
          <w:p w14:paraId="178F67E8" w14:textId="0AE8FE8D" w:rsidR="00D66290" w:rsidRPr="00B63B0C" w:rsidRDefault="00D66290" w:rsidP="002B3D61">
            <w:pPr>
              <w:spacing w:after="200" w:line="276" w:lineRule="auto"/>
              <w:rPr>
                <w:lang w:val="fr-FR"/>
              </w:rPr>
            </w:pPr>
            <w:r w:rsidRPr="00B63B0C">
              <w:rPr>
                <w:b/>
                <w:lang w:val="fr-FR"/>
              </w:rPr>
              <w:t xml:space="preserve">8a </w:t>
            </w:r>
          </w:p>
        </w:tc>
        <w:tc>
          <w:tcPr>
            <w:tcW w:w="1848" w:type="dxa"/>
          </w:tcPr>
          <w:p w14:paraId="7391F39D" w14:textId="77777777" w:rsidR="00D66290" w:rsidRPr="00B63B0C" w:rsidRDefault="00D66290" w:rsidP="00D66290">
            <w:pPr>
              <w:spacing w:after="200" w:line="276" w:lineRule="auto"/>
              <w:rPr>
                <w:lang w:val="fr-FR"/>
              </w:rPr>
            </w:pPr>
            <w:r w:rsidRPr="00B63B0C">
              <w:rPr>
                <w:lang w:val="fr-FR"/>
              </w:rPr>
              <w:t>3.3</w:t>
            </w:r>
          </w:p>
        </w:tc>
        <w:tc>
          <w:tcPr>
            <w:tcW w:w="1848" w:type="dxa"/>
          </w:tcPr>
          <w:p w14:paraId="413BC10D" w14:textId="77777777" w:rsidR="00D66290" w:rsidRPr="00B63B0C" w:rsidRDefault="00D66290" w:rsidP="00D66290">
            <w:pPr>
              <w:spacing w:after="200" w:line="276" w:lineRule="auto"/>
              <w:rPr>
                <w:lang w:val="fr-FR"/>
              </w:rPr>
            </w:pPr>
            <w:r w:rsidRPr="00B63B0C">
              <w:rPr>
                <w:lang w:val="fr-FR"/>
              </w:rPr>
              <w:t>2.8</w:t>
            </w:r>
          </w:p>
        </w:tc>
        <w:tc>
          <w:tcPr>
            <w:tcW w:w="1849" w:type="dxa"/>
          </w:tcPr>
          <w:p w14:paraId="2C69E2AB" w14:textId="77777777" w:rsidR="00D66290" w:rsidRPr="00B63B0C" w:rsidRDefault="00D66290" w:rsidP="00D66290">
            <w:pPr>
              <w:spacing w:after="200" w:line="276" w:lineRule="auto"/>
              <w:rPr>
                <w:lang w:val="fr-FR"/>
              </w:rPr>
            </w:pPr>
            <w:r w:rsidRPr="00B63B0C">
              <w:rPr>
                <w:lang w:val="fr-FR"/>
              </w:rPr>
              <w:t>3.1</w:t>
            </w:r>
          </w:p>
        </w:tc>
        <w:tc>
          <w:tcPr>
            <w:tcW w:w="1849" w:type="dxa"/>
          </w:tcPr>
          <w:p w14:paraId="752996E1" w14:textId="77777777" w:rsidR="00D66290" w:rsidRPr="00B63B0C" w:rsidRDefault="00D66290" w:rsidP="00D66290">
            <w:pPr>
              <w:spacing w:after="200" w:line="276" w:lineRule="auto"/>
              <w:rPr>
                <w:lang w:val="fr-FR"/>
              </w:rPr>
            </w:pPr>
            <w:r w:rsidRPr="00B63B0C">
              <w:rPr>
                <w:lang w:val="fr-FR"/>
              </w:rPr>
              <w:t>2.9</w:t>
            </w:r>
          </w:p>
        </w:tc>
      </w:tr>
      <w:tr w:rsidR="00D66290" w:rsidRPr="00B63B0C" w14:paraId="63D1954F" w14:textId="77777777" w:rsidTr="007151EB">
        <w:tc>
          <w:tcPr>
            <w:tcW w:w="1848" w:type="dxa"/>
          </w:tcPr>
          <w:p w14:paraId="04FA78D6" w14:textId="277A0F03" w:rsidR="00D66290" w:rsidRPr="00B63B0C" w:rsidRDefault="00D66290" w:rsidP="002B3D61">
            <w:pPr>
              <w:spacing w:after="200" w:line="276" w:lineRule="auto"/>
              <w:rPr>
                <w:lang w:val="fr-FR"/>
              </w:rPr>
            </w:pPr>
            <w:r w:rsidRPr="00B63B0C">
              <w:rPr>
                <w:b/>
                <w:lang w:val="fr-FR"/>
              </w:rPr>
              <w:t>8b</w:t>
            </w:r>
            <w:r w:rsidRPr="00B63B0C">
              <w:rPr>
                <w:lang w:val="fr-FR"/>
              </w:rPr>
              <w:t xml:space="preserve"> </w:t>
            </w:r>
          </w:p>
        </w:tc>
        <w:tc>
          <w:tcPr>
            <w:tcW w:w="1848" w:type="dxa"/>
          </w:tcPr>
          <w:p w14:paraId="17FA6730" w14:textId="77777777" w:rsidR="00D66290" w:rsidRPr="00B63B0C" w:rsidRDefault="00D66290" w:rsidP="00D66290">
            <w:pPr>
              <w:spacing w:after="200" w:line="276" w:lineRule="auto"/>
              <w:rPr>
                <w:lang w:val="fr-FR"/>
              </w:rPr>
            </w:pPr>
            <w:r w:rsidRPr="00B63B0C">
              <w:rPr>
                <w:lang w:val="fr-FR"/>
              </w:rPr>
              <w:t>37.8</w:t>
            </w:r>
          </w:p>
        </w:tc>
        <w:tc>
          <w:tcPr>
            <w:tcW w:w="1848" w:type="dxa"/>
          </w:tcPr>
          <w:p w14:paraId="7C554DD0" w14:textId="77777777" w:rsidR="00D66290" w:rsidRPr="00B63B0C" w:rsidRDefault="00D66290" w:rsidP="00D66290">
            <w:pPr>
              <w:spacing w:after="200" w:line="276" w:lineRule="auto"/>
              <w:rPr>
                <w:lang w:val="fr-FR"/>
              </w:rPr>
            </w:pPr>
            <w:r w:rsidRPr="00B63B0C">
              <w:rPr>
                <w:lang w:val="fr-FR"/>
              </w:rPr>
              <w:t>27.5</w:t>
            </w:r>
          </w:p>
        </w:tc>
        <w:tc>
          <w:tcPr>
            <w:tcW w:w="1849" w:type="dxa"/>
          </w:tcPr>
          <w:p w14:paraId="6F97194C" w14:textId="77777777" w:rsidR="00D66290" w:rsidRPr="00B63B0C" w:rsidRDefault="00D66290" w:rsidP="00D66290">
            <w:pPr>
              <w:spacing w:after="200" w:line="276" w:lineRule="auto"/>
              <w:rPr>
                <w:lang w:val="fr-FR"/>
              </w:rPr>
            </w:pPr>
            <w:r w:rsidRPr="00B63B0C">
              <w:rPr>
                <w:lang w:val="fr-FR"/>
              </w:rPr>
              <w:t>3.1</w:t>
            </w:r>
          </w:p>
        </w:tc>
        <w:tc>
          <w:tcPr>
            <w:tcW w:w="1849" w:type="dxa"/>
          </w:tcPr>
          <w:p w14:paraId="12B278D1" w14:textId="77777777" w:rsidR="00D66290" w:rsidRPr="00B63B0C" w:rsidRDefault="00D66290" w:rsidP="00D66290">
            <w:pPr>
              <w:spacing w:after="200" w:line="276" w:lineRule="auto"/>
              <w:rPr>
                <w:lang w:val="fr-FR"/>
              </w:rPr>
            </w:pPr>
            <w:r w:rsidRPr="00B63B0C">
              <w:rPr>
                <w:lang w:val="fr-FR"/>
              </w:rPr>
              <w:t>22.6</w:t>
            </w:r>
          </w:p>
        </w:tc>
      </w:tr>
      <w:tr w:rsidR="00D66290" w:rsidRPr="00D66290" w14:paraId="2C3D56D4" w14:textId="77777777" w:rsidTr="007151EB">
        <w:tc>
          <w:tcPr>
            <w:tcW w:w="1848" w:type="dxa"/>
          </w:tcPr>
          <w:p w14:paraId="7A59D80E" w14:textId="109EAAE1" w:rsidR="00D66290" w:rsidRPr="00B63B0C" w:rsidRDefault="00D66290" w:rsidP="002B3D61">
            <w:pPr>
              <w:spacing w:after="200" w:line="276" w:lineRule="auto"/>
              <w:rPr>
                <w:b/>
                <w:lang w:val="fr-FR"/>
              </w:rPr>
            </w:pPr>
            <w:r w:rsidRPr="00B63B0C">
              <w:rPr>
                <w:b/>
                <w:lang w:val="fr-FR"/>
              </w:rPr>
              <w:t xml:space="preserve">8c </w:t>
            </w:r>
          </w:p>
        </w:tc>
        <w:tc>
          <w:tcPr>
            <w:tcW w:w="1848" w:type="dxa"/>
          </w:tcPr>
          <w:p w14:paraId="63C2818D" w14:textId="77777777" w:rsidR="00D66290" w:rsidRPr="00B63B0C" w:rsidRDefault="00D66290" w:rsidP="00D66290">
            <w:pPr>
              <w:spacing w:after="200" w:line="276" w:lineRule="auto"/>
              <w:rPr>
                <w:lang w:val="fr-FR"/>
              </w:rPr>
            </w:pPr>
            <w:r w:rsidRPr="00B63B0C">
              <w:rPr>
                <w:lang w:val="fr-FR"/>
              </w:rPr>
              <w:t>7.3</w:t>
            </w:r>
          </w:p>
        </w:tc>
        <w:tc>
          <w:tcPr>
            <w:tcW w:w="1848" w:type="dxa"/>
          </w:tcPr>
          <w:p w14:paraId="37F0F0CA" w14:textId="77777777" w:rsidR="00D66290" w:rsidRPr="00B63B0C" w:rsidRDefault="00D66290" w:rsidP="00D66290">
            <w:pPr>
              <w:spacing w:after="200" w:line="276" w:lineRule="auto"/>
              <w:rPr>
                <w:lang w:val="fr-FR"/>
              </w:rPr>
            </w:pPr>
            <w:r w:rsidRPr="00B63B0C">
              <w:rPr>
                <w:lang w:val="fr-FR"/>
              </w:rPr>
              <w:t>5.9</w:t>
            </w:r>
          </w:p>
        </w:tc>
        <w:tc>
          <w:tcPr>
            <w:tcW w:w="1849" w:type="dxa"/>
          </w:tcPr>
          <w:p w14:paraId="315244CF" w14:textId="77777777" w:rsidR="00D66290" w:rsidRPr="00B63B0C" w:rsidRDefault="00D66290" w:rsidP="00D66290">
            <w:pPr>
              <w:spacing w:after="200" w:line="276" w:lineRule="auto"/>
              <w:rPr>
                <w:lang w:val="fr-FR"/>
              </w:rPr>
            </w:pPr>
            <w:r w:rsidRPr="00B63B0C">
              <w:rPr>
                <w:lang w:val="fr-FR"/>
              </w:rPr>
              <w:t>2.9</w:t>
            </w:r>
          </w:p>
        </w:tc>
        <w:tc>
          <w:tcPr>
            <w:tcW w:w="1849" w:type="dxa"/>
          </w:tcPr>
          <w:p w14:paraId="3C26815B" w14:textId="77777777" w:rsidR="00D66290" w:rsidRPr="00D66290" w:rsidRDefault="00D66290" w:rsidP="00D66290">
            <w:pPr>
              <w:spacing w:after="200" w:line="276" w:lineRule="auto"/>
            </w:pPr>
            <w:r w:rsidRPr="00B63B0C">
              <w:rPr>
                <w:lang w:val="fr-FR"/>
              </w:rPr>
              <w:t>5.</w:t>
            </w:r>
            <w:r w:rsidRPr="00D66290">
              <w:t>8</w:t>
            </w:r>
          </w:p>
        </w:tc>
      </w:tr>
      <w:tr w:rsidR="00D66290" w:rsidRPr="00D66290" w14:paraId="1D0CA91E" w14:textId="77777777" w:rsidTr="007151EB">
        <w:tc>
          <w:tcPr>
            <w:tcW w:w="1848" w:type="dxa"/>
          </w:tcPr>
          <w:p w14:paraId="4838C387" w14:textId="320E2379" w:rsidR="00D66290" w:rsidRPr="00D66290" w:rsidRDefault="00D66290" w:rsidP="002B3D61">
            <w:pPr>
              <w:spacing w:after="200" w:line="276" w:lineRule="auto"/>
              <w:rPr>
                <w:b/>
              </w:rPr>
            </w:pPr>
            <w:r w:rsidRPr="00D66290">
              <w:rPr>
                <w:b/>
              </w:rPr>
              <w:t xml:space="preserve">8d </w:t>
            </w:r>
          </w:p>
        </w:tc>
        <w:tc>
          <w:tcPr>
            <w:tcW w:w="1848" w:type="dxa"/>
          </w:tcPr>
          <w:p w14:paraId="44B1FAF1" w14:textId="77777777" w:rsidR="00D66290" w:rsidRPr="00D66290" w:rsidRDefault="00D66290" w:rsidP="00D66290">
            <w:pPr>
              <w:spacing w:after="200" w:line="276" w:lineRule="auto"/>
            </w:pPr>
            <w:r w:rsidRPr="00D66290">
              <w:t>36.6</w:t>
            </w:r>
          </w:p>
        </w:tc>
        <w:tc>
          <w:tcPr>
            <w:tcW w:w="1848" w:type="dxa"/>
          </w:tcPr>
          <w:p w14:paraId="7AF4D4C7" w14:textId="77777777" w:rsidR="00D66290" w:rsidRPr="00D66290" w:rsidRDefault="00D66290" w:rsidP="00D66290">
            <w:pPr>
              <w:spacing w:after="200" w:line="276" w:lineRule="auto"/>
            </w:pPr>
            <w:r w:rsidRPr="00D66290">
              <w:t>31.2</w:t>
            </w:r>
          </w:p>
        </w:tc>
        <w:tc>
          <w:tcPr>
            <w:tcW w:w="1849" w:type="dxa"/>
          </w:tcPr>
          <w:p w14:paraId="1D93BF58" w14:textId="77777777" w:rsidR="00D66290" w:rsidRPr="00D66290" w:rsidRDefault="00D66290" w:rsidP="00D66290">
            <w:pPr>
              <w:spacing w:after="200" w:line="276" w:lineRule="auto"/>
            </w:pPr>
            <w:r w:rsidRPr="00D66290">
              <w:t>39.1</w:t>
            </w:r>
          </w:p>
        </w:tc>
        <w:tc>
          <w:tcPr>
            <w:tcW w:w="1849" w:type="dxa"/>
          </w:tcPr>
          <w:p w14:paraId="48205FEC" w14:textId="77777777" w:rsidR="00D66290" w:rsidRPr="00D66290" w:rsidRDefault="00D66290" w:rsidP="00D66290">
            <w:pPr>
              <w:spacing w:after="200" w:line="276" w:lineRule="auto"/>
            </w:pPr>
            <w:r w:rsidRPr="00D66290">
              <w:t>34.4</w:t>
            </w:r>
          </w:p>
        </w:tc>
      </w:tr>
      <w:tr w:rsidR="00D66290" w:rsidRPr="00D66290" w14:paraId="6624CC9C" w14:textId="77777777" w:rsidTr="007151EB">
        <w:tc>
          <w:tcPr>
            <w:tcW w:w="1848" w:type="dxa"/>
          </w:tcPr>
          <w:p w14:paraId="09C0A936" w14:textId="6373B976" w:rsidR="00D66290" w:rsidRPr="00D66290" w:rsidRDefault="00D66290" w:rsidP="002B3D61">
            <w:pPr>
              <w:spacing w:after="200" w:line="276" w:lineRule="auto"/>
            </w:pPr>
            <w:r w:rsidRPr="00D66290">
              <w:rPr>
                <w:b/>
              </w:rPr>
              <w:t xml:space="preserve">8e </w:t>
            </w:r>
          </w:p>
        </w:tc>
        <w:tc>
          <w:tcPr>
            <w:tcW w:w="1848" w:type="dxa"/>
          </w:tcPr>
          <w:p w14:paraId="3F2830C5" w14:textId="77777777" w:rsidR="00D66290" w:rsidRPr="00D66290" w:rsidRDefault="00D66290" w:rsidP="00D66290">
            <w:pPr>
              <w:spacing w:after="200" w:line="276" w:lineRule="auto"/>
            </w:pPr>
            <w:r w:rsidRPr="00D66290">
              <w:t>49.0</w:t>
            </w:r>
          </w:p>
        </w:tc>
        <w:tc>
          <w:tcPr>
            <w:tcW w:w="1848" w:type="dxa"/>
          </w:tcPr>
          <w:p w14:paraId="03E3B93B" w14:textId="77777777" w:rsidR="00D66290" w:rsidRPr="00D66290" w:rsidRDefault="00D66290" w:rsidP="00D66290">
            <w:pPr>
              <w:spacing w:after="200" w:line="276" w:lineRule="auto"/>
            </w:pPr>
            <w:r w:rsidRPr="00D66290">
              <w:t>43.1</w:t>
            </w:r>
          </w:p>
        </w:tc>
        <w:tc>
          <w:tcPr>
            <w:tcW w:w="1849" w:type="dxa"/>
          </w:tcPr>
          <w:p w14:paraId="5245C0BC" w14:textId="77777777" w:rsidR="00D66290" w:rsidRPr="00D66290" w:rsidRDefault="00D66290" w:rsidP="00D66290">
            <w:pPr>
              <w:spacing w:after="200" w:line="276" w:lineRule="auto"/>
            </w:pPr>
            <w:r w:rsidRPr="00D66290">
              <w:t>1.2</w:t>
            </w:r>
          </w:p>
        </w:tc>
        <w:tc>
          <w:tcPr>
            <w:tcW w:w="1849" w:type="dxa"/>
          </w:tcPr>
          <w:p w14:paraId="58FFBDE5" w14:textId="77777777" w:rsidR="00D66290" w:rsidRPr="00D66290" w:rsidRDefault="00D66290" w:rsidP="00D66290">
            <w:pPr>
              <w:spacing w:after="200" w:line="276" w:lineRule="auto"/>
            </w:pPr>
            <w:r w:rsidRPr="00D66290">
              <w:t>36.6</w:t>
            </w:r>
          </w:p>
        </w:tc>
      </w:tr>
    </w:tbl>
    <w:p w14:paraId="2CCA7562" w14:textId="77777777" w:rsidR="00D66290" w:rsidRPr="00D66290" w:rsidRDefault="00D66290" w:rsidP="00D66290"/>
    <w:p w14:paraId="6E05FBFA" w14:textId="699EE245" w:rsidR="00AA2720" w:rsidRDefault="000C4607" w:rsidP="00AA2720">
      <w:r w:rsidRPr="004B0E0B">
        <w:rPr>
          <w:b/>
        </w:rPr>
        <w:t>Table 2</w:t>
      </w:r>
      <w:r>
        <w:t xml:space="preserve">. </w:t>
      </w:r>
      <w:r w:rsidR="003120BA">
        <w:t>IC</w:t>
      </w:r>
      <w:r w:rsidR="003120BA" w:rsidRPr="003120BA">
        <w:rPr>
          <w:vertAlign w:val="subscript"/>
        </w:rPr>
        <w:t>50</w:t>
      </w:r>
      <w:r w:rsidR="003120BA">
        <w:t xml:space="preserve"> values (µmol) </w:t>
      </w:r>
      <w:r>
        <w:t xml:space="preserve">of prodrugs </w:t>
      </w:r>
      <w:r w:rsidRPr="000C4607">
        <w:rPr>
          <w:b/>
        </w:rPr>
        <w:t>8</w:t>
      </w:r>
      <w:r w:rsidR="002B3D61">
        <w:rPr>
          <w:b/>
        </w:rPr>
        <w:t>a-e</w:t>
      </w:r>
      <w:r>
        <w:t xml:space="preserve"> </w:t>
      </w:r>
      <w:r w:rsidR="003F1CA6">
        <w:t xml:space="preserve">and </w:t>
      </w:r>
      <w:r>
        <w:t xml:space="preserve">CB 1954 </w:t>
      </w:r>
      <w:r w:rsidRPr="000C4607">
        <w:rPr>
          <w:b/>
        </w:rPr>
        <w:t>1</w:t>
      </w:r>
      <w:r w:rsidR="00AA2720" w:rsidRPr="00AA2720">
        <w:t>.</w:t>
      </w:r>
    </w:p>
    <w:p w14:paraId="3ECAFBA2" w14:textId="77777777" w:rsidR="002B3D61" w:rsidRPr="008C525A" w:rsidRDefault="002B3D61" w:rsidP="00AA2720">
      <w:pPr>
        <w:rPr>
          <w:color w:val="FF0000"/>
        </w:rPr>
      </w:pPr>
    </w:p>
    <w:p w14:paraId="0A8157C7" w14:textId="77777777" w:rsidR="00612192" w:rsidRDefault="00612192" w:rsidP="005E24B2">
      <w:r>
        <w:object w:dxaOrig="9430" w:dyaOrig="2865" w14:anchorId="16049422">
          <v:shape id="_x0000_i1028" type="#_x0000_t75" style="width:451.5pt;height:137.25pt" o:ole="">
            <v:imagedata r:id="rId14" o:title=""/>
          </v:shape>
          <o:OLEObject Type="Embed" ProgID="ChemDraw.Document.6.0" ShapeID="_x0000_i1028" DrawAspect="Content" ObjectID="_1540621546" r:id="rId15"/>
        </w:object>
      </w:r>
    </w:p>
    <w:p w14:paraId="1F11209F" w14:textId="77777777" w:rsidR="00612192" w:rsidRPr="00612192" w:rsidRDefault="00612192" w:rsidP="00612192">
      <w:r w:rsidRPr="00612192">
        <w:rPr>
          <w:b/>
        </w:rPr>
        <w:lastRenderedPageBreak/>
        <w:t>Scheme 2</w:t>
      </w:r>
      <w:r>
        <w:t>.</w:t>
      </w:r>
      <w:r w:rsidRPr="00612192">
        <w:rPr>
          <w:i/>
        </w:rPr>
        <w:t xml:space="preserve"> N</w:t>
      </w:r>
      <w:r>
        <w:t>-Nitroaryl a</w:t>
      </w:r>
      <w:r w:rsidRPr="00612192">
        <w:t>ziridinium intermediates as potential mono-alkylating agents.</w:t>
      </w:r>
    </w:p>
    <w:p w14:paraId="6F1D377F" w14:textId="2A368E85" w:rsidR="00612192" w:rsidRPr="002A0372" w:rsidRDefault="002A0372" w:rsidP="005E24B2">
      <w:r w:rsidRPr="002A0372">
        <w:t xml:space="preserve">In conclusion, it is clear that all of the prodrugs </w:t>
      </w:r>
      <w:r w:rsidRPr="002A0372">
        <w:rPr>
          <w:b/>
        </w:rPr>
        <w:t>8a-8e</w:t>
      </w:r>
      <w:r w:rsidRPr="002A0372">
        <w:t xml:space="preserve"> examined in this study are significantly less cytotoxic than CB 1954 </w:t>
      </w:r>
      <w:r w:rsidRPr="002A0372">
        <w:rPr>
          <w:b/>
        </w:rPr>
        <w:t>1</w:t>
      </w:r>
      <w:r w:rsidRPr="002A0372">
        <w:t xml:space="preserve"> in the </w:t>
      </w:r>
      <w:r w:rsidRPr="002A0372">
        <w:rPr>
          <w:i/>
        </w:rPr>
        <w:t>E. coli</w:t>
      </w:r>
      <w:r w:rsidRPr="002A0372">
        <w:t xml:space="preserve"> NR and rat NQO1 cell-lines. Compounds </w:t>
      </w:r>
      <w:r w:rsidRPr="002A0372">
        <w:rPr>
          <w:b/>
        </w:rPr>
        <w:t>8a</w:t>
      </w:r>
      <w:r w:rsidRPr="002A0372">
        <w:t xml:space="preserve"> and </w:t>
      </w:r>
      <w:r w:rsidRPr="002A0372">
        <w:rPr>
          <w:b/>
        </w:rPr>
        <w:t>8c</w:t>
      </w:r>
      <w:r w:rsidRPr="002A0372">
        <w:t xml:space="preserve"> displayed IC</w:t>
      </w:r>
      <w:r w:rsidRPr="002A0372">
        <w:rPr>
          <w:vertAlign w:val="subscript"/>
        </w:rPr>
        <w:t>50</w:t>
      </w:r>
      <w:r w:rsidRPr="002A0372">
        <w:t xml:space="preserve"> values that are reasonably aligned to that of CB 1954 </w:t>
      </w:r>
      <w:r w:rsidRPr="002A0372">
        <w:rPr>
          <w:b/>
        </w:rPr>
        <w:t>1</w:t>
      </w:r>
      <w:r w:rsidRPr="002A0372">
        <w:t xml:space="preserve">, but only in the human NQO1 cell-line. The </w:t>
      </w:r>
      <w:r w:rsidRPr="003D7A6A">
        <w:t>cytotox</w:t>
      </w:r>
      <w:r w:rsidR="001124D4" w:rsidRPr="003D7A6A">
        <w:t>i</w:t>
      </w:r>
      <w:r w:rsidRPr="003D7A6A">
        <w:t>city</w:t>
      </w:r>
      <w:r w:rsidRPr="002A0372">
        <w:t xml:space="preserve"> studies suggest that these prodrugs may be functioning as mono-functional alkylating agents.</w:t>
      </w:r>
    </w:p>
    <w:p w14:paraId="4EE6E4C5" w14:textId="77777777" w:rsidR="00177284" w:rsidRPr="00177284" w:rsidRDefault="00177284" w:rsidP="00177284">
      <w:pPr>
        <w:rPr>
          <w:b/>
        </w:rPr>
      </w:pPr>
      <w:r w:rsidRPr="00177284">
        <w:rPr>
          <w:b/>
        </w:rPr>
        <w:t>Acknowledgements</w:t>
      </w:r>
    </w:p>
    <w:p w14:paraId="0AE3271F" w14:textId="10076567" w:rsidR="00177284" w:rsidRPr="00177284" w:rsidRDefault="00177284" w:rsidP="00177284">
      <w:r w:rsidRPr="00177284">
        <w:t>We thank the EPSRC for a CASE award (to I.T.M) and Morvus Technology and Northumbria University for a studentship (to L.C.W). We also thank the EPSRC national mass spectrometry facility, Swansea, for high resolution mass spectra.</w:t>
      </w:r>
    </w:p>
    <w:p w14:paraId="476083AA" w14:textId="77777777" w:rsidR="00B0566D" w:rsidRDefault="006E7166" w:rsidP="006E7166">
      <w:pPr>
        <w:rPr>
          <w:b/>
        </w:rPr>
      </w:pPr>
      <w:r w:rsidRPr="006E7166">
        <w:rPr>
          <w:b/>
        </w:rPr>
        <w:t>References and notes</w:t>
      </w:r>
    </w:p>
    <w:p w14:paraId="5CA7DB76" w14:textId="7D5B5B76" w:rsidR="002819DC" w:rsidRPr="003D7A6A" w:rsidRDefault="00956784" w:rsidP="00956784">
      <w:pPr>
        <w:spacing w:after="0"/>
      </w:pPr>
      <w:r w:rsidRPr="003D7A6A">
        <w:t>1.</w:t>
      </w:r>
      <w:r w:rsidR="002819DC" w:rsidRPr="003D7A6A">
        <w:t xml:space="preserve"> Knox, R. J.; Burke, P. J.; Chen, S.; Kerr, D. J. </w:t>
      </w:r>
      <w:r w:rsidR="002819DC" w:rsidRPr="003D7A6A">
        <w:rPr>
          <w:i/>
        </w:rPr>
        <w:t>Curr. Pharm. Des</w:t>
      </w:r>
      <w:r w:rsidR="002819DC" w:rsidRPr="003D7A6A">
        <w:t xml:space="preserve">. </w:t>
      </w:r>
      <w:r w:rsidR="002819DC" w:rsidRPr="003D7A6A">
        <w:rPr>
          <w:b/>
        </w:rPr>
        <w:t>2003</w:t>
      </w:r>
      <w:r w:rsidR="002819DC" w:rsidRPr="003D7A6A">
        <w:t xml:space="preserve">, </w:t>
      </w:r>
      <w:r w:rsidR="002819DC" w:rsidRPr="003D7A6A">
        <w:rPr>
          <w:i/>
        </w:rPr>
        <w:t>9</w:t>
      </w:r>
      <w:r w:rsidR="00A95BDA" w:rsidRPr="003D7A6A">
        <w:t>, 2091</w:t>
      </w:r>
      <w:r w:rsidR="002819DC" w:rsidRPr="003D7A6A">
        <w:t>.</w:t>
      </w:r>
    </w:p>
    <w:p w14:paraId="2E9B1B61" w14:textId="4E7DB72C" w:rsidR="00C40FF1" w:rsidRPr="003D7A6A" w:rsidRDefault="00956784" w:rsidP="00956784">
      <w:pPr>
        <w:spacing w:after="0"/>
      </w:pPr>
      <w:r w:rsidRPr="003D7A6A">
        <w:t>2.</w:t>
      </w:r>
      <w:r w:rsidR="00B0566D" w:rsidRPr="003D7A6A">
        <w:t xml:space="preserve"> Knox, R. J.; Friedlos, F.; Jarman, M.; Roberts, J. J. </w:t>
      </w:r>
      <w:r w:rsidR="00246868" w:rsidRPr="003D7A6A">
        <w:rPr>
          <w:i/>
        </w:rPr>
        <w:t>Biochem. Pharma</w:t>
      </w:r>
      <w:r w:rsidR="00B0566D" w:rsidRPr="003D7A6A">
        <w:rPr>
          <w:i/>
        </w:rPr>
        <w:t xml:space="preserve">col. </w:t>
      </w:r>
      <w:r w:rsidR="00B0566D" w:rsidRPr="003D7A6A">
        <w:rPr>
          <w:b/>
        </w:rPr>
        <w:t>1988</w:t>
      </w:r>
      <w:r w:rsidR="00B0566D" w:rsidRPr="003D7A6A">
        <w:rPr>
          <w:i/>
        </w:rPr>
        <w:t>, 37</w:t>
      </w:r>
      <w:r w:rsidR="006A026A" w:rsidRPr="003D7A6A">
        <w:t>, 46</w:t>
      </w:r>
      <w:r w:rsidR="00A95BDA" w:rsidRPr="003D7A6A">
        <w:t>61</w:t>
      </w:r>
      <w:r w:rsidR="00B0566D" w:rsidRPr="003D7A6A">
        <w:t>.</w:t>
      </w:r>
    </w:p>
    <w:p w14:paraId="0F762618" w14:textId="65A730BD" w:rsidR="005D3DFC" w:rsidRPr="003D7A6A" w:rsidRDefault="00956784" w:rsidP="00956784">
      <w:pPr>
        <w:spacing w:after="0"/>
      </w:pPr>
      <w:r w:rsidRPr="003D7A6A">
        <w:t>3.</w:t>
      </w:r>
      <w:r w:rsidR="005D3DFC" w:rsidRPr="003D7A6A">
        <w:t xml:space="preserve"> Boland, M.; Knox, R.; Roberts, J. </w:t>
      </w:r>
      <w:r w:rsidR="001B09DB" w:rsidRPr="003D7A6A">
        <w:rPr>
          <w:i/>
        </w:rPr>
        <w:t>Biochem. Pharma</w:t>
      </w:r>
      <w:r w:rsidR="005D3DFC" w:rsidRPr="003D7A6A">
        <w:rPr>
          <w:i/>
        </w:rPr>
        <w:t xml:space="preserve">col. </w:t>
      </w:r>
      <w:r w:rsidR="005D3DFC" w:rsidRPr="003D7A6A">
        <w:rPr>
          <w:b/>
        </w:rPr>
        <w:t>1991</w:t>
      </w:r>
      <w:r w:rsidR="005D3DFC" w:rsidRPr="003D7A6A">
        <w:rPr>
          <w:i/>
        </w:rPr>
        <w:t>, 41</w:t>
      </w:r>
      <w:r w:rsidR="00A95BDA" w:rsidRPr="003D7A6A">
        <w:t>, 867</w:t>
      </w:r>
      <w:r w:rsidR="005D3DFC" w:rsidRPr="003D7A6A">
        <w:t xml:space="preserve">. </w:t>
      </w:r>
    </w:p>
    <w:p w14:paraId="42A00FA1" w14:textId="04228592" w:rsidR="00CE48F0" w:rsidRPr="003D7A6A" w:rsidRDefault="00956784" w:rsidP="00956784">
      <w:pPr>
        <w:spacing w:after="0"/>
      </w:pPr>
      <w:r w:rsidRPr="003D7A6A">
        <w:t>4.</w:t>
      </w:r>
      <w:r w:rsidR="00CE48F0" w:rsidRPr="003D7A6A">
        <w:t xml:space="preserve"> Knox, R. J.; Friedlos, F.; Marchbank, T.; Roberts, J. J. </w:t>
      </w:r>
      <w:r w:rsidR="001B09DB" w:rsidRPr="003D7A6A">
        <w:rPr>
          <w:i/>
        </w:rPr>
        <w:t>Biochem. Pharma</w:t>
      </w:r>
      <w:r w:rsidR="00CE48F0" w:rsidRPr="003D7A6A">
        <w:rPr>
          <w:i/>
        </w:rPr>
        <w:t xml:space="preserve">col. </w:t>
      </w:r>
      <w:r w:rsidR="00CE48F0" w:rsidRPr="003D7A6A">
        <w:rPr>
          <w:b/>
        </w:rPr>
        <w:t>1991</w:t>
      </w:r>
      <w:r w:rsidR="00CE48F0" w:rsidRPr="003D7A6A">
        <w:rPr>
          <w:i/>
        </w:rPr>
        <w:t>, 42</w:t>
      </w:r>
      <w:r w:rsidR="00A95BDA" w:rsidRPr="003D7A6A">
        <w:t>, 1691</w:t>
      </w:r>
      <w:r w:rsidR="00CE48F0" w:rsidRPr="003D7A6A">
        <w:t>.</w:t>
      </w:r>
    </w:p>
    <w:p w14:paraId="11847413" w14:textId="3A2A900A" w:rsidR="007D64B9" w:rsidRPr="003D7A6A" w:rsidRDefault="00956784" w:rsidP="00956784">
      <w:pPr>
        <w:spacing w:after="0"/>
        <w:rPr>
          <w:lang w:val="de-DE"/>
        </w:rPr>
      </w:pPr>
      <w:r w:rsidRPr="003D7A6A">
        <w:t>5.</w:t>
      </w:r>
      <w:r w:rsidR="007D64B9" w:rsidRPr="003D7A6A">
        <w:t xml:space="preserve"> Cresteil, T.; Jaiswal, A. K. </w:t>
      </w:r>
      <w:r w:rsidR="007D64B9" w:rsidRPr="003D7A6A">
        <w:rPr>
          <w:i/>
        </w:rPr>
        <w:t xml:space="preserve">Biochem. </w:t>
      </w:r>
      <w:r w:rsidR="001B09DB" w:rsidRPr="003D7A6A">
        <w:rPr>
          <w:i/>
        </w:rPr>
        <w:t>Pharma</w:t>
      </w:r>
      <w:r w:rsidR="007D64B9" w:rsidRPr="003D7A6A">
        <w:rPr>
          <w:i/>
        </w:rPr>
        <w:t xml:space="preserve">col. </w:t>
      </w:r>
      <w:r w:rsidR="007D64B9" w:rsidRPr="003D7A6A">
        <w:rPr>
          <w:b/>
          <w:lang w:val="de-DE"/>
        </w:rPr>
        <w:t>1991</w:t>
      </w:r>
      <w:r w:rsidR="007D64B9" w:rsidRPr="003D7A6A">
        <w:rPr>
          <w:i/>
          <w:lang w:val="de-DE"/>
        </w:rPr>
        <w:t>, 42</w:t>
      </w:r>
      <w:r w:rsidR="00A95BDA" w:rsidRPr="003D7A6A">
        <w:rPr>
          <w:lang w:val="de-DE"/>
        </w:rPr>
        <w:t>, 1021</w:t>
      </w:r>
      <w:r w:rsidR="007D64B9" w:rsidRPr="003D7A6A">
        <w:rPr>
          <w:lang w:val="de-DE"/>
        </w:rPr>
        <w:t>.</w:t>
      </w:r>
    </w:p>
    <w:p w14:paraId="2165B58D" w14:textId="50A1655D" w:rsidR="001A4018" w:rsidRPr="003D7A6A" w:rsidRDefault="00956784" w:rsidP="00956784">
      <w:pPr>
        <w:spacing w:after="0"/>
        <w:rPr>
          <w:lang w:val="de-DE"/>
        </w:rPr>
      </w:pPr>
      <w:r w:rsidRPr="003D7A6A">
        <w:rPr>
          <w:lang w:val="de-DE"/>
        </w:rPr>
        <w:t>6</w:t>
      </w:r>
      <w:r w:rsidR="001A4018" w:rsidRPr="003D7A6A">
        <w:rPr>
          <w:lang w:val="de-DE"/>
        </w:rPr>
        <w:t>. Chen, S.</w:t>
      </w:r>
      <w:r w:rsidR="00204B7C" w:rsidRPr="003D7A6A">
        <w:rPr>
          <w:lang w:val="de-DE"/>
        </w:rPr>
        <w:t>; Knox, R.; Wu, K.; Paulis, S.-</w:t>
      </w:r>
      <w:r w:rsidR="001A4018" w:rsidRPr="003D7A6A">
        <w:rPr>
          <w:lang w:val="de-DE"/>
        </w:rPr>
        <w:t xml:space="preserve">K.; Deng, P. S. K.; Zhou, D. J.; Bianchet, M. A.; Amzel, L. M. </w:t>
      </w:r>
      <w:r w:rsidR="001A4018" w:rsidRPr="003D7A6A">
        <w:rPr>
          <w:i/>
          <w:lang w:val="de-DE"/>
        </w:rPr>
        <w:t xml:space="preserve">J. Biol. Chem. </w:t>
      </w:r>
      <w:r w:rsidR="001A4018" w:rsidRPr="003D7A6A">
        <w:rPr>
          <w:b/>
          <w:lang w:val="de-DE"/>
        </w:rPr>
        <w:t>1997</w:t>
      </w:r>
      <w:r w:rsidR="001A4018" w:rsidRPr="003D7A6A">
        <w:rPr>
          <w:i/>
          <w:lang w:val="de-DE"/>
        </w:rPr>
        <w:t>, 272</w:t>
      </w:r>
      <w:r w:rsidR="00A95BDA" w:rsidRPr="003D7A6A">
        <w:rPr>
          <w:lang w:val="de-DE"/>
        </w:rPr>
        <w:t>, 1437</w:t>
      </w:r>
      <w:r w:rsidR="001A4018" w:rsidRPr="003D7A6A">
        <w:rPr>
          <w:lang w:val="de-DE"/>
        </w:rPr>
        <w:t>.</w:t>
      </w:r>
    </w:p>
    <w:p w14:paraId="55F2A1FC" w14:textId="608943E6" w:rsidR="001A4018" w:rsidRPr="003D7A6A" w:rsidRDefault="00956784" w:rsidP="00956784">
      <w:pPr>
        <w:spacing w:after="0"/>
        <w:rPr>
          <w:lang w:val="de-DE"/>
        </w:rPr>
      </w:pPr>
      <w:r w:rsidRPr="003D7A6A">
        <w:rPr>
          <w:lang w:val="de-DE"/>
        </w:rPr>
        <w:t>7.</w:t>
      </w:r>
      <w:r w:rsidR="001A4018" w:rsidRPr="003D7A6A">
        <w:rPr>
          <w:lang w:val="de-DE"/>
        </w:rPr>
        <w:t xml:space="preserve"> Skelly, J. V.; Sanderson, M. R.; Suter, D. A.; Baumann, U.; Read, M. A.; Gregory, D. S. J.; Bennett, M.; Hobbs, S. M.; Neidle, S. </w:t>
      </w:r>
      <w:r w:rsidR="001A4018" w:rsidRPr="003D7A6A">
        <w:rPr>
          <w:i/>
          <w:lang w:val="de-DE"/>
        </w:rPr>
        <w:t>J. Med. Chem</w:t>
      </w:r>
      <w:r w:rsidR="001A4018" w:rsidRPr="003D7A6A">
        <w:rPr>
          <w:lang w:val="de-DE"/>
        </w:rPr>
        <w:t xml:space="preserve">., </w:t>
      </w:r>
      <w:r w:rsidR="001A4018" w:rsidRPr="003D7A6A">
        <w:rPr>
          <w:b/>
          <w:lang w:val="de-DE"/>
        </w:rPr>
        <w:t>1999</w:t>
      </w:r>
      <w:r w:rsidR="001A4018" w:rsidRPr="003D7A6A">
        <w:rPr>
          <w:lang w:val="de-DE"/>
        </w:rPr>
        <w:t xml:space="preserve">, </w:t>
      </w:r>
      <w:r w:rsidR="001A4018" w:rsidRPr="003D7A6A">
        <w:rPr>
          <w:i/>
          <w:lang w:val="de-DE"/>
        </w:rPr>
        <w:t>42</w:t>
      </w:r>
      <w:r w:rsidR="00A95BDA" w:rsidRPr="003D7A6A">
        <w:rPr>
          <w:lang w:val="de-DE"/>
        </w:rPr>
        <w:t>, 4325</w:t>
      </w:r>
      <w:r w:rsidR="001A4018" w:rsidRPr="003D7A6A">
        <w:rPr>
          <w:lang w:val="de-DE"/>
        </w:rPr>
        <w:t>.</w:t>
      </w:r>
    </w:p>
    <w:p w14:paraId="583D307D" w14:textId="1FD4CC92" w:rsidR="001A4018" w:rsidRPr="003D7A6A" w:rsidRDefault="00956784" w:rsidP="00956784">
      <w:pPr>
        <w:spacing w:after="0"/>
        <w:rPr>
          <w:lang w:val="de-DE"/>
        </w:rPr>
      </w:pPr>
      <w:r w:rsidRPr="003D7A6A">
        <w:rPr>
          <w:lang w:val="de-DE"/>
        </w:rPr>
        <w:t>8.</w:t>
      </w:r>
      <w:r w:rsidR="00EF1B03" w:rsidRPr="003D7A6A">
        <w:rPr>
          <w:lang w:val="de-DE"/>
        </w:rPr>
        <w:t xml:space="preserve"> Knox, R. J.; Friedlos, F.; Sherwood, R. F.; Melton, R. G.; Anlezark, G. M. </w:t>
      </w:r>
      <w:r w:rsidR="006B2C51" w:rsidRPr="003D7A6A">
        <w:rPr>
          <w:i/>
          <w:lang w:val="de-DE"/>
        </w:rPr>
        <w:t>Biochem. Pharma</w:t>
      </w:r>
      <w:r w:rsidR="00EF1B03" w:rsidRPr="003D7A6A">
        <w:rPr>
          <w:i/>
          <w:lang w:val="de-DE"/>
        </w:rPr>
        <w:t xml:space="preserve">col. </w:t>
      </w:r>
      <w:r w:rsidR="00EF1B03" w:rsidRPr="003D7A6A">
        <w:rPr>
          <w:b/>
          <w:lang w:val="de-DE"/>
        </w:rPr>
        <w:t>1992</w:t>
      </w:r>
      <w:r w:rsidR="00EF1B03" w:rsidRPr="003D7A6A">
        <w:rPr>
          <w:i/>
          <w:lang w:val="de-DE"/>
        </w:rPr>
        <w:t>, 44</w:t>
      </w:r>
      <w:r w:rsidR="00EF1B03" w:rsidRPr="003D7A6A">
        <w:rPr>
          <w:lang w:val="de-DE"/>
        </w:rPr>
        <w:t xml:space="preserve">, </w:t>
      </w:r>
      <w:r w:rsidR="00A95BDA" w:rsidRPr="003D7A6A">
        <w:rPr>
          <w:lang w:val="de-DE"/>
        </w:rPr>
        <w:t>2297</w:t>
      </w:r>
      <w:r w:rsidR="00EF1B03" w:rsidRPr="003D7A6A">
        <w:rPr>
          <w:lang w:val="de-DE"/>
        </w:rPr>
        <w:t>.</w:t>
      </w:r>
    </w:p>
    <w:p w14:paraId="3E7A137C" w14:textId="73C71C8C" w:rsidR="00905763" w:rsidRPr="003D7A6A" w:rsidRDefault="00956784" w:rsidP="00956784">
      <w:pPr>
        <w:spacing w:after="0"/>
      </w:pPr>
      <w:r w:rsidRPr="003D7A6A">
        <w:rPr>
          <w:lang w:val="de-DE"/>
        </w:rPr>
        <w:t>9.</w:t>
      </w:r>
      <w:r w:rsidR="009F281B" w:rsidRPr="003D7A6A">
        <w:rPr>
          <w:lang w:val="de-DE"/>
        </w:rPr>
        <w:t xml:space="preserve"> Denny, W. A.; Wilson, W. R. </w:t>
      </w:r>
      <w:r w:rsidR="009F281B" w:rsidRPr="003D7A6A">
        <w:rPr>
          <w:i/>
          <w:lang w:val="de-DE"/>
        </w:rPr>
        <w:t xml:space="preserve">J. Pharm. </w:t>
      </w:r>
      <w:r w:rsidR="009F281B" w:rsidRPr="003D7A6A">
        <w:rPr>
          <w:i/>
        </w:rPr>
        <w:t>Pharmacol.,</w:t>
      </w:r>
      <w:r w:rsidR="009F281B" w:rsidRPr="003D7A6A">
        <w:t xml:space="preserve"> </w:t>
      </w:r>
      <w:r w:rsidR="009F281B" w:rsidRPr="003D7A6A">
        <w:rPr>
          <w:b/>
        </w:rPr>
        <w:t>1998</w:t>
      </w:r>
      <w:r w:rsidR="009F281B" w:rsidRPr="003D7A6A">
        <w:t xml:space="preserve">, </w:t>
      </w:r>
      <w:r w:rsidR="009F281B" w:rsidRPr="003D7A6A">
        <w:rPr>
          <w:i/>
        </w:rPr>
        <w:t>50</w:t>
      </w:r>
      <w:r w:rsidR="00A95BDA" w:rsidRPr="003D7A6A">
        <w:t>, 387</w:t>
      </w:r>
      <w:r w:rsidR="009F281B" w:rsidRPr="003D7A6A">
        <w:t>.</w:t>
      </w:r>
    </w:p>
    <w:p w14:paraId="6C4A6159" w14:textId="51F2E98B" w:rsidR="009C148A" w:rsidRPr="003D7A6A" w:rsidRDefault="00956784" w:rsidP="00956784">
      <w:pPr>
        <w:spacing w:after="0"/>
      </w:pPr>
      <w:r w:rsidRPr="003D7A6A">
        <w:t>10.</w:t>
      </w:r>
      <w:r w:rsidR="009C148A" w:rsidRPr="003D7A6A">
        <w:t xml:space="preserve"> Denny, W. A. </w:t>
      </w:r>
      <w:r w:rsidR="009C148A" w:rsidRPr="003D7A6A">
        <w:rPr>
          <w:i/>
        </w:rPr>
        <w:t>Eur. J. Med. Chem</w:t>
      </w:r>
      <w:r w:rsidR="009C148A" w:rsidRPr="003D7A6A">
        <w:t xml:space="preserve">. </w:t>
      </w:r>
      <w:r w:rsidR="009C148A" w:rsidRPr="003D7A6A">
        <w:rPr>
          <w:b/>
        </w:rPr>
        <w:t>2001</w:t>
      </w:r>
      <w:r w:rsidR="009C148A" w:rsidRPr="003D7A6A">
        <w:t xml:space="preserve">, </w:t>
      </w:r>
      <w:r w:rsidR="009C148A" w:rsidRPr="003D7A6A">
        <w:rPr>
          <w:i/>
        </w:rPr>
        <w:t>36</w:t>
      </w:r>
      <w:r w:rsidR="00A95BDA" w:rsidRPr="003D7A6A">
        <w:t>, 577</w:t>
      </w:r>
      <w:r w:rsidR="009C148A" w:rsidRPr="003D7A6A">
        <w:t>.</w:t>
      </w:r>
    </w:p>
    <w:p w14:paraId="7C858359" w14:textId="39F31FCC" w:rsidR="00905763" w:rsidRPr="003D7A6A" w:rsidRDefault="00956784" w:rsidP="00956784">
      <w:pPr>
        <w:spacing w:after="0"/>
      </w:pPr>
      <w:r w:rsidRPr="003D7A6A">
        <w:t>11.</w:t>
      </w:r>
      <w:r w:rsidR="00905763" w:rsidRPr="003D7A6A">
        <w:t xml:space="preserve"> Denny, W. A. </w:t>
      </w:r>
      <w:r w:rsidR="00905763" w:rsidRPr="003D7A6A">
        <w:rPr>
          <w:i/>
        </w:rPr>
        <w:t>Curr. Pharm. Des.</w:t>
      </w:r>
      <w:r w:rsidR="00905763" w:rsidRPr="003D7A6A">
        <w:t xml:space="preserve"> </w:t>
      </w:r>
      <w:r w:rsidR="00905763" w:rsidRPr="003D7A6A">
        <w:rPr>
          <w:b/>
        </w:rPr>
        <w:t>2002</w:t>
      </w:r>
      <w:r w:rsidR="00905763" w:rsidRPr="003D7A6A">
        <w:t xml:space="preserve">, </w:t>
      </w:r>
      <w:r w:rsidR="00905763" w:rsidRPr="003D7A6A">
        <w:rPr>
          <w:i/>
        </w:rPr>
        <w:t>8</w:t>
      </w:r>
      <w:r w:rsidR="00A95BDA" w:rsidRPr="003D7A6A">
        <w:t>, 1349</w:t>
      </w:r>
      <w:r w:rsidR="00905763" w:rsidRPr="003D7A6A">
        <w:t>.</w:t>
      </w:r>
    </w:p>
    <w:p w14:paraId="290CDC74" w14:textId="2734284D" w:rsidR="00EF0F2F" w:rsidRPr="003D7A6A" w:rsidRDefault="00956784" w:rsidP="00956784">
      <w:pPr>
        <w:spacing w:after="0"/>
      </w:pPr>
      <w:r w:rsidRPr="003D7A6A">
        <w:t>12.</w:t>
      </w:r>
      <w:r w:rsidR="00EF0F2F" w:rsidRPr="003D7A6A">
        <w:t xml:space="preserve"> Palmer, D. H.; Milner, A. E.; Kerr, D. J.; Young, L. S. </w:t>
      </w:r>
      <w:r w:rsidR="00EF0F2F" w:rsidRPr="003D7A6A">
        <w:rPr>
          <w:i/>
        </w:rPr>
        <w:t>Br. J. Cancer</w:t>
      </w:r>
      <w:r w:rsidR="00EF0F2F" w:rsidRPr="003D7A6A">
        <w:t xml:space="preserve"> </w:t>
      </w:r>
      <w:r w:rsidR="00EF0F2F" w:rsidRPr="003D7A6A">
        <w:rPr>
          <w:b/>
        </w:rPr>
        <w:t>2003</w:t>
      </w:r>
      <w:r w:rsidR="00EF0F2F" w:rsidRPr="003D7A6A">
        <w:t xml:space="preserve">, </w:t>
      </w:r>
      <w:r w:rsidR="00EF0F2F" w:rsidRPr="003D7A6A">
        <w:rPr>
          <w:i/>
        </w:rPr>
        <w:t>89</w:t>
      </w:r>
      <w:r w:rsidR="00A95BDA" w:rsidRPr="003D7A6A">
        <w:t>, 944</w:t>
      </w:r>
      <w:r w:rsidR="00EF0F2F" w:rsidRPr="003D7A6A">
        <w:t>.</w:t>
      </w:r>
    </w:p>
    <w:p w14:paraId="6D721000" w14:textId="4752A8CA" w:rsidR="00CC2761" w:rsidRPr="003D7A6A" w:rsidRDefault="00CC2761" w:rsidP="00956784">
      <w:pPr>
        <w:spacing w:after="0"/>
      </w:pPr>
      <w:r w:rsidRPr="003D7A6A">
        <w:t xml:space="preserve">13. Johansson, E.; Parkinson, G. N.; Denny, W. A.; Neidle, S. </w:t>
      </w:r>
      <w:r w:rsidRPr="003D7A6A">
        <w:rPr>
          <w:i/>
        </w:rPr>
        <w:t>J. Med. Chem</w:t>
      </w:r>
      <w:r w:rsidRPr="003D7A6A">
        <w:t xml:space="preserve">. </w:t>
      </w:r>
      <w:r w:rsidRPr="003D7A6A">
        <w:rPr>
          <w:b/>
        </w:rPr>
        <w:t>2003</w:t>
      </w:r>
      <w:r w:rsidRPr="003D7A6A">
        <w:t xml:space="preserve">, </w:t>
      </w:r>
      <w:r w:rsidRPr="003D7A6A">
        <w:rPr>
          <w:i/>
        </w:rPr>
        <w:t>46</w:t>
      </w:r>
      <w:r w:rsidR="00A95BDA" w:rsidRPr="003D7A6A">
        <w:t>, 4009</w:t>
      </w:r>
      <w:r w:rsidRPr="003D7A6A">
        <w:t>.</w:t>
      </w:r>
    </w:p>
    <w:p w14:paraId="4BDCC33D" w14:textId="31663D60" w:rsidR="00956784" w:rsidRPr="003D7A6A" w:rsidRDefault="00CC2761" w:rsidP="00956784">
      <w:pPr>
        <w:spacing w:after="0"/>
      </w:pPr>
      <w:r w:rsidRPr="003D7A6A">
        <w:t>14</w:t>
      </w:r>
      <w:r w:rsidR="00956784" w:rsidRPr="003D7A6A">
        <w:t xml:space="preserve">. Atwell, G. J.; Yang, S.; Pruijn, F. B.; Pullen, S. M.; Hogg, A.; Patterson, A. V.; Wilson, W. R.; Denny, W. A. </w:t>
      </w:r>
      <w:r w:rsidR="00956784" w:rsidRPr="003D7A6A">
        <w:rPr>
          <w:i/>
        </w:rPr>
        <w:t>J. Med. Chem</w:t>
      </w:r>
      <w:r w:rsidR="00956784" w:rsidRPr="003D7A6A">
        <w:t xml:space="preserve">., </w:t>
      </w:r>
      <w:r w:rsidR="00956784" w:rsidRPr="003D7A6A">
        <w:rPr>
          <w:b/>
        </w:rPr>
        <w:t>2007</w:t>
      </w:r>
      <w:r w:rsidR="00956784" w:rsidRPr="003D7A6A">
        <w:t xml:space="preserve">, </w:t>
      </w:r>
      <w:r w:rsidR="00956784" w:rsidRPr="003D7A6A">
        <w:rPr>
          <w:i/>
        </w:rPr>
        <w:t>50</w:t>
      </w:r>
      <w:r w:rsidR="00A95BDA" w:rsidRPr="003D7A6A">
        <w:t>, 1197</w:t>
      </w:r>
      <w:r w:rsidR="00956784" w:rsidRPr="003D7A6A">
        <w:t>.</w:t>
      </w:r>
    </w:p>
    <w:p w14:paraId="6F3AE315" w14:textId="63814E03" w:rsidR="00956784" w:rsidRPr="003D7A6A" w:rsidRDefault="00CC2761" w:rsidP="00956784">
      <w:pPr>
        <w:spacing w:after="0"/>
      </w:pPr>
      <w:r w:rsidRPr="003D7A6A">
        <w:t>15</w:t>
      </w:r>
      <w:r w:rsidR="00956784" w:rsidRPr="003D7A6A">
        <w:t xml:space="preserve">. Mitchell, D. J.; Minchin, R. F. </w:t>
      </w:r>
      <w:r w:rsidR="00956784" w:rsidRPr="003D7A6A">
        <w:rPr>
          <w:i/>
        </w:rPr>
        <w:t>Cancer Gene Therapy</w:t>
      </w:r>
      <w:r w:rsidR="00956784" w:rsidRPr="003D7A6A">
        <w:t xml:space="preserve"> </w:t>
      </w:r>
      <w:r w:rsidR="00956784" w:rsidRPr="003D7A6A">
        <w:rPr>
          <w:b/>
        </w:rPr>
        <w:t>2008</w:t>
      </w:r>
      <w:r w:rsidR="00956784" w:rsidRPr="003D7A6A">
        <w:t xml:space="preserve">, </w:t>
      </w:r>
      <w:r w:rsidR="00956784" w:rsidRPr="003D7A6A">
        <w:rPr>
          <w:i/>
        </w:rPr>
        <w:t>15</w:t>
      </w:r>
      <w:r w:rsidR="00A95BDA" w:rsidRPr="003D7A6A">
        <w:t>, 758</w:t>
      </w:r>
      <w:r w:rsidR="00956784" w:rsidRPr="003D7A6A">
        <w:t>.</w:t>
      </w:r>
    </w:p>
    <w:p w14:paraId="41269A5C" w14:textId="5D2B9169" w:rsidR="00D65713" w:rsidRPr="003D7A6A" w:rsidRDefault="00CC2761" w:rsidP="00956784">
      <w:pPr>
        <w:spacing w:after="0"/>
      </w:pPr>
      <w:r w:rsidRPr="003D7A6A">
        <w:t>16</w:t>
      </w:r>
      <w:r w:rsidR="00956784" w:rsidRPr="003D7A6A">
        <w:t>.</w:t>
      </w:r>
      <w:r w:rsidR="00EF0F2F" w:rsidRPr="003D7A6A">
        <w:t xml:space="preserve"> Prosser, G. A.; Copp, J. N.; Syddall, S. P.; Williams, E. M.; Smaill, J. B.; Wilson, W. R.; Patterson, A. V.; Ackerley, D. F. </w:t>
      </w:r>
      <w:r w:rsidR="006B2C51" w:rsidRPr="003D7A6A">
        <w:rPr>
          <w:i/>
        </w:rPr>
        <w:t>Biochem. Pharma</w:t>
      </w:r>
      <w:r w:rsidR="00EF0F2F" w:rsidRPr="003D7A6A">
        <w:rPr>
          <w:i/>
        </w:rPr>
        <w:t xml:space="preserve">col. </w:t>
      </w:r>
      <w:r w:rsidR="00EF0F2F" w:rsidRPr="003D7A6A">
        <w:rPr>
          <w:b/>
        </w:rPr>
        <w:t>2010</w:t>
      </w:r>
      <w:r w:rsidR="00EF0F2F" w:rsidRPr="003D7A6A">
        <w:rPr>
          <w:i/>
        </w:rPr>
        <w:t>, 79</w:t>
      </w:r>
      <w:r w:rsidR="00EF0F2F" w:rsidRPr="003D7A6A">
        <w:t xml:space="preserve">, </w:t>
      </w:r>
      <w:r w:rsidR="00A95BDA" w:rsidRPr="003D7A6A">
        <w:t>678.</w:t>
      </w:r>
    </w:p>
    <w:p w14:paraId="00FC8D79" w14:textId="1C8B241D" w:rsidR="00EF0F2F" w:rsidRPr="003D7A6A" w:rsidRDefault="00CC2761" w:rsidP="00956784">
      <w:pPr>
        <w:spacing w:after="0"/>
      </w:pPr>
      <w:r w:rsidRPr="003D7A6A">
        <w:t>17</w:t>
      </w:r>
      <w:r w:rsidR="00956784" w:rsidRPr="003D7A6A">
        <w:t>.</w:t>
      </w:r>
      <w:r w:rsidR="00D65713" w:rsidRPr="003D7A6A">
        <w:t xml:space="preserve"> Williams, E. M.; </w:t>
      </w:r>
      <w:r w:rsidR="00C24D35" w:rsidRPr="003D7A6A">
        <w:t>Little,</w:t>
      </w:r>
      <w:r w:rsidR="00CA5859" w:rsidRPr="003D7A6A">
        <w:t xml:space="preserve"> R. F.; M</w:t>
      </w:r>
      <w:r w:rsidR="00C24D35" w:rsidRPr="003D7A6A">
        <w:t>owday, A. M.; Rich, M. H.; Chan-Hyams, J. V. E.; Copp, J. N.; Smaill, J. B.; Patterson, A. V.; Ackerley, D. F</w:t>
      </w:r>
      <w:r w:rsidR="00C24D35" w:rsidRPr="003D7A6A">
        <w:rPr>
          <w:i/>
        </w:rPr>
        <w:t>. Biochem. J</w:t>
      </w:r>
      <w:r w:rsidR="00C24D35" w:rsidRPr="003D7A6A">
        <w:t xml:space="preserve">. </w:t>
      </w:r>
      <w:r w:rsidR="00C24D35" w:rsidRPr="003D7A6A">
        <w:rPr>
          <w:b/>
        </w:rPr>
        <w:t>2015</w:t>
      </w:r>
      <w:r w:rsidR="00C24D35" w:rsidRPr="003D7A6A">
        <w:t xml:space="preserve">, </w:t>
      </w:r>
      <w:r w:rsidR="00C24D35" w:rsidRPr="003D7A6A">
        <w:rPr>
          <w:i/>
        </w:rPr>
        <w:t>471</w:t>
      </w:r>
      <w:r w:rsidR="00A95BDA" w:rsidRPr="003D7A6A">
        <w:t>, 131</w:t>
      </w:r>
      <w:r w:rsidR="00C24D35" w:rsidRPr="003D7A6A">
        <w:t>.</w:t>
      </w:r>
    </w:p>
    <w:p w14:paraId="73CC0A75" w14:textId="386F6B8E" w:rsidR="00D35134" w:rsidRPr="003D7A6A" w:rsidRDefault="00CC2761" w:rsidP="00956784">
      <w:pPr>
        <w:spacing w:after="0"/>
      </w:pPr>
      <w:r w:rsidRPr="003D7A6A">
        <w:t>18</w:t>
      </w:r>
      <w:r w:rsidR="002D1B1D" w:rsidRPr="003D7A6A">
        <w:t xml:space="preserve">. </w:t>
      </w:r>
      <w:r w:rsidR="00D35134" w:rsidRPr="003D7A6A">
        <w:t xml:space="preserve">Helsby, N. A.; Ferry, D. M.; Patterson, A. V.; Pullen, S. M.; Wilson, W. R. </w:t>
      </w:r>
      <w:r w:rsidR="00D35134" w:rsidRPr="003D7A6A">
        <w:rPr>
          <w:i/>
        </w:rPr>
        <w:t>Br. J. Cancer</w:t>
      </w:r>
      <w:r w:rsidR="00D35134" w:rsidRPr="003D7A6A">
        <w:t xml:space="preserve"> </w:t>
      </w:r>
      <w:r w:rsidR="00D35134" w:rsidRPr="003D7A6A">
        <w:rPr>
          <w:b/>
        </w:rPr>
        <w:t>2004</w:t>
      </w:r>
      <w:r w:rsidR="00D35134" w:rsidRPr="003D7A6A">
        <w:t xml:space="preserve"> </w:t>
      </w:r>
      <w:r w:rsidR="00D35134" w:rsidRPr="003D7A6A">
        <w:rPr>
          <w:i/>
        </w:rPr>
        <w:t>90</w:t>
      </w:r>
      <w:r w:rsidR="00A95BDA" w:rsidRPr="003D7A6A">
        <w:t>, 1084</w:t>
      </w:r>
      <w:r w:rsidR="00D35134" w:rsidRPr="003D7A6A">
        <w:t>.</w:t>
      </w:r>
    </w:p>
    <w:p w14:paraId="75BA30D9" w14:textId="0DB74566" w:rsidR="001A4018" w:rsidRPr="003D7A6A" w:rsidRDefault="00CC2761" w:rsidP="00956784">
      <w:pPr>
        <w:spacing w:after="0"/>
      </w:pPr>
      <w:r w:rsidRPr="003D7A6A">
        <w:t>19</w:t>
      </w:r>
      <w:r w:rsidR="002D1B1D" w:rsidRPr="003D7A6A">
        <w:t>.</w:t>
      </w:r>
      <w:r w:rsidR="001A4018" w:rsidRPr="003D7A6A">
        <w:t xml:space="preserve"> H</w:t>
      </w:r>
      <w:r w:rsidR="00CB1A78" w:rsidRPr="003D7A6A">
        <w:t>elsby, N. A; Atwell, G. J; Yang</w:t>
      </w:r>
      <w:r w:rsidR="001A4018" w:rsidRPr="003D7A6A">
        <w:t xml:space="preserve">, S.; Palmer, B. D; Anderson, R. F.; Pullen, S. M.; Ferry, D. M.; Hogg, A.; Wilson, W. R.; Denny, W. A. </w:t>
      </w:r>
      <w:r w:rsidR="001A4018" w:rsidRPr="003D7A6A">
        <w:rPr>
          <w:i/>
        </w:rPr>
        <w:t xml:space="preserve">J. Med. Chem. </w:t>
      </w:r>
      <w:r w:rsidR="001A4018" w:rsidRPr="003D7A6A">
        <w:rPr>
          <w:b/>
        </w:rPr>
        <w:t>2004</w:t>
      </w:r>
      <w:r w:rsidR="001A4018" w:rsidRPr="003D7A6A">
        <w:rPr>
          <w:i/>
        </w:rPr>
        <w:t>, 47</w:t>
      </w:r>
      <w:r w:rsidR="00A95BDA" w:rsidRPr="003D7A6A">
        <w:t>, 3295</w:t>
      </w:r>
      <w:r w:rsidR="00EF1B03" w:rsidRPr="003D7A6A">
        <w:t>.</w:t>
      </w:r>
    </w:p>
    <w:p w14:paraId="02F0F470" w14:textId="00CE537E" w:rsidR="002D1B1D" w:rsidRPr="003D7A6A" w:rsidRDefault="00CC2761" w:rsidP="002D1B1D">
      <w:pPr>
        <w:spacing w:after="0"/>
      </w:pPr>
      <w:r w:rsidRPr="003D7A6A">
        <w:lastRenderedPageBreak/>
        <w:t>20</w:t>
      </w:r>
      <w:r w:rsidR="002D1B1D" w:rsidRPr="003D7A6A">
        <w:t xml:space="preserve">. Palmer, B.D.; Wilson, W. R.; Pullen, S.; Denny, W. A. </w:t>
      </w:r>
      <w:r w:rsidR="002D1B1D" w:rsidRPr="003D7A6A">
        <w:rPr>
          <w:i/>
        </w:rPr>
        <w:t xml:space="preserve">J. Med. Chem. </w:t>
      </w:r>
      <w:r w:rsidR="002D1B1D" w:rsidRPr="003D7A6A">
        <w:rPr>
          <w:b/>
        </w:rPr>
        <w:t>1990</w:t>
      </w:r>
      <w:r w:rsidR="002D1B1D" w:rsidRPr="003D7A6A">
        <w:rPr>
          <w:i/>
        </w:rPr>
        <w:t>, 33</w:t>
      </w:r>
      <w:r w:rsidR="00A95BDA" w:rsidRPr="003D7A6A">
        <w:t>, 112</w:t>
      </w:r>
      <w:r w:rsidR="002D1B1D" w:rsidRPr="003D7A6A">
        <w:t>.</w:t>
      </w:r>
    </w:p>
    <w:p w14:paraId="70DE2D0C" w14:textId="49897F99" w:rsidR="002D1B1D" w:rsidRPr="003D7A6A" w:rsidRDefault="00CC2761" w:rsidP="002D1B1D">
      <w:pPr>
        <w:spacing w:after="0"/>
      </w:pPr>
      <w:r w:rsidRPr="003D7A6A">
        <w:t>21</w:t>
      </w:r>
      <w:r w:rsidR="002D1B1D" w:rsidRPr="003D7A6A">
        <w:t xml:space="preserve">. Palmer, B. D.; Wilson, W. R.; Atwell, G. J.; Schultz, D.; Xu, X. Z.; Denny, W. A. </w:t>
      </w:r>
      <w:r w:rsidR="002D1B1D" w:rsidRPr="003D7A6A">
        <w:rPr>
          <w:i/>
        </w:rPr>
        <w:t xml:space="preserve">J. Med. Chem. </w:t>
      </w:r>
      <w:r w:rsidR="002D1B1D" w:rsidRPr="003D7A6A">
        <w:rPr>
          <w:b/>
        </w:rPr>
        <w:t>1994</w:t>
      </w:r>
      <w:r w:rsidR="002D1B1D" w:rsidRPr="003D7A6A">
        <w:rPr>
          <w:i/>
        </w:rPr>
        <w:t>, 37</w:t>
      </w:r>
      <w:r w:rsidR="00A95BDA" w:rsidRPr="003D7A6A">
        <w:t>, 2175</w:t>
      </w:r>
      <w:r w:rsidR="002D1B1D" w:rsidRPr="003D7A6A">
        <w:t>.</w:t>
      </w:r>
    </w:p>
    <w:p w14:paraId="167326B1" w14:textId="1B422D48" w:rsidR="002D1B1D" w:rsidRPr="003D7A6A" w:rsidRDefault="00CC2761" w:rsidP="002D1B1D">
      <w:pPr>
        <w:spacing w:after="0"/>
        <w:rPr>
          <w:lang w:val="es-ES"/>
        </w:rPr>
      </w:pPr>
      <w:r w:rsidRPr="003D7A6A">
        <w:rPr>
          <w:lang w:val="es-ES"/>
        </w:rPr>
        <w:t>22</w:t>
      </w:r>
      <w:r w:rsidR="002D1B1D" w:rsidRPr="003D7A6A">
        <w:rPr>
          <w:lang w:val="es-ES"/>
        </w:rPr>
        <w:t xml:space="preserve">. Palmer, B. D.; van Zijl, P.; Denny, W. A.; Wilson, W. R. </w:t>
      </w:r>
      <w:r w:rsidR="002D1B1D" w:rsidRPr="003D7A6A">
        <w:rPr>
          <w:i/>
          <w:lang w:val="es-ES"/>
        </w:rPr>
        <w:t xml:space="preserve">J. Med. Chem. </w:t>
      </w:r>
      <w:r w:rsidR="002D1B1D" w:rsidRPr="003D7A6A">
        <w:rPr>
          <w:b/>
          <w:lang w:val="es-ES"/>
        </w:rPr>
        <w:t>1995</w:t>
      </w:r>
      <w:r w:rsidR="002D1B1D" w:rsidRPr="003D7A6A">
        <w:rPr>
          <w:i/>
          <w:lang w:val="es-ES"/>
        </w:rPr>
        <w:t>, 38</w:t>
      </w:r>
      <w:r w:rsidR="00A95BDA" w:rsidRPr="003D7A6A">
        <w:rPr>
          <w:lang w:val="es-ES"/>
        </w:rPr>
        <w:t>, 1229</w:t>
      </w:r>
      <w:r w:rsidR="002D1B1D" w:rsidRPr="003D7A6A">
        <w:rPr>
          <w:lang w:val="es-ES"/>
        </w:rPr>
        <w:t>.</w:t>
      </w:r>
    </w:p>
    <w:p w14:paraId="5AA00C1F" w14:textId="0592AD04" w:rsidR="002D1B1D" w:rsidRPr="003D7A6A" w:rsidRDefault="00CC2761" w:rsidP="002D1B1D">
      <w:pPr>
        <w:spacing w:after="0"/>
      </w:pPr>
      <w:r w:rsidRPr="003D7A6A">
        <w:rPr>
          <w:lang w:val="es-ES"/>
        </w:rPr>
        <w:t>23</w:t>
      </w:r>
      <w:r w:rsidR="002D1B1D" w:rsidRPr="003D7A6A">
        <w:rPr>
          <w:lang w:val="es-ES"/>
        </w:rPr>
        <w:t xml:space="preserve">. Anlezark, G. M.; Melton, R. G.; Sherwood, R. F.; Wilson, W. R.; Denny, W. A.; Palmer, B. D.; Knox, R. J.; Friedlos, F.; Williams, A. </w:t>
      </w:r>
      <w:r w:rsidR="002D1B1D" w:rsidRPr="003D7A6A">
        <w:rPr>
          <w:i/>
          <w:lang w:val="es-ES"/>
        </w:rPr>
        <w:t xml:space="preserve">Biochem. </w:t>
      </w:r>
      <w:r w:rsidR="002D1B1D" w:rsidRPr="003D7A6A">
        <w:rPr>
          <w:i/>
        </w:rPr>
        <w:t>Pharmacol.</w:t>
      </w:r>
      <w:r w:rsidR="002D1B1D" w:rsidRPr="003D7A6A">
        <w:t xml:space="preserve"> </w:t>
      </w:r>
      <w:r w:rsidR="002D1B1D" w:rsidRPr="003D7A6A">
        <w:rPr>
          <w:b/>
        </w:rPr>
        <w:t>1995</w:t>
      </w:r>
      <w:r w:rsidR="002D1B1D" w:rsidRPr="003D7A6A">
        <w:t xml:space="preserve">, </w:t>
      </w:r>
      <w:r w:rsidR="002D1B1D" w:rsidRPr="003D7A6A">
        <w:rPr>
          <w:i/>
        </w:rPr>
        <w:t>50</w:t>
      </w:r>
      <w:r w:rsidR="00A95BDA" w:rsidRPr="003D7A6A">
        <w:t>, 609</w:t>
      </w:r>
      <w:r w:rsidR="002D1B1D" w:rsidRPr="003D7A6A">
        <w:t>.</w:t>
      </w:r>
    </w:p>
    <w:p w14:paraId="48FDE777" w14:textId="656033AF" w:rsidR="002D1B1D" w:rsidRPr="003D7A6A" w:rsidRDefault="00CC2761" w:rsidP="002D1B1D">
      <w:pPr>
        <w:spacing w:after="0"/>
      </w:pPr>
      <w:r w:rsidRPr="003D7A6A">
        <w:t>24</w:t>
      </w:r>
      <w:r w:rsidR="002D1B1D" w:rsidRPr="003D7A6A">
        <w:t xml:space="preserve">. Palmer, B.D.; Wilson, W. R.; Anderson, R. F.; Boyd, M.; Denny, W. A. </w:t>
      </w:r>
      <w:r w:rsidR="002D1B1D" w:rsidRPr="003D7A6A">
        <w:rPr>
          <w:i/>
        </w:rPr>
        <w:t xml:space="preserve">J. Med. Chem. </w:t>
      </w:r>
      <w:r w:rsidR="002D1B1D" w:rsidRPr="003D7A6A">
        <w:rPr>
          <w:b/>
        </w:rPr>
        <w:t>1996</w:t>
      </w:r>
      <w:r w:rsidR="002D1B1D" w:rsidRPr="003D7A6A">
        <w:rPr>
          <w:i/>
        </w:rPr>
        <w:t>, 39</w:t>
      </w:r>
      <w:r w:rsidR="00A95BDA" w:rsidRPr="003D7A6A">
        <w:t>, 2518</w:t>
      </w:r>
      <w:r w:rsidR="002D1B1D" w:rsidRPr="003D7A6A">
        <w:t>.</w:t>
      </w:r>
    </w:p>
    <w:p w14:paraId="4FA590C7" w14:textId="63607E3C" w:rsidR="002D1B1D" w:rsidRPr="003D7A6A" w:rsidRDefault="00CC2761" w:rsidP="002D1B1D">
      <w:pPr>
        <w:spacing w:after="0"/>
      </w:pPr>
      <w:r w:rsidRPr="003D7A6A">
        <w:t>25</w:t>
      </w:r>
      <w:r w:rsidR="002D1B1D" w:rsidRPr="003D7A6A">
        <w:t xml:space="preserve">. Friedlos, F.; Denny, W. A; Palmer, B. D; Springer, C. J.  </w:t>
      </w:r>
      <w:r w:rsidR="002D1B1D" w:rsidRPr="003D7A6A">
        <w:rPr>
          <w:i/>
        </w:rPr>
        <w:t xml:space="preserve">J. Med. Chem. </w:t>
      </w:r>
      <w:r w:rsidR="002D1B1D" w:rsidRPr="003D7A6A">
        <w:rPr>
          <w:b/>
        </w:rPr>
        <w:t>1997</w:t>
      </w:r>
      <w:r w:rsidR="002D1B1D" w:rsidRPr="003D7A6A">
        <w:rPr>
          <w:i/>
        </w:rPr>
        <w:t>, 40</w:t>
      </w:r>
      <w:r w:rsidR="00A95BDA" w:rsidRPr="003D7A6A">
        <w:t>, 1270</w:t>
      </w:r>
      <w:r w:rsidR="002D1B1D" w:rsidRPr="003D7A6A">
        <w:t>.</w:t>
      </w:r>
    </w:p>
    <w:p w14:paraId="1DB00640" w14:textId="341E994D" w:rsidR="008E4361" w:rsidRPr="003D7A6A" w:rsidRDefault="00CC2761" w:rsidP="00956784">
      <w:pPr>
        <w:spacing w:after="0"/>
      </w:pPr>
      <w:r w:rsidRPr="003D7A6A">
        <w:t>26</w:t>
      </w:r>
      <w:r w:rsidR="002D1B1D" w:rsidRPr="003D7A6A">
        <w:t>.</w:t>
      </w:r>
      <w:r w:rsidR="008E4361" w:rsidRPr="003D7A6A">
        <w:t xml:space="preserve"> Helsby, N. A.; Wheeler, S. J.; Pruijn, F. B.; Palmer, B. D.; Yang, S.; Denny, W. A.; Wilson, W. R. </w:t>
      </w:r>
      <w:r w:rsidR="008E4361" w:rsidRPr="003D7A6A">
        <w:rPr>
          <w:i/>
        </w:rPr>
        <w:t>Chem. Res. Toxicol</w:t>
      </w:r>
      <w:r w:rsidR="008E4361" w:rsidRPr="003D7A6A">
        <w:t xml:space="preserve">. </w:t>
      </w:r>
      <w:r w:rsidR="008E4361" w:rsidRPr="003D7A6A">
        <w:rPr>
          <w:b/>
        </w:rPr>
        <w:t>2003</w:t>
      </w:r>
      <w:r w:rsidR="008E4361" w:rsidRPr="003D7A6A">
        <w:t xml:space="preserve">, </w:t>
      </w:r>
      <w:r w:rsidR="008E4361" w:rsidRPr="003D7A6A">
        <w:rPr>
          <w:i/>
        </w:rPr>
        <w:t>16</w:t>
      </w:r>
      <w:r w:rsidR="00A95BDA" w:rsidRPr="003D7A6A">
        <w:t>, 469</w:t>
      </w:r>
      <w:r w:rsidR="008E4361" w:rsidRPr="003D7A6A">
        <w:t>.</w:t>
      </w:r>
    </w:p>
    <w:p w14:paraId="04EC8491" w14:textId="77777777" w:rsidR="00CA7F74" w:rsidRPr="003D7A6A" w:rsidRDefault="00CC2761" w:rsidP="00956784">
      <w:pPr>
        <w:spacing w:after="0"/>
      </w:pPr>
      <w:r w:rsidRPr="003D7A6A">
        <w:t>27</w:t>
      </w:r>
      <w:r w:rsidR="00CA7F74" w:rsidRPr="003D7A6A">
        <w:t xml:space="preserve">. </w:t>
      </w:r>
      <w:r w:rsidR="00993692" w:rsidRPr="003D7A6A">
        <w:t xml:space="preserve">Purser, S.; Moore, P. R.; Swallow, S.; Gouverneur, V. </w:t>
      </w:r>
      <w:r w:rsidR="00993692" w:rsidRPr="003D7A6A">
        <w:rPr>
          <w:i/>
        </w:rPr>
        <w:t>Chem. Soc. Rev</w:t>
      </w:r>
      <w:r w:rsidR="00993692" w:rsidRPr="003D7A6A">
        <w:t xml:space="preserve">. </w:t>
      </w:r>
      <w:r w:rsidR="00993692" w:rsidRPr="003D7A6A">
        <w:rPr>
          <w:b/>
        </w:rPr>
        <w:t>2008</w:t>
      </w:r>
      <w:r w:rsidR="00993692" w:rsidRPr="003D7A6A">
        <w:t xml:space="preserve">, </w:t>
      </w:r>
      <w:r w:rsidR="00993692" w:rsidRPr="003D7A6A">
        <w:rPr>
          <w:i/>
        </w:rPr>
        <w:t>37</w:t>
      </w:r>
      <w:r w:rsidR="00993692" w:rsidRPr="003D7A6A">
        <w:t>, 320.</w:t>
      </w:r>
    </w:p>
    <w:p w14:paraId="00A674D0" w14:textId="4E5C0E67" w:rsidR="002F0770" w:rsidRPr="003D7A6A" w:rsidRDefault="00CC2761" w:rsidP="002F0770">
      <w:pPr>
        <w:spacing w:after="0"/>
      </w:pPr>
      <w:r w:rsidRPr="003D7A6A">
        <w:t>28</w:t>
      </w:r>
      <w:r w:rsidR="002F0770" w:rsidRPr="003D7A6A">
        <w:t>. Wang, J.; Sánchez-Roselló, M.; Aceña, J. L.; del Pozo, C.; Sorochinsky, A. E.; F</w:t>
      </w:r>
      <w:r w:rsidR="00E05A0E" w:rsidRPr="003D7A6A">
        <w:t xml:space="preserve">ustero, S.; Soloshonok, V. A.; </w:t>
      </w:r>
      <w:r w:rsidR="002F0770" w:rsidRPr="003D7A6A">
        <w:t xml:space="preserve">Liu, H. </w:t>
      </w:r>
      <w:r w:rsidR="002F0770" w:rsidRPr="003D7A6A">
        <w:rPr>
          <w:i/>
        </w:rPr>
        <w:t>Chem. Rev</w:t>
      </w:r>
      <w:r w:rsidR="002F0770" w:rsidRPr="003D7A6A">
        <w:t xml:space="preserve">. </w:t>
      </w:r>
      <w:r w:rsidR="002F0770" w:rsidRPr="003D7A6A">
        <w:rPr>
          <w:b/>
        </w:rPr>
        <w:t>2014</w:t>
      </w:r>
      <w:r w:rsidR="002F0770" w:rsidRPr="003D7A6A">
        <w:t xml:space="preserve">, </w:t>
      </w:r>
      <w:r w:rsidR="002F0770" w:rsidRPr="003D7A6A">
        <w:rPr>
          <w:i/>
        </w:rPr>
        <w:t>114</w:t>
      </w:r>
      <w:r w:rsidR="00A95BDA" w:rsidRPr="003D7A6A">
        <w:t>, 2432</w:t>
      </w:r>
      <w:r w:rsidR="002F0770" w:rsidRPr="003D7A6A">
        <w:t>.</w:t>
      </w:r>
    </w:p>
    <w:p w14:paraId="0CDC03A4" w14:textId="00D4A85C" w:rsidR="00DD7096" w:rsidRPr="003D7A6A" w:rsidRDefault="00CC2761" w:rsidP="00956784">
      <w:pPr>
        <w:spacing w:after="0"/>
      </w:pPr>
      <w:r w:rsidRPr="003D7A6A">
        <w:t>29</w:t>
      </w:r>
      <w:r w:rsidR="00356507" w:rsidRPr="003D7A6A">
        <w:t xml:space="preserve">. </w:t>
      </w:r>
      <w:r w:rsidR="00993692" w:rsidRPr="003D7A6A">
        <w:t xml:space="preserve">Gillis, E. P.; Eastman, K. J.; Hill, M. D.; Donnelly,D. J.; Meanwell, N. A. </w:t>
      </w:r>
      <w:r w:rsidR="00993692" w:rsidRPr="003D7A6A">
        <w:rPr>
          <w:i/>
        </w:rPr>
        <w:t>J. Med. Chem</w:t>
      </w:r>
      <w:r w:rsidR="00993692" w:rsidRPr="003D7A6A">
        <w:t xml:space="preserve">. </w:t>
      </w:r>
      <w:r w:rsidR="00993692" w:rsidRPr="003D7A6A">
        <w:rPr>
          <w:b/>
        </w:rPr>
        <w:t>2015</w:t>
      </w:r>
      <w:r w:rsidR="00993692" w:rsidRPr="003D7A6A">
        <w:t xml:space="preserve">, </w:t>
      </w:r>
      <w:r w:rsidR="00993692" w:rsidRPr="003D7A6A">
        <w:rPr>
          <w:i/>
        </w:rPr>
        <w:t>58</w:t>
      </w:r>
      <w:r w:rsidR="00A95BDA" w:rsidRPr="003D7A6A">
        <w:t>, 8315</w:t>
      </w:r>
      <w:r w:rsidR="00993692" w:rsidRPr="003D7A6A">
        <w:t>.</w:t>
      </w:r>
    </w:p>
    <w:p w14:paraId="6F846745" w14:textId="3FF643E8" w:rsidR="00993692" w:rsidRPr="003D7A6A" w:rsidRDefault="00CC2761" w:rsidP="00956784">
      <w:pPr>
        <w:spacing w:after="0"/>
      </w:pPr>
      <w:r w:rsidRPr="003D7A6A">
        <w:t>30</w:t>
      </w:r>
      <w:r w:rsidR="00356507" w:rsidRPr="003D7A6A">
        <w:t xml:space="preserve">. Meyer, F. </w:t>
      </w:r>
      <w:r w:rsidR="00356507" w:rsidRPr="003D7A6A">
        <w:rPr>
          <w:i/>
        </w:rPr>
        <w:t>Chem. Commun</w:t>
      </w:r>
      <w:r w:rsidR="00356507" w:rsidRPr="003D7A6A">
        <w:t>.</w:t>
      </w:r>
      <w:r w:rsidR="00356507" w:rsidRPr="003D7A6A">
        <w:rPr>
          <w:b/>
        </w:rPr>
        <w:t xml:space="preserve"> 2016</w:t>
      </w:r>
      <w:r w:rsidR="00356507" w:rsidRPr="003D7A6A">
        <w:t xml:space="preserve">, </w:t>
      </w:r>
      <w:r w:rsidR="00356507" w:rsidRPr="003D7A6A">
        <w:rPr>
          <w:i/>
        </w:rPr>
        <w:t>52</w:t>
      </w:r>
      <w:r w:rsidR="00A95BDA" w:rsidRPr="003D7A6A">
        <w:t>, 3077</w:t>
      </w:r>
      <w:r w:rsidR="00356507" w:rsidRPr="003D7A6A">
        <w:t>.</w:t>
      </w:r>
    </w:p>
    <w:p w14:paraId="457AAC5A" w14:textId="31111EB7" w:rsidR="00DD7096" w:rsidRPr="003D7A6A" w:rsidRDefault="00CC2761" w:rsidP="00956784">
      <w:pPr>
        <w:spacing w:after="0"/>
      </w:pPr>
      <w:r w:rsidRPr="003D7A6A">
        <w:t>31</w:t>
      </w:r>
      <w:r w:rsidR="002F0770" w:rsidRPr="003D7A6A">
        <w:t xml:space="preserve">. </w:t>
      </w:r>
      <w:r w:rsidR="009A0F4A" w:rsidRPr="003D7A6A">
        <w:t xml:space="preserve">Roberts, J. D.; Webb, R. L.; McElhill, E. A. </w:t>
      </w:r>
      <w:r w:rsidR="009A0F4A" w:rsidRPr="003D7A6A">
        <w:rPr>
          <w:i/>
        </w:rPr>
        <w:t>J. Am. Chem. Soc</w:t>
      </w:r>
      <w:r w:rsidR="009A0F4A" w:rsidRPr="003D7A6A">
        <w:t xml:space="preserve">. </w:t>
      </w:r>
      <w:r w:rsidR="009A0F4A" w:rsidRPr="003D7A6A">
        <w:rPr>
          <w:b/>
        </w:rPr>
        <w:t>1950</w:t>
      </w:r>
      <w:r w:rsidR="009A0F4A" w:rsidRPr="003D7A6A">
        <w:t xml:space="preserve">, </w:t>
      </w:r>
      <w:r w:rsidR="009A0F4A" w:rsidRPr="003D7A6A">
        <w:rPr>
          <w:i/>
        </w:rPr>
        <w:t>72</w:t>
      </w:r>
      <w:r w:rsidR="00A95BDA" w:rsidRPr="003D7A6A">
        <w:t>, 408</w:t>
      </w:r>
      <w:r w:rsidR="009A0F4A" w:rsidRPr="003D7A6A">
        <w:t>.</w:t>
      </w:r>
    </w:p>
    <w:p w14:paraId="0E32D8AF" w14:textId="182C7EBE" w:rsidR="00C76A09" w:rsidRPr="003D7A6A" w:rsidRDefault="00CC2761" w:rsidP="00C76A09">
      <w:pPr>
        <w:spacing w:after="0"/>
        <w:rPr>
          <w:lang w:val="fr-FR"/>
        </w:rPr>
      </w:pPr>
      <w:r w:rsidRPr="003D7A6A">
        <w:rPr>
          <w:lang w:val="fr-FR"/>
        </w:rPr>
        <w:t>32</w:t>
      </w:r>
      <w:r w:rsidR="00C76A09" w:rsidRPr="003D7A6A">
        <w:rPr>
          <w:lang w:val="fr-FR"/>
        </w:rPr>
        <w:t xml:space="preserve">. Piers, E.; Chong, J. </w:t>
      </w:r>
      <w:r w:rsidR="00C76A09" w:rsidRPr="003D7A6A">
        <w:rPr>
          <w:i/>
          <w:lang w:val="fr-FR"/>
        </w:rPr>
        <w:t>J. Org. Chem</w:t>
      </w:r>
      <w:r w:rsidR="00C76A09" w:rsidRPr="003D7A6A">
        <w:rPr>
          <w:lang w:val="fr-FR"/>
        </w:rPr>
        <w:t>.</w:t>
      </w:r>
      <w:r w:rsidR="00C76A09" w:rsidRPr="003D7A6A">
        <w:rPr>
          <w:b/>
          <w:lang w:val="fr-FR"/>
        </w:rPr>
        <w:t xml:space="preserve"> 1982</w:t>
      </w:r>
      <w:r w:rsidR="00C76A09" w:rsidRPr="003D7A6A">
        <w:rPr>
          <w:lang w:val="fr-FR"/>
        </w:rPr>
        <w:t>,</w:t>
      </w:r>
      <w:r w:rsidR="00C76A09" w:rsidRPr="003D7A6A">
        <w:rPr>
          <w:b/>
          <w:lang w:val="fr-FR"/>
        </w:rPr>
        <w:t xml:space="preserve"> </w:t>
      </w:r>
      <w:r w:rsidR="00C76A09" w:rsidRPr="003D7A6A">
        <w:rPr>
          <w:i/>
          <w:lang w:val="fr-FR"/>
        </w:rPr>
        <w:t>47</w:t>
      </w:r>
      <w:r w:rsidR="00A95BDA" w:rsidRPr="003D7A6A">
        <w:rPr>
          <w:lang w:val="fr-FR"/>
        </w:rPr>
        <w:t>, 1604</w:t>
      </w:r>
      <w:r w:rsidR="00C76A09" w:rsidRPr="003D7A6A">
        <w:rPr>
          <w:lang w:val="fr-FR"/>
        </w:rPr>
        <w:t>.</w:t>
      </w:r>
    </w:p>
    <w:p w14:paraId="4FAF58D6" w14:textId="5DB6CE99" w:rsidR="00C76A09" w:rsidRPr="003D7A6A" w:rsidRDefault="00CC2761" w:rsidP="00C76A09">
      <w:pPr>
        <w:spacing w:after="0"/>
        <w:rPr>
          <w:lang w:val="fr-FR"/>
        </w:rPr>
      </w:pPr>
      <w:r w:rsidRPr="003D7A6A">
        <w:rPr>
          <w:lang w:val="fr-FR"/>
        </w:rPr>
        <w:t>33</w:t>
      </w:r>
      <w:r w:rsidR="00C76A09" w:rsidRPr="003D7A6A">
        <w:rPr>
          <w:lang w:val="fr-FR"/>
        </w:rPr>
        <w:t xml:space="preserve">. Soai, K.; Yokoyama, S.; Mochida, K. </w:t>
      </w:r>
      <w:r w:rsidR="00C76A09" w:rsidRPr="003D7A6A">
        <w:rPr>
          <w:i/>
          <w:lang w:val="fr-FR"/>
        </w:rPr>
        <w:t>Synthesis (Stuttgart)</w:t>
      </w:r>
      <w:r w:rsidR="00C76A09" w:rsidRPr="003D7A6A">
        <w:rPr>
          <w:lang w:val="fr-FR"/>
        </w:rPr>
        <w:t xml:space="preserve"> </w:t>
      </w:r>
      <w:r w:rsidR="00C76A09" w:rsidRPr="003D7A6A">
        <w:rPr>
          <w:b/>
          <w:lang w:val="fr-FR"/>
        </w:rPr>
        <w:t>1987</w:t>
      </w:r>
      <w:r w:rsidR="00D135B9" w:rsidRPr="003D7A6A">
        <w:rPr>
          <w:lang w:val="fr-FR"/>
        </w:rPr>
        <w:t xml:space="preserve"> 647</w:t>
      </w:r>
      <w:r w:rsidR="00C76A09" w:rsidRPr="003D7A6A">
        <w:rPr>
          <w:lang w:val="fr-FR"/>
        </w:rPr>
        <w:t xml:space="preserve">.      </w:t>
      </w:r>
    </w:p>
    <w:p w14:paraId="14EFEA7A" w14:textId="20161AA3" w:rsidR="00C76A09" w:rsidRPr="003D7A6A" w:rsidRDefault="00C76A09" w:rsidP="00C76A09">
      <w:pPr>
        <w:spacing w:after="0"/>
      </w:pPr>
      <w:r w:rsidRPr="003D7A6A">
        <w:rPr>
          <w:lang w:val="es-ES"/>
        </w:rPr>
        <w:t>3</w:t>
      </w:r>
      <w:r w:rsidR="00CC2761" w:rsidRPr="003D7A6A">
        <w:rPr>
          <w:lang w:val="es-ES"/>
        </w:rPr>
        <w:t>4</w:t>
      </w:r>
      <w:r w:rsidRPr="003D7A6A">
        <w:rPr>
          <w:lang w:val="es-ES"/>
        </w:rPr>
        <w:t xml:space="preserve">. Ishizumi, K.; Koga, K.; Yamada, S. </w:t>
      </w:r>
      <w:r w:rsidRPr="003D7A6A">
        <w:rPr>
          <w:i/>
          <w:lang w:val="es-ES"/>
        </w:rPr>
        <w:t xml:space="preserve">Chem. </w:t>
      </w:r>
      <w:r w:rsidRPr="003D7A6A">
        <w:rPr>
          <w:i/>
        </w:rPr>
        <w:t xml:space="preserve">Pharm. Bull. </w:t>
      </w:r>
      <w:r w:rsidRPr="003D7A6A">
        <w:rPr>
          <w:b/>
        </w:rPr>
        <w:t>1968</w:t>
      </w:r>
      <w:r w:rsidRPr="003D7A6A">
        <w:t xml:space="preserve">, </w:t>
      </w:r>
      <w:r w:rsidRPr="003D7A6A">
        <w:rPr>
          <w:i/>
        </w:rPr>
        <w:t>16</w:t>
      </w:r>
      <w:r w:rsidRPr="003D7A6A">
        <w:t>,</w:t>
      </w:r>
      <w:r w:rsidR="00D135B9" w:rsidRPr="003D7A6A">
        <w:t xml:space="preserve"> 492</w:t>
      </w:r>
      <w:r w:rsidRPr="003D7A6A">
        <w:t>.</w:t>
      </w:r>
    </w:p>
    <w:p w14:paraId="5F9B96C6" w14:textId="53D43FE6" w:rsidR="002A0372" w:rsidRPr="003D7A6A" w:rsidRDefault="002A0372" w:rsidP="00C76A09">
      <w:pPr>
        <w:spacing w:after="0"/>
      </w:pPr>
      <w:r w:rsidRPr="003D7A6A">
        <w:t xml:space="preserve">35. </w:t>
      </w:r>
      <w:r w:rsidRPr="003D7A6A">
        <w:rPr>
          <w:lang w:val="en-US"/>
        </w:rPr>
        <w:t xml:space="preserve">Li, Z., Han, J., Jiang, Y., Browne, P., Knox, R. J. and Hu, L. </w:t>
      </w:r>
      <w:r w:rsidRPr="003D7A6A">
        <w:rPr>
          <w:i/>
          <w:lang w:val="en-US"/>
        </w:rPr>
        <w:t>Bioorg. Med. Chem</w:t>
      </w:r>
      <w:r w:rsidRPr="003D7A6A">
        <w:rPr>
          <w:lang w:val="en-US"/>
        </w:rPr>
        <w:t xml:space="preserve">. </w:t>
      </w:r>
      <w:r w:rsidRPr="003D7A6A">
        <w:rPr>
          <w:b/>
          <w:lang w:val="en-US"/>
        </w:rPr>
        <w:t>2003</w:t>
      </w:r>
      <w:r w:rsidRPr="003D7A6A">
        <w:rPr>
          <w:lang w:val="en-US"/>
        </w:rPr>
        <w:t xml:space="preserve">, </w:t>
      </w:r>
      <w:r w:rsidRPr="003D7A6A">
        <w:rPr>
          <w:i/>
          <w:lang w:val="en-US"/>
        </w:rPr>
        <w:t>11</w:t>
      </w:r>
      <w:r w:rsidRPr="003D7A6A">
        <w:rPr>
          <w:lang w:val="en-US"/>
        </w:rPr>
        <w:t>, 4171.</w:t>
      </w:r>
    </w:p>
    <w:p w14:paraId="530310E7" w14:textId="2A85F6D6" w:rsidR="007E04D0" w:rsidRPr="003D7A6A" w:rsidRDefault="002A0372" w:rsidP="00C76A09">
      <w:pPr>
        <w:spacing w:after="0"/>
      </w:pPr>
      <w:r w:rsidRPr="003D7A6A">
        <w:t>36</w:t>
      </w:r>
      <w:r w:rsidR="007E04D0" w:rsidRPr="003D7A6A">
        <w:t xml:space="preserve">. Burke, P. J.; Chun Wong, L.; Clegg, W.; Harrington, R. W.; Jenkins, T. C.; Knox, R. J.; Meikle, I. T.; Stanforth, S. P. </w:t>
      </w:r>
      <w:r w:rsidR="00FD0246" w:rsidRPr="003D7A6A">
        <w:rPr>
          <w:i/>
        </w:rPr>
        <w:t>Tetrahedron Lett.</w:t>
      </w:r>
      <w:r w:rsidR="007E04D0" w:rsidRPr="003D7A6A">
        <w:rPr>
          <w:i/>
        </w:rPr>
        <w:t xml:space="preserve"> </w:t>
      </w:r>
      <w:r w:rsidR="007E04D0" w:rsidRPr="003D7A6A">
        <w:rPr>
          <w:b/>
        </w:rPr>
        <w:t>2010</w:t>
      </w:r>
      <w:r w:rsidR="007E04D0" w:rsidRPr="003D7A6A">
        <w:t xml:space="preserve">, </w:t>
      </w:r>
      <w:r w:rsidR="007E04D0" w:rsidRPr="003D7A6A">
        <w:rPr>
          <w:i/>
        </w:rPr>
        <w:t>51</w:t>
      </w:r>
      <w:r w:rsidR="00D135B9" w:rsidRPr="003D7A6A">
        <w:t>, 3918</w:t>
      </w:r>
      <w:r w:rsidR="002B3D61" w:rsidRPr="003D7A6A">
        <w:t>.</w:t>
      </w:r>
    </w:p>
    <w:p w14:paraId="4D3A136A" w14:textId="06F80CA3" w:rsidR="002B3D61" w:rsidRPr="003D7A6A" w:rsidRDefault="002B3D61" w:rsidP="00C76A09">
      <w:pPr>
        <w:spacing w:after="0"/>
      </w:pPr>
    </w:p>
    <w:p w14:paraId="37AC4BCE" w14:textId="77777777" w:rsidR="00C76A09" w:rsidRPr="003D7A6A" w:rsidRDefault="00C76A09" w:rsidP="00956784">
      <w:pPr>
        <w:spacing w:after="0"/>
      </w:pPr>
    </w:p>
    <w:p w14:paraId="67E4E82A" w14:textId="77777777" w:rsidR="00956784" w:rsidRPr="003D7A6A" w:rsidRDefault="00956784" w:rsidP="00956784">
      <w:pPr>
        <w:spacing w:after="0"/>
      </w:pPr>
    </w:p>
    <w:p w14:paraId="2552BF61" w14:textId="55DA2529" w:rsidR="007151EB" w:rsidRPr="007151EB" w:rsidRDefault="007151EB" w:rsidP="00001DE2">
      <w:r w:rsidRPr="007151EB">
        <w:rPr>
          <w:b/>
        </w:rPr>
        <w:t xml:space="preserve"> </w:t>
      </w:r>
    </w:p>
    <w:p w14:paraId="7284B238" w14:textId="77777777" w:rsidR="007151EB" w:rsidRPr="009E2E7A" w:rsidRDefault="007151EB" w:rsidP="005E24B2"/>
    <w:sectPr w:rsidR="007151EB" w:rsidRPr="009E2E7A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078FF" w14:textId="77777777" w:rsidR="008513E4" w:rsidRDefault="008513E4" w:rsidP="00571E28">
      <w:pPr>
        <w:spacing w:after="0" w:line="240" w:lineRule="auto"/>
      </w:pPr>
      <w:r>
        <w:separator/>
      </w:r>
    </w:p>
  </w:endnote>
  <w:endnote w:type="continuationSeparator" w:id="0">
    <w:p w14:paraId="7FB3167F" w14:textId="77777777" w:rsidR="008513E4" w:rsidRDefault="008513E4" w:rsidP="0057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5632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5DA3A2" w14:textId="6394676B" w:rsidR="007151EB" w:rsidRDefault="007151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B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5B5179" w14:textId="77777777" w:rsidR="007151EB" w:rsidRDefault="00715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A3600" w14:textId="77777777" w:rsidR="008513E4" w:rsidRDefault="008513E4" w:rsidP="00571E28">
      <w:pPr>
        <w:spacing w:after="0" w:line="240" w:lineRule="auto"/>
      </w:pPr>
      <w:r>
        <w:separator/>
      </w:r>
    </w:p>
  </w:footnote>
  <w:footnote w:type="continuationSeparator" w:id="0">
    <w:p w14:paraId="55397BB9" w14:textId="77777777" w:rsidR="008513E4" w:rsidRDefault="008513E4" w:rsidP="00571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6201"/>
    <w:multiLevelType w:val="hybridMultilevel"/>
    <w:tmpl w:val="8B0A69D8"/>
    <w:lvl w:ilvl="0" w:tplc="53A2E6C4">
      <w:start w:val="78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B0570"/>
    <w:multiLevelType w:val="hybridMultilevel"/>
    <w:tmpl w:val="89D07888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7461E42"/>
    <w:multiLevelType w:val="hybridMultilevel"/>
    <w:tmpl w:val="E6B42B9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D3357C"/>
    <w:multiLevelType w:val="hybridMultilevel"/>
    <w:tmpl w:val="0E90E5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B2"/>
    <w:rsid w:val="00001DE2"/>
    <w:rsid w:val="00036439"/>
    <w:rsid w:val="00047CD0"/>
    <w:rsid w:val="00050192"/>
    <w:rsid w:val="0005317C"/>
    <w:rsid w:val="00054714"/>
    <w:rsid w:val="00056205"/>
    <w:rsid w:val="000566CB"/>
    <w:rsid w:val="000606DC"/>
    <w:rsid w:val="0009777D"/>
    <w:rsid w:val="0009790D"/>
    <w:rsid w:val="000A39B6"/>
    <w:rsid w:val="000B16AA"/>
    <w:rsid w:val="000C4607"/>
    <w:rsid w:val="000C6A68"/>
    <w:rsid w:val="000E6812"/>
    <w:rsid w:val="000F3F82"/>
    <w:rsid w:val="00106061"/>
    <w:rsid w:val="001124D4"/>
    <w:rsid w:val="00115698"/>
    <w:rsid w:val="00120095"/>
    <w:rsid w:val="001320AA"/>
    <w:rsid w:val="0013722E"/>
    <w:rsid w:val="00141B77"/>
    <w:rsid w:val="00155687"/>
    <w:rsid w:val="0015716A"/>
    <w:rsid w:val="00177284"/>
    <w:rsid w:val="00186ECD"/>
    <w:rsid w:val="00196808"/>
    <w:rsid w:val="001A4018"/>
    <w:rsid w:val="001A7BF6"/>
    <w:rsid w:val="001B09DB"/>
    <w:rsid w:val="001C488D"/>
    <w:rsid w:val="001C5891"/>
    <w:rsid w:val="001E24C4"/>
    <w:rsid w:val="00204B7C"/>
    <w:rsid w:val="00215A21"/>
    <w:rsid w:val="00241990"/>
    <w:rsid w:val="002465D9"/>
    <w:rsid w:val="00246868"/>
    <w:rsid w:val="00247EBA"/>
    <w:rsid w:val="00250067"/>
    <w:rsid w:val="002819DC"/>
    <w:rsid w:val="0028243C"/>
    <w:rsid w:val="00282BE7"/>
    <w:rsid w:val="0029675C"/>
    <w:rsid w:val="002A0372"/>
    <w:rsid w:val="002A07FA"/>
    <w:rsid w:val="002A1550"/>
    <w:rsid w:val="002A518A"/>
    <w:rsid w:val="002A5DA6"/>
    <w:rsid w:val="002B0082"/>
    <w:rsid w:val="002B3D61"/>
    <w:rsid w:val="002C2E3E"/>
    <w:rsid w:val="002C49F4"/>
    <w:rsid w:val="002D1B1D"/>
    <w:rsid w:val="002E3B54"/>
    <w:rsid w:val="002F0770"/>
    <w:rsid w:val="0030419A"/>
    <w:rsid w:val="00304FC3"/>
    <w:rsid w:val="003120BA"/>
    <w:rsid w:val="003165D7"/>
    <w:rsid w:val="00332DC6"/>
    <w:rsid w:val="003551F7"/>
    <w:rsid w:val="00356507"/>
    <w:rsid w:val="00357853"/>
    <w:rsid w:val="00363FCD"/>
    <w:rsid w:val="00371C75"/>
    <w:rsid w:val="003A228F"/>
    <w:rsid w:val="003C560B"/>
    <w:rsid w:val="003D56E9"/>
    <w:rsid w:val="003D6768"/>
    <w:rsid w:val="003D7A6A"/>
    <w:rsid w:val="003E0DDA"/>
    <w:rsid w:val="003F1CA6"/>
    <w:rsid w:val="00431C5C"/>
    <w:rsid w:val="0043616A"/>
    <w:rsid w:val="004375E1"/>
    <w:rsid w:val="00447AD9"/>
    <w:rsid w:val="00456E83"/>
    <w:rsid w:val="0047693A"/>
    <w:rsid w:val="004879BE"/>
    <w:rsid w:val="004975F0"/>
    <w:rsid w:val="004B0E0B"/>
    <w:rsid w:val="004B5841"/>
    <w:rsid w:val="004B7BC8"/>
    <w:rsid w:val="004D15EC"/>
    <w:rsid w:val="004D4040"/>
    <w:rsid w:val="00501038"/>
    <w:rsid w:val="00512408"/>
    <w:rsid w:val="00532328"/>
    <w:rsid w:val="0054070D"/>
    <w:rsid w:val="00570A48"/>
    <w:rsid w:val="00571E28"/>
    <w:rsid w:val="00572906"/>
    <w:rsid w:val="00580B71"/>
    <w:rsid w:val="005972DB"/>
    <w:rsid w:val="005D0CFF"/>
    <w:rsid w:val="005D3879"/>
    <w:rsid w:val="005D3DFC"/>
    <w:rsid w:val="005E24B2"/>
    <w:rsid w:val="005E4473"/>
    <w:rsid w:val="00602645"/>
    <w:rsid w:val="00612192"/>
    <w:rsid w:val="006134CD"/>
    <w:rsid w:val="006249DE"/>
    <w:rsid w:val="0063488B"/>
    <w:rsid w:val="00673C5D"/>
    <w:rsid w:val="006867DE"/>
    <w:rsid w:val="00694BF3"/>
    <w:rsid w:val="006A026A"/>
    <w:rsid w:val="006A4468"/>
    <w:rsid w:val="006A5A50"/>
    <w:rsid w:val="006B2C51"/>
    <w:rsid w:val="006C6B21"/>
    <w:rsid w:val="006D202F"/>
    <w:rsid w:val="006E3A31"/>
    <w:rsid w:val="006E7166"/>
    <w:rsid w:val="006E718C"/>
    <w:rsid w:val="007151EB"/>
    <w:rsid w:val="00721145"/>
    <w:rsid w:val="0072632E"/>
    <w:rsid w:val="00740275"/>
    <w:rsid w:val="007576B0"/>
    <w:rsid w:val="00761BA3"/>
    <w:rsid w:val="00764C77"/>
    <w:rsid w:val="00773938"/>
    <w:rsid w:val="00794CF9"/>
    <w:rsid w:val="00795747"/>
    <w:rsid w:val="007D64B9"/>
    <w:rsid w:val="007E04D0"/>
    <w:rsid w:val="00822A5B"/>
    <w:rsid w:val="008303EF"/>
    <w:rsid w:val="00836D39"/>
    <w:rsid w:val="008513E4"/>
    <w:rsid w:val="00874FBA"/>
    <w:rsid w:val="0087567C"/>
    <w:rsid w:val="00886924"/>
    <w:rsid w:val="008A34D3"/>
    <w:rsid w:val="008C525A"/>
    <w:rsid w:val="008E4361"/>
    <w:rsid w:val="008F4DDB"/>
    <w:rsid w:val="008F6AF8"/>
    <w:rsid w:val="00905763"/>
    <w:rsid w:val="00916B11"/>
    <w:rsid w:val="0092395E"/>
    <w:rsid w:val="00925004"/>
    <w:rsid w:val="00930621"/>
    <w:rsid w:val="00956784"/>
    <w:rsid w:val="009808B4"/>
    <w:rsid w:val="00993692"/>
    <w:rsid w:val="009A0F4A"/>
    <w:rsid w:val="009C148A"/>
    <w:rsid w:val="009E2B12"/>
    <w:rsid w:val="009E2E7A"/>
    <w:rsid w:val="009F103B"/>
    <w:rsid w:val="009F281B"/>
    <w:rsid w:val="00A11B40"/>
    <w:rsid w:val="00A2688A"/>
    <w:rsid w:val="00A27113"/>
    <w:rsid w:val="00A6535C"/>
    <w:rsid w:val="00A851B8"/>
    <w:rsid w:val="00A90350"/>
    <w:rsid w:val="00A95BDA"/>
    <w:rsid w:val="00AA2720"/>
    <w:rsid w:val="00AC73B3"/>
    <w:rsid w:val="00B0566D"/>
    <w:rsid w:val="00B15C9B"/>
    <w:rsid w:val="00B1757B"/>
    <w:rsid w:val="00B24740"/>
    <w:rsid w:val="00B337A9"/>
    <w:rsid w:val="00B476D1"/>
    <w:rsid w:val="00B50E58"/>
    <w:rsid w:val="00B619CB"/>
    <w:rsid w:val="00B63B0C"/>
    <w:rsid w:val="00BE283D"/>
    <w:rsid w:val="00BF45FB"/>
    <w:rsid w:val="00C01312"/>
    <w:rsid w:val="00C04141"/>
    <w:rsid w:val="00C05C1A"/>
    <w:rsid w:val="00C230C7"/>
    <w:rsid w:val="00C24D35"/>
    <w:rsid w:val="00C26B16"/>
    <w:rsid w:val="00C40FF1"/>
    <w:rsid w:val="00C73476"/>
    <w:rsid w:val="00C76A09"/>
    <w:rsid w:val="00C92DA0"/>
    <w:rsid w:val="00CA5859"/>
    <w:rsid w:val="00CA7F74"/>
    <w:rsid w:val="00CB1A78"/>
    <w:rsid w:val="00CC153E"/>
    <w:rsid w:val="00CC2761"/>
    <w:rsid w:val="00CD2B20"/>
    <w:rsid w:val="00CD5118"/>
    <w:rsid w:val="00CE48F0"/>
    <w:rsid w:val="00CE70DD"/>
    <w:rsid w:val="00CF1FF5"/>
    <w:rsid w:val="00D0620C"/>
    <w:rsid w:val="00D118D4"/>
    <w:rsid w:val="00D135B9"/>
    <w:rsid w:val="00D162FE"/>
    <w:rsid w:val="00D35134"/>
    <w:rsid w:val="00D42708"/>
    <w:rsid w:val="00D4641E"/>
    <w:rsid w:val="00D65713"/>
    <w:rsid w:val="00D66290"/>
    <w:rsid w:val="00D75DC9"/>
    <w:rsid w:val="00D960F0"/>
    <w:rsid w:val="00DB129D"/>
    <w:rsid w:val="00DB4BA8"/>
    <w:rsid w:val="00DC03F2"/>
    <w:rsid w:val="00DC6B4E"/>
    <w:rsid w:val="00DD0039"/>
    <w:rsid w:val="00DD314F"/>
    <w:rsid w:val="00DD62E8"/>
    <w:rsid w:val="00DD7096"/>
    <w:rsid w:val="00DE15AF"/>
    <w:rsid w:val="00DE30B3"/>
    <w:rsid w:val="00DE4B8D"/>
    <w:rsid w:val="00DF22E5"/>
    <w:rsid w:val="00E02424"/>
    <w:rsid w:val="00E05022"/>
    <w:rsid w:val="00E05A0E"/>
    <w:rsid w:val="00E174DE"/>
    <w:rsid w:val="00E6708C"/>
    <w:rsid w:val="00E8256E"/>
    <w:rsid w:val="00EA1B8A"/>
    <w:rsid w:val="00EC3E8D"/>
    <w:rsid w:val="00EE383E"/>
    <w:rsid w:val="00EF0F2F"/>
    <w:rsid w:val="00EF1B03"/>
    <w:rsid w:val="00F10C26"/>
    <w:rsid w:val="00F2734C"/>
    <w:rsid w:val="00F32E2F"/>
    <w:rsid w:val="00F51FAE"/>
    <w:rsid w:val="00F5440A"/>
    <w:rsid w:val="00F574D5"/>
    <w:rsid w:val="00F77E75"/>
    <w:rsid w:val="00F93F0F"/>
    <w:rsid w:val="00F96066"/>
    <w:rsid w:val="00FC79EA"/>
    <w:rsid w:val="00FD0246"/>
    <w:rsid w:val="00FF3986"/>
    <w:rsid w:val="00FF3EBE"/>
    <w:rsid w:val="00FF3F9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94993"/>
  <w15:docId w15:val="{ACF049F3-BAA6-4B3A-A807-473A0919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51EB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71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71E28"/>
  </w:style>
  <w:style w:type="paragraph" w:styleId="Footer">
    <w:name w:val="footer"/>
    <w:basedOn w:val="Normal"/>
    <w:link w:val="FooterChar"/>
    <w:uiPriority w:val="99"/>
    <w:unhideWhenUsed/>
    <w:rsid w:val="00571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E28"/>
  </w:style>
  <w:style w:type="table" w:styleId="TableGrid">
    <w:name w:val="Table Grid"/>
    <w:basedOn w:val="TableNormal"/>
    <w:uiPriority w:val="59"/>
    <w:rsid w:val="0061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151E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7151EB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7151E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Paper1">
    <w:name w:val="Paper1"/>
    <w:basedOn w:val="Normal"/>
    <w:rsid w:val="007151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53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1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1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1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17C"/>
    <w:rPr>
      <w:rFonts w:ascii="Segoe UI" w:hAnsi="Segoe UI" w:cs="Segoe UI"/>
      <w:sz w:val="18"/>
      <w:szCs w:val="18"/>
    </w:rPr>
  </w:style>
  <w:style w:type="character" w:customStyle="1" w:styleId="normal-2-c">
    <w:name w:val="normal-2-c"/>
    <w:basedOn w:val="DefaultParagraphFont"/>
    <w:rsid w:val="007576B0"/>
  </w:style>
  <w:style w:type="character" w:customStyle="1" w:styleId="normal-2-c2">
    <w:name w:val="normal-2-c2"/>
    <w:basedOn w:val="DefaultParagraphFont"/>
    <w:rsid w:val="007576B0"/>
  </w:style>
  <w:style w:type="character" w:styleId="Hyperlink">
    <w:name w:val="Hyperlink"/>
    <w:basedOn w:val="DefaultParagraphFont"/>
    <w:uiPriority w:val="99"/>
    <w:semiHidden/>
    <w:unhideWhenUsed/>
    <w:rsid w:val="007576B0"/>
    <w:rPr>
      <w:color w:val="0000FF"/>
      <w:u w:val="single"/>
    </w:rPr>
  </w:style>
  <w:style w:type="paragraph" w:customStyle="1" w:styleId="normal-2-p0">
    <w:name w:val="normal-2-p0"/>
    <w:basedOn w:val="Normal"/>
    <w:rsid w:val="0075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normal-p">
    <w:name w:val="normal-p"/>
    <w:basedOn w:val="Normal"/>
    <w:rsid w:val="0075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normal-2-p2">
    <w:name w:val="normal-2-p2"/>
    <w:basedOn w:val="Normal"/>
    <w:rsid w:val="0075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normal-c3">
    <w:name w:val="normal-c3"/>
    <w:basedOn w:val="DefaultParagraphFont"/>
    <w:rsid w:val="007576B0"/>
  </w:style>
  <w:style w:type="character" w:customStyle="1" w:styleId="normal-c1">
    <w:name w:val="normal-c1"/>
    <w:basedOn w:val="DefaultParagraphFont"/>
    <w:rsid w:val="007576B0"/>
  </w:style>
  <w:style w:type="paragraph" w:styleId="Revision">
    <w:name w:val="Revision"/>
    <w:hidden/>
    <w:uiPriority w:val="99"/>
    <w:semiHidden/>
    <w:rsid w:val="007576B0"/>
    <w:pPr>
      <w:spacing w:after="0" w:line="240" w:lineRule="auto"/>
    </w:pPr>
  </w:style>
  <w:style w:type="character" w:customStyle="1" w:styleId="normal-2-c0">
    <w:name w:val="normal-2-c0"/>
    <w:basedOn w:val="DefaultParagraphFont"/>
    <w:rsid w:val="00EA1B8A"/>
  </w:style>
  <w:style w:type="character" w:customStyle="1" w:styleId="normal-2-c1">
    <w:name w:val="normal-2-c1"/>
    <w:basedOn w:val="DefaultParagraphFont"/>
    <w:rsid w:val="00EA1B8A"/>
  </w:style>
  <w:style w:type="character" w:customStyle="1" w:styleId="EndNoteBibliographyChar">
    <w:name w:val="EndNote Bibliography Char"/>
    <w:basedOn w:val="DefaultParagraphFont"/>
    <w:link w:val="EndNoteBibliography"/>
    <w:locked/>
    <w:rsid w:val="00EA1B8A"/>
    <w:rPr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EA1B8A"/>
    <w:pPr>
      <w:spacing w:after="0" w:line="240" w:lineRule="auto"/>
    </w:pPr>
    <w:rPr>
      <w:noProof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CB2A9-4962-41A7-8BAC-13EF786F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15026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Stanforth</dc:creator>
  <cp:lastModifiedBy>Ay Okpokam</cp:lastModifiedBy>
  <cp:revision>2</cp:revision>
  <cp:lastPrinted>2016-10-13T08:49:00Z</cp:lastPrinted>
  <dcterms:created xsi:type="dcterms:W3CDTF">2016-11-14T09:39:00Z</dcterms:created>
  <dcterms:modified xsi:type="dcterms:W3CDTF">2016-11-14T09:39:00Z</dcterms:modified>
</cp:coreProperties>
</file>