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54" w:rsidRPr="003222B4" w:rsidRDefault="00710A46" w:rsidP="003222B4">
      <w:pPr>
        <w:pStyle w:val="NoSpacing"/>
        <w:jc w:val="center"/>
        <w:rPr>
          <w:rFonts w:ascii="Times New Roman" w:hAnsi="Times New Roman"/>
          <w:b/>
          <w:sz w:val="32"/>
          <w:szCs w:val="32"/>
          <w:u w:val="single"/>
        </w:rPr>
      </w:pPr>
      <w:r>
        <w:rPr>
          <w:rFonts w:ascii="Times New Roman" w:hAnsi="Times New Roman"/>
          <w:b/>
          <w:sz w:val="32"/>
          <w:szCs w:val="32"/>
          <w:u w:val="single"/>
        </w:rPr>
        <w:t xml:space="preserve">Jigsaws and Curiosities: </w:t>
      </w:r>
      <w:r w:rsidR="00D0326E">
        <w:rPr>
          <w:rFonts w:ascii="Times New Roman" w:hAnsi="Times New Roman"/>
          <w:b/>
          <w:sz w:val="32"/>
          <w:szCs w:val="32"/>
          <w:u w:val="single"/>
        </w:rPr>
        <w:t xml:space="preserve">The </w:t>
      </w:r>
      <w:r>
        <w:rPr>
          <w:rFonts w:ascii="Times New Roman" w:hAnsi="Times New Roman"/>
          <w:b/>
          <w:sz w:val="32"/>
          <w:szCs w:val="32"/>
          <w:u w:val="single"/>
        </w:rPr>
        <w:t xml:space="preserve">Unintended Consequences </w:t>
      </w:r>
      <w:r w:rsidR="00D0326E">
        <w:rPr>
          <w:rFonts w:ascii="Times New Roman" w:hAnsi="Times New Roman"/>
          <w:b/>
          <w:sz w:val="32"/>
          <w:szCs w:val="32"/>
          <w:u w:val="single"/>
        </w:rPr>
        <w:t>of</w:t>
      </w:r>
      <w:r w:rsidR="00E226DE">
        <w:rPr>
          <w:rFonts w:ascii="Times New Roman" w:hAnsi="Times New Roman"/>
          <w:b/>
          <w:sz w:val="32"/>
          <w:szCs w:val="32"/>
          <w:u w:val="single"/>
        </w:rPr>
        <w:t xml:space="preserve"> Misuse of Private Information Injunctions</w:t>
      </w:r>
    </w:p>
    <w:p w:rsidR="003222B4" w:rsidRDefault="003222B4" w:rsidP="00A41E7D">
      <w:pPr>
        <w:spacing w:after="0" w:line="240" w:lineRule="auto"/>
        <w:jc w:val="center"/>
        <w:rPr>
          <w:rFonts w:ascii="Times New Roman" w:hAnsi="Times New Roman"/>
          <w:b/>
          <w:sz w:val="32"/>
          <w:szCs w:val="32"/>
          <w:u w:val="single"/>
        </w:rPr>
      </w:pPr>
    </w:p>
    <w:p w:rsidR="003222B4" w:rsidRDefault="003222B4" w:rsidP="00A41E7D">
      <w:pPr>
        <w:spacing w:after="0" w:line="240" w:lineRule="auto"/>
        <w:jc w:val="center"/>
        <w:rPr>
          <w:rFonts w:ascii="Times New Roman" w:hAnsi="Times New Roman"/>
          <w:b/>
          <w:sz w:val="32"/>
          <w:szCs w:val="32"/>
          <w:u w:val="single"/>
        </w:rPr>
      </w:pPr>
    </w:p>
    <w:p w:rsidR="00900754" w:rsidRDefault="00900754" w:rsidP="00A41E7D">
      <w:pPr>
        <w:spacing w:after="0" w:line="240" w:lineRule="auto"/>
        <w:jc w:val="center"/>
        <w:rPr>
          <w:rFonts w:ascii="Times New Roman" w:hAnsi="Times New Roman"/>
          <w:b/>
          <w:sz w:val="32"/>
          <w:szCs w:val="32"/>
          <w:u w:val="single"/>
        </w:rPr>
      </w:pPr>
    </w:p>
    <w:p w:rsidR="00900754" w:rsidRPr="00517DDA" w:rsidRDefault="00900754" w:rsidP="00900754">
      <w:pPr>
        <w:spacing w:after="0" w:line="240" w:lineRule="auto"/>
        <w:jc w:val="center"/>
        <w:rPr>
          <w:rFonts w:ascii="Times New Roman" w:eastAsia="Times New Roman" w:hAnsi="Times New Roman"/>
          <w:b/>
          <w:sz w:val="24"/>
          <w:szCs w:val="24"/>
        </w:rPr>
      </w:pPr>
      <w:r w:rsidRPr="00517DDA">
        <w:rPr>
          <w:rFonts w:ascii="Times New Roman" w:eastAsia="Times New Roman" w:hAnsi="Times New Roman"/>
          <w:b/>
          <w:sz w:val="24"/>
          <w:szCs w:val="24"/>
        </w:rPr>
        <w:t>Rebecca Moosavian</w:t>
      </w:r>
    </w:p>
    <w:p w:rsidR="00900754" w:rsidRPr="00517DDA" w:rsidRDefault="00900754" w:rsidP="00900754">
      <w:pPr>
        <w:spacing w:after="0" w:line="240" w:lineRule="auto"/>
        <w:jc w:val="center"/>
        <w:rPr>
          <w:rFonts w:ascii="Times New Roman" w:eastAsia="Times New Roman" w:hAnsi="Times New Roman"/>
          <w:b/>
          <w:sz w:val="24"/>
          <w:szCs w:val="24"/>
        </w:rPr>
      </w:pPr>
      <w:r w:rsidRPr="00517DDA">
        <w:rPr>
          <w:rFonts w:ascii="Times New Roman" w:eastAsia="Times New Roman" w:hAnsi="Times New Roman"/>
          <w:b/>
          <w:sz w:val="24"/>
          <w:szCs w:val="24"/>
        </w:rPr>
        <w:t>Northumbria University, Newcastle, England</w:t>
      </w:r>
    </w:p>
    <w:p w:rsidR="00900754" w:rsidRPr="00517DDA" w:rsidRDefault="0009180F" w:rsidP="00900754">
      <w:pPr>
        <w:spacing w:after="0" w:line="240" w:lineRule="auto"/>
        <w:jc w:val="center"/>
        <w:rPr>
          <w:rFonts w:ascii="Times New Roman" w:eastAsia="Times New Roman" w:hAnsi="Times New Roman"/>
          <w:sz w:val="24"/>
          <w:szCs w:val="24"/>
        </w:rPr>
      </w:pPr>
      <w:hyperlink r:id="rId9" w:history="1">
        <w:r w:rsidR="00900754" w:rsidRPr="00517DDA">
          <w:rPr>
            <w:rFonts w:ascii="Times New Roman" w:eastAsia="Times New Roman" w:hAnsi="Times New Roman"/>
            <w:color w:val="0000FF" w:themeColor="hyperlink"/>
            <w:sz w:val="24"/>
            <w:szCs w:val="24"/>
            <w:u w:val="single"/>
          </w:rPr>
          <w:t>https://www.northumbria.ac.uk/about-us/our-staff/m/rebecca-moosavian/</w:t>
        </w:r>
      </w:hyperlink>
      <w:r w:rsidR="00900754" w:rsidRPr="00517DDA">
        <w:rPr>
          <w:rFonts w:ascii="Times New Roman" w:eastAsia="Times New Roman" w:hAnsi="Times New Roman"/>
          <w:sz w:val="24"/>
          <w:szCs w:val="24"/>
        </w:rPr>
        <w:t xml:space="preserve"> </w:t>
      </w:r>
    </w:p>
    <w:p w:rsidR="00900754" w:rsidRPr="00517DDA" w:rsidRDefault="00900754" w:rsidP="00900754">
      <w:pPr>
        <w:spacing w:after="0" w:line="240" w:lineRule="auto"/>
        <w:jc w:val="center"/>
        <w:rPr>
          <w:rFonts w:ascii="Times New Roman" w:eastAsia="Times New Roman" w:hAnsi="Times New Roman"/>
          <w:b/>
          <w:sz w:val="24"/>
          <w:szCs w:val="24"/>
          <w:u w:val="single"/>
        </w:rPr>
      </w:pPr>
    </w:p>
    <w:p w:rsidR="00900754" w:rsidRPr="00517DDA" w:rsidRDefault="00900754" w:rsidP="00900754">
      <w:pPr>
        <w:spacing w:after="0" w:line="240" w:lineRule="auto"/>
        <w:jc w:val="center"/>
        <w:rPr>
          <w:rFonts w:ascii="Times New Roman" w:eastAsia="Times New Roman" w:hAnsi="Times New Roman"/>
          <w:b/>
          <w:sz w:val="24"/>
          <w:szCs w:val="24"/>
          <w:u w:val="single"/>
        </w:rPr>
      </w:pPr>
    </w:p>
    <w:p w:rsidR="00900754" w:rsidRPr="00517DDA" w:rsidRDefault="00900754" w:rsidP="00900754">
      <w:pPr>
        <w:spacing w:after="0" w:line="240" w:lineRule="auto"/>
        <w:jc w:val="center"/>
        <w:rPr>
          <w:rFonts w:ascii="Times New Roman" w:eastAsia="Times New Roman" w:hAnsi="Times New Roman"/>
          <w:b/>
          <w:u w:val="single"/>
        </w:rPr>
      </w:pPr>
    </w:p>
    <w:p w:rsidR="00900754" w:rsidRPr="00517DDA" w:rsidRDefault="00900754" w:rsidP="00900754">
      <w:pPr>
        <w:spacing w:after="0" w:line="240" w:lineRule="auto"/>
        <w:jc w:val="center"/>
        <w:rPr>
          <w:rFonts w:ascii="Times New Roman" w:eastAsia="Times New Roman" w:hAnsi="Times New Roman"/>
          <w:b/>
          <w:sz w:val="24"/>
          <w:szCs w:val="24"/>
          <w:u w:val="single"/>
        </w:rPr>
      </w:pPr>
      <w:r w:rsidRPr="00151384">
        <w:rPr>
          <w:rFonts w:ascii="Times New Roman" w:eastAsia="Times New Roman" w:hAnsi="Times New Roman"/>
          <w:b/>
          <w:sz w:val="24"/>
          <w:szCs w:val="24"/>
          <w:u w:val="single"/>
        </w:rPr>
        <w:t xml:space="preserve">Word Count: </w:t>
      </w:r>
      <w:r w:rsidR="00067F00">
        <w:rPr>
          <w:rFonts w:ascii="Times New Roman" w:eastAsia="Times New Roman" w:hAnsi="Times New Roman"/>
          <w:b/>
          <w:sz w:val="24"/>
          <w:szCs w:val="24"/>
          <w:u w:val="single"/>
        </w:rPr>
        <w:t>9,903</w:t>
      </w:r>
      <w:r w:rsidR="00B85E50">
        <w:rPr>
          <w:rFonts w:ascii="Times New Roman" w:eastAsia="Times New Roman" w:hAnsi="Times New Roman"/>
          <w:b/>
          <w:sz w:val="24"/>
          <w:szCs w:val="24"/>
          <w:u w:val="single"/>
        </w:rPr>
        <w:t xml:space="preserve"> </w:t>
      </w:r>
      <w:proofErr w:type="spellStart"/>
      <w:r w:rsidR="00B85E50">
        <w:rPr>
          <w:rFonts w:ascii="Times New Roman" w:eastAsia="Times New Roman" w:hAnsi="Times New Roman"/>
          <w:b/>
          <w:sz w:val="24"/>
          <w:szCs w:val="24"/>
          <w:u w:val="single"/>
        </w:rPr>
        <w:t>approx</w:t>
      </w:r>
      <w:proofErr w:type="spellEnd"/>
    </w:p>
    <w:p w:rsidR="00900754" w:rsidRPr="00AC6962" w:rsidRDefault="00900754" w:rsidP="00AC6962">
      <w:pPr>
        <w:spacing w:after="0" w:line="240" w:lineRule="auto"/>
        <w:jc w:val="center"/>
        <w:rPr>
          <w:rFonts w:ascii="Times New Roman" w:eastAsia="Times New Roman" w:hAnsi="Times New Roman"/>
          <w:sz w:val="24"/>
          <w:szCs w:val="24"/>
        </w:rPr>
      </w:pPr>
      <w:r w:rsidRPr="00517DDA">
        <w:rPr>
          <w:rFonts w:ascii="Times New Roman" w:eastAsia="Times New Roman" w:hAnsi="Times New Roman"/>
          <w:sz w:val="24"/>
          <w:szCs w:val="24"/>
        </w:rPr>
        <w:t>(excluding title page and footnotes)</w:t>
      </w:r>
    </w:p>
    <w:p w:rsidR="00FC0718" w:rsidRDefault="00FC0718" w:rsidP="003C1673">
      <w:pPr>
        <w:spacing w:after="0" w:line="240" w:lineRule="auto"/>
        <w:rPr>
          <w:rFonts w:ascii="Times New Roman" w:hAnsi="Times New Roman"/>
          <w:i/>
          <w:color w:val="FF0000"/>
          <w:sz w:val="24"/>
          <w:szCs w:val="24"/>
        </w:rPr>
      </w:pPr>
    </w:p>
    <w:p w:rsidR="004B4D7A" w:rsidRDefault="004B4D7A" w:rsidP="003C1673">
      <w:pPr>
        <w:spacing w:after="0" w:line="240" w:lineRule="auto"/>
        <w:rPr>
          <w:rFonts w:ascii="Times New Roman" w:hAnsi="Times New Roman"/>
          <w:i/>
          <w:color w:val="FF0000"/>
          <w:sz w:val="24"/>
          <w:szCs w:val="24"/>
        </w:rPr>
      </w:pPr>
    </w:p>
    <w:p w:rsidR="004B4D7A" w:rsidRDefault="004B4D7A" w:rsidP="003C1673">
      <w:pPr>
        <w:spacing w:after="0" w:line="240" w:lineRule="auto"/>
        <w:rPr>
          <w:rFonts w:ascii="Times New Roman" w:hAnsi="Times New Roman"/>
          <w:i/>
          <w:color w:val="FF0000"/>
          <w:sz w:val="24"/>
          <w:szCs w:val="24"/>
        </w:rPr>
      </w:pPr>
    </w:p>
    <w:p w:rsidR="004B4D7A" w:rsidRDefault="004B4D7A" w:rsidP="003C1673">
      <w:pPr>
        <w:spacing w:after="0" w:line="240" w:lineRule="auto"/>
        <w:rPr>
          <w:rFonts w:ascii="Times New Roman" w:hAnsi="Times New Roman"/>
          <w:i/>
          <w:color w:val="FF0000"/>
          <w:sz w:val="24"/>
          <w:szCs w:val="24"/>
        </w:rPr>
      </w:pPr>
    </w:p>
    <w:p w:rsidR="00DC0B7C" w:rsidRDefault="00DC0B7C" w:rsidP="003C1673">
      <w:pPr>
        <w:spacing w:after="0" w:line="240" w:lineRule="auto"/>
        <w:rPr>
          <w:rFonts w:ascii="Times New Roman" w:hAnsi="Times New Roman"/>
          <w:b/>
          <w:sz w:val="24"/>
          <w:szCs w:val="24"/>
          <w:u w:val="single"/>
        </w:rPr>
      </w:pPr>
      <w:r>
        <w:rPr>
          <w:rFonts w:ascii="Times New Roman" w:hAnsi="Times New Roman"/>
          <w:b/>
          <w:sz w:val="24"/>
          <w:szCs w:val="24"/>
          <w:u w:val="single"/>
        </w:rPr>
        <w:t>Key words:</w:t>
      </w:r>
    </w:p>
    <w:p w:rsidR="00DC0B7C" w:rsidRDefault="00DC0B7C" w:rsidP="003C1673">
      <w:pPr>
        <w:spacing w:after="0" w:line="240" w:lineRule="auto"/>
        <w:rPr>
          <w:rFonts w:ascii="Times New Roman" w:hAnsi="Times New Roman"/>
          <w:sz w:val="24"/>
          <w:szCs w:val="24"/>
        </w:rPr>
      </w:pPr>
    </w:p>
    <w:p w:rsidR="005C0B5B" w:rsidRPr="00F42CEF" w:rsidRDefault="005C0B5B" w:rsidP="005C0B5B">
      <w:pPr>
        <w:spacing w:after="0" w:line="240" w:lineRule="auto"/>
        <w:jc w:val="both"/>
        <w:rPr>
          <w:rFonts w:ascii="Times New Roman" w:hAnsi="Times New Roman"/>
          <w:b/>
          <w:sz w:val="24"/>
          <w:szCs w:val="24"/>
        </w:rPr>
      </w:pPr>
      <w:r w:rsidRPr="00F42CEF">
        <w:rPr>
          <w:rFonts w:ascii="Times New Roman" w:hAnsi="Times New Roman"/>
          <w:b/>
          <w:sz w:val="24"/>
          <w:szCs w:val="24"/>
        </w:rPr>
        <w:t>Misuse of private information; Article 8 privacy; breach of confidence; unintended consequences;</w:t>
      </w:r>
      <w:r w:rsidR="007B21B8" w:rsidRPr="00F42CEF">
        <w:rPr>
          <w:rFonts w:ascii="Times New Roman" w:hAnsi="Times New Roman"/>
          <w:b/>
          <w:sz w:val="24"/>
          <w:szCs w:val="24"/>
        </w:rPr>
        <w:t xml:space="preserve"> non-disclosure order</w:t>
      </w:r>
      <w:r w:rsidRPr="00F42CEF">
        <w:rPr>
          <w:rFonts w:ascii="Times New Roman" w:hAnsi="Times New Roman"/>
          <w:b/>
          <w:sz w:val="24"/>
          <w:szCs w:val="24"/>
        </w:rPr>
        <w:t>;</w:t>
      </w:r>
      <w:r w:rsidR="007B21B8" w:rsidRPr="00F42CEF">
        <w:rPr>
          <w:rFonts w:ascii="Times New Roman" w:hAnsi="Times New Roman"/>
          <w:b/>
          <w:sz w:val="24"/>
          <w:szCs w:val="24"/>
        </w:rPr>
        <w:t xml:space="preserve"> injunction;</w:t>
      </w:r>
      <w:r w:rsidRPr="00F42CEF">
        <w:rPr>
          <w:rFonts w:ascii="Times New Roman" w:hAnsi="Times New Roman"/>
          <w:b/>
          <w:sz w:val="24"/>
          <w:szCs w:val="24"/>
        </w:rPr>
        <w:t xml:space="preserve"> internet</w:t>
      </w:r>
      <w:r w:rsidR="009C5335" w:rsidRPr="00F42CEF">
        <w:rPr>
          <w:rFonts w:ascii="Times New Roman" w:hAnsi="Times New Roman"/>
          <w:b/>
          <w:sz w:val="24"/>
          <w:szCs w:val="24"/>
        </w:rPr>
        <w:t>.</w:t>
      </w:r>
    </w:p>
    <w:p w:rsidR="009C5335" w:rsidRPr="00DC0B7C" w:rsidRDefault="009C5335" w:rsidP="005C0B5B">
      <w:pPr>
        <w:spacing w:after="0" w:line="240" w:lineRule="auto"/>
        <w:jc w:val="both"/>
        <w:rPr>
          <w:rFonts w:ascii="Times New Roman" w:hAnsi="Times New Roman"/>
          <w:sz w:val="24"/>
          <w:szCs w:val="24"/>
        </w:rPr>
      </w:pPr>
    </w:p>
    <w:p w:rsidR="00DC0B7C" w:rsidRDefault="00DC0B7C" w:rsidP="003C1673">
      <w:pPr>
        <w:spacing w:after="0" w:line="240" w:lineRule="auto"/>
        <w:rPr>
          <w:rFonts w:ascii="Times New Roman" w:hAnsi="Times New Roman"/>
          <w:b/>
          <w:sz w:val="24"/>
          <w:szCs w:val="24"/>
          <w:u w:val="single"/>
        </w:rPr>
      </w:pPr>
    </w:p>
    <w:p w:rsidR="00E43C78" w:rsidRDefault="00E43C78" w:rsidP="003C1673">
      <w:pPr>
        <w:spacing w:after="0" w:line="240" w:lineRule="auto"/>
        <w:rPr>
          <w:rFonts w:ascii="Times New Roman" w:hAnsi="Times New Roman"/>
          <w:b/>
          <w:sz w:val="24"/>
          <w:szCs w:val="24"/>
          <w:u w:val="single"/>
        </w:rPr>
      </w:pPr>
    </w:p>
    <w:p w:rsidR="00FC0718" w:rsidRPr="0027039C" w:rsidRDefault="00FC0718" w:rsidP="003C1673">
      <w:pPr>
        <w:spacing w:after="0" w:line="240" w:lineRule="auto"/>
        <w:rPr>
          <w:rFonts w:ascii="Times New Roman" w:hAnsi="Times New Roman"/>
          <w:b/>
          <w:sz w:val="24"/>
          <w:szCs w:val="24"/>
          <w:u w:val="single"/>
        </w:rPr>
      </w:pPr>
      <w:r w:rsidRPr="0027039C">
        <w:rPr>
          <w:rFonts w:ascii="Times New Roman" w:hAnsi="Times New Roman"/>
          <w:b/>
          <w:sz w:val="24"/>
          <w:szCs w:val="24"/>
          <w:u w:val="single"/>
        </w:rPr>
        <w:t>Abstract –</w:t>
      </w:r>
      <w:r w:rsidR="0015138C">
        <w:rPr>
          <w:rFonts w:ascii="Times New Roman" w:hAnsi="Times New Roman"/>
          <w:b/>
          <w:sz w:val="24"/>
          <w:szCs w:val="24"/>
          <w:u w:val="single"/>
        </w:rPr>
        <w:t xml:space="preserve"> 238</w:t>
      </w:r>
      <w:r w:rsidRPr="0027039C">
        <w:rPr>
          <w:rFonts w:ascii="Times New Roman" w:hAnsi="Times New Roman"/>
          <w:b/>
          <w:sz w:val="24"/>
          <w:szCs w:val="24"/>
          <w:u w:val="single"/>
        </w:rPr>
        <w:t xml:space="preserve"> words</w:t>
      </w:r>
    </w:p>
    <w:p w:rsidR="00FC0718" w:rsidRPr="00547713" w:rsidRDefault="00FC0718" w:rsidP="003C1673">
      <w:pPr>
        <w:spacing w:after="0" w:line="240" w:lineRule="auto"/>
        <w:rPr>
          <w:rFonts w:ascii="Times New Roman" w:hAnsi="Times New Roman"/>
          <w:i/>
          <w:color w:val="FF0000"/>
          <w:sz w:val="24"/>
          <w:szCs w:val="24"/>
        </w:rPr>
      </w:pPr>
    </w:p>
    <w:p w:rsidR="000D7E9B" w:rsidRPr="00743FD9" w:rsidRDefault="00DA7703" w:rsidP="000D7E9B">
      <w:pPr>
        <w:spacing w:after="0" w:line="240" w:lineRule="auto"/>
        <w:jc w:val="both"/>
        <w:rPr>
          <w:rFonts w:ascii="Times New Roman" w:hAnsi="Times New Roman"/>
          <w:i/>
          <w:sz w:val="24"/>
          <w:szCs w:val="24"/>
        </w:rPr>
      </w:pPr>
      <w:r>
        <w:rPr>
          <w:rFonts w:ascii="Times New Roman" w:hAnsi="Times New Roman"/>
          <w:i/>
          <w:sz w:val="24"/>
          <w:szCs w:val="24"/>
        </w:rPr>
        <w:t>This article</w:t>
      </w:r>
      <w:r w:rsidR="003C1673" w:rsidRPr="00531999">
        <w:rPr>
          <w:rFonts w:ascii="Times New Roman" w:hAnsi="Times New Roman"/>
          <w:i/>
          <w:sz w:val="24"/>
          <w:szCs w:val="24"/>
        </w:rPr>
        <w:t xml:space="preserve"> examines t</w:t>
      </w:r>
      <w:r w:rsidR="00547713" w:rsidRPr="00531999">
        <w:rPr>
          <w:rFonts w:ascii="Times New Roman" w:hAnsi="Times New Roman"/>
          <w:i/>
          <w:sz w:val="24"/>
          <w:szCs w:val="24"/>
        </w:rPr>
        <w:t>he unintended consequences of</w:t>
      </w:r>
      <w:r w:rsidR="003C1673" w:rsidRPr="00531999">
        <w:rPr>
          <w:rFonts w:ascii="Times New Roman" w:hAnsi="Times New Roman"/>
          <w:i/>
          <w:sz w:val="24"/>
          <w:szCs w:val="24"/>
        </w:rPr>
        <w:t xml:space="preserve"> injunctions granted </w:t>
      </w:r>
      <w:r w:rsidR="00D0326E">
        <w:rPr>
          <w:rFonts w:ascii="Times New Roman" w:hAnsi="Times New Roman"/>
          <w:i/>
          <w:sz w:val="24"/>
          <w:szCs w:val="24"/>
        </w:rPr>
        <w:t xml:space="preserve">in </w:t>
      </w:r>
      <w:r w:rsidR="00AC6962">
        <w:rPr>
          <w:rFonts w:ascii="Times New Roman" w:hAnsi="Times New Roman"/>
          <w:i/>
          <w:sz w:val="24"/>
          <w:szCs w:val="24"/>
        </w:rPr>
        <w:t xml:space="preserve">misuse of private </w:t>
      </w:r>
      <w:r w:rsidR="003C1673" w:rsidRPr="00531999">
        <w:rPr>
          <w:rFonts w:ascii="Times New Roman" w:hAnsi="Times New Roman"/>
          <w:i/>
          <w:sz w:val="24"/>
          <w:szCs w:val="24"/>
        </w:rPr>
        <w:t>information (MPI) disputes.</w:t>
      </w:r>
      <w:r w:rsidR="00A57A2C" w:rsidRPr="00531999">
        <w:rPr>
          <w:rFonts w:ascii="Times New Roman" w:hAnsi="Times New Roman"/>
          <w:i/>
          <w:sz w:val="24"/>
          <w:szCs w:val="24"/>
        </w:rPr>
        <w:t xml:space="preserve">  The </w:t>
      </w:r>
      <w:r w:rsidR="003C1673" w:rsidRPr="00531999">
        <w:rPr>
          <w:rFonts w:ascii="Times New Roman" w:hAnsi="Times New Roman"/>
          <w:i/>
          <w:sz w:val="24"/>
          <w:szCs w:val="24"/>
        </w:rPr>
        <w:t>MPI</w:t>
      </w:r>
      <w:r w:rsidR="00A57A2C" w:rsidRPr="00531999">
        <w:rPr>
          <w:rFonts w:ascii="Times New Roman" w:hAnsi="Times New Roman"/>
          <w:i/>
          <w:sz w:val="24"/>
          <w:szCs w:val="24"/>
        </w:rPr>
        <w:t xml:space="preserve"> action</w:t>
      </w:r>
      <w:r w:rsidR="003C1673" w:rsidRPr="00531999">
        <w:rPr>
          <w:rFonts w:ascii="Times New Roman" w:hAnsi="Times New Roman"/>
          <w:i/>
          <w:sz w:val="24"/>
          <w:szCs w:val="24"/>
        </w:rPr>
        <w:t xml:space="preserve"> enables successful claimants to obtain injunctions, often</w:t>
      </w:r>
      <w:r w:rsidR="00A57A2C" w:rsidRPr="00531999">
        <w:rPr>
          <w:rFonts w:ascii="Times New Roman" w:hAnsi="Times New Roman"/>
          <w:i/>
          <w:sz w:val="24"/>
          <w:szCs w:val="24"/>
        </w:rPr>
        <w:t xml:space="preserve"> anonymised, to prevent</w:t>
      </w:r>
      <w:r w:rsidR="00724346" w:rsidRPr="00531999">
        <w:rPr>
          <w:rFonts w:ascii="Times New Roman" w:hAnsi="Times New Roman"/>
          <w:i/>
          <w:sz w:val="24"/>
          <w:szCs w:val="24"/>
        </w:rPr>
        <w:t xml:space="preserve"> publication</w:t>
      </w:r>
      <w:r w:rsidR="003C1673" w:rsidRPr="00531999">
        <w:rPr>
          <w:rFonts w:ascii="Times New Roman" w:hAnsi="Times New Roman"/>
          <w:i/>
          <w:sz w:val="24"/>
          <w:szCs w:val="24"/>
        </w:rPr>
        <w:t xml:space="preserve"> of a story</w:t>
      </w:r>
      <w:r w:rsidR="00547713" w:rsidRPr="00531999">
        <w:rPr>
          <w:rFonts w:ascii="Times New Roman" w:hAnsi="Times New Roman"/>
          <w:i/>
          <w:sz w:val="24"/>
          <w:szCs w:val="24"/>
        </w:rPr>
        <w:t xml:space="preserve"> (or parts of it) that </w:t>
      </w:r>
      <w:r w:rsidR="005B215B" w:rsidRPr="00531999">
        <w:rPr>
          <w:rFonts w:ascii="Times New Roman" w:hAnsi="Times New Roman"/>
          <w:i/>
          <w:sz w:val="24"/>
          <w:szCs w:val="24"/>
        </w:rPr>
        <w:t>i</w:t>
      </w:r>
      <w:r w:rsidR="003C1673" w:rsidRPr="00531999">
        <w:rPr>
          <w:rFonts w:ascii="Times New Roman" w:hAnsi="Times New Roman"/>
          <w:i/>
          <w:sz w:val="24"/>
          <w:szCs w:val="24"/>
        </w:rPr>
        <w:t>nfringe upon their Article 8 privacy rights.</w:t>
      </w:r>
      <w:r w:rsidR="002365F1">
        <w:rPr>
          <w:rFonts w:ascii="Times New Roman" w:hAnsi="Times New Roman"/>
          <w:i/>
          <w:sz w:val="24"/>
          <w:szCs w:val="24"/>
        </w:rPr>
        <w:t xml:space="preserve">  </w:t>
      </w:r>
      <w:r w:rsidR="00AC6962" w:rsidRPr="002365F1">
        <w:rPr>
          <w:rFonts w:ascii="Times New Roman" w:hAnsi="Times New Roman"/>
          <w:i/>
          <w:sz w:val="24"/>
          <w:szCs w:val="24"/>
        </w:rPr>
        <w:t>This article</w:t>
      </w:r>
      <w:r w:rsidR="00AC6962" w:rsidRPr="000D7E9B">
        <w:rPr>
          <w:rFonts w:ascii="Times New Roman" w:hAnsi="Times New Roman"/>
          <w:i/>
          <w:sz w:val="24"/>
          <w:szCs w:val="24"/>
        </w:rPr>
        <w:t xml:space="preserve"> considers </w:t>
      </w:r>
      <w:r w:rsidR="00AC6962" w:rsidRPr="002365F1">
        <w:rPr>
          <w:rFonts w:ascii="Times New Roman" w:hAnsi="Times New Roman"/>
          <w:i/>
          <w:sz w:val="24"/>
          <w:szCs w:val="24"/>
        </w:rPr>
        <w:t xml:space="preserve">cases </w:t>
      </w:r>
      <w:r w:rsidR="00AC6962" w:rsidRPr="000D7E9B">
        <w:rPr>
          <w:rFonts w:ascii="Times New Roman" w:hAnsi="Times New Roman"/>
          <w:i/>
          <w:sz w:val="24"/>
          <w:szCs w:val="24"/>
        </w:rPr>
        <w:t xml:space="preserve">such as </w:t>
      </w:r>
      <w:proofErr w:type="spellStart"/>
      <w:r w:rsidR="00AC6962" w:rsidRPr="000D7E9B">
        <w:rPr>
          <w:rFonts w:ascii="Times New Roman" w:hAnsi="Times New Roman"/>
          <w:sz w:val="24"/>
          <w:szCs w:val="24"/>
        </w:rPr>
        <w:t>Giggs</w:t>
      </w:r>
      <w:proofErr w:type="spellEnd"/>
      <w:r w:rsidR="00AC6962" w:rsidRPr="000D7E9B">
        <w:rPr>
          <w:rFonts w:ascii="Times New Roman" w:hAnsi="Times New Roman"/>
          <w:sz w:val="24"/>
          <w:szCs w:val="24"/>
        </w:rPr>
        <w:t xml:space="preserve"> v News Group</w:t>
      </w:r>
      <w:r w:rsidR="00AC6962" w:rsidRPr="000D7E9B">
        <w:rPr>
          <w:rFonts w:ascii="Times New Roman" w:hAnsi="Times New Roman"/>
          <w:i/>
          <w:sz w:val="24"/>
          <w:szCs w:val="24"/>
        </w:rPr>
        <w:t xml:space="preserve"> and </w:t>
      </w:r>
      <w:r w:rsidR="00AC6962" w:rsidRPr="000D7E9B">
        <w:rPr>
          <w:rFonts w:ascii="Times New Roman" w:hAnsi="Times New Roman"/>
          <w:sz w:val="24"/>
          <w:szCs w:val="24"/>
        </w:rPr>
        <w:t>PJS v News Group</w:t>
      </w:r>
      <w:r w:rsidR="00AC6962" w:rsidRPr="000D7E9B">
        <w:rPr>
          <w:rFonts w:ascii="Times New Roman" w:hAnsi="Times New Roman"/>
          <w:i/>
          <w:sz w:val="24"/>
          <w:szCs w:val="24"/>
        </w:rPr>
        <w:t xml:space="preserve"> </w:t>
      </w:r>
      <w:r w:rsidR="00AC6962" w:rsidRPr="002365F1">
        <w:rPr>
          <w:rFonts w:ascii="Times New Roman" w:hAnsi="Times New Roman"/>
          <w:i/>
          <w:sz w:val="24"/>
          <w:szCs w:val="24"/>
        </w:rPr>
        <w:t xml:space="preserve">which </w:t>
      </w:r>
      <w:r w:rsidR="00AC6962" w:rsidRPr="000D7E9B">
        <w:rPr>
          <w:rFonts w:ascii="Times New Roman" w:hAnsi="Times New Roman"/>
          <w:i/>
          <w:sz w:val="24"/>
          <w:szCs w:val="24"/>
        </w:rPr>
        <w:t>highlight the challenges of MPI injunctions;</w:t>
      </w:r>
      <w:r w:rsidR="00AC6962" w:rsidRPr="002365F1">
        <w:rPr>
          <w:rFonts w:ascii="Times New Roman" w:hAnsi="Times New Roman"/>
          <w:i/>
          <w:sz w:val="24"/>
          <w:szCs w:val="24"/>
        </w:rPr>
        <w:t xml:space="preserve"> they may draw additional</w:t>
      </w:r>
      <w:r w:rsidR="00AC6962" w:rsidRPr="000D7E9B">
        <w:rPr>
          <w:rFonts w:ascii="Times New Roman" w:hAnsi="Times New Roman"/>
          <w:i/>
          <w:sz w:val="24"/>
          <w:szCs w:val="24"/>
        </w:rPr>
        <w:t xml:space="preserve"> attenti</w:t>
      </w:r>
      <w:r w:rsidR="00AC6962" w:rsidRPr="002365F1">
        <w:rPr>
          <w:rFonts w:ascii="Times New Roman" w:hAnsi="Times New Roman"/>
          <w:i/>
          <w:sz w:val="24"/>
          <w:szCs w:val="24"/>
        </w:rPr>
        <w:t>on to</w:t>
      </w:r>
      <w:r w:rsidR="00AC6962" w:rsidRPr="000D7E9B">
        <w:rPr>
          <w:rFonts w:ascii="Times New Roman" w:hAnsi="Times New Roman"/>
          <w:i/>
          <w:sz w:val="24"/>
          <w:szCs w:val="24"/>
        </w:rPr>
        <w:t xml:space="preserve"> disputed material, a phenomenon that has been colloquially termed the ‘Streisand</w:t>
      </w:r>
      <w:r w:rsidR="00AC6962" w:rsidRPr="002365F1">
        <w:rPr>
          <w:rFonts w:ascii="Times New Roman" w:hAnsi="Times New Roman"/>
          <w:i/>
          <w:sz w:val="24"/>
          <w:szCs w:val="24"/>
        </w:rPr>
        <w:t xml:space="preserve"> effect’</w:t>
      </w:r>
      <w:r w:rsidR="00AC6962" w:rsidRPr="000D7E9B">
        <w:rPr>
          <w:rFonts w:ascii="Times New Roman" w:hAnsi="Times New Roman"/>
          <w:i/>
          <w:sz w:val="24"/>
          <w:szCs w:val="24"/>
        </w:rPr>
        <w:t xml:space="preserve">.  </w:t>
      </w:r>
      <w:r w:rsidR="00AC6962" w:rsidRPr="002365F1">
        <w:rPr>
          <w:rFonts w:ascii="Times New Roman" w:hAnsi="Times New Roman"/>
          <w:i/>
          <w:sz w:val="24"/>
          <w:szCs w:val="24"/>
        </w:rPr>
        <w:t xml:space="preserve">It </w:t>
      </w:r>
      <w:r w:rsidR="00AC6962" w:rsidRPr="000D7E9B">
        <w:rPr>
          <w:rFonts w:ascii="Times New Roman" w:hAnsi="Times New Roman"/>
          <w:i/>
          <w:sz w:val="24"/>
          <w:szCs w:val="24"/>
        </w:rPr>
        <w:t xml:space="preserve">affords specific attention to the phenomenon of ‘jigsaw identification’ which may result from MPI injunctions that only restrict the publication of specific parts of a dispute, such as the claimant’s identity.  It proceeds to </w:t>
      </w:r>
      <w:r w:rsidR="00AC6962" w:rsidRPr="002365F1">
        <w:rPr>
          <w:rFonts w:ascii="Times New Roman" w:hAnsi="Times New Roman"/>
          <w:i/>
          <w:sz w:val="24"/>
          <w:szCs w:val="24"/>
        </w:rPr>
        <w:t>discuss</w:t>
      </w:r>
      <w:r w:rsidR="00AC6962" w:rsidRPr="000D7E9B">
        <w:rPr>
          <w:rFonts w:ascii="Times New Roman" w:hAnsi="Times New Roman"/>
          <w:i/>
          <w:sz w:val="24"/>
          <w:szCs w:val="24"/>
        </w:rPr>
        <w:t xml:space="preserve"> three primary reasons for unintended consequences in </w:t>
      </w:r>
      <w:r w:rsidR="00AC6962" w:rsidRPr="002365F1">
        <w:rPr>
          <w:rFonts w:ascii="Times New Roman" w:hAnsi="Times New Roman"/>
          <w:i/>
          <w:sz w:val="24"/>
          <w:szCs w:val="24"/>
        </w:rPr>
        <w:t>some MPI cases, including</w:t>
      </w:r>
      <w:r w:rsidR="00AC6962" w:rsidRPr="000D7E9B">
        <w:rPr>
          <w:rFonts w:ascii="Times New Roman" w:hAnsi="Times New Roman"/>
          <w:i/>
          <w:sz w:val="24"/>
          <w:szCs w:val="24"/>
        </w:rPr>
        <w:t xml:space="preserve"> psychological reactance, social countering and the possibilities afforded by new online technologies</w:t>
      </w:r>
      <w:r w:rsidR="00AC6962" w:rsidRPr="002365F1">
        <w:rPr>
          <w:rFonts w:ascii="Times New Roman" w:hAnsi="Times New Roman"/>
          <w:i/>
          <w:sz w:val="24"/>
          <w:szCs w:val="24"/>
        </w:rPr>
        <w:t xml:space="preserve">. </w:t>
      </w:r>
      <w:r w:rsidR="00AC6962" w:rsidRPr="000D7E9B">
        <w:rPr>
          <w:rFonts w:ascii="Times New Roman" w:hAnsi="Times New Roman"/>
          <w:i/>
          <w:sz w:val="24"/>
          <w:szCs w:val="24"/>
        </w:rPr>
        <w:t xml:space="preserve"> The article concludes with a close analysis of the recent Supreme Court decision in </w:t>
      </w:r>
      <w:r w:rsidR="00AC6962" w:rsidRPr="0032635B">
        <w:rPr>
          <w:rFonts w:ascii="Times New Roman" w:hAnsi="Times New Roman"/>
          <w:sz w:val="24"/>
          <w:szCs w:val="24"/>
        </w:rPr>
        <w:t>PJS</w:t>
      </w:r>
      <w:r w:rsidR="00AC6962" w:rsidRPr="000D7E9B">
        <w:rPr>
          <w:rFonts w:ascii="Times New Roman" w:hAnsi="Times New Roman"/>
          <w:i/>
          <w:sz w:val="24"/>
          <w:szCs w:val="24"/>
        </w:rPr>
        <w:t xml:space="preserve"> </w:t>
      </w:r>
      <w:r w:rsidR="00546713" w:rsidRPr="002365F1">
        <w:rPr>
          <w:rFonts w:ascii="Times New Roman" w:hAnsi="Times New Roman"/>
          <w:i/>
          <w:sz w:val="24"/>
          <w:szCs w:val="24"/>
        </w:rPr>
        <w:t xml:space="preserve">where the </w:t>
      </w:r>
      <w:r w:rsidR="00AC6962" w:rsidRPr="000D7E9B">
        <w:rPr>
          <w:rFonts w:ascii="Times New Roman" w:hAnsi="Times New Roman"/>
          <w:i/>
          <w:sz w:val="24"/>
          <w:szCs w:val="24"/>
        </w:rPr>
        <w:t xml:space="preserve">judicial response </w:t>
      </w:r>
      <w:r w:rsidR="00546713" w:rsidRPr="002365F1">
        <w:rPr>
          <w:rFonts w:ascii="Times New Roman" w:hAnsi="Times New Roman"/>
          <w:i/>
          <w:sz w:val="24"/>
          <w:szCs w:val="24"/>
        </w:rPr>
        <w:t xml:space="preserve">was </w:t>
      </w:r>
      <w:r w:rsidR="00AC6962" w:rsidRPr="000D7E9B">
        <w:rPr>
          <w:rFonts w:ascii="Times New Roman" w:hAnsi="Times New Roman"/>
          <w:i/>
          <w:sz w:val="24"/>
          <w:szCs w:val="24"/>
        </w:rPr>
        <w:t>to modify the problem that MPI injunctions seek to address.  Changing the purpose of such injunctions, and therefore the outcomes by which their efficacy is</w:t>
      </w:r>
      <w:r w:rsidR="0032635B">
        <w:rPr>
          <w:rFonts w:ascii="Times New Roman" w:hAnsi="Times New Roman"/>
          <w:i/>
          <w:sz w:val="24"/>
          <w:szCs w:val="24"/>
        </w:rPr>
        <w:t xml:space="preserve"> to be </w:t>
      </w:r>
      <w:r w:rsidR="00AC6962" w:rsidRPr="000D7E9B">
        <w:rPr>
          <w:rFonts w:ascii="Times New Roman" w:hAnsi="Times New Roman"/>
          <w:i/>
          <w:sz w:val="24"/>
          <w:szCs w:val="24"/>
        </w:rPr>
        <w:t xml:space="preserve">gauged, </w:t>
      </w:r>
      <w:r w:rsidR="00546713" w:rsidRPr="00743FD9">
        <w:rPr>
          <w:rFonts w:ascii="Times New Roman" w:hAnsi="Times New Roman"/>
          <w:i/>
          <w:sz w:val="24"/>
          <w:szCs w:val="24"/>
        </w:rPr>
        <w:t>enables</w:t>
      </w:r>
      <w:r w:rsidR="00AC6962" w:rsidRPr="00743FD9">
        <w:rPr>
          <w:rFonts w:ascii="Times New Roman" w:hAnsi="Times New Roman"/>
          <w:i/>
          <w:sz w:val="24"/>
          <w:szCs w:val="24"/>
        </w:rPr>
        <w:t xml:space="preserve"> the courts to justify their continuation in the face of widespread publication of private informati</w:t>
      </w:r>
      <w:r w:rsidR="00B37322" w:rsidRPr="00743FD9">
        <w:rPr>
          <w:rFonts w:ascii="Times New Roman" w:hAnsi="Times New Roman"/>
          <w:i/>
          <w:sz w:val="24"/>
          <w:szCs w:val="24"/>
        </w:rPr>
        <w:t>on.</w:t>
      </w:r>
      <w:r w:rsidR="00546713" w:rsidRPr="00743FD9">
        <w:rPr>
          <w:rFonts w:ascii="Times New Roman" w:hAnsi="Times New Roman"/>
          <w:sz w:val="24"/>
          <w:szCs w:val="24"/>
        </w:rPr>
        <w:t xml:space="preserve">  </w:t>
      </w:r>
      <w:r w:rsidR="000D7E9B" w:rsidRPr="00743FD9">
        <w:rPr>
          <w:rFonts w:ascii="Times New Roman" w:hAnsi="Times New Roman"/>
          <w:i/>
          <w:sz w:val="24"/>
          <w:szCs w:val="24"/>
        </w:rPr>
        <w:t xml:space="preserve">But this </w:t>
      </w:r>
      <w:r w:rsidR="0032635B" w:rsidRPr="00743FD9">
        <w:rPr>
          <w:rFonts w:ascii="Times New Roman" w:hAnsi="Times New Roman"/>
          <w:i/>
          <w:sz w:val="24"/>
          <w:szCs w:val="24"/>
        </w:rPr>
        <w:t xml:space="preserve">reasoning </w:t>
      </w:r>
      <w:r w:rsidR="000D7E9B" w:rsidRPr="00743FD9">
        <w:rPr>
          <w:rFonts w:ascii="Times New Roman" w:hAnsi="Times New Roman"/>
          <w:i/>
          <w:sz w:val="24"/>
          <w:szCs w:val="24"/>
        </w:rPr>
        <w:t xml:space="preserve">process relies on </w:t>
      </w:r>
      <w:r w:rsidR="00B37322" w:rsidRPr="00743FD9">
        <w:rPr>
          <w:rFonts w:ascii="Times New Roman" w:hAnsi="Times New Roman"/>
          <w:i/>
          <w:sz w:val="24"/>
          <w:szCs w:val="24"/>
        </w:rPr>
        <w:t xml:space="preserve">newly constructed, </w:t>
      </w:r>
      <w:r w:rsidR="000D7E9B" w:rsidRPr="00743FD9">
        <w:rPr>
          <w:rFonts w:ascii="Times New Roman" w:hAnsi="Times New Roman"/>
          <w:i/>
          <w:sz w:val="24"/>
          <w:szCs w:val="24"/>
        </w:rPr>
        <w:t>tenuous</w:t>
      </w:r>
      <w:r w:rsidR="00546713" w:rsidRPr="00743FD9">
        <w:rPr>
          <w:rFonts w:ascii="Times New Roman" w:hAnsi="Times New Roman"/>
          <w:i/>
          <w:sz w:val="24"/>
          <w:szCs w:val="24"/>
        </w:rPr>
        <w:t xml:space="preserve"> disti</w:t>
      </w:r>
      <w:r w:rsidR="00B37322" w:rsidRPr="00743FD9">
        <w:rPr>
          <w:rFonts w:ascii="Times New Roman" w:hAnsi="Times New Roman"/>
          <w:i/>
          <w:sz w:val="24"/>
          <w:szCs w:val="24"/>
        </w:rPr>
        <w:t>nctions between press/Internet dissemination and secrecy/intrusion elements of privacy</w:t>
      </w:r>
      <w:r w:rsidR="000D7E9B" w:rsidRPr="00743FD9">
        <w:rPr>
          <w:rFonts w:ascii="Times New Roman" w:hAnsi="Times New Roman"/>
          <w:i/>
          <w:sz w:val="24"/>
          <w:szCs w:val="24"/>
        </w:rPr>
        <w:t>, and</w:t>
      </w:r>
      <w:r w:rsidR="00B37322" w:rsidRPr="00743FD9">
        <w:rPr>
          <w:rFonts w:ascii="Times New Roman" w:hAnsi="Times New Roman"/>
          <w:i/>
          <w:sz w:val="24"/>
          <w:szCs w:val="24"/>
        </w:rPr>
        <w:t xml:space="preserve"> it</w:t>
      </w:r>
      <w:r w:rsidR="000D7E9B" w:rsidRPr="00743FD9">
        <w:rPr>
          <w:rFonts w:ascii="Times New Roman" w:hAnsi="Times New Roman"/>
          <w:i/>
          <w:sz w:val="24"/>
          <w:szCs w:val="24"/>
        </w:rPr>
        <w:t xml:space="preserve"> n</w:t>
      </w:r>
      <w:r w:rsidR="0032635B" w:rsidRPr="00743FD9">
        <w:rPr>
          <w:rFonts w:ascii="Times New Roman" w:hAnsi="Times New Roman"/>
          <w:i/>
          <w:sz w:val="24"/>
          <w:szCs w:val="24"/>
        </w:rPr>
        <w:t xml:space="preserve">ecessarily entails some sacrifice of </w:t>
      </w:r>
      <w:r w:rsidR="000D7E9B" w:rsidRPr="00743FD9">
        <w:rPr>
          <w:rFonts w:ascii="Times New Roman" w:hAnsi="Times New Roman"/>
          <w:i/>
          <w:sz w:val="24"/>
          <w:szCs w:val="24"/>
        </w:rPr>
        <w:t>the wider credibility of law.</w:t>
      </w:r>
    </w:p>
    <w:p w:rsidR="000D7E9B" w:rsidRPr="00743FD9" w:rsidRDefault="000D7E9B" w:rsidP="000D7E9B">
      <w:pPr>
        <w:spacing w:after="0" w:line="240" w:lineRule="auto"/>
        <w:jc w:val="both"/>
        <w:rPr>
          <w:rFonts w:ascii="Times New Roman" w:hAnsi="Times New Roman"/>
          <w:sz w:val="24"/>
          <w:szCs w:val="24"/>
        </w:rPr>
      </w:pPr>
    </w:p>
    <w:p w:rsidR="005111CF" w:rsidRDefault="005111CF">
      <w:pPr>
        <w:rPr>
          <w:rFonts w:ascii="Times New Roman" w:hAnsi="Times New Roman"/>
        </w:rPr>
      </w:pPr>
      <w:r>
        <w:rPr>
          <w:rFonts w:ascii="Times New Roman" w:hAnsi="Times New Roman"/>
        </w:rPr>
        <w:br w:type="page"/>
      </w:r>
    </w:p>
    <w:p w:rsidR="00176C3E" w:rsidRDefault="005111CF" w:rsidP="005111CF">
      <w:pPr>
        <w:spacing w:after="0" w:line="240" w:lineRule="auto"/>
        <w:jc w:val="center"/>
        <w:rPr>
          <w:rFonts w:ascii="Times New Roman" w:hAnsi="Times New Roman"/>
          <w:b/>
          <w:sz w:val="32"/>
          <w:szCs w:val="32"/>
          <w:u w:val="single"/>
        </w:rPr>
      </w:pPr>
      <w:r>
        <w:rPr>
          <w:rFonts w:ascii="Times New Roman" w:hAnsi="Times New Roman"/>
          <w:b/>
          <w:sz w:val="32"/>
          <w:szCs w:val="32"/>
          <w:u w:val="single"/>
        </w:rPr>
        <w:lastRenderedPageBreak/>
        <w:t xml:space="preserve">Jigsaws and Curiosities: </w:t>
      </w:r>
      <w:r w:rsidR="00D0326E">
        <w:rPr>
          <w:rFonts w:ascii="Times New Roman" w:hAnsi="Times New Roman"/>
          <w:b/>
          <w:sz w:val="32"/>
          <w:szCs w:val="32"/>
          <w:u w:val="single"/>
        </w:rPr>
        <w:t xml:space="preserve">The </w:t>
      </w:r>
      <w:r>
        <w:rPr>
          <w:rFonts w:ascii="Times New Roman" w:hAnsi="Times New Roman"/>
          <w:b/>
          <w:sz w:val="32"/>
          <w:szCs w:val="32"/>
          <w:u w:val="single"/>
        </w:rPr>
        <w:t>Unintended Consequences in Misuse of Private Information</w:t>
      </w:r>
      <w:r w:rsidR="00C029A9">
        <w:rPr>
          <w:rFonts w:ascii="Times New Roman" w:hAnsi="Times New Roman"/>
          <w:b/>
          <w:sz w:val="32"/>
          <w:szCs w:val="32"/>
          <w:u w:val="single"/>
        </w:rPr>
        <w:t xml:space="preserve"> Injunctions</w:t>
      </w:r>
    </w:p>
    <w:p w:rsidR="005111CF" w:rsidRDefault="005111CF" w:rsidP="005111CF">
      <w:pPr>
        <w:spacing w:after="0" w:line="240" w:lineRule="auto"/>
        <w:jc w:val="center"/>
        <w:rPr>
          <w:rFonts w:ascii="Times New Roman" w:hAnsi="Times New Roman"/>
          <w:b/>
          <w:sz w:val="32"/>
          <w:szCs w:val="32"/>
          <w:u w:val="single"/>
        </w:rPr>
      </w:pPr>
    </w:p>
    <w:p w:rsidR="005111CF" w:rsidRDefault="005111CF" w:rsidP="005111CF">
      <w:pPr>
        <w:spacing w:after="0" w:line="240" w:lineRule="auto"/>
        <w:jc w:val="both"/>
        <w:rPr>
          <w:rFonts w:ascii="Times New Roman" w:hAnsi="Times New Roman"/>
          <w:sz w:val="32"/>
          <w:szCs w:val="32"/>
        </w:rPr>
      </w:pPr>
    </w:p>
    <w:p w:rsidR="00670BBE" w:rsidRDefault="00670BBE" w:rsidP="005111CF">
      <w:pPr>
        <w:spacing w:after="0" w:line="240" w:lineRule="auto"/>
        <w:jc w:val="both"/>
        <w:rPr>
          <w:rFonts w:ascii="Times New Roman" w:hAnsi="Times New Roman"/>
          <w:sz w:val="32"/>
          <w:szCs w:val="32"/>
        </w:rPr>
      </w:pPr>
    </w:p>
    <w:p w:rsidR="009E16CF" w:rsidRPr="009E16CF" w:rsidRDefault="009E16CF" w:rsidP="005111CF">
      <w:pPr>
        <w:spacing w:after="0" w:line="240" w:lineRule="auto"/>
        <w:jc w:val="both"/>
        <w:rPr>
          <w:rFonts w:ascii="Times New Roman" w:hAnsi="Times New Roman"/>
          <w:b/>
          <w:sz w:val="32"/>
          <w:szCs w:val="32"/>
          <w:u w:val="single"/>
        </w:rPr>
      </w:pPr>
      <w:r w:rsidRPr="009E16CF">
        <w:rPr>
          <w:rFonts w:ascii="Times New Roman" w:hAnsi="Times New Roman"/>
          <w:b/>
          <w:sz w:val="32"/>
          <w:szCs w:val="32"/>
          <w:u w:val="single"/>
        </w:rPr>
        <w:t>Introduction</w:t>
      </w:r>
    </w:p>
    <w:p w:rsidR="005111CF" w:rsidRPr="00151384" w:rsidRDefault="005111CF" w:rsidP="005111CF">
      <w:pPr>
        <w:spacing w:after="0" w:line="240" w:lineRule="auto"/>
        <w:jc w:val="both"/>
        <w:rPr>
          <w:rFonts w:ascii="Times New Roman" w:hAnsi="Times New Roman"/>
          <w:sz w:val="24"/>
          <w:szCs w:val="24"/>
        </w:rPr>
      </w:pPr>
    </w:p>
    <w:p w:rsidR="00151384" w:rsidRDefault="00151384" w:rsidP="00D14D99">
      <w:pPr>
        <w:spacing w:after="0" w:line="240" w:lineRule="auto"/>
        <w:jc w:val="both"/>
        <w:rPr>
          <w:rFonts w:ascii="Times New Roman" w:hAnsi="Times New Roman"/>
          <w:color w:val="FF0000"/>
          <w:sz w:val="24"/>
          <w:szCs w:val="24"/>
        </w:rPr>
      </w:pPr>
    </w:p>
    <w:p w:rsidR="00103D3D" w:rsidRPr="00684E71" w:rsidRDefault="00D0326E" w:rsidP="005111CF">
      <w:pPr>
        <w:spacing w:after="0" w:line="240" w:lineRule="auto"/>
        <w:jc w:val="both"/>
        <w:rPr>
          <w:rFonts w:ascii="Times New Roman" w:hAnsi="Times New Roman"/>
          <w:sz w:val="24"/>
          <w:szCs w:val="24"/>
        </w:rPr>
      </w:pPr>
      <w:r w:rsidRPr="00684E71">
        <w:rPr>
          <w:rFonts w:ascii="Times New Roman" w:hAnsi="Times New Roman"/>
          <w:sz w:val="24"/>
          <w:szCs w:val="24"/>
        </w:rPr>
        <w:t xml:space="preserve">As the claimant in the recent Supreme Court case of </w:t>
      </w:r>
      <w:r w:rsidRPr="00684E71">
        <w:rPr>
          <w:rFonts w:ascii="Times New Roman" w:hAnsi="Times New Roman"/>
          <w:i/>
          <w:sz w:val="24"/>
          <w:szCs w:val="24"/>
        </w:rPr>
        <w:t>PJS v News Group</w:t>
      </w:r>
      <w:r w:rsidRPr="00684E71">
        <w:rPr>
          <w:rStyle w:val="FootnoteReference"/>
          <w:rFonts w:ascii="Times New Roman" w:hAnsi="Times New Roman"/>
          <w:sz w:val="24"/>
          <w:szCs w:val="24"/>
        </w:rPr>
        <w:footnoteReference w:id="1"/>
      </w:r>
      <w:r w:rsidR="000413CB" w:rsidRPr="00684E71">
        <w:rPr>
          <w:rFonts w:ascii="Times New Roman" w:hAnsi="Times New Roman"/>
          <w:sz w:val="24"/>
          <w:szCs w:val="24"/>
        </w:rPr>
        <w:t xml:space="preserve"> might ruefully</w:t>
      </w:r>
      <w:r w:rsidRPr="00684E71">
        <w:rPr>
          <w:rFonts w:ascii="Times New Roman" w:hAnsi="Times New Roman"/>
          <w:sz w:val="24"/>
          <w:szCs w:val="24"/>
        </w:rPr>
        <w:t xml:space="preserve"> agree, actions have consequences; some intended, some not.  These latter unintended</w:t>
      </w:r>
      <w:r w:rsidR="002D1387" w:rsidRPr="00684E71">
        <w:rPr>
          <w:rFonts w:ascii="Times New Roman" w:hAnsi="Times New Roman"/>
          <w:sz w:val="24"/>
          <w:szCs w:val="24"/>
        </w:rPr>
        <w:t xml:space="preserve"> consequences are the concern of this article.  I</w:t>
      </w:r>
      <w:r w:rsidRPr="00684E71">
        <w:rPr>
          <w:rFonts w:ascii="Times New Roman" w:hAnsi="Times New Roman"/>
          <w:sz w:val="24"/>
          <w:szCs w:val="24"/>
        </w:rPr>
        <w:t>nterest i</w:t>
      </w:r>
      <w:r w:rsidR="00833292" w:rsidRPr="00684E71">
        <w:rPr>
          <w:rFonts w:ascii="Times New Roman" w:hAnsi="Times New Roman"/>
          <w:sz w:val="24"/>
          <w:szCs w:val="24"/>
        </w:rPr>
        <w:t>n u</w:t>
      </w:r>
      <w:r w:rsidR="00654AFE" w:rsidRPr="00684E71">
        <w:rPr>
          <w:rFonts w:ascii="Times New Roman" w:hAnsi="Times New Roman"/>
          <w:sz w:val="24"/>
          <w:szCs w:val="24"/>
        </w:rPr>
        <w:t>nintended consequences</w:t>
      </w:r>
      <w:r w:rsidR="00DC7BAF" w:rsidRPr="00684E71">
        <w:rPr>
          <w:rFonts w:ascii="Times New Roman" w:hAnsi="Times New Roman"/>
          <w:sz w:val="24"/>
          <w:szCs w:val="24"/>
        </w:rPr>
        <w:t xml:space="preserve"> </w:t>
      </w:r>
      <w:r w:rsidR="00833292" w:rsidRPr="00684E71">
        <w:rPr>
          <w:rFonts w:ascii="Times New Roman" w:hAnsi="Times New Roman"/>
          <w:sz w:val="24"/>
          <w:szCs w:val="24"/>
        </w:rPr>
        <w:t>can be traced to an in</w:t>
      </w:r>
      <w:r w:rsidR="00AC325B" w:rsidRPr="00684E71">
        <w:rPr>
          <w:rFonts w:ascii="Times New Roman" w:hAnsi="Times New Roman"/>
          <w:sz w:val="24"/>
          <w:szCs w:val="24"/>
        </w:rPr>
        <w:t>fluential article by Me</w:t>
      </w:r>
      <w:r w:rsidR="00833292" w:rsidRPr="00684E71">
        <w:rPr>
          <w:rFonts w:ascii="Times New Roman" w:hAnsi="Times New Roman"/>
          <w:sz w:val="24"/>
          <w:szCs w:val="24"/>
        </w:rPr>
        <w:t>rton in the 1930s.</w:t>
      </w:r>
      <w:r w:rsidR="00833292" w:rsidRPr="00684E71">
        <w:rPr>
          <w:rStyle w:val="FootnoteReference"/>
          <w:rFonts w:ascii="Times New Roman" w:hAnsi="Times New Roman"/>
          <w:sz w:val="24"/>
          <w:szCs w:val="24"/>
        </w:rPr>
        <w:footnoteReference w:id="2"/>
      </w:r>
      <w:r w:rsidR="005E0BBF" w:rsidRPr="00684E71">
        <w:rPr>
          <w:rFonts w:ascii="Times New Roman" w:hAnsi="Times New Roman"/>
          <w:sz w:val="24"/>
          <w:szCs w:val="24"/>
        </w:rPr>
        <w:t xml:space="preserve">  </w:t>
      </w:r>
      <w:r w:rsidRPr="00684E71">
        <w:rPr>
          <w:rFonts w:ascii="Times New Roman" w:hAnsi="Times New Roman"/>
          <w:sz w:val="24"/>
          <w:szCs w:val="24"/>
        </w:rPr>
        <w:t xml:space="preserve">Here </w:t>
      </w:r>
      <w:r w:rsidR="00B3038B" w:rsidRPr="00684E71">
        <w:rPr>
          <w:rFonts w:ascii="Times New Roman" w:hAnsi="Times New Roman"/>
          <w:sz w:val="24"/>
          <w:szCs w:val="24"/>
        </w:rPr>
        <w:t xml:space="preserve">Merton made </w:t>
      </w:r>
      <w:r w:rsidR="00B3038B" w:rsidRPr="003C43CF">
        <w:rPr>
          <w:rFonts w:ascii="Times New Roman" w:hAnsi="Times New Roman"/>
          <w:sz w:val="24"/>
          <w:szCs w:val="24"/>
        </w:rPr>
        <w:t>two</w:t>
      </w:r>
      <w:r w:rsidR="005E0BBF" w:rsidRPr="003C43CF">
        <w:rPr>
          <w:rFonts w:ascii="Times New Roman" w:hAnsi="Times New Roman"/>
          <w:sz w:val="24"/>
          <w:szCs w:val="24"/>
        </w:rPr>
        <w:t xml:space="preserve"> c</w:t>
      </w:r>
      <w:r w:rsidR="00EC4A9C" w:rsidRPr="003C43CF">
        <w:rPr>
          <w:rFonts w:ascii="Times New Roman" w:hAnsi="Times New Roman"/>
          <w:sz w:val="24"/>
          <w:szCs w:val="24"/>
        </w:rPr>
        <w:t>laims</w:t>
      </w:r>
      <w:r w:rsidR="001125E5" w:rsidRPr="003C43CF">
        <w:rPr>
          <w:rFonts w:ascii="Times New Roman" w:hAnsi="Times New Roman"/>
          <w:sz w:val="24"/>
          <w:szCs w:val="24"/>
        </w:rPr>
        <w:t xml:space="preserve"> with which</w:t>
      </w:r>
      <w:r w:rsidRPr="003C43CF">
        <w:rPr>
          <w:rFonts w:ascii="Times New Roman" w:hAnsi="Times New Roman"/>
          <w:sz w:val="24"/>
          <w:szCs w:val="24"/>
        </w:rPr>
        <w:t xml:space="preserve"> judges in misuse of private information (MPI) cases a</w:t>
      </w:r>
      <w:r w:rsidR="001125E5" w:rsidRPr="003C43CF">
        <w:rPr>
          <w:rFonts w:ascii="Times New Roman" w:hAnsi="Times New Roman"/>
          <w:sz w:val="24"/>
          <w:szCs w:val="24"/>
        </w:rPr>
        <w:t>re undoubtedly familiar</w:t>
      </w:r>
      <w:r w:rsidR="00D14D99" w:rsidRPr="003C43CF">
        <w:rPr>
          <w:rFonts w:ascii="Times New Roman" w:hAnsi="Times New Roman"/>
          <w:sz w:val="24"/>
          <w:szCs w:val="24"/>
        </w:rPr>
        <w:t>.  First</w:t>
      </w:r>
      <w:r w:rsidR="00D14D99" w:rsidRPr="00684E71">
        <w:rPr>
          <w:rFonts w:ascii="Times New Roman" w:hAnsi="Times New Roman"/>
          <w:sz w:val="24"/>
          <w:szCs w:val="24"/>
        </w:rPr>
        <w:t>, t</w:t>
      </w:r>
      <w:r w:rsidR="005E0BBF" w:rsidRPr="00684E71">
        <w:rPr>
          <w:rFonts w:ascii="Times New Roman" w:hAnsi="Times New Roman"/>
          <w:sz w:val="24"/>
          <w:szCs w:val="24"/>
        </w:rPr>
        <w:t>he rationality of a particular purposive action does not necessarily guarantee the success of its outcome.</w:t>
      </w:r>
      <w:r w:rsidR="005E0BBF" w:rsidRPr="00684E71">
        <w:rPr>
          <w:rStyle w:val="FootnoteReference"/>
          <w:rFonts w:ascii="Times New Roman" w:hAnsi="Times New Roman"/>
          <w:sz w:val="24"/>
          <w:szCs w:val="24"/>
        </w:rPr>
        <w:footnoteReference w:id="3"/>
      </w:r>
      <w:r w:rsidR="00D14D99" w:rsidRPr="00684E71">
        <w:rPr>
          <w:rFonts w:ascii="Times New Roman" w:hAnsi="Times New Roman"/>
          <w:sz w:val="24"/>
          <w:szCs w:val="24"/>
        </w:rPr>
        <w:t xml:space="preserve">  Second, c</w:t>
      </w:r>
      <w:r w:rsidR="00A036DC" w:rsidRPr="00684E71">
        <w:rPr>
          <w:rFonts w:ascii="Times New Roman" w:hAnsi="Times New Roman"/>
          <w:sz w:val="24"/>
          <w:szCs w:val="24"/>
        </w:rPr>
        <w:t>orrectly anticipating consequences of any given action will be hindered by i</w:t>
      </w:r>
      <w:r w:rsidR="005A7E78" w:rsidRPr="00684E71">
        <w:rPr>
          <w:rFonts w:ascii="Times New Roman" w:hAnsi="Times New Roman"/>
          <w:sz w:val="24"/>
          <w:szCs w:val="24"/>
        </w:rPr>
        <w:t>nherent limitations in human knowledge</w:t>
      </w:r>
      <w:r w:rsidR="00C714B7" w:rsidRPr="00684E71">
        <w:rPr>
          <w:rFonts w:ascii="Times New Roman" w:hAnsi="Times New Roman"/>
          <w:sz w:val="24"/>
          <w:szCs w:val="24"/>
        </w:rPr>
        <w:t>, the limitations of prediction</w:t>
      </w:r>
      <w:r w:rsidR="00A036DC" w:rsidRPr="00684E71">
        <w:rPr>
          <w:rFonts w:ascii="Times New Roman" w:hAnsi="Times New Roman"/>
          <w:sz w:val="24"/>
          <w:szCs w:val="24"/>
        </w:rPr>
        <w:t xml:space="preserve"> itself and the tendency to overlook remoter</w:t>
      </w:r>
      <w:r w:rsidR="00611341" w:rsidRPr="00684E71">
        <w:rPr>
          <w:rFonts w:ascii="Times New Roman" w:hAnsi="Times New Roman"/>
          <w:sz w:val="24"/>
          <w:szCs w:val="24"/>
        </w:rPr>
        <w:t xml:space="preserve"> or less immediate consequences </w:t>
      </w:r>
      <w:r w:rsidR="00A036DC" w:rsidRPr="00684E71">
        <w:rPr>
          <w:rFonts w:ascii="Times New Roman" w:hAnsi="Times New Roman"/>
          <w:sz w:val="24"/>
          <w:szCs w:val="24"/>
        </w:rPr>
        <w:t>of a given act.</w:t>
      </w:r>
      <w:r w:rsidR="00A036DC" w:rsidRPr="00684E71">
        <w:rPr>
          <w:rStyle w:val="FootnoteReference"/>
          <w:rFonts w:ascii="Times New Roman" w:hAnsi="Times New Roman"/>
          <w:sz w:val="24"/>
          <w:szCs w:val="24"/>
        </w:rPr>
        <w:footnoteReference w:id="4"/>
      </w:r>
      <w:r w:rsidR="00BE65E4" w:rsidRPr="00684E71">
        <w:rPr>
          <w:rFonts w:ascii="Times New Roman" w:hAnsi="Times New Roman"/>
          <w:sz w:val="24"/>
          <w:szCs w:val="24"/>
        </w:rPr>
        <w:t xml:space="preserve">  </w:t>
      </w:r>
      <w:r w:rsidR="00A036DC" w:rsidRPr="00684E71">
        <w:rPr>
          <w:rFonts w:ascii="Times New Roman" w:hAnsi="Times New Roman"/>
          <w:sz w:val="24"/>
          <w:szCs w:val="24"/>
        </w:rPr>
        <w:t>Though Merton’s observations did not apply to</w:t>
      </w:r>
      <w:r w:rsidR="00684E71">
        <w:rPr>
          <w:rFonts w:ascii="Times New Roman" w:hAnsi="Times New Roman"/>
          <w:sz w:val="24"/>
          <w:szCs w:val="24"/>
        </w:rPr>
        <w:t xml:space="preserve"> law</w:t>
      </w:r>
      <w:r w:rsidR="00617CC2" w:rsidRPr="00684E71">
        <w:rPr>
          <w:rFonts w:ascii="Times New Roman" w:hAnsi="Times New Roman"/>
          <w:sz w:val="24"/>
          <w:szCs w:val="24"/>
        </w:rPr>
        <w:t xml:space="preserve"> specifically, they </w:t>
      </w:r>
      <w:r w:rsidR="00A16577" w:rsidRPr="00684E71">
        <w:rPr>
          <w:rFonts w:ascii="Times New Roman" w:hAnsi="Times New Roman"/>
          <w:sz w:val="24"/>
          <w:szCs w:val="24"/>
        </w:rPr>
        <w:t xml:space="preserve">are highly pertinent </w:t>
      </w:r>
      <w:r w:rsidR="00D14D99" w:rsidRPr="00684E71">
        <w:rPr>
          <w:rFonts w:ascii="Times New Roman" w:hAnsi="Times New Roman"/>
          <w:sz w:val="24"/>
          <w:szCs w:val="24"/>
        </w:rPr>
        <w:t>to law</w:t>
      </w:r>
      <w:r w:rsidR="00297653" w:rsidRPr="00684E71">
        <w:rPr>
          <w:rFonts w:ascii="Times New Roman" w:hAnsi="Times New Roman"/>
          <w:sz w:val="24"/>
          <w:szCs w:val="24"/>
        </w:rPr>
        <w:t xml:space="preserve"> as </w:t>
      </w:r>
      <w:r w:rsidR="00D14D99" w:rsidRPr="00684E71">
        <w:rPr>
          <w:rFonts w:ascii="Times New Roman" w:hAnsi="Times New Roman"/>
          <w:sz w:val="24"/>
          <w:szCs w:val="24"/>
        </w:rPr>
        <w:t>a rule-based form</w:t>
      </w:r>
      <w:r w:rsidR="00C2605C" w:rsidRPr="00684E71">
        <w:rPr>
          <w:rFonts w:ascii="Times New Roman" w:hAnsi="Times New Roman"/>
          <w:sz w:val="24"/>
          <w:szCs w:val="24"/>
        </w:rPr>
        <w:t xml:space="preserve"> of ‘purposive </w:t>
      </w:r>
      <w:r w:rsidR="00C2605C" w:rsidRPr="003C43CF">
        <w:rPr>
          <w:rFonts w:ascii="Times New Roman" w:hAnsi="Times New Roman"/>
          <w:sz w:val="24"/>
          <w:szCs w:val="24"/>
        </w:rPr>
        <w:t>social action’</w:t>
      </w:r>
      <w:r w:rsidR="00297653" w:rsidRPr="003C43CF">
        <w:rPr>
          <w:rFonts w:ascii="Times New Roman" w:hAnsi="Times New Roman"/>
          <w:sz w:val="24"/>
          <w:szCs w:val="24"/>
        </w:rPr>
        <w:t xml:space="preserve"> used to regulate and effect social change.</w:t>
      </w:r>
      <w:r w:rsidR="009A41C7" w:rsidRPr="003C43CF">
        <w:rPr>
          <w:rFonts w:ascii="Times New Roman" w:hAnsi="Times New Roman"/>
          <w:sz w:val="24"/>
          <w:szCs w:val="24"/>
        </w:rPr>
        <w:t xml:space="preserve">  </w:t>
      </w:r>
      <w:r w:rsidR="00103D3D" w:rsidRPr="003C43CF">
        <w:rPr>
          <w:rFonts w:ascii="Times New Roman" w:hAnsi="Times New Roman"/>
          <w:sz w:val="24"/>
          <w:szCs w:val="24"/>
        </w:rPr>
        <w:t>Recognition of the limits of laws</w:t>
      </w:r>
      <w:r w:rsidR="009E7EB6" w:rsidRPr="003C43CF">
        <w:rPr>
          <w:rFonts w:ascii="Times New Roman" w:hAnsi="Times New Roman"/>
          <w:sz w:val="24"/>
          <w:szCs w:val="24"/>
        </w:rPr>
        <w:t xml:space="preserve"> to </w:t>
      </w:r>
      <w:r w:rsidR="00862880" w:rsidRPr="003C43CF">
        <w:rPr>
          <w:rFonts w:ascii="Times New Roman" w:hAnsi="Times New Roman"/>
          <w:sz w:val="24"/>
          <w:szCs w:val="24"/>
        </w:rPr>
        <w:t>successfully fulfil</w:t>
      </w:r>
      <w:r w:rsidR="003A3B90" w:rsidRPr="003C43CF">
        <w:rPr>
          <w:rFonts w:ascii="Times New Roman" w:hAnsi="Times New Roman"/>
          <w:sz w:val="24"/>
          <w:szCs w:val="24"/>
        </w:rPr>
        <w:t xml:space="preserve"> this function</w:t>
      </w:r>
      <w:r w:rsidR="00862880" w:rsidRPr="003C43CF">
        <w:rPr>
          <w:rFonts w:ascii="Times New Roman" w:hAnsi="Times New Roman"/>
          <w:sz w:val="24"/>
          <w:szCs w:val="24"/>
        </w:rPr>
        <w:t>,</w:t>
      </w:r>
      <w:r w:rsidR="003A3B90" w:rsidRPr="003C43CF">
        <w:rPr>
          <w:rFonts w:ascii="Times New Roman" w:hAnsi="Times New Roman"/>
          <w:sz w:val="24"/>
          <w:szCs w:val="24"/>
        </w:rPr>
        <w:t xml:space="preserve"> </w:t>
      </w:r>
      <w:r w:rsidR="00DC0D30" w:rsidRPr="003C43CF">
        <w:rPr>
          <w:rFonts w:ascii="Times New Roman" w:hAnsi="Times New Roman"/>
          <w:sz w:val="24"/>
          <w:szCs w:val="24"/>
        </w:rPr>
        <w:t xml:space="preserve">and </w:t>
      </w:r>
      <w:r w:rsidR="00DC0D30" w:rsidRPr="00684E71">
        <w:rPr>
          <w:rFonts w:ascii="Times New Roman" w:hAnsi="Times New Roman"/>
          <w:sz w:val="24"/>
          <w:szCs w:val="24"/>
        </w:rPr>
        <w:t>its tendency to produce un</w:t>
      </w:r>
      <w:r w:rsidR="004740FA" w:rsidRPr="00684E71">
        <w:rPr>
          <w:rFonts w:ascii="Times New Roman" w:hAnsi="Times New Roman"/>
          <w:sz w:val="24"/>
          <w:szCs w:val="24"/>
        </w:rPr>
        <w:t>intended results</w:t>
      </w:r>
      <w:r w:rsidR="00103D3D" w:rsidRPr="00684E71">
        <w:rPr>
          <w:rFonts w:ascii="Times New Roman" w:hAnsi="Times New Roman"/>
          <w:sz w:val="24"/>
          <w:szCs w:val="24"/>
        </w:rPr>
        <w:t xml:space="preserve"> is </w:t>
      </w:r>
      <w:r w:rsidR="009E7EB6" w:rsidRPr="00684E71">
        <w:rPr>
          <w:rFonts w:ascii="Times New Roman" w:hAnsi="Times New Roman"/>
          <w:sz w:val="24"/>
          <w:szCs w:val="24"/>
        </w:rPr>
        <w:t xml:space="preserve">by no means </w:t>
      </w:r>
      <w:r w:rsidR="00103D3D" w:rsidRPr="00684E71">
        <w:rPr>
          <w:rFonts w:ascii="Times New Roman" w:hAnsi="Times New Roman"/>
          <w:sz w:val="24"/>
          <w:szCs w:val="24"/>
        </w:rPr>
        <w:t xml:space="preserve">new.  </w:t>
      </w:r>
      <w:r w:rsidR="00DC0D30" w:rsidRPr="00684E71">
        <w:rPr>
          <w:rFonts w:ascii="Times New Roman" w:hAnsi="Times New Roman"/>
          <w:sz w:val="24"/>
          <w:szCs w:val="24"/>
        </w:rPr>
        <w:t xml:space="preserve">In </w:t>
      </w:r>
      <w:r w:rsidR="00DC0D30" w:rsidRPr="00684E71">
        <w:rPr>
          <w:rFonts w:ascii="Times New Roman" w:hAnsi="Times New Roman"/>
          <w:i/>
          <w:sz w:val="24"/>
          <w:szCs w:val="24"/>
        </w:rPr>
        <w:t>T</w:t>
      </w:r>
      <w:r w:rsidR="001B7A39" w:rsidRPr="00684E71">
        <w:rPr>
          <w:rFonts w:ascii="Times New Roman" w:hAnsi="Times New Roman"/>
          <w:i/>
          <w:sz w:val="24"/>
          <w:szCs w:val="24"/>
        </w:rPr>
        <w:t xml:space="preserve">he </w:t>
      </w:r>
      <w:r w:rsidR="00103D3D" w:rsidRPr="00684E71">
        <w:rPr>
          <w:rFonts w:ascii="Times New Roman" w:hAnsi="Times New Roman"/>
          <w:i/>
          <w:sz w:val="24"/>
          <w:szCs w:val="24"/>
        </w:rPr>
        <w:t>Republic</w:t>
      </w:r>
      <w:r w:rsidR="00103D3D" w:rsidRPr="00684E71">
        <w:rPr>
          <w:rFonts w:ascii="Times New Roman" w:hAnsi="Times New Roman"/>
          <w:sz w:val="24"/>
          <w:szCs w:val="24"/>
        </w:rPr>
        <w:t xml:space="preserve">, </w:t>
      </w:r>
      <w:r w:rsidR="001B7A39" w:rsidRPr="00684E71">
        <w:rPr>
          <w:rFonts w:ascii="Times New Roman" w:hAnsi="Times New Roman"/>
          <w:sz w:val="24"/>
          <w:szCs w:val="24"/>
        </w:rPr>
        <w:t xml:space="preserve">Plato said </w:t>
      </w:r>
      <w:r w:rsidR="00103D3D" w:rsidRPr="00684E71">
        <w:rPr>
          <w:rFonts w:ascii="Times New Roman" w:hAnsi="Times New Roman"/>
          <w:sz w:val="24"/>
          <w:szCs w:val="24"/>
        </w:rPr>
        <w:t>of legislators:</w:t>
      </w:r>
    </w:p>
    <w:p w:rsidR="00BB2A40" w:rsidRDefault="00BB2A40" w:rsidP="005111CF">
      <w:pPr>
        <w:spacing w:after="0" w:line="240" w:lineRule="auto"/>
        <w:jc w:val="both"/>
        <w:rPr>
          <w:rFonts w:ascii="Times New Roman" w:hAnsi="Times New Roman"/>
          <w:sz w:val="24"/>
          <w:szCs w:val="24"/>
        </w:rPr>
      </w:pPr>
    </w:p>
    <w:p w:rsidR="00103D3D" w:rsidRPr="0014160D" w:rsidRDefault="00103D3D" w:rsidP="00AB53B2">
      <w:pPr>
        <w:spacing w:after="0" w:line="240" w:lineRule="auto"/>
        <w:ind w:left="851" w:right="851"/>
        <w:jc w:val="both"/>
        <w:rPr>
          <w:rFonts w:ascii="Times New Roman" w:hAnsi="Times New Roman"/>
          <w:sz w:val="24"/>
          <w:szCs w:val="24"/>
        </w:rPr>
      </w:pPr>
      <w:r w:rsidRPr="001B7A39">
        <w:rPr>
          <w:rFonts w:ascii="Times New Roman" w:hAnsi="Times New Roman"/>
          <w:sz w:val="24"/>
          <w:szCs w:val="24"/>
        </w:rPr>
        <w:t>‘</w:t>
      </w:r>
      <w:r w:rsidRPr="00F4587F">
        <w:rPr>
          <w:rFonts w:ascii="Times New Roman" w:hAnsi="Times New Roman"/>
          <w:i/>
          <w:sz w:val="24"/>
          <w:szCs w:val="24"/>
        </w:rPr>
        <w:t>They make</w:t>
      </w:r>
      <w:r w:rsidR="005F7F1F">
        <w:rPr>
          <w:rFonts w:ascii="Times New Roman" w:hAnsi="Times New Roman"/>
          <w:i/>
          <w:sz w:val="24"/>
          <w:szCs w:val="24"/>
        </w:rPr>
        <w:t xml:space="preserve"> … [laws]</w:t>
      </w:r>
      <w:r w:rsidRPr="00F4587F">
        <w:rPr>
          <w:rFonts w:ascii="Times New Roman" w:hAnsi="Times New Roman"/>
          <w:i/>
          <w:sz w:val="24"/>
          <w:szCs w:val="24"/>
        </w:rPr>
        <w:t xml:space="preserve"> then try to improve them, and constantly expect the next breach of contract to be the </w:t>
      </w:r>
      <w:r w:rsidRPr="009A41C7">
        <w:rPr>
          <w:rFonts w:ascii="Times New Roman" w:hAnsi="Times New Roman"/>
          <w:i/>
          <w:sz w:val="24"/>
          <w:szCs w:val="24"/>
        </w:rPr>
        <w:t>last</w:t>
      </w:r>
      <w:r w:rsidR="005F7F1F" w:rsidRPr="009A41C7">
        <w:rPr>
          <w:rFonts w:ascii="Times New Roman" w:hAnsi="Times New Roman"/>
          <w:i/>
          <w:sz w:val="24"/>
          <w:szCs w:val="24"/>
        </w:rPr>
        <w:t xml:space="preserve"> one, and likewise for …</w:t>
      </w:r>
      <w:r w:rsidRPr="009A41C7">
        <w:rPr>
          <w:rFonts w:ascii="Times New Roman" w:hAnsi="Times New Roman"/>
          <w:i/>
          <w:sz w:val="24"/>
          <w:szCs w:val="24"/>
        </w:rPr>
        <w:t xml:space="preserve"> crimes</w:t>
      </w:r>
      <w:r w:rsidR="005F7F1F" w:rsidRPr="009A41C7">
        <w:rPr>
          <w:rFonts w:ascii="Times New Roman" w:hAnsi="Times New Roman"/>
          <w:i/>
          <w:sz w:val="24"/>
          <w:szCs w:val="24"/>
        </w:rPr>
        <w:t xml:space="preserve"> …</w:t>
      </w:r>
      <w:r w:rsidRPr="009A41C7">
        <w:rPr>
          <w:rFonts w:ascii="Times New Roman" w:hAnsi="Times New Roman"/>
          <w:i/>
          <w:sz w:val="24"/>
          <w:szCs w:val="24"/>
        </w:rPr>
        <w:t>, because they are unaware that in fact they’re slashing away at a kind of Hydra</w:t>
      </w:r>
      <w:r w:rsidR="009A41C7" w:rsidRPr="009A41C7">
        <w:rPr>
          <w:rFonts w:ascii="Times New Roman" w:hAnsi="Times New Roman"/>
          <w:i/>
          <w:sz w:val="24"/>
          <w:szCs w:val="24"/>
        </w:rPr>
        <w:t xml:space="preserve"> [a mythical beast who grows two heads when one is cut off]</w:t>
      </w:r>
      <w:r w:rsidRPr="009A41C7">
        <w:rPr>
          <w:rFonts w:ascii="Times New Roman" w:hAnsi="Times New Roman"/>
          <w:i/>
          <w:sz w:val="24"/>
          <w:szCs w:val="24"/>
        </w:rPr>
        <w:t>’</w:t>
      </w:r>
      <w:r w:rsidR="0014160D" w:rsidRPr="0014160D">
        <w:rPr>
          <w:rFonts w:ascii="Times New Roman" w:hAnsi="Times New Roman"/>
          <w:sz w:val="24"/>
          <w:szCs w:val="24"/>
        </w:rPr>
        <w:t>.</w:t>
      </w:r>
      <w:r w:rsidRPr="0014160D">
        <w:rPr>
          <w:rStyle w:val="FootnoteReference"/>
          <w:rFonts w:ascii="Times New Roman" w:hAnsi="Times New Roman"/>
          <w:sz w:val="24"/>
          <w:szCs w:val="24"/>
        </w:rPr>
        <w:footnoteReference w:id="5"/>
      </w:r>
    </w:p>
    <w:p w:rsidR="00BB2A40" w:rsidRPr="009A41C7" w:rsidRDefault="00BB2A40" w:rsidP="005111CF">
      <w:pPr>
        <w:spacing w:after="0" w:line="240" w:lineRule="auto"/>
        <w:jc w:val="both"/>
        <w:rPr>
          <w:rFonts w:ascii="Times New Roman" w:hAnsi="Times New Roman"/>
          <w:i/>
          <w:sz w:val="24"/>
          <w:szCs w:val="24"/>
        </w:rPr>
      </w:pPr>
    </w:p>
    <w:p w:rsidR="00565641" w:rsidRDefault="00AC325B" w:rsidP="005111CF">
      <w:pPr>
        <w:spacing w:after="0" w:line="240" w:lineRule="auto"/>
        <w:jc w:val="both"/>
        <w:rPr>
          <w:rFonts w:ascii="Times New Roman" w:hAnsi="Times New Roman"/>
          <w:sz w:val="24"/>
          <w:szCs w:val="24"/>
        </w:rPr>
      </w:pPr>
      <w:r w:rsidRPr="0061422C">
        <w:rPr>
          <w:rFonts w:ascii="Times New Roman" w:hAnsi="Times New Roman"/>
          <w:sz w:val="24"/>
          <w:szCs w:val="24"/>
        </w:rPr>
        <w:t>Such unintended consequences</w:t>
      </w:r>
      <w:r w:rsidR="00734C22" w:rsidRPr="0061422C">
        <w:rPr>
          <w:rFonts w:ascii="Times New Roman" w:hAnsi="Times New Roman"/>
          <w:sz w:val="24"/>
          <w:szCs w:val="24"/>
        </w:rPr>
        <w:t xml:space="preserve"> </w:t>
      </w:r>
      <w:r w:rsidR="003A3B90">
        <w:rPr>
          <w:rFonts w:ascii="Times New Roman" w:hAnsi="Times New Roman"/>
          <w:sz w:val="24"/>
          <w:szCs w:val="24"/>
        </w:rPr>
        <w:t xml:space="preserve">have arisen from </w:t>
      </w:r>
      <w:r w:rsidR="00734C22" w:rsidRPr="0061422C">
        <w:rPr>
          <w:rFonts w:ascii="Times New Roman" w:hAnsi="Times New Roman"/>
          <w:sz w:val="24"/>
          <w:szCs w:val="24"/>
        </w:rPr>
        <w:t>misuse of private i</w:t>
      </w:r>
      <w:r w:rsidR="003B6561" w:rsidRPr="0061422C">
        <w:rPr>
          <w:rFonts w:ascii="Times New Roman" w:hAnsi="Times New Roman"/>
          <w:sz w:val="24"/>
          <w:szCs w:val="24"/>
        </w:rPr>
        <w:t>nformation (MPI)</w:t>
      </w:r>
      <w:r w:rsidR="00734C22" w:rsidRPr="0061422C">
        <w:rPr>
          <w:rFonts w:ascii="Times New Roman" w:hAnsi="Times New Roman"/>
          <w:sz w:val="24"/>
          <w:szCs w:val="24"/>
        </w:rPr>
        <w:t xml:space="preserve"> law.</w:t>
      </w:r>
      <w:r w:rsidR="003B6561" w:rsidRPr="0061422C">
        <w:rPr>
          <w:rFonts w:ascii="Times New Roman" w:hAnsi="Times New Roman"/>
          <w:sz w:val="24"/>
          <w:szCs w:val="24"/>
        </w:rPr>
        <w:t xml:space="preserve"> </w:t>
      </w:r>
      <w:r w:rsidR="00734C22" w:rsidRPr="0061422C">
        <w:rPr>
          <w:rFonts w:ascii="Times New Roman" w:hAnsi="Times New Roman"/>
          <w:sz w:val="24"/>
          <w:szCs w:val="24"/>
        </w:rPr>
        <w:t xml:space="preserve">  MPI </w:t>
      </w:r>
      <w:r w:rsidR="003B6561" w:rsidRPr="0061422C">
        <w:rPr>
          <w:rFonts w:ascii="Times New Roman" w:hAnsi="Times New Roman"/>
          <w:sz w:val="24"/>
          <w:szCs w:val="24"/>
        </w:rPr>
        <w:t>is a common law tort</w:t>
      </w:r>
      <w:r w:rsidR="003B6561" w:rsidRPr="0061422C">
        <w:rPr>
          <w:rStyle w:val="FootnoteReference"/>
          <w:rFonts w:ascii="Times New Roman" w:hAnsi="Times New Roman"/>
          <w:sz w:val="24"/>
          <w:szCs w:val="24"/>
        </w:rPr>
        <w:footnoteReference w:id="6"/>
      </w:r>
      <w:r w:rsidR="003B6561" w:rsidRPr="0061422C">
        <w:rPr>
          <w:rFonts w:ascii="Times New Roman" w:hAnsi="Times New Roman"/>
          <w:sz w:val="24"/>
          <w:szCs w:val="24"/>
        </w:rPr>
        <w:t xml:space="preserve"> that </w:t>
      </w:r>
      <w:r w:rsidR="008F0A29" w:rsidRPr="0061422C">
        <w:rPr>
          <w:rFonts w:ascii="Times New Roman" w:hAnsi="Times New Roman"/>
          <w:sz w:val="24"/>
          <w:szCs w:val="24"/>
        </w:rPr>
        <w:t>rapidly</w:t>
      </w:r>
      <w:r w:rsidR="008F0A29">
        <w:rPr>
          <w:rFonts w:ascii="Times New Roman" w:hAnsi="Times New Roman"/>
          <w:sz w:val="24"/>
          <w:szCs w:val="24"/>
        </w:rPr>
        <w:t xml:space="preserve"> </w:t>
      </w:r>
      <w:r w:rsidR="003B6561">
        <w:rPr>
          <w:rFonts w:ascii="Times New Roman" w:hAnsi="Times New Roman"/>
          <w:sz w:val="24"/>
          <w:szCs w:val="24"/>
        </w:rPr>
        <w:t>emerged</w:t>
      </w:r>
      <w:r w:rsidR="008F0A29">
        <w:rPr>
          <w:rFonts w:ascii="Times New Roman" w:hAnsi="Times New Roman"/>
          <w:sz w:val="24"/>
          <w:szCs w:val="24"/>
        </w:rPr>
        <w:t xml:space="preserve"> in the decade or so</w:t>
      </w:r>
      <w:r w:rsidR="003B6561">
        <w:rPr>
          <w:rFonts w:ascii="Times New Roman" w:hAnsi="Times New Roman"/>
          <w:sz w:val="24"/>
          <w:szCs w:val="24"/>
        </w:rPr>
        <w:t xml:space="preserve"> following the enactment of the Huma</w:t>
      </w:r>
      <w:r w:rsidR="0061422C">
        <w:rPr>
          <w:rFonts w:ascii="Times New Roman" w:hAnsi="Times New Roman"/>
          <w:sz w:val="24"/>
          <w:szCs w:val="24"/>
        </w:rPr>
        <w:t xml:space="preserve">n Rights Act 1998, </w:t>
      </w:r>
      <w:r w:rsidR="003B6561">
        <w:rPr>
          <w:rFonts w:ascii="Times New Roman" w:hAnsi="Times New Roman"/>
          <w:sz w:val="24"/>
          <w:szCs w:val="24"/>
        </w:rPr>
        <w:t>constructed from a fusion of traditional breach of confidence and ECtHR jurisprudence.</w:t>
      </w:r>
      <w:r w:rsidR="003B6561">
        <w:rPr>
          <w:rStyle w:val="FootnoteReference"/>
          <w:rFonts w:ascii="Times New Roman" w:hAnsi="Times New Roman"/>
          <w:sz w:val="24"/>
          <w:szCs w:val="24"/>
        </w:rPr>
        <w:footnoteReference w:id="7"/>
      </w:r>
      <w:r w:rsidR="00477B50">
        <w:rPr>
          <w:rFonts w:ascii="Times New Roman" w:hAnsi="Times New Roman"/>
          <w:sz w:val="24"/>
          <w:szCs w:val="24"/>
        </w:rPr>
        <w:t xml:space="preserve">  </w:t>
      </w:r>
      <w:r w:rsidR="0061422C">
        <w:rPr>
          <w:rFonts w:ascii="Times New Roman" w:hAnsi="Times New Roman"/>
          <w:sz w:val="24"/>
          <w:szCs w:val="24"/>
        </w:rPr>
        <w:t>MPI disputes primarily involve</w:t>
      </w:r>
      <w:r w:rsidR="008F0A29">
        <w:rPr>
          <w:rFonts w:ascii="Times New Roman" w:hAnsi="Times New Roman"/>
          <w:sz w:val="24"/>
          <w:szCs w:val="24"/>
        </w:rPr>
        <w:t xml:space="preserve"> high profile, </w:t>
      </w:r>
      <w:r w:rsidR="0061422C">
        <w:rPr>
          <w:rFonts w:ascii="Times New Roman" w:hAnsi="Times New Roman"/>
          <w:sz w:val="24"/>
          <w:szCs w:val="24"/>
        </w:rPr>
        <w:t>‘</w:t>
      </w:r>
      <w:r w:rsidR="008F0A29">
        <w:rPr>
          <w:rFonts w:ascii="Times New Roman" w:hAnsi="Times New Roman"/>
          <w:sz w:val="24"/>
          <w:szCs w:val="24"/>
        </w:rPr>
        <w:t>celebrity</w:t>
      </w:r>
      <w:r w:rsidR="0061422C">
        <w:rPr>
          <w:rFonts w:ascii="Times New Roman" w:hAnsi="Times New Roman"/>
          <w:sz w:val="24"/>
          <w:szCs w:val="24"/>
        </w:rPr>
        <w:t>’</w:t>
      </w:r>
      <w:r w:rsidR="008F0A29">
        <w:rPr>
          <w:rFonts w:ascii="Times New Roman" w:hAnsi="Times New Roman"/>
          <w:sz w:val="24"/>
          <w:szCs w:val="24"/>
        </w:rPr>
        <w:t xml:space="preserve"> claimants seeking to protect their Article 8</w:t>
      </w:r>
      <w:r w:rsidR="0061422C">
        <w:rPr>
          <w:rFonts w:ascii="Times New Roman" w:hAnsi="Times New Roman"/>
          <w:sz w:val="24"/>
          <w:szCs w:val="24"/>
        </w:rPr>
        <w:t xml:space="preserve"> ECHR</w:t>
      </w:r>
      <w:r w:rsidR="008F0A29">
        <w:rPr>
          <w:rFonts w:ascii="Times New Roman" w:hAnsi="Times New Roman"/>
          <w:sz w:val="24"/>
          <w:szCs w:val="24"/>
        </w:rPr>
        <w:t xml:space="preserve"> privacy rights against</w:t>
      </w:r>
      <w:r w:rsidR="0061422C">
        <w:rPr>
          <w:rFonts w:ascii="Times New Roman" w:hAnsi="Times New Roman"/>
          <w:sz w:val="24"/>
          <w:szCs w:val="24"/>
        </w:rPr>
        <w:t xml:space="preserve"> media </w:t>
      </w:r>
      <w:r w:rsidR="0099203D">
        <w:rPr>
          <w:rFonts w:ascii="Times New Roman" w:hAnsi="Times New Roman"/>
          <w:sz w:val="24"/>
          <w:szCs w:val="24"/>
        </w:rPr>
        <w:t>defendants relying on the Art</w:t>
      </w:r>
      <w:r w:rsidR="0061422C">
        <w:rPr>
          <w:rFonts w:ascii="Times New Roman" w:hAnsi="Times New Roman"/>
          <w:sz w:val="24"/>
          <w:szCs w:val="24"/>
        </w:rPr>
        <w:t>icle</w:t>
      </w:r>
      <w:r w:rsidR="0099203D">
        <w:rPr>
          <w:rFonts w:ascii="Times New Roman" w:hAnsi="Times New Roman"/>
          <w:sz w:val="24"/>
          <w:szCs w:val="24"/>
        </w:rPr>
        <w:t xml:space="preserve"> 10 right to publis</w:t>
      </w:r>
      <w:r>
        <w:rPr>
          <w:rFonts w:ascii="Times New Roman" w:hAnsi="Times New Roman"/>
          <w:sz w:val="24"/>
          <w:szCs w:val="24"/>
        </w:rPr>
        <w:t xml:space="preserve">h a story or </w:t>
      </w:r>
      <w:r w:rsidRPr="003022F0">
        <w:rPr>
          <w:rFonts w:ascii="Times New Roman" w:hAnsi="Times New Roman"/>
          <w:sz w:val="24"/>
          <w:szCs w:val="24"/>
        </w:rPr>
        <w:t>exp</w:t>
      </w:r>
      <w:r w:rsidRPr="00820B36">
        <w:rPr>
          <w:rFonts w:ascii="Times New Roman" w:hAnsi="Times New Roman"/>
          <w:sz w:val="24"/>
          <w:szCs w:val="24"/>
        </w:rPr>
        <w:t>os</w:t>
      </w:r>
      <w:r w:rsidRPr="00820B36">
        <w:rPr>
          <w:rFonts w:ascii="Times New Roman" w:hAnsi="Times New Roman"/>
          <w:i/>
          <w:sz w:val="24"/>
          <w:szCs w:val="24"/>
          <w:u w:val="single"/>
        </w:rPr>
        <w:t>e</w:t>
      </w:r>
      <w:r>
        <w:rPr>
          <w:rFonts w:ascii="Times New Roman" w:hAnsi="Times New Roman"/>
          <w:sz w:val="24"/>
          <w:szCs w:val="24"/>
        </w:rPr>
        <w:t xml:space="preserve"> about them.  </w:t>
      </w:r>
      <w:r w:rsidR="00565641">
        <w:rPr>
          <w:rFonts w:ascii="Times New Roman" w:hAnsi="Times New Roman"/>
          <w:sz w:val="24"/>
          <w:szCs w:val="24"/>
        </w:rPr>
        <w:t xml:space="preserve">Using MPI judges apply a two-stage test, first asking whether the claimant had a reasonable expectation of </w:t>
      </w:r>
      <w:r w:rsidR="00565641">
        <w:rPr>
          <w:rFonts w:ascii="Times New Roman" w:hAnsi="Times New Roman"/>
          <w:sz w:val="24"/>
          <w:szCs w:val="24"/>
        </w:rPr>
        <w:lastRenderedPageBreak/>
        <w:t>privacy in relation to the disputed information, and if so, proceeding to undertake a balancing exercise</w:t>
      </w:r>
      <w:r w:rsidR="00FC418A">
        <w:rPr>
          <w:rStyle w:val="FootnoteReference"/>
          <w:rFonts w:ascii="Times New Roman" w:hAnsi="Times New Roman"/>
          <w:sz w:val="24"/>
          <w:szCs w:val="24"/>
        </w:rPr>
        <w:footnoteReference w:id="8"/>
      </w:r>
      <w:r w:rsidR="00565641">
        <w:rPr>
          <w:rFonts w:ascii="Times New Roman" w:hAnsi="Times New Roman"/>
          <w:sz w:val="24"/>
          <w:szCs w:val="24"/>
        </w:rPr>
        <w:t xml:space="preserve"> between the competing privacy and f</w:t>
      </w:r>
      <w:r w:rsidR="00FC418A">
        <w:rPr>
          <w:rFonts w:ascii="Times New Roman" w:hAnsi="Times New Roman"/>
          <w:sz w:val="24"/>
          <w:szCs w:val="24"/>
        </w:rPr>
        <w:t>ree expression rights.</w:t>
      </w:r>
      <w:r w:rsidR="00565641">
        <w:rPr>
          <w:rStyle w:val="FootnoteReference"/>
          <w:rFonts w:ascii="Times New Roman" w:hAnsi="Times New Roman"/>
          <w:sz w:val="24"/>
          <w:szCs w:val="24"/>
        </w:rPr>
        <w:footnoteReference w:id="9"/>
      </w:r>
    </w:p>
    <w:p w:rsidR="00DC7BAF" w:rsidRDefault="00DC7BAF" w:rsidP="005111CF">
      <w:pPr>
        <w:spacing w:after="0" w:line="240" w:lineRule="auto"/>
        <w:jc w:val="both"/>
        <w:rPr>
          <w:rFonts w:ascii="Times New Roman" w:hAnsi="Times New Roman"/>
          <w:sz w:val="24"/>
          <w:szCs w:val="24"/>
        </w:rPr>
      </w:pPr>
    </w:p>
    <w:p w:rsidR="00DC7BAF" w:rsidRPr="00C2605C" w:rsidRDefault="00DC7BAF" w:rsidP="005111CF">
      <w:pPr>
        <w:spacing w:after="0" w:line="240" w:lineRule="auto"/>
        <w:jc w:val="both"/>
        <w:rPr>
          <w:rFonts w:ascii="Times New Roman" w:hAnsi="Times New Roman"/>
          <w:sz w:val="24"/>
          <w:szCs w:val="24"/>
        </w:rPr>
      </w:pPr>
      <w:r>
        <w:rPr>
          <w:rFonts w:ascii="Times New Roman" w:hAnsi="Times New Roman"/>
          <w:sz w:val="24"/>
          <w:szCs w:val="24"/>
        </w:rPr>
        <w:t>This paper considers the unintended consequences of the development and enforcement of MPI law.  It will focus o</w:t>
      </w:r>
      <w:r w:rsidR="00AC325B">
        <w:rPr>
          <w:rFonts w:ascii="Times New Roman" w:hAnsi="Times New Roman"/>
          <w:sz w:val="24"/>
          <w:szCs w:val="24"/>
        </w:rPr>
        <w:t>n a specific species</w:t>
      </w:r>
      <w:r>
        <w:rPr>
          <w:rFonts w:ascii="Times New Roman" w:hAnsi="Times New Roman"/>
          <w:sz w:val="24"/>
          <w:szCs w:val="24"/>
        </w:rPr>
        <w:t xml:space="preserve"> of unintended consequence; that of perverse incentives.</w:t>
      </w:r>
      <w:r w:rsidR="00AC325B">
        <w:rPr>
          <w:rFonts w:ascii="Times New Roman" w:hAnsi="Times New Roman"/>
          <w:sz w:val="24"/>
          <w:szCs w:val="24"/>
        </w:rPr>
        <w:t xml:space="preserve">  </w:t>
      </w:r>
      <w:r w:rsidR="00803073">
        <w:rPr>
          <w:rFonts w:ascii="Times New Roman" w:hAnsi="Times New Roman"/>
          <w:sz w:val="24"/>
          <w:szCs w:val="24"/>
        </w:rPr>
        <w:t xml:space="preserve">According to </w:t>
      </w:r>
      <w:proofErr w:type="spellStart"/>
      <w:r w:rsidR="00803073">
        <w:rPr>
          <w:rFonts w:ascii="Times New Roman" w:hAnsi="Times New Roman"/>
          <w:sz w:val="24"/>
          <w:szCs w:val="24"/>
        </w:rPr>
        <w:t>Bouden</w:t>
      </w:r>
      <w:proofErr w:type="spellEnd"/>
      <w:r w:rsidR="00803073">
        <w:rPr>
          <w:rFonts w:ascii="Times New Roman" w:hAnsi="Times New Roman"/>
          <w:sz w:val="24"/>
          <w:szCs w:val="24"/>
        </w:rPr>
        <w:t>, ‘</w:t>
      </w:r>
      <w:r w:rsidR="00803073" w:rsidRPr="00507CD3">
        <w:rPr>
          <w:rFonts w:ascii="Times New Roman" w:hAnsi="Times New Roman"/>
          <w:i/>
          <w:sz w:val="24"/>
          <w:szCs w:val="24"/>
        </w:rPr>
        <w:t xml:space="preserve">there is a perverse effect when two (or more) individuals, in pursuing a given objective, generate an </w:t>
      </w:r>
      <w:r w:rsidR="00803073" w:rsidRPr="00507CD3">
        <w:rPr>
          <w:rFonts w:ascii="Times New Roman" w:hAnsi="Times New Roman"/>
          <w:sz w:val="24"/>
          <w:szCs w:val="24"/>
        </w:rPr>
        <w:t>unintended</w:t>
      </w:r>
      <w:r w:rsidR="00803073" w:rsidRPr="00507CD3">
        <w:rPr>
          <w:rFonts w:ascii="Times New Roman" w:hAnsi="Times New Roman"/>
          <w:i/>
          <w:sz w:val="24"/>
          <w:szCs w:val="24"/>
        </w:rPr>
        <w:t xml:space="preserve"> state of affairs which may be undesirable from the point of view of both or one of them</w:t>
      </w:r>
      <w:r w:rsidR="00803073">
        <w:rPr>
          <w:rFonts w:ascii="Times New Roman" w:hAnsi="Times New Roman"/>
          <w:sz w:val="24"/>
          <w:szCs w:val="24"/>
        </w:rPr>
        <w:t>.’</w:t>
      </w:r>
      <w:r w:rsidR="00803073">
        <w:rPr>
          <w:rStyle w:val="FootnoteReference"/>
          <w:rFonts w:ascii="Times New Roman" w:hAnsi="Times New Roman"/>
          <w:sz w:val="24"/>
          <w:szCs w:val="24"/>
        </w:rPr>
        <w:footnoteReference w:id="10"/>
      </w:r>
      <w:r w:rsidR="00803073">
        <w:rPr>
          <w:rFonts w:ascii="Times New Roman" w:hAnsi="Times New Roman"/>
          <w:sz w:val="24"/>
          <w:szCs w:val="24"/>
        </w:rPr>
        <w:t xml:space="preserve"> </w:t>
      </w:r>
      <w:r w:rsidRPr="00C2605C">
        <w:rPr>
          <w:rFonts w:ascii="Times New Roman" w:hAnsi="Times New Roman"/>
          <w:sz w:val="24"/>
          <w:szCs w:val="24"/>
        </w:rPr>
        <w:t xml:space="preserve"> </w:t>
      </w:r>
    </w:p>
    <w:p w:rsidR="00947931" w:rsidRDefault="00947931" w:rsidP="005111CF">
      <w:pPr>
        <w:spacing w:after="0" w:line="240" w:lineRule="auto"/>
        <w:jc w:val="both"/>
        <w:rPr>
          <w:rFonts w:ascii="Times New Roman" w:hAnsi="Times New Roman"/>
          <w:sz w:val="24"/>
          <w:szCs w:val="24"/>
        </w:rPr>
      </w:pPr>
    </w:p>
    <w:p w:rsidR="000D7E9B" w:rsidRPr="000D7E9B" w:rsidRDefault="000D7E9B" w:rsidP="000D7E9B">
      <w:pPr>
        <w:spacing w:after="0" w:line="240" w:lineRule="auto"/>
        <w:jc w:val="both"/>
        <w:rPr>
          <w:rFonts w:ascii="Times New Roman" w:hAnsi="Times New Roman"/>
          <w:sz w:val="16"/>
          <w:szCs w:val="16"/>
        </w:rPr>
      </w:pPr>
      <w:r w:rsidRPr="000D7E9B">
        <w:rPr>
          <w:rFonts w:ascii="Times New Roman" w:hAnsi="Times New Roman"/>
          <w:sz w:val="24"/>
          <w:szCs w:val="24"/>
        </w:rPr>
        <w:t>This article considers perverse incentives in MPI by analysing why injunctions to prohibit the dissemination of private information sometimes have the opposite effect, and how judges dealing with such cases have responded.</w:t>
      </w:r>
      <w:r w:rsidRPr="000D7E9B">
        <w:rPr>
          <w:rFonts w:ascii="Times New Roman" w:hAnsi="Times New Roman"/>
          <w:sz w:val="16"/>
          <w:szCs w:val="16"/>
        </w:rPr>
        <w:t xml:space="preserve">  </w:t>
      </w:r>
      <w:r w:rsidRPr="000D7E9B">
        <w:rPr>
          <w:rFonts w:ascii="Times New Roman" w:hAnsi="Times New Roman"/>
          <w:sz w:val="24"/>
          <w:szCs w:val="24"/>
        </w:rPr>
        <w:t xml:space="preserve">It first considers select examples such as </w:t>
      </w:r>
      <w:proofErr w:type="spellStart"/>
      <w:r w:rsidRPr="000D7E9B">
        <w:rPr>
          <w:rFonts w:ascii="Times New Roman" w:hAnsi="Times New Roman"/>
          <w:i/>
          <w:sz w:val="24"/>
          <w:szCs w:val="24"/>
        </w:rPr>
        <w:t>Giggs</w:t>
      </w:r>
      <w:proofErr w:type="spellEnd"/>
      <w:r w:rsidRPr="000D7E9B">
        <w:rPr>
          <w:rFonts w:ascii="Times New Roman" w:hAnsi="Times New Roman"/>
          <w:i/>
          <w:sz w:val="24"/>
          <w:szCs w:val="24"/>
        </w:rPr>
        <w:t xml:space="preserve"> v News Group</w:t>
      </w:r>
      <w:r w:rsidRPr="000D7E9B">
        <w:rPr>
          <w:rFonts w:ascii="Times New Roman" w:hAnsi="Times New Roman"/>
          <w:sz w:val="24"/>
          <w:szCs w:val="24"/>
        </w:rPr>
        <w:t xml:space="preserve"> and the recent </w:t>
      </w:r>
      <w:r w:rsidRPr="000D7E9B">
        <w:rPr>
          <w:rFonts w:ascii="Times New Roman" w:hAnsi="Times New Roman"/>
          <w:i/>
          <w:sz w:val="24"/>
          <w:szCs w:val="24"/>
        </w:rPr>
        <w:t>PJS v News Group</w:t>
      </w:r>
      <w:r w:rsidRPr="000D7E9B">
        <w:rPr>
          <w:rFonts w:ascii="Times New Roman" w:hAnsi="Times New Roman"/>
          <w:sz w:val="24"/>
          <w:szCs w:val="24"/>
        </w:rPr>
        <w:t xml:space="preserve"> where such unintended consequences played out.  These cases highlight the challenges of MPI injunctions; they may draw more attention to the disputed material, a phenomenon that has been colloquially termed the ‘Streisand effect’ as per the US litigation in </w:t>
      </w:r>
      <w:r w:rsidRPr="000D7E9B">
        <w:rPr>
          <w:rFonts w:ascii="Times New Roman" w:hAnsi="Times New Roman"/>
          <w:i/>
          <w:sz w:val="24"/>
          <w:szCs w:val="24"/>
        </w:rPr>
        <w:t>Streisand v Adelman</w:t>
      </w:r>
      <w:r w:rsidRPr="000D7E9B">
        <w:rPr>
          <w:rFonts w:ascii="Times New Roman" w:hAnsi="Times New Roman"/>
          <w:sz w:val="24"/>
          <w:szCs w:val="24"/>
        </w:rPr>
        <w:t xml:space="preserve">.  This article affords specific attention to the phenomenon of ‘jigsaw identification’ which may result from MPI injunctions that only restrict the publication of specific parts of a dispute, such as the claimant’s identity.  It proceeds to </w:t>
      </w:r>
      <w:r w:rsidR="0098182D">
        <w:rPr>
          <w:rFonts w:ascii="Times New Roman" w:hAnsi="Times New Roman"/>
          <w:sz w:val="24"/>
          <w:szCs w:val="24"/>
        </w:rPr>
        <w:t>discuss</w:t>
      </w:r>
      <w:r w:rsidRPr="000D7E9B">
        <w:rPr>
          <w:rFonts w:ascii="Times New Roman" w:hAnsi="Times New Roman"/>
          <w:sz w:val="24"/>
          <w:szCs w:val="24"/>
        </w:rPr>
        <w:t xml:space="preserve"> three primary reasons for unintended consequences in the cases discussed.  It argues that the combination of psychological reactance, social countering and the possibilities afforded by new online technologies may cause unintended consequences that undermine the core purpose of privacy protecting injunctions.  The article concludes with a close analysis of the recent Supreme Court decision in </w:t>
      </w:r>
      <w:r w:rsidRPr="000D7E9B">
        <w:rPr>
          <w:rFonts w:ascii="Times New Roman" w:hAnsi="Times New Roman"/>
          <w:i/>
          <w:sz w:val="24"/>
          <w:szCs w:val="24"/>
        </w:rPr>
        <w:t>PJS v News Group</w:t>
      </w:r>
      <w:r w:rsidRPr="00F16766">
        <w:rPr>
          <w:rFonts w:ascii="Times New Roman" w:hAnsi="Times New Roman"/>
          <w:sz w:val="24"/>
          <w:szCs w:val="24"/>
          <w:vertAlign w:val="superscript"/>
        </w:rPr>
        <w:footnoteReference w:id="11"/>
      </w:r>
      <w:r w:rsidRPr="00F16766">
        <w:rPr>
          <w:rFonts w:ascii="Times New Roman" w:hAnsi="Times New Roman"/>
          <w:sz w:val="24"/>
          <w:szCs w:val="24"/>
        </w:rPr>
        <w:t xml:space="preserve"> </w:t>
      </w:r>
      <w:r w:rsidRPr="000D7E9B">
        <w:rPr>
          <w:rFonts w:ascii="Times New Roman" w:hAnsi="Times New Roman"/>
          <w:sz w:val="24"/>
          <w:szCs w:val="24"/>
        </w:rPr>
        <w:t>which encapsulates how the courts have responded to unintended consequences in MPI cases.</w:t>
      </w:r>
      <w:r w:rsidRPr="000D7E9B">
        <w:rPr>
          <w:rFonts w:ascii="Times New Roman" w:hAnsi="Times New Roman"/>
          <w:sz w:val="16"/>
          <w:szCs w:val="16"/>
        </w:rPr>
        <w:t xml:space="preserve">  </w:t>
      </w:r>
      <w:r w:rsidRPr="000D7E9B">
        <w:rPr>
          <w:rFonts w:ascii="Times New Roman" w:hAnsi="Times New Roman"/>
          <w:sz w:val="24"/>
          <w:szCs w:val="24"/>
        </w:rPr>
        <w:t xml:space="preserve">The judicial response has been to modify the problem that MPI injunctions seek to address.  Changing the purpose of such injunctions, and therefore the outcomes by which their efficacy is to be gauged, enables the courts to justify their continuation in the face of widespread publication of private information.  </w:t>
      </w:r>
    </w:p>
    <w:p w:rsidR="009E16CF" w:rsidRPr="00670BBE" w:rsidRDefault="009E16CF" w:rsidP="005111CF">
      <w:pPr>
        <w:spacing w:after="0" w:line="240" w:lineRule="auto"/>
        <w:jc w:val="both"/>
        <w:rPr>
          <w:rFonts w:ascii="Times New Roman" w:hAnsi="Times New Roman"/>
          <w:sz w:val="24"/>
          <w:szCs w:val="24"/>
        </w:rPr>
      </w:pPr>
    </w:p>
    <w:p w:rsidR="00CA05E3" w:rsidRPr="00670BBE" w:rsidRDefault="00CA05E3" w:rsidP="005111CF">
      <w:pPr>
        <w:spacing w:after="0" w:line="240" w:lineRule="auto"/>
        <w:jc w:val="both"/>
        <w:rPr>
          <w:rFonts w:ascii="Times New Roman" w:hAnsi="Times New Roman"/>
          <w:sz w:val="24"/>
          <w:szCs w:val="24"/>
        </w:rPr>
      </w:pPr>
    </w:p>
    <w:p w:rsidR="009E16CF" w:rsidRDefault="009E16CF" w:rsidP="005111CF">
      <w:pPr>
        <w:spacing w:after="0" w:line="240" w:lineRule="auto"/>
        <w:jc w:val="both"/>
        <w:rPr>
          <w:rFonts w:ascii="Times New Roman" w:hAnsi="Times New Roman"/>
          <w:b/>
          <w:sz w:val="32"/>
          <w:szCs w:val="32"/>
          <w:u w:val="single"/>
        </w:rPr>
      </w:pPr>
      <w:r>
        <w:rPr>
          <w:rFonts w:ascii="Times New Roman" w:hAnsi="Times New Roman"/>
          <w:b/>
          <w:sz w:val="32"/>
          <w:szCs w:val="32"/>
          <w:u w:val="single"/>
        </w:rPr>
        <w:t>[1] The ‘</w:t>
      </w:r>
      <w:proofErr w:type="spellStart"/>
      <w:r>
        <w:rPr>
          <w:rFonts w:ascii="Times New Roman" w:hAnsi="Times New Roman"/>
          <w:b/>
          <w:sz w:val="32"/>
          <w:szCs w:val="32"/>
          <w:u w:val="single"/>
        </w:rPr>
        <w:t>Giggs</w:t>
      </w:r>
      <w:proofErr w:type="spellEnd"/>
      <w:r>
        <w:rPr>
          <w:rFonts w:ascii="Times New Roman" w:hAnsi="Times New Roman"/>
          <w:b/>
          <w:sz w:val="32"/>
          <w:szCs w:val="32"/>
          <w:u w:val="single"/>
        </w:rPr>
        <w:t xml:space="preserve"> Effect’</w:t>
      </w:r>
    </w:p>
    <w:p w:rsidR="009E16CF" w:rsidRDefault="009E16CF" w:rsidP="005111CF">
      <w:pPr>
        <w:spacing w:after="0" w:line="240" w:lineRule="auto"/>
        <w:jc w:val="both"/>
        <w:rPr>
          <w:rFonts w:ascii="Times New Roman" w:hAnsi="Times New Roman"/>
          <w:b/>
          <w:sz w:val="24"/>
          <w:szCs w:val="24"/>
          <w:u w:val="single"/>
        </w:rPr>
      </w:pPr>
    </w:p>
    <w:p w:rsidR="00151384" w:rsidRPr="00151384" w:rsidRDefault="00151384" w:rsidP="005111CF">
      <w:pPr>
        <w:spacing w:after="0" w:line="240" w:lineRule="auto"/>
        <w:jc w:val="both"/>
        <w:rPr>
          <w:rFonts w:ascii="Times New Roman" w:hAnsi="Times New Roman"/>
          <w:b/>
          <w:sz w:val="24"/>
          <w:szCs w:val="24"/>
          <w:u w:val="single"/>
        </w:rPr>
      </w:pPr>
    </w:p>
    <w:p w:rsidR="00087A28" w:rsidRPr="00A1708B" w:rsidRDefault="00184A97" w:rsidP="00087A28">
      <w:pPr>
        <w:spacing w:after="0" w:line="240" w:lineRule="auto"/>
        <w:jc w:val="both"/>
        <w:rPr>
          <w:rFonts w:ascii="Times New Roman" w:hAnsi="Times New Roman"/>
          <w:sz w:val="24"/>
          <w:szCs w:val="24"/>
        </w:rPr>
      </w:pPr>
      <w:r w:rsidRPr="00CB3C8D">
        <w:rPr>
          <w:rFonts w:ascii="Times New Roman" w:hAnsi="Times New Roman"/>
          <w:sz w:val="24"/>
          <w:szCs w:val="24"/>
        </w:rPr>
        <w:t>One feature</w:t>
      </w:r>
      <w:r w:rsidR="00840D86" w:rsidRPr="00CB3C8D">
        <w:rPr>
          <w:rFonts w:ascii="Times New Roman" w:hAnsi="Times New Roman"/>
          <w:sz w:val="24"/>
          <w:szCs w:val="24"/>
        </w:rPr>
        <w:t xml:space="preserve"> of MPI law that raises </w:t>
      </w:r>
      <w:r w:rsidR="001D42A4" w:rsidRPr="00CB3C8D">
        <w:rPr>
          <w:rFonts w:ascii="Times New Roman" w:hAnsi="Times New Roman"/>
          <w:sz w:val="24"/>
          <w:szCs w:val="24"/>
        </w:rPr>
        <w:t xml:space="preserve">unintended consequences </w:t>
      </w:r>
      <w:r w:rsidR="00840D86" w:rsidRPr="00CB3C8D">
        <w:rPr>
          <w:rFonts w:ascii="Times New Roman" w:hAnsi="Times New Roman"/>
          <w:sz w:val="24"/>
          <w:szCs w:val="24"/>
        </w:rPr>
        <w:t>in the form of perverse incentive</w:t>
      </w:r>
      <w:r w:rsidR="004939C7" w:rsidRPr="00CB3C8D">
        <w:rPr>
          <w:rFonts w:ascii="Times New Roman" w:hAnsi="Times New Roman"/>
          <w:sz w:val="24"/>
          <w:szCs w:val="24"/>
        </w:rPr>
        <w:t xml:space="preserve"> is </w:t>
      </w:r>
      <w:r w:rsidRPr="00CB3C8D">
        <w:rPr>
          <w:rFonts w:ascii="Times New Roman" w:hAnsi="Times New Roman"/>
          <w:sz w:val="24"/>
          <w:szCs w:val="24"/>
        </w:rPr>
        <w:t xml:space="preserve">the granting of </w:t>
      </w:r>
      <w:r w:rsidR="009E16CF" w:rsidRPr="00CB3C8D">
        <w:rPr>
          <w:rFonts w:ascii="Times New Roman" w:hAnsi="Times New Roman"/>
          <w:sz w:val="24"/>
          <w:szCs w:val="24"/>
        </w:rPr>
        <w:t>privacy</w:t>
      </w:r>
      <w:r w:rsidR="00840D86" w:rsidRPr="00CB3C8D">
        <w:rPr>
          <w:rFonts w:ascii="Times New Roman" w:hAnsi="Times New Roman"/>
          <w:sz w:val="24"/>
          <w:szCs w:val="24"/>
        </w:rPr>
        <w:t>-protecting</w:t>
      </w:r>
      <w:r w:rsidR="009E16CF" w:rsidRPr="00CB3C8D">
        <w:rPr>
          <w:rFonts w:ascii="Times New Roman" w:hAnsi="Times New Roman"/>
          <w:sz w:val="24"/>
          <w:szCs w:val="24"/>
        </w:rPr>
        <w:t xml:space="preserve"> injunctions</w:t>
      </w:r>
      <w:r w:rsidRPr="00CB3C8D">
        <w:rPr>
          <w:rFonts w:ascii="Times New Roman" w:hAnsi="Times New Roman"/>
          <w:sz w:val="24"/>
          <w:szCs w:val="24"/>
        </w:rPr>
        <w:t xml:space="preserve">, </w:t>
      </w:r>
      <w:r w:rsidR="00EC4A9C" w:rsidRPr="00CB3C8D">
        <w:rPr>
          <w:rFonts w:ascii="Times New Roman" w:hAnsi="Times New Roman"/>
          <w:sz w:val="24"/>
          <w:szCs w:val="24"/>
        </w:rPr>
        <w:t>including interim injunctions</w:t>
      </w:r>
      <w:r w:rsidR="00840D86" w:rsidRPr="00CB3C8D">
        <w:rPr>
          <w:rFonts w:ascii="Times New Roman" w:hAnsi="Times New Roman"/>
          <w:sz w:val="24"/>
          <w:szCs w:val="24"/>
        </w:rPr>
        <w:t>.</w:t>
      </w:r>
      <w:r w:rsidR="00CB3C8D" w:rsidRPr="00CB3C8D">
        <w:rPr>
          <w:rFonts w:ascii="Times New Roman" w:hAnsi="Times New Roman"/>
          <w:sz w:val="24"/>
          <w:szCs w:val="24"/>
        </w:rPr>
        <w:t xml:space="preserve">  The proliferation of </w:t>
      </w:r>
      <w:r w:rsidR="00087A28" w:rsidRPr="00CB3C8D">
        <w:rPr>
          <w:rFonts w:ascii="Times New Roman" w:hAnsi="Times New Roman"/>
          <w:sz w:val="24"/>
          <w:szCs w:val="24"/>
        </w:rPr>
        <w:t>anonymised injunctions directly paralleled the emergence of MPI.</w:t>
      </w:r>
      <w:r w:rsidR="00087A28" w:rsidRPr="00CB3C8D">
        <w:rPr>
          <w:rStyle w:val="FootnoteReference"/>
          <w:rFonts w:ascii="Times New Roman" w:hAnsi="Times New Roman"/>
          <w:sz w:val="24"/>
          <w:szCs w:val="24"/>
        </w:rPr>
        <w:footnoteReference w:id="12"/>
      </w:r>
      <w:r w:rsidR="00087A28" w:rsidRPr="00CB3C8D">
        <w:rPr>
          <w:rFonts w:ascii="Times New Roman" w:hAnsi="Times New Roman"/>
          <w:sz w:val="24"/>
          <w:szCs w:val="24"/>
        </w:rPr>
        <w:t xml:space="preserve">  Such injunctions </w:t>
      </w:r>
      <w:r w:rsidR="00087A28" w:rsidRPr="00CB3C8D">
        <w:rPr>
          <w:rFonts w:ascii="Times New Roman" w:hAnsi="Times New Roman"/>
          <w:i/>
          <w:sz w:val="24"/>
          <w:szCs w:val="24"/>
        </w:rPr>
        <w:t xml:space="preserve">‘[restrain] a person from publishing information which concerns the applicant and is said </w:t>
      </w:r>
      <w:r w:rsidR="00087A28" w:rsidRPr="00A1708B">
        <w:rPr>
          <w:rFonts w:ascii="Times New Roman" w:hAnsi="Times New Roman"/>
          <w:i/>
          <w:sz w:val="24"/>
          <w:szCs w:val="24"/>
        </w:rPr>
        <w:t>to be confidential or private … [and] the names of either or both of the parties to the proceedings are not stated</w:t>
      </w:r>
      <w:r w:rsidR="00087A28" w:rsidRPr="00A1708B">
        <w:rPr>
          <w:rFonts w:ascii="Times New Roman" w:hAnsi="Times New Roman"/>
          <w:sz w:val="24"/>
          <w:szCs w:val="24"/>
        </w:rPr>
        <w:t>.’</w:t>
      </w:r>
      <w:r w:rsidR="00087A28" w:rsidRPr="00A1708B">
        <w:rPr>
          <w:rStyle w:val="FootnoteReference"/>
          <w:rFonts w:ascii="Times New Roman" w:hAnsi="Times New Roman"/>
          <w:sz w:val="24"/>
          <w:szCs w:val="24"/>
        </w:rPr>
        <w:footnoteReference w:id="13"/>
      </w:r>
      <w:r w:rsidR="00A1708B" w:rsidRPr="00A1708B">
        <w:rPr>
          <w:rFonts w:ascii="Times New Roman" w:hAnsi="Times New Roman"/>
          <w:sz w:val="24"/>
          <w:szCs w:val="24"/>
        </w:rPr>
        <w:t xml:space="preserve">  </w:t>
      </w:r>
      <w:r w:rsidR="00087A28" w:rsidRPr="00A1708B">
        <w:rPr>
          <w:rFonts w:ascii="Times New Roman" w:hAnsi="Times New Roman"/>
          <w:sz w:val="24"/>
          <w:szCs w:val="24"/>
        </w:rPr>
        <w:t xml:space="preserve">In order to obtain an interim injunction – which preserves privacy pending trial – an applicant must show he is likely to establish that publication should </w:t>
      </w:r>
      <w:r w:rsidR="00087A28" w:rsidRPr="00A1708B">
        <w:rPr>
          <w:rFonts w:ascii="Times New Roman" w:hAnsi="Times New Roman"/>
          <w:sz w:val="24"/>
          <w:szCs w:val="24"/>
        </w:rPr>
        <w:lastRenderedPageBreak/>
        <w:t>not be allowed at trial.</w:t>
      </w:r>
      <w:r w:rsidR="00087A28" w:rsidRPr="00A1708B">
        <w:rPr>
          <w:rStyle w:val="FootnoteReference"/>
          <w:rFonts w:ascii="Times New Roman" w:hAnsi="Times New Roman"/>
          <w:sz w:val="24"/>
          <w:szCs w:val="24"/>
        </w:rPr>
        <w:footnoteReference w:id="14"/>
      </w:r>
      <w:r w:rsidR="00CB3C8D" w:rsidRPr="00A1708B">
        <w:rPr>
          <w:rFonts w:ascii="Times New Roman" w:hAnsi="Times New Roman"/>
          <w:sz w:val="24"/>
          <w:szCs w:val="24"/>
        </w:rPr>
        <w:t xml:space="preserve">  When deciding</w:t>
      </w:r>
      <w:r w:rsidR="00087A28" w:rsidRPr="00A1708B">
        <w:rPr>
          <w:rFonts w:ascii="Times New Roman" w:hAnsi="Times New Roman"/>
          <w:sz w:val="24"/>
          <w:szCs w:val="24"/>
        </w:rPr>
        <w:t xml:space="preserve"> whether to grant an interim injunction one factor the court must consider is ‘the extent to which the material has, or is about to, become available to the public.’</w:t>
      </w:r>
      <w:r w:rsidR="00CB3C8D" w:rsidRPr="00A1708B">
        <w:rPr>
          <w:rStyle w:val="FootnoteReference"/>
          <w:rFonts w:ascii="Times New Roman" w:hAnsi="Times New Roman"/>
          <w:sz w:val="24"/>
          <w:szCs w:val="24"/>
        </w:rPr>
        <w:footnoteReference w:id="15"/>
      </w:r>
    </w:p>
    <w:p w:rsidR="00087A28" w:rsidRPr="004D2F4A" w:rsidRDefault="00087A28" w:rsidP="00087A28">
      <w:pPr>
        <w:spacing w:after="0" w:line="240" w:lineRule="auto"/>
        <w:jc w:val="both"/>
        <w:rPr>
          <w:rFonts w:ascii="Times New Roman" w:hAnsi="Times New Roman"/>
          <w:color w:val="FF0000"/>
          <w:sz w:val="24"/>
          <w:szCs w:val="24"/>
        </w:rPr>
      </w:pPr>
    </w:p>
    <w:p w:rsidR="006113FF" w:rsidRPr="000E6186" w:rsidRDefault="00087A28" w:rsidP="000E6186">
      <w:pPr>
        <w:pStyle w:val="FootnoteText"/>
        <w:jc w:val="both"/>
        <w:rPr>
          <w:rFonts w:ascii="Times New Roman" w:hAnsi="Times New Roman"/>
          <w:sz w:val="24"/>
          <w:szCs w:val="24"/>
        </w:rPr>
      </w:pPr>
      <w:r w:rsidRPr="000E6186">
        <w:rPr>
          <w:rFonts w:ascii="Times New Roman" w:hAnsi="Times New Roman"/>
          <w:sz w:val="24"/>
          <w:szCs w:val="24"/>
        </w:rPr>
        <w:t>The Civil Procedure Rules 1998 state</w:t>
      </w:r>
      <w:r w:rsidR="000E6186" w:rsidRPr="000E6186">
        <w:rPr>
          <w:rFonts w:ascii="Times New Roman" w:hAnsi="Times New Roman"/>
          <w:sz w:val="24"/>
          <w:szCs w:val="24"/>
        </w:rPr>
        <w:t xml:space="preserve"> that</w:t>
      </w:r>
      <w:r w:rsidRPr="000E6186">
        <w:rPr>
          <w:rFonts w:ascii="Times New Roman" w:hAnsi="Times New Roman"/>
          <w:sz w:val="24"/>
          <w:szCs w:val="24"/>
        </w:rPr>
        <w:t xml:space="preserve"> though there is a general re</w:t>
      </w:r>
      <w:r w:rsidR="000E6186" w:rsidRPr="000E6186">
        <w:rPr>
          <w:rFonts w:ascii="Times New Roman" w:hAnsi="Times New Roman"/>
          <w:sz w:val="24"/>
          <w:szCs w:val="24"/>
        </w:rPr>
        <w:t>quirement that legal hearings are</w:t>
      </w:r>
      <w:r w:rsidRPr="000E6186">
        <w:rPr>
          <w:rFonts w:ascii="Times New Roman" w:hAnsi="Times New Roman"/>
          <w:sz w:val="24"/>
          <w:szCs w:val="24"/>
        </w:rPr>
        <w:t xml:space="preserve"> public, they can be made private, in whole or part, where publicity would defeat the object of the hearing, it involves confidential information or is necessary in the interests of justice.</w:t>
      </w:r>
      <w:r w:rsidRPr="000E6186">
        <w:rPr>
          <w:rStyle w:val="FootnoteReference"/>
          <w:rFonts w:ascii="Times New Roman" w:hAnsi="Times New Roman"/>
          <w:sz w:val="24"/>
          <w:szCs w:val="24"/>
        </w:rPr>
        <w:footnoteReference w:id="16"/>
      </w:r>
      <w:r w:rsidRPr="000E6186">
        <w:rPr>
          <w:rFonts w:ascii="Times New Roman" w:hAnsi="Times New Roman"/>
          <w:sz w:val="24"/>
          <w:szCs w:val="24"/>
        </w:rPr>
        <w:t xml:space="preserve">  Furthermore, the CPR authorise the courts to protect the identity of any party where necessary to protect their interests.</w:t>
      </w:r>
      <w:r w:rsidRPr="000E6186">
        <w:rPr>
          <w:rStyle w:val="FootnoteReference"/>
          <w:rFonts w:ascii="Times New Roman" w:hAnsi="Times New Roman"/>
          <w:sz w:val="24"/>
          <w:szCs w:val="24"/>
        </w:rPr>
        <w:footnoteReference w:id="17"/>
      </w:r>
      <w:r w:rsidRPr="000E6186">
        <w:rPr>
          <w:rFonts w:ascii="Times New Roman" w:hAnsi="Times New Roman"/>
          <w:sz w:val="24"/>
          <w:szCs w:val="24"/>
        </w:rPr>
        <w:t xml:space="preserve">  However, such orders derogate from the usual principles of open justice.</w:t>
      </w:r>
      <w:r w:rsidRPr="000E6186">
        <w:rPr>
          <w:rStyle w:val="FootnoteReference"/>
          <w:rFonts w:ascii="Times New Roman" w:hAnsi="Times New Roman"/>
          <w:sz w:val="24"/>
          <w:szCs w:val="24"/>
        </w:rPr>
        <w:footnoteReference w:id="18"/>
      </w:r>
      <w:r w:rsidR="000E6186" w:rsidRPr="000E6186">
        <w:rPr>
          <w:rFonts w:ascii="Times New Roman" w:hAnsi="Times New Roman"/>
          <w:sz w:val="24"/>
          <w:szCs w:val="24"/>
        </w:rPr>
        <w:t xml:space="preserve">  Any MPI </w:t>
      </w:r>
      <w:r w:rsidR="006113FF" w:rsidRPr="000E6186">
        <w:rPr>
          <w:rFonts w:ascii="Times New Roman" w:hAnsi="Times New Roman"/>
          <w:sz w:val="24"/>
          <w:szCs w:val="24"/>
        </w:rPr>
        <w:t>judgment given must provide a comprehensible account of the reasons for the decision (in line with principles of open justice), but must also be careful not to undermine the aims of any privacy-protecting injunction</w:t>
      </w:r>
      <w:r w:rsidR="000E6186" w:rsidRPr="000E6186">
        <w:rPr>
          <w:rFonts w:ascii="Times New Roman" w:hAnsi="Times New Roman"/>
          <w:sz w:val="24"/>
          <w:szCs w:val="24"/>
        </w:rPr>
        <w:t xml:space="preserve"> granted</w:t>
      </w:r>
      <w:r w:rsidR="006113FF" w:rsidRPr="000E6186">
        <w:rPr>
          <w:rFonts w:ascii="Times New Roman" w:hAnsi="Times New Roman"/>
          <w:sz w:val="24"/>
          <w:szCs w:val="24"/>
        </w:rPr>
        <w:t xml:space="preserve">.  </w:t>
      </w:r>
    </w:p>
    <w:p w:rsidR="006113FF" w:rsidRPr="004D2F4A" w:rsidRDefault="006113FF" w:rsidP="00087A28">
      <w:pPr>
        <w:pStyle w:val="FootnoteText"/>
        <w:jc w:val="both"/>
        <w:rPr>
          <w:rFonts w:ascii="Times New Roman" w:hAnsi="Times New Roman"/>
          <w:color w:val="FF0000"/>
        </w:rPr>
      </w:pPr>
    </w:p>
    <w:p w:rsidR="003B6561" w:rsidRPr="001F738B" w:rsidRDefault="00184A97" w:rsidP="005111CF">
      <w:pPr>
        <w:spacing w:after="0" w:line="240" w:lineRule="auto"/>
        <w:jc w:val="both"/>
        <w:rPr>
          <w:rFonts w:ascii="Times New Roman" w:hAnsi="Times New Roman"/>
          <w:sz w:val="24"/>
          <w:szCs w:val="24"/>
        </w:rPr>
      </w:pPr>
      <w:r w:rsidRPr="008B66B3">
        <w:rPr>
          <w:rFonts w:ascii="Times New Roman" w:hAnsi="Times New Roman"/>
          <w:sz w:val="24"/>
          <w:szCs w:val="24"/>
        </w:rPr>
        <w:t>A</w:t>
      </w:r>
      <w:r w:rsidR="001D42A4" w:rsidRPr="008B66B3">
        <w:rPr>
          <w:rFonts w:ascii="Times New Roman" w:hAnsi="Times New Roman"/>
          <w:sz w:val="24"/>
          <w:szCs w:val="24"/>
        </w:rPr>
        <w:t>s Part 1.2 demonstrates</w:t>
      </w:r>
      <w:r w:rsidR="001D42A4" w:rsidRPr="001F738B">
        <w:rPr>
          <w:rFonts w:ascii="Times New Roman" w:hAnsi="Times New Roman"/>
          <w:sz w:val="24"/>
          <w:szCs w:val="24"/>
        </w:rPr>
        <w:t>, t</w:t>
      </w:r>
      <w:r w:rsidR="004939C7" w:rsidRPr="001F738B">
        <w:rPr>
          <w:rFonts w:ascii="Times New Roman" w:hAnsi="Times New Roman"/>
          <w:sz w:val="24"/>
          <w:szCs w:val="24"/>
        </w:rPr>
        <w:t>he ability of such orders</w:t>
      </w:r>
      <w:r w:rsidR="00D42531" w:rsidRPr="001F738B">
        <w:rPr>
          <w:rFonts w:ascii="Times New Roman" w:hAnsi="Times New Roman"/>
          <w:sz w:val="24"/>
          <w:szCs w:val="24"/>
        </w:rPr>
        <w:t xml:space="preserve"> to protect info</w:t>
      </w:r>
      <w:r w:rsidR="004939C7" w:rsidRPr="001F738B">
        <w:rPr>
          <w:rFonts w:ascii="Times New Roman" w:hAnsi="Times New Roman"/>
          <w:sz w:val="24"/>
          <w:szCs w:val="24"/>
        </w:rPr>
        <w:t>rmation</w:t>
      </w:r>
      <w:r w:rsidR="00D42531" w:rsidRPr="001F738B">
        <w:rPr>
          <w:rFonts w:ascii="Times New Roman" w:hAnsi="Times New Roman"/>
          <w:sz w:val="24"/>
          <w:szCs w:val="24"/>
        </w:rPr>
        <w:t xml:space="preserve"> </w:t>
      </w:r>
      <w:r w:rsidR="009E16CF" w:rsidRPr="001F738B">
        <w:rPr>
          <w:rFonts w:ascii="Times New Roman" w:hAnsi="Times New Roman"/>
          <w:sz w:val="24"/>
          <w:szCs w:val="24"/>
        </w:rPr>
        <w:t>in an online era</w:t>
      </w:r>
      <w:r w:rsidR="008B66B3">
        <w:rPr>
          <w:rFonts w:ascii="Times New Roman" w:hAnsi="Times New Roman"/>
          <w:sz w:val="24"/>
          <w:szCs w:val="24"/>
        </w:rPr>
        <w:t xml:space="preserve"> has </w:t>
      </w:r>
      <w:r w:rsidR="00D42531" w:rsidRPr="001F738B">
        <w:rPr>
          <w:rFonts w:ascii="Times New Roman" w:hAnsi="Times New Roman"/>
          <w:sz w:val="24"/>
          <w:szCs w:val="24"/>
        </w:rPr>
        <w:t>been call</w:t>
      </w:r>
      <w:r w:rsidR="001F738B">
        <w:rPr>
          <w:rFonts w:ascii="Times New Roman" w:hAnsi="Times New Roman"/>
          <w:sz w:val="24"/>
          <w:szCs w:val="24"/>
        </w:rPr>
        <w:t xml:space="preserve">ed into question by certain </w:t>
      </w:r>
      <w:r w:rsidR="00D42531" w:rsidRPr="001F738B">
        <w:rPr>
          <w:rFonts w:ascii="Times New Roman" w:hAnsi="Times New Roman"/>
          <w:sz w:val="24"/>
          <w:szCs w:val="24"/>
        </w:rPr>
        <w:t>cases</w:t>
      </w:r>
      <w:r w:rsidR="001D42A4" w:rsidRPr="001F738B">
        <w:rPr>
          <w:rFonts w:ascii="Times New Roman" w:hAnsi="Times New Roman"/>
          <w:sz w:val="24"/>
          <w:szCs w:val="24"/>
        </w:rPr>
        <w:t>, and this is partly due to a phenomenon that has been colloquially termed the ‘Streisand effect.’</w:t>
      </w:r>
    </w:p>
    <w:p w:rsidR="003B6561" w:rsidRDefault="003B6561" w:rsidP="005111CF">
      <w:pPr>
        <w:spacing w:after="0" w:line="240" w:lineRule="auto"/>
        <w:jc w:val="both"/>
        <w:rPr>
          <w:rFonts w:ascii="Times New Roman" w:hAnsi="Times New Roman"/>
          <w:color w:val="FF0000"/>
          <w:sz w:val="24"/>
          <w:szCs w:val="24"/>
        </w:rPr>
      </w:pPr>
    </w:p>
    <w:p w:rsidR="00670BBE" w:rsidRPr="00C80905" w:rsidRDefault="00670BBE" w:rsidP="005111CF">
      <w:pPr>
        <w:spacing w:after="0" w:line="240" w:lineRule="auto"/>
        <w:jc w:val="both"/>
        <w:rPr>
          <w:rFonts w:ascii="Times New Roman" w:hAnsi="Times New Roman"/>
          <w:color w:val="FF0000"/>
          <w:sz w:val="24"/>
          <w:szCs w:val="24"/>
        </w:rPr>
      </w:pPr>
    </w:p>
    <w:p w:rsidR="003B6561" w:rsidRPr="00C8784B" w:rsidRDefault="00B61677" w:rsidP="005111CF">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 xml:space="preserve">[1.1] </w:t>
      </w:r>
      <w:r w:rsidR="00C80905" w:rsidRPr="00C8784B">
        <w:rPr>
          <w:rFonts w:ascii="Times New Roman" w:hAnsi="Times New Roman"/>
          <w:b/>
          <w:i/>
          <w:sz w:val="24"/>
          <w:szCs w:val="24"/>
          <w:u w:val="single"/>
        </w:rPr>
        <w:t>The ‘S</w:t>
      </w:r>
      <w:r w:rsidR="003B6561" w:rsidRPr="00C8784B">
        <w:rPr>
          <w:rFonts w:ascii="Times New Roman" w:hAnsi="Times New Roman"/>
          <w:b/>
          <w:i/>
          <w:sz w:val="24"/>
          <w:szCs w:val="24"/>
          <w:u w:val="single"/>
        </w:rPr>
        <w:t>treisand Effect</w:t>
      </w:r>
      <w:r w:rsidR="00C80905" w:rsidRPr="00C8784B">
        <w:rPr>
          <w:rFonts w:ascii="Times New Roman" w:hAnsi="Times New Roman"/>
          <w:b/>
          <w:i/>
          <w:sz w:val="24"/>
          <w:szCs w:val="24"/>
          <w:u w:val="single"/>
        </w:rPr>
        <w:t>’</w:t>
      </w:r>
    </w:p>
    <w:p w:rsidR="00EC4A9C" w:rsidRPr="002F5D6C" w:rsidRDefault="00EC4A9C" w:rsidP="005111CF">
      <w:pPr>
        <w:spacing w:after="0" w:line="240" w:lineRule="auto"/>
        <w:jc w:val="both"/>
        <w:rPr>
          <w:rFonts w:ascii="Times New Roman" w:hAnsi="Times New Roman"/>
          <w:sz w:val="24"/>
          <w:szCs w:val="24"/>
        </w:rPr>
      </w:pPr>
    </w:p>
    <w:p w:rsidR="00016ADD" w:rsidRPr="00A34FB2" w:rsidRDefault="00164810" w:rsidP="005111CF">
      <w:pPr>
        <w:spacing w:after="0" w:line="240" w:lineRule="auto"/>
        <w:jc w:val="both"/>
        <w:rPr>
          <w:rFonts w:ascii="Times New Roman" w:hAnsi="Times New Roman"/>
          <w:color w:val="FF0000"/>
          <w:sz w:val="24"/>
          <w:szCs w:val="24"/>
        </w:rPr>
      </w:pPr>
      <w:r>
        <w:rPr>
          <w:rFonts w:ascii="Times New Roman" w:hAnsi="Times New Roman"/>
          <w:sz w:val="24"/>
          <w:szCs w:val="24"/>
        </w:rPr>
        <w:t>This ‘effect’</w:t>
      </w:r>
      <w:r w:rsidR="00653C91" w:rsidRPr="002F5D6C">
        <w:rPr>
          <w:rFonts w:ascii="Times New Roman" w:hAnsi="Times New Roman"/>
          <w:sz w:val="24"/>
          <w:szCs w:val="24"/>
        </w:rPr>
        <w:t xml:space="preserve"> emerged from a dispute between </w:t>
      </w:r>
      <w:r>
        <w:rPr>
          <w:rFonts w:ascii="Times New Roman" w:hAnsi="Times New Roman"/>
          <w:sz w:val="24"/>
          <w:szCs w:val="24"/>
        </w:rPr>
        <w:t xml:space="preserve">Hollywood star </w:t>
      </w:r>
      <w:r w:rsidR="00653C91" w:rsidRPr="002F5D6C">
        <w:rPr>
          <w:rFonts w:ascii="Times New Roman" w:hAnsi="Times New Roman"/>
          <w:sz w:val="24"/>
          <w:szCs w:val="24"/>
        </w:rPr>
        <w:t xml:space="preserve">Barbara Streisand and </w:t>
      </w:r>
      <w:r w:rsidR="00530580" w:rsidRPr="002F5D6C">
        <w:rPr>
          <w:rFonts w:ascii="Times New Roman" w:hAnsi="Times New Roman"/>
          <w:sz w:val="24"/>
          <w:szCs w:val="24"/>
        </w:rPr>
        <w:t xml:space="preserve">Kenneth Adelman who runs </w:t>
      </w:r>
      <w:r w:rsidR="00653C91" w:rsidRPr="002F5D6C">
        <w:rPr>
          <w:rFonts w:ascii="Times New Roman" w:hAnsi="Times New Roman"/>
          <w:sz w:val="24"/>
          <w:szCs w:val="24"/>
        </w:rPr>
        <w:t>a small organisation called the California Coastal Records</w:t>
      </w:r>
      <w:r w:rsidR="00694A76" w:rsidRPr="002F5D6C">
        <w:rPr>
          <w:rFonts w:ascii="Times New Roman" w:hAnsi="Times New Roman"/>
          <w:sz w:val="24"/>
          <w:szCs w:val="24"/>
        </w:rPr>
        <w:t xml:space="preserve"> (CCR)</w:t>
      </w:r>
      <w:r w:rsidR="00653C91" w:rsidRPr="002F5D6C">
        <w:rPr>
          <w:rFonts w:ascii="Times New Roman" w:hAnsi="Times New Roman"/>
          <w:sz w:val="24"/>
          <w:szCs w:val="24"/>
        </w:rPr>
        <w:t xml:space="preserve"> Project.</w:t>
      </w:r>
      <w:r w:rsidR="00530580" w:rsidRPr="002F5D6C">
        <w:rPr>
          <w:rFonts w:ascii="Times New Roman" w:hAnsi="Times New Roman"/>
          <w:sz w:val="24"/>
          <w:szCs w:val="24"/>
        </w:rPr>
        <w:t xml:space="preserve">  The latter undertook a project to sequentially photograph </w:t>
      </w:r>
      <w:r w:rsidR="0073528B">
        <w:rPr>
          <w:rFonts w:ascii="Times New Roman" w:hAnsi="Times New Roman"/>
          <w:sz w:val="24"/>
          <w:szCs w:val="24"/>
        </w:rPr>
        <w:t>and document the full</w:t>
      </w:r>
      <w:r w:rsidR="00530580" w:rsidRPr="002F5D6C">
        <w:rPr>
          <w:rFonts w:ascii="Times New Roman" w:hAnsi="Times New Roman"/>
          <w:sz w:val="24"/>
          <w:szCs w:val="24"/>
        </w:rPr>
        <w:t xml:space="preserve"> stretch of California coastline.</w:t>
      </w:r>
      <w:r w:rsidR="00653C91" w:rsidRPr="002F5D6C">
        <w:rPr>
          <w:rFonts w:ascii="Times New Roman" w:hAnsi="Times New Roman"/>
          <w:sz w:val="24"/>
          <w:szCs w:val="24"/>
        </w:rPr>
        <w:t xml:space="preserve"> </w:t>
      </w:r>
      <w:r w:rsidR="00530580" w:rsidRPr="002F5D6C">
        <w:rPr>
          <w:rFonts w:ascii="Times New Roman" w:hAnsi="Times New Roman"/>
          <w:sz w:val="24"/>
          <w:szCs w:val="24"/>
        </w:rPr>
        <w:t xml:space="preserve"> Amongst the 12,000 photographs </w:t>
      </w:r>
      <w:r w:rsidR="00694A76" w:rsidRPr="002F5D6C">
        <w:rPr>
          <w:rFonts w:ascii="Times New Roman" w:hAnsi="Times New Roman"/>
          <w:sz w:val="24"/>
          <w:szCs w:val="24"/>
        </w:rPr>
        <w:t xml:space="preserve">on the CCR website </w:t>
      </w:r>
      <w:r w:rsidR="00530580" w:rsidRPr="002F5D6C">
        <w:rPr>
          <w:rFonts w:ascii="Times New Roman" w:hAnsi="Times New Roman"/>
          <w:sz w:val="24"/>
          <w:szCs w:val="24"/>
        </w:rPr>
        <w:t xml:space="preserve">were images of Streisand’s cliff-top Malibu </w:t>
      </w:r>
      <w:r w:rsidR="002D0FC8" w:rsidRPr="002F5D6C">
        <w:rPr>
          <w:rFonts w:ascii="Times New Roman" w:hAnsi="Times New Roman"/>
          <w:sz w:val="24"/>
          <w:szCs w:val="24"/>
        </w:rPr>
        <w:t>estate, which</w:t>
      </w:r>
      <w:r w:rsidR="00530580" w:rsidRPr="002F5D6C">
        <w:rPr>
          <w:rFonts w:ascii="Times New Roman" w:hAnsi="Times New Roman"/>
          <w:sz w:val="24"/>
          <w:szCs w:val="24"/>
        </w:rPr>
        <w:t xml:space="preserve"> the site labelled as such.</w:t>
      </w:r>
      <w:r w:rsidR="00694A76" w:rsidRPr="002F5D6C">
        <w:rPr>
          <w:rFonts w:ascii="Times New Roman" w:hAnsi="Times New Roman"/>
          <w:sz w:val="24"/>
          <w:szCs w:val="24"/>
        </w:rPr>
        <w:t xml:space="preserve">  Barbara Streisand brought an action alleging </w:t>
      </w:r>
      <w:r w:rsidR="00694A76" w:rsidRPr="00154A2E">
        <w:rPr>
          <w:rFonts w:ascii="Times New Roman" w:hAnsi="Times New Roman"/>
          <w:sz w:val="24"/>
          <w:szCs w:val="24"/>
        </w:rPr>
        <w:t>various privacy violations under</w:t>
      </w:r>
      <w:r w:rsidR="002C13BE" w:rsidRPr="00154A2E">
        <w:rPr>
          <w:rFonts w:ascii="Times New Roman" w:hAnsi="Times New Roman"/>
          <w:sz w:val="24"/>
          <w:szCs w:val="24"/>
        </w:rPr>
        <w:t xml:space="preserve"> Californian law,</w:t>
      </w:r>
      <w:r w:rsidR="00694A76" w:rsidRPr="00154A2E">
        <w:rPr>
          <w:rFonts w:ascii="Times New Roman" w:hAnsi="Times New Roman"/>
          <w:sz w:val="24"/>
          <w:szCs w:val="24"/>
        </w:rPr>
        <w:t xml:space="preserve"> seeking </w:t>
      </w:r>
      <w:r w:rsidR="00D10291" w:rsidRPr="00154A2E">
        <w:rPr>
          <w:rFonts w:ascii="Times New Roman" w:hAnsi="Times New Roman"/>
          <w:sz w:val="24"/>
          <w:szCs w:val="24"/>
        </w:rPr>
        <w:t xml:space="preserve">the somewhat audacious sum of </w:t>
      </w:r>
      <w:r w:rsidR="00694A76" w:rsidRPr="00154A2E">
        <w:rPr>
          <w:rFonts w:ascii="Times New Roman" w:hAnsi="Times New Roman"/>
          <w:sz w:val="24"/>
          <w:szCs w:val="24"/>
        </w:rPr>
        <w:t>$50 million damages and a permanent injunction.</w:t>
      </w:r>
      <w:r w:rsidR="00A1289B" w:rsidRPr="00154A2E">
        <w:rPr>
          <w:rFonts w:ascii="Times New Roman" w:hAnsi="Times New Roman"/>
          <w:sz w:val="24"/>
          <w:szCs w:val="24"/>
        </w:rPr>
        <w:t xml:space="preserve">  </w:t>
      </w:r>
      <w:r w:rsidR="002A14D5" w:rsidRPr="00154A2E">
        <w:rPr>
          <w:rFonts w:ascii="Times New Roman" w:hAnsi="Times New Roman"/>
          <w:sz w:val="24"/>
          <w:szCs w:val="24"/>
        </w:rPr>
        <w:t>Yet, as news</w:t>
      </w:r>
      <w:r w:rsidR="00A34FB2" w:rsidRPr="00154A2E">
        <w:rPr>
          <w:rFonts w:ascii="Times New Roman" w:hAnsi="Times New Roman"/>
          <w:sz w:val="24"/>
          <w:szCs w:val="24"/>
        </w:rPr>
        <w:t xml:space="preserve"> of the legal dispute spread, </w:t>
      </w:r>
      <w:r w:rsidR="00154A2E" w:rsidRPr="00154A2E">
        <w:rPr>
          <w:rFonts w:ascii="Times New Roman" w:hAnsi="Times New Roman"/>
          <w:sz w:val="24"/>
          <w:szCs w:val="24"/>
        </w:rPr>
        <w:t xml:space="preserve">there was </w:t>
      </w:r>
      <w:r w:rsidR="002A14D5" w:rsidRPr="00154A2E">
        <w:rPr>
          <w:rFonts w:ascii="Times New Roman" w:hAnsi="Times New Roman"/>
          <w:sz w:val="24"/>
          <w:szCs w:val="24"/>
        </w:rPr>
        <w:t xml:space="preserve">a substantial increase in the number of visitors to the CCR </w:t>
      </w:r>
      <w:r w:rsidR="00154A2E" w:rsidRPr="00154A2E">
        <w:rPr>
          <w:rFonts w:ascii="Times New Roman" w:hAnsi="Times New Roman"/>
          <w:sz w:val="24"/>
          <w:szCs w:val="24"/>
        </w:rPr>
        <w:t>web</w:t>
      </w:r>
      <w:r w:rsidR="002A14D5" w:rsidRPr="00154A2E">
        <w:rPr>
          <w:rFonts w:ascii="Times New Roman" w:hAnsi="Times New Roman"/>
          <w:sz w:val="24"/>
          <w:szCs w:val="24"/>
        </w:rPr>
        <w:t xml:space="preserve">site to access the </w:t>
      </w:r>
      <w:r w:rsidR="00154A2E" w:rsidRPr="00154A2E">
        <w:rPr>
          <w:rFonts w:ascii="Times New Roman" w:hAnsi="Times New Roman"/>
          <w:sz w:val="24"/>
          <w:szCs w:val="24"/>
        </w:rPr>
        <w:t xml:space="preserve">disputed </w:t>
      </w:r>
      <w:r w:rsidR="002A14D5" w:rsidRPr="00154A2E">
        <w:rPr>
          <w:rFonts w:ascii="Times New Roman" w:hAnsi="Times New Roman"/>
          <w:sz w:val="24"/>
          <w:szCs w:val="24"/>
        </w:rPr>
        <w:t>photos of Streisand’s home.</w:t>
      </w:r>
      <w:r w:rsidR="00A34FB2" w:rsidRPr="00154A2E">
        <w:rPr>
          <w:rFonts w:ascii="Times New Roman" w:hAnsi="Times New Roman"/>
          <w:sz w:val="24"/>
          <w:szCs w:val="24"/>
        </w:rPr>
        <w:t xml:space="preserve">  </w:t>
      </w:r>
      <w:r w:rsidR="00016ADD" w:rsidRPr="00A34FB2">
        <w:rPr>
          <w:rFonts w:ascii="Times New Roman" w:hAnsi="Times New Roman"/>
          <w:sz w:val="24"/>
          <w:szCs w:val="24"/>
        </w:rPr>
        <w:t>Goodman J rejected Streisand’</w:t>
      </w:r>
      <w:r w:rsidR="00A34FB2" w:rsidRPr="00A34FB2">
        <w:rPr>
          <w:rFonts w:ascii="Times New Roman" w:hAnsi="Times New Roman"/>
          <w:sz w:val="24"/>
          <w:szCs w:val="24"/>
        </w:rPr>
        <w:t xml:space="preserve">s privacy arguments, claiming ‘Any intrusion on these facts is de </w:t>
      </w:r>
      <w:proofErr w:type="spellStart"/>
      <w:r w:rsidR="00A34FB2" w:rsidRPr="00A34FB2">
        <w:rPr>
          <w:rFonts w:ascii="Times New Roman" w:hAnsi="Times New Roman"/>
          <w:sz w:val="24"/>
          <w:szCs w:val="24"/>
        </w:rPr>
        <w:t>minimus</w:t>
      </w:r>
      <w:proofErr w:type="spellEnd"/>
      <w:r w:rsidR="00A34FB2" w:rsidRPr="00A34FB2">
        <w:rPr>
          <w:rFonts w:ascii="Times New Roman" w:hAnsi="Times New Roman"/>
          <w:sz w:val="24"/>
          <w:szCs w:val="24"/>
        </w:rPr>
        <w:t>’</w:t>
      </w:r>
      <w:r w:rsidR="00A34FB2">
        <w:rPr>
          <w:rFonts w:ascii="Times New Roman" w:hAnsi="Times New Roman"/>
          <w:sz w:val="24"/>
          <w:szCs w:val="24"/>
        </w:rPr>
        <w:t>.</w:t>
      </w:r>
      <w:r w:rsidR="00A34FB2">
        <w:rPr>
          <w:rStyle w:val="FootnoteReference"/>
          <w:rFonts w:ascii="Times New Roman" w:hAnsi="Times New Roman"/>
          <w:sz w:val="24"/>
          <w:szCs w:val="24"/>
        </w:rPr>
        <w:footnoteReference w:id="19"/>
      </w:r>
    </w:p>
    <w:p w:rsidR="002A14D5" w:rsidRDefault="002A14D5" w:rsidP="005111CF">
      <w:pPr>
        <w:spacing w:after="0" w:line="240" w:lineRule="auto"/>
        <w:jc w:val="both"/>
        <w:rPr>
          <w:rFonts w:ascii="Times New Roman" w:hAnsi="Times New Roman"/>
          <w:color w:val="FF0000"/>
          <w:sz w:val="24"/>
          <w:szCs w:val="24"/>
        </w:rPr>
      </w:pPr>
    </w:p>
    <w:p w:rsidR="00C80905" w:rsidRPr="005B0668" w:rsidRDefault="00C80905" w:rsidP="005111CF">
      <w:pPr>
        <w:spacing w:after="0" w:line="240" w:lineRule="auto"/>
        <w:jc w:val="both"/>
        <w:rPr>
          <w:rFonts w:ascii="Times New Roman" w:hAnsi="Times New Roman"/>
          <w:sz w:val="24"/>
          <w:szCs w:val="24"/>
        </w:rPr>
      </w:pPr>
      <w:r w:rsidRPr="005B0668">
        <w:rPr>
          <w:rFonts w:ascii="Times New Roman" w:hAnsi="Times New Roman"/>
          <w:sz w:val="24"/>
          <w:szCs w:val="24"/>
        </w:rPr>
        <w:t>The ‘Streisand effect’</w:t>
      </w:r>
      <w:r w:rsidR="005B0668" w:rsidRPr="005B0668">
        <w:rPr>
          <w:rFonts w:ascii="Times New Roman" w:hAnsi="Times New Roman"/>
          <w:sz w:val="24"/>
          <w:szCs w:val="24"/>
        </w:rPr>
        <w:t xml:space="preserve"> is explained in</w:t>
      </w:r>
      <w:r w:rsidRPr="005B0668">
        <w:rPr>
          <w:rFonts w:ascii="Times New Roman" w:hAnsi="Times New Roman"/>
          <w:sz w:val="24"/>
          <w:szCs w:val="24"/>
        </w:rPr>
        <w:t xml:space="preserve"> </w:t>
      </w:r>
      <w:r w:rsidR="0094435B" w:rsidRPr="005B0668">
        <w:rPr>
          <w:rFonts w:ascii="Times New Roman" w:hAnsi="Times New Roman"/>
          <w:sz w:val="24"/>
          <w:szCs w:val="24"/>
        </w:rPr>
        <w:t>an article in The Economist,</w:t>
      </w:r>
      <w:r w:rsidR="0094435B" w:rsidRPr="005B0668">
        <w:rPr>
          <w:rStyle w:val="FootnoteReference"/>
          <w:rFonts w:ascii="Times New Roman" w:hAnsi="Times New Roman"/>
          <w:sz w:val="24"/>
          <w:szCs w:val="24"/>
        </w:rPr>
        <w:footnoteReference w:id="20"/>
      </w:r>
      <w:r w:rsidR="005B0668" w:rsidRPr="005B0668">
        <w:rPr>
          <w:rFonts w:ascii="Times New Roman" w:hAnsi="Times New Roman"/>
          <w:sz w:val="24"/>
          <w:szCs w:val="24"/>
        </w:rPr>
        <w:t xml:space="preserve"> and</w:t>
      </w:r>
      <w:r w:rsidR="0094435B" w:rsidRPr="005B0668">
        <w:rPr>
          <w:rFonts w:ascii="Times New Roman" w:hAnsi="Times New Roman"/>
          <w:sz w:val="24"/>
          <w:szCs w:val="24"/>
        </w:rPr>
        <w:t xml:space="preserve"> has </w:t>
      </w:r>
      <w:r w:rsidRPr="005B0668">
        <w:rPr>
          <w:rFonts w:ascii="Times New Roman" w:hAnsi="Times New Roman"/>
          <w:sz w:val="24"/>
          <w:szCs w:val="24"/>
        </w:rPr>
        <w:t xml:space="preserve">been </w:t>
      </w:r>
      <w:r w:rsidR="0094435B" w:rsidRPr="005B0668">
        <w:rPr>
          <w:rFonts w:ascii="Times New Roman" w:hAnsi="Times New Roman"/>
          <w:sz w:val="24"/>
          <w:szCs w:val="24"/>
        </w:rPr>
        <w:t xml:space="preserve">subsequently been </w:t>
      </w:r>
      <w:r w:rsidR="00F5597C">
        <w:rPr>
          <w:rFonts w:ascii="Times New Roman" w:hAnsi="Times New Roman"/>
          <w:sz w:val="24"/>
          <w:szCs w:val="24"/>
        </w:rPr>
        <w:t>afforded passing attention</w:t>
      </w:r>
      <w:r w:rsidR="0094435B" w:rsidRPr="005B0668">
        <w:rPr>
          <w:rFonts w:ascii="Times New Roman" w:hAnsi="Times New Roman"/>
          <w:sz w:val="24"/>
          <w:szCs w:val="24"/>
        </w:rPr>
        <w:t xml:space="preserve"> in certain US</w:t>
      </w:r>
      <w:r w:rsidR="000F18C5">
        <w:rPr>
          <w:rFonts w:ascii="Times New Roman" w:hAnsi="Times New Roman"/>
          <w:sz w:val="24"/>
          <w:szCs w:val="24"/>
        </w:rPr>
        <w:t xml:space="preserve"> law</w:t>
      </w:r>
      <w:r w:rsidR="0094435B" w:rsidRPr="005B0668">
        <w:rPr>
          <w:rFonts w:ascii="Times New Roman" w:hAnsi="Times New Roman"/>
          <w:sz w:val="24"/>
          <w:szCs w:val="24"/>
        </w:rPr>
        <w:t xml:space="preserve"> journals.</w:t>
      </w:r>
      <w:r w:rsidR="00A416F0" w:rsidRPr="005B0668">
        <w:rPr>
          <w:rStyle w:val="FootnoteReference"/>
          <w:rFonts w:ascii="Times New Roman" w:hAnsi="Times New Roman"/>
          <w:sz w:val="24"/>
          <w:szCs w:val="24"/>
        </w:rPr>
        <w:footnoteReference w:id="21"/>
      </w:r>
      <w:r w:rsidR="00A416F0" w:rsidRPr="005B0668">
        <w:rPr>
          <w:rFonts w:ascii="Times New Roman" w:hAnsi="Times New Roman"/>
          <w:sz w:val="24"/>
          <w:szCs w:val="24"/>
        </w:rPr>
        <w:t xml:space="preserve">  The article defines the ‘Streisand effect’ thus:</w:t>
      </w:r>
    </w:p>
    <w:p w:rsidR="00A416F0" w:rsidRPr="005B0668" w:rsidRDefault="00A416F0" w:rsidP="005111CF">
      <w:pPr>
        <w:spacing w:after="0" w:line="240" w:lineRule="auto"/>
        <w:jc w:val="both"/>
        <w:rPr>
          <w:rFonts w:ascii="Times New Roman" w:hAnsi="Times New Roman"/>
          <w:sz w:val="24"/>
          <w:szCs w:val="24"/>
        </w:rPr>
      </w:pPr>
    </w:p>
    <w:p w:rsidR="00A416F0" w:rsidRPr="005B0668" w:rsidRDefault="00A416F0" w:rsidP="00AB53B2">
      <w:pPr>
        <w:spacing w:after="0" w:line="240" w:lineRule="auto"/>
        <w:ind w:left="851" w:right="851"/>
        <w:jc w:val="both"/>
        <w:rPr>
          <w:rFonts w:ascii="Times New Roman" w:hAnsi="Times New Roman"/>
          <w:sz w:val="24"/>
          <w:szCs w:val="24"/>
        </w:rPr>
      </w:pPr>
      <w:r w:rsidRPr="005B0668">
        <w:rPr>
          <w:rFonts w:ascii="Times New Roman" w:hAnsi="Times New Roman"/>
          <w:sz w:val="24"/>
          <w:szCs w:val="24"/>
        </w:rPr>
        <w:t>‘</w:t>
      </w:r>
      <w:r w:rsidRPr="005B0668">
        <w:rPr>
          <w:rFonts w:ascii="Times New Roman" w:hAnsi="Times New Roman"/>
          <w:i/>
          <w:sz w:val="24"/>
          <w:szCs w:val="24"/>
        </w:rPr>
        <w:t>[It] describes how efforts to suppress a juicy piece of online information can backfire and end up making things worse for the would-be censor.</w:t>
      </w:r>
      <w:r w:rsidRPr="005B0668">
        <w:rPr>
          <w:rFonts w:ascii="Times New Roman" w:hAnsi="Times New Roman"/>
          <w:sz w:val="24"/>
          <w:szCs w:val="24"/>
        </w:rPr>
        <w:t>’</w:t>
      </w:r>
      <w:r w:rsidRPr="005B0668">
        <w:rPr>
          <w:rStyle w:val="FootnoteReference"/>
          <w:rFonts w:ascii="Times New Roman" w:hAnsi="Times New Roman"/>
          <w:sz w:val="24"/>
          <w:szCs w:val="24"/>
        </w:rPr>
        <w:footnoteReference w:id="22"/>
      </w:r>
    </w:p>
    <w:p w:rsidR="00995656" w:rsidRDefault="00995656" w:rsidP="005111CF">
      <w:pPr>
        <w:spacing w:after="0" w:line="240" w:lineRule="auto"/>
        <w:jc w:val="both"/>
        <w:rPr>
          <w:rFonts w:ascii="Times New Roman" w:hAnsi="Times New Roman"/>
          <w:color w:val="FF0000"/>
          <w:sz w:val="24"/>
          <w:szCs w:val="24"/>
        </w:rPr>
      </w:pPr>
    </w:p>
    <w:p w:rsidR="005B0668" w:rsidRDefault="005B0668" w:rsidP="005111CF">
      <w:pPr>
        <w:spacing w:after="0" w:line="240" w:lineRule="auto"/>
        <w:jc w:val="both"/>
        <w:rPr>
          <w:rFonts w:ascii="Times New Roman" w:hAnsi="Times New Roman"/>
          <w:sz w:val="24"/>
          <w:szCs w:val="24"/>
        </w:rPr>
      </w:pPr>
      <w:r>
        <w:rPr>
          <w:rFonts w:ascii="Times New Roman" w:hAnsi="Times New Roman"/>
          <w:sz w:val="24"/>
          <w:szCs w:val="24"/>
        </w:rPr>
        <w:t>For this reason t</w:t>
      </w:r>
      <w:r w:rsidR="00995656" w:rsidRPr="00C80905">
        <w:rPr>
          <w:rFonts w:ascii="Times New Roman" w:hAnsi="Times New Roman"/>
          <w:sz w:val="24"/>
          <w:szCs w:val="24"/>
        </w:rPr>
        <w:t>he ‘Streisand effect’</w:t>
      </w:r>
      <w:r>
        <w:rPr>
          <w:rFonts w:ascii="Times New Roman" w:hAnsi="Times New Roman"/>
          <w:sz w:val="24"/>
          <w:szCs w:val="24"/>
        </w:rPr>
        <w:t xml:space="preserve"> </w:t>
      </w:r>
      <w:r w:rsidR="000F18C5">
        <w:rPr>
          <w:rFonts w:ascii="Times New Roman" w:hAnsi="Times New Roman"/>
          <w:sz w:val="24"/>
          <w:szCs w:val="24"/>
        </w:rPr>
        <w:t xml:space="preserve">is </w:t>
      </w:r>
      <w:r w:rsidR="0098331F">
        <w:rPr>
          <w:rFonts w:ascii="Times New Roman" w:hAnsi="Times New Roman"/>
          <w:sz w:val="24"/>
          <w:szCs w:val="24"/>
        </w:rPr>
        <w:t>a textbook</w:t>
      </w:r>
      <w:r w:rsidR="00F5597C">
        <w:rPr>
          <w:rFonts w:ascii="Times New Roman" w:hAnsi="Times New Roman"/>
          <w:sz w:val="24"/>
          <w:szCs w:val="24"/>
        </w:rPr>
        <w:t xml:space="preserve"> example of perverse incentive; attempts to contain or suppress information lead</w:t>
      </w:r>
      <w:r w:rsidR="004A2628">
        <w:rPr>
          <w:rFonts w:ascii="Times New Roman" w:hAnsi="Times New Roman"/>
          <w:sz w:val="24"/>
          <w:szCs w:val="24"/>
        </w:rPr>
        <w:t xml:space="preserve"> to </w:t>
      </w:r>
      <w:r w:rsidR="00F5597C">
        <w:rPr>
          <w:rFonts w:ascii="Times New Roman" w:hAnsi="Times New Roman"/>
          <w:sz w:val="24"/>
          <w:szCs w:val="24"/>
        </w:rPr>
        <w:t xml:space="preserve">its </w:t>
      </w:r>
      <w:r w:rsidR="004A2628">
        <w:rPr>
          <w:rFonts w:ascii="Times New Roman" w:hAnsi="Times New Roman"/>
          <w:sz w:val="24"/>
          <w:szCs w:val="24"/>
        </w:rPr>
        <w:t>wider dissemination.</w:t>
      </w:r>
      <w:r w:rsidR="000F18C5">
        <w:rPr>
          <w:rFonts w:ascii="Times New Roman" w:hAnsi="Times New Roman"/>
          <w:sz w:val="24"/>
          <w:szCs w:val="24"/>
        </w:rPr>
        <w:t xml:space="preserve">  Yet this dynamic</w:t>
      </w:r>
      <w:r w:rsidR="00286687">
        <w:rPr>
          <w:rFonts w:ascii="Times New Roman" w:hAnsi="Times New Roman"/>
          <w:sz w:val="24"/>
          <w:szCs w:val="24"/>
        </w:rPr>
        <w:t xml:space="preserve"> </w:t>
      </w:r>
      <w:r w:rsidRPr="00533779">
        <w:rPr>
          <w:rFonts w:ascii="Times New Roman" w:hAnsi="Times New Roman"/>
          <w:sz w:val="24"/>
          <w:szCs w:val="24"/>
        </w:rPr>
        <w:t>is</w:t>
      </w:r>
      <w:r w:rsidR="000F18C5">
        <w:rPr>
          <w:rFonts w:ascii="Times New Roman" w:hAnsi="Times New Roman"/>
          <w:sz w:val="24"/>
          <w:szCs w:val="24"/>
        </w:rPr>
        <w:t xml:space="preserve"> by no means a</w:t>
      </w:r>
      <w:r w:rsidRPr="00533779">
        <w:rPr>
          <w:rFonts w:ascii="Times New Roman" w:hAnsi="Times New Roman"/>
          <w:sz w:val="24"/>
          <w:szCs w:val="24"/>
        </w:rPr>
        <w:t xml:space="preserve"> new phenomenon</w:t>
      </w:r>
      <w:r w:rsidR="000F18C5">
        <w:rPr>
          <w:rFonts w:ascii="Times New Roman" w:hAnsi="Times New Roman"/>
          <w:sz w:val="24"/>
          <w:szCs w:val="24"/>
        </w:rPr>
        <w:t xml:space="preserve">, as the </w:t>
      </w:r>
      <w:proofErr w:type="spellStart"/>
      <w:r w:rsidRPr="000F18C5">
        <w:rPr>
          <w:rFonts w:ascii="Times New Roman" w:hAnsi="Times New Roman"/>
          <w:i/>
          <w:sz w:val="24"/>
          <w:szCs w:val="24"/>
        </w:rPr>
        <w:t>Spycatcher</w:t>
      </w:r>
      <w:proofErr w:type="spellEnd"/>
      <w:r w:rsidRPr="00533779">
        <w:rPr>
          <w:rFonts w:ascii="Times New Roman" w:hAnsi="Times New Roman"/>
          <w:sz w:val="24"/>
          <w:szCs w:val="24"/>
        </w:rPr>
        <w:t xml:space="preserve"> affair</w:t>
      </w:r>
      <w:r w:rsidR="000F18C5">
        <w:rPr>
          <w:rFonts w:ascii="Times New Roman" w:hAnsi="Times New Roman"/>
          <w:sz w:val="24"/>
          <w:szCs w:val="24"/>
        </w:rPr>
        <w:t xml:space="preserve"> demonstrates</w:t>
      </w:r>
      <w:r w:rsidRPr="00533779">
        <w:rPr>
          <w:rFonts w:ascii="Times New Roman" w:hAnsi="Times New Roman"/>
          <w:sz w:val="24"/>
          <w:szCs w:val="24"/>
        </w:rPr>
        <w:t>.</w:t>
      </w:r>
    </w:p>
    <w:p w:rsidR="00533779" w:rsidRDefault="00533779" w:rsidP="005111CF">
      <w:pPr>
        <w:spacing w:after="0" w:line="240" w:lineRule="auto"/>
        <w:jc w:val="both"/>
        <w:rPr>
          <w:rFonts w:ascii="Times New Roman" w:hAnsi="Times New Roman"/>
          <w:sz w:val="24"/>
          <w:szCs w:val="24"/>
        </w:rPr>
      </w:pPr>
    </w:p>
    <w:p w:rsidR="00EC173E" w:rsidRPr="00286687" w:rsidRDefault="00286687" w:rsidP="005111CF">
      <w:pPr>
        <w:spacing w:after="0" w:line="240" w:lineRule="auto"/>
        <w:jc w:val="both"/>
        <w:rPr>
          <w:rFonts w:ascii="Times New Roman" w:hAnsi="Times New Roman"/>
          <w:i/>
          <w:sz w:val="24"/>
          <w:szCs w:val="24"/>
          <w:u w:val="single"/>
        </w:rPr>
      </w:pPr>
      <w:proofErr w:type="spellStart"/>
      <w:r>
        <w:rPr>
          <w:rFonts w:ascii="Times New Roman" w:hAnsi="Times New Roman"/>
          <w:i/>
          <w:sz w:val="24"/>
          <w:szCs w:val="24"/>
          <w:u w:val="single"/>
        </w:rPr>
        <w:t>Spycatcher</w:t>
      </w:r>
      <w:proofErr w:type="spellEnd"/>
      <w:r w:rsidR="00EC173E">
        <w:rPr>
          <w:rFonts w:ascii="Times New Roman" w:hAnsi="Times New Roman"/>
          <w:i/>
          <w:sz w:val="24"/>
          <w:szCs w:val="24"/>
          <w:u w:val="single"/>
        </w:rPr>
        <w:t>; Perverse Incentive in the Analogue Era</w:t>
      </w:r>
    </w:p>
    <w:p w:rsidR="00312A25" w:rsidRPr="00312A25" w:rsidRDefault="00312A25" w:rsidP="00312A25">
      <w:pPr>
        <w:spacing w:after="0" w:line="240" w:lineRule="auto"/>
        <w:jc w:val="both"/>
        <w:rPr>
          <w:rFonts w:ascii="Times New Roman" w:eastAsia="Times New Roman" w:hAnsi="Times New Roman"/>
          <w:sz w:val="24"/>
          <w:szCs w:val="24"/>
        </w:rPr>
      </w:pPr>
      <w:r w:rsidRPr="00312A25">
        <w:rPr>
          <w:rFonts w:ascii="Times New Roman" w:eastAsia="Times New Roman" w:hAnsi="Times New Roman"/>
          <w:sz w:val="24"/>
          <w:szCs w:val="24"/>
        </w:rPr>
        <w:t>The</w:t>
      </w:r>
      <w:r w:rsidR="00D234A8">
        <w:rPr>
          <w:rFonts w:ascii="Times New Roman" w:eastAsia="Times New Roman" w:hAnsi="Times New Roman"/>
          <w:sz w:val="24"/>
          <w:szCs w:val="24"/>
        </w:rPr>
        <w:t xml:space="preserve"> 1980’s</w:t>
      </w:r>
      <w:r w:rsidRPr="00312A25">
        <w:rPr>
          <w:rFonts w:ascii="Times New Roman" w:eastAsia="Times New Roman" w:hAnsi="Times New Roman"/>
          <w:sz w:val="24"/>
          <w:szCs w:val="24"/>
        </w:rPr>
        <w:t xml:space="preserve"> </w:t>
      </w:r>
      <w:proofErr w:type="spellStart"/>
      <w:r w:rsidRPr="00312A25">
        <w:rPr>
          <w:rFonts w:ascii="Times New Roman" w:eastAsia="Times New Roman" w:hAnsi="Times New Roman"/>
          <w:i/>
          <w:sz w:val="24"/>
          <w:szCs w:val="24"/>
        </w:rPr>
        <w:t>Spycatcher</w:t>
      </w:r>
      <w:proofErr w:type="spellEnd"/>
      <w:r w:rsidR="00112BA2">
        <w:rPr>
          <w:rFonts w:ascii="Times New Roman" w:eastAsia="Times New Roman" w:hAnsi="Times New Roman"/>
          <w:sz w:val="24"/>
          <w:szCs w:val="24"/>
        </w:rPr>
        <w:t xml:space="preserve"> litigation</w:t>
      </w:r>
      <w:r w:rsidRPr="00312A25">
        <w:rPr>
          <w:rFonts w:ascii="Times New Roman" w:eastAsia="Times New Roman" w:hAnsi="Times New Roman"/>
          <w:sz w:val="24"/>
          <w:szCs w:val="24"/>
        </w:rPr>
        <w:t xml:space="preserve"> </w:t>
      </w:r>
      <w:r w:rsidR="00112BA2">
        <w:rPr>
          <w:rFonts w:ascii="Times New Roman" w:eastAsia="Times New Roman" w:hAnsi="Times New Roman"/>
          <w:sz w:val="24"/>
          <w:szCs w:val="24"/>
        </w:rPr>
        <w:t xml:space="preserve">concerned </w:t>
      </w:r>
      <w:r w:rsidRPr="00312A25">
        <w:rPr>
          <w:rFonts w:ascii="Times New Roman" w:eastAsia="Times New Roman" w:hAnsi="Times New Roman"/>
          <w:sz w:val="24"/>
          <w:szCs w:val="24"/>
        </w:rPr>
        <w:t>the controversial memoir of retired MI5 officer Peter Wright.  The book included allegations that MI5 had ‘bugged and burgled’ their way across London, spied on P</w:t>
      </w:r>
      <w:r w:rsidR="0080779C">
        <w:rPr>
          <w:rFonts w:ascii="Times New Roman" w:eastAsia="Times New Roman" w:hAnsi="Times New Roman"/>
          <w:sz w:val="24"/>
          <w:szCs w:val="24"/>
        </w:rPr>
        <w:t xml:space="preserve">rime </w:t>
      </w:r>
      <w:r w:rsidRPr="00312A25">
        <w:rPr>
          <w:rFonts w:ascii="Times New Roman" w:eastAsia="Times New Roman" w:hAnsi="Times New Roman"/>
          <w:sz w:val="24"/>
          <w:szCs w:val="24"/>
        </w:rPr>
        <w:t>M</w:t>
      </w:r>
      <w:r w:rsidR="0080779C">
        <w:rPr>
          <w:rFonts w:ascii="Times New Roman" w:eastAsia="Times New Roman" w:hAnsi="Times New Roman"/>
          <w:sz w:val="24"/>
          <w:szCs w:val="24"/>
        </w:rPr>
        <w:t>inister</w:t>
      </w:r>
      <w:r w:rsidRPr="00312A25">
        <w:rPr>
          <w:rFonts w:ascii="Times New Roman" w:eastAsia="Times New Roman" w:hAnsi="Times New Roman"/>
          <w:sz w:val="24"/>
          <w:szCs w:val="24"/>
        </w:rPr>
        <w:t xml:space="preserve"> Harold Wilson and </w:t>
      </w:r>
      <w:r w:rsidR="0080779C">
        <w:rPr>
          <w:rFonts w:ascii="Times New Roman" w:eastAsia="Times New Roman" w:hAnsi="Times New Roman"/>
          <w:sz w:val="24"/>
          <w:szCs w:val="24"/>
        </w:rPr>
        <w:t>it recounted</w:t>
      </w:r>
      <w:r w:rsidRPr="00312A25">
        <w:rPr>
          <w:rFonts w:ascii="Times New Roman" w:eastAsia="Times New Roman" w:hAnsi="Times New Roman"/>
          <w:sz w:val="24"/>
          <w:szCs w:val="24"/>
        </w:rPr>
        <w:t xml:space="preserve"> other forms of intrigue and espionage such as assassination</w:t>
      </w:r>
      <w:r>
        <w:rPr>
          <w:rFonts w:ascii="Times New Roman" w:eastAsia="Times New Roman" w:hAnsi="Times New Roman"/>
          <w:sz w:val="24"/>
          <w:szCs w:val="24"/>
        </w:rPr>
        <w:t xml:space="preserve"> </w:t>
      </w:r>
      <w:r w:rsidRPr="00312A25">
        <w:rPr>
          <w:rFonts w:ascii="Times New Roman" w:eastAsia="Times New Roman" w:hAnsi="Times New Roman"/>
          <w:sz w:val="24"/>
          <w:szCs w:val="24"/>
        </w:rPr>
        <w:t>attempts.  The book could not be published in the UK due to Official Secrets legislation and</w:t>
      </w:r>
      <w:r w:rsidR="0080779C">
        <w:rPr>
          <w:rFonts w:ascii="Times New Roman" w:eastAsia="Times New Roman" w:hAnsi="Times New Roman"/>
          <w:sz w:val="24"/>
          <w:szCs w:val="24"/>
        </w:rPr>
        <w:t xml:space="preserve"> the terms of</w:t>
      </w:r>
      <w:r w:rsidRPr="00312A25">
        <w:rPr>
          <w:rFonts w:ascii="Times New Roman" w:eastAsia="Times New Roman" w:hAnsi="Times New Roman"/>
          <w:sz w:val="24"/>
          <w:szCs w:val="24"/>
        </w:rPr>
        <w:t xml:space="preserve"> Wright’s </w:t>
      </w:r>
      <w:r w:rsidR="0080779C">
        <w:rPr>
          <w:rFonts w:ascii="Times New Roman" w:eastAsia="Times New Roman" w:hAnsi="Times New Roman"/>
          <w:sz w:val="24"/>
          <w:szCs w:val="24"/>
        </w:rPr>
        <w:t>employment contract</w:t>
      </w:r>
      <w:r w:rsidRPr="00312A25">
        <w:rPr>
          <w:rFonts w:ascii="Times New Roman" w:eastAsia="Times New Roman" w:hAnsi="Times New Roman"/>
          <w:sz w:val="24"/>
          <w:szCs w:val="24"/>
        </w:rPr>
        <w:t xml:space="preserve">.  But he was based in Tasmania and sought to publish in Australia.  </w:t>
      </w:r>
    </w:p>
    <w:p w:rsidR="00312A25" w:rsidRPr="001F738B" w:rsidRDefault="00312A25" w:rsidP="00312A25">
      <w:pPr>
        <w:spacing w:after="0" w:line="240" w:lineRule="auto"/>
        <w:jc w:val="both"/>
        <w:rPr>
          <w:rFonts w:ascii="Times New Roman" w:eastAsia="Times New Roman" w:hAnsi="Times New Roman"/>
          <w:sz w:val="24"/>
          <w:szCs w:val="24"/>
        </w:rPr>
      </w:pPr>
    </w:p>
    <w:p w:rsidR="002B303E" w:rsidRPr="001F738B" w:rsidRDefault="00312A25" w:rsidP="00312A25">
      <w:pPr>
        <w:spacing w:after="0" w:line="240" w:lineRule="auto"/>
        <w:jc w:val="both"/>
        <w:rPr>
          <w:rFonts w:ascii="Times New Roman" w:eastAsia="Times New Roman" w:hAnsi="Times New Roman"/>
          <w:sz w:val="24"/>
          <w:szCs w:val="24"/>
        </w:rPr>
      </w:pPr>
      <w:r w:rsidRPr="001F738B">
        <w:rPr>
          <w:rFonts w:ascii="Times New Roman" w:eastAsia="Times New Roman" w:hAnsi="Times New Roman"/>
          <w:sz w:val="24"/>
          <w:szCs w:val="24"/>
        </w:rPr>
        <w:t>In September 1985 the U</w:t>
      </w:r>
      <w:r w:rsidR="007F1D40" w:rsidRPr="001F738B">
        <w:rPr>
          <w:rFonts w:ascii="Times New Roman" w:eastAsia="Times New Roman" w:hAnsi="Times New Roman"/>
          <w:sz w:val="24"/>
          <w:szCs w:val="24"/>
        </w:rPr>
        <w:t>K government</w:t>
      </w:r>
      <w:r w:rsidRPr="001F738B">
        <w:rPr>
          <w:rFonts w:ascii="Times New Roman" w:eastAsia="Times New Roman" w:hAnsi="Times New Roman"/>
          <w:sz w:val="24"/>
          <w:szCs w:val="24"/>
        </w:rPr>
        <w:t xml:space="preserve"> </w:t>
      </w:r>
      <w:r w:rsidR="00CE28A0" w:rsidRPr="001F738B">
        <w:rPr>
          <w:rFonts w:ascii="Times New Roman" w:eastAsia="Times New Roman" w:hAnsi="Times New Roman"/>
          <w:sz w:val="24"/>
          <w:szCs w:val="24"/>
        </w:rPr>
        <w:t xml:space="preserve">litigated in </w:t>
      </w:r>
      <w:r w:rsidRPr="001F738B">
        <w:rPr>
          <w:rFonts w:ascii="Times New Roman" w:eastAsia="Times New Roman" w:hAnsi="Times New Roman"/>
          <w:sz w:val="24"/>
          <w:szCs w:val="24"/>
        </w:rPr>
        <w:t>the Australian courts for an injunction to prevent publicatio</w:t>
      </w:r>
      <w:r w:rsidR="00C661C5" w:rsidRPr="001F738B">
        <w:rPr>
          <w:rFonts w:ascii="Times New Roman" w:eastAsia="Times New Roman" w:hAnsi="Times New Roman"/>
          <w:sz w:val="24"/>
          <w:szCs w:val="24"/>
        </w:rPr>
        <w:t>n of the bo</w:t>
      </w:r>
      <w:r w:rsidR="00DA70B1" w:rsidRPr="001F738B">
        <w:rPr>
          <w:rFonts w:ascii="Times New Roman" w:eastAsia="Times New Roman" w:hAnsi="Times New Roman"/>
          <w:sz w:val="24"/>
          <w:szCs w:val="24"/>
        </w:rPr>
        <w:t>ok.  This was initially obtained, though ultimately unsuccessful,</w:t>
      </w:r>
      <w:r w:rsidRPr="001F738B">
        <w:rPr>
          <w:rFonts w:ascii="Times New Roman" w:eastAsia="Times New Roman" w:hAnsi="Times New Roman"/>
          <w:sz w:val="24"/>
          <w:szCs w:val="24"/>
        </w:rPr>
        <w:t xml:space="preserve"> and </w:t>
      </w:r>
      <w:r w:rsidR="00CE28A0" w:rsidRPr="001F738B">
        <w:rPr>
          <w:rFonts w:ascii="Times New Roman" w:eastAsia="Times New Roman" w:hAnsi="Times New Roman"/>
          <w:sz w:val="24"/>
          <w:szCs w:val="24"/>
        </w:rPr>
        <w:t xml:space="preserve">Wright’s </w:t>
      </w:r>
      <w:r w:rsidR="00C661C5" w:rsidRPr="001F738B">
        <w:rPr>
          <w:rFonts w:ascii="Times New Roman" w:eastAsia="Times New Roman" w:hAnsi="Times New Roman"/>
          <w:sz w:val="24"/>
          <w:szCs w:val="24"/>
        </w:rPr>
        <w:t xml:space="preserve">publisher thus undertook arrangements </w:t>
      </w:r>
      <w:r w:rsidRPr="001F738B">
        <w:rPr>
          <w:rFonts w:ascii="Times New Roman" w:eastAsia="Times New Roman" w:hAnsi="Times New Roman"/>
          <w:sz w:val="24"/>
          <w:szCs w:val="24"/>
        </w:rPr>
        <w:t xml:space="preserve">to start publishing </w:t>
      </w:r>
      <w:r w:rsidR="00C661C5" w:rsidRPr="001F738B">
        <w:rPr>
          <w:rFonts w:ascii="Times New Roman" w:eastAsia="Times New Roman" w:hAnsi="Times New Roman"/>
          <w:sz w:val="24"/>
          <w:szCs w:val="24"/>
        </w:rPr>
        <w:t xml:space="preserve">the </w:t>
      </w:r>
      <w:r w:rsidRPr="001F738B">
        <w:rPr>
          <w:rFonts w:ascii="Times New Roman" w:eastAsia="Times New Roman" w:hAnsi="Times New Roman"/>
          <w:sz w:val="24"/>
          <w:szCs w:val="24"/>
        </w:rPr>
        <w:t xml:space="preserve">book in </w:t>
      </w:r>
      <w:r w:rsidR="00D0200D" w:rsidRPr="001F738B">
        <w:rPr>
          <w:rFonts w:ascii="Times New Roman" w:eastAsia="Times New Roman" w:hAnsi="Times New Roman"/>
          <w:sz w:val="24"/>
          <w:szCs w:val="24"/>
        </w:rPr>
        <w:t xml:space="preserve">the </w:t>
      </w:r>
      <w:r w:rsidR="00C661C5" w:rsidRPr="001F738B">
        <w:rPr>
          <w:rFonts w:ascii="Times New Roman" w:eastAsia="Times New Roman" w:hAnsi="Times New Roman"/>
          <w:sz w:val="24"/>
          <w:szCs w:val="24"/>
        </w:rPr>
        <w:t>US</w:t>
      </w:r>
      <w:r w:rsidR="00DA70B1" w:rsidRPr="001F738B">
        <w:rPr>
          <w:rFonts w:ascii="Times New Roman" w:eastAsia="Times New Roman" w:hAnsi="Times New Roman"/>
          <w:sz w:val="24"/>
          <w:szCs w:val="24"/>
        </w:rPr>
        <w:t>, and later Australia and various other countries</w:t>
      </w:r>
      <w:r w:rsidR="007F1D40" w:rsidRPr="001F738B">
        <w:rPr>
          <w:rFonts w:ascii="Times New Roman" w:eastAsia="Times New Roman" w:hAnsi="Times New Roman"/>
          <w:sz w:val="24"/>
          <w:szCs w:val="24"/>
        </w:rPr>
        <w:t>.</w:t>
      </w:r>
      <w:r w:rsidR="007F1D40" w:rsidRPr="001F738B">
        <w:rPr>
          <w:rStyle w:val="FootnoteReference"/>
          <w:rFonts w:ascii="Times New Roman" w:eastAsia="Times New Roman" w:hAnsi="Times New Roman"/>
          <w:sz w:val="24"/>
          <w:szCs w:val="24"/>
        </w:rPr>
        <w:footnoteReference w:id="23"/>
      </w:r>
      <w:r w:rsidR="00DA70B1" w:rsidRPr="001F738B">
        <w:rPr>
          <w:rFonts w:ascii="Times New Roman" w:eastAsia="Times New Roman" w:hAnsi="Times New Roman"/>
          <w:sz w:val="24"/>
          <w:szCs w:val="24"/>
        </w:rPr>
        <w:t xml:space="preserve">  </w:t>
      </w:r>
      <w:r w:rsidR="00C661C5" w:rsidRPr="001F738B">
        <w:rPr>
          <w:rFonts w:ascii="Times New Roman" w:eastAsia="Times New Roman" w:hAnsi="Times New Roman"/>
          <w:sz w:val="24"/>
          <w:szCs w:val="24"/>
        </w:rPr>
        <w:t xml:space="preserve">In </w:t>
      </w:r>
      <w:r w:rsidRPr="001F738B">
        <w:rPr>
          <w:rFonts w:ascii="Times New Roman" w:eastAsia="Times New Roman" w:hAnsi="Times New Roman"/>
          <w:sz w:val="24"/>
          <w:szCs w:val="24"/>
        </w:rPr>
        <w:t xml:space="preserve">June </w:t>
      </w:r>
      <w:r w:rsidR="00C661C5" w:rsidRPr="001F738B">
        <w:rPr>
          <w:rFonts w:ascii="Times New Roman" w:eastAsia="Times New Roman" w:hAnsi="Times New Roman"/>
          <w:sz w:val="24"/>
          <w:szCs w:val="24"/>
        </w:rPr>
        <w:t>1986</w:t>
      </w:r>
      <w:r w:rsidRPr="001F738B">
        <w:rPr>
          <w:rFonts w:ascii="Times New Roman" w:eastAsia="Times New Roman" w:hAnsi="Times New Roman"/>
          <w:sz w:val="24"/>
          <w:szCs w:val="24"/>
        </w:rPr>
        <w:t xml:space="preserve"> </w:t>
      </w:r>
      <w:r w:rsidRPr="001F738B">
        <w:rPr>
          <w:rFonts w:ascii="Times New Roman" w:eastAsia="Times New Roman" w:hAnsi="Times New Roman"/>
          <w:i/>
          <w:sz w:val="24"/>
          <w:szCs w:val="24"/>
        </w:rPr>
        <w:t>The Observer</w:t>
      </w:r>
      <w:r w:rsidR="00940405" w:rsidRPr="001F738B">
        <w:rPr>
          <w:rFonts w:ascii="Times New Roman" w:eastAsia="Times New Roman" w:hAnsi="Times New Roman"/>
          <w:sz w:val="24"/>
          <w:szCs w:val="24"/>
        </w:rPr>
        <w:t xml:space="preserve"> and</w:t>
      </w:r>
      <w:r w:rsidRPr="001F738B">
        <w:rPr>
          <w:rFonts w:ascii="Times New Roman" w:eastAsia="Times New Roman" w:hAnsi="Times New Roman"/>
          <w:sz w:val="24"/>
          <w:szCs w:val="24"/>
        </w:rPr>
        <w:t xml:space="preserve"> </w:t>
      </w:r>
      <w:r w:rsidRPr="001F738B">
        <w:rPr>
          <w:rFonts w:ascii="Times New Roman" w:eastAsia="Times New Roman" w:hAnsi="Times New Roman"/>
          <w:i/>
          <w:sz w:val="24"/>
          <w:szCs w:val="24"/>
        </w:rPr>
        <w:t>Guardian</w:t>
      </w:r>
      <w:r w:rsidRPr="001F738B">
        <w:rPr>
          <w:rFonts w:ascii="Times New Roman" w:eastAsia="Times New Roman" w:hAnsi="Times New Roman"/>
          <w:sz w:val="24"/>
          <w:szCs w:val="24"/>
        </w:rPr>
        <w:t xml:space="preserve"> </w:t>
      </w:r>
      <w:r w:rsidR="00C661C5" w:rsidRPr="001F738B">
        <w:rPr>
          <w:rFonts w:ascii="Times New Roman" w:eastAsia="Times New Roman" w:hAnsi="Times New Roman"/>
          <w:sz w:val="24"/>
          <w:szCs w:val="24"/>
        </w:rPr>
        <w:t xml:space="preserve">newspapers </w:t>
      </w:r>
      <w:r w:rsidRPr="001F738B">
        <w:rPr>
          <w:rFonts w:ascii="Times New Roman" w:eastAsia="Times New Roman" w:hAnsi="Times New Roman"/>
          <w:sz w:val="24"/>
          <w:szCs w:val="24"/>
        </w:rPr>
        <w:t>reported on the Australian court proceedings and includ</w:t>
      </w:r>
      <w:r w:rsidR="00C661C5" w:rsidRPr="001F738B">
        <w:rPr>
          <w:rFonts w:ascii="Times New Roman" w:eastAsia="Times New Roman" w:hAnsi="Times New Roman"/>
          <w:sz w:val="24"/>
          <w:szCs w:val="24"/>
        </w:rPr>
        <w:t xml:space="preserve">ed an outline of the </w:t>
      </w:r>
      <w:proofErr w:type="spellStart"/>
      <w:r w:rsidR="00C661C5" w:rsidRPr="001F738B">
        <w:rPr>
          <w:rFonts w:ascii="Times New Roman" w:eastAsia="Times New Roman" w:hAnsi="Times New Roman"/>
          <w:i/>
          <w:sz w:val="24"/>
          <w:szCs w:val="24"/>
        </w:rPr>
        <w:t>Spycatcher</w:t>
      </w:r>
      <w:proofErr w:type="spellEnd"/>
      <w:r w:rsidR="00DA70B1" w:rsidRPr="001F738B">
        <w:rPr>
          <w:rFonts w:ascii="Times New Roman" w:eastAsia="Times New Roman" w:hAnsi="Times New Roman"/>
          <w:sz w:val="24"/>
          <w:szCs w:val="24"/>
        </w:rPr>
        <w:t xml:space="preserve"> allegations.  In response the </w:t>
      </w:r>
      <w:r w:rsidRPr="001F738B">
        <w:rPr>
          <w:rFonts w:ascii="Times New Roman" w:eastAsia="Times New Roman" w:hAnsi="Times New Roman"/>
          <w:sz w:val="24"/>
          <w:szCs w:val="24"/>
        </w:rPr>
        <w:t>A</w:t>
      </w:r>
      <w:r w:rsidR="00DA70B1" w:rsidRPr="001F738B">
        <w:rPr>
          <w:rFonts w:ascii="Times New Roman" w:eastAsia="Times New Roman" w:hAnsi="Times New Roman"/>
          <w:sz w:val="24"/>
          <w:szCs w:val="24"/>
        </w:rPr>
        <w:t>ttorney</w:t>
      </w:r>
      <w:r w:rsidRPr="001F738B">
        <w:rPr>
          <w:rFonts w:ascii="Times New Roman" w:eastAsia="Times New Roman" w:hAnsi="Times New Roman"/>
          <w:sz w:val="24"/>
          <w:szCs w:val="24"/>
        </w:rPr>
        <w:t>-G</w:t>
      </w:r>
      <w:r w:rsidR="00DA70B1" w:rsidRPr="001F738B">
        <w:rPr>
          <w:rFonts w:ascii="Times New Roman" w:eastAsia="Times New Roman" w:hAnsi="Times New Roman"/>
          <w:sz w:val="24"/>
          <w:szCs w:val="24"/>
        </w:rPr>
        <w:t>eneral</w:t>
      </w:r>
      <w:r w:rsidRPr="001F738B">
        <w:rPr>
          <w:rFonts w:ascii="Times New Roman" w:eastAsia="Times New Roman" w:hAnsi="Times New Roman"/>
          <w:sz w:val="24"/>
          <w:szCs w:val="24"/>
        </w:rPr>
        <w:t xml:space="preserve"> applied to the English courts alleging breach of confidence and obtained </w:t>
      </w:r>
      <w:r w:rsidR="00202648" w:rsidRPr="001F738B">
        <w:rPr>
          <w:rFonts w:ascii="Times New Roman" w:eastAsia="Times New Roman" w:hAnsi="Times New Roman"/>
          <w:sz w:val="24"/>
          <w:szCs w:val="24"/>
        </w:rPr>
        <w:t xml:space="preserve">interim </w:t>
      </w:r>
      <w:r w:rsidRPr="001F738B">
        <w:rPr>
          <w:rFonts w:ascii="Times New Roman" w:eastAsia="Times New Roman" w:hAnsi="Times New Roman"/>
          <w:sz w:val="24"/>
          <w:szCs w:val="24"/>
        </w:rPr>
        <w:t>injunctions against the</w:t>
      </w:r>
      <w:r w:rsidR="004236F7" w:rsidRPr="001F738B">
        <w:rPr>
          <w:rFonts w:ascii="Times New Roman" w:eastAsia="Times New Roman" w:hAnsi="Times New Roman"/>
          <w:sz w:val="24"/>
          <w:szCs w:val="24"/>
        </w:rPr>
        <w:t>se</w:t>
      </w:r>
      <w:r w:rsidRPr="001F738B">
        <w:rPr>
          <w:rFonts w:ascii="Times New Roman" w:eastAsia="Times New Roman" w:hAnsi="Times New Roman"/>
          <w:sz w:val="24"/>
          <w:szCs w:val="24"/>
        </w:rPr>
        <w:t xml:space="preserve"> papers to prevent further reporting.</w:t>
      </w:r>
      <w:r w:rsidR="00153EEF" w:rsidRPr="001F738B">
        <w:rPr>
          <w:rFonts w:ascii="Times New Roman" w:eastAsia="Times New Roman" w:hAnsi="Times New Roman"/>
          <w:sz w:val="24"/>
          <w:szCs w:val="24"/>
        </w:rPr>
        <w:t xml:space="preserve">  </w:t>
      </w:r>
      <w:r w:rsidR="00DC7B43" w:rsidRPr="001F738B">
        <w:rPr>
          <w:rFonts w:ascii="Times New Roman" w:eastAsia="Times New Roman" w:hAnsi="Times New Roman"/>
          <w:sz w:val="24"/>
          <w:szCs w:val="24"/>
        </w:rPr>
        <w:t xml:space="preserve">In April 1987 </w:t>
      </w:r>
      <w:r w:rsidR="00DC7B43" w:rsidRPr="001F738B">
        <w:rPr>
          <w:rFonts w:ascii="Times New Roman" w:eastAsia="Times New Roman" w:hAnsi="Times New Roman"/>
          <w:i/>
          <w:sz w:val="24"/>
          <w:szCs w:val="24"/>
        </w:rPr>
        <w:t>The Independent</w:t>
      </w:r>
      <w:r w:rsidR="00DC7B43" w:rsidRPr="001F738B">
        <w:rPr>
          <w:rFonts w:ascii="Times New Roman" w:eastAsia="Times New Roman" w:hAnsi="Times New Roman"/>
          <w:sz w:val="24"/>
          <w:szCs w:val="24"/>
        </w:rPr>
        <w:t xml:space="preserve"> and other newspapers in the US and Australia published articles referring to the allegations.</w:t>
      </w:r>
      <w:r w:rsidR="00153EEF" w:rsidRPr="001F738B">
        <w:rPr>
          <w:rFonts w:ascii="Times New Roman" w:eastAsia="Times New Roman" w:hAnsi="Times New Roman"/>
          <w:sz w:val="24"/>
          <w:szCs w:val="24"/>
        </w:rPr>
        <w:t xml:space="preserve">  </w:t>
      </w:r>
      <w:r w:rsidR="0097009D" w:rsidRPr="001F738B">
        <w:rPr>
          <w:rFonts w:ascii="Times New Roman" w:eastAsia="Times New Roman" w:hAnsi="Times New Roman"/>
          <w:i/>
          <w:sz w:val="24"/>
          <w:szCs w:val="24"/>
        </w:rPr>
        <w:t>T</w:t>
      </w:r>
      <w:r w:rsidR="006C15D5" w:rsidRPr="001F738B">
        <w:rPr>
          <w:rFonts w:ascii="Times New Roman" w:eastAsia="Times New Roman" w:hAnsi="Times New Roman"/>
          <w:i/>
          <w:sz w:val="24"/>
          <w:szCs w:val="24"/>
        </w:rPr>
        <w:t>he Sunday Times</w:t>
      </w:r>
      <w:r w:rsidR="006C15D5" w:rsidRPr="001F738B">
        <w:rPr>
          <w:rFonts w:ascii="Times New Roman" w:eastAsia="Times New Roman" w:hAnsi="Times New Roman"/>
          <w:sz w:val="24"/>
          <w:szCs w:val="24"/>
        </w:rPr>
        <w:t xml:space="preserve"> </w:t>
      </w:r>
      <w:r w:rsidRPr="001F738B">
        <w:rPr>
          <w:rFonts w:ascii="Times New Roman" w:eastAsia="Times New Roman" w:hAnsi="Times New Roman"/>
          <w:sz w:val="24"/>
          <w:szCs w:val="24"/>
        </w:rPr>
        <w:t xml:space="preserve">obtained serialization rights </w:t>
      </w:r>
      <w:r w:rsidR="00A5279F" w:rsidRPr="001F738B">
        <w:rPr>
          <w:rFonts w:ascii="Times New Roman" w:eastAsia="Times New Roman" w:hAnsi="Times New Roman"/>
          <w:sz w:val="24"/>
          <w:szCs w:val="24"/>
        </w:rPr>
        <w:t xml:space="preserve">to </w:t>
      </w:r>
      <w:proofErr w:type="spellStart"/>
      <w:r w:rsidR="00A5279F" w:rsidRPr="001F738B">
        <w:rPr>
          <w:rFonts w:ascii="Times New Roman" w:eastAsia="Times New Roman" w:hAnsi="Times New Roman"/>
          <w:i/>
          <w:sz w:val="24"/>
          <w:szCs w:val="24"/>
        </w:rPr>
        <w:t>Spycatcher</w:t>
      </w:r>
      <w:proofErr w:type="spellEnd"/>
      <w:r w:rsidR="00A5279F" w:rsidRPr="001F738B">
        <w:rPr>
          <w:rFonts w:ascii="Times New Roman" w:eastAsia="Times New Roman" w:hAnsi="Times New Roman"/>
          <w:sz w:val="24"/>
          <w:szCs w:val="24"/>
        </w:rPr>
        <w:t xml:space="preserve"> </w:t>
      </w:r>
      <w:r w:rsidRPr="001F738B">
        <w:rPr>
          <w:rFonts w:ascii="Times New Roman" w:eastAsia="Times New Roman" w:hAnsi="Times New Roman"/>
          <w:sz w:val="24"/>
          <w:szCs w:val="24"/>
        </w:rPr>
        <w:t xml:space="preserve">and </w:t>
      </w:r>
      <w:r w:rsidR="00702AC1" w:rsidRPr="001F738B">
        <w:rPr>
          <w:rFonts w:ascii="Times New Roman" w:eastAsia="Times New Roman" w:hAnsi="Times New Roman"/>
          <w:sz w:val="24"/>
          <w:szCs w:val="24"/>
        </w:rPr>
        <w:t>publish</w:t>
      </w:r>
      <w:r w:rsidR="00A5279F" w:rsidRPr="001F738B">
        <w:rPr>
          <w:rFonts w:ascii="Times New Roman" w:eastAsia="Times New Roman" w:hAnsi="Times New Roman"/>
          <w:sz w:val="24"/>
          <w:szCs w:val="24"/>
        </w:rPr>
        <w:t>ed</w:t>
      </w:r>
      <w:r w:rsidR="00702AC1" w:rsidRPr="001F738B">
        <w:rPr>
          <w:rFonts w:ascii="Times New Roman" w:eastAsia="Times New Roman" w:hAnsi="Times New Roman"/>
          <w:sz w:val="24"/>
          <w:szCs w:val="24"/>
        </w:rPr>
        <w:t xml:space="preserve"> the first instalment</w:t>
      </w:r>
      <w:r w:rsidR="001F738B" w:rsidRPr="001F738B">
        <w:rPr>
          <w:rFonts w:ascii="Times New Roman" w:eastAsia="Times New Roman" w:hAnsi="Times New Roman"/>
          <w:sz w:val="24"/>
          <w:szCs w:val="24"/>
        </w:rPr>
        <w:t xml:space="preserve"> </w:t>
      </w:r>
      <w:r w:rsidR="001F738B">
        <w:rPr>
          <w:rFonts w:ascii="Times New Roman" w:eastAsia="Times New Roman" w:hAnsi="Times New Roman"/>
          <w:sz w:val="24"/>
          <w:szCs w:val="24"/>
        </w:rPr>
        <w:t>o</w:t>
      </w:r>
      <w:r w:rsidR="001F738B" w:rsidRPr="001F738B">
        <w:rPr>
          <w:rFonts w:ascii="Times New Roman" w:eastAsia="Times New Roman" w:hAnsi="Times New Roman"/>
          <w:sz w:val="24"/>
          <w:szCs w:val="24"/>
        </w:rPr>
        <w:t xml:space="preserve">n 12 July 1987, </w:t>
      </w:r>
      <w:r w:rsidR="00702AC1" w:rsidRPr="001F738B">
        <w:rPr>
          <w:rFonts w:ascii="Times New Roman" w:eastAsia="Times New Roman" w:hAnsi="Times New Roman"/>
          <w:sz w:val="24"/>
          <w:szCs w:val="24"/>
        </w:rPr>
        <w:t xml:space="preserve"> </w:t>
      </w:r>
      <w:r w:rsidR="00DC7B43" w:rsidRPr="001F738B">
        <w:rPr>
          <w:rFonts w:ascii="Times New Roman" w:eastAsia="Times New Roman" w:hAnsi="Times New Roman"/>
          <w:sz w:val="24"/>
          <w:szCs w:val="24"/>
        </w:rPr>
        <w:t>one day</w:t>
      </w:r>
      <w:r w:rsidRPr="001F738B">
        <w:rPr>
          <w:rFonts w:ascii="Times New Roman" w:eastAsia="Times New Roman" w:hAnsi="Times New Roman"/>
          <w:sz w:val="24"/>
          <w:szCs w:val="24"/>
        </w:rPr>
        <w:t xml:space="preserve"> pri</w:t>
      </w:r>
      <w:r w:rsidR="006C15D5" w:rsidRPr="001F738B">
        <w:rPr>
          <w:rFonts w:ascii="Times New Roman" w:eastAsia="Times New Roman" w:hAnsi="Times New Roman"/>
          <w:sz w:val="24"/>
          <w:szCs w:val="24"/>
        </w:rPr>
        <w:t>or to the book’s US publication.  The Attorney-General brought pro</w:t>
      </w:r>
      <w:r w:rsidR="006574B9" w:rsidRPr="001F738B">
        <w:rPr>
          <w:rFonts w:ascii="Times New Roman" w:eastAsia="Times New Roman" w:hAnsi="Times New Roman"/>
          <w:sz w:val="24"/>
          <w:szCs w:val="24"/>
        </w:rPr>
        <w:t xml:space="preserve">ceedings for contempt of court and </w:t>
      </w:r>
      <w:r w:rsidR="006574B9" w:rsidRPr="001F738B">
        <w:rPr>
          <w:rFonts w:ascii="Times New Roman" w:eastAsia="Times New Roman" w:hAnsi="Times New Roman"/>
          <w:i/>
          <w:sz w:val="24"/>
          <w:szCs w:val="24"/>
        </w:rPr>
        <w:t>T</w:t>
      </w:r>
      <w:r w:rsidR="006C15D5" w:rsidRPr="001F738B">
        <w:rPr>
          <w:rFonts w:ascii="Times New Roman" w:eastAsia="Times New Roman" w:hAnsi="Times New Roman"/>
          <w:i/>
          <w:sz w:val="24"/>
          <w:szCs w:val="24"/>
        </w:rPr>
        <w:t>he Times</w:t>
      </w:r>
      <w:r w:rsidR="009877FA" w:rsidRPr="001F738B">
        <w:rPr>
          <w:rFonts w:ascii="Times New Roman" w:eastAsia="Times New Roman" w:hAnsi="Times New Roman"/>
          <w:sz w:val="24"/>
          <w:szCs w:val="24"/>
        </w:rPr>
        <w:t xml:space="preserve"> was </w:t>
      </w:r>
      <w:r w:rsidR="006C15D5" w:rsidRPr="001F738B">
        <w:rPr>
          <w:rFonts w:ascii="Times New Roman" w:eastAsia="Times New Roman" w:hAnsi="Times New Roman"/>
          <w:sz w:val="24"/>
          <w:szCs w:val="24"/>
        </w:rPr>
        <w:t>prevented from further serialization.</w:t>
      </w:r>
      <w:r w:rsidR="00940405" w:rsidRPr="001F738B">
        <w:rPr>
          <w:rFonts w:ascii="Times New Roman" w:eastAsia="Times New Roman" w:hAnsi="Times New Roman"/>
          <w:sz w:val="24"/>
          <w:szCs w:val="24"/>
        </w:rPr>
        <w:t xml:space="preserve">  </w:t>
      </w:r>
      <w:r w:rsidR="00A5279F" w:rsidRPr="001F738B">
        <w:rPr>
          <w:rFonts w:ascii="Times New Roman" w:eastAsia="Times New Roman" w:hAnsi="Times New Roman"/>
          <w:i/>
          <w:sz w:val="24"/>
          <w:szCs w:val="24"/>
        </w:rPr>
        <w:t>The Observer</w:t>
      </w:r>
      <w:r w:rsidR="00940405" w:rsidRPr="001F738B">
        <w:rPr>
          <w:rFonts w:ascii="Times New Roman" w:eastAsia="Times New Roman" w:hAnsi="Times New Roman"/>
          <w:sz w:val="24"/>
          <w:szCs w:val="24"/>
        </w:rPr>
        <w:t xml:space="preserve"> and</w:t>
      </w:r>
      <w:r w:rsidR="00A5279F" w:rsidRPr="001F738B">
        <w:rPr>
          <w:rFonts w:ascii="Times New Roman" w:eastAsia="Times New Roman" w:hAnsi="Times New Roman"/>
          <w:sz w:val="24"/>
          <w:szCs w:val="24"/>
        </w:rPr>
        <w:t xml:space="preserve"> </w:t>
      </w:r>
      <w:r w:rsidR="00A5279F" w:rsidRPr="001F738B">
        <w:rPr>
          <w:rFonts w:ascii="Times New Roman" w:eastAsia="Times New Roman" w:hAnsi="Times New Roman"/>
          <w:i/>
          <w:sz w:val="24"/>
          <w:szCs w:val="24"/>
        </w:rPr>
        <w:t>Guardian</w:t>
      </w:r>
      <w:r w:rsidR="00A5279F" w:rsidRPr="001F738B">
        <w:rPr>
          <w:rFonts w:ascii="Times New Roman" w:eastAsia="Times New Roman" w:hAnsi="Times New Roman"/>
          <w:sz w:val="24"/>
          <w:szCs w:val="24"/>
        </w:rPr>
        <w:t xml:space="preserve"> </w:t>
      </w:r>
      <w:r w:rsidR="001068F6" w:rsidRPr="001F738B">
        <w:rPr>
          <w:rFonts w:ascii="Times New Roman" w:eastAsia="Times New Roman" w:hAnsi="Times New Roman"/>
          <w:sz w:val="24"/>
          <w:szCs w:val="24"/>
        </w:rPr>
        <w:t xml:space="preserve">promptly </w:t>
      </w:r>
      <w:r w:rsidR="00A5279F" w:rsidRPr="001F738B">
        <w:rPr>
          <w:rFonts w:ascii="Times New Roman" w:eastAsia="Times New Roman" w:hAnsi="Times New Roman"/>
          <w:sz w:val="24"/>
          <w:szCs w:val="24"/>
        </w:rPr>
        <w:t xml:space="preserve">applied to discharge the </w:t>
      </w:r>
      <w:r w:rsidR="00202648" w:rsidRPr="001F738B">
        <w:rPr>
          <w:rFonts w:ascii="Times New Roman" w:eastAsia="Times New Roman" w:hAnsi="Times New Roman"/>
          <w:sz w:val="24"/>
          <w:szCs w:val="24"/>
        </w:rPr>
        <w:t xml:space="preserve">interim </w:t>
      </w:r>
      <w:r w:rsidR="00A5279F" w:rsidRPr="001F738B">
        <w:rPr>
          <w:rFonts w:ascii="Times New Roman" w:eastAsia="Times New Roman" w:hAnsi="Times New Roman"/>
          <w:sz w:val="24"/>
          <w:szCs w:val="24"/>
        </w:rPr>
        <w:t>injunction</w:t>
      </w:r>
      <w:r w:rsidR="00940405" w:rsidRPr="001F738B">
        <w:rPr>
          <w:rFonts w:ascii="Times New Roman" w:eastAsia="Times New Roman" w:hAnsi="Times New Roman"/>
          <w:sz w:val="24"/>
          <w:szCs w:val="24"/>
        </w:rPr>
        <w:t xml:space="preserve"> against them</w:t>
      </w:r>
      <w:r w:rsidR="006C15D5" w:rsidRPr="001F738B">
        <w:rPr>
          <w:rFonts w:ascii="Times New Roman" w:eastAsia="Times New Roman" w:hAnsi="Times New Roman"/>
          <w:sz w:val="24"/>
          <w:szCs w:val="24"/>
        </w:rPr>
        <w:t xml:space="preserve"> on the basis that the contents of the book were no longer confidential.  Sir Nicholas Browne-Wilkinson V-C discharged the injunctions,</w:t>
      </w:r>
      <w:r w:rsidR="002B303E" w:rsidRPr="001F738B">
        <w:rPr>
          <w:rFonts w:ascii="Times New Roman" w:eastAsia="Times New Roman" w:hAnsi="Times New Roman"/>
          <w:sz w:val="24"/>
          <w:szCs w:val="24"/>
        </w:rPr>
        <w:t xml:space="preserve"> acknowledging that modern technologies (rather quaintly, ‘electronics and jumbo jets’) allowed news to reach an international audience whilst the court’s powers were restricted to national borders.  He continued:</w:t>
      </w:r>
      <w:r w:rsidR="006C15D5" w:rsidRPr="001F738B">
        <w:rPr>
          <w:rFonts w:ascii="Times New Roman" w:eastAsia="Times New Roman" w:hAnsi="Times New Roman"/>
          <w:sz w:val="24"/>
          <w:szCs w:val="24"/>
        </w:rPr>
        <w:t xml:space="preserve"> </w:t>
      </w:r>
    </w:p>
    <w:p w:rsidR="002B303E" w:rsidRPr="001F738B" w:rsidRDefault="002B303E" w:rsidP="00312A25">
      <w:pPr>
        <w:spacing w:after="0" w:line="240" w:lineRule="auto"/>
        <w:jc w:val="both"/>
        <w:rPr>
          <w:rFonts w:ascii="Times New Roman" w:eastAsia="Times New Roman" w:hAnsi="Times New Roman"/>
          <w:sz w:val="24"/>
          <w:szCs w:val="24"/>
        </w:rPr>
      </w:pPr>
    </w:p>
    <w:p w:rsidR="00E611D6" w:rsidRPr="001F738B" w:rsidRDefault="006C15D5" w:rsidP="00670BBE">
      <w:pPr>
        <w:keepLines/>
        <w:spacing w:after="0" w:line="240" w:lineRule="auto"/>
        <w:ind w:left="851" w:right="851"/>
        <w:jc w:val="both"/>
        <w:rPr>
          <w:rFonts w:ascii="Times New Roman" w:eastAsia="Times New Roman" w:hAnsi="Times New Roman"/>
          <w:sz w:val="24"/>
          <w:szCs w:val="24"/>
        </w:rPr>
      </w:pPr>
      <w:r w:rsidRPr="001F738B">
        <w:rPr>
          <w:rFonts w:ascii="Times New Roman" w:eastAsia="Times New Roman" w:hAnsi="Times New Roman"/>
          <w:sz w:val="24"/>
          <w:szCs w:val="24"/>
        </w:rPr>
        <w:lastRenderedPageBreak/>
        <w:t xml:space="preserve"> ‘</w:t>
      </w:r>
      <w:r w:rsidR="00815AF8" w:rsidRPr="001F738B">
        <w:rPr>
          <w:rFonts w:ascii="Times New Roman" w:eastAsia="Times New Roman" w:hAnsi="Times New Roman"/>
          <w:i/>
          <w:sz w:val="24"/>
          <w:szCs w:val="24"/>
        </w:rPr>
        <w:t>O</w:t>
      </w:r>
      <w:r w:rsidRPr="001F738B">
        <w:rPr>
          <w:rFonts w:ascii="Times New Roman" w:eastAsia="Times New Roman" w:hAnsi="Times New Roman"/>
          <w:i/>
          <w:sz w:val="24"/>
          <w:szCs w:val="24"/>
        </w:rPr>
        <w:t xml:space="preserve">nce the news is out by publication in the United States and the importation of the book into this country, the law could, I think be justifiably accused of being an ass and </w:t>
      </w:r>
      <w:r w:rsidR="00100E14" w:rsidRPr="001F738B">
        <w:rPr>
          <w:rFonts w:ascii="Times New Roman" w:eastAsia="Times New Roman" w:hAnsi="Times New Roman"/>
          <w:i/>
          <w:sz w:val="24"/>
          <w:szCs w:val="24"/>
        </w:rPr>
        <w:t xml:space="preserve">brought into disrepute if it closed its eyes to that reality and sought by injunction to prevent the press or anyone else from repeating information which is now freely available to all.  </w:t>
      </w:r>
      <w:r w:rsidR="00A1177F" w:rsidRPr="001F738B">
        <w:rPr>
          <w:rFonts w:ascii="Times New Roman" w:eastAsia="Times New Roman" w:hAnsi="Times New Roman"/>
          <w:i/>
          <w:sz w:val="24"/>
          <w:szCs w:val="24"/>
        </w:rPr>
        <w:t>… the court sh</w:t>
      </w:r>
      <w:r w:rsidR="002B303E" w:rsidRPr="001F738B">
        <w:rPr>
          <w:rFonts w:ascii="Times New Roman" w:eastAsia="Times New Roman" w:hAnsi="Times New Roman"/>
          <w:i/>
          <w:sz w:val="24"/>
          <w:szCs w:val="24"/>
        </w:rPr>
        <w:t>oul</w:t>
      </w:r>
      <w:r w:rsidR="00A1177F" w:rsidRPr="001F738B">
        <w:rPr>
          <w:rFonts w:ascii="Times New Roman" w:eastAsia="Times New Roman" w:hAnsi="Times New Roman"/>
          <w:i/>
          <w:sz w:val="24"/>
          <w:szCs w:val="24"/>
        </w:rPr>
        <w:t>d not make orders which w</w:t>
      </w:r>
      <w:r w:rsidR="005B07ED" w:rsidRPr="001F738B">
        <w:rPr>
          <w:rFonts w:ascii="Times New Roman" w:eastAsia="Times New Roman" w:hAnsi="Times New Roman"/>
          <w:i/>
          <w:sz w:val="24"/>
          <w:szCs w:val="24"/>
        </w:rPr>
        <w:t>oul</w:t>
      </w:r>
      <w:r w:rsidR="00A1177F" w:rsidRPr="001F738B">
        <w:rPr>
          <w:rFonts w:ascii="Times New Roman" w:eastAsia="Times New Roman" w:hAnsi="Times New Roman"/>
          <w:i/>
          <w:sz w:val="24"/>
          <w:szCs w:val="24"/>
        </w:rPr>
        <w:t>d be ineffective to achieve what they set out to do</w:t>
      </w:r>
      <w:r w:rsidR="00A1177F" w:rsidRPr="001F738B">
        <w:rPr>
          <w:rFonts w:ascii="Times New Roman" w:eastAsia="Times New Roman" w:hAnsi="Times New Roman"/>
          <w:sz w:val="24"/>
          <w:szCs w:val="24"/>
        </w:rPr>
        <w:t>.</w:t>
      </w:r>
      <w:r w:rsidRPr="001F738B">
        <w:rPr>
          <w:rFonts w:ascii="Times New Roman" w:eastAsia="Times New Roman" w:hAnsi="Times New Roman"/>
          <w:sz w:val="24"/>
          <w:szCs w:val="24"/>
        </w:rPr>
        <w:t>’</w:t>
      </w:r>
      <w:r w:rsidR="00100E14" w:rsidRPr="001F738B">
        <w:rPr>
          <w:rStyle w:val="FootnoteReference"/>
          <w:rFonts w:ascii="Times New Roman" w:eastAsia="Times New Roman" w:hAnsi="Times New Roman"/>
          <w:sz w:val="24"/>
          <w:szCs w:val="24"/>
        </w:rPr>
        <w:footnoteReference w:id="24"/>
      </w:r>
      <w:r w:rsidRPr="001F738B">
        <w:rPr>
          <w:rFonts w:ascii="Times New Roman" w:eastAsia="Times New Roman" w:hAnsi="Times New Roman"/>
          <w:sz w:val="24"/>
          <w:szCs w:val="24"/>
        </w:rPr>
        <w:t xml:space="preserve">  </w:t>
      </w:r>
    </w:p>
    <w:p w:rsidR="00E611D6" w:rsidRPr="00CD12B1" w:rsidRDefault="00E611D6" w:rsidP="00312A25">
      <w:pPr>
        <w:spacing w:after="0" w:line="240" w:lineRule="auto"/>
        <w:jc w:val="both"/>
        <w:rPr>
          <w:rFonts w:ascii="Times New Roman" w:eastAsia="Times New Roman" w:hAnsi="Times New Roman"/>
          <w:sz w:val="24"/>
          <w:szCs w:val="24"/>
        </w:rPr>
      </w:pPr>
    </w:p>
    <w:p w:rsidR="0033361C" w:rsidRPr="00CD12B1" w:rsidRDefault="006C15D5" w:rsidP="00312A25">
      <w:pPr>
        <w:spacing w:after="0" w:line="240" w:lineRule="auto"/>
        <w:jc w:val="both"/>
        <w:rPr>
          <w:rFonts w:ascii="Times New Roman" w:eastAsia="Times New Roman" w:hAnsi="Times New Roman"/>
          <w:sz w:val="24"/>
          <w:szCs w:val="24"/>
        </w:rPr>
      </w:pPr>
      <w:r w:rsidRPr="00CD12B1">
        <w:rPr>
          <w:rFonts w:ascii="Times New Roman" w:eastAsia="Times New Roman" w:hAnsi="Times New Roman"/>
          <w:sz w:val="24"/>
          <w:szCs w:val="24"/>
        </w:rPr>
        <w:t>Though this</w:t>
      </w:r>
      <w:r w:rsidR="00E611D6" w:rsidRPr="00CD12B1">
        <w:rPr>
          <w:rFonts w:ascii="Times New Roman" w:eastAsia="Times New Roman" w:hAnsi="Times New Roman"/>
          <w:sz w:val="24"/>
          <w:szCs w:val="24"/>
        </w:rPr>
        <w:t xml:space="preserve"> decision</w:t>
      </w:r>
      <w:r w:rsidRPr="00CD12B1">
        <w:rPr>
          <w:rFonts w:ascii="Times New Roman" w:eastAsia="Times New Roman" w:hAnsi="Times New Roman"/>
          <w:sz w:val="24"/>
          <w:szCs w:val="24"/>
        </w:rPr>
        <w:t xml:space="preserve"> was later reversed by the House of Lords</w:t>
      </w:r>
      <w:r w:rsidR="00E611D6" w:rsidRPr="00CD12B1">
        <w:rPr>
          <w:rFonts w:ascii="Times New Roman" w:eastAsia="Times New Roman" w:hAnsi="Times New Roman"/>
          <w:sz w:val="24"/>
          <w:szCs w:val="24"/>
        </w:rPr>
        <w:t xml:space="preserve">, </w:t>
      </w:r>
      <w:r w:rsidR="009877FA" w:rsidRPr="00CD12B1">
        <w:rPr>
          <w:rFonts w:ascii="Times New Roman" w:eastAsia="Times New Roman" w:hAnsi="Times New Roman"/>
          <w:sz w:val="24"/>
          <w:szCs w:val="24"/>
        </w:rPr>
        <w:t xml:space="preserve">copies </w:t>
      </w:r>
      <w:r w:rsidR="00E611D6" w:rsidRPr="00CD12B1">
        <w:rPr>
          <w:rFonts w:ascii="Times New Roman" w:eastAsia="Times New Roman" w:hAnsi="Times New Roman"/>
          <w:sz w:val="24"/>
          <w:szCs w:val="24"/>
        </w:rPr>
        <w:t xml:space="preserve">of </w:t>
      </w:r>
      <w:proofErr w:type="spellStart"/>
      <w:r w:rsidR="00E611D6" w:rsidRPr="00CD12B1">
        <w:rPr>
          <w:rFonts w:ascii="Times New Roman" w:eastAsia="Times New Roman" w:hAnsi="Times New Roman"/>
          <w:i/>
          <w:sz w:val="24"/>
          <w:szCs w:val="24"/>
        </w:rPr>
        <w:t>Spycatcher</w:t>
      </w:r>
      <w:proofErr w:type="spellEnd"/>
      <w:r w:rsidR="00E611D6" w:rsidRPr="00CD12B1">
        <w:rPr>
          <w:rFonts w:ascii="Times New Roman" w:eastAsia="Times New Roman" w:hAnsi="Times New Roman"/>
          <w:i/>
          <w:sz w:val="24"/>
          <w:szCs w:val="24"/>
        </w:rPr>
        <w:t xml:space="preserve"> </w:t>
      </w:r>
      <w:r w:rsidR="009877FA" w:rsidRPr="00CD12B1">
        <w:rPr>
          <w:rFonts w:ascii="Times New Roman" w:eastAsia="Times New Roman" w:hAnsi="Times New Roman"/>
          <w:sz w:val="24"/>
          <w:szCs w:val="24"/>
        </w:rPr>
        <w:t xml:space="preserve">started trickling into Britain </w:t>
      </w:r>
      <w:r w:rsidR="00E611D6" w:rsidRPr="00CD12B1">
        <w:rPr>
          <w:rFonts w:ascii="Times New Roman" w:eastAsia="Times New Roman" w:hAnsi="Times New Roman"/>
          <w:sz w:val="24"/>
          <w:szCs w:val="24"/>
        </w:rPr>
        <w:t>in increasing quantities</w:t>
      </w:r>
      <w:r w:rsidR="009877FA" w:rsidRPr="00CD12B1">
        <w:rPr>
          <w:rFonts w:ascii="Times New Roman" w:eastAsia="Times New Roman" w:hAnsi="Times New Roman"/>
          <w:sz w:val="24"/>
          <w:szCs w:val="24"/>
        </w:rPr>
        <w:t xml:space="preserve">.  </w:t>
      </w:r>
      <w:r w:rsidR="00F72768" w:rsidRPr="00CD12B1">
        <w:rPr>
          <w:rFonts w:ascii="Times New Roman" w:eastAsia="Times New Roman" w:hAnsi="Times New Roman"/>
          <w:sz w:val="24"/>
          <w:szCs w:val="24"/>
        </w:rPr>
        <w:t xml:space="preserve">Between August &amp; November 1987 </w:t>
      </w:r>
      <w:proofErr w:type="spellStart"/>
      <w:r w:rsidR="00F72768" w:rsidRPr="00CD12B1">
        <w:rPr>
          <w:rFonts w:ascii="Times New Roman" w:eastAsia="Times New Roman" w:hAnsi="Times New Roman"/>
          <w:i/>
          <w:sz w:val="24"/>
          <w:szCs w:val="24"/>
        </w:rPr>
        <w:t>Spycatcher</w:t>
      </w:r>
      <w:proofErr w:type="spellEnd"/>
      <w:r w:rsidR="00F72768" w:rsidRPr="00CD12B1">
        <w:rPr>
          <w:rFonts w:ascii="Times New Roman" w:eastAsia="Times New Roman" w:hAnsi="Times New Roman"/>
          <w:sz w:val="24"/>
          <w:szCs w:val="24"/>
        </w:rPr>
        <w:t xml:space="preserve"> featured consistently on the New York Times best-seller list and was published in Canada, Ireland and various European countries.</w:t>
      </w:r>
      <w:r w:rsidR="0033361C" w:rsidRPr="00CD12B1">
        <w:rPr>
          <w:rFonts w:ascii="Times New Roman" w:eastAsia="Times New Roman" w:hAnsi="Times New Roman"/>
          <w:sz w:val="24"/>
          <w:szCs w:val="24"/>
        </w:rPr>
        <w:t xml:space="preserve">  </w:t>
      </w:r>
      <w:r w:rsidR="00FE5C95" w:rsidRPr="00CD12B1">
        <w:rPr>
          <w:rFonts w:ascii="Times New Roman" w:eastAsia="Times New Roman" w:hAnsi="Times New Roman"/>
          <w:sz w:val="24"/>
          <w:szCs w:val="24"/>
        </w:rPr>
        <w:t xml:space="preserve">Throughout </w:t>
      </w:r>
      <w:r w:rsidR="0033361C" w:rsidRPr="00CD12B1">
        <w:rPr>
          <w:rFonts w:ascii="Times New Roman" w:eastAsia="Times New Roman" w:hAnsi="Times New Roman"/>
          <w:sz w:val="24"/>
          <w:szCs w:val="24"/>
        </w:rPr>
        <w:t>this time thousands of c</w:t>
      </w:r>
      <w:r w:rsidR="00312A25" w:rsidRPr="00CD12B1">
        <w:rPr>
          <w:rFonts w:ascii="Times New Roman" w:eastAsia="Times New Roman" w:hAnsi="Times New Roman"/>
          <w:sz w:val="24"/>
          <w:szCs w:val="24"/>
        </w:rPr>
        <w:t xml:space="preserve">opies of </w:t>
      </w:r>
      <w:r w:rsidR="0033361C" w:rsidRPr="00CD12B1">
        <w:rPr>
          <w:rFonts w:ascii="Times New Roman" w:eastAsia="Times New Roman" w:hAnsi="Times New Roman"/>
          <w:sz w:val="24"/>
          <w:szCs w:val="24"/>
        </w:rPr>
        <w:t xml:space="preserve">the </w:t>
      </w:r>
      <w:r w:rsidR="00312A25" w:rsidRPr="00CD12B1">
        <w:rPr>
          <w:rFonts w:ascii="Times New Roman" w:eastAsia="Times New Roman" w:hAnsi="Times New Roman"/>
          <w:sz w:val="24"/>
          <w:szCs w:val="24"/>
        </w:rPr>
        <w:t xml:space="preserve">book </w:t>
      </w:r>
      <w:r w:rsidR="00FE5C95" w:rsidRPr="00CD12B1">
        <w:rPr>
          <w:rFonts w:ascii="Times New Roman" w:eastAsia="Times New Roman" w:hAnsi="Times New Roman"/>
          <w:sz w:val="24"/>
          <w:szCs w:val="24"/>
        </w:rPr>
        <w:t xml:space="preserve">filtered </w:t>
      </w:r>
      <w:r w:rsidR="00312A25" w:rsidRPr="00CD12B1">
        <w:rPr>
          <w:rFonts w:ascii="Times New Roman" w:eastAsia="Times New Roman" w:hAnsi="Times New Roman"/>
          <w:sz w:val="24"/>
          <w:szCs w:val="24"/>
        </w:rPr>
        <w:t xml:space="preserve">into Britain from </w:t>
      </w:r>
      <w:r w:rsidR="00702AC1" w:rsidRPr="00CD12B1">
        <w:rPr>
          <w:rFonts w:ascii="Times New Roman" w:eastAsia="Times New Roman" w:hAnsi="Times New Roman"/>
          <w:sz w:val="24"/>
          <w:szCs w:val="24"/>
        </w:rPr>
        <w:t xml:space="preserve">abroad, at least </w:t>
      </w:r>
      <w:r w:rsidR="00312A25" w:rsidRPr="00CD12B1">
        <w:rPr>
          <w:rFonts w:ascii="Times New Roman" w:eastAsia="Times New Roman" w:hAnsi="Times New Roman"/>
          <w:sz w:val="24"/>
          <w:szCs w:val="24"/>
        </w:rPr>
        <w:t>partly due</w:t>
      </w:r>
      <w:r w:rsidR="00702AC1" w:rsidRPr="00CD12B1">
        <w:rPr>
          <w:rFonts w:ascii="Times New Roman" w:eastAsia="Times New Roman" w:hAnsi="Times New Roman"/>
          <w:sz w:val="24"/>
          <w:szCs w:val="24"/>
        </w:rPr>
        <w:t xml:space="preserve"> to </w:t>
      </w:r>
      <w:r w:rsidR="00CD12B1">
        <w:rPr>
          <w:rFonts w:ascii="Times New Roman" w:eastAsia="Times New Roman" w:hAnsi="Times New Roman"/>
          <w:sz w:val="24"/>
          <w:szCs w:val="24"/>
        </w:rPr>
        <w:t xml:space="preserve">the </w:t>
      </w:r>
      <w:r w:rsidR="00702AC1" w:rsidRPr="00CD12B1">
        <w:rPr>
          <w:rFonts w:ascii="Times New Roman" w:eastAsia="Times New Roman" w:hAnsi="Times New Roman"/>
          <w:sz w:val="24"/>
          <w:szCs w:val="24"/>
        </w:rPr>
        <w:t>high profile of proceedings</w:t>
      </w:r>
      <w:r w:rsidR="0033361C" w:rsidRPr="00CD12B1">
        <w:rPr>
          <w:rFonts w:ascii="Times New Roman" w:eastAsia="Times New Roman" w:hAnsi="Times New Roman"/>
          <w:sz w:val="24"/>
          <w:szCs w:val="24"/>
        </w:rPr>
        <w:t xml:space="preserve">.  </w:t>
      </w:r>
      <w:proofErr w:type="spellStart"/>
      <w:r w:rsidR="00614720" w:rsidRPr="00CD12B1">
        <w:rPr>
          <w:rFonts w:ascii="Times New Roman" w:eastAsia="Times New Roman" w:hAnsi="Times New Roman"/>
          <w:i/>
          <w:sz w:val="24"/>
          <w:szCs w:val="24"/>
        </w:rPr>
        <w:t>Spycatcher</w:t>
      </w:r>
      <w:proofErr w:type="spellEnd"/>
      <w:r w:rsidR="00614720" w:rsidRPr="00CD12B1">
        <w:rPr>
          <w:rFonts w:ascii="Times New Roman" w:eastAsia="Times New Roman" w:hAnsi="Times New Roman"/>
          <w:sz w:val="24"/>
          <w:szCs w:val="24"/>
        </w:rPr>
        <w:t xml:space="preserve"> allegations were also repeated in English-speaking </w:t>
      </w:r>
      <w:r w:rsidR="0033361C" w:rsidRPr="00CD12B1">
        <w:rPr>
          <w:rFonts w:ascii="Times New Roman" w:eastAsia="Times New Roman" w:hAnsi="Times New Roman"/>
          <w:sz w:val="24"/>
          <w:szCs w:val="24"/>
        </w:rPr>
        <w:t xml:space="preserve">Danish and Swedish radio broadcasts, accessible </w:t>
      </w:r>
      <w:r w:rsidR="00614720" w:rsidRPr="00CD12B1">
        <w:rPr>
          <w:rFonts w:ascii="Times New Roman" w:eastAsia="Times New Roman" w:hAnsi="Times New Roman"/>
          <w:sz w:val="24"/>
          <w:szCs w:val="24"/>
        </w:rPr>
        <w:t>in the UK</w:t>
      </w:r>
      <w:r w:rsidR="0033361C" w:rsidRPr="00CD12B1">
        <w:rPr>
          <w:rFonts w:ascii="Times New Roman" w:eastAsia="Times New Roman" w:hAnsi="Times New Roman"/>
          <w:sz w:val="24"/>
          <w:szCs w:val="24"/>
        </w:rPr>
        <w:t>.</w:t>
      </w:r>
      <w:r w:rsidR="0033361C" w:rsidRPr="00CD12B1">
        <w:rPr>
          <w:rStyle w:val="FootnoteReference"/>
          <w:rFonts w:ascii="Times New Roman" w:eastAsia="Times New Roman" w:hAnsi="Times New Roman"/>
          <w:sz w:val="24"/>
          <w:szCs w:val="24"/>
        </w:rPr>
        <w:footnoteReference w:id="25"/>
      </w:r>
    </w:p>
    <w:p w:rsidR="0033361C" w:rsidRPr="00CD12B1" w:rsidRDefault="0033361C" w:rsidP="00312A25">
      <w:pPr>
        <w:spacing w:after="0" w:line="240" w:lineRule="auto"/>
        <w:jc w:val="both"/>
        <w:rPr>
          <w:rFonts w:ascii="Times New Roman" w:eastAsia="Times New Roman" w:hAnsi="Times New Roman"/>
          <w:sz w:val="24"/>
          <w:szCs w:val="24"/>
        </w:rPr>
      </w:pPr>
    </w:p>
    <w:p w:rsidR="00312A25" w:rsidRPr="00CD12B1" w:rsidRDefault="00BB4408" w:rsidP="00312A25">
      <w:pPr>
        <w:spacing w:after="0" w:line="240" w:lineRule="auto"/>
        <w:jc w:val="both"/>
        <w:rPr>
          <w:rFonts w:ascii="Times New Roman" w:eastAsia="Times New Roman" w:hAnsi="Times New Roman"/>
          <w:sz w:val="24"/>
          <w:szCs w:val="24"/>
        </w:rPr>
      </w:pPr>
      <w:r w:rsidRPr="00CD12B1">
        <w:rPr>
          <w:rFonts w:ascii="Times New Roman" w:eastAsia="Times New Roman" w:hAnsi="Times New Roman"/>
          <w:sz w:val="24"/>
          <w:szCs w:val="24"/>
        </w:rPr>
        <w:t xml:space="preserve">At the </w:t>
      </w:r>
      <w:r w:rsidR="00E3468C" w:rsidRPr="00CD12B1">
        <w:rPr>
          <w:rFonts w:ascii="Times New Roman" w:eastAsia="Times New Roman" w:hAnsi="Times New Roman"/>
          <w:sz w:val="24"/>
          <w:szCs w:val="24"/>
        </w:rPr>
        <w:t xml:space="preserve">final </w:t>
      </w:r>
      <w:r w:rsidRPr="00CD12B1">
        <w:rPr>
          <w:rFonts w:ascii="Times New Roman" w:eastAsia="Times New Roman" w:hAnsi="Times New Roman"/>
          <w:sz w:val="24"/>
          <w:szCs w:val="24"/>
        </w:rPr>
        <w:t>trial i</w:t>
      </w:r>
      <w:r w:rsidR="00DC7B43" w:rsidRPr="00CD12B1">
        <w:rPr>
          <w:rFonts w:ascii="Times New Roman" w:eastAsia="Times New Roman" w:hAnsi="Times New Roman"/>
          <w:sz w:val="24"/>
          <w:szCs w:val="24"/>
        </w:rPr>
        <w:t xml:space="preserve">n December 1987 </w:t>
      </w:r>
      <w:r w:rsidR="00BD4F18" w:rsidRPr="00CD12B1">
        <w:rPr>
          <w:rFonts w:ascii="Times New Roman" w:eastAsia="Times New Roman" w:hAnsi="Times New Roman"/>
          <w:sz w:val="24"/>
          <w:szCs w:val="24"/>
        </w:rPr>
        <w:t>Scott J</w:t>
      </w:r>
      <w:r w:rsidR="00312A25" w:rsidRPr="00CD12B1">
        <w:rPr>
          <w:rFonts w:ascii="Times New Roman" w:eastAsia="Times New Roman" w:hAnsi="Times New Roman"/>
          <w:sz w:val="24"/>
          <w:szCs w:val="24"/>
        </w:rPr>
        <w:t xml:space="preserve"> discharged the injunctions against the papers on the basis the information was n</w:t>
      </w:r>
      <w:r w:rsidR="00BD4F18" w:rsidRPr="00CD12B1">
        <w:rPr>
          <w:rFonts w:ascii="Times New Roman" w:eastAsia="Times New Roman" w:hAnsi="Times New Roman"/>
          <w:sz w:val="24"/>
          <w:szCs w:val="24"/>
        </w:rPr>
        <w:t>ow public and no longer secret</w:t>
      </w:r>
      <w:r w:rsidR="00312A25" w:rsidRPr="00CD12B1">
        <w:rPr>
          <w:rFonts w:ascii="Times New Roman" w:eastAsia="Times New Roman" w:hAnsi="Times New Roman"/>
          <w:sz w:val="24"/>
          <w:szCs w:val="24"/>
        </w:rPr>
        <w:t>.</w:t>
      </w:r>
      <w:r w:rsidR="00312A25" w:rsidRPr="00CD12B1">
        <w:rPr>
          <w:rFonts w:ascii="Times New Roman" w:eastAsia="Times New Roman" w:hAnsi="Times New Roman"/>
          <w:sz w:val="24"/>
          <w:szCs w:val="24"/>
          <w:vertAlign w:val="superscript"/>
        </w:rPr>
        <w:footnoteReference w:id="26"/>
      </w:r>
      <w:r w:rsidR="00312A25" w:rsidRPr="00CD12B1">
        <w:rPr>
          <w:rFonts w:ascii="Times New Roman" w:eastAsia="Times New Roman" w:hAnsi="Times New Roman"/>
          <w:sz w:val="24"/>
          <w:szCs w:val="24"/>
        </w:rPr>
        <w:t xml:space="preserve">  </w:t>
      </w:r>
      <w:r w:rsidR="00E22076" w:rsidRPr="00CD12B1">
        <w:rPr>
          <w:rFonts w:ascii="Times New Roman" w:eastAsia="Times New Roman" w:hAnsi="Times New Roman"/>
          <w:sz w:val="24"/>
          <w:szCs w:val="24"/>
        </w:rPr>
        <w:t xml:space="preserve">After various appeals </w:t>
      </w:r>
      <w:proofErr w:type="spellStart"/>
      <w:r w:rsidR="0080590F" w:rsidRPr="00CD12B1">
        <w:rPr>
          <w:rFonts w:ascii="Times New Roman" w:eastAsia="Times New Roman" w:hAnsi="Times New Roman"/>
          <w:i/>
          <w:sz w:val="24"/>
          <w:szCs w:val="24"/>
        </w:rPr>
        <w:t>Spycatcher</w:t>
      </w:r>
      <w:proofErr w:type="spellEnd"/>
      <w:r w:rsidR="0080590F" w:rsidRPr="00CD12B1">
        <w:rPr>
          <w:rFonts w:ascii="Times New Roman" w:eastAsia="Times New Roman" w:hAnsi="Times New Roman"/>
          <w:i/>
          <w:sz w:val="24"/>
          <w:szCs w:val="24"/>
        </w:rPr>
        <w:t xml:space="preserve"> </w:t>
      </w:r>
      <w:r w:rsidR="000E3368" w:rsidRPr="00CD12B1">
        <w:rPr>
          <w:rFonts w:ascii="Times New Roman" w:eastAsia="Times New Roman" w:hAnsi="Times New Roman"/>
          <w:sz w:val="24"/>
          <w:szCs w:val="24"/>
        </w:rPr>
        <w:t xml:space="preserve">reached the House of Lords </w:t>
      </w:r>
      <w:r w:rsidR="00E22076" w:rsidRPr="00CD12B1">
        <w:rPr>
          <w:rFonts w:ascii="Times New Roman" w:eastAsia="Times New Roman" w:hAnsi="Times New Roman"/>
          <w:sz w:val="24"/>
          <w:szCs w:val="24"/>
        </w:rPr>
        <w:t xml:space="preserve">where </w:t>
      </w:r>
      <w:r w:rsidR="000E3368" w:rsidRPr="00CD12B1">
        <w:rPr>
          <w:rFonts w:ascii="Times New Roman" w:eastAsia="Times New Roman" w:hAnsi="Times New Roman"/>
          <w:sz w:val="24"/>
          <w:szCs w:val="24"/>
        </w:rPr>
        <w:t>t</w:t>
      </w:r>
      <w:r w:rsidR="00312A25" w:rsidRPr="00CD12B1">
        <w:rPr>
          <w:rFonts w:ascii="Times New Roman" w:eastAsia="Times New Roman" w:hAnsi="Times New Roman"/>
          <w:sz w:val="24"/>
          <w:szCs w:val="24"/>
        </w:rPr>
        <w:t>he majority Law Lords</w:t>
      </w:r>
      <w:r w:rsidR="000E3368" w:rsidRPr="00CD12B1">
        <w:rPr>
          <w:rFonts w:ascii="Times New Roman" w:eastAsia="Times New Roman" w:hAnsi="Times New Roman"/>
          <w:sz w:val="24"/>
          <w:szCs w:val="24"/>
        </w:rPr>
        <w:t xml:space="preserve"> agreed the injunction should be discharged b</w:t>
      </w:r>
      <w:r w:rsidR="00A90D40" w:rsidRPr="00CD12B1">
        <w:rPr>
          <w:rFonts w:ascii="Times New Roman" w:eastAsia="Times New Roman" w:hAnsi="Times New Roman"/>
          <w:sz w:val="24"/>
          <w:szCs w:val="24"/>
        </w:rPr>
        <w:t xml:space="preserve">ecause </w:t>
      </w:r>
      <w:r w:rsidR="00312A25" w:rsidRPr="00CD12B1">
        <w:rPr>
          <w:rFonts w:ascii="Times New Roman" w:eastAsia="Times New Roman" w:hAnsi="Times New Roman"/>
          <w:sz w:val="24"/>
          <w:szCs w:val="24"/>
        </w:rPr>
        <w:t xml:space="preserve">the information was </w:t>
      </w:r>
      <w:r w:rsidR="00A90D40" w:rsidRPr="00CD12B1">
        <w:rPr>
          <w:rFonts w:ascii="Times New Roman" w:eastAsia="Times New Roman" w:hAnsi="Times New Roman"/>
          <w:sz w:val="24"/>
          <w:szCs w:val="24"/>
        </w:rPr>
        <w:t xml:space="preserve">now </w:t>
      </w:r>
      <w:r w:rsidR="000E3368" w:rsidRPr="00CD12B1">
        <w:rPr>
          <w:rFonts w:ascii="Times New Roman" w:eastAsia="Times New Roman" w:hAnsi="Times New Roman"/>
          <w:sz w:val="24"/>
          <w:szCs w:val="24"/>
        </w:rPr>
        <w:t>public so</w:t>
      </w:r>
      <w:r w:rsidR="00312A25" w:rsidRPr="00CD12B1">
        <w:rPr>
          <w:rFonts w:ascii="Times New Roman" w:eastAsia="Times New Roman" w:hAnsi="Times New Roman"/>
          <w:sz w:val="24"/>
          <w:szCs w:val="24"/>
        </w:rPr>
        <w:t xml:space="preserve"> no further damage could be done to the public interest</w:t>
      </w:r>
      <w:r w:rsidR="000E3368" w:rsidRPr="00CD12B1">
        <w:rPr>
          <w:rFonts w:ascii="Times New Roman" w:eastAsia="Times New Roman" w:hAnsi="Times New Roman"/>
          <w:sz w:val="24"/>
          <w:szCs w:val="24"/>
        </w:rPr>
        <w:t>.</w:t>
      </w:r>
      <w:r w:rsidR="00CE42A7" w:rsidRPr="00CD12B1">
        <w:rPr>
          <w:rStyle w:val="FootnoteReference"/>
          <w:rFonts w:ascii="Times New Roman" w:eastAsia="Times New Roman" w:hAnsi="Times New Roman"/>
          <w:sz w:val="24"/>
          <w:szCs w:val="24"/>
        </w:rPr>
        <w:footnoteReference w:id="27"/>
      </w:r>
      <w:r w:rsidR="00E22076" w:rsidRPr="00CD12B1">
        <w:rPr>
          <w:rFonts w:ascii="Times New Roman" w:eastAsia="Times New Roman" w:hAnsi="Times New Roman"/>
          <w:sz w:val="24"/>
          <w:szCs w:val="24"/>
        </w:rPr>
        <w:t xml:space="preserve">  Lord Keith explained that:</w:t>
      </w:r>
      <w:r w:rsidR="005D0137" w:rsidRPr="00CD12B1">
        <w:rPr>
          <w:rFonts w:ascii="Times New Roman" w:eastAsia="Times New Roman" w:hAnsi="Times New Roman"/>
          <w:sz w:val="24"/>
          <w:szCs w:val="24"/>
        </w:rPr>
        <w:t xml:space="preserve"> </w:t>
      </w:r>
    </w:p>
    <w:p w:rsidR="000E3368" w:rsidRPr="00CD12B1" w:rsidRDefault="000E3368" w:rsidP="00312A25">
      <w:pPr>
        <w:spacing w:after="0" w:line="240" w:lineRule="auto"/>
        <w:jc w:val="both"/>
        <w:rPr>
          <w:rFonts w:ascii="Times New Roman" w:eastAsia="Times New Roman" w:hAnsi="Times New Roman"/>
          <w:sz w:val="24"/>
          <w:szCs w:val="24"/>
        </w:rPr>
      </w:pPr>
    </w:p>
    <w:p w:rsidR="00E3468C" w:rsidRPr="00CD12B1" w:rsidRDefault="00E3468C" w:rsidP="00AB53B2">
      <w:pPr>
        <w:spacing w:after="0" w:line="240" w:lineRule="auto"/>
        <w:ind w:left="851" w:right="851"/>
        <w:jc w:val="both"/>
        <w:rPr>
          <w:rFonts w:ascii="Times New Roman" w:eastAsia="Times New Roman" w:hAnsi="Times New Roman"/>
          <w:sz w:val="24"/>
          <w:szCs w:val="24"/>
        </w:rPr>
      </w:pPr>
      <w:r w:rsidRPr="00CD12B1">
        <w:rPr>
          <w:rFonts w:ascii="Times New Roman" w:eastAsia="Times New Roman" w:hAnsi="Times New Roman"/>
          <w:sz w:val="24"/>
          <w:szCs w:val="24"/>
        </w:rPr>
        <w:t>‘</w:t>
      </w:r>
      <w:r w:rsidRPr="00CD12B1">
        <w:rPr>
          <w:rFonts w:ascii="Times New Roman" w:eastAsia="Times New Roman" w:hAnsi="Times New Roman"/>
          <w:i/>
          <w:sz w:val="24"/>
          <w:szCs w:val="24"/>
        </w:rPr>
        <w:t>a very substantial number of copies have in fact been imported.  So the contents of the book have been disseminated world-wide and anyone in this country who is interested can obtain a copy without undue difficulty</w:t>
      </w:r>
      <w:r w:rsidRPr="00CD12B1">
        <w:rPr>
          <w:rFonts w:ascii="Times New Roman" w:eastAsia="Times New Roman" w:hAnsi="Times New Roman"/>
          <w:sz w:val="24"/>
          <w:szCs w:val="24"/>
        </w:rPr>
        <w:t>.’</w:t>
      </w:r>
      <w:r w:rsidRPr="00CD12B1">
        <w:rPr>
          <w:rStyle w:val="FootnoteReference"/>
          <w:rFonts w:ascii="Times New Roman" w:eastAsia="Times New Roman" w:hAnsi="Times New Roman"/>
          <w:sz w:val="24"/>
          <w:szCs w:val="24"/>
        </w:rPr>
        <w:footnoteReference w:id="28"/>
      </w:r>
      <w:r w:rsidRPr="00CD12B1">
        <w:rPr>
          <w:rFonts w:ascii="Times New Roman" w:eastAsia="Times New Roman" w:hAnsi="Times New Roman"/>
          <w:sz w:val="24"/>
          <w:szCs w:val="24"/>
        </w:rPr>
        <w:t xml:space="preserve">  </w:t>
      </w:r>
    </w:p>
    <w:p w:rsidR="00E3468C" w:rsidRPr="00CD12B1" w:rsidRDefault="00E3468C" w:rsidP="00312A25">
      <w:pPr>
        <w:spacing w:after="0" w:line="240" w:lineRule="auto"/>
        <w:jc w:val="both"/>
        <w:rPr>
          <w:rFonts w:ascii="Times New Roman" w:eastAsia="Times New Roman" w:hAnsi="Times New Roman"/>
          <w:sz w:val="24"/>
          <w:szCs w:val="24"/>
        </w:rPr>
      </w:pPr>
    </w:p>
    <w:p w:rsidR="005A7DBB" w:rsidRPr="00CD12B1" w:rsidRDefault="00A3789F" w:rsidP="00312A25">
      <w:pPr>
        <w:spacing w:after="0" w:line="240" w:lineRule="auto"/>
        <w:jc w:val="both"/>
        <w:rPr>
          <w:rFonts w:ascii="Times New Roman" w:hAnsi="Times New Roman"/>
          <w:sz w:val="24"/>
          <w:szCs w:val="24"/>
        </w:rPr>
      </w:pPr>
      <w:r w:rsidRPr="00CD12B1">
        <w:rPr>
          <w:rFonts w:ascii="Times New Roman" w:eastAsia="Times New Roman" w:hAnsi="Times New Roman"/>
          <w:sz w:val="24"/>
          <w:szCs w:val="24"/>
        </w:rPr>
        <w:t>Similarly, L</w:t>
      </w:r>
      <w:r w:rsidR="003837D9" w:rsidRPr="00CD12B1">
        <w:rPr>
          <w:rFonts w:ascii="Times New Roman" w:hAnsi="Times New Roman"/>
          <w:sz w:val="24"/>
          <w:szCs w:val="24"/>
        </w:rPr>
        <w:t xml:space="preserve">ord Goff </w:t>
      </w:r>
      <w:r w:rsidR="00B73E94" w:rsidRPr="00CD12B1">
        <w:rPr>
          <w:rFonts w:ascii="Times New Roman" w:hAnsi="Times New Roman"/>
          <w:sz w:val="24"/>
          <w:szCs w:val="24"/>
        </w:rPr>
        <w:t>set out</w:t>
      </w:r>
      <w:r w:rsidR="00572481">
        <w:rPr>
          <w:rFonts w:ascii="Times New Roman" w:hAnsi="Times New Roman"/>
          <w:sz w:val="24"/>
          <w:szCs w:val="24"/>
        </w:rPr>
        <w:t xml:space="preserve"> the</w:t>
      </w:r>
      <w:r w:rsidR="003837D9" w:rsidRPr="00CD12B1">
        <w:rPr>
          <w:rFonts w:ascii="Times New Roman" w:hAnsi="Times New Roman"/>
          <w:sz w:val="24"/>
          <w:szCs w:val="24"/>
        </w:rPr>
        <w:t xml:space="preserve"> firs</w:t>
      </w:r>
      <w:r w:rsidR="00CA3625" w:rsidRPr="00CD12B1">
        <w:rPr>
          <w:rFonts w:ascii="Times New Roman" w:hAnsi="Times New Roman"/>
          <w:sz w:val="24"/>
          <w:szCs w:val="24"/>
        </w:rPr>
        <w:t>t of three limiting principles</w:t>
      </w:r>
      <w:r w:rsidR="00B73E94" w:rsidRPr="00CD12B1">
        <w:rPr>
          <w:rFonts w:ascii="Times New Roman" w:hAnsi="Times New Roman"/>
          <w:sz w:val="24"/>
          <w:szCs w:val="24"/>
        </w:rPr>
        <w:t xml:space="preserve"> that remain an integral part of the doctrine of confidence</w:t>
      </w:r>
      <w:r w:rsidR="00CD12B1">
        <w:rPr>
          <w:rFonts w:ascii="Times New Roman" w:hAnsi="Times New Roman"/>
          <w:sz w:val="24"/>
          <w:szCs w:val="24"/>
        </w:rPr>
        <w:t xml:space="preserve"> from which MPI emerged</w:t>
      </w:r>
      <w:r w:rsidR="00CA3625" w:rsidRPr="00CD12B1">
        <w:rPr>
          <w:rFonts w:ascii="Times New Roman" w:hAnsi="Times New Roman"/>
          <w:sz w:val="24"/>
          <w:szCs w:val="24"/>
        </w:rPr>
        <w:t xml:space="preserve">: </w:t>
      </w:r>
    </w:p>
    <w:p w:rsidR="005A7DBB" w:rsidRPr="00CD12B1" w:rsidRDefault="005A7DBB" w:rsidP="00312A25">
      <w:pPr>
        <w:spacing w:after="0" w:line="240" w:lineRule="auto"/>
        <w:jc w:val="both"/>
        <w:rPr>
          <w:rFonts w:ascii="Times New Roman" w:hAnsi="Times New Roman"/>
          <w:sz w:val="24"/>
          <w:szCs w:val="24"/>
        </w:rPr>
      </w:pPr>
    </w:p>
    <w:p w:rsidR="00B73E94" w:rsidRPr="00CD12B1" w:rsidRDefault="00CA3625" w:rsidP="00AB53B2">
      <w:pPr>
        <w:spacing w:after="0" w:line="240" w:lineRule="auto"/>
        <w:ind w:left="851" w:right="851"/>
        <w:jc w:val="both"/>
        <w:rPr>
          <w:rFonts w:ascii="Times New Roman" w:hAnsi="Times New Roman"/>
          <w:sz w:val="24"/>
          <w:szCs w:val="24"/>
        </w:rPr>
      </w:pPr>
      <w:r w:rsidRPr="00CD12B1">
        <w:rPr>
          <w:rFonts w:ascii="Times New Roman" w:hAnsi="Times New Roman"/>
          <w:sz w:val="24"/>
          <w:szCs w:val="24"/>
        </w:rPr>
        <w:t>‘</w:t>
      </w:r>
      <w:r w:rsidRPr="00CD12B1">
        <w:rPr>
          <w:rFonts w:ascii="Times New Roman" w:hAnsi="Times New Roman"/>
          <w:i/>
          <w:sz w:val="24"/>
          <w:szCs w:val="24"/>
        </w:rPr>
        <w:t>the principle of confidentiality only applies to information to the extent that it is confidential.  In particular, once it has entered what is usuall</w:t>
      </w:r>
      <w:r w:rsidR="00DA70B1" w:rsidRPr="00CD12B1">
        <w:rPr>
          <w:rFonts w:ascii="Times New Roman" w:hAnsi="Times New Roman"/>
          <w:i/>
          <w:sz w:val="24"/>
          <w:szCs w:val="24"/>
        </w:rPr>
        <w:t>y called the public domain (whic</w:t>
      </w:r>
      <w:r w:rsidRPr="00CD12B1">
        <w:rPr>
          <w:rFonts w:ascii="Times New Roman" w:hAnsi="Times New Roman"/>
          <w:i/>
          <w:sz w:val="24"/>
          <w:szCs w:val="24"/>
        </w:rPr>
        <w:t>h means no more than that the info</w:t>
      </w:r>
      <w:r w:rsidR="009F0F28" w:rsidRPr="00CD12B1">
        <w:rPr>
          <w:rFonts w:ascii="Times New Roman" w:hAnsi="Times New Roman"/>
          <w:i/>
          <w:sz w:val="24"/>
          <w:szCs w:val="24"/>
        </w:rPr>
        <w:t>rmation</w:t>
      </w:r>
      <w:r w:rsidRPr="00CD12B1">
        <w:rPr>
          <w:rFonts w:ascii="Times New Roman" w:hAnsi="Times New Roman"/>
          <w:i/>
          <w:sz w:val="24"/>
          <w:szCs w:val="24"/>
        </w:rPr>
        <w:t xml:space="preserve"> in question is so generally accessible that, in all the circumstances, it cannot be regarded as confidential) then, as a general rule, the principle of confidentiality can have no application to it.’</w:t>
      </w:r>
      <w:r w:rsidR="006D3567" w:rsidRPr="00CD12B1">
        <w:rPr>
          <w:rFonts w:ascii="Times New Roman" w:hAnsi="Times New Roman"/>
          <w:sz w:val="24"/>
          <w:szCs w:val="24"/>
        </w:rPr>
        <w:t>’</w:t>
      </w:r>
      <w:r w:rsidR="002933C1" w:rsidRPr="00CD12B1">
        <w:rPr>
          <w:rStyle w:val="FootnoteReference"/>
          <w:rFonts w:ascii="Times New Roman" w:hAnsi="Times New Roman"/>
          <w:sz w:val="24"/>
          <w:szCs w:val="24"/>
        </w:rPr>
        <w:footnoteReference w:id="29"/>
      </w:r>
    </w:p>
    <w:p w:rsidR="0078724D" w:rsidRDefault="0078724D" w:rsidP="005111CF">
      <w:pPr>
        <w:spacing w:after="0" w:line="240" w:lineRule="auto"/>
        <w:jc w:val="both"/>
        <w:rPr>
          <w:rFonts w:ascii="Times New Roman" w:hAnsi="Times New Roman"/>
          <w:color w:val="FF0000"/>
          <w:sz w:val="24"/>
          <w:szCs w:val="24"/>
        </w:rPr>
      </w:pPr>
    </w:p>
    <w:p w:rsidR="004E5C6B" w:rsidRPr="008B66B3" w:rsidRDefault="0078724D" w:rsidP="005111CF">
      <w:pPr>
        <w:spacing w:after="0" w:line="240" w:lineRule="auto"/>
        <w:jc w:val="both"/>
        <w:rPr>
          <w:rFonts w:ascii="Times New Roman" w:hAnsi="Times New Roman"/>
          <w:sz w:val="24"/>
          <w:szCs w:val="24"/>
        </w:rPr>
      </w:pPr>
      <w:r w:rsidRPr="003D7CDC">
        <w:rPr>
          <w:rFonts w:ascii="Times New Roman" w:hAnsi="Times New Roman"/>
          <w:sz w:val="24"/>
          <w:szCs w:val="24"/>
        </w:rPr>
        <w:t xml:space="preserve">As in </w:t>
      </w:r>
      <w:r w:rsidRPr="003D7CDC">
        <w:rPr>
          <w:rFonts w:ascii="Times New Roman" w:hAnsi="Times New Roman"/>
          <w:i/>
          <w:sz w:val="24"/>
          <w:szCs w:val="24"/>
        </w:rPr>
        <w:t>Streisand v Adelman</w:t>
      </w:r>
      <w:r w:rsidR="005B0668" w:rsidRPr="003D7CDC">
        <w:rPr>
          <w:rFonts w:ascii="Times New Roman" w:hAnsi="Times New Roman"/>
          <w:sz w:val="24"/>
          <w:szCs w:val="24"/>
        </w:rPr>
        <w:t xml:space="preserve"> </w:t>
      </w:r>
      <w:r w:rsidR="004150FD" w:rsidRPr="003D7CDC">
        <w:rPr>
          <w:rFonts w:ascii="Times New Roman" w:hAnsi="Times New Roman"/>
          <w:sz w:val="24"/>
          <w:szCs w:val="24"/>
        </w:rPr>
        <w:t>it seems that</w:t>
      </w:r>
      <w:r w:rsidR="004A2628" w:rsidRPr="003D7CDC">
        <w:rPr>
          <w:rFonts w:ascii="Times New Roman" w:hAnsi="Times New Roman"/>
          <w:sz w:val="24"/>
          <w:szCs w:val="24"/>
        </w:rPr>
        <w:t xml:space="preserve"> the attempt</w:t>
      </w:r>
      <w:r w:rsidRPr="003D7CDC">
        <w:rPr>
          <w:rFonts w:ascii="Times New Roman" w:hAnsi="Times New Roman"/>
          <w:sz w:val="24"/>
          <w:szCs w:val="24"/>
        </w:rPr>
        <w:t xml:space="preserve"> in </w:t>
      </w:r>
      <w:proofErr w:type="spellStart"/>
      <w:r w:rsidRPr="003D7CDC">
        <w:rPr>
          <w:rFonts w:ascii="Times New Roman" w:hAnsi="Times New Roman"/>
          <w:i/>
          <w:sz w:val="24"/>
          <w:szCs w:val="24"/>
        </w:rPr>
        <w:t>Spycatcher</w:t>
      </w:r>
      <w:proofErr w:type="spellEnd"/>
      <w:r w:rsidR="004A2628" w:rsidRPr="003D7CDC">
        <w:rPr>
          <w:rFonts w:ascii="Times New Roman" w:hAnsi="Times New Roman"/>
          <w:sz w:val="24"/>
          <w:szCs w:val="24"/>
        </w:rPr>
        <w:t xml:space="preserve"> to supress the information fostered a curiosity</w:t>
      </w:r>
      <w:r w:rsidRPr="003D7CDC">
        <w:rPr>
          <w:rFonts w:ascii="Times New Roman" w:hAnsi="Times New Roman"/>
          <w:sz w:val="24"/>
          <w:szCs w:val="24"/>
        </w:rPr>
        <w:t xml:space="preserve"> and stimulated </w:t>
      </w:r>
      <w:r>
        <w:rPr>
          <w:rFonts w:ascii="Times New Roman" w:hAnsi="Times New Roman"/>
          <w:sz w:val="24"/>
          <w:szCs w:val="24"/>
        </w:rPr>
        <w:t>a demand for the book that</w:t>
      </w:r>
      <w:r w:rsidR="00286687">
        <w:rPr>
          <w:rFonts w:ascii="Times New Roman" w:hAnsi="Times New Roman"/>
          <w:sz w:val="24"/>
          <w:szCs w:val="24"/>
        </w:rPr>
        <w:t xml:space="preserve"> otherwise </w:t>
      </w:r>
      <w:r w:rsidR="00552F09">
        <w:rPr>
          <w:rFonts w:ascii="Times New Roman" w:hAnsi="Times New Roman"/>
          <w:sz w:val="24"/>
          <w:szCs w:val="24"/>
        </w:rPr>
        <w:t>may</w:t>
      </w:r>
      <w:r>
        <w:rPr>
          <w:rFonts w:ascii="Times New Roman" w:hAnsi="Times New Roman"/>
          <w:sz w:val="24"/>
          <w:szCs w:val="24"/>
        </w:rPr>
        <w:t xml:space="preserve"> not have occurred</w:t>
      </w:r>
      <w:r w:rsidR="004E5C6B">
        <w:rPr>
          <w:rFonts w:ascii="Times New Roman" w:hAnsi="Times New Roman"/>
          <w:sz w:val="24"/>
          <w:szCs w:val="24"/>
        </w:rPr>
        <w:t xml:space="preserve">.  This </w:t>
      </w:r>
      <w:r w:rsidR="00F56D4B">
        <w:rPr>
          <w:rFonts w:ascii="Times New Roman" w:hAnsi="Times New Roman"/>
          <w:sz w:val="24"/>
          <w:szCs w:val="24"/>
        </w:rPr>
        <w:t xml:space="preserve">case </w:t>
      </w:r>
      <w:r w:rsidR="00552F09">
        <w:rPr>
          <w:rFonts w:ascii="Times New Roman" w:hAnsi="Times New Roman"/>
          <w:sz w:val="24"/>
          <w:szCs w:val="24"/>
        </w:rPr>
        <w:t>also</w:t>
      </w:r>
      <w:r w:rsidR="004E5C6B">
        <w:rPr>
          <w:rFonts w:ascii="Times New Roman" w:hAnsi="Times New Roman"/>
          <w:sz w:val="24"/>
          <w:szCs w:val="24"/>
        </w:rPr>
        <w:t xml:space="preserve"> raises the question of whether t</w:t>
      </w:r>
      <w:r w:rsidR="00941E69" w:rsidRPr="00E652C3">
        <w:rPr>
          <w:rFonts w:ascii="Times New Roman" w:hAnsi="Times New Roman"/>
          <w:sz w:val="24"/>
          <w:szCs w:val="24"/>
        </w:rPr>
        <w:t>he</w:t>
      </w:r>
      <w:r w:rsidR="004E5C6B">
        <w:rPr>
          <w:rFonts w:ascii="Times New Roman" w:hAnsi="Times New Roman"/>
          <w:sz w:val="24"/>
          <w:szCs w:val="24"/>
        </w:rPr>
        <w:t xml:space="preserve"> act</w:t>
      </w:r>
      <w:r w:rsidR="00941E69" w:rsidRPr="00E652C3">
        <w:rPr>
          <w:rFonts w:ascii="Times New Roman" w:hAnsi="Times New Roman"/>
          <w:sz w:val="24"/>
          <w:szCs w:val="24"/>
        </w:rPr>
        <w:t xml:space="preserve"> of censo</w:t>
      </w:r>
      <w:r w:rsidR="00BF7A70">
        <w:rPr>
          <w:rFonts w:ascii="Times New Roman" w:hAnsi="Times New Roman"/>
          <w:sz w:val="24"/>
          <w:szCs w:val="24"/>
        </w:rPr>
        <w:t>rship itself may create a</w:t>
      </w:r>
      <w:r w:rsidR="00941E69" w:rsidRPr="00E652C3">
        <w:rPr>
          <w:rFonts w:ascii="Times New Roman" w:hAnsi="Times New Roman"/>
          <w:sz w:val="24"/>
          <w:szCs w:val="24"/>
        </w:rPr>
        <w:t xml:space="preserve"> </w:t>
      </w:r>
      <w:r w:rsidR="00941E69" w:rsidRPr="008B66B3">
        <w:rPr>
          <w:rFonts w:ascii="Times New Roman" w:hAnsi="Times New Roman"/>
          <w:sz w:val="24"/>
          <w:szCs w:val="24"/>
        </w:rPr>
        <w:t>demand</w:t>
      </w:r>
      <w:r w:rsidR="004E5C6B" w:rsidRPr="008B66B3">
        <w:rPr>
          <w:rFonts w:ascii="Times New Roman" w:hAnsi="Times New Roman"/>
          <w:sz w:val="24"/>
          <w:szCs w:val="24"/>
        </w:rPr>
        <w:t xml:space="preserve"> for specific information</w:t>
      </w:r>
      <w:r w:rsidR="00941E69" w:rsidRPr="008B66B3">
        <w:rPr>
          <w:rFonts w:ascii="Times New Roman" w:hAnsi="Times New Roman"/>
          <w:sz w:val="24"/>
          <w:szCs w:val="24"/>
        </w:rPr>
        <w:t xml:space="preserve"> rather than the</w:t>
      </w:r>
      <w:r w:rsidR="004E5C6B" w:rsidRPr="008B66B3">
        <w:rPr>
          <w:rFonts w:ascii="Times New Roman" w:hAnsi="Times New Roman"/>
          <w:sz w:val="24"/>
          <w:szCs w:val="24"/>
        </w:rPr>
        <w:t xml:space="preserve"> nature </w:t>
      </w:r>
      <w:r w:rsidR="00A46D5D" w:rsidRPr="008B66B3">
        <w:rPr>
          <w:rFonts w:ascii="Times New Roman" w:hAnsi="Times New Roman"/>
          <w:sz w:val="24"/>
          <w:szCs w:val="24"/>
        </w:rPr>
        <w:t>and content of the information</w:t>
      </w:r>
      <w:r w:rsidR="00BF7A70" w:rsidRPr="008B66B3">
        <w:rPr>
          <w:rFonts w:ascii="Times New Roman" w:hAnsi="Times New Roman"/>
          <w:sz w:val="24"/>
          <w:szCs w:val="24"/>
        </w:rPr>
        <w:t xml:space="preserve"> </w:t>
      </w:r>
      <w:r w:rsidR="00BF7A70" w:rsidRPr="008B66B3">
        <w:rPr>
          <w:rFonts w:ascii="Times New Roman" w:hAnsi="Times New Roman"/>
          <w:i/>
          <w:sz w:val="24"/>
          <w:szCs w:val="24"/>
        </w:rPr>
        <w:t>per se</w:t>
      </w:r>
      <w:r w:rsidR="004E5C6B" w:rsidRPr="008B66B3">
        <w:rPr>
          <w:rFonts w:ascii="Times New Roman" w:hAnsi="Times New Roman"/>
          <w:sz w:val="24"/>
          <w:szCs w:val="24"/>
        </w:rPr>
        <w:t>.</w:t>
      </w:r>
      <w:r w:rsidR="007E70BC" w:rsidRPr="008B66B3">
        <w:rPr>
          <w:rFonts w:ascii="Times New Roman" w:hAnsi="Times New Roman"/>
          <w:sz w:val="24"/>
          <w:szCs w:val="24"/>
        </w:rPr>
        <w:t xml:space="preserve"> </w:t>
      </w:r>
      <w:r w:rsidR="00A46D5D" w:rsidRPr="008B66B3">
        <w:rPr>
          <w:rFonts w:ascii="Times New Roman" w:hAnsi="Times New Roman"/>
          <w:sz w:val="24"/>
          <w:szCs w:val="24"/>
        </w:rPr>
        <w:t xml:space="preserve"> These propositions </w:t>
      </w:r>
      <w:r w:rsidR="004E5C6B" w:rsidRPr="008B66B3">
        <w:rPr>
          <w:rFonts w:ascii="Times New Roman" w:hAnsi="Times New Roman"/>
          <w:sz w:val="24"/>
          <w:szCs w:val="24"/>
        </w:rPr>
        <w:t>are afforded</w:t>
      </w:r>
      <w:r w:rsidR="008B66B3" w:rsidRPr="008B66B3">
        <w:rPr>
          <w:rFonts w:ascii="Times New Roman" w:hAnsi="Times New Roman"/>
          <w:sz w:val="24"/>
          <w:szCs w:val="24"/>
        </w:rPr>
        <w:t xml:space="preserve"> further examination in Part 3.1</w:t>
      </w:r>
      <w:r w:rsidR="004E5C6B" w:rsidRPr="008B66B3">
        <w:rPr>
          <w:rFonts w:ascii="Times New Roman" w:hAnsi="Times New Roman"/>
          <w:sz w:val="24"/>
          <w:szCs w:val="24"/>
        </w:rPr>
        <w:t>.</w:t>
      </w:r>
      <w:r w:rsidR="007E70BC" w:rsidRPr="008B66B3">
        <w:rPr>
          <w:rFonts w:ascii="Times New Roman" w:hAnsi="Times New Roman"/>
          <w:sz w:val="24"/>
          <w:szCs w:val="24"/>
        </w:rPr>
        <w:t xml:space="preserve"> </w:t>
      </w:r>
    </w:p>
    <w:p w:rsidR="002A1AB2" w:rsidRDefault="002A1AB2" w:rsidP="005111CF">
      <w:pPr>
        <w:spacing w:after="0" w:line="240" w:lineRule="auto"/>
        <w:jc w:val="both"/>
        <w:rPr>
          <w:rFonts w:ascii="Times New Roman" w:hAnsi="Times New Roman"/>
          <w:color w:val="FF0000"/>
          <w:sz w:val="24"/>
          <w:szCs w:val="24"/>
        </w:rPr>
      </w:pPr>
    </w:p>
    <w:p w:rsidR="002A1AB2" w:rsidRPr="00C80905" w:rsidRDefault="002A1AB2" w:rsidP="005111CF">
      <w:pPr>
        <w:spacing w:after="0" w:line="240" w:lineRule="auto"/>
        <w:jc w:val="both"/>
        <w:rPr>
          <w:rFonts w:ascii="Times New Roman" w:hAnsi="Times New Roman"/>
          <w:color w:val="FF0000"/>
          <w:sz w:val="24"/>
          <w:szCs w:val="24"/>
        </w:rPr>
      </w:pPr>
    </w:p>
    <w:p w:rsidR="003B6561" w:rsidRPr="00C8784B" w:rsidRDefault="00B61677" w:rsidP="005111CF">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 xml:space="preserve">[1.2] </w:t>
      </w:r>
      <w:r w:rsidR="00C8784B" w:rsidRPr="00C8784B">
        <w:rPr>
          <w:rFonts w:ascii="Times New Roman" w:hAnsi="Times New Roman"/>
          <w:b/>
          <w:i/>
          <w:sz w:val="24"/>
          <w:szCs w:val="24"/>
          <w:u w:val="single"/>
        </w:rPr>
        <w:t>The ‘</w:t>
      </w:r>
      <w:proofErr w:type="spellStart"/>
      <w:r w:rsidR="003B6561" w:rsidRPr="00C8784B">
        <w:rPr>
          <w:rFonts w:ascii="Times New Roman" w:hAnsi="Times New Roman"/>
          <w:b/>
          <w:i/>
          <w:sz w:val="24"/>
          <w:szCs w:val="24"/>
          <w:u w:val="single"/>
        </w:rPr>
        <w:t>Giggs</w:t>
      </w:r>
      <w:proofErr w:type="spellEnd"/>
      <w:r w:rsidR="003B6561" w:rsidRPr="00C8784B">
        <w:rPr>
          <w:rFonts w:ascii="Times New Roman" w:hAnsi="Times New Roman"/>
          <w:b/>
          <w:i/>
          <w:sz w:val="24"/>
          <w:szCs w:val="24"/>
          <w:u w:val="single"/>
        </w:rPr>
        <w:t xml:space="preserve"> Effect</w:t>
      </w:r>
      <w:r w:rsidR="00C8784B" w:rsidRPr="00C8784B">
        <w:rPr>
          <w:rFonts w:ascii="Times New Roman" w:hAnsi="Times New Roman"/>
          <w:b/>
          <w:i/>
          <w:sz w:val="24"/>
          <w:szCs w:val="24"/>
          <w:u w:val="single"/>
        </w:rPr>
        <w:t>’</w:t>
      </w:r>
    </w:p>
    <w:p w:rsidR="00890DAE" w:rsidRDefault="00890DAE" w:rsidP="005111CF">
      <w:pPr>
        <w:spacing w:after="0" w:line="240" w:lineRule="auto"/>
        <w:jc w:val="both"/>
        <w:rPr>
          <w:rFonts w:ascii="Times New Roman" w:hAnsi="Times New Roman"/>
          <w:color w:val="FF0000"/>
          <w:sz w:val="24"/>
          <w:szCs w:val="24"/>
        </w:rPr>
      </w:pPr>
    </w:p>
    <w:p w:rsidR="00CB52B3" w:rsidRPr="00600483" w:rsidRDefault="00951068" w:rsidP="00CB52B3">
      <w:pPr>
        <w:spacing w:after="0" w:line="240" w:lineRule="auto"/>
        <w:jc w:val="both"/>
        <w:rPr>
          <w:rFonts w:ascii="Times New Roman" w:hAnsi="Times New Roman"/>
          <w:color w:val="FF0000"/>
          <w:sz w:val="24"/>
          <w:szCs w:val="24"/>
        </w:rPr>
      </w:pPr>
      <w:r w:rsidRPr="00A45879">
        <w:rPr>
          <w:rFonts w:ascii="Times New Roman" w:hAnsi="Times New Roman"/>
          <w:sz w:val="24"/>
          <w:szCs w:val="24"/>
        </w:rPr>
        <w:t>A number</w:t>
      </w:r>
      <w:r w:rsidR="00600483" w:rsidRPr="00A45879">
        <w:rPr>
          <w:rFonts w:ascii="Times New Roman" w:hAnsi="Times New Roman"/>
          <w:sz w:val="24"/>
          <w:szCs w:val="24"/>
        </w:rPr>
        <w:t xml:space="preserve"> of contemporary MPI cases have followed the broad Streisand-</w:t>
      </w:r>
      <w:proofErr w:type="spellStart"/>
      <w:r w:rsidR="00600483" w:rsidRPr="00A45879">
        <w:rPr>
          <w:rFonts w:ascii="Times New Roman" w:hAnsi="Times New Roman"/>
          <w:sz w:val="24"/>
          <w:szCs w:val="24"/>
        </w:rPr>
        <w:t>Spycatcher</w:t>
      </w:r>
      <w:proofErr w:type="spellEnd"/>
      <w:r w:rsidR="00600483" w:rsidRPr="00A45879">
        <w:rPr>
          <w:rFonts w:ascii="Times New Roman" w:hAnsi="Times New Roman"/>
          <w:sz w:val="24"/>
          <w:szCs w:val="24"/>
        </w:rPr>
        <w:t xml:space="preserve"> </w:t>
      </w:r>
      <w:r w:rsidRPr="00A45879">
        <w:rPr>
          <w:rFonts w:ascii="Times New Roman" w:hAnsi="Times New Roman"/>
          <w:sz w:val="24"/>
          <w:szCs w:val="24"/>
        </w:rPr>
        <w:t>dynamic</w:t>
      </w:r>
      <w:r w:rsidR="00600483" w:rsidRPr="00A45879">
        <w:rPr>
          <w:rFonts w:ascii="Times New Roman" w:hAnsi="Times New Roman"/>
          <w:sz w:val="24"/>
          <w:szCs w:val="24"/>
        </w:rPr>
        <w:t xml:space="preserve">.  The earliest high-profile example was the </w:t>
      </w:r>
      <w:proofErr w:type="spellStart"/>
      <w:r w:rsidR="009E16CF" w:rsidRPr="00A45879">
        <w:rPr>
          <w:rFonts w:ascii="Times New Roman" w:hAnsi="Times New Roman"/>
          <w:i/>
          <w:sz w:val="24"/>
          <w:szCs w:val="24"/>
        </w:rPr>
        <w:t>Giggs</w:t>
      </w:r>
      <w:proofErr w:type="spellEnd"/>
      <w:r w:rsidR="009E16CF" w:rsidRPr="00A45879">
        <w:rPr>
          <w:rFonts w:ascii="Times New Roman" w:hAnsi="Times New Roman"/>
          <w:i/>
          <w:sz w:val="24"/>
          <w:szCs w:val="24"/>
        </w:rPr>
        <w:t xml:space="preserve"> </w:t>
      </w:r>
      <w:r w:rsidR="00ED783B" w:rsidRPr="00A45879">
        <w:rPr>
          <w:rFonts w:ascii="Times New Roman" w:hAnsi="Times New Roman"/>
          <w:i/>
          <w:sz w:val="24"/>
          <w:szCs w:val="24"/>
        </w:rPr>
        <w:t xml:space="preserve">(formerly CTB) </w:t>
      </w:r>
      <w:r w:rsidR="009E16CF" w:rsidRPr="00A45879">
        <w:rPr>
          <w:rFonts w:ascii="Times New Roman" w:hAnsi="Times New Roman"/>
          <w:i/>
          <w:sz w:val="24"/>
          <w:szCs w:val="24"/>
        </w:rPr>
        <w:t>v News Group</w:t>
      </w:r>
      <w:r w:rsidR="000E27F6" w:rsidRPr="00A45879">
        <w:rPr>
          <w:rFonts w:ascii="Times New Roman" w:hAnsi="Times New Roman"/>
          <w:sz w:val="24"/>
          <w:szCs w:val="24"/>
        </w:rPr>
        <w:t xml:space="preserve"> </w:t>
      </w:r>
      <w:r w:rsidR="0045685A" w:rsidRPr="00A45879">
        <w:rPr>
          <w:rFonts w:ascii="Times New Roman" w:hAnsi="Times New Roman"/>
          <w:sz w:val="24"/>
          <w:szCs w:val="24"/>
        </w:rPr>
        <w:t>litigation</w:t>
      </w:r>
      <w:r w:rsidRPr="00A45879">
        <w:rPr>
          <w:rFonts w:ascii="Times New Roman" w:hAnsi="Times New Roman"/>
          <w:sz w:val="24"/>
          <w:szCs w:val="24"/>
        </w:rPr>
        <w:t xml:space="preserve"> which</w:t>
      </w:r>
      <w:r w:rsidR="00600483" w:rsidRPr="00A45879">
        <w:rPr>
          <w:rFonts w:ascii="Times New Roman" w:hAnsi="Times New Roman"/>
          <w:sz w:val="24"/>
          <w:szCs w:val="24"/>
        </w:rPr>
        <w:t xml:space="preserve"> </w:t>
      </w:r>
      <w:r w:rsidR="009E16CF" w:rsidRPr="00A45879">
        <w:rPr>
          <w:rFonts w:ascii="Times New Roman" w:hAnsi="Times New Roman"/>
          <w:sz w:val="24"/>
          <w:szCs w:val="24"/>
        </w:rPr>
        <w:t>highlight</w:t>
      </w:r>
      <w:r w:rsidR="00600483" w:rsidRPr="00A45879">
        <w:rPr>
          <w:rFonts w:ascii="Times New Roman" w:hAnsi="Times New Roman"/>
          <w:sz w:val="24"/>
          <w:szCs w:val="24"/>
        </w:rPr>
        <w:t>ed</w:t>
      </w:r>
      <w:r w:rsidR="002A1AB2">
        <w:rPr>
          <w:rFonts w:ascii="Times New Roman" w:hAnsi="Times New Roman"/>
          <w:sz w:val="24"/>
          <w:szCs w:val="24"/>
        </w:rPr>
        <w:t xml:space="preserve"> an</w:t>
      </w:r>
      <w:r w:rsidR="000E27F6" w:rsidRPr="00A45879">
        <w:rPr>
          <w:rFonts w:ascii="Times New Roman" w:hAnsi="Times New Roman"/>
          <w:sz w:val="24"/>
          <w:szCs w:val="24"/>
        </w:rPr>
        <w:t xml:space="preserve"> </w:t>
      </w:r>
      <w:r w:rsidR="002A1AB2">
        <w:rPr>
          <w:rFonts w:ascii="Times New Roman" w:hAnsi="Times New Roman"/>
          <w:sz w:val="24"/>
          <w:szCs w:val="24"/>
        </w:rPr>
        <w:t>unintended consequence</w:t>
      </w:r>
      <w:r w:rsidRPr="00A45879">
        <w:rPr>
          <w:rFonts w:ascii="Times New Roman" w:hAnsi="Times New Roman"/>
          <w:sz w:val="24"/>
          <w:szCs w:val="24"/>
        </w:rPr>
        <w:t xml:space="preserve"> </w:t>
      </w:r>
      <w:r w:rsidR="000E27F6" w:rsidRPr="00A45879">
        <w:rPr>
          <w:rFonts w:ascii="Times New Roman" w:hAnsi="Times New Roman"/>
          <w:sz w:val="24"/>
          <w:szCs w:val="24"/>
        </w:rPr>
        <w:t>of privacy-protecting</w:t>
      </w:r>
      <w:r w:rsidR="009E16CF" w:rsidRPr="00A45879">
        <w:rPr>
          <w:rFonts w:ascii="Times New Roman" w:hAnsi="Times New Roman"/>
          <w:sz w:val="24"/>
          <w:szCs w:val="24"/>
        </w:rPr>
        <w:t xml:space="preserve"> injunctions</w:t>
      </w:r>
      <w:r w:rsidR="000E27F6" w:rsidRPr="00A45879">
        <w:rPr>
          <w:rFonts w:ascii="Times New Roman" w:hAnsi="Times New Roman"/>
          <w:sz w:val="24"/>
          <w:szCs w:val="24"/>
        </w:rPr>
        <w:t xml:space="preserve"> that prohibit the dissemination of certain information</w:t>
      </w:r>
      <w:r w:rsidR="009E16CF" w:rsidRPr="00A45879">
        <w:rPr>
          <w:rFonts w:ascii="Times New Roman" w:hAnsi="Times New Roman"/>
          <w:sz w:val="24"/>
          <w:szCs w:val="24"/>
        </w:rPr>
        <w:t xml:space="preserve">; </w:t>
      </w:r>
      <w:r w:rsidR="008B678A">
        <w:rPr>
          <w:rFonts w:ascii="Times New Roman" w:hAnsi="Times New Roman"/>
          <w:sz w:val="24"/>
          <w:szCs w:val="24"/>
        </w:rPr>
        <w:t xml:space="preserve">that </w:t>
      </w:r>
      <w:r w:rsidR="009E16CF" w:rsidRPr="00A45879">
        <w:rPr>
          <w:rFonts w:ascii="Times New Roman" w:hAnsi="Times New Roman"/>
          <w:sz w:val="24"/>
          <w:szCs w:val="24"/>
        </w:rPr>
        <w:t xml:space="preserve">they may draw </w:t>
      </w:r>
      <w:r w:rsidR="009E16CF" w:rsidRPr="00600483">
        <w:rPr>
          <w:rFonts w:ascii="Times New Roman" w:hAnsi="Times New Roman"/>
          <w:sz w:val="24"/>
          <w:szCs w:val="24"/>
        </w:rPr>
        <w:t>more attention to the disputed material by p</w:t>
      </w:r>
      <w:r w:rsidR="008A037F" w:rsidRPr="00600483">
        <w:rPr>
          <w:rFonts w:ascii="Times New Roman" w:hAnsi="Times New Roman"/>
          <w:sz w:val="24"/>
          <w:szCs w:val="24"/>
        </w:rPr>
        <w:t xml:space="preserve">iquing wider curiosity about it.  </w:t>
      </w:r>
      <w:r w:rsidR="00CA3625" w:rsidRPr="00600483">
        <w:rPr>
          <w:rFonts w:ascii="Times New Roman" w:hAnsi="Times New Roman"/>
          <w:sz w:val="24"/>
          <w:szCs w:val="24"/>
        </w:rPr>
        <w:t xml:space="preserve">As is </w:t>
      </w:r>
      <w:r w:rsidR="00CA3625" w:rsidRPr="008A037F">
        <w:rPr>
          <w:rFonts w:ascii="Times New Roman" w:hAnsi="Times New Roman"/>
          <w:sz w:val="24"/>
          <w:szCs w:val="24"/>
        </w:rPr>
        <w:t xml:space="preserve">well known, the dispute involved footballer Ryan </w:t>
      </w:r>
      <w:proofErr w:type="spellStart"/>
      <w:r w:rsidR="00CA3625" w:rsidRPr="008A037F">
        <w:rPr>
          <w:rFonts w:ascii="Times New Roman" w:hAnsi="Times New Roman"/>
          <w:sz w:val="24"/>
          <w:szCs w:val="24"/>
        </w:rPr>
        <w:t>Giggs</w:t>
      </w:r>
      <w:proofErr w:type="spellEnd"/>
      <w:r w:rsidR="00CA3625" w:rsidRPr="008A037F">
        <w:rPr>
          <w:rFonts w:ascii="Times New Roman" w:hAnsi="Times New Roman"/>
          <w:sz w:val="24"/>
          <w:szCs w:val="24"/>
        </w:rPr>
        <w:t xml:space="preserve"> who </w:t>
      </w:r>
      <w:r w:rsidR="000E27F6" w:rsidRPr="008A037F">
        <w:rPr>
          <w:rFonts w:ascii="Times New Roman" w:hAnsi="Times New Roman"/>
          <w:sz w:val="24"/>
          <w:szCs w:val="24"/>
        </w:rPr>
        <w:t xml:space="preserve">initially </w:t>
      </w:r>
      <w:r w:rsidR="00CA3625" w:rsidRPr="008A037F">
        <w:rPr>
          <w:rFonts w:ascii="Times New Roman" w:hAnsi="Times New Roman"/>
          <w:sz w:val="24"/>
          <w:szCs w:val="24"/>
        </w:rPr>
        <w:t>obtained an an</w:t>
      </w:r>
      <w:r w:rsidR="008A037F" w:rsidRPr="008A037F">
        <w:rPr>
          <w:rFonts w:ascii="Times New Roman" w:hAnsi="Times New Roman"/>
          <w:sz w:val="24"/>
          <w:szCs w:val="24"/>
        </w:rPr>
        <w:t>onym</w:t>
      </w:r>
      <w:r w:rsidR="00CA3625" w:rsidRPr="008A037F">
        <w:rPr>
          <w:rFonts w:ascii="Times New Roman" w:hAnsi="Times New Roman"/>
          <w:sz w:val="24"/>
          <w:szCs w:val="24"/>
        </w:rPr>
        <w:t>ised injunction to prevent pu</w:t>
      </w:r>
      <w:r w:rsidR="00CA3625" w:rsidRPr="00AA3380">
        <w:rPr>
          <w:rFonts w:ascii="Times New Roman" w:hAnsi="Times New Roman"/>
          <w:sz w:val="24"/>
          <w:szCs w:val="24"/>
        </w:rPr>
        <w:t>blication of information relating to an extra-marital affair</w:t>
      </w:r>
      <w:r w:rsidR="000E27F6" w:rsidRPr="00AA3380">
        <w:rPr>
          <w:rFonts w:ascii="Times New Roman" w:hAnsi="Times New Roman"/>
          <w:sz w:val="24"/>
          <w:szCs w:val="24"/>
        </w:rPr>
        <w:t xml:space="preserve"> he had with</w:t>
      </w:r>
      <w:r w:rsidR="00AA3380" w:rsidRPr="00AA3380">
        <w:rPr>
          <w:rFonts w:ascii="Times New Roman" w:hAnsi="Times New Roman"/>
          <w:sz w:val="24"/>
          <w:szCs w:val="24"/>
        </w:rPr>
        <w:t xml:space="preserve"> the second defendant,</w:t>
      </w:r>
      <w:r w:rsidR="000E27F6">
        <w:rPr>
          <w:rFonts w:ascii="Times New Roman" w:hAnsi="Times New Roman"/>
          <w:color w:val="FF0000"/>
          <w:sz w:val="24"/>
          <w:szCs w:val="24"/>
        </w:rPr>
        <w:t xml:space="preserve"> </w:t>
      </w:r>
      <w:r w:rsidR="000E27F6" w:rsidRPr="008A037F">
        <w:rPr>
          <w:rFonts w:ascii="Times New Roman" w:hAnsi="Times New Roman"/>
          <w:sz w:val="24"/>
          <w:szCs w:val="24"/>
        </w:rPr>
        <w:t>Imogen Thomas</w:t>
      </w:r>
      <w:r w:rsidR="00CA3625" w:rsidRPr="008A037F">
        <w:rPr>
          <w:rFonts w:ascii="Times New Roman" w:hAnsi="Times New Roman"/>
          <w:sz w:val="24"/>
          <w:szCs w:val="24"/>
        </w:rPr>
        <w:t>.</w:t>
      </w:r>
      <w:r w:rsidR="008A037F" w:rsidRPr="008A037F">
        <w:rPr>
          <w:rFonts w:ascii="Times New Roman" w:hAnsi="Times New Roman"/>
          <w:sz w:val="24"/>
          <w:szCs w:val="24"/>
        </w:rPr>
        <w:t xml:space="preserve">  </w:t>
      </w:r>
      <w:r w:rsidR="000E27F6" w:rsidRPr="008A037F">
        <w:rPr>
          <w:rFonts w:ascii="Times New Roman" w:hAnsi="Times New Roman"/>
          <w:sz w:val="24"/>
          <w:szCs w:val="24"/>
        </w:rPr>
        <w:t xml:space="preserve">The sequence of events – and </w:t>
      </w:r>
      <w:r w:rsidR="00600483">
        <w:rPr>
          <w:rFonts w:ascii="Times New Roman" w:hAnsi="Times New Roman"/>
          <w:sz w:val="24"/>
          <w:szCs w:val="24"/>
        </w:rPr>
        <w:t xml:space="preserve">particularly </w:t>
      </w:r>
      <w:r w:rsidR="000E27F6" w:rsidRPr="008A037F">
        <w:rPr>
          <w:rFonts w:ascii="Times New Roman" w:hAnsi="Times New Roman"/>
          <w:sz w:val="24"/>
          <w:szCs w:val="24"/>
        </w:rPr>
        <w:t>their time</w:t>
      </w:r>
      <w:r w:rsidR="00463536">
        <w:rPr>
          <w:rFonts w:ascii="Times New Roman" w:hAnsi="Times New Roman"/>
          <w:sz w:val="24"/>
          <w:szCs w:val="24"/>
        </w:rPr>
        <w:t>frame – provide a fascinating</w:t>
      </w:r>
      <w:r w:rsidR="000E27F6" w:rsidRPr="008A037F">
        <w:rPr>
          <w:rFonts w:ascii="Times New Roman" w:hAnsi="Times New Roman"/>
          <w:sz w:val="24"/>
          <w:szCs w:val="24"/>
        </w:rPr>
        <w:t xml:space="preserve"> case study</w:t>
      </w:r>
      <w:r w:rsidR="008A037F">
        <w:rPr>
          <w:rFonts w:ascii="Times New Roman" w:hAnsi="Times New Roman"/>
          <w:sz w:val="24"/>
          <w:szCs w:val="24"/>
        </w:rPr>
        <w:t xml:space="preserve"> of perverse </w:t>
      </w:r>
      <w:r w:rsidR="00CC0041" w:rsidRPr="008A037F">
        <w:rPr>
          <w:rFonts w:ascii="Times New Roman" w:hAnsi="Times New Roman"/>
          <w:sz w:val="24"/>
          <w:szCs w:val="24"/>
        </w:rPr>
        <w:t>incentives in effect.</w:t>
      </w:r>
    </w:p>
    <w:p w:rsidR="00CB52B3" w:rsidRDefault="00CB52B3" w:rsidP="00CB52B3">
      <w:pPr>
        <w:spacing w:after="0" w:line="240" w:lineRule="auto"/>
        <w:jc w:val="both"/>
        <w:rPr>
          <w:rFonts w:ascii="Times New Roman" w:hAnsi="Times New Roman"/>
          <w:sz w:val="24"/>
          <w:szCs w:val="24"/>
        </w:rPr>
      </w:pPr>
    </w:p>
    <w:p w:rsidR="00F875E1" w:rsidRPr="00F875E1" w:rsidRDefault="001A2B3D" w:rsidP="00F875E1">
      <w:pPr>
        <w:spacing w:after="0" w:line="240" w:lineRule="auto"/>
        <w:jc w:val="both"/>
        <w:rPr>
          <w:rFonts w:ascii="Times New Roman" w:hAnsi="Times New Roman"/>
          <w:sz w:val="24"/>
          <w:szCs w:val="24"/>
        </w:rPr>
      </w:pPr>
      <w:r w:rsidRPr="00ED783B">
        <w:rPr>
          <w:rFonts w:ascii="Times New Roman" w:hAnsi="Times New Roman"/>
          <w:sz w:val="24"/>
          <w:szCs w:val="24"/>
        </w:rPr>
        <w:t xml:space="preserve">On 14 April 2011 </w:t>
      </w:r>
      <w:proofErr w:type="spellStart"/>
      <w:r w:rsidR="00E63698" w:rsidRPr="00ED783B">
        <w:rPr>
          <w:rFonts w:ascii="Times New Roman" w:hAnsi="Times New Roman"/>
          <w:sz w:val="24"/>
          <w:szCs w:val="24"/>
        </w:rPr>
        <w:t>Eady</w:t>
      </w:r>
      <w:proofErr w:type="spellEnd"/>
      <w:r w:rsidR="00E63698" w:rsidRPr="00ED783B">
        <w:rPr>
          <w:rFonts w:ascii="Times New Roman" w:hAnsi="Times New Roman"/>
          <w:sz w:val="24"/>
          <w:szCs w:val="24"/>
        </w:rPr>
        <w:t xml:space="preserve"> J granted a temporary </w:t>
      </w:r>
      <w:r w:rsidR="00726B19" w:rsidRPr="00ED783B">
        <w:rPr>
          <w:rFonts w:ascii="Times New Roman" w:hAnsi="Times New Roman"/>
          <w:sz w:val="24"/>
          <w:szCs w:val="24"/>
        </w:rPr>
        <w:t>anonym</w:t>
      </w:r>
      <w:r w:rsidR="00600483">
        <w:rPr>
          <w:rFonts w:ascii="Times New Roman" w:hAnsi="Times New Roman"/>
          <w:sz w:val="24"/>
          <w:szCs w:val="24"/>
        </w:rPr>
        <w:t xml:space="preserve">ised injunction to prevent </w:t>
      </w:r>
      <w:r w:rsidR="00600483" w:rsidRPr="00600483">
        <w:rPr>
          <w:rFonts w:ascii="Times New Roman" w:hAnsi="Times New Roman"/>
          <w:i/>
          <w:sz w:val="24"/>
          <w:szCs w:val="24"/>
        </w:rPr>
        <w:t>T</w:t>
      </w:r>
      <w:r w:rsidR="00E63698" w:rsidRPr="00600483">
        <w:rPr>
          <w:rFonts w:ascii="Times New Roman" w:hAnsi="Times New Roman"/>
          <w:i/>
          <w:sz w:val="24"/>
          <w:szCs w:val="24"/>
        </w:rPr>
        <w:t>he Sun</w:t>
      </w:r>
      <w:r w:rsidR="00E63698" w:rsidRPr="00ED783B">
        <w:rPr>
          <w:rFonts w:ascii="Times New Roman" w:hAnsi="Times New Roman"/>
          <w:sz w:val="24"/>
          <w:szCs w:val="24"/>
        </w:rPr>
        <w:t xml:space="preserve"> running a story ab</w:t>
      </w:r>
      <w:r w:rsidRPr="00ED783B">
        <w:rPr>
          <w:rFonts w:ascii="Times New Roman" w:hAnsi="Times New Roman"/>
          <w:sz w:val="24"/>
          <w:szCs w:val="24"/>
        </w:rPr>
        <w:t>out the applicant’s</w:t>
      </w:r>
      <w:r w:rsidR="00E63698" w:rsidRPr="00ED783B">
        <w:rPr>
          <w:rFonts w:ascii="Times New Roman" w:hAnsi="Times New Roman"/>
          <w:sz w:val="24"/>
          <w:szCs w:val="24"/>
        </w:rPr>
        <w:t xml:space="preserve"> </w:t>
      </w:r>
      <w:r w:rsidR="00A45879">
        <w:rPr>
          <w:rFonts w:ascii="Times New Roman" w:hAnsi="Times New Roman"/>
          <w:sz w:val="24"/>
          <w:szCs w:val="24"/>
        </w:rPr>
        <w:t xml:space="preserve">extra-marital </w:t>
      </w:r>
      <w:r w:rsidR="00E63698" w:rsidRPr="00ED783B">
        <w:rPr>
          <w:rFonts w:ascii="Times New Roman" w:hAnsi="Times New Roman"/>
          <w:sz w:val="24"/>
          <w:szCs w:val="24"/>
        </w:rPr>
        <w:t>affair.</w:t>
      </w:r>
      <w:r w:rsidR="00E63698" w:rsidRPr="00ED783B">
        <w:rPr>
          <w:rStyle w:val="FootnoteReference"/>
          <w:rFonts w:ascii="Times New Roman" w:hAnsi="Times New Roman"/>
          <w:sz w:val="24"/>
          <w:szCs w:val="24"/>
        </w:rPr>
        <w:footnoteReference w:id="30"/>
      </w:r>
      <w:r w:rsidRPr="00ED783B">
        <w:rPr>
          <w:rFonts w:ascii="Times New Roman" w:hAnsi="Times New Roman"/>
          <w:sz w:val="24"/>
          <w:szCs w:val="24"/>
        </w:rPr>
        <w:t xml:space="preserve">  On the same day </w:t>
      </w:r>
      <w:r w:rsidRPr="00600483">
        <w:rPr>
          <w:rFonts w:ascii="Times New Roman" w:hAnsi="Times New Roman"/>
          <w:i/>
          <w:sz w:val="24"/>
          <w:szCs w:val="24"/>
        </w:rPr>
        <w:t>The Sun</w:t>
      </w:r>
      <w:r w:rsidRPr="00ED783B">
        <w:rPr>
          <w:rFonts w:ascii="Times New Roman" w:hAnsi="Times New Roman"/>
          <w:sz w:val="24"/>
          <w:szCs w:val="24"/>
        </w:rPr>
        <w:t xml:space="preserve"> ran</w:t>
      </w:r>
      <w:r w:rsidR="004B169E" w:rsidRPr="00ED783B">
        <w:rPr>
          <w:rFonts w:ascii="Times New Roman" w:hAnsi="Times New Roman"/>
          <w:sz w:val="24"/>
          <w:szCs w:val="24"/>
        </w:rPr>
        <w:t xml:space="preserve"> a story </w:t>
      </w:r>
      <w:r w:rsidR="000F2113" w:rsidRPr="00ED783B">
        <w:rPr>
          <w:rFonts w:ascii="Times New Roman" w:hAnsi="Times New Roman"/>
          <w:sz w:val="24"/>
          <w:szCs w:val="24"/>
        </w:rPr>
        <w:t xml:space="preserve">revealing </w:t>
      </w:r>
      <w:r w:rsidRPr="00ED783B">
        <w:rPr>
          <w:rFonts w:ascii="Times New Roman" w:hAnsi="Times New Roman"/>
          <w:sz w:val="24"/>
          <w:szCs w:val="24"/>
        </w:rPr>
        <w:t xml:space="preserve">that </w:t>
      </w:r>
      <w:r w:rsidR="000F2113" w:rsidRPr="00ED783B">
        <w:rPr>
          <w:rFonts w:ascii="Times New Roman" w:hAnsi="Times New Roman"/>
          <w:sz w:val="24"/>
          <w:szCs w:val="24"/>
        </w:rPr>
        <w:t>an anon</w:t>
      </w:r>
      <w:r w:rsidRPr="00ED783B">
        <w:rPr>
          <w:rFonts w:ascii="Times New Roman" w:hAnsi="Times New Roman"/>
          <w:sz w:val="24"/>
          <w:szCs w:val="24"/>
        </w:rPr>
        <w:t>ymous</w:t>
      </w:r>
      <w:r w:rsidR="000F2113" w:rsidRPr="00ED783B">
        <w:rPr>
          <w:rFonts w:ascii="Times New Roman" w:hAnsi="Times New Roman"/>
          <w:sz w:val="24"/>
          <w:szCs w:val="24"/>
        </w:rPr>
        <w:t xml:space="preserve"> footballer had an affair with Imogen Thomas.</w:t>
      </w:r>
      <w:r w:rsidRPr="00ED783B">
        <w:rPr>
          <w:rFonts w:ascii="Times New Roman" w:hAnsi="Times New Roman"/>
          <w:sz w:val="24"/>
          <w:szCs w:val="24"/>
        </w:rPr>
        <w:t xml:space="preserve">  </w:t>
      </w:r>
      <w:r w:rsidR="00ED783B" w:rsidRPr="00C31C8F">
        <w:rPr>
          <w:rFonts w:ascii="Times New Roman" w:hAnsi="Times New Roman"/>
          <w:sz w:val="24"/>
          <w:szCs w:val="24"/>
        </w:rPr>
        <w:t xml:space="preserve">On 8 May </w:t>
      </w:r>
      <w:proofErr w:type="spellStart"/>
      <w:r w:rsidR="00C503AA" w:rsidRPr="00C31C8F">
        <w:rPr>
          <w:rFonts w:ascii="Times New Roman" w:hAnsi="Times New Roman"/>
          <w:sz w:val="24"/>
          <w:szCs w:val="24"/>
        </w:rPr>
        <w:t>Giggs</w:t>
      </w:r>
      <w:proofErr w:type="spellEnd"/>
      <w:r w:rsidR="00C503AA" w:rsidRPr="00C31C8F">
        <w:rPr>
          <w:rFonts w:ascii="Times New Roman" w:hAnsi="Times New Roman"/>
          <w:sz w:val="24"/>
          <w:szCs w:val="24"/>
        </w:rPr>
        <w:t xml:space="preserve"> </w:t>
      </w:r>
      <w:r w:rsidR="00ED783B" w:rsidRPr="00C31C8F">
        <w:rPr>
          <w:rFonts w:ascii="Times New Roman" w:hAnsi="Times New Roman"/>
          <w:sz w:val="24"/>
          <w:szCs w:val="24"/>
        </w:rPr>
        <w:t xml:space="preserve">was </w:t>
      </w:r>
      <w:r w:rsidR="00C503AA" w:rsidRPr="00C31C8F">
        <w:rPr>
          <w:rFonts w:ascii="Times New Roman" w:hAnsi="Times New Roman"/>
          <w:sz w:val="24"/>
          <w:szCs w:val="24"/>
        </w:rPr>
        <w:t xml:space="preserve">named as </w:t>
      </w:r>
      <w:r w:rsidR="00ED783B" w:rsidRPr="00C31C8F">
        <w:rPr>
          <w:rFonts w:ascii="Times New Roman" w:hAnsi="Times New Roman"/>
          <w:sz w:val="24"/>
          <w:szCs w:val="24"/>
        </w:rPr>
        <w:t>‘</w:t>
      </w:r>
      <w:r w:rsidR="00C503AA" w:rsidRPr="00C31C8F">
        <w:rPr>
          <w:rFonts w:ascii="Times New Roman" w:hAnsi="Times New Roman"/>
          <w:sz w:val="24"/>
          <w:szCs w:val="24"/>
        </w:rPr>
        <w:t>CTB</w:t>
      </w:r>
      <w:r w:rsidR="00ED783B" w:rsidRPr="00C31C8F">
        <w:rPr>
          <w:rFonts w:ascii="Times New Roman" w:hAnsi="Times New Roman"/>
          <w:sz w:val="24"/>
          <w:szCs w:val="24"/>
        </w:rPr>
        <w:t>’</w:t>
      </w:r>
      <w:r w:rsidR="004F616E">
        <w:rPr>
          <w:rFonts w:ascii="Times New Roman" w:hAnsi="Times New Roman"/>
          <w:sz w:val="24"/>
          <w:szCs w:val="24"/>
        </w:rPr>
        <w:t xml:space="preserve"> on Twitter and some</w:t>
      </w:r>
      <w:r w:rsidR="00ED783B" w:rsidRPr="00C31C8F">
        <w:rPr>
          <w:rFonts w:ascii="Times New Roman" w:hAnsi="Times New Roman"/>
          <w:sz w:val="24"/>
          <w:szCs w:val="24"/>
        </w:rPr>
        <w:t xml:space="preserve"> T</w:t>
      </w:r>
      <w:r w:rsidR="00CC0A72" w:rsidRPr="00C31C8F">
        <w:rPr>
          <w:rFonts w:ascii="Times New Roman" w:hAnsi="Times New Roman"/>
          <w:sz w:val="24"/>
          <w:szCs w:val="24"/>
        </w:rPr>
        <w:t>witter users start</w:t>
      </w:r>
      <w:r w:rsidR="004F616E">
        <w:rPr>
          <w:rFonts w:ascii="Times New Roman" w:hAnsi="Times New Roman"/>
          <w:sz w:val="24"/>
          <w:szCs w:val="24"/>
        </w:rPr>
        <w:t>ed</w:t>
      </w:r>
      <w:r w:rsidR="00CC0A72" w:rsidRPr="00C31C8F">
        <w:rPr>
          <w:rFonts w:ascii="Times New Roman" w:hAnsi="Times New Roman"/>
          <w:sz w:val="24"/>
          <w:szCs w:val="24"/>
        </w:rPr>
        <w:t xml:space="preserve"> naming </w:t>
      </w:r>
      <w:r w:rsidR="00ED783B" w:rsidRPr="00C31C8F">
        <w:rPr>
          <w:rFonts w:ascii="Times New Roman" w:hAnsi="Times New Roman"/>
          <w:sz w:val="24"/>
          <w:szCs w:val="24"/>
        </w:rPr>
        <w:t>him.</w:t>
      </w:r>
      <w:r w:rsidR="00EB53BB">
        <w:rPr>
          <w:rFonts w:ascii="Times New Roman" w:hAnsi="Times New Roman"/>
          <w:sz w:val="24"/>
          <w:szCs w:val="24"/>
        </w:rPr>
        <w:t xml:space="preserve">  </w:t>
      </w:r>
      <w:r w:rsidR="00F875E1" w:rsidRPr="00F875E1">
        <w:rPr>
          <w:rFonts w:ascii="Times New Roman" w:hAnsi="Times New Roman"/>
          <w:sz w:val="24"/>
          <w:szCs w:val="24"/>
        </w:rPr>
        <w:t>Speculation as to CTB’s identity continued on Twitter.  Murray writes</w:t>
      </w:r>
      <w:r w:rsidR="00EB53BB">
        <w:rPr>
          <w:rFonts w:ascii="Times New Roman" w:hAnsi="Times New Roman"/>
          <w:sz w:val="24"/>
          <w:szCs w:val="24"/>
        </w:rPr>
        <w:t xml:space="preserve"> that it became apparent that</w:t>
      </w:r>
      <w:r w:rsidR="00F875E1" w:rsidRPr="00F875E1">
        <w:rPr>
          <w:rFonts w:ascii="Times New Roman" w:hAnsi="Times New Roman"/>
          <w:sz w:val="24"/>
          <w:szCs w:val="24"/>
        </w:rPr>
        <w:t xml:space="preserve"> ‘</w:t>
      </w:r>
      <w:r w:rsidR="00F875E1" w:rsidRPr="00F875E1">
        <w:rPr>
          <w:rFonts w:ascii="Times New Roman" w:hAnsi="Times New Roman"/>
          <w:i/>
          <w:sz w:val="24"/>
          <w:szCs w:val="24"/>
        </w:rPr>
        <w:t xml:space="preserve">privacy injunctions were </w:t>
      </w:r>
      <w:r w:rsidR="00EB53BB">
        <w:rPr>
          <w:rFonts w:ascii="Times New Roman" w:hAnsi="Times New Roman"/>
          <w:i/>
          <w:sz w:val="24"/>
          <w:szCs w:val="24"/>
        </w:rPr>
        <w:t xml:space="preserve">… </w:t>
      </w:r>
      <w:r w:rsidR="00F875E1" w:rsidRPr="00F875E1">
        <w:rPr>
          <w:rFonts w:ascii="Times New Roman" w:hAnsi="Times New Roman"/>
          <w:i/>
          <w:sz w:val="24"/>
          <w:szCs w:val="24"/>
        </w:rPr>
        <w:t>creating an informa</w:t>
      </w:r>
      <w:r w:rsidR="004E3C41">
        <w:rPr>
          <w:rFonts w:ascii="Times New Roman" w:hAnsi="Times New Roman"/>
          <w:i/>
          <w:sz w:val="24"/>
          <w:szCs w:val="24"/>
        </w:rPr>
        <w:t>tional vacuum which users of [social networking platforms]</w:t>
      </w:r>
      <w:r w:rsidR="00F875E1" w:rsidRPr="00F875E1">
        <w:rPr>
          <w:rFonts w:ascii="Times New Roman" w:hAnsi="Times New Roman"/>
          <w:i/>
          <w:sz w:val="24"/>
          <w:szCs w:val="24"/>
        </w:rPr>
        <w:t xml:space="preserve"> would quickly fill without care for accuracy or the well-being of the people they were naming</w:t>
      </w:r>
      <w:r w:rsidR="00F875E1" w:rsidRPr="00F875E1">
        <w:rPr>
          <w:rFonts w:ascii="Times New Roman" w:hAnsi="Times New Roman"/>
          <w:sz w:val="24"/>
          <w:szCs w:val="24"/>
        </w:rPr>
        <w:t>.’</w:t>
      </w:r>
      <w:r w:rsidR="00F875E1" w:rsidRPr="00F875E1">
        <w:rPr>
          <w:rStyle w:val="FootnoteReference"/>
          <w:rFonts w:ascii="Times New Roman" w:hAnsi="Times New Roman"/>
          <w:sz w:val="24"/>
          <w:szCs w:val="24"/>
        </w:rPr>
        <w:footnoteReference w:id="31"/>
      </w:r>
    </w:p>
    <w:p w:rsidR="00CC0A72" w:rsidRDefault="00CC0A72" w:rsidP="005111CF">
      <w:pPr>
        <w:spacing w:after="0" w:line="240" w:lineRule="auto"/>
        <w:jc w:val="both"/>
        <w:rPr>
          <w:rFonts w:ascii="Times New Roman" w:hAnsi="Times New Roman"/>
          <w:sz w:val="24"/>
          <w:szCs w:val="24"/>
        </w:rPr>
      </w:pPr>
    </w:p>
    <w:p w:rsidR="003C4DEE" w:rsidRDefault="00C31C8F" w:rsidP="005111CF">
      <w:pPr>
        <w:spacing w:after="0" w:line="240" w:lineRule="auto"/>
        <w:jc w:val="both"/>
        <w:rPr>
          <w:rFonts w:ascii="Times New Roman" w:hAnsi="Times New Roman"/>
          <w:sz w:val="24"/>
          <w:szCs w:val="24"/>
        </w:rPr>
      </w:pPr>
      <w:r w:rsidRPr="00C31C8F">
        <w:rPr>
          <w:rFonts w:ascii="Times New Roman" w:hAnsi="Times New Roman"/>
          <w:sz w:val="24"/>
          <w:szCs w:val="24"/>
        </w:rPr>
        <w:t>On 16 May,</w:t>
      </w:r>
      <w:r w:rsidR="00CC0A72" w:rsidRPr="00C31C8F">
        <w:rPr>
          <w:rFonts w:ascii="Times New Roman" w:hAnsi="Times New Roman"/>
          <w:sz w:val="24"/>
          <w:szCs w:val="24"/>
        </w:rPr>
        <w:t xml:space="preserve"> </w:t>
      </w:r>
      <w:r w:rsidR="0066765C" w:rsidRPr="00C31C8F">
        <w:rPr>
          <w:rFonts w:ascii="Times New Roman" w:hAnsi="Times New Roman"/>
          <w:sz w:val="24"/>
          <w:szCs w:val="24"/>
        </w:rPr>
        <w:t xml:space="preserve">in a published judgment outlining reasons to date, </w:t>
      </w:r>
      <w:proofErr w:type="spellStart"/>
      <w:r w:rsidR="00CC0A72" w:rsidRPr="00C31C8F">
        <w:rPr>
          <w:rFonts w:ascii="Times New Roman" w:hAnsi="Times New Roman"/>
          <w:sz w:val="24"/>
          <w:szCs w:val="24"/>
        </w:rPr>
        <w:t>Eady</w:t>
      </w:r>
      <w:proofErr w:type="spellEnd"/>
      <w:r w:rsidR="00DD2577" w:rsidRPr="00C31C8F">
        <w:rPr>
          <w:rFonts w:ascii="Times New Roman" w:hAnsi="Times New Roman"/>
          <w:sz w:val="24"/>
          <w:szCs w:val="24"/>
        </w:rPr>
        <w:t xml:space="preserve"> J</w:t>
      </w:r>
      <w:r w:rsidR="00CC0A72" w:rsidRPr="00C31C8F">
        <w:rPr>
          <w:rFonts w:ascii="Times New Roman" w:hAnsi="Times New Roman"/>
          <w:sz w:val="24"/>
          <w:szCs w:val="24"/>
        </w:rPr>
        <w:t xml:space="preserve"> </w:t>
      </w:r>
      <w:r w:rsidRPr="00C31C8F">
        <w:rPr>
          <w:rFonts w:ascii="Times New Roman" w:hAnsi="Times New Roman"/>
          <w:sz w:val="24"/>
          <w:szCs w:val="24"/>
        </w:rPr>
        <w:t>upheld</w:t>
      </w:r>
      <w:r w:rsidR="00DD2577" w:rsidRPr="00C31C8F">
        <w:rPr>
          <w:rFonts w:ascii="Times New Roman" w:hAnsi="Times New Roman"/>
          <w:sz w:val="24"/>
          <w:szCs w:val="24"/>
        </w:rPr>
        <w:t xml:space="preserve"> the </w:t>
      </w:r>
      <w:r w:rsidR="00CC0A72" w:rsidRPr="00C31C8F">
        <w:rPr>
          <w:rFonts w:ascii="Times New Roman" w:hAnsi="Times New Roman"/>
          <w:sz w:val="24"/>
          <w:szCs w:val="24"/>
        </w:rPr>
        <w:t>injunction</w:t>
      </w:r>
      <w:r w:rsidRPr="00C31C8F">
        <w:rPr>
          <w:rFonts w:ascii="Times New Roman" w:hAnsi="Times New Roman"/>
          <w:sz w:val="24"/>
          <w:szCs w:val="24"/>
        </w:rPr>
        <w:t xml:space="preserve"> </w:t>
      </w:r>
      <w:r w:rsidRPr="002155C2">
        <w:rPr>
          <w:rFonts w:ascii="Times New Roman" w:hAnsi="Times New Roman"/>
          <w:sz w:val="24"/>
          <w:szCs w:val="24"/>
        </w:rPr>
        <w:t>on the basis that the claimant</w:t>
      </w:r>
      <w:r w:rsidR="00DD2577" w:rsidRPr="002155C2">
        <w:rPr>
          <w:rFonts w:ascii="Times New Roman" w:hAnsi="Times New Roman"/>
          <w:sz w:val="24"/>
          <w:szCs w:val="24"/>
        </w:rPr>
        <w:t xml:space="preserve"> w</w:t>
      </w:r>
      <w:r w:rsidRPr="002155C2">
        <w:rPr>
          <w:rFonts w:ascii="Times New Roman" w:hAnsi="Times New Roman"/>
          <w:sz w:val="24"/>
          <w:szCs w:val="24"/>
        </w:rPr>
        <w:t>oul</w:t>
      </w:r>
      <w:r w:rsidR="00DD2577" w:rsidRPr="002155C2">
        <w:rPr>
          <w:rFonts w:ascii="Times New Roman" w:hAnsi="Times New Roman"/>
          <w:sz w:val="24"/>
          <w:szCs w:val="24"/>
        </w:rPr>
        <w:t>d be likely to obtain a permanent injunction at trial.</w:t>
      </w:r>
      <w:r w:rsidR="00DD2577" w:rsidRPr="002155C2">
        <w:rPr>
          <w:rStyle w:val="FootnoteReference"/>
          <w:rFonts w:ascii="Times New Roman" w:hAnsi="Times New Roman"/>
          <w:sz w:val="24"/>
          <w:szCs w:val="24"/>
        </w:rPr>
        <w:footnoteReference w:id="32"/>
      </w:r>
      <w:r w:rsidR="00B700DA" w:rsidRPr="002155C2">
        <w:rPr>
          <w:rFonts w:ascii="Times New Roman" w:hAnsi="Times New Roman"/>
          <w:sz w:val="24"/>
          <w:szCs w:val="24"/>
        </w:rPr>
        <w:t xml:space="preserve">  Despite widespread online publication of </w:t>
      </w:r>
      <w:proofErr w:type="spellStart"/>
      <w:r w:rsidR="00B700DA" w:rsidRPr="002155C2">
        <w:rPr>
          <w:rFonts w:ascii="Times New Roman" w:hAnsi="Times New Roman"/>
          <w:sz w:val="24"/>
          <w:szCs w:val="24"/>
        </w:rPr>
        <w:t>Giggs</w:t>
      </w:r>
      <w:proofErr w:type="spellEnd"/>
      <w:r w:rsidR="00B700DA" w:rsidRPr="002155C2">
        <w:rPr>
          <w:rFonts w:ascii="Times New Roman" w:hAnsi="Times New Roman"/>
          <w:sz w:val="24"/>
          <w:szCs w:val="24"/>
        </w:rPr>
        <w:t>’ identity,</w:t>
      </w:r>
      <w:r w:rsidRPr="002155C2">
        <w:rPr>
          <w:rFonts w:ascii="Times New Roman" w:hAnsi="Times New Roman"/>
          <w:sz w:val="24"/>
          <w:szCs w:val="24"/>
        </w:rPr>
        <w:t xml:space="preserve"> </w:t>
      </w:r>
      <w:proofErr w:type="spellStart"/>
      <w:r w:rsidRPr="002155C2">
        <w:rPr>
          <w:rFonts w:ascii="Times New Roman" w:hAnsi="Times New Roman"/>
          <w:sz w:val="24"/>
          <w:szCs w:val="24"/>
        </w:rPr>
        <w:t>Eady</w:t>
      </w:r>
      <w:proofErr w:type="spellEnd"/>
      <w:r w:rsidRPr="002155C2">
        <w:rPr>
          <w:rFonts w:ascii="Times New Roman" w:hAnsi="Times New Roman"/>
          <w:sz w:val="24"/>
          <w:szCs w:val="24"/>
        </w:rPr>
        <w:t xml:space="preserve"> J </w:t>
      </w:r>
      <w:r w:rsidR="00B700DA" w:rsidRPr="002155C2">
        <w:rPr>
          <w:rFonts w:ascii="Times New Roman" w:hAnsi="Times New Roman"/>
          <w:sz w:val="24"/>
          <w:szCs w:val="24"/>
        </w:rPr>
        <w:t>explained that</w:t>
      </w:r>
      <w:r w:rsidR="001A2B3D" w:rsidRPr="002155C2">
        <w:rPr>
          <w:rFonts w:ascii="Times New Roman" w:hAnsi="Times New Roman"/>
          <w:sz w:val="24"/>
          <w:szCs w:val="24"/>
        </w:rPr>
        <w:t xml:space="preserve"> in cases involving private inform</w:t>
      </w:r>
      <w:r w:rsidR="00B700DA" w:rsidRPr="002155C2">
        <w:rPr>
          <w:rFonts w:ascii="Times New Roman" w:hAnsi="Times New Roman"/>
          <w:sz w:val="24"/>
          <w:szCs w:val="24"/>
        </w:rPr>
        <w:t>ation</w:t>
      </w:r>
      <w:r w:rsidR="001A2B3D" w:rsidRPr="002155C2">
        <w:rPr>
          <w:rFonts w:ascii="Times New Roman" w:hAnsi="Times New Roman"/>
          <w:sz w:val="24"/>
          <w:szCs w:val="24"/>
        </w:rPr>
        <w:t xml:space="preserve"> the public/private disti</w:t>
      </w:r>
      <w:r w:rsidR="00B700DA" w:rsidRPr="002155C2">
        <w:rPr>
          <w:rFonts w:ascii="Times New Roman" w:hAnsi="Times New Roman"/>
          <w:sz w:val="24"/>
          <w:szCs w:val="24"/>
        </w:rPr>
        <w:t>nction is not ‘black and white’.  Instead he proposed considering the specific facts of the case and deciding whether ‘</w:t>
      </w:r>
      <w:r w:rsidR="001A2B3D" w:rsidRPr="002155C2">
        <w:rPr>
          <w:rFonts w:ascii="Times New Roman" w:hAnsi="Times New Roman"/>
          <w:sz w:val="24"/>
          <w:szCs w:val="24"/>
        </w:rPr>
        <w:t>there remains a reasona</w:t>
      </w:r>
      <w:r w:rsidR="00B700DA" w:rsidRPr="002155C2">
        <w:rPr>
          <w:rFonts w:ascii="Times New Roman" w:hAnsi="Times New Roman"/>
          <w:sz w:val="24"/>
          <w:szCs w:val="24"/>
        </w:rPr>
        <w:t xml:space="preserve">ble expectation of </w:t>
      </w:r>
      <w:r w:rsidR="00B700DA" w:rsidRPr="002155C2">
        <w:rPr>
          <w:rFonts w:ascii="Times New Roman" w:hAnsi="Times New Roman"/>
          <w:b/>
          <w:sz w:val="24"/>
          <w:szCs w:val="24"/>
        </w:rPr>
        <w:t>some</w:t>
      </w:r>
      <w:r w:rsidR="00B700DA" w:rsidRPr="002155C2">
        <w:rPr>
          <w:rFonts w:ascii="Times New Roman" w:hAnsi="Times New Roman"/>
          <w:sz w:val="24"/>
          <w:szCs w:val="24"/>
        </w:rPr>
        <w:t xml:space="preserve"> privacy</w:t>
      </w:r>
      <w:r w:rsidR="001A2B3D" w:rsidRPr="002155C2">
        <w:rPr>
          <w:rFonts w:ascii="Times New Roman" w:hAnsi="Times New Roman"/>
          <w:sz w:val="24"/>
          <w:szCs w:val="24"/>
        </w:rPr>
        <w:t>’</w:t>
      </w:r>
      <w:r w:rsidR="00B700DA" w:rsidRPr="002155C2">
        <w:rPr>
          <w:rFonts w:ascii="Times New Roman" w:hAnsi="Times New Roman"/>
          <w:sz w:val="24"/>
          <w:szCs w:val="24"/>
        </w:rPr>
        <w:t>, even where some publication of information has occurred.</w:t>
      </w:r>
      <w:r w:rsidR="001A2B3D" w:rsidRPr="002155C2">
        <w:rPr>
          <w:rStyle w:val="FootnoteReference"/>
          <w:rFonts w:ascii="Times New Roman" w:hAnsi="Times New Roman"/>
          <w:sz w:val="24"/>
          <w:szCs w:val="24"/>
        </w:rPr>
        <w:footnoteReference w:id="33"/>
      </w:r>
      <w:r w:rsidR="001A2B3D" w:rsidRPr="002155C2">
        <w:rPr>
          <w:rFonts w:ascii="Times New Roman" w:hAnsi="Times New Roman"/>
          <w:sz w:val="24"/>
          <w:szCs w:val="24"/>
        </w:rPr>
        <w:t xml:space="preserve">  </w:t>
      </w:r>
      <w:r w:rsidR="00086296" w:rsidRPr="008811E0">
        <w:rPr>
          <w:rFonts w:ascii="Times New Roman" w:hAnsi="Times New Roman"/>
          <w:sz w:val="24"/>
          <w:szCs w:val="24"/>
        </w:rPr>
        <w:t xml:space="preserve">On 20 </w:t>
      </w:r>
      <w:r w:rsidR="004337F1" w:rsidRPr="008811E0">
        <w:rPr>
          <w:rFonts w:ascii="Times New Roman" w:hAnsi="Times New Roman"/>
          <w:sz w:val="24"/>
          <w:szCs w:val="24"/>
        </w:rPr>
        <w:t xml:space="preserve">May </w:t>
      </w:r>
      <w:proofErr w:type="spellStart"/>
      <w:r w:rsidR="004337F1" w:rsidRPr="008811E0">
        <w:rPr>
          <w:rFonts w:ascii="Times New Roman" w:hAnsi="Times New Roman"/>
          <w:sz w:val="24"/>
          <w:szCs w:val="24"/>
        </w:rPr>
        <w:t>Giggs</w:t>
      </w:r>
      <w:proofErr w:type="spellEnd"/>
      <w:r w:rsidR="004337F1" w:rsidRPr="008811E0">
        <w:rPr>
          <w:rFonts w:ascii="Times New Roman" w:hAnsi="Times New Roman"/>
          <w:sz w:val="24"/>
          <w:szCs w:val="24"/>
        </w:rPr>
        <w:t>’ lawyers</w:t>
      </w:r>
      <w:r w:rsidR="00086296" w:rsidRPr="008811E0">
        <w:rPr>
          <w:rFonts w:ascii="Times New Roman" w:hAnsi="Times New Roman"/>
          <w:sz w:val="24"/>
          <w:szCs w:val="24"/>
        </w:rPr>
        <w:t xml:space="preserve"> </w:t>
      </w:r>
      <w:r w:rsidR="004337F1" w:rsidRPr="008811E0">
        <w:rPr>
          <w:rFonts w:ascii="Times New Roman" w:hAnsi="Times New Roman"/>
          <w:sz w:val="24"/>
          <w:szCs w:val="24"/>
        </w:rPr>
        <w:t xml:space="preserve">applied for </w:t>
      </w:r>
      <w:r w:rsidR="00981CC8" w:rsidRPr="008811E0">
        <w:rPr>
          <w:rFonts w:ascii="Times New Roman" w:hAnsi="Times New Roman"/>
          <w:sz w:val="24"/>
          <w:szCs w:val="24"/>
        </w:rPr>
        <w:t xml:space="preserve">a </w:t>
      </w:r>
      <w:r w:rsidR="00981CC8" w:rsidRPr="008811E0">
        <w:rPr>
          <w:rFonts w:ascii="Times New Roman" w:hAnsi="Times New Roman"/>
          <w:i/>
          <w:sz w:val="24"/>
          <w:szCs w:val="24"/>
        </w:rPr>
        <w:t xml:space="preserve">Norwich </w:t>
      </w:r>
      <w:proofErr w:type="spellStart"/>
      <w:r w:rsidR="00981CC8" w:rsidRPr="008811E0">
        <w:rPr>
          <w:rFonts w:ascii="Times New Roman" w:hAnsi="Times New Roman"/>
          <w:i/>
          <w:sz w:val="24"/>
          <w:szCs w:val="24"/>
        </w:rPr>
        <w:t>Pharmacal</w:t>
      </w:r>
      <w:proofErr w:type="spellEnd"/>
      <w:r w:rsidR="008811E0">
        <w:rPr>
          <w:rFonts w:ascii="Times New Roman" w:hAnsi="Times New Roman"/>
          <w:sz w:val="24"/>
          <w:szCs w:val="24"/>
        </w:rPr>
        <w:t xml:space="preserve"> o</w:t>
      </w:r>
      <w:r w:rsidR="00981CC8" w:rsidRPr="008811E0">
        <w:rPr>
          <w:rFonts w:ascii="Times New Roman" w:hAnsi="Times New Roman"/>
          <w:sz w:val="24"/>
          <w:szCs w:val="24"/>
        </w:rPr>
        <w:t>rder</w:t>
      </w:r>
      <w:r w:rsidR="00981CC8" w:rsidRPr="008811E0">
        <w:rPr>
          <w:rStyle w:val="FootnoteReference"/>
          <w:rFonts w:ascii="Times New Roman" w:hAnsi="Times New Roman"/>
          <w:sz w:val="24"/>
          <w:szCs w:val="24"/>
        </w:rPr>
        <w:footnoteReference w:id="34"/>
      </w:r>
      <w:r w:rsidR="00981CC8" w:rsidRPr="008811E0">
        <w:rPr>
          <w:rFonts w:ascii="Times New Roman" w:hAnsi="Times New Roman"/>
          <w:sz w:val="24"/>
          <w:szCs w:val="24"/>
        </w:rPr>
        <w:t xml:space="preserve"> requiring Twitter </w:t>
      </w:r>
      <w:r w:rsidR="00981CC8" w:rsidRPr="000358EC">
        <w:rPr>
          <w:rFonts w:ascii="Times New Roman" w:hAnsi="Times New Roman"/>
          <w:sz w:val="24"/>
          <w:szCs w:val="24"/>
        </w:rPr>
        <w:t xml:space="preserve">to disclose </w:t>
      </w:r>
      <w:r w:rsidR="00882B2E" w:rsidRPr="000358EC">
        <w:rPr>
          <w:rFonts w:ascii="Times New Roman" w:hAnsi="Times New Roman"/>
          <w:sz w:val="24"/>
          <w:szCs w:val="24"/>
        </w:rPr>
        <w:t xml:space="preserve">within 7 days </w:t>
      </w:r>
      <w:r w:rsidR="00981CC8" w:rsidRPr="000358EC">
        <w:rPr>
          <w:rFonts w:ascii="Times New Roman" w:hAnsi="Times New Roman"/>
          <w:sz w:val="24"/>
          <w:szCs w:val="24"/>
        </w:rPr>
        <w:t xml:space="preserve">the identities of users who had published </w:t>
      </w:r>
      <w:r w:rsidR="00A406C8">
        <w:rPr>
          <w:rFonts w:ascii="Times New Roman" w:hAnsi="Times New Roman"/>
          <w:sz w:val="24"/>
          <w:szCs w:val="24"/>
        </w:rPr>
        <w:t xml:space="preserve">his </w:t>
      </w:r>
      <w:r w:rsidR="00981CC8" w:rsidRPr="000358EC">
        <w:rPr>
          <w:rFonts w:ascii="Times New Roman" w:hAnsi="Times New Roman"/>
          <w:sz w:val="24"/>
          <w:szCs w:val="24"/>
        </w:rPr>
        <w:t>name on the site.</w:t>
      </w:r>
      <w:r w:rsidR="00981CC8" w:rsidRPr="000358EC">
        <w:rPr>
          <w:rStyle w:val="FootnoteReference"/>
          <w:rFonts w:ascii="Times New Roman" w:hAnsi="Times New Roman"/>
          <w:sz w:val="24"/>
          <w:szCs w:val="24"/>
        </w:rPr>
        <w:footnoteReference w:id="35"/>
      </w:r>
      <w:r w:rsidR="00C15C4C" w:rsidRPr="000358EC">
        <w:rPr>
          <w:rFonts w:ascii="Times New Roman" w:hAnsi="Times New Roman"/>
          <w:sz w:val="24"/>
          <w:szCs w:val="24"/>
        </w:rPr>
        <w:t xml:space="preserve">  This led to a </w:t>
      </w:r>
      <w:r w:rsidR="00AB4AC7" w:rsidRPr="000358EC">
        <w:rPr>
          <w:rFonts w:ascii="Times New Roman" w:hAnsi="Times New Roman"/>
          <w:sz w:val="24"/>
          <w:szCs w:val="24"/>
        </w:rPr>
        <w:t>substantial increase in traffic</w:t>
      </w:r>
      <w:r w:rsidR="00C15C4C" w:rsidRPr="000358EC">
        <w:rPr>
          <w:rFonts w:ascii="Times New Roman" w:hAnsi="Times New Roman"/>
          <w:sz w:val="24"/>
          <w:szCs w:val="24"/>
        </w:rPr>
        <w:t xml:space="preserve"> to the Twitter site which saw a 22% spike in visitors, its </w:t>
      </w:r>
      <w:r w:rsidR="00C15C4C" w:rsidRPr="00235C8F">
        <w:rPr>
          <w:rFonts w:ascii="Times New Roman" w:hAnsi="Times New Roman"/>
          <w:sz w:val="24"/>
          <w:szCs w:val="24"/>
        </w:rPr>
        <w:t>busiest ever day in the UK.</w:t>
      </w:r>
      <w:r w:rsidR="00C15C4C" w:rsidRPr="00235C8F">
        <w:rPr>
          <w:rStyle w:val="FootnoteReference"/>
          <w:rFonts w:ascii="Times New Roman" w:hAnsi="Times New Roman"/>
          <w:sz w:val="24"/>
          <w:szCs w:val="24"/>
        </w:rPr>
        <w:footnoteReference w:id="36"/>
      </w:r>
      <w:r w:rsidR="001134E1" w:rsidRPr="00235C8F">
        <w:rPr>
          <w:rFonts w:ascii="Times New Roman" w:hAnsi="Times New Roman"/>
          <w:sz w:val="24"/>
          <w:szCs w:val="24"/>
        </w:rPr>
        <w:t xml:space="preserve">  Ryan </w:t>
      </w:r>
      <w:proofErr w:type="spellStart"/>
      <w:r w:rsidR="001134E1" w:rsidRPr="00235C8F">
        <w:rPr>
          <w:rFonts w:ascii="Times New Roman" w:hAnsi="Times New Roman"/>
          <w:sz w:val="24"/>
          <w:szCs w:val="24"/>
        </w:rPr>
        <w:t>Giggs</w:t>
      </w:r>
      <w:proofErr w:type="spellEnd"/>
      <w:r w:rsidR="001134E1" w:rsidRPr="00235C8F">
        <w:rPr>
          <w:rFonts w:ascii="Times New Roman" w:hAnsi="Times New Roman"/>
          <w:sz w:val="24"/>
          <w:szCs w:val="24"/>
        </w:rPr>
        <w:t xml:space="preserve"> became the top trending item on Twitter, with </w:t>
      </w:r>
      <w:r w:rsidR="008065F8" w:rsidRPr="00235C8F">
        <w:rPr>
          <w:rFonts w:ascii="Times New Roman" w:hAnsi="Times New Roman"/>
          <w:sz w:val="24"/>
          <w:szCs w:val="24"/>
        </w:rPr>
        <w:t xml:space="preserve">thousands </w:t>
      </w:r>
      <w:r w:rsidR="008065F8" w:rsidRPr="000358EC">
        <w:rPr>
          <w:rFonts w:ascii="Times New Roman" w:hAnsi="Times New Roman"/>
          <w:sz w:val="24"/>
          <w:szCs w:val="24"/>
        </w:rPr>
        <w:t xml:space="preserve">of users naming </w:t>
      </w:r>
      <w:proofErr w:type="spellStart"/>
      <w:r w:rsidR="008065F8" w:rsidRPr="000358EC">
        <w:rPr>
          <w:rFonts w:ascii="Times New Roman" w:hAnsi="Times New Roman"/>
          <w:sz w:val="24"/>
          <w:szCs w:val="24"/>
        </w:rPr>
        <w:t>Gi</w:t>
      </w:r>
      <w:r w:rsidR="00F27C72" w:rsidRPr="000358EC">
        <w:rPr>
          <w:rFonts w:ascii="Times New Roman" w:hAnsi="Times New Roman"/>
          <w:sz w:val="24"/>
          <w:szCs w:val="24"/>
        </w:rPr>
        <w:t>ggs</w:t>
      </w:r>
      <w:proofErr w:type="spellEnd"/>
      <w:r w:rsidR="00F27C72" w:rsidRPr="000358EC">
        <w:rPr>
          <w:rFonts w:ascii="Times New Roman" w:hAnsi="Times New Roman"/>
          <w:sz w:val="24"/>
          <w:szCs w:val="24"/>
        </w:rPr>
        <w:t xml:space="preserve"> alongside the prefix</w:t>
      </w:r>
      <w:r w:rsidR="008065F8" w:rsidRPr="000358EC">
        <w:rPr>
          <w:rFonts w:ascii="Times New Roman" w:hAnsi="Times New Roman"/>
          <w:sz w:val="24"/>
          <w:szCs w:val="24"/>
        </w:rPr>
        <w:t xml:space="preserve"> #</w:t>
      </w:r>
      <w:proofErr w:type="spellStart"/>
      <w:r w:rsidR="008065F8" w:rsidRPr="000358EC">
        <w:rPr>
          <w:rFonts w:ascii="Times New Roman" w:hAnsi="Times New Roman"/>
          <w:sz w:val="24"/>
          <w:szCs w:val="24"/>
        </w:rPr>
        <w:t>IamSpartacus</w:t>
      </w:r>
      <w:proofErr w:type="spellEnd"/>
      <w:r w:rsidR="008065F8" w:rsidRPr="000358EC">
        <w:rPr>
          <w:rFonts w:ascii="Times New Roman" w:hAnsi="Times New Roman"/>
          <w:sz w:val="24"/>
          <w:szCs w:val="24"/>
        </w:rPr>
        <w:t>.</w:t>
      </w:r>
      <w:r w:rsidR="008065F8" w:rsidRPr="000358EC">
        <w:rPr>
          <w:rStyle w:val="FootnoteReference"/>
          <w:rFonts w:ascii="Times New Roman" w:hAnsi="Times New Roman"/>
          <w:sz w:val="24"/>
          <w:szCs w:val="24"/>
        </w:rPr>
        <w:footnoteReference w:id="37"/>
      </w:r>
      <w:r w:rsidR="00A406C8">
        <w:rPr>
          <w:rFonts w:ascii="Times New Roman" w:hAnsi="Times New Roman"/>
          <w:sz w:val="24"/>
          <w:szCs w:val="24"/>
        </w:rPr>
        <w:t xml:space="preserve">  </w:t>
      </w:r>
      <w:r w:rsidR="00C6713B">
        <w:rPr>
          <w:rFonts w:ascii="Times New Roman" w:hAnsi="Times New Roman"/>
          <w:sz w:val="24"/>
          <w:szCs w:val="24"/>
        </w:rPr>
        <w:t xml:space="preserve">On 22 </w:t>
      </w:r>
      <w:r w:rsidR="00C6713B">
        <w:rPr>
          <w:rFonts w:ascii="Times New Roman" w:hAnsi="Times New Roman"/>
          <w:sz w:val="24"/>
          <w:szCs w:val="24"/>
        </w:rPr>
        <w:lastRenderedPageBreak/>
        <w:t xml:space="preserve">May </w:t>
      </w:r>
      <w:r w:rsidR="00C6713B" w:rsidRPr="00C6713B">
        <w:rPr>
          <w:rFonts w:ascii="Times New Roman" w:hAnsi="Times New Roman"/>
          <w:i/>
          <w:sz w:val="24"/>
          <w:szCs w:val="24"/>
        </w:rPr>
        <w:t>T</w:t>
      </w:r>
      <w:r w:rsidR="00733CD4" w:rsidRPr="00C6713B">
        <w:rPr>
          <w:rFonts w:ascii="Times New Roman" w:hAnsi="Times New Roman"/>
          <w:i/>
          <w:sz w:val="24"/>
          <w:szCs w:val="24"/>
        </w:rPr>
        <w:t>he Scottish Herald</w:t>
      </w:r>
      <w:r w:rsidR="00733CD4" w:rsidRPr="005F0322">
        <w:rPr>
          <w:rFonts w:ascii="Times New Roman" w:hAnsi="Times New Roman"/>
          <w:sz w:val="24"/>
          <w:szCs w:val="24"/>
        </w:rPr>
        <w:t>, not covered by English law,</w:t>
      </w:r>
      <w:r w:rsidR="00E70758" w:rsidRPr="005F0322">
        <w:rPr>
          <w:rFonts w:ascii="Times New Roman" w:hAnsi="Times New Roman"/>
          <w:sz w:val="24"/>
          <w:szCs w:val="24"/>
        </w:rPr>
        <w:t xml:space="preserve"> identified </w:t>
      </w:r>
      <w:proofErr w:type="spellStart"/>
      <w:r w:rsidR="00E70758" w:rsidRPr="005F0322">
        <w:rPr>
          <w:rFonts w:ascii="Times New Roman" w:hAnsi="Times New Roman"/>
          <w:sz w:val="24"/>
          <w:szCs w:val="24"/>
        </w:rPr>
        <w:t>Giggs</w:t>
      </w:r>
      <w:proofErr w:type="spellEnd"/>
      <w:r w:rsidR="00733CD4" w:rsidRPr="005F0322">
        <w:rPr>
          <w:rFonts w:ascii="Times New Roman" w:hAnsi="Times New Roman"/>
          <w:sz w:val="24"/>
          <w:szCs w:val="24"/>
        </w:rPr>
        <w:t xml:space="preserve"> as CTB</w:t>
      </w:r>
      <w:r w:rsidR="00E70758" w:rsidRPr="005F0322">
        <w:rPr>
          <w:rFonts w:ascii="Times New Roman" w:hAnsi="Times New Roman"/>
          <w:sz w:val="24"/>
          <w:szCs w:val="24"/>
        </w:rPr>
        <w:t>.</w:t>
      </w:r>
      <w:r w:rsidR="00E70758" w:rsidRPr="005F0322">
        <w:rPr>
          <w:rStyle w:val="FootnoteReference"/>
          <w:rFonts w:ascii="Times New Roman" w:hAnsi="Times New Roman"/>
          <w:sz w:val="24"/>
          <w:szCs w:val="24"/>
        </w:rPr>
        <w:footnoteReference w:id="38"/>
      </w:r>
      <w:r w:rsidR="00844D36">
        <w:rPr>
          <w:rFonts w:ascii="Times New Roman" w:hAnsi="Times New Roman"/>
          <w:sz w:val="24"/>
          <w:szCs w:val="24"/>
        </w:rPr>
        <w:t xml:space="preserve">  </w:t>
      </w:r>
      <w:r w:rsidR="00733CD4" w:rsidRPr="005F0322">
        <w:rPr>
          <w:rFonts w:ascii="Times New Roman" w:hAnsi="Times New Roman"/>
          <w:sz w:val="24"/>
          <w:szCs w:val="24"/>
        </w:rPr>
        <w:t xml:space="preserve">The following day, </w:t>
      </w:r>
      <w:r w:rsidR="0066765C" w:rsidRPr="005F0322">
        <w:rPr>
          <w:rFonts w:ascii="Times New Roman" w:hAnsi="Times New Roman"/>
          <w:sz w:val="24"/>
          <w:szCs w:val="24"/>
        </w:rPr>
        <w:t>23 May</w:t>
      </w:r>
      <w:r w:rsidR="00733CD4" w:rsidRPr="005F0322">
        <w:rPr>
          <w:rFonts w:ascii="Times New Roman" w:hAnsi="Times New Roman"/>
          <w:sz w:val="24"/>
          <w:szCs w:val="24"/>
        </w:rPr>
        <w:t>, saw two hearings in the case.  First, the defendant</w:t>
      </w:r>
      <w:r w:rsidR="0066765C" w:rsidRPr="005F0322">
        <w:rPr>
          <w:rFonts w:ascii="Times New Roman" w:hAnsi="Times New Roman"/>
          <w:sz w:val="24"/>
          <w:szCs w:val="24"/>
        </w:rPr>
        <w:t>s applied to vary the</w:t>
      </w:r>
      <w:r w:rsidR="00733CD4" w:rsidRPr="005F0322">
        <w:rPr>
          <w:rFonts w:ascii="Times New Roman" w:hAnsi="Times New Roman"/>
          <w:sz w:val="24"/>
          <w:szCs w:val="24"/>
        </w:rPr>
        <w:t xml:space="preserve"> terms of the order to allow publication of </w:t>
      </w:r>
      <w:proofErr w:type="spellStart"/>
      <w:r w:rsidR="00733CD4" w:rsidRPr="005F0322">
        <w:rPr>
          <w:rFonts w:ascii="Times New Roman" w:hAnsi="Times New Roman"/>
          <w:sz w:val="24"/>
          <w:szCs w:val="24"/>
        </w:rPr>
        <w:t>Gigg</w:t>
      </w:r>
      <w:r w:rsidR="0066765C" w:rsidRPr="005F0322">
        <w:rPr>
          <w:rFonts w:ascii="Times New Roman" w:hAnsi="Times New Roman"/>
          <w:sz w:val="24"/>
          <w:szCs w:val="24"/>
        </w:rPr>
        <w:t>s</w:t>
      </w:r>
      <w:proofErr w:type="spellEnd"/>
      <w:r w:rsidR="00733CD4" w:rsidRPr="005F0322">
        <w:rPr>
          <w:rFonts w:ascii="Times New Roman" w:hAnsi="Times New Roman"/>
          <w:sz w:val="24"/>
          <w:szCs w:val="24"/>
        </w:rPr>
        <w:t>’</w:t>
      </w:r>
      <w:r w:rsidR="0066765C" w:rsidRPr="005F0322">
        <w:rPr>
          <w:rFonts w:ascii="Times New Roman" w:hAnsi="Times New Roman"/>
          <w:sz w:val="24"/>
          <w:szCs w:val="24"/>
        </w:rPr>
        <w:t xml:space="preserve"> name</w:t>
      </w:r>
      <w:r w:rsidR="00B24F7E" w:rsidRPr="005F0322">
        <w:rPr>
          <w:rFonts w:ascii="Times New Roman" w:hAnsi="Times New Roman"/>
          <w:sz w:val="24"/>
          <w:szCs w:val="24"/>
        </w:rPr>
        <w:t xml:space="preserve"> which was now in the public domain</w:t>
      </w:r>
      <w:r w:rsidR="005F0322" w:rsidRPr="005F0322">
        <w:rPr>
          <w:rFonts w:ascii="Times New Roman" w:hAnsi="Times New Roman"/>
          <w:sz w:val="24"/>
          <w:szCs w:val="24"/>
        </w:rPr>
        <w:t xml:space="preserve"> due to widespread publication</w:t>
      </w:r>
      <w:r w:rsidR="00733CD4" w:rsidRPr="005F0322">
        <w:rPr>
          <w:rFonts w:ascii="Times New Roman" w:hAnsi="Times New Roman"/>
          <w:sz w:val="24"/>
          <w:szCs w:val="24"/>
        </w:rPr>
        <w:t xml:space="preserve">.  In a 2.30pm judgment </w:t>
      </w:r>
      <w:proofErr w:type="spellStart"/>
      <w:r w:rsidR="00733CD4" w:rsidRPr="005F0322">
        <w:rPr>
          <w:rFonts w:ascii="Times New Roman" w:hAnsi="Times New Roman"/>
          <w:sz w:val="24"/>
          <w:szCs w:val="24"/>
        </w:rPr>
        <w:t>Eady</w:t>
      </w:r>
      <w:proofErr w:type="spellEnd"/>
      <w:r w:rsidR="00733CD4" w:rsidRPr="005F0322">
        <w:rPr>
          <w:rFonts w:ascii="Times New Roman" w:hAnsi="Times New Roman"/>
          <w:sz w:val="24"/>
          <w:szCs w:val="24"/>
        </w:rPr>
        <w:t xml:space="preserve"> J refused this,</w:t>
      </w:r>
      <w:r w:rsidR="00B24F7E" w:rsidRPr="005F0322">
        <w:rPr>
          <w:rFonts w:ascii="Times New Roman" w:hAnsi="Times New Roman"/>
          <w:sz w:val="24"/>
          <w:szCs w:val="24"/>
        </w:rPr>
        <w:t xml:space="preserve"> explaining ‘</w:t>
      </w:r>
      <w:r w:rsidR="00B24F7E" w:rsidRPr="00844D36">
        <w:rPr>
          <w:rFonts w:ascii="Times New Roman" w:hAnsi="Times New Roman"/>
          <w:i/>
          <w:sz w:val="24"/>
          <w:szCs w:val="24"/>
        </w:rPr>
        <w:t xml:space="preserve">the modern law of privacy is </w:t>
      </w:r>
      <w:r w:rsidR="00B24F7E" w:rsidRPr="00A81569">
        <w:rPr>
          <w:rFonts w:ascii="Times New Roman" w:hAnsi="Times New Roman"/>
          <w:b/>
          <w:i/>
          <w:sz w:val="24"/>
          <w:szCs w:val="24"/>
        </w:rPr>
        <w:t>not concerned solely with secrets</w:t>
      </w:r>
      <w:r w:rsidR="00B24F7E" w:rsidRPr="00844D36">
        <w:rPr>
          <w:rFonts w:ascii="Times New Roman" w:hAnsi="Times New Roman"/>
          <w:i/>
          <w:sz w:val="24"/>
          <w:szCs w:val="24"/>
        </w:rPr>
        <w:t xml:space="preserve">: it is also concerned importantly with </w:t>
      </w:r>
      <w:r w:rsidR="00B24F7E" w:rsidRPr="00A81569">
        <w:rPr>
          <w:rFonts w:ascii="Times New Roman" w:hAnsi="Times New Roman"/>
          <w:b/>
          <w:i/>
          <w:sz w:val="24"/>
          <w:szCs w:val="24"/>
        </w:rPr>
        <w:t>intrusion</w:t>
      </w:r>
      <w:r w:rsidR="00B24F7E" w:rsidRPr="005F0322">
        <w:rPr>
          <w:rFonts w:ascii="Times New Roman" w:hAnsi="Times New Roman"/>
          <w:sz w:val="24"/>
          <w:szCs w:val="24"/>
        </w:rPr>
        <w:t>.’</w:t>
      </w:r>
      <w:r w:rsidR="00B24F7E" w:rsidRPr="005F0322">
        <w:rPr>
          <w:rStyle w:val="FootnoteReference"/>
          <w:rFonts w:ascii="Times New Roman" w:hAnsi="Times New Roman"/>
          <w:sz w:val="24"/>
          <w:szCs w:val="24"/>
        </w:rPr>
        <w:footnoteReference w:id="39"/>
      </w:r>
      <w:r w:rsidR="00B24F7E" w:rsidRPr="005F0322">
        <w:rPr>
          <w:rFonts w:ascii="Times New Roman" w:hAnsi="Times New Roman"/>
          <w:sz w:val="24"/>
          <w:szCs w:val="24"/>
        </w:rPr>
        <w:t xml:space="preserve"> </w:t>
      </w:r>
      <w:r w:rsidR="00844D36">
        <w:rPr>
          <w:rFonts w:ascii="Times New Roman" w:hAnsi="Times New Roman"/>
          <w:sz w:val="24"/>
          <w:szCs w:val="24"/>
        </w:rPr>
        <w:t xml:space="preserve"> Shortly after 3.30pm the</w:t>
      </w:r>
      <w:r w:rsidR="00AA324A" w:rsidRPr="00AA324A">
        <w:rPr>
          <w:rFonts w:ascii="Times New Roman" w:hAnsi="Times New Roman"/>
          <w:sz w:val="24"/>
          <w:szCs w:val="24"/>
        </w:rPr>
        <w:t xml:space="preserve"> same day, </w:t>
      </w:r>
      <w:r w:rsidR="002461F7">
        <w:rPr>
          <w:rFonts w:ascii="Times New Roman" w:hAnsi="Times New Roman"/>
          <w:sz w:val="24"/>
          <w:szCs w:val="24"/>
        </w:rPr>
        <w:t>whilst debating injunctions in P</w:t>
      </w:r>
      <w:r w:rsidR="00AA324A" w:rsidRPr="00AA324A">
        <w:rPr>
          <w:rFonts w:ascii="Times New Roman" w:hAnsi="Times New Roman"/>
          <w:sz w:val="24"/>
          <w:szCs w:val="24"/>
        </w:rPr>
        <w:t xml:space="preserve">arliament and thus protected by parliamentary privilege, MP John Hemming named Ryan </w:t>
      </w:r>
      <w:proofErr w:type="spellStart"/>
      <w:r w:rsidR="00AA324A" w:rsidRPr="00AA324A">
        <w:rPr>
          <w:rFonts w:ascii="Times New Roman" w:hAnsi="Times New Roman"/>
          <w:sz w:val="24"/>
          <w:szCs w:val="24"/>
        </w:rPr>
        <w:t>Giggs</w:t>
      </w:r>
      <w:proofErr w:type="spellEnd"/>
      <w:r w:rsidR="00AA324A" w:rsidRPr="00AA324A">
        <w:rPr>
          <w:rFonts w:ascii="Times New Roman" w:hAnsi="Times New Roman"/>
          <w:sz w:val="24"/>
          <w:szCs w:val="24"/>
        </w:rPr>
        <w:t xml:space="preserve"> as CTB</w:t>
      </w:r>
      <w:r w:rsidR="00B24F7E" w:rsidRPr="00AA324A">
        <w:rPr>
          <w:rStyle w:val="FootnoteReference"/>
          <w:rFonts w:ascii="Times New Roman" w:hAnsi="Times New Roman"/>
          <w:sz w:val="24"/>
          <w:szCs w:val="24"/>
        </w:rPr>
        <w:footnoteReference w:id="40"/>
      </w:r>
      <w:r w:rsidR="00844D36">
        <w:rPr>
          <w:rFonts w:ascii="Times New Roman" w:hAnsi="Times New Roman"/>
          <w:sz w:val="24"/>
          <w:szCs w:val="24"/>
        </w:rPr>
        <w:t xml:space="preserve">  </w:t>
      </w:r>
      <w:r w:rsidR="005F0322" w:rsidRPr="005F0322">
        <w:rPr>
          <w:rFonts w:ascii="Times New Roman" w:hAnsi="Times New Roman"/>
          <w:sz w:val="24"/>
          <w:szCs w:val="24"/>
        </w:rPr>
        <w:t>Immediately following this,</w:t>
      </w:r>
      <w:r w:rsidR="0044053D" w:rsidRPr="005F0322">
        <w:rPr>
          <w:rFonts w:ascii="Times New Roman" w:hAnsi="Times New Roman"/>
          <w:sz w:val="24"/>
          <w:szCs w:val="24"/>
        </w:rPr>
        <w:t xml:space="preserve"> the defendants</w:t>
      </w:r>
      <w:r w:rsidR="005F0322" w:rsidRPr="005F0322">
        <w:rPr>
          <w:rFonts w:ascii="Times New Roman" w:hAnsi="Times New Roman"/>
          <w:sz w:val="24"/>
          <w:szCs w:val="24"/>
        </w:rPr>
        <w:t xml:space="preserve"> again </w:t>
      </w:r>
      <w:r w:rsidR="00B24F7E" w:rsidRPr="005F0322">
        <w:rPr>
          <w:rFonts w:ascii="Times New Roman" w:hAnsi="Times New Roman"/>
          <w:sz w:val="24"/>
          <w:szCs w:val="24"/>
        </w:rPr>
        <w:t>applied</w:t>
      </w:r>
      <w:r w:rsidR="0044053D" w:rsidRPr="005F0322">
        <w:rPr>
          <w:rFonts w:ascii="Times New Roman" w:hAnsi="Times New Roman"/>
          <w:sz w:val="24"/>
          <w:szCs w:val="24"/>
        </w:rPr>
        <w:t xml:space="preserve"> for anonymity to be removed.  </w:t>
      </w:r>
      <w:r w:rsidR="0073247E" w:rsidRPr="005F0322">
        <w:rPr>
          <w:rFonts w:ascii="Times New Roman" w:hAnsi="Times New Roman"/>
          <w:sz w:val="24"/>
          <w:szCs w:val="24"/>
        </w:rPr>
        <w:t xml:space="preserve">In a terse judgment </w:t>
      </w:r>
      <w:r w:rsidR="0044053D" w:rsidRPr="005F0322">
        <w:rPr>
          <w:rFonts w:ascii="Times New Roman" w:hAnsi="Times New Roman"/>
          <w:sz w:val="24"/>
          <w:szCs w:val="24"/>
        </w:rPr>
        <w:t>Tugendhat J</w:t>
      </w:r>
      <w:r w:rsidR="009529C8" w:rsidRPr="005F0322">
        <w:rPr>
          <w:rFonts w:ascii="Times New Roman" w:hAnsi="Times New Roman"/>
          <w:sz w:val="24"/>
          <w:szCs w:val="24"/>
        </w:rPr>
        <w:t xml:space="preserve"> d</w:t>
      </w:r>
      <w:r w:rsidR="0044053D" w:rsidRPr="005F0322">
        <w:rPr>
          <w:rFonts w:ascii="Times New Roman" w:hAnsi="Times New Roman"/>
          <w:sz w:val="24"/>
          <w:szCs w:val="24"/>
        </w:rPr>
        <w:t>enied the application and</w:t>
      </w:r>
      <w:r w:rsidR="00B24F7E" w:rsidRPr="005F0322">
        <w:rPr>
          <w:rFonts w:ascii="Times New Roman" w:hAnsi="Times New Roman"/>
          <w:sz w:val="24"/>
          <w:szCs w:val="24"/>
        </w:rPr>
        <w:t xml:space="preserve"> </w:t>
      </w:r>
      <w:r w:rsidR="0066765C" w:rsidRPr="005F0322">
        <w:rPr>
          <w:rFonts w:ascii="Times New Roman" w:hAnsi="Times New Roman"/>
          <w:sz w:val="24"/>
          <w:szCs w:val="24"/>
        </w:rPr>
        <w:t xml:space="preserve">reiterated </w:t>
      </w:r>
      <w:proofErr w:type="spellStart"/>
      <w:r w:rsidR="0066765C" w:rsidRPr="005F0322">
        <w:rPr>
          <w:rFonts w:ascii="Times New Roman" w:hAnsi="Times New Roman"/>
          <w:sz w:val="24"/>
          <w:szCs w:val="24"/>
        </w:rPr>
        <w:t>Eady</w:t>
      </w:r>
      <w:proofErr w:type="spellEnd"/>
      <w:r w:rsidR="0066765C" w:rsidRPr="005F0322">
        <w:rPr>
          <w:rFonts w:ascii="Times New Roman" w:hAnsi="Times New Roman"/>
          <w:sz w:val="24"/>
          <w:szCs w:val="24"/>
        </w:rPr>
        <w:t xml:space="preserve"> J’s earlier</w:t>
      </w:r>
      <w:r w:rsidR="0044053D" w:rsidRPr="005F0322">
        <w:rPr>
          <w:rFonts w:ascii="Times New Roman" w:hAnsi="Times New Roman"/>
          <w:sz w:val="24"/>
          <w:szCs w:val="24"/>
        </w:rPr>
        <w:t xml:space="preserve"> point.  He continued,</w:t>
      </w:r>
      <w:r w:rsidR="00B24F7E" w:rsidRPr="005F0322">
        <w:rPr>
          <w:rFonts w:ascii="Times New Roman" w:hAnsi="Times New Roman"/>
          <w:sz w:val="24"/>
          <w:szCs w:val="24"/>
        </w:rPr>
        <w:t xml:space="preserve"> </w:t>
      </w:r>
    </w:p>
    <w:p w:rsidR="003C4DEE" w:rsidRDefault="003C4DEE" w:rsidP="005111CF">
      <w:pPr>
        <w:spacing w:after="0" w:line="240" w:lineRule="auto"/>
        <w:jc w:val="both"/>
        <w:rPr>
          <w:rFonts w:ascii="Times New Roman" w:hAnsi="Times New Roman"/>
          <w:sz w:val="24"/>
          <w:szCs w:val="24"/>
        </w:rPr>
      </w:pPr>
    </w:p>
    <w:p w:rsidR="0066765C" w:rsidRPr="005F0322" w:rsidRDefault="00B24F7E" w:rsidP="000B23D1">
      <w:pPr>
        <w:spacing w:after="0" w:line="240" w:lineRule="auto"/>
        <w:ind w:left="851" w:right="851"/>
        <w:jc w:val="both"/>
        <w:rPr>
          <w:rFonts w:ascii="Times New Roman" w:hAnsi="Times New Roman"/>
          <w:sz w:val="24"/>
          <w:szCs w:val="24"/>
        </w:rPr>
      </w:pPr>
      <w:r w:rsidRPr="005F0322">
        <w:rPr>
          <w:rFonts w:ascii="Times New Roman" w:hAnsi="Times New Roman"/>
          <w:sz w:val="24"/>
          <w:szCs w:val="24"/>
        </w:rPr>
        <w:t>‘</w:t>
      </w:r>
      <w:r w:rsidRPr="005F0322">
        <w:rPr>
          <w:rFonts w:ascii="Times New Roman" w:hAnsi="Times New Roman"/>
          <w:i/>
          <w:sz w:val="24"/>
          <w:szCs w:val="24"/>
        </w:rPr>
        <w:t>The fact that tens of thousands of people have named the claimant on the internet confirms that the claimant and his family need protection from intrusion into their private and family life.  The fact that a question has been asked in Parliament seems to me to increase, and not to diminish the strength of his case</w:t>
      </w:r>
      <w:r w:rsidRPr="005F0322">
        <w:rPr>
          <w:rFonts w:ascii="Times New Roman" w:hAnsi="Times New Roman"/>
          <w:sz w:val="24"/>
          <w:szCs w:val="24"/>
        </w:rPr>
        <w:t>’</w:t>
      </w:r>
      <w:r w:rsidRPr="005F0322">
        <w:rPr>
          <w:rStyle w:val="FootnoteReference"/>
          <w:rFonts w:ascii="Times New Roman" w:hAnsi="Times New Roman"/>
          <w:sz w:val="24"/>
          <w:szCs w:val="24"/>
        </w:rPr>
        <w:footnoteReference w:id="41"/>
      </w:r>
    </w:p>
    <w:p w:rsidR="009529C8" w:rsidRDefault="009529C8" w:rsidP="005111CF">
      <w:pPr>
        <w:spacing w:after="0" w:line="240" w:lineRule="auto"/>
        <w:jc w:val="both"/>
        <w:rPr>
          <w:rFonts w:ascii="Times New Roman" w:hAnsi="Times New Roman"/>
          <w:color w:val="FF0000"/>
          <w:sz w:val="24"/>
          <w:szCs w:val="24"/>
        </w:rPr>
      </w:pPr>
    </w:p>
    <w:p w:rsidR="009E16CF" w:rsidRPr="00053019" w:rsidRDefault="00964777" w:rsidP="005111CF">
      <w:pPr>
        <w:spacing w:after="0" w:line="240" w:lineRule="auto"/>
        <w:jc w:val="both"/>
        <w:rPr>
          <w:rFonts w:ascii="Times New Roman" w:hAnsi="Times New Roman"/>
          <w:sz w:val="24"/>
          <w:szCs w:val="24"/>
        </w:rPr>
      </w:pPr>
      <w:r w:rsidRPr="00FE4E97">
        <w:rPr>
          <w:rFonts w:ascii="Times New Roman" w:hAnsi="Times New Roman"/>
          <w:sz w:val="24"/>
          <w:szCs w:val="24"/>
        </w:rPr>
        <w:t>The dispute lingered on and</w:t>
      </w:r>
      <w:r w:rsidR="009529C8" w:rsidRPr="00FE4E97">
        <w:rPr>
          <w:rFonts w:ascii="Times New Roman" w:hAnsi="Times New Roman"/>
          <w:sz w:val="24"/>
          <w:szCs w:val="24"/>
        </w:rPr>
        <w:t xml:space="preserve"> continued</w:t>
      </w:r>
      <w:r w:rsidRPr="00FE4E97">
        <w:rPr>
          <w:rFonts w:ascii="Times New Roman" w:hAnsi="Times New Roman"/>
          <w:sz w:val="24"/>
          <w:szCs w:val="24"/>
        </w:rPr>
        <w:t xml:space="preserve"> to an uneasy end when </w:t>
      </w:r>
      <w:proofErr w:type="spellStart"/>
      <w:r w:rsidRPr="00FE4E97">
        <w:rPr>
          <w:rFonts w:ascii="Times New Roman" w:hAnsi="Times New Roman"/>
          <w:sz w:val="24"/>
          <w:szCs w:val="24"/>
        </w:rPr>
        <w:t>Giggs</w:t>
      </w:r>
      <w:proofErr w:type="spellEnd"/>
      <w:r w:rsidRPr="00FE4E97">
        <w:rPr>
          <w:rFonts w:ascii="Times New Roman" w:hAnsi="Times New Roman"/>
          <w:sz w:val="24"/>
          <w:szCs w:val="24"/>
        </w:rPr>
        <w:t>’ action was struck out</w:t>
      </w:r>
      <w:r w:rsidR="003C4DEE">
        <w:rPr>
          <w:rFonts w:ascii="Times New Roman" w:hAnsi="Times New Roman"/>
          <w:sz w:val="24"/>
          <w:szCs w:val="24"/>
        </w:rPr>
        <w:t xml:space="preserve"> months later</w:t>
      </w:r>
      <w:r w:rsidRPr="00FE4E97">
        <w:rPr>
          <w:rFonts w:ascii="Times New Roman" w:hAnsi="Times New Roman"/>
          <w:sz w:val="24"/>
          <w:szCs w:val="24"/>
        </w:rPr>
        <w:t xml:space="preserve"> due failure to meet court deadlines</w:t>
      </w:r>
      <w:r w:rsidR="00FE4E97">
        <w:rPr>
          <w:rFonts w:ascii="Times New Roman" w:hAnsi="Times New Roman"/>
          <w:sz w:val="24"/>
          <w:szCs w:val="24"/>
        </w:rPr>
        <w:t xml:space="preserve"> and the injunction </w:t>
      </w:r>
      <w:r w:rsidR="00053019">
        <w:rPr>
          <w:rFonts w:ascii="Times New Roman" w:hAnsi="Times New Roman"/>
          <w:sz w:val="24"/>
          <w:szCs w:val="24"/>
        </w:rPr>
        <w:t xml:space="preserve">thus </w:t>
      </w:r>
      <w:r w:rsidR="00FE4E97">
        <w:rPr>
          <w:rFonts w:ascii="Times New Roman" w:hAnsi="Times New Roman"/>
          <w:sz w:val="24"/>
          <w:szCs w:val="24"/>
        </w:rPr>
        <w:t>no longer had effect.</w:t>
      </w:r>
      <w:r w:rsidR="009529C8" w:rsidRPr="00FE4E97">
        <w:rPr>
          <w:rStyle w:val="FootnoteReference"/>
          <w:rFonts w:ascii="Times New Roman" w:hAnsi="Times New Roman"/>
          <w:sz w:val="24"/>
          <w:szCs w:val="24"/>
        </w:rPr>
        <w:footnoteReference w:id="42"/>
      </w:r>
    </w:p>
    <w:p w:rsidR="00053019" w:rsidRDefault="00053019" w:rsidP="005111CF">
      <w:pPr>
        <w:spacing w:after="0" w:line="240" w:lineRule="auto"/>
        <w:jc w:val="both"/>
        <w:rPr>
          <w:rFonts w:ascii="Times New Roman" w:hAnsi="Times New Roman"/>
          <w:sz w:val="24"/>
          <w:szCs w:val="24"/>
        </w:rPr>
      </w:pPr>
    </w:p>
    <w:p w:rsidR="00053019" w:rsidRDefault="00E55729" w:rsidP="00053019">
      <w:pPr>
        <w:spacing w:after="0" w:line="240" w:lineRule="auto"/>
        <w:jc w:val="both"/>
        <w:rPr>
          <w:rFonts w:ascii="Times New Roman" w:hAnsi="Times New Roman"/>
          <w:sz w:val="24"/>
          <w:szCs w:val="24"/>
        </w:rPr>
      </w:pPr>
      <w:proofErr w:type="spellStart"/>
      <w:r w:rsidRPr="009655CE">
        <w:rPr>
          <w:rFonts w:ascii="Times New Roman" w:hAnsi="Times New Roman"/>
          <w:i/>
          <w:sz w:val="24"/>
          <w:szCs w:val="24"/>
        </w:rPr>
        <w:t>Giggs</w:t>
      </w:r>
      <w:proofErr w:type="spellEnd"/>
      <w:r w:rsidR="009655CE" w:rsidRPr="009655CE">
        <w:rPr>
          <w:rFonts w:ascii="Times New Roman" w:hAnsi="Times New Roman"/>
          <w:i/>
          <w:sz w:val="24"/>
          <w:szCs w:val="24"/>
        </w:rPr>
        <w:t xml:space="preserve"> v News Group</w:t>
      </w:r>
      <w:r w:rsidRPr="00D75B76">
        <w:rPr>
          <w:rFonts w:ascii="Times New Roman" w:hAnsi="Times New Roman"/>
          <w:sz w:val="24"/>
          <w:szCs w:val="24"/>
        </w:rPr>
        <w:t xml:space="preserve"> case is </w:t>
      </w:r>
      <w:r w:rsidR="00053019" w:rsidRPr="00D75B76">
        <w:rPr>
          <w:rFonts w:ascii="Times New Roman" w:hAnsi="Times New Roman"/>
          <w:sz w:val="24"/>
          <w:szCs w:val="24"/>
        </w:rPr>
        <w:t>a fa</w:t>
      </w:r>
      <w:r w:rsidR="00631750" w:rsidRPr="00D75B76">
        <w:rPr>
          <w:rFonts w:ascii="Times New Roman" w:hAnsi="Times New Roman"/>
          <w:sz w:val="24"/>
          <w:szCs w:val="24"/>
        </w:rPr>
        <w:t>scinating example of unintended consequences, but</w:t>
      </w:r>
      <w:r w:rsidR="00053019" w:rsidRPr="00D75B76">
        <w:rPr>
          <w:rFonts w:ascii="Times New Roman" w:hAnsi="Times New Roman"/>
          <w:sz w:val="24"/>
          <w:szCs w:val="24"/>
        </w:rPr>
        <w:t xml:space="preserve"> other </w:t>
      </w:r>
      <w:r w:rsidR="00631750" w:rsidRPr="00D75B76">
        <w:rPr>
          <w:rFonts w:ascii="Times New Roman" w:hAnsi="Times New Roman"/>
          <w:sz w:val="24"/>
          <w:szCs w:val="24"/>
        </w:rPr>
        <w:t xml:space="preserve">MPI </w:t>
      </w:r>
      <w:r w:rsidR="00053019" w:rsidRPr="00D75B76">
        <w:rPr>
          <w:rFonts w:ascii="Times New Roman" w:hAnsi="Times New Roman"/>
          <w:sz w:val="24"/>
          <w:szCs w:val="24"/>
        </w:rPr>
        <w:t xml:space="preserve">cases </w:t>
      </w:r>
      <w:r w:rsidR="00FF225A">
        <w:rPr>
          <w:rFonts w:ascii="Times New Roman" w:hAnsi="Times New Roman"/>
          <w:sz w:val="24"/>
          <w:szCs w:val="24"/>
        </w:rPr>
        <w:t>also illustrate</w:t>
      </w:r>
      <w:r w:rsidR="00631750" w:rsidRPr="00D75B76">
        <w:rPr>
          <w:rFonts w:ascii="Times New Roman" w:hAnsi="Times New Roman"/>
          <w:sz w:val="24"/>
          <w:szCs w:val="24"/>
        </w:rPr>
        <w:t xml:space="preserve"> </w:t>
      </w:r>
      <w:r w:rsidRPr="00D75B76">
        <w:rPr>
          <w:rFonts w:ascii="Times New Roman" w:hAnsi="Times New Roman"/>
          <w:sz w:val="24"/>
          <w:szCs w:val="24"/>
        </w:rPr>
        <w:t xml:space="preserve">similar </w:t>
      </w:r>
      <w:r w:rsidR="00FF225A">
        <w:rPr>
          <w:rFonts w:ascii="Times New Roman" w:hAnsi="Times New Roman"/>
          <w:sz w:val="24"/>
          <w:szCs w:val="24"/>
        </w:rPr>
        <w:t>difficulties involved in</w:t>
      </w:r>
      <w:r w:rsidR="00631750" w:rsidRPr="00D75B76">
        <w:rPr>
          <w:rFonts w:ascii="Times New Roman" w:hAnsi="Times New Roman"/>
          <w:sz w:val="24"/>
          <w:szCs w:val="24"/>
        </w:rPr>
        <w:t xml:space="preserve"> </w:t>
      </w:r>
      <w:r w:rsidR="00C36819" w:rsidRPr="00D75B76">
        <w:rPr>
          <w:rFonts w:ascii="Times New Roman" w:hAnsi="Times New Roman"/>
          <w:sz w:val="24"/>
          <w:szCs w:val="24"/>
        </w:rPr>
        <w:t>privacy injunctions.</w:t>
      </w:r>
      <w:r w:rsidR="00FF225A">
        <w:rPr>
          <w:rFonts w:ascii="Times New Roman" w:hAnsi="Times New Roman"/>
          <w:sz w:val="24"/>
          <w:szCs w:val="24"/>
        </w:rPr>
        <w:t xml:space="preserve">  For example, a</w:t>
      </w:r>
      <w:r w:rsidR="009A2AA1">
        <w:rPr>
          <w:rFonts w:ascii="Times New Roman" w:hAnsi="Times New Roman"/>
          <w:sz w:val="24"/>
          <w:szCs w:val="24"/>
        </w:rPr>
        <w:t xml:space="preserve">round the same time as the </w:t>
      </w:r>
      <w:proofErr w:type="spellStart"/>
      <w:r w:rsidR="009A2AA1">
        <w:rPr>
          <w:rFonts w:ascii="Times New Roman" w:hAnsi="Times New Roman"/>
          <w:sz w:val="24"/>
          <w:szCs w:val="24"/>
        </w:rPr>
        <w:t>Giggs</w:t>
      </w:r>
      <w:proofErr w:type="spellEnd"/>
      <w:r w:rsidR="009A2AA1">
        <w:rPr>
          <w:rFonts w:ascii="Times New Roman" w:hAnsi="Times New Roman"/>
          <w:sz w:val="24"/>
          <w:szCs w:val="24"/>
        </w:rPr>
        <w:t xml:space="preserve"> litigation Jeremy Clarkson was revealed as the claimant in </w:t>
      </w:r>
      <w:r w:rsidR="009A2AA1" w:rsidRPr="009A2AA1">
        <w:rPr>
          <w:rFonts w:ascii="Times New Roman" w:hAnsi="Times New Roman"/>
          <w:i/>
          <w:sz w:val="24"/>
          <w:szCs w:val="24"/>
        </w:rPr>
        <w:t>AMM v HXW</w:t>
      </w:r>
      <w:r w:rsidR="009A2AA1">
        <w:rPr>
          <w:rStyle w:val="FootnoteReference"/>
          <w:rFonts w:ascii="Times New Roman" w:hAnsi="Times New Roman"/>
          <w:sz w:val="24"/>
          <w:szCs w:val="24"/>
        </w:rPr>
        <w:footnoteReference w:id="43"/>
      </w:r>
      <w:r w:rsidR="00FF225A">
        <w:rPr>
          <w:rFonts w:ascii="Times New Roman" w:hAnsi="Times New Roman"/>
          <w:i/>
          <w:sz w:val="24"/>
          <w:szCs w:val="24"/>
        </w:rPr>
        <w:t xml:space="preserve"> </w:t>
      </w:r>
      <w:r w:rsidR="00FF225A">
        <w:rPr>
          <w:rFonts w:ascii="Times New Roman" w:hAnsi="Times New Roman"/>
          <w:sz w:val="24"/>
          <w:szCs w:val="24"/>
        </w:rPr>
        <w:t>in broadly similar circumstances, later claiming such injunctions are ‘pointless’</w:t>
      </w:r>
      <w:r w:rsidR="00C33C85">
        <w:rPr>
          <w:rFonts w:ascii="Times New Roman" w:hAnsi="Times New Roman"/>
          <w:sz w:val="24"/>
          <w:szCs w:val="24"/>
        </w:rPr>
        <w:t xml:space="preserve"> in an online era</w:t>
      </w:r>
      <w:r w:rsidR="00FF225A">
        <w:rPr>
          <w:rFonts w:ascii="Times New Roman" w:hAnsi="Times New Roman"/>
          <w:sz w:val="24"/>
          <w:szCs w:val="24"/>
        </w:rPr>
        <w:t>.</w:t>
      </w:r>
      <w:r w:rsidR="00FF225A">
        <w:rPr>
          <w:rStyle w:val="FootnoteReference"/>
          <w:rFonts w:ascii="Times New Roman" w:hAnsi="Times New Roman"/>
          <w:sz w:val="24"/>
          <w:szCs w:val="24"/>
        </w:rPr>
        <w:footnoteReference w:id="44"/>
      </w:r>
      <w:r w:rsidR="009A2AA1">
        <w:rPr>
          <w:rFonts w:ascii="Times New Roman" w:hAnsi="Times New Roman"/>
          <w:sz w:val="24"/>
          <w:szCs w:val="24"/>
        </w:rPr>
        <w:t xml:space="preserve"> </w:t>
      </w:r>
      <w:r w:rsidR="00200765">
        <w:rPr>
          <w:rFonts w:ascii="Times New Roman" w:hAnsi="Times New Roman"/>
          <w:sz w:val="24"/>
          <w:szCs w:val="24"/>
        </w:rPr>
        <w:t xml:space="preserve"> </w:t>
      </w:r>
      <w:r w:rsidR="00D713AF" w:rsidRPr="00A3651B">
        <w:rPr>
          <w:rFonts w:ascii="Times New Roman" w:hAnsi="Times New Roman"/>
          <w:sz w:val="24"/>
          <w:szCs w:val="24"/>
        </w:rPr>
        <w:t xml:space="preserve">A further example </w:t>
      </w:r>
      <w:r w:rsidR="000A383A">
        <w:rPr>
          <w:rFonts w:ascii="Times New Roman" w:hAnsi="Times New Roman"/>
          <w:sz w:val="24"/>
          <w:szCs w:val="24"/>
        </w:rPr>
        <w:t xml:space="preserve">is </w:t>
      </w:r>
      <w:r w:rsidR="00D713AF" w:rsidRPr="00A3651B">
        <w:rPr>
          <w:rFonts w:ascii="Times New Roman" w:hAnsi="Times New Roman"/>
          <w:sz w:val="24"/>
          <w:szCs w:val="24"/>
        </w:rPr>
        <w:t>afforded by Sir Fred Goodwin’s unsuccessful attempt to prevent publication of his adulterous affair with a work colleague.  Goodwin</w:t>
      </w:r>
      <w:r w:rsidR="00200765">
        <w:rPr>
          <w:rFonts w:ascii="Times New Roman" w:hAnsi="Times New Roman"/>
          <w:sz w:val="24"/>
          <w:szCs w:val="24"/>
        </w:rPr>
        <w:t xml:space="preserve"> (formerly MNB)</w:t>
      </w:r>
      <w:r w:rsidR="00D713AF" w:rsidRPr="00A3651B">
        <w:rPr>
          <w:rFonts w:ascii="Times New Roman" w:hAnsi="Times New Roman"/>
          <w:sz w:val="24"/>
          <w:szCs w:val="24"/>
        </w:rPr>
        <w:t xml:space="preserve"> was initially granted an anonymised injunction</w:t>
      </w:r>
      <w:r w:rsidR="003107F6" w:rsidRPr="00A3651B">
        <w:rPr>
          <w:rFonts w:ascii="Times New Roman" w:hAnsi="Times New Roman"/>
          <w:sz w:val="24"/>
          <w:szCs w:val="24"/>
        </w:rPr>
        <w:t>.</w:t>
      </w:r>
      <w:r w:rsidR="004B229D">
        <w:rPr>
          <w:rStyle w:val="FootnoteReference"/>
          <w:rFonts w:ascii="Times New Roman" w:hAnsi="Times New Roman"/>
          <w:sz w:val="24"/>
          <w:szCs w:val="24"/>
        </w:rPr>
        <w:footnoteReference w:id="45"/>
      </w:r>
      <w:r w:rsidR="003107F6" w:rsidRPr="00A3651B">
        <w:rPr>
          <w:rFonts w:ascii="Times New Roman" w:hAnsi="Times New Roman"/>
          <w:sz w:val="24"/>
          <w:szCs w:val="24"/>
        </w:rPr>
        <w:t xml:space="preserve">  </w:t>
      </w:r>
      <w:r w:rsidR="00D829A6" w:rsidRPr="00A3651B">
        <w:rPr>
          <w:rFonts w:ascii="Times New Roman" w:hAnsi="Times New Roman"/>
          <w:sz w:val="24"/>
          <w:szCs w:val="24"/>
        </w:rPr>
        <w:t>Some weeks later,</w:t>
      </w:r>
      <w:r w:rsidR="00053019" w:rsidRPr="00A3651B">
        <w:rPr>
          <w:rFonts w:ascii="Times New Roman" w:hAnsi="Times New Roman"/>
          <w:sz w:val="24"/>
          <w:szCs w:val="24"/>
        </w:rPr>
        <w:t xml:space="preserve"> Lord Stoneha</w:t>
      </w:r>
      <w:r w:rsidR="00D829A6" w:rsidRPr="00A3651B">
        <w:rPr>
          <w:rFonts w:ascii="Times New Roman" w:hAnsi="Times New Roman"/>
          <w:sz w:val="24"/>
          <w:szCs w:val="24"/>
        </w:rPr>
        <w:t>m on behalf of Lord Oakeshott identified Goodwin as the claimant</w:t>
      </w:r>
      <w:r w:rsidR="00053019" w:rsidRPr="00A3651B">
        <w:rPr>
          <w:rFonts w:ascii="Times New Roman" w:hAnsi="Times New Roman"/>
          <w:sz w:val="24"/>
          <w:szCs w:val="24"/>
        </w:rPr>
        <w:t xml:space="preserve"> in a parliamentary question.</w:t>
      </w:r>
      <w:r w:rsidR="00053019" w:rsidRPr="00A3651B">
        <w:rPr>
          <w:rStyle w:val="FootnoteReference"/>
          <w:rFonts w:ascii="Times New Roman" w:hAnsi="Times New Roman"/>
          <w:sz w:val="24"/>
          <w:szCs w:val="24"/>
        </w:rPr>
        <w:footnoteReference w:id="46"/>
      </w:r>
      <w:r w:rsidR="00D829A6" w:rsidRPr="00A3651B">
        <w:rPr>
          <w:rFonts w:ascii="Times New Roman" w:hAnsi="Times New Roman"/>
          <w:sz w:val="24"/>
          <w:szCs w:val="24"/>
        </w:rPr>
        <w:t xml:space="preserve">  The defendant</w:t>
      </w:r>
      <w:r w:rsidR="00053019" w:rsidRPr="00A3651B">
        <w:rPr>
          <w:rFonts w:ascii="Times New Roman" w:hAnsi="Times New Roman"/>
          <w:sz w:val="24"/>
          <w:szCs w:val="24"/>
        </w:rPr>
        <w:t xml:space="preserve"> applied to discharge the injunction</w:t>
      </w:r>
      <w:r w:rsidR="00774A35">
        <w:rPr>
          <w:rFonts w:ascii="Times New Roman" w:hAnsi="Times New Roman"/>
          <w:sz w:val="24"/>
          <w:szCs w:val="24"/>
        </w:rPr>
        <w:t xml:space="preserve"> that</w:t>
      </w:r>
      <w:r w:rsidR="00D829A6" w:rsidRPr="00A3651B">
        <w:rPr>
          <w:rFonts w:ascii="Times New Roman" w:hAnsi="Times New Roman"/>
          <w:sz w:val="24"/>
          <w:szCs w:val="24"/>
        </w:rPr>
        <w:t xml:space="preserve"> same day</w:t>
      </w:r>
      <w:r w:rsidR="00053019" w:rsidRPr="00A3651B">
        <w:rPr>
          <w:rFonts w:ascii="Times New Roman" w:hAnsi="Times New Roman"/>
          <w:sz w:val="24"/>
          <w:szCs w:val="24"/>
        </w:rPr>
        <w:t xml:space="preserve">.  </w:t>
      </w:r>
      <w:r w:rsidR="00053019" w:rsidRPr="00A3651B">
        <w:rPr>
          <w:rFonts w:ascii="Times New Roman" w:hAnsi="Times New Roman"/>
          <w:sz w:val="24"/>
          <w:szCs w:val="24"/>
        </w:rPr>
        <w:lastRenderedPageBreak/>
        <w:t xml:space="preserve">Tugendhat J </w:t>
      </w:r>
      <w:r w:rsidR="00774A35">
        <w:rPr>
          <w:rFonts w:ascii="Times New Roman" w:hAnsi="Times New Roman"/>
          <w:sz w:val="24"/>
          <w:szCs w:val="24"/>
        </w:rPr>
        <w:t xml:space="preserve">did not discharge the injunction, but </w:t>
      </w:r>
      <w:r w:rsidR="00053019" w:rsidRPr="00A3651B">
        <w:rPr>
          <w:rFonts w:ascii="Times New Roman" w:hAnsi="Times New Roman"/>
          <w:sz w:val="24"/>
          <w:szCs w:val="24"/>
        </w:rPr>
        <w:t xml:space="preserve">varied </w:t>
      </w:r>
      <w:r w:rsidR="00774A35">
        <w:rPr>
          <w:rFonts w:ascii="Times New Roman" w:hAnsi="Times New Roman"/>
          <w:sz w:val="24"/>
          <w:szCs w:val="24"/>
        </w:rPr>
        <w:t xml:space="preserve">it </w:t>
      </w:r>
      <w:r w:rsidR="00053019" w:rsidRPr="00A3651B">
        <w:rPr>
          <w:rFonts w:ascii="Times New Roman" w:hAnsi="Times New Roman"/>
          <w:sz w:val="24"/>
          <w:szCs w:val="24"/>
        </w:rPr>
        <w:t>so that Goodwin c</w:t>
      </w:r>
      <w:r w:rsidR="00774A35">
        <w:rPr>
          <w:rFonts w:ascii="Times New Roman" w:hAnsi="Times New Roman"/>
          <w:sz w:val="24"/>
          <w:szCs w:val="24"/>
        </w:rPr>
        <w:t>ould be named and</w:t>
      </w:r>
      <w:r w:rsidR="00D829A6" w:rsidRPr="00A3651B">
        <w:rPr>
          <w:rFonts w:ascii="Times New Roman" w:hAnsi="Times New Roman"/>
          <w:sz w:val="24"/>
          <w:szCs w:val="24"/>
        </w:rPr>
        <w:t xml:space="preserve"> maintained anon</w:t>
      </w:r>
      <w:r w:rsidR="00053019" w:rsidRPr="00A3651B">
        <w:rPr>
          <w:rFonts w:ascii="Times New Roman" w:hAnsi="Times New Roman"/>
          <w:sz w:val="24"/>
          <w:szCs w:val="24"/>
        </w:rPr>
        <w:t>y</w:t>
      </w:r>
      <w:r w:rsidR="00D829A6" w:rsidRPr="00A3651B">
        <w:rPr>
          <w:rFonts w:ascii="Times New Roman" w:hAnsi="Times New Roman"/>
          <w:sz w:val="24"/>
          <w:szCs w:val="24"/>
        </w:rPr>
        <w:t>mity</w:t>
      </w:r>
      <w:r w:rsidR="00053019" w:rsidRPr="00A3651B">
        <w:rPr>
          <w:rFonts w:ascii="Times New Roman" w:hAnsi="Times New Roman"/>
          <w:sz w:val="24"/>
          <w:szCs w:val="24"/>
        </w:rPr>
        <w:t xml:space="preserve"> for the female colleague (VBN) with whom he had an affair.</w:t>
      </w:r>
      <w:r w:rsidR="00053019" w:rsidRPr="00A3651B">
        <w:rPr>
          <w:rStyle w:val="FootnoteReference"/>
          <w:rFonts w:ascii="Times New Roman" w:hAnsi="Times New Roman"/>
          <w:sz w:val="24"/>
          <w:szCs w:val="24"/>
        </w:rPr>
        <w:footnoteReference w:id="47"/>
      </w:r>
    </w:p>
    <w:p w:rsidR="007A7973" w:rsidRDefault="007A7973" w:rsidP="00053019">
      <w:pPr>
        <w:spacing w:after="0" w:line="240" w:lineRule="auto"/>
        <w:jc w:val="both"/>
        <w:rPr>
          <w:rFonts w:ascii="Times New Roman" w:hAnsi="Times New Roman"/>
          <w:sz w:val="24"/>
          <w:szCs w:val="24"/>
        </w:rPr>
      </w:pPr>
    </w:p>
    <w:p w:rsidR="007A7973" w:rsidRPr="007A7973" w:rsidRDefault="007A7973" w:rsidP="00053019">
      <w:pPr>
        <w:spacing w:after="0" w:line="240" w:lineRule="auto"/>
        <w:jc w:val="both"/>
        <w:rPr>
          <w:rFonts w:ascii="Times New Roman" w:hAnsi="Times New Roman"/>
          <w:i/>
          <w:sz w:val="24"/>
          <w:szCs w:val="24"/>
          <w:u w:val="single"/>
        </w:rPr>
      </w:pPr>
      <w:r w:rsidRPr="007A7973">
        <w:rPr>
          <w:rFonts w:ascii="Times New Roman" w:hAnsi="Times New Roman"/>
          <w:i/>
          <w:sz w:val="24"/>
          <w:szCs w:val="24"/>
          <w:u w:val="single"/>
        </w:rPr>
        <w:t>PJS; the Supreme Court deals with Unintended Consequences</w:t>
      </w:r>
    </w:p>
    <w:p w:rsidR="00096E1C" w:rsidRPr="007640B7" w:rsidRDefault="00096E1C" w:rsidP="00A252B9">
      <w:pPr>
        <w:spacing w:after="0" w:line="240" w:lineRule="auto"/>
        <w:jc w:val="both"/>
        <w:rPr>
          <w:rFonts w:ascii="Times New Roman" w:hAnsi="Times New Roman"/>
          <w:sz w:val="24"/>
          <w:szCs w:val="24"/>
        </w:rPr>
      </w:pPr>
      <w:r w:rsidRPr="007640B7">
        <w:rPr>
          <w:rFonts w:ascii="Times New Roman" w:hAnsi="Times New Roman"/>
          <w:sz w:val="24"/>
          <w:szCs w:val="24"/>
        </w:rPr>
        <w:t>PJS’s attempts to restrain publication of his extra-marital encounters returned the issue of unin</w:t>
      </w:r>
      <w:r w:rsidR="006C2921">
        <w:rPr>
          <w:rFonts w:ascii="Times New Roman" w:hAnsi="Times New Roman"/>
          <w:sz w:val="24"/>
          <w:szCs w:val="24"/>
        </w:rPr>
        <w:t>tended consequences to the fore</w:t>
      </w:r>
      <w:r w:rsidRPr="007640B7">
        <w:rPr>
          <w:rFonts w:ascii="Times New Roman" w:hAnsi="Times New Roman"/>
          <w:sz w:val="24"/>
          <w:szCs w:val="24"/>
        </w:rPr>
        <w:t xml:space="preserve"> in April 2016.  PJS had obtained an anonymous injunction on 22 January</w:t>
      </w:r>
      <w:r w:rsidR="00FA53A8" w:rsidRPr="007640B7">
        <w:rPr>
          <w:rFonts w:ascii="Times New Roman" w:hAnsi="Times New Roman"/>
          <w:sz w:val="24"/>
          <w:szCs w:val="24"/>
        </w:rPr>
        <w:t>.</w:t>
      </w:r>
      <w:r w:rsidR="00FA53A8" w:rsidRPr="007640B7">
        <w:rPr>
          <w:rStyle w:val="FootnoteReference"/>
          <w:rFonts w:ascii="Times New Roman" w:hAnsi="Times New Roman"/>
          <w:sz w:val="24"/>
          <w:szCs w:val="24"/>
        </w:rPr>
        <w:footnoteReference w:id="48"/>
      </w:r>
      <w:r w:rsidR="00AC422B" w:rsidRPr="007640B7">
        <w:rPr>
          <w:rFonts w:ascii="Times New Roman" w:hAnsi="Times New Roman"/>
          <w:sz w:val="24"/>
          <w:szCs w:val="24"/>
        </w:rPr>
        <w:t xml:space="preserve">  </w:t>
      </w:r>
      <w:r w:rsidR="0043304A" w:rsidRPr="007640B7">
        <w:rPr>
          <w:rFonts w:ascii="Times New Roman" w:hAnsi="Times New Roman"/>
          <w:sz w:val="24"/>
          <w:szCs w:val="24"/>
        </w:rPr>
        <w:t>But on 6</w:t>
      </w:r>
      <w:r w:rsidR="0043304A" w:rsidRPr="007640B7">
        <w:rPr>
          <w:rFonts w:ascii="Times New Roman" w:hAnsi="Times New Roman"/>
          <w:sz w:val="24"/>
          <w:szCs w:val="24"/>
          <w:vertAlign w:val="superscript"/>
        </w:rPr>
        <w:t>th</w:t>
      </w:r>
      <w:r w:rsidR="006C2921">
        <w:rPr>
          <w:rFonts w:ascii="Times New Roman" w:hAnsi="Times New Roman"/>
          <w:sz w:val="24"/>
          <w:szCs w:val="24"/>
        </w:rPr>
        <w:t xml:space="preserve"> April</w:t>
      </w:r>
      <w:r w:rsidR="0043304A" w:rsidRPr="007640B7">
        <w:rPr>
          <w:rFonts w:ascii="Times New Roman" w:hAnsi="Times New Roman"/>
          <w:sz w:val="24"/>
          <w:szCs w:val="24"/>
        </w:rPr>
        <w:t xml:space="preserve"> a </w:t>
      </w:r>
      <w:r w:rsidR="009E7D1D" w:rsidRPr="007640B7">
        <w:rPr>
          <w:rFonts w:ascii="Times New Roman" w:hAnsi="Times New Roman"/>
          <w:sz w:val="24"/>
          <w:szCs w:val="24"/>
        </w:rPr>
        <w:t xml:space="preserve">popular </w:t>
      </w:r>
      <w:r w:rsidR="0043304A" w:rsidRPr="007640B7">
        <w:rPr>
          <w:rFonts w:ascii="Times New Roman" w:hAnsi="Times New Roman"/>
          <w:sz w:val="24"/>
          <w:szCs w:val="24"/>
        </w:rPr>
        <w:t xml:space="preserve">US magazine published </w:t>
      </w:r>
      <w:r w:rsidR="009E7D1D" w:rsidRPr="007640B7">
        <w:rPr>
          <w:rFonts w:ascii="Times New Roman" w:hAnsi="Times New Roman"/>
          <w:sz w:val="24"/>
          <w:szCs w:val="24"/>
        </w:rPr>
        <w:t xml:space="preserve">the story and identified PJS, promptly followed by further </w:t>
      </w:r>
      <w:r w:rsidR="0043304A" w:rsidRPr="007640B7">
        <w:rPr>
          <w:rFonts w:ascii="Times New Roman" w:hAnsi="Times New Roman"/>
          <w:sz w:val="24"/>
          <w:szCs w:val="24"/>
        </w:rPr>
        <w:t>publication</w:t>
      </w:r>
      <w:r w:rsidR="009E7D1D" w:rsidRPr="007640B7">
        <w:rPr>
          <w:rFonts w:ascii="Times New Roman" w:hAnsi="Times New Roman"/>
          <w:sz w:val="24"/>
          <w:szCs w:val="24"/>
        </w:rPr>
        <w:t>s in America, Canada and Scotland</w:t>
      </w:r>
      <w:r w:rsidR="0043304A" w:rsidRPr="007640B7">
        <w:rPr>
          <w:rFonts w:ascii="Times New Roman" w:hAnsi="Times New Roman"/>
          <w:sz w:val="24"/>
          <w:szCs w:val="24"/>
        </w:rPr>
        <w:t xml:space="preserve">. </w:t>
      </w:r>
      <w:r w:rsidR="005048BB" w:rsidRPr="007640B7">
        <w:rPr>
          <w:rFonts w:ascii="Times New Roman" w:hAnsi="Times New Roman"/>
          <w:sz w:val="24"/>
          <w:szCs w:val="24"/>
        </w:rPr>
        <w:t xml:space="preserve"> This led to o</w:t>
      </w:r>
      <w:r w:rsidR="009E7D1D" w:rsidRPr="007640B7">
        <w:rPr>
          <w:rFonts w:ascii="Times New Roman" w:hAnsi="Times New Roman"/>
          <w:sz w:val="24"/>
          <w:szCs w:val="24"/>
        </w:rPr>
        <w:t xml:space="preserve">nline </w:t>
      </w:r>
      <w:r w:rsidR="001F23CD" w:rsidRPr="007640B7">
        <w:rPr>
          <w:rFonts w:ascii="Times New Roman" w:hAnsi="Times New Roman"/>
          <w:sz w:val="24"/>
          <w:szCs w:val="24"/>
        </w:rPr>
        <w:t>dissemination of the protected information</w:t>
      </w:r>
      <w:r w:rsidR="009E7D1D" w:rsidRPr="007640B7">
        <w:rPr>
          <w:rFonts w:ascii="Times New Roman" w:hAnsi="Times New Roman"/>
          <w:sz w:val="24"/>
          <w:szCs w:val="24"/>
        </w:rPr>
        <w:t xml:space="preserve">, with </w:t>
      </w:r>
      <w:r w:rsidR="001F23CD" w:rsidRPr="007640B7">
        <w:rPr>
          <w:rFonts w:ascii="Times New Roman" w:hAnsi="Times New Roman"/>
          <w:sz w:val="24"/>
          <w:szCs w:val="24"/>
        </w:rPr>
        <w:t>I</w:t>
      </w:r>
      <w:r w:rsidR="0043304A" w:rsidRPr="007640B7">
        <w:rPr>
          <w:rFonts w:ascii="Times New Roman" w:hAnsi="Times New Roman"/>
          <w:sz w:val="24"/>
          <w:szCs w:val="24"/>
        </w:rPr>
        <w:t>nternet users naming PJS on websites and social networking site</w:t>
      </w:r>
      <w:r w:rsidR="009E7D1D" w:rsidRPr="007640B7">
        <w:rPr>
          <w:rFonts w:ascii="Times New Roman" w:hAnsi="Times New Roman"/>
          <w:sz w:val="24"/>
          <w:szCs w:val="24"/>
        </w:rPr>
        <w:t>s</w:t>
      </w:r>
      <w:r w:rsidRPr="007640B7">
        <w:rPr>
          <w:rFonts w:ascii="Times New Roman" w:hAnsi="Times New Roman"/>
          <w:sz w:val="24"/>
          <w:szCs w:val="24"/>
        </w:rPr>
        <w:t>.</w:t>
      </w:r>
      <w:r w:rsidR="0074211B" w:rsidRPr="007640B7">
        <w:rPr>
          <w:rFonts w:ascii="Times New Roman" w:hAnsi="Times New Roman"/>
          <w:sz w:val="24"/>
          <w:szCs w:val="24"/>
        </w:rPr>
        <w:t xml:space="preserve">  The claimant’s solicitors monitored and removed the private information where possible.</w:t>
      </w:r>
      <w:r w:rsidR="0043304A" w:rsidRPr="007640B7">
        <w:rPr>
          <w:rFonts w:ascii="Times New Roman" w:hAnsi="Times New Roman"/>
          <w:sz w:val="24"/>
          <w:szCs w:val="24"/>
        </w:rPr>
        <w:t xml:space="preserve">  </w:t>
      </w:r>
      <w:r w:rsidR="00CB3F2F">
        <w:rPr>
          <w:rFonts w:ascii="Times New Roman" w:hAnsi="Times New Roman"/>
          <w:sz w:val="24"/>
          <w:szCs w:val="24"/>
        </w:rPr>
        <w:t>T</w:t>
      </w:r>
      <w:r w:rsidR="003B2AC4" w:rsidRPr="007640B7">
        <w:rPr>
          <w:rFonts w:ascii="Times New Roman" w:hAnsi="Times New Roman"/>
          <w:sz w:val="24"/>
          <w:szCs w:val="24"/>
        </w:rPr>
        <w:t xml:space="preserve">he respective judgments of </w:t>
      </w:r>
      <w:r w:rsidR="0043304A" w:rsidRPr="007640B7">
        <w:rPr>
          <w:rFonts w:ascii="Times New Roman" w:hAnsi="Times New Roman"/>
          <w:sz w:val="24"/>
          <w:szCs w:val="24"/>
        </w:rPr>
        <w:t xml:space="preserve">the Court of Appeal and the Supreme Court </w:t>
      </w:r>
      <w:r w:rsidR="0043304A" w:rsidRPr="000E65B4">
        <w:rPr>
          <w:rFonts w:ascii="Times New Roman" w:hAnsi="Times New Roman"/>
          <w:sz w:val="24"/>
          <w:szCs w:val="24"/>
        </w:rPr>
        <w:t xml:space="preserve">provide </w:t>
      </w:r>
      <w:r w:rsidR="0077768D" w:rsidRPr="000E65B4">
        <w:rPr>
          <w:rFonts w:ascii="Times New Roman" w:hAnsi="Times New Roman"/>
          <w:sz w:val="24"/>
          <w:szCs w:val="24"/>
        </w:rPr>
        <w:t xml:space="preserve">subtly </w:t>
      </w:r>
      <w:r w:rsidR="000E65B4" w:rsidRPr="000E65B4">
        <w:rPr>
          <w:rFonts w:ascii="Times New Roman" w:hAnsi="Times New Roman"/>
          <w:sz w:val="24"/>
          <w:szCs w:val="24"/>
        </w:rPr>
        <w:t xml:space="preserve">contrasting </w:t>
      </w:r>
      <w:r w:rsidR="003B2AC4" w:rsidRPr="000E65B4">
        <w:rPr>
          <w:rFonts w:ascii="Times New Roman" w:hAnsi="Times New Roman"/>
          <w:sz w:val="24"/>
          <w:szCs w:val="24"/>
        </w:rPr>
        <w:t xml:space="preserve">narratives of these </w:t>
      </w:r>
      <w:r w:rsidR="00E97998" w:rsidRPr="007640B7">
        <w:rPr>
          <w:rFonts w:ascii="Times New Roman" w:hAnsi="Times New Roman"/>
          <w:sz w:val="24"/>
          <w:szCs w:val="24"/>
        </w:rPr>
        <w:t>facts, which</w:t>
      </w:r>
      <w:r w:rsidR="003B2AC4" w:rsidRPr="007640B7">
        <w:rPr>
          <w:rFonts w:ascii="Times New Roman" w:hAnsi="Times New Roman"/>
          <w:sz w:val="24"/>
          <w:szCs w:val="24"/>
        </w:rPr>
        <w:t xml:space="preserve"> correspond to their </w:t>
      </w:r>
      <w:r w:rsidR="00E97998" w:rsidRPr="007640B7">
        <w:rPr>
          <w:rFonts w:ascii="Times New Roman" w:hAnsi="Times New Roman"/>
          <w:sz w:val="24"/>
          <w:szCs w:val="24"/>
        </w:rPr>
        <w:t xml:space="preserve">diverging </w:t>
      </w:r>
      <w:r w:rsidR="003B2AC4" w:rsidRPr="007640B7">
        <w:rPr>
          <w:rFonts w:ascii="Times New Roman" w:hAnsi="Times New Roman"/>
          <w:sz w:val="24"/>
          <w:szCs w:val="24"/>
        </w:rPr>
        <w:t>findings.</w:t>
      </w:r>
      <w:r w:rsidR="0077768D" w:rsidRPr="007640B7">
        <w:rPr>
          <w:rStyle w:val="FootnoteReference"/>
          <w:rFonts w:ascii="Times New Roman" w:hAnsi="Times New Roman"/>
          <w:sz w:val="24"/>
          <w:szCs w:val="24"/>
        </w:rPr>
        <w:footnoteReference w:id="49"/>
      </w:r>
    </w:p>
    <w:p w:rsidR="00CE55F5" w:rsidRPr="007640B7" w:rsidRDefault="00CE55F5" w:rsidP="00A252B9">
      <w:pPr>
        <w:spacing w:after="0" w:line="240" w:lineRule="auto"/>
        <w:jc w:val="both"/>
        <w:rPr>
          <w:rFonts w:ascii="Times New Roman" w:hAnsi="Times New Roman"/>
          <w:sz w:val="24"/>
          <w:szCs w:val="24"/>
        </w:rPr>
      </w:pPr>
    </w:p>
    <w:p w:rsidR="00E7576C" w:rsidRPr="00101261" w:rsidRDefault="00F30084" w:rsidP="00A252B9">
      <w:pPr>
        <w:spacing w:after="0" w:line="240" w:lineRule="auto"/>
        <w:jc w:val="both"/>
        <w:rPr>
          <w:rFonts w:ascii="Times New Roman" w:hAnsi="Times New Roman"/>
          <w:sz w:val="24"/>
          <w:szCs w:val="24"/>
        </w:rPr>
      </w:pPr>
      <w:r w:rsidRPr="000E65B4">
        <w:rPr>
          <w:rFonts w:ascii="Times New Roman" w:hAnsi="Times New Roman"/>
          <w:sz w:val="24"/>
          <w:szCs w:val="24"/>
        </w:rPr>
        <w:t>On 11 April the House of Commons Speaker, John Bercow, banned MPs from naming PJS in parliamentary debate following reports that an MP</w:t>
      </w:r>
      <w:r w:rsidR="000E65B4" w:rsidRPr="000E65B4">
        <w:rPr>
          <w:rFonts w:ascii="Times New Roman" w:hAnsi="Times New Roman"/>
          <w:sz w:val="24"/>
          <w:szCs w:val="24"/>
        </w:rPr>
        <w:t xml:space="preserve"> reveal it</w:t>
      </w:r>
      <w:r w:rsidRPr="000E65B4">
        <w:rPr>
          <w:rFonts w:ascii="Times New Roman" w:hAnsi="Times New Roman"/>
          <w:sz w:val="24"/>
          <w:szCs w:val="24"/>
        </w:rPr>
        <w:t>.</w:t>
      </w:r>
      <w:r w:rsidR="00616498" w:rsidRPr="000E65B4">
        <w:rPr>
          <w:rStyle w:val="FootnoteReference"/>
          <w:rFonts w:ascii="Times New Roman" w:hAnsi="Times New Roman"/>
          <w:sz w:val="24"/>
          <w:szCs w:val="24"/>
        </w:rPr>
        <w:footnoteReference w:id="50"/>
      </w:r>
      <w:r w:rsidRPr="000E65B4">
        <w:rPr>
          <w:rFonts w:ascii="Times New Roman" w:hAnsi="Times New Roman"/>
          <w:sz w:val="24"/>
          <w:szCs w:val="24"/>
        </w:rPr>
        <w:t xml:space="preserve">  </w:t>
      </w:r>
      <w:r w:rsidR="00616498" w:rsidRPr="000E65B4">
        <w:rPr>
          <w:rFonts w:ascii="Times New Roman" w:hAnsi="Times New Roman"/>
          <w:sz w:val="24"/>
          <w:szCs w:val="24"/>
        </w:rPr>
        <w:t xml:space="preserve">The </w:t>
      </w:r>
      <w:r w:rsidR="00616498">
        <w:rPr>
          <w:rFonts w:ascii="Times New Roman" w:hAnsi="Times New Roman"/>
          <w:sz w:val="24"/>
          <w:szCs w:val="24"/>
        </w:rPr>
        <w:t xml:space="preserve">next day </w:t>
      </w:r>
      <w:r w:rsidR="00A252B9" w:rsidRPr="00D44538">
        <w:rPr>
          <w:rFonts w:ascii="Times New Roman" w:hAnsi="Times New Roman"/>
          <w:sz w:val="24"/>
          <w:szCs w:val="24"/>
        </w:rPr>
        <w:t>News Group applied to the Court of Appeal to discharge the injunction,</w:t>
      </w:r>
      <w:r w:rsidR="00A252B9" w:rsidRPr="00D44538">
        <w:rPr>
          <w:rFonts w:ascii="Times New Roman" w:hAnsi="Times New Roman"/>
          <w:sz w:val="24"/>
          <w:szCs w:val="24"/>
          <w:vertAlign w:val="superscript"/>
        </w:rPr>
        <w:footnoteReference w:id="51"/>
      </w:r>
      <w:r w:rsidR="00A252B9" w:rsidRPr="00D44538">
        <w:rPr>
          <w:rFonts w:ascii="Times New Roman" w:hAnsi="Times New Roman"/>
          <w:sz w:val="24"/>
          <w:szCs w:val="24"/>
        </w:rPr>
        <w:t xml:space="preserve"> arguing that PJS’s identity had entered the public domain and the protective injunction thus no longer served a useful purpose.</w:t>
      </w:r>
      <w:r w:rsidR="00A252B9" w:rsidRPr="00D44538">
        <w:rPr>
          <w:rFonts w:ascii="Times New Roman" w:hAnsi="Times New Roman"/>
          <w:sz w:val="24"/>
          <w:szCs w:val="24"/>
          <w:vertAlign w:val="superscript"/>
        </w:rPr>
        <w:footnoteReference w:id="52"/>
      </w:r>
      <w:r w:rsidR="00A252B9" w:rsidRPr="00D44538">
        <w:rPr>
          <w:rFonts w:ascii="Times New Roman" w:hAnsi="Times New Roman"/>
          <w:sz w:val="24"/>
          <w:szCs w:val="24"/>
        </w:rPr>
        <w:t xml:space="preserve">  The defendants adduced supporting evidence, including numerous online articles identifying the claimant and ‘Google trends’ graphs indicating ‘a massive increase’ in online searches relating to PJS</w:t>
      </w:r>
      <w:r w:rsidR="00A252B9" w:rsidRPr="00D44538">
        <w:rPr>
          <w:rFonts w:ascii="Times New Roman" w:hAnsi="Times New Roman"/>
          <w:sz w:val="24"/>
          <w:szCs w:val="24"/>
          <w:vertAlign w:val="superscript"/>
        </w:rPr>
        <w:footnoteReference w:id="53"/>
      </w:r>
      <w:r w:rsidR="00A252B9" w:rsidRPr="00D44538">
        <w:rPr>
          <w:rFonts w:ascii="Times New Roman" w:hAnsi="Times New Roman"/>
          <w:sz w:val="24"/>
          <w:szCs w:val="24"/>
        </w:rPr>
        <w:t xml:space="preserve"> (though these statistics are unfortunately</w:t>
      </w:r>
      <w:r w:rsidR="009001F9" w:rsidRPr="00D44538">
        <w:rPr>
          <w:rFonts w:ascii="Times New Roman" w:hAnsi="Times New Roman"/>
          <w:sz w:val="24"/>
          <w:szCs w:val="24"/>
        </w:rPr>
        <w:t xml:space="preserve"> not set out in the judgment).  </w:t>
      </w:r>
      <w:r w:rsidR="00A252B9" w:rsidRPr="00D44538">
        <w:rPr>
          <w:rFonts w:ascii="Times New Roman" w:hAnsi="Times New Roman"/>
          <w:sz w:val="24"/>
          <w:szCs w:val="24"/>
        </w:rPr>
        <w:t>The Court of Appeal reiterated the distinction between public domain issues in breach of confidence and misuse of private information, confirming that widespread publication need not be fatal to an MPI claimant.</w:t>
      </w:r>
      <w:r w:rsidR="00A252B9" w:rsidRPr="00D44538">
        <w:rPr>
          <w:rFonts w:ascii="Times New Roman" w:hAnsi="Times New Roman"/>
          <w:sz w:val="24"/>
          <w:szCs w:val="24"/>
          <w:vertAlign w:val="superscript"/>
        </w:rPr>
        <w:footnoteReference w:id="54"/>
      </w:r>
      <w:r w:rsidR="00A252B9" w:rsidRPr="00D44538">
        <w:rPr>
          <w:rFonts w:ascii="Times New Roman" w:hAnsi="Times New Roman"/>
          <w:sz w:val="24"/>
          <w:szCs w:val="24"/>
        </w:rPr>
        <w:t xml:space="preserve">   But it nonetheless found in News Group’s favour, agreeing to discharge the injunction due to widespread publication.  Amongst the reasons for this decision, Jackson LJ seemed to indicate that the injunction would make little difference to wider coverage of the story,</w:t>
      </w:r>
      <w:r w:rsidR="00A252B9" w:rsidRPr="00D44538">
        <w:rPr>
          <w:rFonts w:ascii="Times New Roman" w:hAnsi="Times New Roman"/>
          <w:sz w:val="24"/>
          <w:szCs w:val="24"/>
          <w:vertAlign w:val="superscript"/>
        </w:rPr>
        <w:footnoteReference w:id="55"/>
      </w:r>
      <w:r w:rsidR="00A252B9" w:rsidRPr="00D44538">
        <w:rPr>
          <w:rFonts w:ascii="Times New Roman" w:hAnsi="Times New Roman"/>
          <w:sz w:val="24"/>
          <w:szCs w:val="24"/>
        </w:rPr>
        <w:t xml:space="preserve"> and that, crucially, ‘</w:t>
      </w:r>
      <w:r w:rsidR="00A252B9" w:rsidRPr="00D44538">
        <w:rPr>
          <w:rFonts w:ascii="Times New Roman" w:hAnsi="Times New Roman"/>
          <w:i/>
          <w:sz w:val="24"/>
          <w:szCs w:val="24"/>
        </w:rPr>
        <w:t>the court should not make orders which are ineffective</w:t>
      </w:r>
      <w:r w:rsidR="00A252B9" w:rsidRPr="00D44538">
        <w:rPr>
          <w:rFonts w:ascii="Times New Roman" w:hAnsi="Times New Roman"/>
          <w:sz w:val="24"/>
          <w:szCs w:val="24"/>
        </w:rPr>
        <w:t>.’</w:t>
      </w:r>
      <w:r w:rsidR="00A252B9" w:rsidRPr="00D44538">
        <w:rPr>
          <w:rFonts w:ascii="Times New Roman" w:hAnsi="Times New Roman"/>
          <w:sz w:val="24"/>
          <w:szCs w:val="24"/>
          <w:vertAlign w:val="superscript"/>
        </w:rPr>
        <w:footnoteReference w:id="56"/>
      </w:r>
      <w:r w:rsidR="00D44538" w:rsidRPr="00D44538">
        <w:rPr>
          <w:rFonts w:ascii="Times New Roman" w:hAnsi="Times New Roman"/>
          <w:sz w:val="24"/>
          <w:szCs w:val="24"/>
        </w:rPr>
        <w:t xml:space="preserve">  </w:t>
      </w:r>
      <w:r w:rsidR="00F56D4B">
        <w:rPr>
          <w:rFonts w:ascii="Times New Roman" w:hAnsi="Times New Roman"/>
          <w:sz w:val="24"/>
          <w:szCs w:val="24"/>
        </w:rPr>
        <w:t>The approach</w:t>
      </w:r>
      <w:r w:rsidR="00E7576C" w:rsidRPr="00D44538">
        <w:rPr>
          <w:rFonts w:ascii="Times New Roman" w:hAnsi="Times New Roman"/>
          <w:sz w:val="24"/>
          <w:szCs w:val="24"/>
        </w:rPr>
        <w:t xml:space="preserve"> of the Supreme Court </w:t>
      </w:r>
      <w:r w:rsidR="00F56D4B">
        <w:rPr>
          <w:rFonts w:ascii="Times New Roman" w:hAnsi="Times New Roman"/>
          <w:sz w:val="24"/>
          <w:szCs w:val="24"/>
        </w:rPr>
        <w:t xml:space="preserve">which reversed this decision </w:t>
      </w:r>
      <w:r w:rsidR="00FE02F1" w:rsidRPr="00D44538">
        <w:rPr>
          <w:rFonts w:ascii="Times New Roman" w:hAnsi="Times New Roman"/>
          <w:sz w:val="24"/>
          <w:szCs w:val="24"/>
        </w:rPr>
        <w:t xml:space="preserve">is </w:t>
      </w:r>
      <w:r w:rsidR="00E7576C" w:rsidRPr="00D44538">
        <w:rPr>
          <w:rFonts w:ascii="Times New Roman" w:hAnsi="Times New Roman"/>
          <w:sz w:val="24"/>
          <w:szCs w:val="24"/>
        </w:rPr>
        <w:t>subject</w:t>
      </w:r>
      <w:r w:rsidR="00101261">
        <w:rPr>
          <w:rFonts w:ascii="Times New Roman" w:hAnsi="Times New Roman"/>
          <w:sz w:val="24"/>
          <w:szCs w:val="24"/>
        </w:rPr>
        <w:t xml:space="preserve">ed to further analysis </w:t>
      </w:r>
      <w:r w:rsidR="00101261" w:rsidRPr="00101261">
        <w:rPr>
          <w:rFonts w:ascii="Times New Roman" w:hAnsi="Times New Roman"/>
          <w:sz w:val="24"/>
          <w:szCs w:val="24"/>
        </w:rPr>
        <w:t>in Part 4</w:t>
      </w:r>
      <w:r w:rsidR="00E7576C" w:rsidRPr="00101261">
        <w:rPr>
          <w:rFonts w:ascii="Times New Roman" w:hAnsi="Times New Roman"/>
          <w:sz w:val="24"/>
          <w:szCs w:val="24"/>
        </w:rPr>
        <w:t>.</w:t>
      </w:r>
    </w:p>
    <w:p w:rsidR="00F27036" w:rsidRDefault="00F27036" w:rsidP="00053019">
      <w:pPr>
        <w:spacing w:after="0" w:line="240" w:lineRule="auto"/>
        <w:jc w:val="both"/>
        <w:rPr>
          <w:rFonts w:ascii="Times New Roman" w:hAnsi="Times New Roman"/>
          <w:sz w:val="24"/>
          <w:szCs w:val="24"/>
          <w:u w:val="single"/>
        </w:rPr>
      </w:pPr>
    </w:p>
    <w:p w:rsidR="00AA32D9" w:rsidRPr="00AA32D9" w:rsidRDefault="00AA32D9" w:rsidP="00AA32D9">
      <w:pPr>
        <w:spacing w:after="0" w:line="240" w:lineRule="auto"/>
        <w:rPr>
          <w:rFonts w:ascii="Times New Roman" w:hAnsi="Times New Roman"/>
          <w:i/>
          <w:sz w:val="24"/>
          <w:szCs w:val="24"/>
          <w:u w:val="single"/>
        </w:rPr>
      </w:pPr>
      <w:r w:rsidRPr="00AA32D9">
        <w:rPr>
          <w:rFonts w:ascii="Times New Roman" w:hAnsi="Times New Roman"/>
          <w:i/>
          <w:sz w:val="24"/>
          <w:szCs w:val="24"/>
          <w:u w:val="single"/>
        </w:rPr>
        <w:t>Counter-examples</w:t>
      </w:r>
    </w:p>
    <w:p w:rsidR="00AA32D9" w:rsidRPr="00976BA9" w:rsidRDefault="00391D2B" w:rsidP="00AA32D9">
      <w:pPr>
        <w:spacing w:after="0" w:line="240" w:lineRule="auto"/>
        <w:jc w:val="both"/>
        <w:rPr>
          <w:rFonts w:ascii="Times New Roman" w:hAnsi="Times New Roman"/>
          <w:sz w:val="24"/>
          <w:szCs w:val="24"/>
        </w:rPr>
      </w:pPr>
      <w:r>
        <w:rPr>
          <w:rFonts w:ascii="Times New Roman" w:hAnsi="Times New Roman"/>
          <w:sz w:val="24"/>
          <w:szCs w:val="24"/>
        </w:rPr>
        <w:t xml:space="preserve">Streisand, </w:t>
      </w:r>
      <w:proofErr w:type="spellStart"/>
      <w:r w:rsidR="00AA32D9" w:rsidRPr="00100954">
        <w:rPr>
          <w:rFonts w:ascii="Times New Roman" w:hAnsi="Times New Roman"/>
          <w:sz w:val="24"/>
          <w:szCs w:val="24"/>
        </w:rPr>
        <w:t>Giggs</w:t>
      </w:r>
      <w:proofErr w:type="spellEnd"/>
      <w:r>
        <w:rPr>
          <w:rFonts w:ascii="Times New Roman" w:hAnsi="Times New Roman"/>
          <w:sz w:val="24"/>
          <w:szCs w:val="24"/>
        </w:rPr>
        <w:t xml:space="preserve"> and PJS</w:t>
      </w:r>
      <w:r w:rsidR="00AA32D9" w:rsidRPr="00100954">
        <w:rPr>
          <w:rFonts w:ascii="Times New Roman" w:hAnsi="Times New Roman"/>
          <w:sz w:val="24"/>
          <w:szCs w:val="24"/>
        </w:rPr>
        <w:t xml:space="preserve"> are very specific (and illuminating) instances of the unintended consequences of suppressing material.</w:t>
      </w:r>
      <w:r w:rsidR="00AA32D9">
        <w:rPr>
          <w:rFonts w:ascii="Times New Roman" w:hAnsi="Times New Roman"/>
          <w:sz w:val="24"/>
          <w:szCs w:val="24"/>
        </w:rPr>
        <w:t xml:space="preserve">  But, it must be acknowledged that they are mere </w:t>
      </w:r>
      <w:r w:rsidR="00AA32D9">
        <w:rPr>
          <w:rFonts w:ascii="Times New Roman" w:hAnsi="Times New Roman"/>
          <w:sz w:val="24"/>
          <w:szCs w:val="24"/>
        </w:rPr>
        <w:lastRenderedPageBreak/>
        <w:t>examples and there are many more cases where MPI injunctions appear to have been effective.  The identities of most anonymised claimants remain hidden beneath a range of cr</w:t>
      </w:r>
      <w:r>
        <w:rPr>
          <w:rFonts w:ascii="Times New Roman" w:hAnsi="Times New Roman"/>
          <w:sz w:val="24"/>
          <w:szCs w:val="24"/>
        </w:rPr>
        <w:t xml:space="preserve">yptic three-letter pseudonyms.  </w:t>
      </w:r>
      <w:proofErr w:type="spellStart"/>
      <w:r w:rsidR="00AA32D9" w:rsidRPr="00391D2B">
        <w:rPr>
          <w:rFonts w:ascii="Times New Roman" w:eastAsiaTheme="minorEastAsia" w:hAnsi="Times New Roman"/>
          <w:i/>
          <w:sz w:val="24"/>
          <w:szCs w:val="24"/>
          <w:lang w:eastAsia="zh-CN"/>
        </w:rPr>
        <w:t>Contostavlos</w:t>
      </w:r>
      <w:proofErr w:type="spellEnd"/>
      <w:r w:rsidR="00AA32D9" w:rsidRPr="00391D2B">
        <w:rPr>
          <w:rFonts w:ascii="Times New Roman" w:eastAsiaTheme="minorEastAsia" w:hAnsi="Times New Roman"/>
          <w:i/>
          <w:sz w:val="24"/>
          <w:szCs w:val="24"/>
          <w:lang w:eastAsia="zh-CN"/>
        </w:rPr>
        <w:t xml:space="preserve"> v </w:t>
      </w:r>
      <w:proofErr w:type="spellStart"/>
      <w:r w:rsidR="00AA32D9" w:rsidRPr="00391D2B">
        <w:rPr>
          <w:rFonts w:ascii="Times New Roman" w:eastAsiaTheme="minorEastAsia" w:hAnsi="Times New Roman"/>
          <w:i/>
          <w:sz w:val="24"/>
          <w:szCs w:val="24"/>
          <w:lang w:eastAsia="zh-CN"/>
        </w:rPr>
        <w:t>Medhaun</w:t>
      </w:r>
      <w:proofErr w:type="spellEnd"/>
      <w:r w:rsidR="00AA32D9">
        <w:rPr>
          <w:rStyle w:val="FootnoteReference"/>
          <w:rFonts w:ascii="Times New Roman" w:eastAsiaTheme="minorEastAsia" w:hAnsi="Times New Roman"/>
          <w:sz w:val="24"/>
          <w:szCs w:val="24"/>
          <w:lang w:eastAsia="zh-CN"/>
        </w:rPr>
        <w:footnoteReference w:id="57"/>
      </w:r>
      <w:r w:rsidR="00AA32D9">
        <w:rPr>
          <w:rFonts w:ascii="Times New Roman" w:eastAsiaTheme="minorEastAsia" w:hAnsi="Times New Roman"/>
          <w:sz w:val="24"/>
          <w:szCs w:val="24"/>
          <w:lang w:eastAsia="zh-CN"/>
        </w:rPr>
        <w:t xml:space="preserve"> indicates that injunctions may work effectively in an online context.  </w:t>
      </w:r>
      <w:r w:rsidR="00AA32D9">
        <w:rPr>
          <w:rFonts w:ascii="Times New Roman" w:eastAsia="Times New Roman" w:hAnsi="Times New Roman"/>
          <w:sz w:val="24"/>
          <w:szCs w:val="24"/>
        </w:rPr>
        <w:t>Here the claimant</w:t>
      </w:r>
      <w:r w:rsidR="00AA32D9" w:rsidRPr="00FB2979">
        <w:rPr>
          <w:rFonts w:ascii="Times New Roman" w:eastAsia="Times New Roman" w:hAnsi="Times New Roman"/>
          <w:sz w:val="24"/>
          <w:szCs w:val="24"/>
        </w:rPr>
        <w:t xml:space="preserve"> sought </w:t>
      </w:r>
      <w:r w:rsidR="00AA32D9">
        <w:rPr>
          <w:rFonts w:ascii="Times New Roman" w:eastAsia="Times New Roman" w:hAnsi="Times New Roman"/>
          <w:sz w:val="24"/>
          <w:szCs w:val="24"/>
        </w:rPr>
        <w:t xml:space="preserve">the continuation of </w:t>
      </w:r>
      <w:r w:rsidR="00AA32D9" w:rsidRPr="00FB2979">
        <w:rPr>
          <w:rFonts w:ascii="Times New Roman" w:eastAsia="Times New Roman" w:hAnsi="Times New Roman"/>
          <w:sz w:val="24"/>
          <w:szCs w:val="24"/>
        </w:rPr>
        <w:t>an injun</w:t>
      </w:r>
      <w:r w:rsidR="00AA32D9">
        <w:rPr>
          <w:rFonts w:ascii="Times New Roman" w:eastAsia="Times New Roman" w:hAnsi="Times New Roman"/>
          <w:sz w:val="24"/>
          <w:szCs w:val="24"/>
        </w:rPr>
        <w:t xml:space="preserve">ction to prevent </w:t>
      </w:r>
      <w:r w:rsidR="00FA7212">
        <w:rPr>
          <w:rFonts w:ascii="Times New Roman" w:eastAsia="Times New Roman" w:hAnsi="Times New Roman"/>
          <w:sz w:val="24"/>
          <w:szCs w:val="24"/>
        </w:rPr>
        <w:t xml:space="preserve">online </w:t>
      </w:r>
      <w:r w:rsidR="00AA32D9">
        <w:rPr>
          <w:rFonts w:ascii="Times New Roman" w:eastAsia="Times New Roman" w:hAnsi="Times New Roman"/>
          <w:sz w:val="24"/>
          <w:szCs w:val="24"/>
        </w:rPr>
        <w:t xml:space="preserve">dissemination </w:t>
      </w:r>
      <w:r w:rsidR="00AA32D9" w:rsidRPr="00FB2979">
        <w:rPr>
          <w:rFonts w:ascii="Times New Roman" w:eastAsia="Times New Roman" w:hAnsi="Times New Roman"/>
          <w:sz w:val="24"/>
          <w:szCs w:val="24"/>
        </w:rPr>
        <w:t xml:space="preserve">of </w:t>
      </w:r>
      <w:r w:rsidR="00AA32D9">
        <w:rPr>
          <w:rFonts w:ascii="Times New Roman" w:eastAsia="Times New Roman" w:hAnsi="Times New Roman"/>
          <w:sz w:val="24"/>
          <w:szCs w:val="24"/>
        </w:rPr>
        <w:t xml:space="preserve">intimate </w:t>
      </w:r>
      <w:r w:rsidR="00AA32D9" w:rsidRPr="00FB2979">
        <w:rPr>
          <w:rFonts w:ascii="Times New Roman" w:eastAsia="Times New Roman" w:hAnsi="Times New Roman"/>
          <w:sz w:val="24"/>
          <w:szCs w:val="24"/>
        </w:rPr>
        <w:t xml:space="preserve">footage </w:t>
      </w:r>
      <w:r w:rsidR="00AA32D9">
        <w:rPr>
          <w:rFonts w:ascii="Times New Roman" w:eastAsia="Times New Roman" w:hAnsi="Times New Roman"/>
          <w:sz w:val="24"/>
          <w:szCs w:val="24"/>
        </w:rPr>
        <w:t xml:space="preserve">recorded by her former </w:t>
      </w:r>
      <w:r w:rsidR="00AA32D9" w:rsidRPr="00FB2979">
        <w:rPr>
          <w:rFonts w:ascii="Times New Roman" w:eastAsia="Times New Roman" w:hAnsi="Times New Roman"/>
          <w:sz w:val="24"/>
          <w:szCs w:val="24"/>
        </w:rPr>
        <w:t>boyfriend</w:t>
      </w:r>
      <w:r w:rsidR="00035860">
        <w:rPr>
          <w:rFonts w:ascii="Times New Roman" w:eastAsia="Times New Roman" w:hAnsi="Times New Roman"/>
          <w:sz w:val="24"/>
          <w:szCs w:val="24"/>
        </w:rPr>
        <w:t xml:space="preserve"> </w:t>
      </w:r>
      <w:r w:rsidR="00AA32D9" w:rsidRPr="00FB2979">
        <w:rPr>
          <w:rFonts w:ascii="Times New Roman" w:eastAsia="Times New Roman" w:hAnsi="Times New Roman"/>
          <w:sz w:val="24"/>
          <w:szCs w:val="24"/>
        </w:rPr>
        <w:t xml:space="preserve">via various </w:t>
      </w:r>
      <w:r w:rsidR="00AA32D9">
        <w:rPr>
          <w:rFonts w:ascii="Times New Roman" w:eastAsia="Times New Roman" w:hAnsi="Times New Roman"/>
          <w:sz w:val="24"/>
          <w:szCs w:val="24"/>
        </w:rPr>
        <w:t>web</w:t>
      </w:r>
      <w:r w:rsidR="00AA32D9" w:rsidRPr="00FB2979">
        <w:rPr>
          <w:rFonts w:ascii="Times New Roman" w:eastAsia="Times New Roman" w:hAnsi="Times New Roman"/>
          <w:sz w:val="24"/>
          <w:szCs w:val="24"/>
        </w:rPr>
        <w:t>sites, including</w:t>
      </w:r>
      <w:r w:rsidR="00AA32D9">
        <w:rPr>
          <w:rFonts w:ascii="Times New Roman" w:eastAsia="Times New Roman" w:hAnsi="Times New Roman"/>
          <w:sz w:val="24"/>
          <w:szCs w:val="24"/>
        </w:rPr>
        <w:t xml:space="preserve"> that of the first defendant.  </w:t>
      </w:r>
      <w:proofErr w:type="spellStart"/>
      <w:r w:rsidR="00AA32D9">
        <w:rPr>
          <w:rFonts w:ascii="Times New Roman" w:eastAsia="Times New Roman" w:hAnsi="Times New Roman"/>
          <w:sz w:val="24"/>
          <w:szCs w:val="24"/>
        </w:rPr>
        <w:t>Tugendat</w:t>
      </w:r>
      <w:proofErr w:type="spellEnd"/>
      <w:r w:rsidR="00AA32D9">
        <w:rPr>
          <w:rFonts w:ascii="Times New Roman" w:eastAsia="Times New Roman" w:hAnsi="Times New Roman"/>
          <w:sz w:val="24"/>
          <w:szCs w:val="24"/>
        </w:rPr>
        <w:t xml:space="preserve"> </w:t>
      </w:r>
      <w:r w:rsidR="00AA32D9" w:rsidRPr="00FB2979">
        <w:rPr>
          <w:rFonts w:ascii="Times New Roman" w:eastAsia="Times New Roman" w:hAnsi="Times New Roman"/>
          <w:sz w:val="24"/>
          <w:szCs w:val="24"/>
        </w:rPr>
        <w:t>J</w:t>
      </w:r>
      <w:r w:rsidR="00AA32D9">
        <w:rPr>
          <w:rFonts w:ascii="Times New Roman" w:eastAsia="Times New Roman" w:hAnsi="Times New Roman"/>
          <w:sz w:val="24"/>
          <w:szCs w:val="24"/>
        </w:rPr>
        <w:t xml:space="preserve"> continu</w:t>
      </w:r>
      <w:r w:rsidR="00AA32D9" w:rsidRPr="00FB2979">
        <w:rPr>
          <w:rFonts w:ascii="Times New Roman" w:eastAsia="Times New Roman" w:hAnsi="Times New Roman"/>
          <w:sz w:val="24"/>
          <w:szCs w:val="24"/>
        </w:rPr>
        <w:t>ed</w:t>
      </w:r>
      <w:r w:rsidR="00AA32D9">
        <w:rPr>
          <w:rFonts w:ascii="Times New Roman" w:eastAsia="Times New Roman" w:hAnsi="Times New Roman"/>
          <w:sz w:val="24"/>
          <w:szCs w:val="24"/>
        </w:rPr>
        <w:t xml:space="preserve"> the order prohibiting disclosure of the footage or stills.  He also confirmed that it had been effective against many of the second defendants,</w:t>
      </w:r>
      <w:r w:rsidR="00AA32D9" w:rsidRPr="00FB2979">
        <w:rPr>
          <w:rFonts w:ascii="Times New Roman" w:eastAsia="Times New Roman" w:hAnsi="Times New Roman"/>
          <w:sz w:val="24"/>
          <w:szCs w:val="24"/>
        </w:rPr>
        <w:t xml:space="preserve"> </w:t>
      </w:r>
      <w:r w:rsidR="00AA32D9">
        <w:rPr>
          <w:rFonts w:ascii="Times New Roman" w:eastAsia="Times New Roman" w:hAnsi="Times New Roman"/>
          <w:sz w:val="24"/>
          <w:szCs w:val="24"/>
        </w:rPr>
        <w:t>inter</w:t>
      </w:r>
      <w:r w:rsidR="00AA32D9" w:rsidRPr="00FB2979">
        <w:rPr>
          <w:rFonts w:ascii="Times New Roman" w:eastAsia="Times New Roman" w:hAnsi="Times New Roman"/>
          <w:sz w:val="24"/>
          <w:szCs w:val="24"/>
        </w:rPr>
        <w:t>net users who shared the footage</w:t>
      </w:r>
      <w:r w:rsidR="00AA32D9">
        <w:rPr>
          <w:rFonts w:ascii="Times New Roman" w:eastAsia="Times New Roman" w:hAnsi="Times New Roman"/>
          <w:sz w:val="24"/>
          <w:szCs w:val="24"/>
        </w:rPr>
        <w:t>:</w:t>
      </w:r>
      <w:r w:rsidR="00AA32D9" w:rsidRPr="00FB2979">
        <w:rPr>
          <w:rFonts w:ascii="Times New Roman" w:eastAsia="Times New Roman" w:hAnsi="Times New Roman"/>
          <w:sz w:val="24"/>
          <w:szCs w:val="24"/>
        </w:rPr>
        <w:t xml:space="preserve">  </w:t>
      </w:r>
    </w:p>
    <w:p w:rsidR="00AA32D9" w:rsidRDefault="00AA32D9" w:rsidP="00AA32D9">
      <w:pPr>
        <w:spacing w:after="0" w:line="240" w:lineRule="auto"/>
        <w:jc w:val="both"/>
        <w:rPr>
          <w:rFonts w:ascii="Times New Roman" w:eastAsia="Times New Roman" w:hAnsi="Times New Roman"/>
          <w:sz w:val="24"/>
          <w:szCs w:val="24"/>
        </w:rPr>
      </w:pPr>
    </w:p>
    <w:p w:rsidR="00E15D0C" w:rsidRDefault="00AA32D9" w:rsidP="000B23D1">
      <w:pPr>
        <w:spacing w:after="0" w:line="240" w:lineRule="auto"/>
        <w:ind w:left="851" w:right="851"/>
        <w:jc w:val="both"/>
        <w:rPr>
          <w:rFonts w:ascii="Times New Roman" w:eastAsia="Times New Roman" w:hAnsi="Times New Roman"/>
          <w:sz w:val="24"/>
          <w:szCs w:val="24"/>
        </w:rPr>
      </w:pPr>
      <w:r w:rsidRPr="00FB2979">
        <w:rPr>
          <w:rFonts w:ascii="Times New Roman" w:eastAsia="Times New Roman" w:hAnsi="Times New Roman"/>
          <w:sz w:val="24"/>
          <w:szCs w:val="24"/>
        </w:rPr>
        <w:t>‘</w:t>
      </w:r>
      <w:r w:rsidRPr="00035860">
        <w:rPr>
          <w:rFonts w:ascii="Times New Roman" w:eastAsia="Times New Roman" w:hAnsi="Times New Roman"/>
          <w:i/>
          <w:sz w:val="24"/>
          <w:szCs w:val="24"/>
        </w:rPr>
        <w:t>The steps taken by [the claimant’s solicitors to serve the defendants] have been so successful that by the time I heard the application … the evidence was that people were complaining that they could not find on the internet a copy of the video</w:t>
      </w:r>
      <w:r w:rsidRPr="00FB2979">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58"/>
      </w:r>
      <w:r w:rsidRPr="00FB2979">
        <w:rPr>
          <w:rFonts w:ascii="Times New Roman" w:eastAsia="Times New Roman" w:hAnsi="Times New Roman"/>
          <w:sz w:val="24"/>
          <w:szCs w:val="24"/>
        </w:rPr>
        <w:t xml:space="preserve">  </w:t>
      </w:r>
    </w:p>
    <w:p w:rsidR="003F737A" w:rsidRDefault="003F737A" w:rsidP="00E15D0C">
      <w:pPr>
        <w:spacing w:after="0" w:line="240" w:lineRule="auto"/>
        <w:jc w:val="both"/>
        <w:rPr>
          <w:rFonts w:ascii="Times New Roman" w:eastAsia="Times New Roman" w:hAnsi="Times New Roman"/>
          <w:sz w:val="24"/>
          <w:szCs w:val="24"/>
        </w:rPr>
      </w:pPr>
    </w:p>
    <w:p w:rsidR="005E4CDA" w:rsidRPr="009A1623" w:rsidRDefault="003F737A" w:rsidP="00E15D0C">
      <w:pPr>
        <w:spacing w:after="0" w:line="240" w:lineRule="auto"/>
        <w:jc w:val="both"/>
        <w:rPr>
          <w:rFonts w:ascii="Times New Roman" w:eastAsia="Times New Roman" w:hAnsi="Times New Roman"/>
          <w:sz w:val="24"/>
          <w:szCs w:val="24"/>
        </w:rPr>
      </w:pPr>
      <w:r w:rsidRPr="009A1623">
        <w:rPr>
          <w:rFonts w:ascii="Times New Roman" w:eastAsia="Times New Roman" w:hAnsi="Times New Roman"/>
          <w:sz w:val="24"/>
          <w:szCs w:val="24"/>
        </w:rPr>
        <w:t xml:space="preserve">Additionally, </w:t>
      </w:r>
      <w:r w:rsidRPr="009A1623">
        <w:rPr>
          <w:rFonts w:ascii="Times New Roman" w:eastAsia="Times New Roman" w:hAnsi="Times New Roman"/>
          <w:i/>
          <w:sz w:val="24"/>
          <w:szCs w:val="24"/>
        </w:rPr>
        <w:t>Mosley v News Group</w:t>
      </w:r>
      <w:r w:rsidRPr="009A1623">
        <w:rPr>
          <w:rFonts w:ascii="Times New Roman" w:eastAsia="Times New Roman" w:hAnsi="Times New Roman"/>
          <w:sz w:val="24"/>
          <w:szCs w:val="24"/>
        </w:rPr>
        <w:t xml:space="preserve"> shows that there may be substantial interest in a story irrespective of the presence of an injunction.  Here, in the 5 days</w:t>
      </w:r>
      <w:r w:rsidRPr="009A1623">
        <w:rPr>
          <w:rStyle w:val="FootnoteReference"/>
          <w:rFonts w:ascii="Times New Roman" w:hAnsi="Times New Roman"/>
          <w:sz w:val="24"/>
          <w:szCs w:val="24"/>
        </w:rPr>
        <w:footnoteReference w:id="59"/>
      </w:r>
      <w:r w:rsidRPr="009A1623">
        <w:rPr>
          <w:rFonts w:ascii="Times New Roman" w:eastAsia="Times New Roman" w:hAnsi="Times New Roman"/>
          <w:sz w:val="24"/>
          <w:szCs w:val="24"/>
        </w:rPr>
        <w:t xml:space="preserve"> between video </w:t>
      </w:r>
      <w:r w:rsidR="00655A76" w:rsidRPr="009A1623">
        <w:rPr>
          <w:rFonts w:ascii="Times New Roman" w:eastAsia="Times New Roman" w:hAnsi="Times New Roman"/>
          <w:sz w:val="24"/>
          <w:szCs w:val="24"/>
        </w:rPr>
        <w:t>footage of M</w:t>
      </w:r>
      <w:r w:rsidR="00035860" w:rsidRPr="009A1623">
        <w:rPr>
          <w:rFonts w:ascii="Times New Roman" w:eastAsia="Times New Roman" w:hAnsi="Times New Roman"/>
          <w:sz w:val="24"/>
          <w:szCs w:val="24"/>
        </w:rPr>
        <w:t>osley</w:t>
      </w:r>
      <w:r w:rsidR="00655A76" w:rsidRPr="009A1623">
        <w:rPr>
          <w:rFonts w:ascii="Times New Roman" w:eastAsia="Times New Roman" w:hAnsi="Times New Roman"/>
          <w:sz w:val="24"/>
          <w:szCs w:val="24"/>
        </w:rPr>
        <w:t xml:space="preserve">’s liaisons with sex workers </w:t>
      </w:r>
      <w:r w:rsidRPr="009A1623">
        <w:rPr>
          <w:rFonts w:ascii="Times New Roman" w:eastAsia="Times New Roman" w:hAnsi="Times New Roman"/>
          <w:sz w:val="24"/>
          <w:szCs w:val="24"/>
        </w:rPr>
        <w:t>being posted on</w:t>
      </w:r>
      <w:r w:rsidR="003034C8" w:rsidRPr="009A1623">
        <w:rPr>
          <w:rFonts w:ascii="Times New Roman" w:eastAsia="Times New Roman" w:hAnsi="Times New Roman"/>
          <w:sz w:val="24"/>
          <w:szCs w:val="24"/>
        </w:rPr>
        <w:t>to the defendant’s</w:t>
      </w:r>
      <w:r w:rsidRPr="009A1623">
        <w:rPr>
          <w:rFonts w:ascii="Times New Roman" w:eastAsia="Times New Roman" w:hAnsi="Times New Roman"/>
          <w:sz w:val="24"/>
          <w:szCs w:val="24"/>
        </w:rPr>
        <w:t xml:space="preserve"> website and </w:t>
      </w:r>
      <w:r w:rsidR="00035860" w:rsidRPr="009A1623">
        <w:rPr>
          <w:rFonts w:ascii="Times New Roman" w:eastAsia="Times New Roman" w:hAnsi="Times New Roman"/>
          <w:sz w:val="24"/>
          <w:szCs w:val="24"/>
        </w:rPr>
        <w:t>his</w:t>
      </w:r>
      <w:r w:rsidRPr="009A1623">
        <w:rPr>
          <w:rFonts w:ascii="Times New Roman" w:eastAsia="Times New Roman" w:hAnsi="Times New Roman"/>
          <w:sz w:val="24"/>
          <w:szCs w:val="24"/>
        </w:rPr>
        <w:t xml:space="preserve"> application for an </w:t>
      </w:r>
      <w:r w:rsidRPr="000B6750">
        <w:rPr>
          <w:rFonts w:ascii="Times New Roman" w:eastAsia="Times New Roman" w:hAnsi="Times New Roman"/>
          <w:sz w:val="24"/>
          <w:szCs w:val="24"/>
        </w:rPr>
        <w:t xml:space="preserve">interim injunction to </w:t>
      </w:r>
      <w:r w:rsidR="000B6750" w:rsidRPr="000B6750">
        <w:rPr>
          <w:rFonts w:ascii="Times New Roman" w:eastAsia="Times New Roman" w:hAnsi="Times New Roman"/>
          <w:sz w:val="24"/>
          <w:szCs w:val="24"/>
        </w:rPr>
        <w:t>remove</w:t>
      </w:r>
      <w:r w:rsidR="001214D4" w:rsidRPr="000B6750">
        <w:rPr>
          <w:rFonts w:ascii="Times New Roman" w:eastAsia="Times New Roman" w:hAnsi="Times New Roman"/>
          <w:sz w:val="24"/>
          <w:szCs w:val="24"/>
        </w:rPr>
        <w:t xml:space="preserve"> </w:t>
      </w:r>
      <w:r w:rsidR="000B6750" w:rsidRPr="000B6750">
        <w:rPr>
          <w:rFonts w:ascii="Times New Roman" w:eastAsia="Times New Roman" w:hAnsi="Times New Roman"/>
          <w:sz w:val="24"/>
          <w:szCs w:val="24"/>
        </w:rPr>
        <w:t>it</w:t>
      </w:r>
      <w:r w:rsidR="001214D4" w:rsidRPr="000B6750">
        <w:rPr>
          <w:rFonts w:ascii="Times New Roman" w:eastAsia="Times New Roman" w:hAnsi="Times New Roman"/>
          <w:sz w:val="24"/>
          <w:szCs w:val="24"/>
        </w:rPr>
        <w:t>,</w:t>
      </w:r>
      <w:r w:rsidRPr="000B6750">
        <w:rPr>
          <w:rFonts w:ascii="Times New Roman" w:eastAsia="Times New Roman" w:hAnsi="Times New Roman"/>
          <w:sz w:val="24"/>
          <w:szCs w:val="24"/>
        </w:rPr>
        <w:t xml:space="preserve"> over </w:t>
      </w:r>
      <w:r w:rsidRPr="009A1623">
        <w:rPr>
          <w:rFonts w:ascii="Times New Roman" w:eastAsia="Times New Roman" w:hAnsi="Times New Roman"/>
          <w:sz w:val="24"/>
          <w:szCs w:val="24"/>
        </w:rPr>
        <w:t>1 million people viewed it.</w:t>
      </w:r>
      <w:r w:rsidRPr="009A1623">
        <w:rPr>
          <w:rStyle w:val="FootnoteReference"/>
          <w:rFonts w:ascii="Times New Roman" w:hAnsi="Times New Roman"/>
          <w:sz w:val="24"/>
          <w:szCs w:val="24"/>
        </w:rPr>
        <w:footnoteReference w:id="60"/>
      </w:r>
      <w:r w:rsidRPr="009A1623">
        <w:rPr>
          <w:rFonts w:ascii="Times New Roman" w:hAnsi="Times New Roman"/>
          <w:sz w:val="24"/>
          <w:szCs w:val="24"/>
        </w:rPr>
        <w:t xml:space="preserve"> </w:t>
      </w:r>
      <w:r w:rsidRPr="009A1623">
        <w:rPr>
          <w:rFonts w:ascii="Times New Roman" w:eastAsia="Times New Roman" w:hAnsi="Times New Roman"/>
          <w:sz w:val="24"/>
          <w:szCs w:val="24"/>
        </w:rPr>
        <w:t xml:space="preserve">  This led to the court’s refusal to grant an interim injunction on the basis that </w:t>
      </w:r>
      <w:r w:rsidR="00877B65">
        <w:rPr>
          <w:rFonts w:ascii="Times New Roman" w:eastAsia="Times New Roman" w:hAnsi="Times New Roman"/>
          <w:sz w:val="24"/>
          <w:szCs w:val="24"/>
        </w:rPr>
        <w:t xml:space="preserve">it </w:t>
      </w:r>
      <w:r w:rsidRPr="009A1623">
        <w:rPr>
          <w:rFonts w:ascii="Times New Roman" w:eastAsia="Times New Roman" w:hAnsi="Times New Roman"/>
          <w:sz w:val="24"/>
          <w:szCs w:val="24"/>
        </w:rPr>
        <w:t>would make little practical difference at this stage and would amount to a ‘vain gesture’</w:t>
      </w:r>
      <w:r w:rsidR="009A1623" w:rsidRPr="009A1623">
        <w:rPr>
          <w:rFonts w:ascii="Times New Roman" w:eastAsia="Times New Roman" w:hAnsi="Times New Roman"/>
          <w:sz w:val="24"/>
          <w:szCs w:val="24"/>
        </w:rPr>
        <w:t>.</w:t>
      </w:r>
      <w:r w:rsidRPr="009A1623">
        <w:rPr>
          <w:rStyle w:val="FootnoteReference"/>
          <w:rFonts w:ascii="Times New Roman" w:hAnsi="Times New Roman"/>
          <w:sz w:val="24"/>
          <w:szCs w:val="24"/>
        </w:rPr>
        <w:footnoteReference w:id="61"/>
      </w:r>
    </w:p>
    <w:p w:rsidR="00035860" w:rsidRPr="009A1623" w:rsidRDefault="00035860" w:rsidP="00E15D0C">
      <w:pPr>
        <w:spacing w:after="0" w:line="240" w:lineRule="auto"/>
        <w:jc w:val="both"/>
        <w:rPr>
          <w:rFonts w:ascii="Times New Roman" w:eastAsia="Times New Roman" w:hAnsi="Times New Roman"/>
          <w:sz w:val="24"/>
          <w:szCs w:val="24"/>
        </w:rPr>
      </w:pPr>
    </w:p>
    <w:p w:rsidR="00835ED2" w:rsidRPr="00C35BD6" w:rsidRDefault="001C15B4" w:rsidP="00253014">
      <w:pPr>
        <w:spacing w:after="0" w:line="240" w:lineRule="auto"/>
        <w:jc w:val="both"/>
        <w:rPr>
          <w:rFonts w:ascii="Times New Roman" w:eastAsia="Times New Roman" w:hAnsi="Times New Roman"/>
          <w:sz w:val="24"/>
          <w:szCs w:val="24"/>
        </w:rPr>
      </w:pPr>
      <w:r w:rsidRPr="00D819C5">
        <w:rPr>
          <w:rFonts w:ascii="Times New Roman" w:eastAsia="Times New Roman" w:hAnsi="Times New Roman"/>
          <w:sz w:val="24"/>
          <w:szCs w:val="24"/>
        </w:rPr>
        <w:t>Nonetheless, these counter-examples do not detract from the fact that, in certain cases, privacy protecting injunctions</w:t>
      </w:r>
      <w:r w:rsidR="004A417D" w:rsidRPr="00D819C5">
        <w:rPr>
          <w:rFonts w:ascii="Times New Roman" w:eastAsia="Times New Roman" w:hAnsi="Times New Roman"/>
          <w:sz w:val="24"/>
          <w:szCs w:val="24"/>
        </w:rPr>
        <w:t xml:space="preserve"> are ineffective</w:t>
      </w:r>
      <w:r w:rsidR="00B57387" w:rsidRPr="00D819C5">
        <w:rPr>
          <w:rFonts w:ascii="Times New Roman" w:eastAsia="Times New Roman" w:hAnsi="Times New Roman"/>
          <w:sz w:val="24"/>
          <w:szCs w:val="24"/>
        </w:rPr>
        <w:t>, or may even seem to have</w:t>
      </w:r>
      <w:r w:rsidRPr="00D819C5">
        <w:rPr>
          <w:rFonts w:ascii="Times New Roman" w:eastAsia="Times New Roman" w:hAnsi="Times New Roman"/>
          <w:sz w:val="24"/>
          <w:szCs w:val="24"/>
        </w:rPr>
        <w:t xml:space="preserve"> </w:t>
      </w:r>
      <w:r w:rsidRPr="00D819C5">
        <w:rPr>
          <w:rFonts w:ascii="Times New Roman" w:eastAsia="Times New Roman" w:hAnsi="Times New Roman"/>
          <w:i/>
          <w:sz w:val="24"/>
          <w:szCs w:val="24"/>
        </w:rPr>
        <w:t xml:space="preserve">opposite </w:t>
      </w:r>
      <w:r w:rsidRPr="00D819C5">
        <w:rPr>
          <w:rFonts w:ascii="Times New Roman" w:eastAsia="Times New Roman" w:hAnsi="Times New Roman"/>
          <w:sz w:val="24"/>
          <w:szCs w:val="24"/>
        </w:rPr>
        <w:t>effect</w:t>
      </w:r>
      <w:r w:rsidR="00B57387" w:rsidRPr="00D819C5">
        <w:rPr>
          <w:rFonts w:ascii="Times New Roman" w:eastAsia="Times New Roman" w:hAnsi="Times New Roman"/>
          <w:sz w:val="24"/>
          <w:szCs w:val="24"/>
        </w:rPr>
        <w:t>s to those intended</w:t>
      </w:r>
      <w:r w:rsidRPr="00D819C5">
        <w:rPr>
          <w:rFonts w:ascii="Times New Roman" w:eastAsia="Times New Roman" w:hAnsi="Times New Roman"/>
          <w:sz w:val="24"/>
          <w:szCs w:val="24"/>
        </w:rPr>
        <w:t>.</w:t>
      </w:r>
      <w:r w:rsidR="003A638E" w:rsidRPr="00D819C5">
        <w:rPr>
          <w:rStyle w:val="FootnoteReference"/>
          <w:rFonts w:ascii="Times New Roman" w:eastAsia="Times New Roman" w:hAnsi="Times New Roman"/>
          <w:sz w:val="24"/>
          <w:szCs w:val="24"/>
        </w:rPr>
        <w:footnoteReference w:id="62"/>
      </w:r>
      <w:r w:rsidR="00F96090" w:rsidRPr="00D819C5">
        <w:rPr>
          <w:rFonts w:ascii="Times New Roman" w:eastAsia="Times New Roman" w:hAnsi="Times New Roman"/>
          <w:sz w:val="24"/>
          <w:szCs w:val="24"/>
        </w:rPr>
        <w:t xml:space="preserve">  </w:t>
      </w:r>
      <w:r w:rsidR="00253014" w:rsidRPr="00D819C5">
        <w:rPr>
          <w:rFonts w:ascii="Times New Roman" w:eastAsia="Times New Roman" w:hAnsi="Times New Roman"/>
          <w:sz w:val="24"/>
          <w:szCs w:val="24"/>
        </w:rPr>
        <w:t xml:space="preserve">One feature of MPI </w:t>
      </w:r>
      <w:r w:rsidR="00253014" w:rsidRPr="00F96090">
        <w:rPr>
          <w:rFonts w:ascii="Times New Roman" w:eastAsia="Times New Roman" w:hAnsi="Times New Roman"/>
          <w:sz w:val="24"/>
          <w:szCs w:val="24"/>
        </w:rPr>
        <w:t>cases that arguably exacerbates such unintended consequences is the partial</w:t>
      </w:r>
      <w:r w:rsidR="00F96090" w:rsidRPr="00F96090">
        <w:rPr>
          <w:rFonts w:ascii="Times New Roman" w:eastAsia="Times New Roman" w:hAnsi="Times New Roman"/>
          <w:sz w:val="24"/>
          <w:szCs w:val="24"/>
        </w:rPr>
        <w:t xml:space="preserve"> nature of injunctions granted.  </w:t>
      </w:r>
      <w:r w:rsidR="00F56D4B" w:rsidRPr="00F96090">
        <w:rPr>
          <w:rFonts w:ascii="Times New Roman" w:hAnsi="Times New Roman"/>
          <w:sz w:val="24"/>
          <w:szCs w:val="24"/>
        </w:rPr>
        <w:t xml:space="preserve">Orders </w:t>
      </w:r>
      <w:r w:rsidR="00835ED2" w:rsidRPr="00F96090">
        <w:rPr>
          <w:rFonts w:ascii="Times New Roman" w:hAnsi="Times New Roman"/>
          <w:sz w:val="24"/>
          <w:szCs w:val="24"/>
        </w:rPr>
        <w:t>only partially restrict or censor</w:t>
      </w:r>
      <w:r w:rsidR="00835ED2" w:rsidRPr="00F96090">
        <w:rPr>
          <w:rStyle w:val="FootnoteReference"/>
          <w:rFonts w:ascii="Times New Roman" w:hAnsi="Times New Roman"/>
          <w:sz w:val="24"/>
          <w:szCs w:val="24"/>
        </w:rPr>
        <w:footnoteReference w:id="63"/>
      </w:r>
      <w:r w:rsidR="00F56D4B" w:rsidRPr="00F96090">
        <w:rPr>
          <w:rFonts w:ascii="Times New Roman" w:hAnsi="Times New Roman"/>
          <w:sz w:val="24"/>
          <w:szCs w:val="24"/>
        </w:rPr>
        <w:t xml:space="preserve"> a story, meaning</w:t>
      </w:r>
      <w:r w:rsidR="00835ED2" w:rsidRPr="00F96090">
        <w:rPr>
          <w:rFonts w:ascii="Times New Roman" w:hAnsi="Times New Roman"/>
          <w:sz w:val="24"/>
          <w:szCs w:val="24"/>
        </w:rPr>
        <w:t xml:space="preserve"> that select facts concerning disputes will be publicised via the judgment and/or injunction terms.</w:t>
      </w:r>
      <w:r w:rsidR="00F96090" w:rsidRPr="00F96090">
        <w:rPr>
          <w:rFonts w:ascii="Times New Roman" w:eastAsia="Times New Roman" w:hAnsi="Times New Roman"/>
          <w:sz w:val="24"/>
          <w:szCs w:val="24"/>
        </w:rPr>
        <w:t xml:space="preserve">  </w:t>
      </w:r>
      <w:r w:rsidR="00835ED2" w:rsidRPr="00F96090">
        <w:rPr>
          <w:rFonts w:ascii="Times New Roman" w:hAnsi="Times New Roman"/>
          <w:sz w:val="24"/>
          <w:szCs w:val="24"/>
        </w:rPr>
        <w:t xml:space="preserve">But anonymising a claimant or restricting </w:t>
      </w:r>
      <w:r w:rsidR="00835ED2" w:rsidRPr="00F96090">
        <w:rPr>
          <w:rFonts w:ascii="Times New Roman" w:hAnsi="Times New Roman"/>
          <w:i/>
          <w:sz w:val="24"/>
          <w:szCs w:val="24"/>
        </w:rPr>
        <w:t>parts</w:t>
      </w:r>
      <w:r w:rsidR="00835ED2" w:rsidRPr="00F96090">
        <w:rPr>
          <w:rFonts w:ascii="Times New Roman" w:hAnsi="Times New Roman"/>
          <w:sz w:val="24"/>
          <w:szCs w:val="24"/>
        </w:rPr>
        <w:t xml:space="preserve"> of a disputed story may </w:t>
      </w:r>
      <w:r w:rsidR="00835ED2" w:rsidRPr="004A417D">
        <w:rPr>
          <w:rFonts w:ascii="Times New Roman" w:hAnsi="Times New Roman"/>
          <w:sz w:val="24"/>
          <w:szCs w:val="24"/>
        </w:rPr>
        <w:t>lead to increased (and intrusive) speculation and ‘jigsaw identification’.</w:t>
      </w:r>
      <w:r w:rsidR="004A417D" w:rsidRPr="004A417D">
        <w:rPr>
          <w:rFonts w:ascii="Times New Roman" w:hAnsi="Times New Roman"/>
          <w:sz w:val="24"/>
          <w:szCs w:val="24"/>
        </w:rPr>
        <w:t xml:space="preserve">  It is to this</w:t>
      </w:r>
      <w:r w:rsidR="009152A6" w:rsidRPr="004A417D">
        <w:rPr>
          <w:rFonts w:ascii="Times New Roman" w:hAnsi="Times New Roman"/>
          <w:sz w:val="24"/>
          <w:szCs w:val="24"/>
        </w:rPr>
        <w:t xml:space="preserve"> </w:t>
      </w:r>
      <w:r w:rsidR="009152A6" w:rsidRPr="00F96090">
        <w:rPr>
          <w:rFonts w:ascii="Times New Roman" w:hAnsi="Times New Roman"/>
          <w:sz w:val="24"/>
          <w:szCs w:val="24"/>
        </w:rPr>
        <w:t xml:space="preserve">phenomenon that discussion now turns. </w:t>
      </w:r>
    </w:p>
    <w:p w:rsidR="00DD1B3C" w:rsidRDefault="00DD1B3C" w:rsidP="00166007">
      <w:pPr>
        <w:pStyle w:val="NoSpacing"/>
        <w:jc w:val="both"/>
        <w:rPr>
          <w:rFonts w:ascii="Times New Roman" w:hAnsi="Times New Roman"/>
        </w:rPr>
      </w:pPr>
    </w:p>
    <w:p w:rsidR="00CD705C" w:rsidRDefault="00CD705C" w:rsidP="00166007">
      <w:pPr>
        <w:pStyle w:val="NoSpacing"/>
        <w:jc w:val="both"/>
        <w:rPr>
          <w:rFonts w:ascii="Times New Roman" w:hAnsi="Times New Roman"/>
        </w:rPr>
      </w:pPr>
    </w:p>
    <w:p w:rsidR="00CD705C" w:rsidRPr="00074C89" w:rsidRDefault="00CD705C" w:rsidP="00CD705C">
      <w:pPr>
        <w:pStyle w:val="NoSpacing"/>
        <w:rPr>
          <w:rFonts w:ascii="Times New Roman" w:hAnsi="Times New Roman"/>
          <w:b/>
          <w:i/>
          <w:sz w:val="16"/>
          <w:szCs w:val="16"/>
          <w:u w:val="single"/>
        </w:rPr>
      </w:pPr>
      <w:r w:rsidRPr="00F60E1A">
        <w:rPr>
          <w:rFonts w:ascii="Times New Roman" w:hAnsi="Times New Roman"/>
          <w:b/>
          <w:sz w:val="32"/>
          <w:szCs w:val="32"/>
          <w:u w:val="single"/>
        </w:rPr>
        <w:t>[2] Injunctions &amp; Jigsaw</w:t>
      </w:r>
      <w:r w:rsidR="002749D6">
        <w:rPr>
          <w:rFonts w:ascii="Times New Roman" w:hAnsi="Times New Roman"/>
          <w:b/>
          <w:sz w:val="32"/>
          <w:szCs w:val="32"/>
          <w:u w:val="single"/>
        </w:rPr>
        <w:t>s</w:t>
      </w:r>
    </w:p>
    <w:p w:rsidR="00CD705C" w:rsidRDefault="00CD705C" w:rsidP="00CD705C">
      <w:pPr>
        <w:pStyle w:val="NoSpacing"/>
      </w:pPr>
    </w:p>
    <w:p w:rsidR="00CD705C" w:rsidRDefault="00CD705C" w:rsidP="00CD705C">
      <w:pPr>
        <w:spacing w:after="0" w:line="240" w:lineRule="auto"/>
        <w:jc w:val="both"/>
        <w:rPr>
          <w:rFonts w:ascii="Times New Roman" w:hAnsi="Times New Roman"/>
          <w:sz w:val="24"/>
          <w:szCs w:val="24"/>
        </w:rPr>
      </w:pPr>
    </w:p>
    <w:p w:rsidR="00CD705C" w:rsidRPr="00115535" w:rsidRDefault="00CD705C" w:rsidP="00CD705C">
      <w:pPr>
        <w:spacing w:after="0" w:line="240" w:lineRule="auto"/>
        <w:jc w:val="both"/>
        <w:rPr>
          <w:rFonts w:ascii="Times New Roman" w:hAnsi="Times New Roman"/>
          <w:color w:val="FF0000"/>
          <w:sz w:val="24"/>
          <w:szCs w:val="24"/>
        </w:rPr>
      </w:pPr>
      <w:r w:rsidRPr="00C478FD">
        <w:rPr>
          <w:rFonts w:ascii="Times New Roman" w:hAnsi="Times New Roman"/>
          <w:sz w:val="24"/>
          <w:szCs w:val="24"/>
        </w:rPr>
        <w:t>As</w:t>
      </w:r>
      <w:r w:rsidR="001C22FF" w:rsidRPr="00C478FD">
        <w:rPr>
          <w:rFonts w:ascii="Times New Roman" w:hAnsi="Times New Roman"/>
          <w:sz w:val="24"/>
          <w:szCs w:val="24"/>
        </w:rPr>
        <w:t xml:space="preserve"> </w:t>
      </w:r>
      <w:r w:rsidR="008227AC" w:rsidRPr="00C478FD">
        <w:rPr>
          <w:rFonts w:ascii="Times New Roman" w:hAnsi="Times New Roman"/>
          <w:sz w:val="24"/>
          <w:szCs w:val="24"/>
        </w:rPr>
        <w:t>outlined at Part 1</w:t>
      </w:r>
      <w:r w:rsidR="001C22FF" w:rsidRPr="00C478FD">
        <w:rPr>
          <w:rFonts w:ascii="Times New Roman" w:hAnsi="Times New Roman"/>
          <w:sz w:val="24"/>
          <w:szCs w:val="24"/>
        </w:rPr>
        <w:t>,</w:t>
      </w:r>
      <w:r w:rsidRPr="00C478FD">
        <w:rPr>
          <w:rFonts w:ascii="Times New Roman" w:hAnsi="Times New Roman"/>
          <w:sz w:val="24"/>
          <w:szCs w:val="24"/>
        </w:rPr>
        <w:t xml:space="preserve"> in order to uphold principles of open justi</w:t>
      </w:r>
      <w:r w:rsidR="00961E80" w:rsidRPr="00C478FD">
        <w:rPr>
          <w:rFonts w:ascii="Times New Roman" w:hAnsi="Times New Roman"/>
          <w:sz w:val="24"/>
          <w:szCs w:val="24"/>
        </w:rPr>
        <w:t xml:space="preserve">ce </w:t>
      </w:r>
      <w:r w:rsidR="00180904" w:rsidRPr="00C478FD">
        <w:rPr>
          <w:rFonts w:ascii="Times New Roman" w:hAnsi="Times New Roman"/>
          <w:sz w:val="24"/>
          <w:szCs w:val="24"/>
        </w:rPr>
        <w:t xml:space="preserve">judges issue orders that </w:t>
      </w:r>
      <w:r w:rsidRPr="00C478FD">
        <w:rPr>
          <w:rFonts w:ascii="Times New Roman" w:hAnsi="Times New Roman"/>
          <w:sz w:val="24"/>
          <w:szCs w:val="24"/>
        </w:rPr>
        <w:t xml:space="preserve">restrict information about the parties and the specifics of disputes no more than necessary in order to preserve their Art 8 privacy right.  </w:t>
      </w:r>
      <w:r w:rsidR="00404E79" w:rsidRPr="00C478FD">
        <w:rPr>
          <w:rFonts w:ascii="Times New Roman" w:hAnsi="Times New Roman"/>
          <w:sz w:val="24"/>
          <w:szCs w:val="24"/>
        </w:rPr>
        <w:t xml:space="preserve">Such </w:t>
      </w:r>
      <w:r w:rsidRPr="00C478FD">
        <w:rPr>
          <w:rFonts w:ascii="Times New Roman" w:hAnsi="Times New Roman"/>
          <w:sz w:val="24"/>
          <w:szCs w:val="24"/>
        </w:rPr>
        <w:t xml:space="preserve">‘partial injunctions’ restrict only select features of a dispute, such as the parties’ names or certain details of a story.  In some cases </w:t>
      </w:r>
      <w:r w:rsidRPr="00C478FD">
        <w:rPr>
          <w:rFonts w:ascii="Times New Roman" w:hAnsi="Times New Roman"/>
          <w:sz w:val="24"/>
          <w:szCs w:val="24"/>
        </w:rPr>
        <w:lastRenderedPageBreak/>
        <w:t xml:space="preserve">these partial restrictions have, paradoxically, led to intrusive speculation and </w:t>
      </w:r>
      <w:proofErr w:type="spellStart"/>
      <w:r w:rsidRPr="00C478FD">
        <w:rPr>
          <w:rFonts w:ascii="Times New Roman" w:hAnsi="Times New Roman"/>
          <w:sz w:val="24"/>
          <w:szCs w:val="24"/>
        </w:rPr>
        <w:t>mis</w:t>
      </w:r>
      <w:proofErr w:type="spellEnd"/>
      <w:r w:rsidRPr="00C478FD">
        <w:rPr>
          <w:rFonts w:ascii="Times New Roman" w:hAnsi="Times New Roman"/>
          <w:sz w:val="24"/>
          <w:szCs w:val="24"/>
        </w:rPr>
        <w:t>-identification of the relevant claimant.</w:t>
      </w:r>
      <w:r w:rsidR="00115535" w:rsidRPr="00C478FD">
        <w:rPr>
          <w:rFonts w:ascii="Times New Roman" w:hAnsi="Times New Roman"/>
          <w:sz w:val="24"/>
          <w:szCs w:val="24"/>
        </w:rPr>
        <w:t xml:space="preserve">  </w:t>
      </w:r>
      <w:r w:rsidR="008227AC" w:rsidRPr="00C478FD">
        <w:rPr>
          <w:rFonts w:ascii="Times New Roman" w:hAnsi="Times New Roman"/>
          <w:sz w:val="24"/>
          <w:szCs w:val="24"/>
        </w:rPr>
        <w:t xml:space="preserve">Over the </w:t>
      </w:r>
      <w:r w:rsidR="008227AC">
        <w:rPr>
          <w:rFonts w:ascii="Times New Roman" w:hAnsi="Times New Roman"/>
          <w:sz w:val="24"/>
          <w:szCs w:val="24"/>
        </w:rPr>
        <w:t>course of 2011</w:t>
      </w:r>
      <w:r w:rsidR="00115535" w:rsidRPr="00961E80">
        <w:rPr>
          <w:rFonts w:ascii="Times New Roman" w:hAnsi="Times New Roman"/>
          <w:sz w:val="24"/>
          <w:szCs w:val="24"/>
        </w:rPr>
        <w:t>, various high profile individuals were incorrectly named as being involved in MPI litigation, including: Jemima Khan, Ewan McGregor and Gaby Logan.</w:t>
      </w:r>
      <w:r w:rsidR="00115535">
        <w:rPr>
          <w:rFonts w:ascii="Times New Roman" w:hAnsi="Times New Roman"/>
          <w:sz w:val="24"/>
          <w:szCs w:val="24"/>
        </w:rPr>
        <w:t xml:space="preserve">  </w:t>
      </w:r>
      <w:r w:rsidRPr="00140D37">
        <w:rPr>
          <w:rFonts w:ascii="Times New Roman" w:hAnsi="Times New Roman"/>
          <w:sz w:val="24"/>
          <w:szCs w:val="24"/>
        </w:rPr>
        <w:t xml:space="preserve">This phenomenon </w:t>
      </w:r>
      <w:r w:rsidR="00115535">
        <w:rPr>
          <w:rFonts w:ascii="Times New Roman" w:hAnsi="Times New Roman"/>
          <w:sz w:val="24"/>
          <w:szCs w:val="24"/>
        </w:rPr>
        <w:t>is</w:t>
      </w:r>
      <w:r w:rsidRPr="00140D37">
        <w:rPr>
          <w:rFonts w:ascii="Times New Roman" w:hAnsi="Times New Roman"/>
          <w:sz w:val="24"/>
          <w:szCs w:val="24"/>
        </w:rPr>
        <w:t xml:space="preserve"> understood with reference to the metaphor of a jigsaw.</w:t>
      </w:r>
      <w:r w:rsidR="00793BD2">
        <w:rPr>
          <w:rStyle w:val="FootnoteReference"/>
          <w:rFonts w:ascii="Times New Roman" w:hAnsi="Times New Roman"/>
          <w:sz w:val="24"/>
          <w:szCs w:val="24"/>
        </w:rPr>
        <w:footnoteReference w:id="64"/>
      </w:r>
      <w:r>
        <w:rPr>
          <w:rFonts w:ascii="Times New Roman" w:hAnsi="Times New Roman"/>
          <w:sz w:val="24"/>
          <w:szCs w:val="24"/>
        </w:rPr>
        <w:t xml:space="preserve">  </w:t>
      </w:r>
      <w:r w:rsidRPr="00111654">
        <w:rPr>
          <w:rFonts w:ascii="Times New Roman" w:hAnsi="Times New Roman"/>
          <w:sz w:val="24"/>
          <w:szCs w:val="24"/>
        </w:rPr>
        <w:t xml:space="preserve">In </w:t>
      </w:r>
      <w:r w:rsidRPr="00CA0978">
        <w:rPr>
          <w:rFonts w:ascii="Times New Roman" w:hAnsi="Times New Roman"/>
          <w:i/>
          <w:sz w:val="24"/>
          <w:szCs w:val="24"/>
        </w:rPr>
        <w:t xml:space="preserve">Donald v </w:t>
      </w:r>
      <w:proofErr w:type="spellStart"/>
      <w:r w:rsidRPr="00CA0978">
        <w:rPr>
          <w:rFonts w:ascii="Times New Roman" w:hAnsi="Times New Roman"/>
          <w:i/>
          <w:sz w:val="24"/>
          <w:szCs w:val="24"/>
        </w:rPr>
        <w:t>Ntuli</w:t>
      </w:r>
      <w:proofErr w:type="spellEnd"/>
      <w:r w:rsidRPr="00111654">
        <w:rPr>
          <w:rFonts w:ascii="Times New Roman" w:hAnsi="Times New Roman"/>
          <w:sz w:val="24"/>
          <w:szCs w:val="24"/>
        </w:rPr>
        <w:t xml:space="preserve"> the Court of Appeal defined jigsaw identification as: </w:t>
      </w:r>
    </w:p>
    <w:p w:rsidR="00CD705C" w:rsidRPr="00111654" w:rsidRDefault="00CD705C" w:rsidP="00CD705C">
      <w:pPr>
        <w:spacing w:after="0" w:line="240" w:lineRule="auto"/>
        <w:jc w:val="both"/>
        <w:rPr>
          <w:rFonts w:ascii="Times New Roman" w:hAnsi="Times New Roman"/>
          <w:sz w:val="24"/>
          <w:szCs w:val="24"/>
        </w:rPr>
      </w:pPr>
    </w:p>
    <w:p w:rsidR="00CD705C" w:rsidRPr="00111654" w:rsidRDefault="00CD705C" w:rsidP="000B23D1">
      <w:pPr>
        <w:spacing w:after="0" w:line="240" w:lineRule="auto"/>
        <w:ind w:left="851" w:right="851"/>
        <w:jc w:val="both"/>
        <w:rPr>
          <w:rFonts w:ascii="Times New Roman" w:hAnsi="Times New Roman"/>
          <w:sz w:val="24"/>
          <w:szCs w:val="24"/>
        </w:rPr>
      </w:pPr>
      <w:r w:rsidRPr="00111654">
        <w:rPr>
          <w:rFonts w:ascii="Times New Roman" w:hAnsi="Times New Roman"/>
          <w:i/>
          <w:sz w:val="24"/>
          <w:szCs w:val="24"/>
        </w:rPr>
        <w:t xml:space="preserve">‘the </w:t>
      </w:r>
      <w:r w:rsidRPr="005274DA">
        <w:rPr>
          <w:rFonts w:ascii="Times New Roman" w:hAnsi="Times New Roman"/>
          <w:b/>
          <w:i/>
          <w:sz w:val="24"/>
          <w:szCs w:val="24"/>
        </w:rPr>
        <w:t>risk</w:t>
      </w:r>
      <w:r w:rsidRPr="00111654">
        <w:rPr>
          <w:rFonts w:ascii="Times New Roman" w:hAnsi="Times New Roman"/>
          <w:i/>
          <w:sz w:val="24"/>
          <w:szCs w:val="24"/>
        </w:rPr>
        <w:t xml:space="preserve"> that anonymization </w:t>
      </w:r>
      <w:r w:rsidRPr="00111654">
        <w:rPr>
          <w:rFonts w:ascii="Times New Roman" w:hAnsi="Times New Roman"/>
          <w:b/>
          <w:i/>
          <w:sz w:val="24"/>
          <w:szCs w:val="24"/>
        </w:rPr>
        <w:t>can give rise to</w:t>
      </w:r>
      <w:r w:rsidRPr="00111654">
        <w:rPr>
          <w:rFonts w:ascii="Times New Roman" w:hAnsi="Times New Roman"/>
          <w:i/>
          <w:sz w:val="24"/>
          <w:szCs w:val="24"/>
        </w:rPr>
        <w:t xml:space="preserve">, … whereby anonymization may be undermined by correctly identifying someone as a result of relating separate snippets of information or, equally </w:t>
      </w:r>
      <w:r w:rsidRPr="005274DA">
        <w:rPr>
          <w:rFonts w:ascii="Times New Roman" w:hAnsi="Times New Roman"/>
          <w:b/>
          <w:i/>
          <w:sz w:val="24"/>
          <w:szCs w:val="24"/>
        </w:rPr>
        <w:t>unfortunately</w:t>
      </w:r>
      <w:r w:rsidRPr="00111654">
        <w:rPr>
          <w:rFonts w:ascii="Times New Roman" w:hAnsi="Times New Roman"/>
          <w:i/>
          <w:sz w:val="24"/>
          <w:szCs w:val="24"/>
        </w:rPr>
        <w:t>, it may lead to the wrong person being identified by the media misaligning the snippets.</w:t>
      </w:r>
      <w:r w:rsidRPr="00111654">
        <w:rPr>
          <w:rFonts w:ascii="Times New Roman" w:hAnsi="Times New Roman"/>
          <w:sz w:val="24"/>
          <w:szCs w:val="24"/>
        </w:rPr>
        <w:t>’</w:t>
      </w:r>
      <w:r w:rsidRPr="00111654">
        <w:rPr>
          <w:rStyle w:val="FootnoteReference"/>
          <w:rFonts w:ascii="Times New Roman" w:hAnsi="Times New Roman"/>
          <w:sz w:val="24"/>
          <w:szCs w:val="24"/>
        </w:rPr>
        <w:footnoteReference w:id="65"/>
      </w:r>
    </w:p>
    <w:p w:rsidR="00CD705C" w:rsidRDefault="00CD705C" w:rsidP="00CD705C">
      <w:pPr>
        <w:spacing w:after="0" w:line="240" w:lineRule="auto"/>
        <w:jc w:val="both"/>
        <w:rPr>
          <w:rFonts w:ascii="Times New Roman" w:hAnsi="Times New Roman"/>
          <w:color w:val="FF0000"/>
          <w:sz w:val="24"/>
          <w:szCs w:val="24"/>
        </w:rPr>
      </w:pPr>
    </w:p>
    <w:p w:rsidR="00CD705C" w:rsidRPr="00C01E42" w:rsidRDefault="00990D43" w:rsidP="00CD705C">
      <w:pPr>
        <w:spacing w:after="0" w:line="240" w:lineRule="auto"/>
        <w:jc w:val="both"/>
        <w:rPr>
          <w:rFonts w:ascii="Times New Roman" w:hAnsi="Times New Roman"/>
          <w:sz w:val="24"/>
          <w:szCs w:val="24"/>
        </w:rPr>
      </w:pPr>
      <w:r>
        <w:rPr>
          <w:rFonts w:ascii="Times New Roman" w:hAnsi="Times New Roman"/>
          <w:sz w:val="24"/>
          <w:szCs w:val="24"/>
        </w:rPr>
        <w:t xml:space="preserve">This </w:t>
      </w:r>
      <w:r w:rsidR="00CD705C" w:rsidRPr="00961E80">
        <w:rPr>
          <w:rFonts w:ascii="Times New Roman" w:hAnsi="Times New Roman"/>
          <w:sz w:val="24"/>
          <w:szCs w:val="24"/>
        </w:rPr>
        <w:t xml:space="preserve">statement </w:t>
      </w:r>
      <w:r w:rsidR="00961E80" w:rsidRPr="00961E80">
        <w:rPr>
          <w:rFonts w:ascii="Times New Roman" w:hAnsi="Times New Roman"/>
          <w:sz w:val="24"/>
          <w:szCs w:val="24"/>
        </w:rPr>
        <w:t xml:space="preserve">acknowledges that </w:t>
      </w:r>
      <w:r>
        <w:rPr>
          <w:rFonts w:ascii="Times New Roman" w:hAnsi="Times New Roman"/>
          <w:sz w:val="24"/>
          <w:szCs w:val="24"/>
        </w:rPr>
        <w:t xml:space="preserve">jigsaw identification </w:t>
      </w:r>
      <w:r w:rsidR="00CD705C" w:rsidRPr="00961E80">
        <w:rPr>
          <w:rFonts w:ascii="Times New Roman" w:hAnsi="Times New Roman"/>
          <w:sz w:val="24"/>
          <w:szCs w:val="24"/>
        </w:rPr>
        <w:t>can be a</w:t>
      </w:r>
      <w:r w:rsidR="00961E80" w:rsidRPr="00961E80">
        <w:rPr>
          <w:rFonts w:ascii="Times New Roman" w:hAnsi="Times New Roman"/>
          <w:sz w:val="24"/>
          <w:szCs w:val="24"/>
        </w:rPr>
        <w:t>n unintended and unwelcome consequence</w:t>
      </w:r>
      <w:r w:rsidR="00A5792F">
        <w:rPr>
          <w:rFonts w:ascii="Times New Roman" w:hAnsi="Times New Roman"/>
          <w:sz w:val="24"/>
          <w:szCs w:val="24"/>
        </w:rPr>
        <w:t xml:space="preserve"> of the anonymization process.  As t</w:t>
      </w:r>
      <w:r w:rsidR="00CD705C" w:rsidRPr="00B735C4">
        <w:rPr>
          <w:rFonts w:ascii="Times New Roman" w:hAnsi="Times New Roman"/>
          <w:sz w:val="24"/>
          <w:szCs w:val="24"/>
        </w:rPr>
        <w:t xml:space="preserve">he court in </w:t>
      </w:r>
      <w:r w:rsidR="00CD705C" w:rsidRPr="00B735C4">
        <w:rPr>
          <w:rFonts w:ascii="Times New Roman" w:hAnsi="Times New Roman"/>
          <w:i/>
          <w:sz w:val="24"/>
          <w:szCs w:val="24"/>
        </w:rPr>
        <w:t>Goodwin</w:t>
      </w:r>
      <w:r w:rsidR="00CD705C" w:rsidRPr="00B735C4">
        <w:rPr>
          <w:rFonts w:ascii="Times New Roman" w:hAnsi="Times New Roman"/>
          <w:sz w:val="24"/>
          <w:szCs w:val="24"/>
        </w:rPr>
        <w:t xml:space="preserve"> </w:t>
      </w:r>
      <w:r w:rsidR="00A5792F">
        <w:rPr>
          <w:rFonts w:ascii="Times New Roman" w:hAnsi="Times New Roman"/>
          <w:sz w:val="24"/>
          <w:szCs w:val="24"/>
        </w:rPr>
        <w:t>explained,</w:t>
      </w:r>
      <w:r w:rsidR="00CD705C" w:rsidRPr="00B735C4">
        <w:rPr>
          <w:rFonts w:ascii="Times New Roman" w:hAnsi="Times New Roman"/>
          <w:sz w:val="24"/>
          <w:szCs w:val="24"/>
        </w:rPr>
        <w:t xml:space="preserve"> the various separate ‘snippets’ of information may be publicly available and may not necessarily identify a claimant.  But the alignment o</w:t>
      </w:r>
      <w:r w:rsidR="00B735C4" w:rsidRPr="00B735C4">
        <w:rPr>
          <w:rFonts w:ascii="Times New Roman" w:hAnsi="Times New Roman"/>
          <w:sz w:val="24"/>
          <w:szCs w:val="24"/>
        </w:rPr>
        <w:t xml:space="preserve">f these </w:t>
      </w:r>
      <w:r w:rsidR="00A5792F">
        <w:rPr>
          <w:rFonts w:ascii="Times New Roman" w:hAnsi="Times New Roman"/>
          <w:sz w:val="24"/>
          <w:szCs w:val="24"/>
        </w:rPr>
        <w:t>‘</w:t>
      </w:r>
      <w:r w:rsidR="00B735C4" w:rsidRPr="00B735C4">
        <w:rPr>
          <w:rFonts w:ascii="Times New Roman" w:hAnsi="Times New Roman"/>
          <w:sz w:val="24"/>
          <w:szCs w:val="24"/>
        </w:rPr>
        <w:t>pieces</w:t>
      </w:r>
      <w:r w:rsidR="00A5792F">
        <w:rPr>
          <w:rFonts w:ascii="Times New Roman" w:hAnsi="Times New Roman"/>
          <w:sz w:val="24"/>
          <w:szCs w:val="24"/>
        </w:rPr>
        <w:t>’</w:t>
      </w:r>
      <w:r w:rsidR="00B735C4" w:rsidRPr="00B735C4">
        <w:rPr>
          <w:rFonts w:ascii="Times New Roman" w:hAnsi="Times New Roman"/>
          <w:sz w:val="24"/>
          <w:szCs w:val="24"/>
        </w:rPr>
        <w:t xml:space="preserve"> may undermine an</w:t>
      </w:r>
      <w:r w:rsidR="00CD705C" w:rsidRPr="00B735C4">
        <w:rPr>
          <w:rFonts w:ascii="Times New Roman" w:hAnsi="Times New Roman"/>
          <w:sz w:val="24"/>
          <w:szCs w:val="24"/>
        </w:rPr>
        <w:t xml:space="preserve"> injunction because ‘</w:t>
      </w:r>
      <w:r w:rsidR="00CD705C" w:rsidRPr="00B735C4">
        <w:rPr>
          <w:rFonts w:ascii="Times New Roman" w:hAnsi="Times New Roman"/>
          <w:i/>
          <w:sz w:val="24"/>
          <w:szCs w:val="24"/>
        </w:rPr>
        <w:t>The conjunction of publicly available info</w:t>
      </w:r>
      <w:r w:rsidR="00B735C4" w:rsidRPr="00B735C4">
        <w:rPr>
          <w:rFonts w:ascii="Times New Roman" w:hAnsi="Times New Roman"/>
          <w:i/>
          <w:sz w:val="24"/>
          <w:szCs w:val="24"/>
        </w:rPr>
        <w:t>rmation</w:t>
      </w:r>
      <w:r w:rsidR="00CD705C" w:rsidRPr="00B735C4">
        <w:rPr>
          <w:rFonts w:ascii="Times New Roman" w:hAnsi="Times New Roman"/>
          <w:i/>
          <w:sz w:val="24"/>
          <w:szCs w:val="24"/>
        </w:rPr>
        <w:t xml:space="preserve"> with the report of proceedings may well lead to ‘two and two’ being put together</w:t>
      </w:r>
      <w:r w:rsidR="00CD705C" w:rsidRPr="00B735C4">
        <w:rPr>
          <w:rFonts w:ascii="Times New Roman" w:hAnsi="Times New Roman"/>
          <w:sz w:val="24"/>
          <w:szCs w:val="24"/>
        </w:rPr>
        <w:t>.’</w:t>
      </w:r>
      <w:r w:rsidR="00CD705C" w:rsidRPr="00B735C4">
        <w:rPr>
          <w:rStyle w:val="FootnoteReference"/>
          <w:rFonts w:ascii="Times New Roman" w:hAnsi="Times New Roman"/>
          <w:sz w:val="24"/>
          <w:szCs w:val="24"/>
        </w:rPr>
        <w:footnoteReference w:id="66"/>
      </w:r>
      <w:r w:rsidR="00B735C4" w:rsidRPr="00B735C4">
        <w:rPr>
          <w:rFonts w:ascii="Times New Roman" w:hAnsi="Times New Roman"/>
          <w:sz w:val="24"/>
          <w:szCs w:val="24"/>
        </w:rPr>
        <w:t xml:space="preserve">  </w:t>
      </w:r>
      <w:r w:rsidR="00CD705C" w:rsidRPr="00B735C4">
        <w:rPr>
          <w:rFonts w:ascii="Times New Roman" w:hAnsi="Times New Roman"/>
          <w:sz w:val="24"/>
          <w:szCs w:val="24"/>
        </w:rPr>
        <w:t xml:space="preserve">As Solove and Schwartz have noted (in a different context) the risk of </w:t>
      </w:r>
      <w:r w:rsidR="00CD705C" w:rsidRPr="00B735C4">
        <w:rPr>
          <w:rFonts w:ascii="Times New Roman" w:hAnsi="Times New Roman"/>
          <w:i/>
          <w:sz w:val="24"/>
          <w:szCs w:val="24"/>
        </w:rPr>
        <w:t>non</w:t>
      </w:r>
      <w:r w:rsidR="00CD705C" w:rsidRPr="00B735C4">
        <w:rPr>
          <w:rFonts w:ascii="Times New Roman" w:hAnsi="Times New Roman"/>
          <w:sz w:val="24"/>
          <w:szCs w:val="24"/>
        </w:rPr>
        <w:t xml:space="preserve">-personally identifiable information being pieced together to produce personally identifiable information increases with the existence of technologies like the internet and </w:t>
      </w:r>
      <w:r w:rsidR="00CD705C" w:rsidRPr="00C478FD">
        <w:rPr>
          <w:rFonts w:ascii="Times New Roman" w:hAnsi="Times New Roman"/>
          <w:sz w:val="24"/>
          <w:szCs w:val="24"/>
        </w:rPr>
        <w:t>‘skilful Googlers’.</w:t>
      </w:r>
      <w:r w:rsidR="00CD705C" w:rsidRPr="00C478FD">
        <w:rPr>
          <w:rStyle w:val="FootnoteReference"/>
          <w:rFonts w:ascii="Times New Roman" w:hAnsi="Times New Roman"/>
          <w:sz w:val="24"/>
          <w:szCs w:val="24"/>
        </w:rPr>
        <w:footnoteReference w:id="67"/>
      </w:r>
      <w:r w:rsidR="00C478FD" w:rsidRPr="00C478FD">
        <w:rPr>
          <w:rFonts w:ascii="Times New Roman" w:hAnsi="Times New Roman"/>
          <w:sz w:val="24"/>
          <w:szCs w:val="24"/>
        </w:rPr>
        <w:t xml:space="preserve">  </w:t>
      </w:r>
      <w:r w:rsidR="00B3061E" w:rsidRPr="00C478FD">
        <w:rPr>
          <w:rFonts w:ascii="Times New Roman" w:hAnsi="Times New Roman"/>
          <w:sz w:val="24"/>
          <w:szCs w:val="24"/>
        </w:rPr>
        <w:t xml:space="preserve">This risk requires the courts to carefully consider the content of their judgments which </w:t>
      </w:r>
      <w:r w:rsidR="00CD705C" w:rsidRPr="00C478FD">
        <w:rPr>
          <w:rFonts w:ascii="Times New Roman" w:hAnsi="Times New Roman"/>
          <w:sz w:val="24"/>
          <w:szCs w:val="24"/>
        </w:rPr>
        <w:t xml:space="preserve">may provide </w:t>
      </w:r>
      <w:r w:rsidR="00CD705C" w:rsidRPr="00C5746F">
        <w:rPr>
          <w:rFonts w:ascii="Times New Roman" w:hAnsi="Times New Roman"/>
          <w:sz w:val="24"/>
          <w:szCs w:val="24"/>
        </w:rPr>
        <w:t>information that could contribute to</w:t>
      </w:r>
      <w:r w:rsidR="00C478FD">
        <w:rPr>
          <w:rFonts w:ascii="Times New Roman" w:hAnsi="Times New Roman"/>
          <w:sz w:val="24"/>
          <w:szCs w:val="24"/>
        </w:rPr>
        <w:t xml:space="preserve"> the</w:t>
      </w:r>
      <w:r w:rsidR="00CD705C" w:rsidRPr="00C5746F">
        <w:rPr>
          <w:rFonts w:ascii="Times New Roman" w:hAnsi="Times New Roman"/>
          <w:sz w:val="24"/>
          <w:szCs w:val="24"/>
        </w:rPr>
        <w:t xml:space="preserve"> ‘jigsaw </w:t>
      </w:r>
      <w:r w:rsidR="00CD705C" w:rsidRPr="00C01E42">
        <w:rPr>
          <w:rFonts w:ascii="Times New Roman" w:hAnsi="Times New Roman"/>
          <w:sz w:val="24"/>
          <w:szCs w:val="24"/>
        </w:rPr>
        <w:t>identification’ of the party the court is trying to protect</w:t>
      </w:r>
      <w:r w:rsidR="00C478FD" w:rsidRPr="00C01E42">
        <w:rPr>
          <w:rFonts w:ascii="Times New Roman" w:hAnsi="Times New Roman"/>
          <w:sz w:val="24"/>
          <w:szCs w:val="24"/>
        </w:rPr>
        <w:t xml:space="preserve">, </w:t>
      </w:r>
      <w:r w:rsidR="008E1408" w:rsidRPr="00C01E42">
        <w:rPr>
          <w:rFonts w:ascii="Times New Roman" w:hAnsi="Times New Roman"/>
          <w:sz w:val="24"/>
          <w:szCs w:val="24"/>
        </w:rPr>
        <w:t>as</w:t>
      </w:r>
      <w:r w:rsidR="00CD705C" w:rsidRPr="00C01E42">
        <w:rPr>
          <w:rFonts w:ascii="Times New Roman" w:hAnsi="Times New Roman"/>
          <w:sz w:val="24"/>
          <w:szCs w:val="24"/>
        </w:rPr>
        <w:t xml:space="preserve"> recently acknowledged by Laing J in </w:t>
      </w:r>
      <w:r w:rsidR="00CD705C" w:rsidRPr="00C01E42">
        <w:rPr>
          <w:rFonts w:ascii="Times New Roman" w:hAnsi="Times New Roman"/>
          <w:i/>
          <w:sz w:val="24"/>
          <w:szCs w:val="24"/>
        </w:rPr>
        <w:t>AMC v News Group</w:t>
      </w:r>
      <w:r w:rsidR="008E1408" w:rsidRPr="00C01E42">
        <w:rPr>
          <w:rFonts w:ascii="Times New Roman" w:hAnsi="Times New Roman"/>
          <w:sz w:val="24"/>
          <w:szCs w:val="24"/>
        </w:rPr>
        <w:t>.</w:t>
      </w:r>
      <w:r w:rsidR="00CD705C" w:rsidRPr="00C01E42">
        <w:rPr>
          <w:rStyle w:val="FootnoteReference"/>
          <w:rFonts w:ascii="Times New Roman" w:hAnsi="Times New Roman"/>
          <w:sz w:val="24"/>
          <w:szCs w:val="24"/>
        </w:rPr>
        <w:footnoteReference w:id="68"/>
      </w:r>
      <w:r w:rsidR="00C478FD" w:rsidRPr="00C01E42">
        <w:rPr>
          <w:rFonts w:ascii="Times New Roman" w:hAnsi="Times New Roman"/>
          <w:sz w:val="24"/>
          <w:szCs w:val="24"/>
        </w:rPr>
        <w:t xml:space="preserve">  </w:t>
      </w:r>
      <w:r w:rsidR="005D2D0B" w:rsidRPr="00C01E42">
        <w:rPr>
          <w:rFonts w:ascii="Times New Roman" w:hAnsi="Times New Roman"/>
          <w:sz w:val="24"/>
          <w:szCs w:val="24"/>
        </w:rPr>
        <w:t>But</w:t>
      </w:r>
      <w:r w:rsidR="00C478FD" w:rsidRPr="00C01E42">
        <w:rPr>
          <w:rFonts w:ascii="Times New Roman" w:hAnsi="Times New Roman"/>
          <w:sz w:val="24"/>
          <w:szCs w:val="24"/>
        </w:rPr>
        <w:t xml:space="preserve"> the issue</w:t>
      </w:r>
      <w:r w:rsidR="005D2D0B" w:rsidRPr="00C01E42">
        <w:rPr>
          <w:rFonts w:ascii="Times New Roman" w:hAnsi="Times New Roman"/>
          <w:sz w:val="24"/>
          <w:szCs w:val="24"/>
        </w:rPr>
        <w:t xml:space="preserve"> of jigsaw identification has also led the courts to experiment with </w:t>
      </w:r>
      <w:r w:rsidR="00CD705C" w:rsidRPr="00C01E42">
        <w:rPr>
          <w:rFonts w:ascii="Times New Roman" w:hAnsi="Times New Roman"/>
          <w:sz w:val="24"/>
          <w:szCs w:val="24"/>
        </w:rPr>
        <w:t>the terms and scope of privacy-protecting injunctions</w:t>
      </w:r>
      <w:r w:rsidR="005D2D0B" w:rsidRPr="00C01E42">
        <w:rPr>
          <w:rFonts w:ascii="Times New Roman" w:hAnsi="Times New Roman"/>
          <w:sz w:val="24"/>
          <w:szCs w:val="24"/>
        </w:rPr>
        <w:t xml:space="preserve"> when attempting to minimise such risks</w:t>
      </w:r>
      <w:r w:rsidR="00C478FD" w:rsidRPr="00C01E42">
        <w:rPr>
          <w:rFonts w:ascii="Times New Roman" w:hAnsi="Times New Roman"/>
          <w:sz w:val="24"/>
          <w:szCs w:val="24"/>
        </w:rPr>
        <w:t>.  First, they considered the so-called ‘super’-injunction option</w:t>
      </w:r>
      <w:r w:rsidR="00CD705C" w:rsidRPr="00C01E42">
        <w:rPr>
          <w:rFonts w:ascii="Times New Roman" w:hAnsi="Times New Roman"/>
          <w:sz w:val="24"/>
          <w:szCs w:val="24"/>
        </w:rPr>
        <w:t xml:space="preserve">.  Second, they </w:t>
      </w:r>
      <w:r w:rsidR="00C478FD" w:rsidRPr="00C01E42">
        <w:rPr>
          <w:rFonts w:ascii="Times New Roman" w:hAnsi="Times New Roman"/>
          <w:sz w:val="24"/>
          <w:szCs w:val="24"/>
        </w:rPr>
        <w:t xml:space="preserve">have assessed </w:t>
      </w:r>
      <w:r w:rsidR="00CD705C" w:rsidRPr="00C01E42">
        <w:rPr>
          <w:rFonts w:ascii="Times New Roman" w:hAnsi="Times New Roman"/>
          <w:sz w:val="24"/>
          <w:szCs w:val="24"/>
        </w:rPr>
        <w:t xml:space="preserve">which specific parts of a story are best restricted to minimise the risk of jigsaw identification.  </w:t>
      </w:r>
    </w:p>
    <w:p w:rsidR="00F27036" w:rsidRDefault="00F27036" w:rsidP="00CD705C">
      <w:pPr>
        <w:spacing w:after="0" w:line="240" w:lineRule="auto"/>
        <w:rPr>
          <w:rFonts w:ascii="Times New Roman" w:hAnsi="Times New Roman"/>
          <w:b/>
          <w:color w:val="FF0000"/>
          <w:sz w:val="24"/>
          <w:szCs w:val="24"/>
          <w:u w:val="single"/>
        </w:rPr>
      </w:pPr>
    </w:p>
    <w:p w:rsidR="00CD705C" w:rsidRPr="00F75622" w:rsidRDefault="00CD705C" w:rsidP="00CD705C">
      <w:pPr>
        <w:spacing w:after="0" w:line="240" w:lineRule="auto"/>
        <w:rPr>
          <w:rFonts w:ascii="Times New Roman" w:hAnsi="Times New Roman"/>
          <w:i/>
          <w:sz w:val="24"/>
          <w:szCs w:val="24"/>
          <w:u w:val="single"/>
        </w:rPr>
      </w:pPr>
      <w:r w:rsidRPr="00F75622">
        <w:rPr>
          <w:rFonts w:ascii="Times New Roman" w:hAnsi="Times New Roman"/>
          <w:i/>
          <w:sz w:val="24"/>
          <w:szCs w:val="24"/>
          <w:u w:val="single"/>
        </w:rPr>
        <w:t>Avoiding the Jigsaw; Super-Injunctions</w:t>
      </w:r>
    </w:p>
    <w:p w:rsidR="00CD705C" w:rsidRPr="000335C1" w:rsidRDefault="00CD705C" w:rsidP="00CD705C">
      <w:pPr>
        <w:spacing w:after="0" w:line="240" w:lineRule="auto"/>
        <w:jc w:val="both"/>
        <w:rPr>
          <w:rFonts w:ascii="Times New Roman" w:hAnsi="Times New Roman"/>
          <w:color w:val="FF0000"/>
          <w:sz w:val="24"/>
          <w:szCs w:val="24"/>
        </w:rPr>
      </w:pPr>
      <w:r>
        <w:rPr>
          <w:rFonts w:ascii="Times New Roman" w:hAnsi="Times New Roman"/>
          <w:sz w:val="24"/>
          <w:szCs w:val="24"/>
        </w:rPr>
        <w:t>‘S</w:t>
      </w:r>
      <w:r w:rsidRPr="00F31E42">
        <w:rPr>
          <w:rFonts w:ascii="Times New Roman" w:hAnsi="Times New Roman"/>
          <w:sz w:val="24"/>
          <w:szCs w:val="24"/>
        </w:rPr>
        <w:t>uper</w:t>
      </w:r>
      <w:r>
        <w:rPr>
          <w:rFonts w:ascii="Times New Roman" w:hAnsi="Times New Roman"/>
          <w:sz w:val="24"/>
          <w:szCs w:val="24"/>
        </w:rPr>
        <w:t xml:space="preserve">’-injunctions have </w:t>
      </w:r>
      <w:r w:rsidRPr="00F31E42">
        <w:rPr>
          <w:rFonts w:ascii="Times New Roman" w:hAnsi="Times New Roman"/>
          <w:sz w:val="24"/>
          <w:szCs w:val="24"/>
        </w:rPr>
        <w:t>often</w:t>
      </w:r>
      <w:r>
        <w:rPr>
          <w:rFonts w:ascii="Times New Roman" w:hAnsi="Times New Roman"/>
          <w:sz w:val="24"/>
          <w:szCs w:val="24"/>
        </w:rPr>
        <w:t xml:space="preserve"> been</w:t>
      </w:r>
      <w:r w:rsidRPr="00F31E42">
        <w:rPr>
          <w:rFonts w:ascii="Times New Roman" w:hAnsi="Times New Roman"/>
          <w:sz w:val="24"/>
          <w:szCs w:val="24"/>
        </w:rPr>
        <w:t xml:space="preserve"> confu</w:t>
      </w:r>
      <w:r>
        <w:rPr>
          <w:rFonts w:ascii="Times New Roman" w:hAnsi="Times New Roman"/>
          <w:sz w:val="24"/>
          <w:szCs w:val="24"/>
        </w:rPr>
        <w:t>sed with anonymised injunctions but</w:t>
      </w:r>
      <w:r w:rsidRPr="00F31E42">
        <w:rPr>
          <w:rFonts w:ascii="Times New Roman" w:hAnsi="Times New Roman"/>
          <w:sz w:val="24"/>
          <w:szCs w:val="24"/>
        </w:rPr>
        <w:t xml:space="preserve"> differ from that latter in one crucial respect; as well as preventing publication of private information about an applicant they also restrain publicising the very existence of the order and proceedings.</w:t>
      </w:r>
      <w:r>
        <w:rPr>
          <w:rFonts w:ascii="Times New Roman" w:hAnsi="Times New Roman"/>
          <w:sz w:val="24"/>
          <w:szCs w:val="24"/>
        </w:rPr>
        <w:t xml:space="preserve">  </w:t>
      </w:r>
      <w:r w:rsidRPr="0041575A">
        <w:rPr>
          <w:rFonts w:ascii="Times New Roman" w:hAnsi="Times New Roman"/>
          <w:sz w:val="24"/>
          <w:szCs w:val="24"/>
        </w:rPr>
        <w:t>In MPI cases they were rar</w:t>
      </w:r>
      <w:r>
        <w:rPr>
          <w:rFonts w:ascii="Times New Roman" w:hAnsi="Times New Roman"/>
          <w:sz w:val="24"/>
          <w:szCs w:val="24"/>
        </w:rPr>
        <w:t xml:space="preserve">ely granted and then, only </w:t>
      </w:r>
      <w:r w:rsidRPr="0041575A">
        <w:rPr>
          <w:rFonts w:ascii="Times New Roman" w:hAnsi="Times New Roman"/>
          <w:sz w:val="24"/>
          <w:szCs w:val="24"/>
        </w:rPr>
        <w:t>on a temporary basis.</w:t>
      </w:r>
      <w:r w:rsidRPr="0041575A">
        <w:rPr>
          <w:rStyle w:val="FootnoteReference"/>
          <w:rFonts w:ascii="Times New Roman" w:hAnsi="Times New Roman"/>
          <w:sz w:val="24"/>
          <w:szCs w:val="24"/>
        </w:rPr>
        <w:footnoteReference w:id="69"/>
      </w:r>
      <w:r w:rsidRPr="0041575A">
        <w:rPr>
          <w:rFonts w:ascii="Times New Roman" w:hAnsi="Times New Roman"/>
          <w:sz w:val="24"/>
          <w:szCs w:val="24"/>
        </w:rPr>
        <w:t xml:space="preserve">  But </w:t>
      </w:r>
      <w:r w:rsidR="00F75622">
        <w:rPr>
          <w:rFonts w:ascii="Times New Roman" w:hAnsi="Times New Roman"/>
          <w:sz w:val="24"/>
          <w:szCs w:val="24"/>
        </w:rPr>
        <w:t xml:space="preserve">the </w:t>
      </w:r>
      <w:r>
        <w:rPr>
          <w:rFonts w:ascii="Times New Roman" w:hAnsi="Times New Roman"/>
          <w:sz w:val="24"/>
          <w:szCs w:val="24"/>
        </w:rPr>
        <w:t>cases</w:t>
      </w:r>
      <w:r w:rsidR="00F75622">
        <w:rPr>
          <w:rFonts w:ascii="Times New Roman" w:hAnsi="Times New Roman"/>
          <w:sz w:val="24"/>
          <w:szCs w:val="24"/>
        </w:rPr>
        <w:t xml:space="preserve"> of </w:t>
      </w:r>
      <w:r w:rsidR="00F75622" w:rsidRPr="00F75622">
        <w:rPr>
          <w:rFonts w:ascii="Times New Roman" w:hAnsi="Times New Roman"/>
          <w:i/>
          <w:sz w:val="24"/>
          <w:szCs w:val="24"/>
        </w:rPr>
        <w:t xml:space="preserve">DFT </w:t>
      </w:r>
      <w:r w:rsidR="00F75622" w:rsidRPr="007703DF">
        <w:rPr>
          <w:rFonts w:ascii="Times New Roman" w:hAnsi="Times New Roman"/>
          <w:i/>
          <w:sz w:val="24"/>
          <w:szCs w:val="24"/>
        </w:rPr>
        <w:t>v TDF</w:t>
      </w:r>
      <w:r w:rsidR="00F75622" w:rsidRPr="007703DF">
        <w:rPr>
          <w:rStyle w:val="FootnoteReference"/>
          <w:rFonts w:ascii="Times New Roman" w:hAnsi="Times New Roman"/>
          <w:sz w:val="24"/>
          <w:szCs w:val="24"/>
        </w:rPr>
        <w:footnoteReference w:id="70"/>
      </w:r>
      <w:r w:rsidR="00F75622" w:rsidRPr="007703DF">
        <w:rPr>
          <w:rFonts w:ascii="Times New Roman" w:hAnsi="Times New Roman"/>
          <w:sz w:val="24"/>
          <w:szCs w:val="24"/>
        </w:rPr>
        <w:t xml:space="preserve"> and </w:t>
      </w:r>
      <w:r w:rsidR="00F75622" w:rsidRPr="007703DF">
        <w:rPr>
          <w:rFonts w:ascii="Times New Roman" w:hAnsi="Times New Roman"/>
          <w:i/>
          <w:sz w:val="24"/>
          <w:szCs w:val="24"/>
        </w:rPr>
        <w:t xml:space="preserve">Donald v </w:t>
      </w:r>
      <w:proofErr w:type="spellStart"/>
      <w:r w:rsidR="00F75622" w:rsidRPr="007703DF">
        <w:rPr>
          <w:rFonts w:ascii="Times New Roman" w:hAnsi="Times New Roman"/>
          <w:i/>
          <w:sz w:val="24"/>
          <w:szCs w:val="24"/>
        </w:rPr>
        <w:t>Ntuli</w:t>
      </w:r>
      <w:proofErr w:type="spellEnd"/>
      <w:r w:rsidR="00F75622" w:rsidRPr="007703DF">
        <w:rPr>
          <w:rStyle w:val="FootnoteReference"/>
          <w:rFonts w:ascii="Times New Roman" w:hAnsi="Times New Roman"/>
          <w:sz w:val="24"/>
          <w:szCs w:val="24"/>
        </w:rPr>
        <w:footnoteReference w:id="71"/>
      </w:r>
      <w:r w:rsidR="00F75622" w:rsidRPr="007703DF">
        <w:rPr>
          <w:rFonts w:ascii="Times New Roman" w:hAnsi="Times New Roman"/>
          <w:sz w:val="24"/>
          <w:szCs w:val="24"/>
        </w:rPr>
        <w:t xml:space="preserve"> </w:t>
      </w:r>
      <w:r w:rsidRPr="007703DF">
        <w:rPr>
          <w:rFonts w:ascii="Times New Roman" w:hAnsi="Times New Roman"/>
          <w:sz w:val="24"/>
          <w:szCs w:val="24"/>
        </w:rPr>
        <w:t xml:space="preserve"> involved claimants arguing that a ‘super’-injunction was necessary to prevent jigsaw identification and protect their identity (and thus their Art 8 privacy right).</w:t>
      </w:r>
      <w:r w:rsidR="000335C1" w:rsidRPr="007703DF">
        <w:rPr>
          <w:rFonts w:ascii="Times New Roman" w:hAnsi="Times New Roman"/>
          <w:sz w:val="24"/>
          <w:szCs w:val="24"/>
        </w:rPr>
        <w:t xml:space="preserve">  In the former case, the applicant </w:t>
      </w:r>
      <w:r w:rsidRPr="007703DF">
        <w:rPr>
          <w:rFonts w:ascii="Times New Roman" w:hAnsi="Times New Roman"/>
          <w:sz w:val="24"/>
          <w:szCs w:val="24"/>
        </w:rPr>
        <w:t xml:space="preserve">argued that </w:t>
      </w:r>
      <w:r w:rsidR="000335C1" w:rsidRPr="007703DF">
        <w:rPr>
          <w:rFonts w:ascii="Times New Roman" w:hAnsi="Times New Roman"/>
          <w:sz w:val="24"/>
          <w:szCs w:val="24"/>
        </w:rPr>
        <w:t>Sharp J</w:t>
      </w:r>
      <w:r w:rsidRPr="007703DF">
        <w:rPr>
          <w:rFonts w:ascii="Times New Roman" w:hAnsi="Times New Roman"/>
          <w:sz w:val="24"/>
          <w:szCs w:val="24"/>
        </w:rPr>
        <w:t xml:space="preserve"> should</w:t>
      </w:r>
      <w:r w:rsidR="000335C1" w:rsidRPr="007703DF">
        <w:rPr>
          <w:rFonts w:ascii="Times New Roman" w:hAnsi="Times New Roman"/>
          <w:sz w:val="24"/>
          <w:szCs w:val="24"/>
        </w:rPr>
        <w:t xml:space="preserve"> continue a previously granted super-injunction</w:t>
      </w:r>
      <w:r w:rsidRPr="007703DF">
        <w:rPr>
          <w:rFonts w:ascii="Times New Roman" w:hAnsi="Times New Roman"/>
          <w:sz w:val="24"/>
          <w:szCs w:val="24"/>
        </w:rPr>
        <w:t xml:space="preserve"> in order to prevent the ‘drip </w:t>
      </w:r>
      <w:proofErr w:type="spellStart"/>
      <w:r w:rsidRPr="007703DF">
        <w:rPr>
          <w:rFonts w:ascii="Times New Roman" w:hAnsi="Times New Roman"/>
          <w:sz w:val="24"/>
          <w:szCs w:val="24"/>
        </w:rPr>
        <w:t>drip</w:t>
      </w:r>
      <w:proofErr w:type="spellEnd"/>
      <w:r w:rsidRPr="007703DF">
        <w:rPr>
          <w:rFonts w:ascii="Times New Roman" w:hAnsi="Times New Roman"/>
          <w:sz w:val="24"/>
          <w:szCs w:val="24"/>
        </w:rPr>
        <w:t xml:space="preserve">’ </w:t>
      </w:r>
      <w:r w:rsidRPr="007703DF">
        <w:rPr>
          <w:rFonts w:ascii="Times New Roman" w:hAnsi="Times New Roman"/>
          <w:sz w:val="24"/>
          <w:szCs w:val="24"/>
        </w:rPr>
        <w:lastRenderedPageBreak/>
        <w:t>process</w:t>
      </w:r>
      <w:r w:rsidRPr="007703DF">
        <w:rPr>
          <w:rStyle w:val="FootnoteReference"/>
          <w:rFonts w:ascii="Times New Roman" w:hAnsi="Times New Roman"/>
          <w:sz w:val="24"/>
          <w:szCs w:val="24"/>
        </w:rPr>
        <w:footnoteReference w:id="72"/>
      </w:r>
      <w:r w:rsidRPr="007703DF">
        <w:rPr>
          <w:rFonts w:ascii="Times New Roman" w:hAnsi="Times New Roman"/>
          <w:sz w:val="24"/>
          <w:szCs w:val="24"/>
        </w:rPr>
        <w:t xml:space="preserve"> of jigsaw identification which would defeat the purpose of the action.  </w:t>
      </w:r>
      <w:r w:rsidRPr="00D16509">
        <w:rPr>
          <w:rFonts w:ascii="Times New Roman" w:hAnsi="Times New Roman"/>
          <w:sz w:val="24"/>
          <w:szCs w:val="24"/>
        </w:rPr>
        <w:t>Pointing to recent incidents, he argued</w:t>
      </w:r>
      <w:r>
        <w:rPr>
          <w:rFonts w:ascii="Times New Roman" w:hAnsi="Times New Roman"/>
          <w:sz w:val="24"/>
          <w:szCs w:val="24"/>
        </w:rPr>
        <w:t xml:space="preserve"> publication of the injunction</w:t>
      </w:r>
    </w:p>
    <w:p w:rsidR="00CD705C" w:rsidRPr="00D16509" w:rsidRDefault="00CD705C" w:rsidP="00CD705C">
      <w:pPr>
        <w:spacing w:after="0" w:line="240" w:lineRule="auto"/>
        <w:jc w:val="both"/>
        <w:rPr>
          <w:rFonts w:ascii="Times New Roman" w:hAnsi="Times New Roman"/>
          <w:sz w:val="24"/>
          <w:szCs w:val="24"/>
        </w:rPr>
      </w:pPr>
    </w:p>
    <w:p w:rsidR="00CD705C" w:rsidRPr="00D16509" w:rsidRDefault="00CD705C" w:rsidP="00333760">
      <w:pPr>
        <w:spacing w:after="0" w:line="240" w:lineRule="auto"/>
        <w:ind w:left="851" w:right="851"/>
        <w:jc w:val="both"/>
        <w:rPr>
          <w:rFonts w:ascii="Times New Roman" w:hAnsi="Times New Roman"/>
          <w:sz w:val="24"/>
          <w:szCs w:val="24"/>
        </w:rPr>
      </w:pPr>
      <w:r>
        <w:rPr>
          <w:rFonts w:ascii="Times New Roman" w:hAnsi="Times New Roman"/>
          <w:sz w:val="24"/>
          <w:szCs w:val="24"/>
        </w:rPr>
        <w:t>‘</w:t>
      </w:r>
      <w:r w:rsidRPr="00D16509">
        <w:rPr>
          <w:rFonts w:ascii="Times New Roman" w:hAnsi="Times New Roman"/>
          <w:b/>
          <w:i/>
          <w:sz w:val="24"/>
          <w:szCs w:val="24"/>
        </w:rPr>
        <w:t>will, inevitably, lead to</w:t>
      </w:r>
      <w:r w:rsidRPr="00D16509">
        <w:rPr>
          <w:rFonts w:ascii="Times New Roman" w:hAnsi="Times New Roman"/>
          <w:i/>
          <w:sz w:val="24"/>
          <w:szCs w:val="24"/>
        </w:rPr>
        <w:t xml:space="preserve"> press and internet speculation as to the identity of the applicant.  Such speculation will itself cause the applicant distress and will interfere with his Art 8 rights.  Such </w:t>
      </w:r>
      <w:r w:rsidRPr="000335C1">
        <w:rPr>
          <w:rFonts w:ascii="Times New Roman" w:hAnsi="Times New Roman"/>
          <w:b/>
          <w:i/>
          <w:sz w:val="24"/>
          <w:szCs w:val="24"/>
        </w:rPr>
        <w:t>speculation risks breaches of the injunction</w:t>
      </w:r>
      <w:r w:rsidRPr="00D16509">
        <w:rPr>
          <w:rFonts w:ascii="Times New Roman" w:hAnsi="Times New Roman"/>
          <w:i/>
          <w:sz w:val="24"/>
          <w:szCs w:val="24"/>
        </w:rPr>
        <w:t xml:space="preserve"> taking place in forums on the internet. </w:t>
      </w:r>
      <w:r w:rsidRPr="00D16509">
        <w:rPr>
          <w:rFonts w:ascii="Times New Roman" w:hAnsi="Times New Roman"/>
          <w:sz w:val="24"/>
          <w:szCs w:val="24"/>
        </w:rPr>
        <w:t>’</w:t>
      </w:r>
      <w:r w:rsidRPr="00D16509">
        <w:rPr>
          <w:rStyle w:val="FootnoteReference"/>
          <w:rFonts w:ascii="Times New Roman" w:hAnsi="Times New Roman"/>
          <w:sz w:val="24"/>
          <w:szCs w:val="24"/>
        </w:rPr>
        <w:footnoteReference w:id="73"/>
      </w:r>
      <w:r w:rsidRPr="00D16509">
        <w:rPr>
          <w:rFonts w:ascii="Times New Roman" w:hAnsi="Times New Roman"/>
          <w:sz w:val="24"/>
          <w:szCs w:val="24"/>
        </w:rPr>
        <w:t xml:space="preserve">  </w:t>
      </w:r>
    </w:p>
    <w:p w:rsidR="00CD705C" w:rsidRPr="00D16509" w:rsidRDefault="00CD705C" w:rsidP="00CD705C">
      <w:pPr>
        <w:spacing w:after="0" w:line="240" w:lineRule="auto"/>
        <w:jc w:val="both"/>
        <w:rPr>
          <w:rFonts w:ascii="Times New Roman" w:hAnsi="Times New Roman"/>
          <w:sz w:val="24"/>
          <w:szCs w:val="24"/>
        </w:rPr>
      </w:pPr>
    </w:p>
    <w:p w:rsidR="00CD705C" w:rsidRPr="00A37488" w:rsidRDefault="00CD705C" w:rsidP="00CD705C">
      <w:pPr>
        <w:spacing w:after="0" w:line="240" w:lineRule="auto"/>
        <w:jc w:val="both"/>
        <w:rPr>
          <w:rFonts w:ascii="Times New Roman" w:hAnsi="Times New Roman"/>
          <w:sz w:val="24"/>
          <w:szCs w:val="24"/>
        </w:rPr>
      </w:pPr>
      <w:r w:rsidRPr="00D16509">
        <w:rPr>
          <w:rFonts w:ascii="Times New Roman" w:hAnsi="Times New Roman"/>
          <w:sz w:val="24"/>
          <w:szCs w:val="24"/>
        </w:rPr>
        <w:t xml:space="preserve">Sharp J found that the </w:t>
      </w:r>
      <w:r>
        <w:rPr>
          <w:rFonts w:ascii="Times New Roman" w:hAnsi="Times New Roman"/>
          <w:sz w:val="24"/>
          <w:szCs w:val="24"/>
        </w:rPr>
        <w:t xml:space="preserve">‘super injunction’ element </w:t>
      </w:r>
      <w:r w:rsidRPr="00D16509">
        <w:rPr>
          <w:rFonts w:ascii="Times New Roman" w:hAnsi="Times New Roman"/>
          <w:sz w:val="24"/>
          <w:szCs w:val="24"/>
        </w:rPr>
        <w:t>of the order was not necessary,</w:t>
      </w:r>
      <w:r w:rsidRPr="00D16509">
        <w:rPr>
          <w:rStyle w:val="FootnoteReference"/>
          <w:rFonts w:ascii="Times New Roman" w:hAnsi="Times New Roman"/>
          <w:sz w:val="24"/>
          <w:szCs w:val="24"/>
        </w:rPr>
        <w:footnoteReference w:id="74"/>
      </w:r>
      <w:r w:rsidRPr="00D16509">
        <w:rPr>
          <w:rFonts w:ascii="Times New Roman" w:hAnsi="Times New Roman"/>
          <w:sz w:val="24"/>
          <w:szCs w:val="24"/>
        </w:rPr>
        <w:t xml:space="preserve"> though otherwise continued the</w:t>
      </w:r>
      <w:r>
        <w:rPr>
          <w:rFonts w:ascii="Times New Roman" w:hAnsi="Times New Roman"/>
          <w:sz w:val="24"/>
          <w:szCs w:val="24"/>
        </w:rPr>
        <w:t xml:space="preserve"> anonymised</w:t>
      </w:r>
      <w:r w:rsidRPr="00D16509">
        <w:rPr>
          <w:rFonts w:ascii="Times New Roman" w:hAnsi="Times New Roman"/>
          <w:sz w:val="24"/>
          <w:szCs w:val="24"/>
        </w:rPr>
        <w:t xml:space="preserve"> order in its existing form.</w:t>
      </w:r>
      <w:r>
        <w:rPr>
          <w:rFonts w:ascii="Times New Roman" w:hAnsi="Times New Roman"/>
          <w:sz w:val="24"/>
          <w:szCs w:val="24"/>
        </w:rPr>
        <w:t xml:space="preserve">  </w:t>
      </w:r>
      <w:r w:rsidRPr="001217E9">
        <w:rPr>
          <w:rFonts w:ascii="Times New Roman" w:hAnsi="Times New Roman"/>
          <w:sz w:val="24"/>
          <w:szCs w:val="24"/>
        </w:rPr>
        <w:t xml:space="preserve">Similar arguments by the claimant in </w:t>
      </w:r>
      <w:r w:rsidRPr="001217E9">
        <w:rPr>
          <w:rFonts w:ascii="Times New Roman" w:hAnsi="Times New Roman"/>
          <w:i/>
          <w:sz w:val="24"/>
          <w:szCs w:val="24"/>
        </w:rPr>
        <w:t xml:space="preserve">Donald v </w:t>
      </w:r>
      <w:proofErr w:type="spellStart"/>
      <w:r w:rsidRPr="001217E9">
        <w:rPr>
          <w:rFonts w:ascii="Times New Roman" w:hAnsi="Times New Roman"/>
          <w:i/>
          <w:sz w:val="24"/>
          <w:szCs w:val="24"/>
        </w:rPr>
        <w:t>Ntuli</w:t>
      </w:r>
      <w:proofErr w:type="spellEnd"/>
      <w:r w:rsidRPr="001217E9">
        <w:rPr>
          <w:rFonts w:ascii="Times New Roman" w:hAnsi="Times New Roman"/>
          <w:sz w:val="24"/>
          <w:szCs w:val="24"/>
        </w:rPr>
        <w:t xml:space="preserve"> were rejected by the Court of Appeal </w:t>
      </w:r>
      <w:r w:rsidR="00234370">
        <w:rPr>
          <w:rFonts w:ascii="Times New Roman" w:hAnsi="Times New Roman"/>
          <w:sz w:val="24"/>
          <w:szCs w:val="24"/>
        </w:rPr>
        <w:t xml:space="preserve">as </w:t>
      </w:r>
      <w:r w:rsidRPr="001217E9">
        <w:rPr>
          <w:rFonts w:ascii="Times New Roman" w:hAnsi="Times New Roman"/>
          <w:sz w:val="24"/>
          <w:szCs w:val="24"/>
        </w:rPr>
        <w:t xml:space="preserve">‘unpersuasive’ as </w:t>
      </w:r>
      <w:r>
        <w:rPr>
          <w:rFonts w:ascii="Times New Roman" w:hAnsi="Times New Roman"/>
          <w:sz w:val="24"/>
          <w:szCs w:val="24"/>
        </w:rPr>
        <w:t xml:space="preserve">an </w:t>
      </w:r>
      <w:r w:rsidRPr="001217E9">
        <w:rPr>
          <w:rFonts w:ascii="Times New Roman" w:hAnsi="Times New Roman"/>
          <w:sz w:val="24"/>
          <w:szCs w:val="24"/>
        </w:rPr>
        <w:t>a</w:t>
      </w:r>
      <w:r w:rsidRPr="00A37488">
        <w:rPr>
          <w:rFonts w:ascii="Times New Roman" w:hAnsi="Times New Roman"/>
          <w:sz w:val="24"/>
          <w:szCs w:val="24"/>
        </w:rPr>
        <w:t xml:space="preserve">nonymity provision would provide </w:t>
      </w:r>
      <w:r>
        <w:rPr>
          <w:rFonts w:ascii="Times New Roman" w:hAnsi="Times New Roman"/>
          <w:sz w:val="24"/>
          <w:szCs w:val="24"/>
        </w:rPr>
        <w:t xml:space="preserve">adequate </w:t>
      </w:r>
      <w:r w:rsidRPr="00A37488">
        <w:rPr>
          <w:rFonts w:ascii="Times New Roman" w:hAnsi="Times New Roman"/>
          <w:sz w:val="24"/>
          <w:szCs w:val="24"/>
        </w:rPr>
        <w:t>protect</w:t>
      </w:r>
      <w:r w:rsidR="00234370">
        <w:rPr>
          <w:rFonts w:ascii="Times New Roman" w:hAnsi="Times New Roman"/>
          <w:sz w:val="24"/>
          <w:szCs w:val="24"/>
        </w:rPr>
        <w:t>ion against such identification.</w:t>
      </w:r>
      <w:r w:rsidRPr="00A37488">
        <w:rPr>
          <w:rStyle w:val="FootnoteReference"/>
          <w:rFonts w:ascii="Times New Roman" w:hAnsi="Times New Roman"/>
          <w:sz w:val="24"/>
          <w:szCs w:val="24"/>
        </w:rPr>
        <w:footnoteReference w:id="75"/>
      </w:r>
      <w:r w:rsidRPr="00A37488">
        <w:rPr>
          <w:rFonts w:ascii="Times New Roman" w:hAnsi="Times New Roman"/>
          <w:sz w:val="24"/>
          <w:szCs w:val="24"/>
        </w:rPr>
        <w:t xml:space="preserve"> </w:t>
      </w:r>
    </w:p>
    <w:p w:rsidR="00CD705C" w:rsidRDefault="00CD705C" w:rsidP="00CD705C">
      <w:pPr>
        <w:spacing w:after="0" w:line="240" w:lineRule="auto"/>
        <w:rPr>
          <w:rFonts w:ascii="Times New Roman" w:hAnsi="Times New Roman"/>
          <w:b/>
          <w:sz w:val="24"/>
          <w:szCs w:val="24"/>
        </w:rPr>
      </w:pPr>
    </w:p>
    <w:p w:rsidR="00690451" w:rsidRDefault="00690451" w:rsidP="00CD705C">
      <w:pPr>
        <w:spacing w:after="0" w:line="240" w:lineRule="auto"/>
        <w:rPr>
          <w:rFonts w:ascii="Times New Roman" w:hAnsi="Times New Roman"/>
          <w:b/>
          <w:i/>
          <w:sz w:val="24"/>
          <w:szCs w:val="24"/>
          <w:u w:val="single"/>
        </w:rPr>
      </w:pPr>
    </w:p>
    <w:p w:rsidR="00CD705C" w:rsidRPr="00690451" w:rsidRDefault="00CD705C" w:rsidP="00CD705C">
      <w:pPr>
        <w:spacing w:after="0" w:line="240" w:lineRule="auto"/>
        <w:rPr>
          <w:rFonts w:ascii="Times New Roman" w:hAnsi="Times New Roman"/>
          <w:i/>
          <w:sz w:val="24"/>
          <w:szCs w:val="24"/>
          <w:u w:val="single"/>
        </w:rPr>
      </w:pPr>
      <w:r w:rsidRPr="00690451">
        <w:rPr>
          <w:rFonts w:ascii="Times New Roman" w:hAnsi="Times New Roman"/>
          <w:i/>
          <w:sz w:val="24"/>
          <w:szCs w:val="24"/>
          <w:u w:val="single"/>
        </w:rPr>
        <w:t>Avoiding the Jigsaw; Anonymise or Restrict Facts?</w:t>
      </w:r>
    </w:p>
    <w:p w:rsidR="004A5BDA" w:rsidRDefault="00CD705C" w:rsidP="004A5BDA">
      <w:pPr>
        <w:spacing w:after="0" w:line="240" w:lineRule="auto"/>
        <w:jc w:val="both"/>
        <w:rPr>
          <w:rFonts w:ascii="Times New Roman" w:hAnsi="Times New Roman"/>
          <w:sz w:val="24"/>
          <w:szCs w:val="24"/>
        </w:rPr>
      </w:pPr>
      <w:r w:rsidRPr="009E3617">
        <w:rPr>
          <w:rFonts w:ascii="Times New Roman" w:hAnsi="Times New Roman"/>
          <w:sz w:val="24"/>
          <w:szCs w:val="24"/>
        </w:rPr>
        <w:t>Another series of cases illustrate</w:t>
      </w:r>
      <w:r w:rsidR="00002AF4">
        <w:rPr>
          <w:rFonts w:ascii="Times New Roman" w:hAnsi="Times New Roman"/>
          <w:sz w:val="24"/>
          <w:szCs w:val="24"/>
        </w:rPr>
        <w:t>s</w:t>
      </w:r>
      <w:r w:rsidRPr="009E3617">
        <w:rPr>
          <w:rFonts w:ascii="Times New Roman" w:hAnsi="Times New Roman"/>
          <w:sz w:val="24"/>
          <w:szCs w:val="24"/>
        </w:rPr>
        <w:t xml:space="preserve"> the courts trying to decide whether a claimant’s privacy is best served by protecting his identity </w:t>
      </w:r>
      <w:r w:rsidRPr="009E3617">
        <w:rPr>
          <w:rFonts w:ascii="Times New Roman" w:hAnsi="Times New Roman"/>
          <w:i/>
          <w:sz w:val="24"/>
          <w:szCs w:val="24"/>
        </w:rPr>
        <w:t>or</w:t>
      </w:r>
      <w:r w:rsidRPr="009E3617">
        <w:rPr>
          <w:rFonts w:ascii="Times New Roman" w:hAnsi="Times New Roman"/>
          <w:sz w:val="24"/>
          <w:szCs w:val="24"/>
        </w:rPr>
        <w:t xml:space="preserve"> by restraining publication of </w:t>
      </w:r>
      <w:r w:rsidR="007535EC" w:rsidRPr="009E3617">
        <w:rPr>
          <w:rFonts w:ascii="Times New Roman" w:hAnsi="Times New Roman"/>
          <w:sz w:val="24"/>
          <w:szCs w:val="24"/>
        </w:rPr>
        <w:t xml:space="preserve">the </w:t>
      </w:r>
      <w:r w:rsidRPr="009E3617">
        <w:rPr>
          <w:rFonts w:ascii="Times New Roman" w:hAnsi="Times New Roman"/>
          <w:sz w:val="24"/>
          <w:szCs w:val="24"/>
        </w:rPr>
        <w:t>details of a</w:t>
      </w:r>
      <w:r w:rsidR="007535EC" w:rsidRPr="009E3617">
        <w:rPr>
          <w:rFonts w:ascii="Times New Roman" w:hAnsi="Times New Roman"/>
          <w:sz w:val="24"/>
          <w:szCs w:val="24"/>
        </w:rPr>
        <w:t xml:space="preserve"> dispute</w:t>
      </w:r>
      <w:r w:rsidRPr="009E3617">
        <w:rPr>
          <w:rFonts w:ascii="Times New Roman" w:hAnsi="Times New Roman"/>
          <w:sz w:val="24"/>
          <w:szCs w:val="24"/>
        </w:rPr>
        <w:t>.</w:t>
      </w:r>
      <w:r w:rsidR="009E3617" w:rsidRPr="009E3617">
        <w:rPr>
          <w:rFonts w:ascii="Times New Roman" w:hAnsi="Times New Roman"/>
          <w:sz w:val="24"/>
          <w:szCs w:val="24"/>
        </w:rPr>
        <w:t xml:space="preserve">  </w:t>
      </w:r>
      <w:r w:rsidRPr="009E3617">
        <w:rPr>
          <w:rFonts w:ascii="Times New Roman" w:hAnsi="Times New Roman"/>
          <w:sz w:val="24"/>
          <w:szCs w:val="24"/>
        </w:rPr>
        <w:t>It should be noted that, in any event, information such as intimate details of sexual activity and photograph</w:t>
      </w:r>
      <w:r w:rsidR="009E3617" w:rsidRPr="009E3617">
        <w:rPr>
          <w:rFonts w:ascii="Times New Roman" w:hAnsi="Times New Roman"/>
          <w:sz w:val="24"/>
          <w:szCs w:val="24"/>
        </w:rPr>
        <w:t>s</w:t>
      </w:r>
      <w:r w:rsidRPr="009E3617">
        <w:rPr>
          <w:rFonts w:ascii="Times New Roman" w:hAnsi="Times New Roman"/>
          <w:sz w:val="24"/>
          <w:szCs w:val="24"/>
        </w:rPr>
        <w:t xml:space="preserve"> are viewed as particularly intrusive and will invariably be restricted irrespective of the parties’ </w:t>
      </w:r>
      <w:proofErr w:type="spellStart"/>
      <w:r w:rsidRPr="009E3617">
        <w:rPr>
          <w:rFonts w:ascii="Times New Roman" w:hAnsi="Times New Roman"/>
          <w:sz w:val="24"/>
          <w:szCs w:val="24"/>
        </w:rPr>
        <w:t>anonymisation</w:t>
      </w:r>
      <w:proofErr w:type="spellEnd"/>
      <w:r w:rsidRPr="009E3617">
        <w:rPr>
          <w:rFonts w:ascii="Times New Roman" w:hAnsi="Times New Roman"/>
          <w:sz w:val="24"/>
          <w:szCs w:val="24"/>
        </w:rPr>
        <w:t>.</w:t>
      </w:r>
      <w:r w:rsidRPr="009E3617">
        <w:rPr>
          <w:rStyle w:val="FootnoteReference"/>
          <w:rFonts w:ascii="Times New Roman" w:hAnsi="Times New Roman"/>
          <w:sz w:val="24"/>
          <w:szCs w:val="24"/>
        </w:rPr>
        <w:footnoteReference w:id="76"/>
      </w:r>
      <w:r w:rsidRPr="009E3617">
        <w:rPr>
          <w:rFonts w:ascii="Times New Roman" w:hAnsi="Times New Roman"/>
          <w:sz w:val="24"/>
          <w:szCs w:val="24"/>
        </w:rPr>
        <w:t xml:space="preserve">  But many MPI disputes involve splitting stories into ‘discrete </w:t>
      </w:r>
      <w:r w:rsidRPr="00002AF4">
        <w:rPr>
          <w:rFonts w:ascii="Times New Roman" w:hAnsi="Times New Roman"/>
          <w:sz w:val="24"/>
          <w:szCs w:val="24"/>
        </w:rPr>
        <w:t>parts’ and undertaking the balancing exe</w:t>
      </w:r>
      <w:r w:rsidR="004A5BDA" w:rsidRPr="00002AF4">
        <w:rPr>
          <w:rFonts w:ascii="Times New Roman" w:hAnsi="Times New Roman"/>
          <w:sz w:val="24"/>
          <w:szCs w:val="24"/>
        </w:rPr>
        <w:t>rcise in relation to each one</w:t>
      </w:r>
      <w:r w:rsidRPr="00002AF4">
        <w:rPr>
          <w:rFonts w:ascii="Times New Roman" w:hAnsi="Times New Roman"/>
          <w:sz w:val="24"/>
          <w:szCs w:val="24"/>
        </w:rPr>
        <w:t xml:space="preserve"> to decide which parts are protectable.</w:t>
      </w:r>
      <w:r w:rsidR="00FA62E7" w:rsidRPr="00002AF4">
        <w:rPr>
          <w:rFonts w:ascii="Times New Roman" w:hAnsi="Times New Roman"/>
          <w:sz w:val="24"/>
          <w:szCs w:val="24"/>
        </w:rPr>
        <w:t xml:space="preserve">  </w:t>
      </w:r>
      <w:r w:rsidR="009E3617" w:rsidRPr="00002AF4">
        <w:rPr>
          <w:rFonts w:ascii="Times New Roman" w:hAnsi="Times New Roman"/>
          <w:sz w:val="24"/>
          <w:szCs w:val="24"/>
        </w:rPr>
        <w:t xml:space="preserve">Some cases indicate </w:t>
      </w:r>
      <w:r w:rsidR="00702908" w:rsidRPr="00002AF4">
        <w:rPr>
          <w:rFonts w:ascii="Times New Roman" w:hAnsi="Times New Roman"/>
          <w:sz w:val="24"/>
          <w:szCs w:val="24"/>
        </w:rPr>
        <w:t xml:space="preserve">that the publication of </w:t>
      </w:r>
      <w:r w:rsidR="004D0895" w:rsidRPr="00002AF4">
        <w:rPr>
          <w:rFonts w:ascii="Times New Roman" w:hAnsi="Times New Roman"/>
          <w:sz w:val="24"/>
          <w:szCs w:val="24"/>
        </w:rPr>
        <w:t xml:space="preserve">certain </w:t>
      </w:r>
      <w:r w:rsidR="009E3617" w:rsidRPr="00002AF4">
        <w:rPr>
          <w:rFonts w:ascii="Times New Roman" w:hAnsi="Times New Roman"/>
          <w:sz w:val="24"/>
          <w:szCs w:val="24"/>
        </w:rPr>
        <w:t>facts</w:t>
      </w:r>
      <w:r w:rsidR="004D0895" w:rsidRPr="00002AF4">
        <w:rPr>
          <w:rFonts w:ascii="Times New Roman" w:hAnsi="Times New Roman"/>
          <w:sz w:val="24"/>
          <w:szCs w:val="24"/>
        </w:rPr>
        <w:t>, such as marital status</w:t>
      </w:r>
      <w:r w:rsidR="004D0895" w:rsidRPr="00002AF4">
        <w:rPr>
          <w:rStyle w:val="FootnoteReference"/>
          <w:rFonts w:ascii="Times New Roman" w:hAnsi="Times New Roman"/>
          <w:sz w:val="24"/>
          <w:szCs w:val="24"/>
        </w:rPr>
        <w:footnoteReference w:id="77"/>
      </w:r>
      <w:r w:rsidR="004D0895" w:rsidRPr="00002AF4">
        <w:rPr>
          <w:rFonts w:ascii="Times New Roman" w:hAnsi="Times New Roman"/>
          <w:sz w:val="24"/>
          <w:szCs w:val="24"/>
        </w:rPr>
        <w:t xml:space="preserve"> or job description</w:t>
      </w:r>
      <w:r w:rsidR="002F4506" w:rsidRPr="00002AF4">
        <w:rPr>
          <w:rStyle w:val="FootnoteReference"/>
          <w:rFonts w:ascii="Times New Roman" w:hAnsi="Times New Roman"/>
          <w:sz w:val="24"/>
          <w:szCs w:val="24"/>
        </w:rPr>
        <w:footnoteReference w:id="78"/>
      </w:r>
      <w:r w:rsidR="00702908" w:rsidRPr="00002AF4">
        <w:rPr>
          <w:rFonts w:ascii="Times New Roman" w:hAnsi="Times New Roman"/>
          <w:sz w:val="24"/>
          <w:szCs w:val="24"/>
        </w:rPr>
        <w:t xml:space="preserve"> may be </w:t>
      </w:r>
      <w:r w:rsidR="009E3617" w:rsidRPr="00002AF4">
        <w:rPr>
          <w:rFonts w:ascii="Times New Roman" w:hAnsi="Times New Roman"/>
          <w:sz w:val="24"/>
          <w:szCs w:val="24"/>
        </w:rPr>
        <w:t xml:space="preserve">disputed </w:t>
      </w:r>
      <w:r w:rsidR="00002AF4" w:rsidRPr="00002AF4">
        <w:rPr>
          <w:rFonts w:ascii="Times New Roman" w:hAnsi="Times New Roman"/>
          <w:sz w:val="24"/>
          <w:szCs w:val="24"/>
        </w:rPr>
        <w:t xml:space="preserve">by claimants </w:t>
      </w:r>
      <w:r w:rsidR="009E3617" w:rsidRPr="00002AF4">
        <w:rPr>
          <w:rFonts w:ascii="Times New Roman" w:hAnsi="Times New Roman"/>
          <w:sz w:val="24"/>
          <w:szCs w:val="24"/>
        </w:rPr>
        <w:t xml:space="preserve">where such facts </w:t>
      </w:r>
      <w:r w:rsidR="00702908" w:rsidRPr="00002AF4">
        <w:rPr>
          <w:rFonts w:ascii="Times New Roman" w:hAnsi="Times New Roman"/>
          <w:sz w:val="24"/>
          <w:szCs w:val="24"/>
        </w:rPr>
        <w:t>c</w:t>
      </w:r>
      <w:r w:rsidR="009E3617" w:rsidRPr="00002AF4">
        <w:rPr>
          <w:rFonts w:ascii="Times New Roman" w:hAnsi="Times New Roman"/>
          <w:sz w:val="24"/>
          <w:szCs w:val="24"/>
        </w:rPr>
        <w:t>oul</w:t>
      </w:r>
      <w:r w:rsidR="00702908" w:rsidRPr="00002AF4">
        <w:rPr>
          <w:rFonts w:ascii="Times New Roman" w:hAnsi="Times New Roman"/>
          <w:sz w:val="24"/>
          <w:szCs w:val="24"/>
        </w:rPr>
        <w:t xml:space="preserve">d potentially </w:t>
      </w:r>
      <w:r w:rsidR="00EC273A" w:rsidRPr="00002AF4">
        <w:rPr>
          <w:rFonts w:ascii="Times New Roman" w:hAnsi="Times New Roman"/>
          <w:sz w:val="24"/>
          <w:szCs w:val="24"/>
        </w:rPr>
        <w:t>facilitate</w:t>
      </w:r>
      <w:r w:rsidR="009E3617" w:rsidRPr="00002AF4">
        <w:rPr>
          <w:rFonts w:ascii="Times New Roman" w:hAnsi="Times New Roman"/>
          <w:sz w:val="24"/>
          <w:szCs w:val="24"/>
        </w:rPr>
        <w:t xml:space="preserve"> the process</w:t>
      </w:r>
      <w:r w:rsidR="00F02A8D" w:rsidRPr="00002AF4">
        <w:rPr>
          <w:rFonts w:ascii="Times New Roman" w:hAnsi="Times New Roman"/>
          <w:sz w:val="24"/>
          <w:szCs w:val="24"/>
        </w:rPr>
        <w:t xml:space="preserve"> of </w:t>
      </w:r>
      <w:r w:rsidR="004D0895" w:rsidRPr="00002AF4">
        <w:rPr>
          <w:rFonts w:ascii="Times New Roman" w:hAnsi="Times New Roman"/>
          <w:sz w:val="24"/>
          <w:szCs w:val="24"/>
        </w:rPr>
        <w:t>jigsaw identification.</w:t>
      </w:r>
      <w:r w:rsidR="00002AF4" w:rsidRPr="00002AF4">
        <w:rPr>
          <w:rFonts w:ascii="Times New Roman" w:hAnsi="Times New Roman"/>
          <w:sz w:val="24"/>
          <w:szCs w:val="24"/>
        </w:rPr>
        <w:t xml:space="preserve">  However, the court</w:t>
      </w:r>
      <w:r w:rsidR="004A5BDA" w:rsidRPr="00002AF4">
        <w:rPr>
          <w:rFonts w:ascii="Times New Roman" w:hAnsi="Times New Roman"/>
          <w:sz w:val="24"/>
          <w:szCs w:val="24"/>
        </w:rPr>
        <w:t xml:space="preserve"> </w:t>
      </w:r>
      <w:r w:rsidR="00002AF4">
        <w:rPr>
          <w:rFonts w:ascii="Times New Roman" w:hAnsi="Times New Roman"/>
          <w:sz w:val="24"/>
          <w:szCs w:val="24"/>
        </w:rPr>
        <w:t>may decide</w:t>
      </w:r>
      <w:r w:rsidR="004A5BDA" w:rsidRPr="006739A2">
        <w:rPr>
          <w:rFonts w:ascii="Times New Roman" w:hAnsi="Times New Roman"/>
          <w:sz w:val="24"/>
          <w:szCs w:val="24"/>
        </w:rPr>
        <w:t xml:space="preserve"> that an outline of dispute can be provided alongside naming the claimant </w:t>
      </w:r>
      <w:r w:rsidR="004A5BDA">
        <w:rPr>
          <w:rFonts w:ascii="Times New Roman" w:hAnsi="Times New Roman"/>
          <w:sz w:val="24"/>
          <w:szCs w:val="24"/>
        </w:rPr>
        <w:t xml:space="preserve">if </w:t>
      </w:r>
      <w:r w:rsidR="004A5BDA" w:rsidRPr="006739A2">
        <w:rPr>
          <w:rFonts w:ascii="Times New Roman" w:hAnsi="Times New Roman"/>
          <w:sz w:val="24"/>
          <w:szCs w:val="24"/>
        </w:rPr>
        <w:t>providing both will not compromise the s</w:t>
      </w:r>
      <w:r w:rsidR="00002AF4">
        <w:rPr>
          <w:rFonts w:ascii="Times New Roman" w:hAnsi="Times New Roman"/>
          <w:sz w:val="24"/>
          <w:szCs w:val="24"/>
        </w:rPr>
        <w:t>pecifically private information.</w:t>
      </w:r>
      <w:r w:rsidR="004A5BDA" w:rsidRPr="006739A2">
        <w:rPr>
          <w:rStyle w:val="FootnoteReference"/>
          <w:rFonts w:ascii="Times New Roman" w:hAnsi="Times New Roman"/>
          <w:sz w:val="24"/>
          <w:szCs w:val="24"/>
        </w:rPr>
        <w:footnoteReference w:id="79"/>
      </w:r>
      <w:r w:rsidR="004A5BDA" w:rsidRPr="006739A2">
        <w:rPr>
          <w:rFonts w:ascii="Times New Roman" w:hAnsi="Times New Roman"/>
          <w:sz w:val="24"/>
          <w:szCs w:val="24"/>
        </w:rPr>
        <w:t xml:space="preserve"> </w:t>
      </w:r>
    </w:p>
    <w:p w:rsidR="00CD705C" w:rsidRDefault="00CD705C" w:rsidP="00CD705C">
      <w:pPr>
        <w:spacing w:after="0" w:line="240" w:lineRule="auto"/>
        <w:jc w:val="both"/>
        <w:rPr>
          <w:rFonts w:ascii="Times New Roman" w:hAnsi="Times New Roman"/>
          <w:color w:val="FF0000"/>
          <w:sz w:val="24"/>
          <w:szCs w:val="24"/>
        </w:rPr>
      </w:pPr>
    </w:p>
    <w:p w:rsidR="00CD705C" w:rsidRPr="00FF7C02" w:rsidRDefault="00CD705C" w:rsidP="00CD705C">
      <w:pPr>
        <w:spacing w:after="0" w:line="240" w:lineRule="auto"/>
        <w:jc w:val="both"/>
        <w:rPr>
          <w:rFonts w:ascii="Times New Roman" w:hAnsi="Times New Roman"/>
          <w:sz w:val="24"/>
          <w:szCs w:val="24"/>
        </w:rPr>
      </w:pPr>
      <w:r w:rsidRPr="007037C8">
        <w:rPr>
          <w:rFonts w:ascii="Times New Roman" w:hAnsi="Times New Roman"/>
          <w:sz w:val="24"/>
          <w:szCs w:val="24"/>
        </w:rPr>
        <w:t xml:space="preserve">The potential approaches were considered in </w:t>
      </w:r>
      <w:r w:rsidRPr="006633A2">
        <w:rPr>
          <w:rFonts w:ascii="Times New Roman" w:hAnsi="Times New Roman"/>
          <w:i/>
          <w:sz w:val="24"/>
          <w:szCs w:val="24"/>
        </w:rPr>
        <w:t>JIH</w:t>
      </w:r>
      <w:r w:rsidRPr="007037C8">
        <w:rPr>
          <w:rFonts w:ascii="Times New Roman" w:hAnsi="Times New Roman"/>
          <w:sz w:val="24"/>
          <w:szCs w:val="24"/>
        </w:rPr>
        <w:t>.  The claimant argued that the court could either allow the nature of the disputed information to be discl</w:t>
      </w:r>
      <w:r w:rsidR="00AF2555">
        <w:rPr>
          <w:rFonts w:ascii="Times New Roman" w:hAnsi="Times New Roman"/>
          <w:sz w:val="24"/>
          <w:szCs w:val="24"/>
        </w:rPr>
        <w:t>osed and anonymise the claimant</w:t>
      </w:r>
      <w:r w:rsidRPr="007037C8">
        <w:rPr>
          <w:rFonts w:ascii="Times New Roman" w:hAnsi="Times New Roman"/>
          <w:sz w:val="24"/>
          <w:szCs w:val="24"/>
        </w:rPr>
        <w:t xml:space="preserve"> </w:t>
      </w:r>
      <w:r w:rsidRPr="00AF2555">
        <w:rPr>
          <w:rFonts w:ascii="Times New Roman" w:hAnsi="Times New Roman"/>
          <w:i/>
          <w:sz w:val="24"/>
          <w:szCs w:val="24"/>
        </w:rPr>
        <w:t xml:space="preserve">or </w:t>
      </w:r>
      <w:r w:rsidRPr="007037C8">
        <w:rPr>
          <w:rFonts w:ascii="Times New Roman" w:hAnsi="Times New Roman"/>
          <w:sz w:val="24"/>
          <w:szCs w:val="24"/>
        </w:rPr>
        <w:t>it could order the claimant to be named and restrict identificat</w:t>
      </w:r>
      <w:r>
        <w:rPr>
          <w:rFonts w:ascii="Times New Roman" w:hAnsi="Times New Roman"/>
          <w:sz w:val="24"/>
          <w:szCs w:val="24"/>
        </w:rPr>
        <w:t>ion of the disputed information.</w:t>
      </w:r>
      <w:r w:rsidRPr="007037C8">
        <w:rPr>
          <w:rStyle w:val="FootnoteReference"/>
          <w:rFonts w:ascii="Times New Roman" w:hAnsi="Times New Roman"/>
          <w:sz w:val="24"/>
          <w:szCs w:val="24"/>
        </w:rPr>
        <w:footnoteReference w:id="80"/>
      </w:r>
      <w:r w:rsidR="00582082">
        <w:rPr>
          <w:rFonts w:ascii="Times New Roman" w:hAnsi="Times New Roman"/>
          <w:sz w:val="24"/>
          <w:szCs w:val="24"/>
        </w:rPr>
        <w:t xml:space="preserve">  </w:t>
      </w:r>
      <w:r w:rsidRPr="00ED5E98">
        <w:rPr>
          <w:rFonts w:ascii="Times New Roman" w:hAnsi="Times New Roman"/>
          <w:sz w:val="24"/>
          <w:szCs w:val="24"/>
        </w:rPr>
        <w:t>The Court of Appeal broadly accepted the binary choice discussed by the parties</w:t>
      </w:r>
      <w:r w:rsidRPr="00ED5E98">
        <w:rPr>
          <w:rStyle w:val="FootnoteReference"/>
          <w:rFonts w:ascii="Times New Roman" w:hAnsi="Times New Roman"/>
          <w:sz w:val="24"/>
          <w:szCs w:val="24"/>
        </w:rPr>
        <w:footnoteReference w:id="81"/>
      </w:r>
      <w:r w:rsidRPr="00ED5E98">
        <w:rPr>
          <w:rFonts w:ascii="Times New Roman" w:hAnsi="Times New Roman"/>
          <w:sz w:val="24"/>
          <w:szCs w:val="24"/>
        </w:rPr>
        <w:t xml:space="preserve"> </w:t>
      </w:r>
      <w:r w:rsidR="00582082">
        <w:rPr>
          <w:rFonts w:ascii="Times New Roman" w:hAnsi="Times New Roman"/>
          <w:sz w:val="24"/>
          <w:szCs w:val="24"/>
        </w:rPr>
        <w:t xml:space="preserve">and </w:t>
      </w:r>
      <w:r w:rsidRPr="00ED5E98">
        <w:rPr>
          <w:rFonts w:ascii="Times New Roman" w:hAnsi="Times New Roman"/>
          <w:sz w:val="24"/>
          <w:szCs w:val="24"/>
        </w:rPr>
        <w:t>concluded that JIH should retain anonymity and that general information about the disputed material should be published in the judgment.</w:t>
      </w:r>
      <w:r w:rsidRPr="00ED5E98">
        <w:rPr>
          <w:rStyle w:val="FootnoteReference"/>
          <w:rFonts w:ascii="Times New Roman" w:hAnsi="Times New Roman"/>
          <w:sz w:val="24"/>
          <w:szCs w:val="24"/>
        </w:rPr>
        <w:footnoteReference w:id="82"/>
      </w:r>
      <w:r w:rsidRPr="00ED5E98">
        <w:rPr>
          <w:rFonts w:ascii="Times New Roman" w:hAnsi="Times New Roman"/>
          <w:sz w:val="24"/>
          <w:szCs w:val="24"/>
        </w:rPr>
        <w:t xml:space="preserve">  It therefore provided an outline of the dispute confirming (the now rather familiar narrative) that the claimant was a well-known sportsman who had a liaison with ‘ZZ’ whilst he was in another relationship and sought to prohibit publication of  information that ‘ZZ’ had provided to The Sun.</w:t>
      </w:r>
      <w:r>
        <w:rPr>
          <w:rFonts w:ascii="Times New Roman" w:hAnsi="Times New Roman"/>
          <w:sz w:val="24"/>
          <w:szCs w:val="24"/>
        </w:rPr>
        <w:t xml:space="preserve">  </w:t>
      </w:r>
      <w:r w:rsidRPr="006A47B3">
        <w:rPr>
          <w:rFonts w:ascii="Times New Roman" w:hAnsi="Times New Roman"/>
          <w:sz w:val="24"/>
          <w:szCs w:val="24"/>
        </w:rPr>
        <w:t xml:space="preserve">The court suggested that </w:t>
      </w:r>
      <w:r>
        <w:rPr>
          <w:rFonts w:ascii="Times New Roman" w:hAnsi="Times New Roman"/>
          <w:sz w:val="24"/>
          <w:szCs w:val="24"/>
        </w:rPr>
        <w:t>t</w:t>
      </w:r>
      <w:r w:rsidRPr="006A47B3">
        <w:rPr>
          <w:rFonts w:ascii="Times New Roman" w:hAnsi="Times New Roman"/>
          <w:sz w:val="24"/>
          <w:szCs w:val="24"/>
        </w:rPr>
        <w:t xml:space="preserve">he public interest would be better served by outlining the facts of the dispute to help the public to better </w:t>
      </w:r>
      <w:r w:rsidRPr="00FC13AB">
        <w:rPr>
          <w:rFonts w:ascii="Times New Roman" w:hAnsi="Times New Roman"/>
          <w:sz w:val="24"/>
          <w:szCs w:val="24"/>
        </w:rPr>
        <w:t xml:space="preserve">understand the reasons for such decisions and address concerns </w:t>
      </w:r>
      <w:r w:rsidRPr="00FC13AB">
        <w:rPr>
          <w:rFonts w:ascii="Times New Roman" w:hAnsi="Times New Roman"/>
          <w:sz w:val="24"/>
          <w:szCs w:val="24"/>
        </w:rPr>
        <w:lastRenderedPageBreak/>
        <w:t>about the rise of such orders.</w:t>
      </w:r>
      <w:r w:rsidRPr="00FC13AB">
        <w:rPr>
          <w:rStyle w:val="FootnoteReference"/>
          <w:rFonts w:ascii="Times New Roman" w:hAnsi="Times New Roman"/>
          <w:sz w:val="24"/>
          <w:szCs w:val="24"/>
        </w:rPr>
        <w:footnoteReference w:id="83"/>
      </w:r>
      <w:r w:rsidR="0085297B" w:rsidRPr="00FC13AB">
        <w:rPr>
          <w:rFonts w:ascii="Times New Roman" w:hAnsi="Times New Roman"/>
          <w:sz w:val="24"/>
          <w:szCs w:val="24"/>
        </w:rPr>
        <w:t xml:space="preserve">  It </w:t>
      </w:r>
      <w:r w:rsidRPr="00FC13AB">
        <w:rPr>
          <w:rFonts w:ascii="Times New Roman" w:hAnsi="Times New Roman"/>
          <w:sz w:val="24"/>
          <w:szCs w:val="24"/>
        </w:rPr>
        <w:t>acknowledged that anonymization risked ‘</w:t>
      </w:r>
      <w:r w:rsidRPr="00FC13AB">
        <w:rPr>
          <w:rFonts w:ascii="Times New Roman" w:hAnsi="Times New Roman"/>
          <w:b/>
          <w:sz w:val="24"/>
          <w:szCs w:val="24"/>
        </w:rPr>
        <w:t>unintentionally</w:t>
      </w:r>
      <w:r w:rsidRPr="00FC13AB">
        <w:rPr>
          <w:rFonts w:ascii="Times New Roman" w:hAnsi="Times New Roman"/>
          <w:sz w:val="24"/>
          <w:szCs w:val="24"/>
        </w:rPr>
        <w:t xml:space="preserve"> encouraging’ attention and rumour about third parties, but identifying the claimant was ‘more likely’ to result in speculation or deduction about what kind of information he was trying to supress.  </w:t>
      </w:r>
      <w:r w:rsidR="002A35EE">
        <w:rPr>
          <w:rFonts w:ascii="Times New Roman" w:hAnsi="Times New Roman"/>
          <w:sz w:val="24"/>
          <w:szCs w:val="24"/>
        </w:rPr>
        <w:t>I</w:t>
      </w:r>
      <w:r w:rsidRPr="00FC13AB">
        <w:rPr>
          <w:rFonts w:ascii="Times New Roman" w:hAnsi="Times New Roman"/>
          <w:sz w:val="24"/>
          <w:szCs w:val="24"/>
        </w:rPr>
        <w:t>t went on to say that ‘</w:t>
      </w:r>
      <w:r w:rsidRPr="00FC13AB">
        <w:rPr>
          <w:rFonts w:ascii="Times New Roman" w:hAnsi="Times New Roman"/>
          <w:i/>
          <w:sz w:val="24"/>
          <w:szCs w:val="24"/>
        </w:rPr>
        <w:t xml:space="preserve">such speculation </w:t>
      </w:r>
      <w:r w:rsidRPr="008677A2">
        <w:rPr>
          <w:rFonts w:ascii="Times New Roman" w:hAnsi="Times New Roman"/>
          <w:i/>
          <w:sz w:val="24"/>
          <w:szCs w:val="24"/>
        </w:rPr>
        <w:t xml:space="preserve">could be </w:t>
      </w:r>
      <w:r w:rsidRPr="008677A2">
        <w:rPr>
          <w:rFonts w:ascii="Times New Roman" w:hAnsi="Times New Roman"/>
          <w:b/>
          <w:i/>
          <w:sz w:val="24"/>
          <w:szCs w:val="24"/>
        </w:rPr>
        <w:t>even more damaging to JIH than if no injunction had been granted at all</w:t>
      </w:r>
      <w:r w:rsidRPr="008677A2">
        <w:rPr>
          <w:rFonts w:ascii="Times New Roman" w:hAnsi="Times New Roman"/>
          <w:sz w:val="24"/>
          <w:szCs w:val="24"/>
        </w:rPr>
        <w:t>.’</w:t>
      </w:r>
      <w:r w:rsidRPr="008677A2">
        <w:rPr>
          <w:rStyle w:val="FootnoteReference"/>
          <w:rFonts w:ascii="Times New Roman" w:hAnsi="Times New Roman"/>
          <w:sz w:val="24"/>
          <w:szCs w:val="24"/>
        </w:rPr>
        <w:footnoteReference w:id="84"/>
      </w:r>
      <w:r w:rsidRPr="008677A2">
        <w:rPr>
          <w:rFonts w:ascii="Times New Roman" w:hAnsi="Times New Roman"/>
          <w:sz w:val="24"/>
          <w:szCs w:val="24"/>
        </w:rPr>
        <w:t xml:space="preserve">  This </w:t>
      </w:r>
      <w:r w:rsidR="0085297B" w:rsidRPr="008677A2">
        <w:rPr>
          <w:rFonts w:ascii="Times New Roman" w:hAnsi="Times New Roman"/>
          <w:sz w:val="24"/>
          <w:szCs w:val="24"/>
        </w:rPr>
        <w:t xml:space="preserve">indicates </w:t>
      </w:r>
      <w:r w:rsidRPr="008677A2">
        <w:rPr>
          <w:rFonts w:ascii="Times New Roman" w:hAnsi="Times New Roman"/>
          <w:sz w:val="24"/>
          <w:szCs w:val="24"/>
        </w:rPr>
        <w:t xml:space="preserve">judicial </w:t>
      </w:r>
      <w:r w:rsidRPr="00FC13AB">
        <w:rPr>
          <w:rFonts w:ascii="Times New Roman" w:hAnsi="Times New Roman"/>
          <w:sz w:val="24"/>
          <w:szCs w:val="24"/>
        </w:rPr>
        <w:t>acceptance that such injunctions risk unintended (‘unintenti</w:t>
      </w:r>
      <w:r w:rsidR="000D0266" w:rsidRPr="00FC13AB">
        <w:rPr>
          <w:rFonts w:ascii="Times New Roman" w:hAnsi="Times New Roman"/>
          <w:sz w:val="24"/>
          <w:szCs w:val="24"/>
        </w:rPr>
        <w:t>onal’) effects.  The Court of Appeal</w:t>
      </w:r>
      <w:r w:rsidR="00D62A7F" w:rsidRPr="00FC13AB">
        <w:rPr>
          <w:rFonts w:ascii="Times New Roman" w:hAnsi="Times New Roman"/>
          <w:sz w:val="24"/>
          <w:szCs w:val="24"/>
        </w:rPr>
        <w:t xml:space="preserve"> seemed</w:t>
      </w:r>
      <w:r w:rsidRPr="00FC13AB">
        <w:rPr>
          <w:rFonts w:ascii="Times New Roman" w:hAnsi="Times New Roman"/>
          <w:sz w:val="24"/>
          <w:szCs w:val="24"/>
        </w:rPr>
        <w:t xml:space="preserve"> to accept that there will be public speculation in any event; whether this is exacerbated by or primarily due to litigation is left open.  But the implication is that people will be inclined </w:t>
      </w:r>
      <w:r>
        <w:rPr>
          <w:rFonts w:ascii="Times New Roman" w:hAnsi="Times New Roman"/>
          <w:sz w:val="24"/>
          <w:szCs w:val="24"/>
        </w:rPr>
        <w:t xml:space="preserve">to </w:t>
      </w:r>
      <w:r w:rsidRPr="00FF7C02">
        <w:rPr>
          <w:rFonts w:ascii="Times New Roman" w:hAnsi="Times New Roman"/>
          <w:sz w:val="24"/>
          <w:szCs w:val="24"/>
        </w:rPr>
        <w:t xml:space="preserve">fill the </w:t>
      </w:r>
      <w:r>
        <w:rPr>
          <w:rFonts w:ascii="Times New Roman" w:hAnsi="Times New Roman"/>
          <w:sz w:val="24"/>
          <w:szCs w:val="24"/>
        </w:rPr>
        <w:t>‘informational vacuum</w:t>
      </w:r>
      <w:r w:rsidRPr="00FF7C02">
        <w:rPr>
          <w:rFonts w:ascii="Times New Roman" w:hAnsi="Times New Roman"/>
          <w:sz w:val="24"/>
          <w:szCs w:val="24"/>
        </w:rPr>
        <w:t>’ produced by an injunction, whether a name or the general facts of a dispute</w:t>
      </w:r>
      <w:r>
        <w:rPr>
          <w:rFonts w:ascii="Times New Roman" w:hAnsi="Times New Roman"/>
          <w:sz w:val="24"/>
          <w:szCs w:val="24"/>
        </w:rPr>
        <w:t xml:space="preserve"> are</w:t>
      </w:r>
      <w:r w:rsidR="00D62A7F">
        <w:rPr>
          <w:rFonts w:ascii="Times New Roman" w:hAnsi="Times New Roman"/>
          <w:sz w:val="24"/>
          <w:szCs w:val="24"/>
        </w:rPr>
        <w:t xml:space="preserve"> restricted</w:t>
      </w:r>
      <w:r w:rsidRPr="00FF7C02">
        <w:rPr>
          <w:rFonts w:ascii="Times New Roman" w:hAnsi="Times New Roman"/>
          <w:sz w:val="24"/>
          <w:szCs w:val="24"/>
        </w:rPr>
        <w:t xml:space="preserve">.  </w:t>
      </w:r>
      <w:r>
        <w:rPr>
          <w:rFonts w:ascii="Times New Roman" w:hAnsi="Times New Roman"/>
          <w:sz w:val="24"/>
          <w:szCs w:val="24"/>
        </w:rPr>
        <w:t xml:space="preserve">The court </w:t>
      </w:r>
      <w:r w:rsidRPr="00FF7C02">
        <w:rPr>
          <w:rFonts w:ascii="Times New Roman" w:hAnsi="Times New Roman"/>
          <w:sz w:val="24"/>
          <w:szCs w:val="24"/>
        </w:rPr>
        <w:t>thus</w:t>
      </w:r>
      <w:r>
        <w:rPr>
          <w:rFonts w:ascii="Times New Roman" w:hAnsi="Times New Roman"/>
          <w:sz w:val="24"/>
          <w:szCs w:val="24"/>
        </w:rPr>
        <w:t xml:space="preserve"> saw it</w:t>
      </w:r>
      <w:r w:rsidR="00113EA6">
        <w:rPr>
          <w:rFonts w:ascii="Times New Roman" w:hAnsi="Times New Roman"/>
          <w:sz w:val="24"/>
          <w:szCs w:val="24"/>
        </w:rPr>
        <w:t>s</w:t>
      </w:r>
      <w:r>
        <w:rPr>
          <w:rFonts w:ascii="Times New Roman" w:hAnsi="Times New Roman"/>
          <w:sz w:val="24"/>
          <w:szCs w:val="24"/>
        </w:rPr>
        <w:t xml:space="preserve"> task as</w:t>
      </w:r>
      <w:r w:rsidRPr="00FF7C02">
        <w:rPr>
          <w:rFonts w:ascii="Times New Roman" w:hAnsi="Times New Roman"/>
          <w:sz w:val="24"/>
          <w:szCs w:val="24"/>
        </w:rPr>
        <w:t xml:space="preserve"> tailoring t</w:t>
      </w:r>
      <w:r w:rsidR="00C31264">
        <w:rPr>
          <w:rFonts w:ascii="Times New Roman" w:hAnsi="Times New Roman"/>
          <w:sz w:val="24"/>
          <w:szCs w:val="24"/>
        </w:rPr>
        <w:t xml:space="preserve">he injunction to try and manage or </w:t>
      </w:r>
      <w:r w:rsidRPr="00FF7C02">
        <w:rPr>
          <w:rFonts w:ascii="Times New Roman" w:hAnsi="Times New Roman"/>
          <w:sz w:val="24"/>
          <w:szCs w:val="24"/>
        </w:rPr>
        <w:t>minimise the (inevitable?) speculation and related possibility that elements of the story might be pieced together, thus undermining the privacy-protecting purpose of the injunction.</w:t>
      </w:r>
    </w:p>
    <w:p w:rsidR="00CD705C" w:rsidRDefault="00CD705C" w:rsidP="00CD705C">
      <w:pPr>
        <w:spacing w:after="0" w:line="240" w:lineRule="auto"/>
        <w:jc w:val="both"/>
        <w:rPr>
          <w:rFonts w:ascii="Times New Roman" w:hAnsi="Times New Roman"/>
          <w:sz w:val="24"/>
          <w:szCs w:val="24"/>
        </w:rPr>
      </w:pPr>
    </w:p>
    <w:p w:rsidR="00DC0502" w:rsidRPr="00EC25E7" w:rsidRDefault="00FC13AB" w:rsidP="00DC0502">
      <w:pPr>
        <w:pStyle w:val="NoSpacing"/>
        <w:jc w:val="both"/>
        <w:rPr>
          <w:rFonts w:ascii="Times New Roman" w:hAnsi="Times New Roman"/>
          <w:sz w:val="24"/>
          <w:szCs w:val="24"/>
        </w:rPr>
      </w:pPr>
      <w:r w:rsidRPr="00EC25E7">
        <w:rPr>
          <w:rFonts w:ascii="Times New Roman" w:hAnsi="Times New Roman"/>
          <w:sz w:val="24"/>
          <w:szCs w:val="24"/>
        </w:rPr>
        <w:t>So it seems that the partial info</w:t>
      </w:r>
      <w:r w:rsidR="00903BA2" w:rsidRPr="00EC25E7">
        <w:rPr>
          <w:rFonts w:ascii="Times New Roman" w:hAnsi="Times New Roman"/>
          <w:sz w:val="24"/>
          <w:szCs w:val="24"/>
        </w:rPr>
        <w:t>rmation concerning MPI cases which must be published to meet the requirements of</w:t>
      </w:r>
      <w:r w:rsidRPr="00EC25E7">
        <w:rPr>
          <w:rFonts w:ascii="Times New Roman" w:hAnsi="Times New Roman"/>
          <w:sz w:val="24"/>
          <w:szCs w:val="24"/>
        </w:rPr>
        <w:t xml:space="preserve"> open justice</w:t>
      </w:r>
      <w:r w:rsidR="00903BA2" w:rsidRPr="00EC25E7">
        <w:rPr>
          <w:rFonts w:ascii="Times New Roman" w:hAnsi="Times New Roman"/>
          <w:sz w:val="24"/>
          <w:szCs w:val="24"/>
        </w:rPr>
        <w:t xml:space="preserve"> </w:t>
      </w:r>
      <w:r w:rsidR="00C74C82" w:rsidRPr="00EC25E7">
        <w:rPr>
          <w:rFonts w:ascii="Times New Roman" w:hAnsi="Times New Roman"/>
          <w:sz w:val="24"/>
          <w:szCs w:val="24"/>
        </w:rPr>
        <w:t xml:space="preserve">may somehow </w:t>
      </w:r>
      <w:r w:rsidR="00CD4AEE" w:rsidRPr="00EC25E7">
        <w:rPr>
          <w:rFonts w:ascii="Times New Roman" w:hAnsi="Times New Roman"/>
          <w:sz w:val="24"/>
          <w:szCs w:val="24"/>
        </w:rPr>
        <w:t>contribute to speculation or cur</w:t>
      </w:r>
      <w:r w:rsidR="00C74C82" w:rsidRPr="00EC25E7">
        <w:rPr>
          <w:rFonts w:ascii="Times New Roman" w:hAnsi="Times New Roman"/>
          <w:sz w:val="24"/>
          <w:szCs w:val="24"/>
        </w:rPr>
        <w:t>iosity about the re</w:t>
      </w:r>
      <w:r w:rsidR="00903BA2" w:rsidRPr="00EC25E7">
        <w:rPr>
          <w:rFonts w:ascii="Times New Roman" w:hAnsi="Times New Roman"/>
          <w:sz w:val="24"/>
          <w:szCs w:val="24"/>
        </w:rPr>
        <w:t xml:space="preserve">stricted parts </w:t>
      </w:r>
      <w:r w:rsidR="00C74C82" w:rsidRPr="00EC25E7">
        <w:rPr>
          <w:rFonts w:ascii="Times New Roman" w:hAnsi="Times New Roman"/>
          <w:sz w:val="24"/>
          <w:szCs w:val="24"/>
        </w:rPr>
        <w:t>that remain</w:t>
      </w:r>
      <w:r w:rsidR="00903BA2" w:rsidRPr="00EC25E7">
        <w:rPr>
          <w:rFonts w:ascii="Times New Roman" w:hAnsi="Times New Roman"/>
          <w:sz w:val="24"/>
          <w:szCs w:val="24"/>
        </w:rPr>
        <w:t xml:space="preserve"> protected</w:t>
      </w:r>
      <w:r w:rsidR="00C74C82" w:rsidRPr="00EC25E7">
        <w:rPr>
          <w:rFonts w:ascii="Times New Roman" w:hAnsi="Times New Roman"/>
          <w:sz w:val="24"/>
          <w:szCs w:val="24"/>
        </w:rPr>
        <w:t>.  But, as noted</w:t>
      </w:r>
      <w:r w:rsidR="00903BA2" w:rsidRPr="00EC25E7">
        <w:rPr>
          <w:rFonts w:ascii="Times New Roman" w:hAnsi="Times New Roman"/>
          <w:sz w:val="24"/>
          <w:szCs w:val="24"/>
        </w:rPr>
        <w:t xml:space="preserve"> at Part 1.2</w:t>
      </w:r>
      <w:r w:rsidR="00C74C82" w:rsidRPr="00EC25E7">
        <w:rPr>
          <w:rFonts w:ascii="Times New Roman" w:hAnsi="Times New Roman"/>
          <w:sz w:val="24"/>
          <w:szCs w:val="24"/>
        </w:rPr>
        <w:t>, most MPI injunctions remain effective, with the unintended consequences cases proving to be anomalie</w:t>
      </w:r>
      <w:r w:rsidR="00903BA2" w:rsidRPr="00EC25E7">
        <w:rPr>
          <w:rFonts w:ascii="Times New Roman" w:hAnsi="Times New Roman"/>
          <w:sz w:val="24"/>
          <w:szCs w:val="24"/>
        </w:rPr>
        <w:t xml:space="preserve">s, albeit highly telling ones.  </w:t>
      </w:r>
      <w:r w:rsidR="00DC0502" w:rsidRPr="00EC25E7">
        <w:rPr>
          <w:rFonts w:ascii="Times New Roman" w:hAnsi="Times New Roman"/>
          <w:sz w:val="24"/>
          <w:szCs w:val="24"/>
        </w:rPr>
        <w:t>W</w:t>
      </w:r>
      <w:r w:rsidR="00C74C82" w:rsidRPr="00EC25E7">
        <w:rPr>
          <w:rFonts w:ascii="Times New Roman" w:hAnsi="Times New Roman"/>
          <w:sz w:val="24"/>
          <w:szCs w:val="24"/>
        </w:rPr>
        <w:t>hat were the specific features</w:t>
      </w:r>
      <w:r w:rsidR="00DC0502" w:rsidRPr="00EC25E7">
        <w:rPr>
          <w:rFonts w:ascii="Times New Roman" w:hAnsi="Times New Roman"/>
          <w:sz w:val="24"/>
          <w:szCs w:val="24"/>
        </w:rPr>
        <w:t xml:space="preserve"> of </w:t>
      </w:r>
      <w:r w:rsidR="00903BA2" w:rsidRPr="00EC25E7">
        <w:rPr>
          <w:rFonts w:ascii="Times New Roman" w:hAnsi="Times New Roman"/>
          <w:sz w:val="24"/>
          <w:szCs w:val="24"/>
        </w:rPr>
        <w:t xml:space="preserve">these anomalous </w:t>
      </w:r>
      <w:r w:rsidR="00DC0502" w:rsidRPr="00EC25E7">
        <w:rPr>
          <w:rFonts w:ascii="Times New Roman" w:hAnsi="Times New Roman"/>
          <w:sz w:val="24"/>
          <w:szCs w:val="24"/>
        </w:rPr>
        <w:t>cases that contributed to such unintended consequences?  What distinguishes these cases from other successful attempts to restrict information</w:t>
      </w:r>
      <w:r w:rsidR="00C74C82" w:rsidRPr="00EC25E7">
        <w:rPr>
          <w:rFonts w:ascii="Times New Roman" w:hAnsi="Times New Roman"/>
          <w:sz w:val="24"/>
          <w:szCs w:val="24"/>
        </w:rPr>
        <w:t>?</w:t>
      </w:r>
    </w:p>
    <w:p w:rsidR="00CD705C" w:rsidRDefault="00CD705C" w:rsidP="00166007">
      <w:pPr>
        <w:pStyle w:val="NoSpacing"/>
        <w:jc w:val="both"/>
        <w:rPr>
          <w:rFonts w:ascii="Times New Roman" w:hAnsi="Times New Roman"/>
        </w:rPr>
      </w:pPr>
    </w:p>
    <w:p w:rsidR="00333656" w:rsidRDefault="00333656" w:rsidP="00166007">
      <w:pPr>
        <w:pStyle w:val="NoSpacing"/>
        <w:jc w:val="both"/>
        <w:rPr>
          <w:rFonts w:ascii="Times New Roman" w:hAnsi="Times New Roman"/>
        </w:rPr>
      </w:pPr>
    </w:p>
    <w:p w:rsidR="00CD705C" w:rsidRDefault="00CD705C" w:rsidP="00166007">
      <w:pPr>
        <w:pStyle w:val="NoSpacing"/>
        <w:jc w:val="both"/>
        <w:rPr>
          <w:rFonts w:ascii="Times New Roman" w:hAnsi="Times New Roman"/>
        </w:rPr>
      </w:pPr>
      <w:r>
        <w:rPr>
          <w:rFonts w:ascii="Times New Roman" w:hAnsi="Times New Roman"/>
          <w:b/>
          <w:sz w:val="32"/>
          <w:szCs w:val="32"/>
          <w:u w:val="single"/>
        </w:rPr>
        <w:t>[3</w:t>
      </w:r>
      <w:r w:rsidR="003618EC">
        <w:rPr>
          <w:rFonts w:ascii="Times New Roman" w:hAnsi="Times New Roman"/>
          <w:b/>
          <w:sz w:val="32"/>
          <w:szCs w:val="32"/>
          <w:u w:val="single"/>
        </w:rPr>
        <w:t xml:space="preserve">] </w:t>
      </w:r>
      <w:r w:rsidR="00333656">
        <w:rPr>
          <w:rFonts w:ascii="Times New Roman" w:hAnsi="Times New Roman"/>
          <w:b/>
          <w:sz w:val="32"/>
          <w:szCs w:val="32"/>
          <w:u w:val="single"/>
        </w:rPr>
        <w:t xml:space="preserve">Why </w:t>
      </w:r>
      <w:r w:rsidR="003618EC">
        <w:rPr>
          <w:rFonts w:ascii="Times New Roman" w:hAnsi="Times New Roman"/>
          <w:b/>
          <w:sz w:val="32"/>
          <w:szCs w:val="32"/>
          <w:u w:val="single"/>
        </w:rPr>
        <w:t>Unintended Consequences</w:t>
      </w:r>
      <w:r w:rsidR="00333656">
        <w:rPr>
          <w:rFonts w:ascii="Times New Roman" w:hAnsi="Times New Roman"/>
          <w:b/>
          <w:sz w:val="32"/>
          <w:szCs w:val="32"/>
          <w:u w:val="single"/>
        </w:rPr>
        <w:t>?</w:t>
      </w:r>
    </w:p>
    <w:p w:rsidR="00CD705C" w:rsidRDefault="00CD705C" w:rsidP="00166007">
      <w:pPr>
        <w:pStyle w:val="NoSpacing"/>
        <w:jc w:val="both"/>
        <w:rPr>
          <w:rFonts w:ascii="Times New Roman" w:hAnsi="Times New Roman"/>
        </w:rPr>
      </w:pPr>
    </w:p>
    <w:p w:rsidR="00AE1222" w:rsidRDefault="00AE1222" w:rsidP="00166007">
      <w:pPr>
        <w:pStyle w:val="NoSpacing"/>
        <w:jc w:val="both"/>
        <w:rPr>
          <w:rFonts w:ascii="Times New Roman" w:hAnsi="Times New Roman"/>
        </w:rPr>
      </w:pPr>
    </w:p>
    <w:p w:rsidR="00CD705C" w:rsidRPr="00CB705C" w:rsidRDefault="00446806" w:rsidP="00166007">
      <w:pPr>
        <w:pStyle w:val="NoSpacing"/>
        <w:jc w:val="both"/>
        <w:rPr>
          <w:rFonts w:ascii="Times New Roman" w:hAnsi="Times New Roman"/>
          <w:sz w:val="24"/>
          <w:szCs w:val="24"/>
        </w:rPr>
      </w:pPr>
      <w:r w:rsidRPr="00343567">
        <w:rPr>
          <w:rFonts w:ascii="Times New Roman" w:hAnsi="Times New Roman"/>
          <w:sz w:val="24"/>
          <w:szCs w:val="24"/>
        </w:rPr>
        <w:t xml:space="preserve">From the </w:t>
      </w:r>
      <w:r w:rsidR="00343567" w:rsidRPr="00343567">
        <w:rPr>
          <w:rFonts w:ascii="Times New Roman" w:hAnsi="Times New Roman"/>
          <w:sz w:val="24"/>
          <w:szCs w:val="24"/>
        </w:rPr>
        <w:t xml:space="preserve">survey of </w:t>
      </w:r>
      <w:proofErr w:type="spellStart"/>
      <w:r w:rsidR="00343567" w:rsidRPr="00343567">
        <w:rPr>
          <w:rFonts w:ascii="Times New Roman" w:hAnsi="Times New Roman"/>
          <w:sz w:val="24"/>
          <w:szCs w:val="24"/>
        </w:rPr>
        <w:t>caselaw</w:t>
      </w:r>
      <w:proofErr w:type="spellEnd"/>
      <w:r w:rsidR="00343567" w:rsidRPr="00343567">
        <w:rPr>
          <w:rFonts w:ascii="Times New Roman" w:hAnsi="Times New Roman"/>
          <w:sz w:val="24"/>
          <w:szCs w:val="24"/>
        </w:rPr>
        <w:t xml:space="preserve"> in Parts 1-2</w:t>
      </w:r>
      <w:r w:rsidR="00EC05DB" w:rsidRPr="00343567">
        <w:rPr>
          <w:rFonts w:ascii="Times New Roman" w:hAnsi="Times New Roman"/>
          <w:sz w:val="24"/>
          <w:szCs w:val="24"/>
        </w:rPr>
        <w:t xml:space="preserve"> it seems that three crucial </w:t>
      </w:r>
      <w:r w:rsidRPr="00343567">
        <w:rPr>
          <w:rFonts w:ascii="Times New Roman" w:hAnsi="Times New Roman"/>
          <w:sz w:val="24"/>
          <w:szCs w:val="24"/>
        </w:rPr>
        <w:t xml:space="preserve">factors are at play when </w:t>
      </w:r>
      <w:r w:rsidR="00AE1222">
        <w:rPr>
          <w:rFonts w:ascii="Times New Roman" w:hAnsi="Times New Roman"/>
          <w:sz w:val="24"/>
          <w:szCs w:val="24"/>
        </w:rPr>
        <w:t>information</w:t>
      </w:r>
      <w:r w:rsidRPr="00343567">
        <w:rPr>
          <w:rFonts w:ascii="Times New Roman" w:hAnsi="Times New Roman"/>
          <w:sz w:val="24"/>
          <w:szCs w:val="24"/>
        </w:rPr>
        <w:t xml:space="preserve">-protecting </w:t>
      </w:r>
      <w:r w:rsidRPr="00CB705C">
        <w:rPr>
          <w:rFonts w:ascii="Times New Roman" w:hAnsi="Times New Roman"/>
          <w:sz w:val="24"/>
          <w:szCs w:val="24"/>
        </w:rPr>
        <w:t>injunctions</w:t>
      </w:r>
      <w:r w:rsidR="005D7663" w:rsidRPr="00CB705C">
        <w:rPr>
          <w:rFonts w:ascii="Times New Roman" w:hAnsi="Times New Roman"/>
          <w:sz w:val="24"/>
          <w:szCs w:val="24"/>
        </w:rPr>
        <w:t xml:space="preserve"> result in unintended consequences</w:t>
      </w:r>
      <w:r w:rsidRPr="00CB705C">
        <w:rPr>
          <w:rFonts w:ascii="Times New Roman" w:hAnsi="Times New Roman"/>
          <w:sz w:val="24"/>
          <w:szCs w:val="24"/>
        </w:rPr>
        <w:t xml:space="preserve">.  </w:t>
      </w:r>
      <w:r w:rsidR="00CB705C" w:rsidRPr="00CB705C">
        <w:rPr>
          <w:rFonts w:ascii="Times New Roman" w:hAnsi="Times New Roman"/>
          <w:sz w:val="24"/>
          <w:szCs w:val="24"/>
        </w:rPr>
        <w:t>These three factors -</w:t>
      </w:r>
      <w:r w:rsidR="00A11C2D" w:rsidRPr="00CB705C">
        <w:rPr>
          <w:rFonts w:ascii="Times New Roman" w:hAnsi="Times New Roman"/>
          <w:sz w:val="24"/>
          <w:szCs w:val="24"/>
        </w:rPr>
        <w:t xml:space="preserve"> psychological reactance, social-political countering and technological developments</w:t>
      </w:r>
      <w:r w:rsidR="00CB705C" w:rsidRPr="00CB705C">
        <w:rPr>
          <w:rFonts w:ascii="Times New Roman" w:hAnsi="Times New Roman"/>
          <w:sz w:val="24"/>
          <w:szCs w:val="24"/>
        </w:rPr>
        <w:t xml:space="preserve"> - can overlap, and may have a cumulative effect in certain cases.  </w:t>
      </w:r>
    </w:p>
    <w:p w:rsidR="00442EEC" w:rsidRDefault="00442EEC" w:rsidP="00166007">
      <w:pPr>
        <w:pStyle w:val="NoSpacing"/>
        <w:jc w:val="both"/>
        <w:rPr>
          <w:rFonts w:ascii="Times New Roman" w:hAnsi="Times New Roman"/>
        </w:rPr>
      </w:pPr>
    </w:p>
    <w:p w:rsidR="0083797D" w:rsidRDefault="0083797D" w:rsidP="00166007">
      <w:pPr>
        <w:pStyle w:val="NoSpacing"/>
        <w:jc w:val="both"/>
        <w:rPr>
          <w:rFonts w:ascii="Times New Roman" w:hAnsi="Times New Roman"/>
        </w:rPr>
      </w:pPr>
    </w:p>
    <w:p w:rsidR="00442EEC" w:rsidRPr="00343567" w:rsidRDefault="00442EEC" w:rsidP="00442EEC">
      <w:pPr>
        <w:spacing w:after="0" w:line="240" w:lineRule="auto"/>
        <w:rPr>
          <w:rFonts w:ascii="Times New Roman" w:hAnsi="Times New Roman"/>
          <w:sz w:val="24"/>
          <w:szCs w:val="24"/>
        </w:rPr>
      </w:pPr>
      <w:r w:rsidRPr="00343567">
        <w:rPr>
          <w:rFonts w:ascii="Times New Roman" w:hAnsi="Times New Roman"/>
          <w:b/>
          <w:i/>
          <w:sz w:val="24"/>
          <w:szCs w:val="24"/>
          <w:u w:val="single"/>
        </w:rPr>
        <w:t>[3.1] The A</w:t>
      </w:r>
      <w:r w:rsidR="008B4DE1" w:rsidRPr="00343567">
        <w:rPr>
          <w:rFonts w:ascii="Times New Roman" w:hAnsi="Times New Roman"/>
          <w:b/>
          <w:i/>
          <w:sz w:val="24"/>
          <w:szCs w:val="24"/>
          <w:u w:val="single"/>
        </w:rPr>
        <w:t>llure of the Banned</w:t>
      </w:r>
    </w:p>
    <w:p w:rsidR="00442EEC" w:rsidRPr="00D354CB" w:rsidRDefault="00442EEC" w:rsidP="00442EEC">
      <w:pPr>
        <w:spacing w:after="0" w:line="240" w:lineRule="auto"/>
        <w:rPr>
          <w:rFonts w:ascii="Times New Roman" w:hAnsi="Times New Roman"/>
          <w:color w:val="FF0000"/>
          <w:sz w:val="24"/>
          <w:szCs w:val="24"/>
        </w:rPr>
      </w:pPr>
    </w:p>
    <w:p w:rsidR="00442EEC" w:rsidRPr="00D354CB" w:rsidRDefault="008B4DE1" w:rsidP="00442EEC">
      <w:pPr>
        <w:spacing w:after="0" w:line="240" w:lineRule="auto"/>
        <w:jc w:val="both"/>
        <w:rPr>
          <w:rFonts w:ascii="Times New Roman" w:hAnsi="Times New Roman"/>
          <w:sz w:val="24"/>
          <w:szCs w:val="24"/>
        </w:rPr>
      </w:pPr>
      <w:r w:rsidRPr="00DA50B8">
        <w:rPr>
          <w:rFonts w:ascii="Times New Roman" w:hAnsi="Times New Roman"/>
          <w:sz w:val="24"/>
          <w:szCs w:val="24"/>
        </w:rPr>
        <w:t xml:space="preserve">MPI </w:t>
      </w:r>
      <w:r w:rsidR="00442EEC" w:rsidRPr="00DA50B8">
        <w:rPr>
          <w:rFonts w:ascii="Times New Roman" w:hAnsi="Times New Roman"/>
          <w:sz w:val="24"/>
          <w:szCs w:val="24"/>
        </w:rPr>
        <w:t xml:space="preserve">injunctions aimed </w:t>
      </w:r>
      <w:r w:rsidR="00442EEC" w:rsidRPr="008B4DE1">
        <w:rPr>
          <w:rFonts w:ascii="Times New Roman" w:hAnsi="Times New Roman"/>
          <w:sz w:val="24"/>
          <w:szCs w:val="24"/>
        </w:rPr>
        <w:t>at protecting privacy may, paradoxically, undermine privacy by producing perverse incentives</w:t>
      </w:r>
      <w:r w:rsidR="00442EEC" w:rsidRPr="00712023">
        <w:rPr>
          <w:rFonts w:ascii="Times New Roman" w:hAnsi="Times New Roman"/>
          <w:sz w:val="24"/>
          <w:szCs w:val="24"/>
        </w:rPr>
        <w:t xml:space="preserve"> in two ways</w:t>
      </w:r>
      <w:r w:rsidR="00442EEC" w:rsidRPr="00D354CB">
        <w:rPr>
          <w:rFonts w:ascii="Times New Roman" w:hAnsi="Times New Roman"/>
          <w:sz w:val="24"/>
          <w:szCs w:val="24"/>
        </w:rPr>
        <w:t xml:space="preserve">.  First, </w:t>
      </w:r>
      <w:r w:rsidR="00712023">
        <w:rPr>
          <w:rFonts w:ascii="Times New Roman" w:hAnsi="Times New Roman"/>
          <w:sz w:val="24"/>
          <w:szCs w:val="24"/>
        </w:rPr>
        <w:t xml:space="preserve">reporting of </w:t>
      </w:r>
      <w:r w:rsidR="00442EEC" w:rsidRPr="00D354CB">
        <w:rPr>
          <w:rFonts w:ascii="Times New Roman" w:hAnsi="Times New Roman"/>
          <w:sz w:val="24"/>
          <w:szCs w:val="24"/>
        </w:rPr>
        <w:t xml:space="preserve">the </w:t>
      </w:r>
      <w:r w:rsidR="00442EEC" w:rsidRPr="0083797D">
        <w:rPr>
          <w:rFonts w:ascii="Times New Roman" w:hAnsi="Times New Roman"/>
          <w:i/>
          <w:sz w:val="24"/>
          <w:szCs w:val="24"/>
        </w:rPr>
        <w:t>existence</w:t>
      </w:r>
      <w:r w:rsidR="00442EEC" w:rsidRPr="00D354CB">
        <w:rPr>
          <w:rFonts w:ascii="Times New Roman" w:hAnsi="Times New Roman"/>
          <w:sz w:val="24"/>
          <w:szCs w:val="24"/>
        </w:rPr>
        <w:t xml:space="preserve"> of legal proceedings will draw public attention to the fact that someone is going to great length and expense to suppress some form of private information</w:t>
      </w:r>
      <w:r w:rsidR="00442EEC" w:rsidRPr="00D354CB">
        <w:rPr>
          <w:rFonts w:ascii="Times New Roman" w:hAnsi="Times New Roman"/>
          <w:color w:val="FF0000"/>
          <w:sz w:val="24"/>
          <w:szCs w:val="24"/>
        </w:rPr>
        <w:t>.</w:t>
      </w:r>
      <w:r w:rsidR="00442EEC" w:rsidRPr="00D354CB">
        <w:rPr>
          <w:rFonts w:ascii="Times New Roman" w:hAnsi="Times New Roman"/>
          <w:sz w:val="24"/>
          <w:szCs w:val="24"/>
        </w:rPr>
        <w:t xml:space="preserve">  Second, providing the bare outline of the facts of a dispute whilst restricting certain ‘items’ of information (including a claimant’s identity) may fuel curiosity and speculation, leading people to attempt to fill the informational ‘gaps’.</w:t>
      </w:r>
    </w:p>
    <w:p w:rsidR="00442EEC" w:rsidRPr="00D354CB" w:rsidRDefault="00442EEC" w:rsidP="00442EEC">
      <w:pPr>
        <w:spacing w:after="0" w:line="240" w:lineRule="auto"/>
        <w:jc w:val="both"/>
        <w:rPr>
          <w:rFonts w:ascii="Times New Roman" w:hAnsi="Times New Roman"/>
          <w:sz w:val="24"/>
          <w:szCs w:val="24"/>
        </w:rPr>
      </w:pPr>
    </w:p>
    <w:p w:rsidR="00442EEC" w:rsidRPr="009E3454" w:rsidRDefault="00343567" w:rsidP="00442EEC">
      <w:pPr>
        <w:spacing w:after="0" w:line="240" w:lineRule="auto"/>
        <w:jc w:val="both"/>
        <w:rPr>
          <w:rFonts w:ascii="Times New Roman" w:hAnsi="Times New Roman"/>
          <w:sz w:val="24"/>
          <w:szCs w:val="24"/>
        </w:rPr>
      </w:pPr>
      <w:r>
        <w:rPr>
          <w:rFonts w:ascii="Times New Roman" w:hAnsi="Times New Roman"/>
          <w:sz w:val="24"/>
          <w:szCs w:val="24"/>
        </w:rPr>
        <w:t>What this article terms ‘t</w:t>
      </w:r>
      <w:r w:rsidR="00442EEC" w:rsidRPr="009E3454">
        <w:rPr>
          <w:rFonts w:ascii="Times New Roman" w:hAnsi="Times New Roman"/>
          <w:sz w:val="24"/>
          <w:szCs w:val="24"/>
        </w:rPr>
        <w:t xml:space="preserve">he </w:t>
      </w:r>
      <w:r w:rsidR="00442EEC" w:rsidRPr="009E3454">
        <w:rPr>
          <w:rFonts w:ascii="Times New Roman" w:hAnsi="Times New Roman"/>
          <w:i/>
          <w:sz w:val="24"/>
          <w:szCs w:val="24"/>
        </w:rPr>
        <w:t>allure of the banned</w:t>
      </w:r>
      <w:r>
        <w:rPr>
          <w:rFonts w:ascii="Times New Roman" w:hAnsi="Times New Roman"/>
          <w:sz w:val="24"/>
          <w:szCs w:val="24"/>
        </w:rPr>
        <w:t>’</w:t>
      </w:r>
      <w:r w:rsidR="00442EEC" w:rsidRPr="009E3454">
        <w:rPr>
          <w:rFonts w:ascii="Times New Roman" w:hAnsi="Times New Roman"/>
          <w:sz w:val="24"/>
          <w:szCs w:val="24"/>
        </w:rPr>
        <w:t xml:space="preserve"> is arguably a long-standing strand of folk psychology and its roots can be traced back to the biblical tale of Adam and Eve’s tasting of the forbidden fruit in the Garden of Eden.  Yet this folk psychology is supported by </w:t>
      </w:r>
      <w:r w:rsidR="000C50A4" w:rsidRPr="009E3454">
        <w:rPr>
          <w:rFonts w:ascii="Times New Roman" w:hAnsi="Times New Roman"/>
          <w:sz w:val="24"/>
          <w:szCs w:val="24"/>
        </w:rPr>
        <w:t xml:space="preserve">historical </w:t>
      </w:r>
      <w:r w:rsidR="000C50A4" w:rsidRPr="009E3454">
        <w:rPr>
          <w:rFonts w:ascii="Times New Roman" w:hAnsi="Times New Roman"/>
          <w:sz w:val="24"/>
          <w:szCs w:val="24"/>
        </w:rPr>
        <w:lastRenderedPageBreak/>
        <w:t>examples</w:t>
      </w:r>
      <w:r w:rsidR="000C50A4" w:rsidRPr="009E3454">
        <w:rPr>
          <w:rStyle w:val="FootnoteReference"/>
          <w:rFonts w:ascii="Times New Roman" w:hAnsi="Times New Roman"/>
          <w:sz w:val="24"/>
          <w:szCs w:val="24"/>
        </w:rPr>
        <w:footnoteReference w:id="85"/>
      </w:r>
      <w:r w:rsidR="000C50A4" w:rsidRPr="009E3454">
        <w:rPr>
          <w:rFonts w:ascii="Times New Roman" w:hAnsi="Times New Roman"/>
          <w:sz w:val="24"/>
          <w:szCs w:val="24"/>
        </w:rPr>
        <w:t xml:space="preserve"> and </w:t>
      </w:r>
      <w:r w:rsidR="00442EEC" w:rsidRPr="009E3454">
        <w:rPr>
          <w:rFonts w:ascii="Times New Roman" w:hAnsi="Times New Roman"/>
          <w:sz w:val="24"/>
          <w:szCs w:val="24"/>
        </w:rPr>
        <w:t xml:space="preserve">select empirical studies that </w:t>
      </w:r>
      <w:r w:rsidR="00DD06D6" w:rsidRPr="009E3454">
        <w:rPr>
          <w:rFonts w:ascii="Times New Roman" w:hAnsi="Times New Roman"/>
          <w:sz w:val="24"/>
          <w:szCs w:val="24"/>
        </w:rPr>
        <w:t xml:space="preserve">have </w:t>
      </w:r>
      <w:r w:rsidR="00442EEC" w:rsidRPr="009E3454">
        <w:rPr>
          <w:rFonts w:ascii="Times New Roman" w:hAnsi="Times New Roman"/>
          <w:sz w:val="24"/>
          <w:szCs w:val="24"/>
        </w:rPr>
        <w:t xml:space="preserve">analysed the effects of censorship on audience attitudes.  The findings </w:t>
      </w:r>
      <w:r w:rsidR="00455869" w:rsidRPr="009E3454">
        <w:rPr>
          <w:rFonts w:ascii="Times New Roman" w:hAnsi="Times New Roman"/>
          <w:sz w:val="24"/>
          <w:szCs w:val="24"/>
        </w:rPr>
        <w:t xml:space="preserve">of such studies </w:t>
      </w:r>
      <w:r w:rsidR="00442EEC" w:rsidRPr="009E3454">
        <w:rPr>
          <w:rFonts w:ascii="Times New Roman" w:hAnsi="Times New Roman"/>
          <w:sz w:val="24"/>
          <w:szCs w:val="24"/>
        </w:rPr>
        <w:t>have significant implicat</w:t>
      </w:r>
      <w:r w:rsidR="00333855" w:rsidRPr="009E3454">
        <w:rPr>
          <w:rFonts w:ascii="Times New Roman" w:hAnsi="Times New Roman"/>
          <w:sz w:val="24"/>
          <w:szCs w:val="24"/>
        </w:rPr>
        <w:t>ions for MPI injunctions.  They</w:t>
      </w:r>
      <w:r w:rsidR="00442EEC" w:rsidRPr="009E3454">
        <w:rPr>
          <w:rFonts w:ascii="Times New Roman" w:hAnsi="Times New Roman"/>
          <w:sz w:val="24"/>
          <w:szCs w:val="24"/>
        </w:rPr>
        <w:t xml:space="preserve"> confirm that the act of censorship tends to instigate two responses in individuals who are subjected to it.  First, it may lead to the subject to change their attitude towards greater agreement with the censored communication.</w:t>
      </w:r>
      <w:r w:rsidR="00442EEC" w:rsidRPr="009E3454">
        <w:rPr>
          <w:rFonts w:ascii="Times New Roman" w:hAnsi="Times New Roman"/>
          <w:sz w:val="24"/>
          <w:szCs w:val="24"/>
          <w:vertAlign w:val="superscript"/>
        </w:rPr>
        <w:footnoteReference w:id="86"/>
      </w:r>
      <w:r w:rsidR="00442EEC" w:rsidRPr="009E3454">
        <w:rPr>
          <w:rFonts w:ascii="Times New Roman" w:hAnsi="Times New Roman"/>
          <w:sz w:val="24"/>
          <w:szCs w:val="24"/>
        </w:rPr>
        <w:t xml:space="preserve">  But second, and more significantly, it is likely to lead to an increased desire to hear the communication,</w:t>
      </w:r>
      <w:r w:rsidR="00442EEC" w:rsidRPr="009E3454">
        <w:rPr>
          <w:rFonts w:ascii="Times New Roman" w:hAnsi="Times New Roman"/>
          <w:sz w:val="24"/>
          <w:szCs w:val="24"/>
          <w:vertAlign w:val="superscript"/>
        </w:rPr>
        <w:footnoteReference w:id="87"/>
      </w:r>
      <w:r w:rsidR="00442EEC" w:rsidRPr="009E3454">
        <w:rPr>
          <w:rFonts w:ascii="Times New Roman" w:hAnsi="Times New Roman"/>
          <w:sz w:val="24"/>
          <w:szCs w:val="24"/>
        </w:rPr>
        <w:t xml:space="preserve"> termed ‘the boomerang’ effect by Olson and </w:t>
      </w:r>
      <w:proofErr w:type="spellStart"/>
      <w:r w:rsidR="00442EEC" w:rsidRPr="009E3454">
        <w:rPr>
          <w:rFonts w:ascii="Times New Roman" w:hAnsi="Times New Roman"/>
          <w:sz w:val="24"/>
          <w:szCs w:val="24"/>
        </w:rPr>
        <w:t>Esses</w:t>
      </w:r>
      <w:proofErr w:type="spellEnd"/>
      <w:r w:rsidR="00442EEC" w:rsidRPr="009E3454">
        <w:rPr>
          <w:rFonts w:ascii="Times New Roman" w:hAnsi="Times New Roman"/>
          <w:sz w:val="24"/>
          <w:szCs w:val="24"/>
        </w:rPr>
        <w:t>.</w:t>
      </w:r>
      <w:r w:rsidR="00442EEC" w:rsidRPr="009E3454">
        <w:rPr>
          <w:rFonts w:ascii="Times New Roman" w:hAnsi="Times New Roman"/>
          <w:sz w:val="24"/>
          <w:szCs w:val="24"/>
          <w:vertAlign w:val="superscript"/>
        </w:rPr>
        <w:footnoteReference w:id="88"/>
      </w:r>
      <w:r w:rsidR="00442EEC" w:rsidRPr="009E3454">
        <w:rPr>
          <w:rFonts w:ascii="Times New Roman" w:hAnsi="Times New Roman"/>
          <w:sz w:val="24"/>
          <w:szCs w:val="24"/>
        </w:rPr>
        <w:t xml:space="preserve">  These observed responses to censorship support ‘rea</w:t>
      </w:r>
      <w:r w:rsidR="009E3454" w:rsidRPr="009E3454">
        <w:rPr>
          <w:rFonts w:ascii="Times New Roman" w:hAnsi="Times New Roman"/>
          <w:sz w:val="24"/>
          <w:szCs w:val="24"/>
        </w:rPr>
        <w:t>ctance theory’ which proposes</w:t>
      </w:r>
      <w:r w:rsidR="00442EEC" w:rsidRPr="009E3454">
        <w:rPr>
          <w:rFonts w:ascii="Times New Roman" w:hAnsi="Times New Roman"/>
          <w:sz w:val="24"/>
          <w:szCs w:val="24"/>
        </w:rPr>
        <w:t xml:space="preserve"> that:  </w:t>
      </w:r>
    </w:p>
    <w:p w:rsidR="00442EEC" w:rsidRPr="009E3454" w:rsidRDefault="00442EEC" w:rsidP="00442EEC">
      <w:pPr>
        <w:spacing w:after="0" w:line="240" w:lineRule="auto"/>
        <w:jc w:val="both"/>
        <w:rPr>
          <w:rFonts w:ascii="Times New Roman" w:hAnsi="Times New Roman"/>
          <w:sz w:val="24"/>
          <w:szCs w:val="24"/>
        </w:rPr>
      </w:pPr>
    </w:p>
    <w:p w:rsidR="00442EEC" w:rsidRPr="00D665F9" w:rsidRDefault="00442EEC" w:rsidP="00333760">
      <w:pPr>
        <w:spacing w:after="0" w:line="240" w:lineRule="auto"/>
        <w:ind w:left="851" w:right="851"/>
        <w:jc w:val="both"/>
        <w:rPr>
          <w:rFonts w:ascii="Times New Roman" w:hAnsi="Times New Roman"/>
          <w:sz w:val="24"/>
          <w:szCs w:val="24"/>
        </w:rPr>
      </w:pPr>
      <w:r w:rsidRPr="00D665F9">
        <w:rPr>
          <w:rFonts w:ascii="Times New Roman" w:hAnsi="Times New Roman"/>
          <w:sz w:val="24"/>
          <w:szCs w:val="24"/>
        </w:rPr>
        <w:t>‘</w:t>
      </w:r>
      <w:r w:rsidRPr="00D665F9">
        <w:rPr>
          <w:rFonts w:ascii="Times New Roman" w:hAnsi="Times New Roman"/>
          <w:i/>
          <w:sz w:val="24"/>
          <w:szCs w:val="24"/>
        </w:rPr>
        <w:t>when a person’s freedom to perform a particular behaviour is threatened or eliminated, he experiences a motivational state which is directed toward safeguarding or restoring the freedom in question</w:t>
      </w:r>
      <w:r w:rsidRPr="00D665F9">
        <w:rPr>
          <w:rFonts w:ascii="Times New Roman" w:hAnsi="Times New Roman"/>
          <w:sz w:val="24"/>
          <w:szCs w:val="24"/>
        </w:rPr>
        <w:t>.’</w:t>
      </w:r>
      <w:r w:rsidRPr="00D665F9">
        <w:rPr>
          <w:rFonts w:ascii="Times New Roman" w:hAnsi="Times New Roman"/>
          <w:sz w:val="24"/>
          <w:szCs w:val="24"/>
          <w:vertAlign w:val="superscript"/>
        </w:rPr>
        <w:footnoteReference w:id="89"/>
      </w:r>
    </w:p>
    <w:p w:rsidR="00442EEC" w:rsidRPr="00D665F9" w:rsidRDefault="00442EEC" w:rsidP="00442EEC">
      <w:pPr>
        <w:spacing w:after="0" w:line="240" w:lineRule="auto"/>
        <w:jc w:val="both"/>
        <w:rPr>
          <w:rFonts w:ascii="Times New Roman" w:hAnsi="Times New Roman"/>
          <w:sz w:val="24"/>
          <w:szCs w:val="24"/>
        </w:rPr>
      </w:pPr>
    </w:p>
    <w:p w:rsidR="00442EEC" w:rsidRPr="00D665F9" w:rsidRDefault="00442EEC" w:rsidP="00442EEC">
      <w:pPr>
        <w:spacing w:after="0" w:line="240" w:lineRule="auto"/>
        <w:jc w:val="both"/>
        <w:rPr>
          <w:rFonts w:ascii="Times New Roman" w:hAnsi="Times New Roman"/>
          <w:sz w:val="24"/>
          <w:szCs w:val="24"/>
        </w:rPr>
      </w:pPr>
      <w:proofErr w:type="spellStart"/>
      <w:r w:rsidRPr="00D665F9">
        <w:rPr>
          <w:rFonts w:ascii="Times New Roman" w:hAnsi="Times New Roman"/>
          <w:sz w:val="24"/>
          <w:szCs w:val="24"/>
        </w:rPr>
        <w:t>Worchell</w:t>
      </w:r>
      <w:proofErr w:type="spellEnd"/>
      <w:r w:rsidRPr="00D665F9">
        <w:rPr>
          <w:rFonts w:ascii="Times New Roman" w:hAnsi="Times New Roman"/>
          <w:sz w:val="24"/>
          <w:szCs w:val="24"/>
        </w:rPr>
        <w:t xml:space="preserve"> </w:t>
      </w:r>
      <w:r w:rsidRPr="00D665F9">
        <w:rPr>
          <w:rFonts w:ascii="Times New Roman" w:hAnsi="Times New Roman"/>
          <w:i/>
          <w:sz w:val="24"/>
          <w:szCs w:val="24"/>
        </w:rPr>
        <w:t>et al</w:t>
      </w:r>
      <w:r w:rsidRPr="00D665F9">
        <w:rPr>
          <w:rFonts w:ascii="Times New Roman" w:hAnsi="Times New Roman"/>
          <w:sz w:val="24"/>
          <w:szCs w:val="24"/>
        </w:rPr>
        <w:t xml:space="preserve"> found that censorship can arouse reactance in an audience, and, crucially, this occurred irrespective of the reasons </w:t>
      </w:r>
      <w:r w:rsidRPr="00D665F9">
        <w:rPr>
          <w:rFonts w:ascii="Times New Roman" w:hAnsi="Times New Roman"/>
          <w:i/>
          <w:sz w:val="24"/>
          <w:szCs w:val="24"/>
        </w:rPr>
        <w:t>why</w:t>
      </w:r>
      <w:r w:rsidR="00E56E2F" w:rsidRPr="00D665F9">
        <w:rPr>
          <w:rFonts w:ascii="Times New Roman" w:hAnsi="Times New Roman"/>
          <w:sz w:val="24"/>
          <w:szCs w:val="24"/>
        </w:rPr>
        <w:t xml:space="preserve"> material was censored</w:t>
      </w:r>
      <w:r w:rsidRPr="00D665F9">
        <w:rPr>
          <w:rFonts w:ascii="Times New Roman" w:hAnsi="Times New Roman"/>
          <w:sz w:val="24"/>
          <w:szCs w:val="24"/>
          <w:vertAlign w:val="superscript"/>
        </w:rPr>
        <w:footnoteReference w:id="90"/>
      </w:r>
      <w:r w:rsidR="00E56E2F" w:rsidRPr="00D665F9">
        <w:rPr>
          <w:rFonts w:ascii="Times New Roman" w:hAnsi="Times New Roman"/>
          <w:sz w:val="24"/>
          <w:szCs w:val="24"/>
        </w:rPr>
        <w:t xml:space="preserve"> </w:t>
      </w:r>
      <w:r w:rsidR="00F61389">
        <w:rPr>
          <w:rFonts w:ascii="Times New Roman" w:hAnsi="Times New Roman"/>
          <w:sz w:val="24"/>
          <w:szCs w:val="24"/>
        </w:rPr>
        <w:t>or</w:t>
      </w:r>
      <w:r w:rsidR="00E56E2F" w:rsidRPr="00D665F9">
        <w:rPr>
          <w:rFonts w:ascii="Times New Roman" w:hAnsi="Times New Roman"/>
          <w:sz w:val="24"/>
          <w:szCs w:val="24"/>
        </w:rPr>
        <w:t xml:space="preserve"> the ‘attractiveness’ of the censor.</w:t>
      </w:r>
      <w:r w:rsidRPr="00D665F9">
        <w:rPr>
          <w:rFonts w:ascii="Times New Roman" w:hAnsi="Times New Roman"/>
          <w:sz w:val="24"/>
          <w:szCs w:val="24"/>
        </w:rPr>
        <w:t xml:space="preserve"> </w:t>
      </w:r>
    </w:p>
    <w:p w:rsidR="00442EEC" w:rsidRPr="00D665F9" w:rsidRDefault="00442EEC" w:rsidP="00442EEC">
      <w:pPr>
        <w:spacing w:after="0" w:line="240" w:lineRule="auto"/>
        <w:jc w:val="both"/>
        <w:rPr>
          <w:rFonts w:ascii="Times New Roman" w:hAnsi="Times New Roman"/>
          <w:sz w:val="24"/>
          <w:szCs w:val="24"/>
        </w:rPr>
      </w:pPr>
    </w:p>
    <w:p w:rsidR="00442EEC" w:rsidRPr="00322182" w:rsidRDefault="00442EEC" w:rsidP="00442EEC">
      <w:pPr>
        <w:spacing w:after="0" w:line="240" w:lineRule="auto"/>
        <w:jc w:val="both"/>
        <w:rPr>
          <w:rFonts w:ascii="Times New Roman" w:hAnsi="Times New Roman"/>
          <w:sz w:val="24"/>
          <w:szCs w:val="24"/>
        </w:rPr>
      </w:pPr>
      <w:r w:rsidRPr="00D665F9">
        <w:rPr>
          <w:rFonts w:ascii="Times New Roman" w:hAnsi="Times New Roman"/>
          <w:sz w:val="24"/>
          <w:szCs w:val="24"/>
        </w:rPr>
        <w:t xml:space="preserve">These studies confirm that censorship can produce the opposite consequences to those intended </w:t>
      </w:r>
      <w:r w:rsidR="00D665F9" w:rsidRPr="00D665F9">
        <w:rPr>
          <w:rFonts w:ascii="Times New Roman" w:hAnsi="Times New Roman"/>
          <w:sz w:val="24"/>
          <w:szCs w:val="24"/>
        </w:rPr>
        <w:t xml:space="preserve">by the </w:t>
      </w:r>
      <w:r w:rsidRPr="00D665F9">
        <w:rPr>
          <w:rFonts w:ascii="Times New Roman" w:hAnsi="Times New Roman"/>
          <w:sz w:val="24"/>
          <w:szCs w:val="24"/>
        </w:rPr>
        <w:t>censor,</w:t>
      </w:r>
      <w:r w:rsidRPr="00D665F9">
        <w:rPr>
          <w:rFonts w:ascii="Times New Roman" w:hAnsi="Times New Roman"/>
          <w:sz w:val="24"/>
          <w:szCs w:val="24"/>
          <w:vertAlign w:val="superscript"/>
        </w:rPr>
        <w:footnoteReference w:id="91"/>
      </w:r>
      <w:r w:rsidRPr="00D665F9">
        <w:rPr>
          <w:rFonts w:ascii="Times New Roman" w:hAnsi="Times New Roman"/>
          <w:sz w:val="24"/>
          <w:szCs w:val="24"/>
        </w:rPr>
        <w:t xml:space="preserve"> and provide likely explanations as to why is.  Their findings are especially significant to MPI because they confirm that the very act of censorship can foster a desire to know, </w:t>
      </w:r>
      <w:r w:rsidRPr="00AB5160">
        <w:rPr>
          <w:rFonts w:ascii="Times New Roman" w:hAnsi="Times New Roman"/>
          <w:sz w:val="24"/>
          <w:szCs w:val="24"/>
        </w:rPr>
        <w:t xml:space="preserve">irrespective of the content of the supressed material or the </w:t>
      </w:r>
      <w:proofErr w:type="spellStart"/>
      <w:r w:rsidRPr="00AB5160">
        <w:rPr>
          <w:rFonts w:ascii="Times New Roman" w:hAnsi="Times New Roman"/>
          <w:sz w:val="24"/>
          <w:szCs w:val="24"/>
        </w:rPr>
        <w:t>congency</w:t>
      </w:r>
      <w:proofErr w:type="spellEnd"/>
      <w:r w:rsidRPr="00AB5160">
        <w:rPr>
          <w:rFonts w:ascii="Times New Roman" w:hAnsi="Times New Roman"/>
          <w:sz w:val="24"/>
          <w:szCs w:val="24"/>
        </w:rPr>
        <w:t xml:space="preserve"> of reasons justifying the prohibition.  This, in turn, casts (further) d</w:t>
      </w:r>
      <w:r w:rsidR="00D665F9" w:rsidRPr="00AB5160">
        <w:rPr>
          <w:rFonts w:ascii="Times New Roman" w:hAnsi="Times New Roman"/>
          <w:sz w:val="24"/>
          <w:szCs w:val="24"/>
        </w:rPr>
        <w:t>oubt on</w:t>
      </w:r>
      <w:r w:rsidR="00343567" w:rsidRPr="00AB5160">
        <w:rPr>
          <w:rFonts w:ascii="Times New Roman" w:hAnsi="Times New Roman"/>
          <w:sz w:val="24"/>
          <w:szCs w:val="24"/>
        </w:rPr>
        <w:t xml:space="preserve"> recurring</w:t>
      </w:r>
      <w:r w:rsidR="00D665F9" w:rsidRPr="00AB5160">
        <w:rPr>
          <w:rFonts w:ascii="Times New Roman" w:hAnsi="Times New Roman"/>
          <w:sz w:val="24"/>
          <w:szCs w:val="24"/>
        </w:rPr>
        <w:t xml:space="preserve"> judicial depictions of </w:t>
      </w:r>
      <w:r w:rsidRPr="00AB5160">
        <w:rPr>
          <w:rFonts w:ascii="Times New Roman" w:hAnsi="Times New Roman"/>
          <w:sz w:val="24"/>
          <w:szCs w:val="24"/>
        </w:rPr>
        <w:t>tabloid consumers</w:t>
      </w:r>
      <w:r w:rsidR="00D665F9" w:rsidRPr="00AB5160">
        <w:rPr>
          <w:rFonts w:ascii="Times New Roman" w:hAnsi="Times New Roman"/>
          <w:sz w:val="24"/>
          <w:szCs w:val="24"/>
        </w:rPr>
        <w:t xml:space="preserve"> </w:t>
      </w:r>
      <w:r w:rsidR="00343567" w:rsidRPr="00AB5160">
        <w:rPr>
          <w:rFonts w:ascii="Times New Roman" w:hAnsi="Times New Roman"/>
          <w:sz w:val="24"/>
          <w:szCs w:val="24"/>
        </w:rPr>
        <w:t>as prurient, prying</w:t>
      </w:r>
      <w:r w:rsidRPr="00AB5160">
        <w:rPr>
          <w:rFonts w:ascii="Times New Roman" w:hAnsi="Times New Roman"/>
          <w:sz w:val="24"/>
          <w:szCs w:val="24"/>
        </w:rPr>
        <w:t xml:space="preserve"> or a ‘particular’ readership,</w:t>
      </w:r>
      <w:r w:rsidRPr="00AB5160">
        <w:rPr>
          <w:rFonts w:ascii="Times New Roman" w:hAnsi="Times New Roman"/>
          <w:sz w:val="24"/>
          <w:szCs w:val="24"/>
          <w:vertAlign w:val="superscript"/>
        </w:rPr>
        <w:footnoteReference w:id="92"/>
      </w:r>
      <w:r w:rsidRPr="00AB5160">
        <w:rPr>
          <w:rFonts w:ascii="Times New Roman" w:hAnsi="Times New Roman"/>
          <w:sz w:val="24"/>
          <w:szCs w:val="24"/>
        </w:rPr>
        <w:t xml:space="preserve"> and upon whether such voyeurism is always their sole, dominant</w:t>
      </w:r>
      <w:r w:rsidR="00D665F9" w:rsidRPr="00AB5160">
        <w:rPr>
          <w:rFonts w:ascii="Times New Roman" w:hAnsi="Times New Roman"/>
          <w:sz w:val="24"/>
          <w:szCs w:val="24"/>
        </w:rPr>
        <w:t xml:space="preserve"> –</w:t>
      </w:r>
      <w:r w:rsidRPr="00AB5160">
        <w:rPr>
          <w:rFonts w:ascii="Times New Roman" w:hAnsi="Times New Roman"/>
          <w:sz w:val="24"/>
          <w:szCs w:val="24"/>
        </w:rPr>
        <w:t xml:space="preserve"> or</w:t>
      </w:r>
      <w:r w:rsidR="00D665F9" w:rsidRPr="00AB5160">
        <w:rPr>
          <w:rFonts w:ascii="Times New Roman" w:hAnsi="Times New Roman"/>
          <w:sz w:val="24"/>
          <w:szCs w:val="24"/>
        </w:rPr>
        <w:t xml:space="preserve"> even</w:t>
      </w:r>
      <w:r w:rsidRPr="00AB5160">
        <w:rPr>
          <w:rFonts w:ascii="Times New Roman" w:hAnsi="Times New Roman"/>
          <w:sz w:val="24"/>
          <w:szCs w:val="24"/>
        </w:rPr>
        <w:t xml:space="preserve"> conscious</w:t>
      </w:r>
      <w:r w:rsidR="00D665F9" w:rsidRPr="00AB5160">
        <w:rPr>
          <w:rFonts w:ascii="Times New Roman" w:hAnsi="Times New Roman"/>
          <w:sz w:val="24"/>
          <w:szCs w:val="24"/>
        </w:rPr>
        <w:t xml:space="preserve"> -</w:t>
      </w:r>
      <w:r w:rsidRPr="00AB5160">
        <w:rPr>
          <w:rFonts w:ascii="Times New Roman" w:hAnsi="Times New Roman"/>
          <w:sz w:val="24"/>
          <w:szCs w:val="24"/>
        </w:rPr>
        <w:t xml:space="preserve"> motivation.  It also raises the possibility that injunctions may exacerbate or contribute to this </w:t>
      </w:r>
      <w:r w:rsidR="00496EE8" w:rsidRPr="00AB5160">
        <w:rPr>
          <w:rFonts w:ascii="Times New Roman" w:hAnsi="Times New Roman"/>
          <w:sz w:val="24"/>
          <w:szCs w:val="24"/>
        </w:rPr>
        <w:t xml:space="preserve">very </w:t>
      </w:r>
      <w:r w:rsidR="00AB5160" w:rsidRPr="00AB5160">
        <w:rPr>
          <w:rFonts w:ascii="Times New Roman" w:hAnsi="Times New Roman"/>
          <w:sz w:val="24"/>
          <w:szCs w:val="24"/>
        </w:rPr>
        <w:t>culture</w:t>
      </w:r>
      <w:r w:rsidRPr="00AB5160">
        <w:rPr>
          <w:rFonts w:ascii="Times New Roman" w:hAnsi="Times New Roman"/>
          <w:sz w:val="24"/>
          <w:szCs w:val="24"/>
        </w:rPr>
        <w:t xml:space="preserve"> </w:t>
      </w:r>
      <w:r w:rsidRPr="00322182">
        <w:rPr>
          <w:rFonts w:ascii="Times New Roman" w:hAnsi="Times New Roman"/>
          <w:sz w:val="24"/>
          <w:szCs w:val="24"/>
        </w:rPr>
        <w:t>that judges implicitly denigrate.</w:t>
      </w:r>
      <w:r w:rsidR="00322182" w:rsidRPr="00322182">
        <w:rPr>
          <w:rFonts w:ascii="Times New Roman" w:hAnsi="Times New Roman"/>
          <w:sz w:val="24"/>
          <w:szCs w:val="24"/>
        </w:rPr>
        <w:t xml:space="preserve">  </w:t>
      </w:r>
      <w:r w:rsidRPr="00322182">
        <w:rPr>
          <w:rFonts w:ascii="Times New Roman" w:hAnsi="Times New Roman"/>
          <w:sz w:val="24"/>
          <w:szCs w:val="24"/>
        </w:rPr>
        <w:t xml:space="preserve">Despite judicial scepticism </w:t>
      </w:r>
      <w:r w:rsidRPr="00F65E43">
        <w:rPr>
          <w:rFonts w:ascii="Times New Roman" w:hAnsi="Times New Roman"/>
          <w:sz w:val="24"/>
          <w:szCs w:val="24"/>
        </w:rPr>
        <w:t xml:space="preserve">towards the </w:t>
      </w:r>
      <w:r w:rsidR="00F65E43" w:rsidRPr="00F65E43">
        <w:rPr>
          <w:rFonts w:ascii="Times New Roman" w:hAnsi="Times New Roman"/>
          <w:sz w:val="24"/>
          <w:szCs w:val="24"/>
        </w:rPr>
        <w:t>voyeurism</w:t>
      </w:r>
      <w:r w:rsidRPr="00F65E43">
        <w:rPr>
          <w:rFonts w:ascii="Times New Roman" w:hAnsi="Times New Roman"/>
          <w:sz w:val="24"/>
          <w:szCs w:val="24"/>
        </w:rPr>
        <w:t xml:space="preserve"> of the </w:t>
      </w:r>
      <w:r w:rsidRPr="00322182">
        <w:rPr>
          <w:rFonts w:ascii="Times New Roman" w:hAnsi="Times New Roman"/>
          <w:sz w:val="24"/>
          <w:szCs w:val="24"/>
        </w:rPr>
        <w:t>tabloid-consuming (and online) public, curiosity should perhaps also be acknowledged as a widespread human response to MPI</w:t>
      </w:r>
      <w:r w:rsidR="00322182" w:rsidRPr="00322182">
        <w:rPr>
          <w:rFonts w:ascii="Times New Roman" w:hAnsi="Times New Roman"/>
          <w:sz w:val="24"/>
          <w:szCs w:val="24"/>
        </w:rPr>
        <w:t xml:space="preserve"> cases.  This was given fleeting</w:t>
      </w:r>
      <w:r w:rsidRPr="00322182">
        <w:rPr>
          <w:rFonts w:ascii="Times New Roman" w:hAnsi="Times New Roman"/>
          <w:sz w:val="24"/>
          <w:szCs w:val="24"/>
        </w:rPr>
        <w:t xml:space="preserve"> acknowledgment when the Court of Appeal in </w:t>
      </w:r>
      <w:r w:rsidRPr="00322182">
        <w:rPr>
          <w:rFonts w:ascii="Times New Roman" w:hAnsi="Times New Roman"/>
          <w:i/>
          <w:sz w:val="24"/>
          <w:szCs w:val="24"/>
        </w:rPr>
        <w:t xml:space="preserve">PJS </w:t>
      </w:r>
      <w:r w:rsidRPr="00322182">
        <w:rPr>
          <w:rFonts w:ascii="Times New Roman" w:hAnsi="Times New Roman"/>
          <w:sz w:val="24"/>
          <w:szCs w:val="24"/>
        </w:rPr>
        <w:t xml:space="preserve">quoted the following passage from </w:t>
      </w:r>
      <w:r w:rsidRPr="00322182">
        <w:rPr>
          <w:rFonts w:ascii="Times New Roman" w:hAnsi="Times New Roman"/>
          <w:i/>
          <w:sz w:val="24"/>
          <w:szCs w:val="24"/>
        </w:rPr>
        <w:t>The Observer</w:t>
      </w:r>
      <w:r w:rsidRPr="00322182">
        <w:rPr>
          <w:rFonts w:ascii="Times New Roman" w:hAnsi="Times New Roman"/>
          <w:sz w:val="24"/>
          <w:szCs w:val="24"/>
        </w:rPr>
        <w:t xml:space="preserve">:  </w:t>
      </w:r>
    </w:p>
    <w:p w:rsidR="00322182" w:rsidRPr="00322182" w:rsidRDefault="00322182" w:rsidP="00442EEC">
      <w:pPr>
        <w:spacing w:after="0" w:line="240" w:lineRule="auto"/>
        <w:jc w:val="both"/>
        <w:rPr>
          <w:rFonts w:ascii="Times New Roman" w:hAnsi="Times New Roman"/>
          <w:sz w:val="24"/>
          <w:szCs w:val="24"/>
        </w:rPr>
      </w:pPr>
    </w:p>
    <w:p w:rsidR="00442EEC" w:rsidRPr="00322182" w:rsidRDefault="00442EEC" w:rsidP="00EC7877">
      <w:pPr>
        <w:spacing w:after="0" w:line="240" w:lineRule="auto"/>
        <w:ind w:left="851" w:right="851"/>
        <w:jc w:val="both"/>
        <w:rPr>
          <w:rFonts w:ascii="Times New Roman" w:hAnsi="Times New Roman"/>
          <w:sz w:val="24"/>
          <w:szCs w:val="24"/>
        </w:rPr>
      </w:pPr>
      <w:r w:rsidRPr="00322182">
        <w:rPr>
          <w:rFonts w:ascii="Times New Roman" w:hAnsi="Times New Roman"/>
          <w:sz w:val="24"/>
          <w:szCs w:val="24"/>
        </w:rPr>
        <w:lastRenderedPageBreak/>
        <w:t>‘</w:t>
      </w:r>
      <w:r w:rsidRPr="00322182">
        <w:rPr>
          <w:rFonts w:ascii="Times New Roman" w:hAnsi="Times New Roman"/>
          <w:i/>
          <w:sz w:val="24"/>
          <w:szCs w:val="24"/>
        </w:rPr>
        <w:t xml:space="preserve">Human inquisitiveness is such that thousands more people have probably searched for this story … than would have paid to read it in the </w:t>
      </w:r>
      <w:r w:rsidRPr="00322182">
        <w:rPr>
          <w:rFonts w:ascii="Times New Roman" w:hAnsi="Times New Roman"/>
          <w:sz w:val="24"/>
          <w:szCs w:val="24"/>
        </w:rPr>
        <w:t>Sun on Sunday</w:t>
      </w:r>
      <w:r w:rsidRPr="00322182">
        <w:rPr>
          <w:rFonts w:ascii="Times New Roman" w:hAnsi="Times New Roman"/>
          <w:i/>
          <w:sz w:val="24"/>
          <w:szCs w:val="24"/>
        </w:rPr>
        <w:t>.</w:t>
      </w:r>
      <w:r w:rsidRPr="00322182">
        <w:rPr>
          <w:rFonts w:ascii="Times New Roman" w:hAnsi="Times New Roman"/>
          <w:sz w:val="24"/>
          <w:szCs w:val="24"/>
        </w:rPr>
        <w:t>’</w:t>
      </w:r>
      <w:r w:rsidRPr="00322182">
        <w:rPr>
          <w:rFonts w:ascii="Times New Roman" w:hAnsi="Times New Roman"/>
          <w:sz w:val="24"/>
          <w:szCs w:val="24"/>
          <w:vertAlign w:val="superscript"/>
        </w:rPr>
        <w:footnoteReference w:id="93"/>
      </w:r>
      <w:r w:rsidRPr="00322182">
        <w:rPr>
          <w:rFonts w:ascii="Times New Roman" w:hAnsi="Times New Roman"/>
          <w:sz w:val="24"/>
          <w:szCs w:val="24"/>
        </w:rPr>
        <w:t xml:space="preserve"> </w:t>
      </w:r>
    </w:p>
    <w:p w:rsidR="00442EEC" w:rsidRPr="00322182" w:rsidRDefault="00442EEC" w:rsidP="00442EEC">
      <w:pPr>
        <w:spacing w:after="0" w:line="240" w:lineRule="auto"/>
        <w:jc w:val="both"/>
        <w:rPr>
          <w:rFonts w:ascii="Times New Roman" w:hAnsi="Times New Roman"/>
          <w:sz w:val="24"/>
          <w:szCs w:val="24"/>
        </w:rPr>
      </w:pPr>
    </w:p>
    <w:p w:rsidR="00442EEC" w:rsidRPr="0060490C" w:rsidRDefault="00442EEC" w:rsidP="00442EEC">
      <w:pPr>
        <w:spacing w:after="0" w:line="240" w:lineRule="auto"/>
        <w:contextualSpacing/>
        <w:jc w:val="both"/>
        <w:rPr>
          <w:rFonts w:ascii="Times New Roman" w:hAnsi="Times New Roman"/>
          <w:sz w:val="24"/>
          <w:szCs w:val="24"/>
        </w:rPr>
      </w:pPr>
      <w:r w:rsidRPr="00DD2D19">
        <w:rPr>
          <w:rFonts w:ascii="Times New Roman" w:hAnsi="Times New Roman"/>
          <w:sz w:val="24"/>
          <w:szCs w:val="24"/>
        </w:rPr>
        <w:t xml:space="preserve">This highlights one particularly interesting feature of MPI </w:t>
      </w:r>
      <w:r w:rsidRPr="00E91DCF">
        <w:rPr>
          <w:rFonts w:ascii="Times New Roman" w:hAnsi="Times New Roman"/>
          <w:sz w:val="24"/>
          <w:szCs w:val="24"/>
        </w:rPr>
        <w:t>judgments</w:t>
      </w:r>
      <w:r w:rsidR="005C7FD2" w:rsidRPr="00E91DCF">
        <w:rPr>
          <w:rFonts w:ascii="Times New Roman" w:hAnsi="Times New Roman"/>
          <w:sz w:val="24"/>
          <w:szCs w:val="24"/>
        </w:rPr>
        <w:t>:</w:t>
      </w:r>
      <w:r w:rsidRPr="00E91DCF">
        <w:rPr>
          <w:rFonts w:ascii="Times New Roman" w:hAnsi="Times New Roman"/>
          <w:sz w:val="24"/>
          <w:szCs w:val="24"/>
        </w:rPr>
        <w:t xml:space="preserve"> the gaps or absences therein; what they tell, what they do not, and</w:t>
      </w:r>
      <w:r w:rsidR="00DD2D19" w:rsidRPr="00E91DCF">
        <w:rPr>
          <w:rFonts w:ascii="Times New Roman" w:hAnsi="Times New Roman"/>
          <w:sz w:val="24"/>
          <w:szCs w:val="24"/>
        </w:rPr>
        <w:t xml:space="preserve"> the effects this</w:t>
      </w:r>
      <w:r w:rsidR="00C81BD3" w:rsidRPr="00E91DCF">
        <w:rPr>
          <w:rFonts w:ascii="Times New Roman" w:hAnsi="Times New Roman"/>
          <w:sz w:val="24"/>
          <w:szCs w:val="24"/>
        </w:rPr>
        <w:t xml:space="preserve"> generates</w:t>
      </w:r>
      <w:r w:rsidRPr="00E91DCF">
        <w:rPr>
          <w:rFonts w:ascii="Times New Roman" w:hAnsi="Times New Roman"/>
          <w:sz w:val="24"/>
          <w:szCs w:val="24"/>
        </w:rPr>
        <w:t xml:space="preserve">.  </w:t>
      </w:r>
      <w:r w:rsidRPr="00DD2D19">
        <w:rPr>
          <w:rFonts w:ascii="Times New Roman" w:hAnsi="Times New Roman"/>
          <w:sz w:val="24"/>
          <w:szCs w:val="24"/>
        </w:rPr>
        <w:t>Any reader of MPI cases who has found themselves casually mentally ‘</w:t>
      </w:r>
      <w:proofErr w:type="spellStart"/>
      <w:r w:rsidRPr="00DD2D19">
        <w:rPr>
          <w:rFonts w:ascii="Times New Roman" w:hAnsi="Times New Roman"/>
          <w:sz w:val="24"/>
          <w:szCs w:val="24"/>
        </w:rPr>
        <w:t>jigsawing</w:t>
      </w:r>
      <w:proofErr w:type="spellEnd"/>
      <w:r w:rsidRPr="00DD2D19">
        <w:rPr>
          <w:rFonts w:ascii="Times New Roman" w:hAnsi="Times New Roman"/>
          <w:sz w:val="24"/>
          <w:szCs w:val="24"/>
        </w:rPr>
        <w:t xml:space="preserve">’ possible gaps, including claimants’ identities, illustrates this active, human </w:t>
      </w:r>
      <w:r w:rsidRPr="00C227D6">
        <w:rPr>
          <w:rFonts w:ascii="Times New Roman" w:hAnsi="Times New Roman"/>
          <w:sz w:val="24"/>
          <w:szCs w:val="24"/>
        </w:rPr>
        <w:t>curiosity at play.</w:t>
      </w:r>
      <w:r w:rsidR="00007B14" w:rsidRPr="00C227D6">
        <w:rPr>
          <w:rFonts w:ascii="Times New Roman" w:hAnsi="Times New Roman"/>
          <w:sz w:val="24"/>
          <w:szCs w:val="24"/>
        </w:rPr>
        <w:t xml:space="preserve">  </w:t>
      </w:r>
      <w:r w:rsidRPr="00C227D6">
        <w:rPr>
          <w:rFonts w:ascii="Times New Roman" w:hAnsi="Times New Roman"/>
          <w:sz w:val="24"/>
          <w:szCs w:val="24"/>
        </w:rPr>
        <w:t>Of course</w:t>
      </w:r>
      <w:r w:rsidRPr="00570955">
        <w:rPr>
          <w:rFonts w:ascii="Times New Roman" w:hAnsi="Times New Roman"/>
          <w:sz w:val="24"/>
          <w:szCs w:val="24"/>
        </w:rPr>
        <w:t>, the claim that curiosity (about id</w:t>
      </w:r>
      <w:r w:rsidR="00365849" w:rsidRPr="00570955">
        <w:rPr>
          <w:rFonts w:ascii="Times New Roman" w:hAnsi="Times New Roman"/>
          <w:sz w:val="24"/>
          <w:szCs w:val="24"/>
        </w:rPr>
        <w:t>entities or missing facts) is a</w:t>
      </w:r>
      <w:r w:rsidR="00B26AA7" w:rsidRPr="00570955">
        <w:rPr>
          <w:rFonts w:ascii="Times New Roman" w:hAnsi="Times New Roman"/>
          <w:sz w:val="24"/>
          <w:szCs w:val="24"/>
        </w:rPr>
        <w:t xml:space="preserve"> human and, it seems, not uncommon response</w:t>
      </w:r>
      <w:r w:rsidRPr="00570955">
        <w:rPr>
          <w:rFonts w:ascii="Times New Roman" w:hAnsi="Times New Roman"/>
          <w:sz w:val="24"/>
          <w:szCs w:val="24"/>
        </w:rPr>
        <w:t xml:space="preserve"> to MPI cases, </w:t>
      </w:r>
      <w:r w:rsidR="00B26AA7" w:rsidRPr="00570955">
        <w:rPr>
          <w:rFonts w:ascii="Times New Roman" w:hAnsi="Times New Roman"/>
          <w:sz w:val="24"/>
          <w:szCs w:val="24"/>
        </w:rPr>
        <w:t>i</w:t>
      </w:r>
      <w:r w:rsidR="00365849" w:rsidRPr="00570955">
        <w:rPr>
          <w:rFonts w:ascii="Times New Roman" w:hAnsi="Times New Roman"/>
          <w:sz w:val="24"/>
          <w:szCs w:val="24"/>
        </w:rPr>
        <w:t xml:space="preserve">s not to </w:t>
      </w:r>
      <w:r w:rsidR="00570955" w:rsidRPr="00570955">
        <w:rPr>
          <w:rFonts w:ascii="Times New Roman" w:hAnsi="Times New Roman"/>
          <w:sz w:val="24"/>
          <w:szCs w:val="24"/>
        </w:rPr>
        <w:t xml:space="preserve">assert </w:t>
      </w:r>
      <w:r w:rsidR="00B26AA7" w:rsidRPr="00570955">
        <w:rPr>
          <w:rFonts w:ascii="Times New Roman" w:hAnsi="Times New Roman"/>
          <w:sz w:val="24"/>
          <w:szCs w:val="24"/>
        </w:rPr>
        <w:t xml:space="preserve">that </w:t>
      </w:r>
      <w:r w:rsidR="00182357" w:rsidRPr="00570955">
        <w:rPr>
          <w:rFonts w:ascii="Times New Roman" w:hAnsi="Times New Roman"/>
          <w:sz w:val="24"/>
          <w:szCs w:val="24"/>
        </w:rPr>
        <w:t xml:space="preserve">everyone </w:t>
      </w:r>
      <w:r w:rsidR="00B26AA7" w:rsidRPr="00570955">
        <w:rPr>
          <w:rFonts w:ascii="Times New Roman" w:hAnsi="Times New Roman"/>
          <w:sz w:val="24"/>
          <w:szCs w:val="24"/>
        </w:rPr>
        <w:t>necessarily</w:t>
      </w:r>
      <w:r w:rsidR="00182357" w:rsidRPr="00570955">
        <w:rPr>
          <w:rFonts w:ascii="Times New Roman" w:hAnsi="Times New Roman"/>
          <w:sz w:val="24"/>
          <w:szCs w:val="24"/>
        </w:rPr>
        <w:t xml:space="preserve"> has</w:t>
      </w:r>
      <w:r w:rsidRPr="00570955">
        <w:rPr>
          <w:rFonts w:ascii="Times New Roman" w:hAnsi="Times New Roman"/>
          <w:sz w:val="24"/>
          <w:szCs w:val="24"/>
        </w:rPr>
        <w:t xml:space="preserve"> a ‘right to know’ </w:t>
      </w:r>
      <w:r w:rsidR="00B26AA7" w:rsidRPr="00570955">
        <w:rPr>
          <w:rFonts w:ascii="Times New Roman" w:hAnsi="Times New Roman"/>
          <w:sz w:val="24"/>
          <w:szCs w:val="24"/>
        </w:rPr>
        <w:t xml:space="preserve">private information </w:t>
      </w:r>
      <w:r w:rsidRPr="00570955">
        <w:rPr>
          <w:rFonts w:ascii="Times New Roman" w:hAnsi="Times New Roman"/>
          <w:sz w:val="24"/>
          <w:szCs w:val="24"/>
        </w:rPr>
        <w:t>or, indeed, t</w:t>
      </w:r>
      <w:r w:rsidR="0060490C">
        <w:rPr>
          <w:rFonts w:ascii="Times New Roman" w:hAnsi="Times New Roman"/>
          <w:sz w:val="24"/>
          <w:szCs w:val="24"/>
        </w:rPr>
        <w:t xml:space="preserve">o engage in moral witch-hunts.  </w:t>
      </w:r>
      <w:r w:rsidR="00F47B32" w:rsidRPr="00CB2B78">
        <w:rPr>
          <w:rFonts w:ascii="Times New Roman" w:hAnsi="Times New Roman"/>
          <w:sz w:val="24"/>
          <w:szCs w:val="24"/>
        </w:rPr>
        <w:t xml:space="preserve">But this </w:t>
      </w:r>
      <w:r w:rsidRPr="00CB2B78">
        <w:rPr>
          <w:rFonts w:ascii="Times New Roman" w:hAnsi="Times New Roman"/>
          <w:sz w:val="24"/>
          <w:szCs w:val="24"/>
        </w:rPr>
        <w:t>response to censored information, especially partially censored</w:t>
      </w:r>
      <w:r w:rsidR="00B026CC" w:rsidRPr="00CB2B78">
        <w:rPr>
          <w:rFonts w:ascii="Times New Roman" w:hAnsi="Times New Roman"/>
          <w:sz w:val="24"/>
          <w:szCs w:val="24"/>
        </w:rPr>
        <w:t xml:space="preserve"> stories</w:t>
      </w:r>
      <w:r w:rsidRPr="00CB2B78">
        <w:rPr>
          <w:rFonts w:ascii="Times New Roman" w:hAnsi="Times New Roman"/>
          <w:sz w:val="24"/>
          <w:szCs w:val="24"/>
        </w:rPr>
        <w:t xml:space="preserve">, </w:t>
      </w:r>
      <w:r w:rsidR="00B26AA7">
        <w:rPr>
          <w:rFonts w:ascii="Times New Roman" w:hAnsi="Times New Roman"/>
          <w:sz w:val="24"/>
          <w:szCs w:val="24"/>
        </w:rPr>
        <w:t>does pose</w:t>
      </w:r>
      <w:r w:rsidRPr="00CB2B78">
        <w:rPr>
          <w:rFonts w:ascii="Times New Roman" w:hAnsi="Times New Roman"/>
          <w:sz w:val="24"/>
          <w:szCs w:val="24"/>
        </w:rPr>
        <w:t xml:space="preserve"> an innate challenge to the </w:t>
      </w:r>
      <w:r w:rsidR="00CB2B78" w:rsidRPr="00CB2B78">
        <w:rPr>
          <w:rFonts w:ascii="Times New Roman" w:hAnsi="Times New Roman"/>
          <w:sz w:val="24"/>
          <w:szCs w:val="24"/>
        </w:rPr>
        <w:t xml:space="preserve">effective </w:t>
      </w:r>
      <w:r w:rsidRPr="00CB2B78">
        <w:rPr>
          <w:rFonts w:ascii="Times New Roman" w:hAnsi="Times New Roman"/>
          <w:sz w:val="24"/>
          <w:szCs w:val="24"/>
        </w:rPr>
        <w:t>enforcement of MPI law that should be acknowledged.  And this enduring human quality of curiosity – the desire to know, which is lauded in other contexts - may be one reason why MPI injunctions can never be infallible, or at least not in every case.</w:t>
      </w:r>
    </w:p>
    <w:p w:rsidR="00D557D8" w:rsidRDefault="00D557D8" w:rsidP="00D557D8">
      <w:pPr>
        <w:spacing w:after="0" w:line="240" w:lineRule="auto"/>
        <w:jc w:val="both"/>
        <w:rPr>
          <w:rFonts w:ascii="Times New Roman" w:hAnsi="Times New Roman"/>
          <w:i/>
          <w:color w:val="00B050"/>
          <w:sz w:val="24"/>
          <w:szCs w:val="24"/>
          <w:u w:val="single"/>
        </w:rPr>
      </w:pPr>
    </w:p>
    <w:p w:rsidR="00D557D8" w:rsidRPr="00B54252" w:rsidRDefault="00D557D8" w:rsidP="00D557D8">
      <w:pPr>
        <w:pStyle w:val="NoSpacing"/>
        <w:jc w:val="both"/>
        <w:rPr>
          <w:rFonts w:ascii="Times New Roman" w:hAnsi="Times New Roman"/>
        </w:rPr>
      </w:pPr>
    </w:p>
    <w:p w:rsidR="00D557D8" w:rsidRPr="003022F0" w:rsidRDefault="00D557D8" w:rsidP="00D557D8">
      <w:pPr>
        <w:pStyle w:val="NoSpacing"/>
        <w:jc w:val="both"/>
        <w:rPr>
          <w:rFonts w:ascii="Times New Roman" w:hAnsi="Times New Roman"/>
          <w:i/>
          <w:sz w:val="24"/>
          <w:szCs w:val="24"/>
          <w:u w:val="single"/>
        </w:rPr>
      </w:pPr>
      <w:r w:rsidRPr="003022F0">
        <w:rPr>
          <w:rFonts w:ascii="Times New Roman" w:hAnsi="Times New Roman"/>
          <w:b/>
          <w:i/>
          <w:sz w:val="24"/>
          <w:szCs w:val="24"/>
          <w:u w:val="single"/>
        </w:rPr>
        <w:t xml:space="preserve">[3.2] </w:t>
      </w:r>
      <w:r w:rsidR="00820AC4" w:rsidRPr="003022F0">
        <w:rPr>
          <w:rFonts w:ascii="Times New Roman" w:hAnsi="Times New Roman"/>
          <w:b/>
          <w:i/>
          <w:sz w:val="24"/>
          <w:szCs w:val="24"/>
          <w:u w:val="single"/>
        </w:rPr>
        <w:t>Countering</w:t>
      </w:r>
    </w:p>
    <w:p w:rsidR="00B54252" w:rsidRPr="003022F0" w:rsidRDefault="00B54252" w:rsidP="00D557D8">
      <w:pPr>
        <w:spacing w:after="0" w:line="240" w:lineRule="auto"/>
        <w:jc w:val="both"/>
        <w:rPr>
          <w:rFonts w:ascii="Times New Roman" w:hAnsi="Times New Roman"/>
          <w:sz w:val="24"/>
          <w:szCs w:val="24"/>
        </w:rPr>
      </w:pPr>
    </w:p>
    <w:p w:rsidR="003022F0" w:rsidRPr="00786854" w:rsidRDefault="003022F0" w:rsidP="003022F0">
      <w:pPr>
        <w:spacing w:after="0" w:line="240" w:lineRule="auto"/>
        <w:jc w:val="both"/>
        <w:rPr>
          <w:rFonts w:ascii="Times New Roman" w:hAnsi="Times New Roman"/>
          <w:sz w:val="24"/>
          <w:szCs w:val="24"/>
        </w:rPr>
      </w:pPr>
      <w:r w:rsidRPr="003022F0">
        <w:rPr>
          <w:rFonts w:ascii="Times New Roman" w:hAnsi="Times New Roman"/>
          <w:sz w:val="24"/>
          <w:szCs w:val="24"/>
        </w:rPr>
        <w:t>‘Countering’ is a second significant</w:t>
      </w:r>
      <w:r w:rsidR="00326F3F">
        <w:rPr>
          <w:rFonts w:ascii="Times New Roman" w:hAnsi="Times New Roman"/>
          <w:sz w:val="24"/>
          <w:szCs w:val="24"/>
        </w:rPr>
        <w:t xml:space="preserve"> factor that arguably led to</w:t>
      </w:r>
      <w:r w:rsidRPr="003022F0">
        <w:rPr>
          <w:rFonts w:ascii="Times New Roman" w:hAnsi="Times New Roman"/>
          <w:sz w:val="24"/>
          <w:szCs w:val="24"/>
        </w:rPr>
        <w:t xml:space="preserve"> unintended consequences in MPI cases.  It seems that more than curiosity was at play in the disputes outlined in Part 1.  There is also evidence of a rebellion, a kick-back or defiance of sorts.  Fine identifies ‘countering’ as one of four ways in which solutions to issues may generate further (unintended) problems.  Countering occurs where ‘</w:t>
      </w:r>
      <w:r w:rsidRPr="003022F0">
        <w:rPr>
          <w:rFonts w:ascii="Times New Roman" w:hAnsi="Times New Roman"/>
          <w:i/>
          <w:sz w:val="24"/>
          <w:szCs w:val="24"/>
        </w:rPr>
        <w:t xml:space="preserve">social problems generate a pitched battle between opponents who hold dramatically </w:t>
      </w:r>
      <w:r w:rsidRPr="00786854">
        <w:rPr>
          <w:rFonts w:ascii="Times New Roman" w:hAnsi="Times New Roman"/>
          <w:i/>
          <w:sz w:val="24"/>
          <w:szCs w:val="24"/>
        </w:rPr>
        <w:t>different values and beliefs</w:t>
      </w:r>
      <w:r w:rsidRPr="00786854">
        <w:rPr>
          <w:rFonts w:ascii="Times New Roman" w:hAnsi="Times New Roman"/>
          <w:sz w:val="24"/>
          <w:szCs w:val="24"/>
        </w:rPr>
        <w:t>’, and Fine cites abortion as an example.</w:t>
      </w:r>
      <w:r w:rsidRPr="00786854">
        <w:rPr>
          <w:rFonts w:ascii="Times New Roman" w:hAnsi="Times New Roman"/>
          <w:sz w:val="24"/>
          <w:szCs w:val="24"/>
          <w:vertAlign w:val="superscript"/>
        </w:rPr>
        <w:footnoteReference w:id="94"/>
      </w:r>
      <w:r w:rsidRPr="00786854">
        <w:rPr>
          <w:rFonts w:ascii="Times New Roman" w:hAnsi="Times New Roman"/>
          <w:sz w:val="24"/>
          <w:szCs w:val="24"/>
        </w:rPr>
        <w:t xml:space="preserve">  This counter-movement between opposing interests was arguably at play</w:t>
      </w:r>
      <w:r w:rsidR="00786854" w:rsidRPr="00786854">
        <w:rPr>
          <w:rFonts w:ascii="Times New Roman" w:hAnsi="Times New Roman"/>
          <w:sz w:val="24"/>
          <w:szCs w:val="24"/>
        </w:rPr>
        <w:t xml:space="preserve"> in the cases discussed, acting</w:t>
      </w:r>
      <w:r w:rsidRPr="00786854">
        <w:rPr>
          <w:rFonts w:ascii="Times New Roman" w:hAnsi="Times New Roman"/>
          <w:sz w:val="24"/>
          <w:szCs w:val="24"/>
        </w:rPr>
        <w:t xml:space="preserve"> to polarise the disputes.  In particular, the actions of three groups in defiance of injunctions represent vital instances of countering.  </w:t>
      </w:r>
    </w:p>
    <w:p w:rsidR="003022F0" w:rsidRPr="003022F0" w:rsidRDefault="003022F0" w:rsidP="003022F0">
      <w:pPr>
        <w:spacing w:after="0" w:line="240" w:lineRule="auto"/>
        <w:jc w:val="both"/>
        <w:rPr>
          <w:rFonts w:ascii="Times New Roman" w:hAnsi="Times New Roman"/>
          <w:color w:val="FF0000"/>
          <w:sz w:val="24"/>
          <w:szCs w:val="24"/>
        </w:rPr>
      </w:pPr>
    </w:p>
    <w:p w:rsidR="003022F0" w:rsidRPr="00F9777D" w:rsidRDefault="003022F0" w:rsidP="003022F0">
      <w:pPr>
        <w:spacing w:after="0" w:line="240" w:lineRule="auto"/>
        <w:jc w:val="both"/>
        <w:rPr>
          <w:rFonts w:ascii="Times New Roman" w:hAnsi="Times New Roman"/>
          <w:sz w:val="24"/>
          <w:szCs w:val="24"/>
        </w:rPr>
      </w:pPr>
      <w:r w:rsidRPr="00F9777D">
        <w:rPr>
          <w:rFonts w:ascii="Times New Roman" w:hAnsi="Times New Roman"/>
          <w:sz w:val="24"/>
          <w:szCs w:val="24"/>
        </w:rPr>
        <w:t xml:space="preserve">First, countering is arguably at play when media organisations based outside of the English courts’ jurisdiction publish the very information that injunctions seek to prohibit.  For example, in </w:t>
      </w:r>
      <w:proofErr w:type="spellStart"/>
      <w:r w:rsidRPr="00F9777D">
        <w:rPr>
          <w:rFonts w:ascii="Times New Roman" w:hAnsi="Times New Roman"/>
          <w:i/>
          <w:sz w:val="24"/>
          <w:szCs w:val="24"/>
        </w:rPr>
        <w:t>Spycatcher</w:t>
      </w:r>
      <w:proofErr w:type="spellEnd"/>
      <w:r w:rsidRPr="00F9777D">
        <w:rPr>
          <w:rFonts w:ascii="Times New Roman" w:hAnsi="Times New Roman"/>
          <w:sz w:val="24"/>
          <w:szCs w:val="24"/>
        </w:rPr>
        <w:t xml:space="preserve"> and </w:t>
      </w:r>
      <w:r w:rsidRPr="00F9777D">
        <w:rPr>
          <w:rFonts w:ascii="Times New Roman" w:hAnsi="Times New Roman"/>
          <w:i/>
          <w:sz w:val="24"/>
          <w:szCs w:val="24"/>
        </w:rPr>
        <w:t>PJS</w:t>
      </w:r>
      <w:r w:rsidRPr="00F9777D">
        <w:rPr>
          <w:rFonts w:ascii="Times New Roman" w:hAnsi="Times New Roman"/>
          <w:sz w:val="24"/>
          <w:szCs w:val="24"/>
        </w:rPr>
        <w:t xml:space="preserve">, there was widespread international publication across North America and beyond.  But even closer to home, the Scottish press has published the identities of </w:t>
      </w:r>
      <w:proofErr w:type="spellStart"/>
      <w:r w:rsidRPr="00F9777D">
        <w:rPr>
          <w:rFonts w:ascii="Times New Roman" w:hAnsi="Times New Roman"/>
          <w:sz w:val="24"/>
          <w:szCs w:val="24"/>
        </w:rPr>
        <w:t>Giggs</w:t>
      </w:r>
      <w:proofErr w:type="spellEnd"/>
      <w:r w:rsidRPr="00F9777D">
        <w:rPr>
          <w:rFonts w:ascii="Times New Roman" w:hAnsi="Times New Roman"/>
          <w:sz w:val="24"/>
          <w:szCs w:val="24"/>
        </w:rPr>
        <w:t xml:space="preserve"> and PJS north of the border raising logistical problems and acutely highlighting the concrete geographical limitations</w:t>
      </w:r>
      <w:r w:rsidR="00786854" w:rsidRPr="00F9777D">
        <w:rPr>
          <w:rFonts w:ascii="Times New Roman" w:hAnsi="Times New Roman"/>
          <w:sz w:val="24"/>
          <w:szCs w:val="24"/>
        </w:rPr>
        <w:t xml:space="preserve"> of the reach of English</w:t>
      </w:r>
      <w:r w:rsidRPr="00F9777D">
        <w:rPr>
          <w:rFonts w:ascii="Times New Roman" w:hAnsi="Times New Roman"/>
          <w:sz w:val="24"/>
          <w:szCs w:val="24"/>
        </w:rPr>
        <w:t xml:space="preserve"> injunctions.  It thus seems that in these cases the international media may have played a ‘countering’ role.  The institutional </w:t>
      </w:r>
      <w:r w:rsidRPr="004874AF">
        <w:rPr>
          <w:rFonts w:ascii="Times New Roman" w:hAnsi="Times New Roman"/>
          <w:sz w:val="24"/>
          <w:szCs w:val="24"/>
        </w:rPr>
        <w:t xml:space="preserve">ethos </w:t>
      </w:r>
      <w:r w:rsidR="00786854" w:rsidRPr="004874AF">
        <w:rPr>
          <w:rFonts w:ascii="Times New Roman" w:hAnsi="Times New Roman"/>
          <w:sz w:val="24"/>
          <w:szCs w:val="24"/>
        </w:rPr>
        <w:t>of the press strongly favours</w:t>
      </w:r>
      <w:r w:rsidRPr="004874AF">
        <w:rPr>
          <w:rFonts w:ascii="Times New Roman" w:hAnsi="Times New Roman"/>
          <w:sz w:val="24"/>
          <w:szCs w:val="24"/>
        </w:rPr>
        <w:t xml:space="preserve"> free expression values which it sees itself as upho</w:t>
      </w:r>
      <w:r w:rsidR="00786854" w:rsidRPr="004874AF">
        <w:rPr>
          <w:rFonts w:ascii="Times New Roman" w:hAnsi="Times New Roman"/>
          <w:sz w:val="24"/>
          <w:szCs w:val="24"/>
        </w:rPr>
        <w:t>lding.</w:t>
      </w:r>
      <w:r w:rsidR="00DB776E">
        <w:rPr>
          <w:rStyle w:val="FootnoteReference"/>
          <w:rFonts w:ascii="Times New Roman" w:hAnsi="Times New Roman"/>
          <w:sz w:val="24"/>
          <w:szCs w:val="24"/>
        </w:rPr>
        <w:footnoteReference w:id="95"/>
      </w:r>
      <w:r w:rsidR="00786854" w:rsidRPr="004874AF">
        <w:rPr>
          <w:rFonts w:ascii="Times New Roman" w:hAnsi="Times New Roman"/>
          <w:sz w:val="24"/>
          <w:szCs w:val="24"/>
        </w:rPr>
        <w:t xml:space="preserve">  The notion that wealthy, </w:t>
      </w:r>
      <w:r w:rsidRPr="004874AF">
        <w:rPr>
          <w:rFonts w:ascii="Times New Roman" w:hAnsi="Times New Roman"/>
          <w:sz w:val="24"/>
          <w:szCs w:val="24"/>
        </w:rPr>
        <w:t>powerful individuals should be able to conceal ‘wrongdoing’ by c</w:t>
      </w:r>
      <w:r w:rsidR="00786854" w:rsidRPr="004874AF">
        <w:rPr>
          <w:rFonts w:ascii="Times New Roman" w:hAnsi="Times New Roman"/>
          <w:sz w:val="24"/>
          <w:szCs w:val="24"/>
        </w:rPr>
        <w:t>ensoring what the media can publish</w:t>
      </w:r>
      <w:r w:rsidRPr="004874AF">
        <w:rPr>
          <w:rFonts w:ascii="Times New Roman" w:hAnsi="Times New Roman"/>
          <w:sz w:val="24"/>
          <w:szCs w:val="24"/>
        </w:rPr>
        <w:t xml:space="preserve"> </w:t>
      </w:r>
      <w:r w:rsidR="00F9777D" w:rsidRPr="004874AF">
        <w:rPr>
          <w:rFonts w:ascii="Times New Roman" w:hAnsi="Times New Roman"/>
          <w:sz w:val="24"/>
          <w:szCs w:val="24"/>
        </w:rPr>
        <w:t>is an anathema to this position</w:t>
      </w:r>
      <w:r w:rsidRPr="004874AF">
        <w:rPr>
          <w:rFonts w:ascii="Times New Roman" w:hAnsi="Times New Roman"/>
          <w:sz w:val="24"/>
          <w:szCs w:val="24"/>
        </w:rPr>
        <w:t xml:space="preserve">.  This </w:t>
      </w:r>
      <w:r w:rsidRPr="00F9777D">
        <w:rPr>
          <w:rFonts w:ascii="Times New Roman" w:hAnsi="Times New Roman"/>
          <w:sz w:val="24"/>
          <w:szCs w:val="24"/>
        </w:rPr>
        <w:t>is particularly the case in the US where, as</w:t>
      </w:r>
      <w:r w:rsidR="00DC4D59">
        <w:rPr>
          <w:rFonts w:ascii="Times New Roman" w:hAnsi="Times New Roman"/>
          <w:sz w:val="24"/>
          <w:szCs w:val="24"/>
        </w:rPr>
        <w:t xml:space="preserve"> the courts in</w:t>
      </w:r>
      <w:r w:rsidRPr="00F9777D">
        <w:rPr>
          <w:rFonts w:ascii="Times New Roman" w:hAnsi="Times New Roman"/>
          <w:sz w:val="24"/>
          <w:szCs w:val="24"/>
        </w:rPr>
        <w:t xml:space="preserve"> </w:t>
      </w:r>
      <w:proofErr w:type="spellStart"/>
      <w:r w:rsidRPr="00563B64">
        <w:rPr>
          <w:rFonts w:ascii="Times New Roman" w:hAnsi="Times New Roman"/>
          <w:i/>
          <w:sz w:val="24"/>
          <w:szCs w:val="24"/>
        </w:rPr>
        <w:t>Spycatcher</w:t>
      </w:r>
      <w:proofErr w:type="spellEnd"/>
      <w:r w:rsidR="00563B64">
        <w:rPr>
          <w:rFonts w:ascii="Times New Roman" w:hAnsi="Times New Roman"/>
          <w:sz w:val="24"/>
          <w:szCs w:val="24"/>
        </w:rPr>
        <w:t xml:space="preserve"> </w:t>
      </w:r>
      <w:r w:rsidRPr="00F9777D">
        <w:rPr>
          <w:rFonts w:ascii="Times New Roman" w:hAnsi="Times New Roman"/>
          <w:sz w:val="24"/>
          <w:szCs w:val="24"/>
        </w:rPr>
        <w:t>acknowledged, the constitution places prime emphasis on free expression by virtue of the First Amendment,</w:t>
      </w:r>
      <w:r w:rsidRPr="00F9777D">
        <w:rPr>
          <w:rFonts w:ascii="Times New Roman" w:hAnsi="Times New Roman"/>
          <w:sz w:val="24"/>
          <w:szCs w:val="24"/>
          <w:vertAlign w:val="superscript"/>
        </w:rPr>
        <w:footnoteReference w:id="96"/>
      </w:r>
      <w:r w:rsidRPr="00F9777D">
        <w:rPr>
          <w:rFonts w:ascii="Times New Roman" w:hAnsi="Times New Roman"/>
          <w:sz w:val="24"/>
          <w:szCs w:val="24"/>
        </w:rPr>
        <w:t xml:space="preserve"> and where privacy-</w:t>
      </w:r>
      <w:r w:rsidRPr="00F9777D">
        <w:rPr>
          <w:rFonts w:ascii="Times New Roman" w:hAnsi="Times New Roman"/>
          <w:sz w:val="24"/>
          <w:szCs w:val="24"/>
        </w:rPr>
        <w:lastRenderedPageBreak/>
        <w:t xml:space="preserve">protecting injunctions </w:t>
      </w:r>
      <w:r w:rsidR="00F9777D" w:rsidRPr="00F9777D">
        <w:rPr>
          <w:rFonts w:ascii="Times New Roman" w:hAnsi="Times New Roman"/>
          <w:sz w:val="24"/>
          <w:szCs w:val="24"/>
        </w:rPr>
        <w:t xml:space="preserve">of the MPI variety </w:t>
      </w:r>
      <w:r w:rsidRPr="00F9777D">
        <w:rPr>
          <w:rFonts w:ascii="Times New Roman" w:hAnsi="Times New Roman"/>
          <w:sz w:val="24"/>
          <w:szCs w:val="24"/>
        </w:rPr>
        <w:t>are culturally alien.  US media groups arguably publish for these reasons and, of course, because they can.</w:t>
      </w:r>
    </w:p>
    <w:p w:rsidR="003022F0" w:rsidRPr="003022F0" w:rsidRDefault="003022F0" w:rsidP="003022F0">
      <w:pPr>
        <w:spacing w:after="0" w:line="240" w:lineRule="auto"/>
        <w:contextualSpacing/>
        <w:jc w:val="both"/>
        <w:rPr>
          <w:rFonts w:ascii="Times New Roman" w:hAnsi="Times New Roman"/>
          <w:b/>
          <w:color w:val="FF0000"/>
          <w:sz w:val="24"/>
          <w:szCs w:val="24"/>
        </w:rPr>
      </w:pPr>
    </w:p>
    <w:p w:rsidR="003022F0" w:rsidRPr="003022F0" w:rsidRDefault="003022F0" w:rsidP="003022F0">
      <w:pPr>
        <w:spacing w:after="0" w:line="240" w:lineRule="auto"/>
        <w:jc w:val="both"/>
        <w:rPr>
          <w:rFonts w:ascii="Times New Roman" w:hAnsi="Times New Roman"/>
          <w:color w:val="FF0000"/>
          <w:sz w:val="24"/>
          <w:szCs w:val="24"/>
        </w:rPr>
      </w:pPr>
      <w:r w:rsidRPr="003022F0">
        <w:rPr>
          <w:rFonts w:ascii="Times New Roman" w:hAnsi="Times New Roman"/>
          <w:sz w:val="24"/>
          <w:szCs w:val="24"/>
        </w:rPr>
        <w:t xml:space="preserve">A second group that arguably demonstrates the effects of countering in action is the Members of Parliament who have </w:t>
      </w:r>
      <w:r w:rsidRPr="004513DF">
        <w:rPr>
          <w:rFonts w:ascii="Times New Roman" w:hAnsi="Times New Roman"/>
          <w:sz w:val="24"/>
          <w:szCs w:val="24"/>
        </w:rPr>
        <w:t xml:space="preserve">intervened in certain cases.  MPs in parliamentary debates named parties in direct breach of injunctions in </w:t>
      </w:r>
      <w:proofErr w:type="spellStart"/>
      <w:r w:rsidRPr="004513DF">
        <w:rPr>
          <w:rFonts w:ascii="Times New Roman" w:hAnsi="Times New Roman"/>
          <w:i/>
          <w:sz w:val="24"/>
          <w:szCs w:val="24"/>
        </w:rPr>
        <w:t>Giggs</w:t>
      </w:r>
      <w:proofErr w:type="spellEnd"/>
      <w:r w:rsidRPr="004513DF">
        <w:rPr>
          <w:rFonts w:ascii="Times New Roman" w:hAnsi="Times New Roman"/>
          <w:sz w:val="24"/>
          <w:szCs w:val="24"/>
        </w:rPr>
        <w:t xml:space="preserve"> and </w:t>
      </w:r>
      <w:r w:rsidRPr="004513DF">
        <w:rPr>
          <w:rFonts w:ascii="Times New Roman" w:hAnsi="Times New Roman"/>
          <w:i/>
          <w:sz w:val="24"/>
          <w:szCs w:val="24"/>
        </w:rPr>
        <w:t>Goodwin</w:t>
      </w:r>
      <w:r w:rsidRPr="004513DF">
        <w:rPr>
          <w:rFonts w:ascii="Times New Roman" w:hAnsi="Times New Roman"/>
          <w:sz w:val="24"/>
          <w:szCs w:val="24"/>
        </w:rPr>
        <w:t xml:space="preserve">, and would have done so in </w:t>
      </w:r>
      <w:r w:rsidRPr="004513DF">
        <w:rPr>
          <w:rFonts w:ascii="Times New Roman" w:hAnsi="Times New Roman"/>
          <w:i/>
          <w:sz w:val="24"/>
          <w:szCs w:val="24"/>
        </w:rPr>
        <w:t>PJS</w:t>
      </w:r>
      <w:r w:rsidRPr="004513DF">
        <w:rPr>
          <w:rFonts w:ascii="Times New Roman" w:hAnsi="Times New Roman"/>
          <w:sz w:val="24"/>
          <w:szCs w:val="24"/>
        </w:rPr>
        <w:t xml:space="preserve"> but for the intervention of the Speaker.  The direct defiance of these MPs is also said to be motivated by concerns about free expression,</w:t>
      </w:r>
      <w:r w:rsidRPr="004513DF">
        <w:rPr>
          <w:rFonts w:ascii="Times New Roman" w:hAnsi="Times New Roman"/>
          <w:sz w:val="24"/>
          <w:szCs w:val="24"/>
          <w:vertAlign w:val="superscript"/>
        </w:rPr>
        <w:footnoteReference w:id="97"/>
      </w:r>
      <w:r w:rsidRPr="004513DF">
        <w:rPr>
          <w:rFonts w:ascii="Times New Roman" w:hAnsi="Times New Roman"/>
          <w:sz w:val="24"/>
          <w:szCs w:val="24"/>
        </w:rPr>
        <w:t xml:space="preserve"> arguably further demonstrating a basic clash or conflict of values.</w:t>
      </w:r>
      <w:r w:rsidR="008710BA">
        <w:rPr>
          <w:rStyle w:val="FootnoteReference"/>
          <w:rFonts w:ascii="Times New Roman" w:hAnsi="Times New Roman"/>
          <w:sz w:val="24"/>
          <w:szCs w:val="24"/>
        </w:rPr>
        <w:footnoteReference w:id="98"/>
      </w:r>
      <w:r w:rsidRPr="004513DF">
        <w:rPr>
          <w:rFonts w:ascii="Times New Roman" w:hAnsi="Times New Roman"/>
          <w:sz w:val="24"/>
          <w:szCs w:val="24"/>
        </w:rPr>
        <w:t xml:space="preserve">  Finally, the largest group – the community of Internet users – also demonstrates countering in action, particularly in </w:t>
      </w:r>
      <w:r w:rsidRPr="004513DF">
        <w:rPr>
          <w:rFonts w:ascii="Times New Roman" w:hAnsi="Times New Roman"/>
          <w:i/>
          <w:sz w:val="24"/>
          <w:szCs w:val="24"/>
        </w:rPr>
        <w:t>Streisand, PJS</w:t>
      </w:r>
      <w:r w:rsidRPr="004513DF">
        <w:rPr>
          <w:rFonts w:ascii="Times New Roman" w:hAnsi="Times New Roman"/>
          <w:sz w:val="24"/>
          <w:szCs w:val="24"/>
        </w:rPr>
        <w:t xml:space="preserve"> and especially </w:t>
      </w:r>
      <w:proofErr w:type="spellStart"/>
      <w:r w:rsidRPr="004513DF">
        <w:rPr>
          <w:rFonts w:ascii="Times New Roman" w:hAnsi="Times New Roman"/>
          <w:i/>
          <w:sz w:val="24"/>
          <w:szCs w:val="24"/>
        </w:rPr>
        <w:t>Giggs</w:t>
      </w:r>
      <w:proofErr w:type="spellEnd"/>
      <w:r w:rsidRPr="004513DF">
        <w:rPr>
          <w:rFonts w:ascii="Times New Roman" w:hAnsi="Times New Roman"/>
          <w:sz w:val="24"/>
          <w:szCs w:val="24"/>
        </w:rPr>
        <w:t>.  The rapid proliferation of the #</w:t>
      </w:r>
      <w:proofErr w:type="spellStart"/>
      <w:r w:rsidRPr="004513DF">
        <w:rPr>
          <w:rFonts w:ascii="Times New Roman" w:hAnsi="Times New Roman"/>
          <w:sz w:val="24"/>
          <w:szCs w:val="24"/>
        </w:rPr>
        <w:t>Iamspartacus</w:t>
      </w:r>
      <w:proofErr w:type="spellEnd"/>
      <w:r w:rsidRPr="004513DF">
        <w:rPr>
          <w:rFonts w:ascii="Times New Roman" w:hAnsi="Times New Roman"/>
          <w:sz w:val="24"/>
          <w:szCs w:val="24"/>
        </w:rPr>
        <w:t xml:space="preserve"> handle in the latter case indicates a showdown between members of the web community, where a free expression, ‘information wants to be </w:t>
      </w:r>
      <w:r w:rsidRPr="003022F0">
        <w:rPr>
          <w:rFonts w:ascii="Times New Roman" w:hAnsi="Times New Roman"/>
          <w:sz w:val="24"/>
          <w:szCs w:val="24"/>
        </w:rPr>
        <w:t>free’ ethos prevails, and th</w:t>
      </w:r>
      <w:r w:rsidR="004513DF">
        <w:rPr>
          <w:rFonts w:ascii="Times New Roman" w:hAnsi="Times New Roman"/>
          <w:sz w:val="24"/>
          <w:szCs w:val="24"/>
        </w:rPr>
        <w:t xml:space="preserve">e concerns of an </w:t>
      </w:r>
      <w:r w:rsidRPr="003022F0">
        <w:rPr>
          <w:rFonts w:ascii="Times New Roman" w:hAnsi="Times New Roman"/>
          <w:sz w:val="24"/>
          <w:szCs w:val="24"/>
        </w:rPr>
        <w:t xml:space="preserve">individual seeking to exert control over what others know about him. </w:t>
      </w:r>
    </w:p>
    <w:p w:rsidR="003022F0" w:rsidRPr="003022F0" w:rsidRDefault="003022F0" w:rsidP="003022F0">
      <w:pPr>
        <w:spacing w:after="0" w:line="240" w:lineRule="auto"/>
        <w:jc w:val="both"/>
        <w:rPr>
          <w:rFonts w:ascii="Times New Roman" w:hAnsi="Times New Roman"/>
          <w:color w:val="FF0000"/>
          <w:sz w:val="24"/>
          <w:szCs w:val="24"/>
        </w:rPr>
      </w:pPr>
    </w:p>
    <w:p w:rsidR="003022F0" w:rsidRPr="00001AA3" w:rsidRDefault="003022F0" w:rsidP="003022F0">
      <w:pPr>
        <w:spacing w:after="0" w:line="240" w:lineRule="auto"/>
        <w:jc w:val="both"/>
        <w:rPr>
          <w:rFonts w:ascii="Times New Roman" w:hAnsi="Times New Roman"/>
          <w:sz w:val="24"/>
          <w:szCs w:val="24"/>
        </w:rPr>
      </w:pPr>
      <w:r w:rsidRPr="00030250">
        <w:rPr>
          <w:rFonts w:ascii="Times New Roman" w:hAnsi="Times New Roman"/>
          <w:sz w:val="24"/>
          <w:szCs w:val="24"/>
        </w:rPr>
        <w:t>The actions of these three groups do suggest forms of c</w:t>
      </w:r>
      <w:r w:rsidR="00DB42D7" w:rsidRPr="00030250">
        <w:rPr>
          <w:rFonts w:ascii="Times New Roman" w:hAnsi="Times New Roman"/>
          <w:sz w:val="24"/>
          <w:szCs w:val="24"/>
        </w:rPr>
        <w:t>ountering or defiance at play</w:t>
      </w:r>
      <w:r w:rsidR="00030250" w:rsidRPr="00030250">
        <w:rPr>
          <w:rFonts w:ascii="Times New Roman" w:hAnsi="Times New Roman"/>
          <w:sz w:val="24"/>
          <w:szCs w:val="24"/>
        </w:rPr>
        <w:t>.  They hold</w:t>
      </w:r>
      <w:r w:rsidRPr="00030250">
        <w:rPr>
          <w:rFonts w:ascii="Times New Roman" w:hAnsi="Times New Roman"/>
          <w:sz w:val="24"/>
          <w:szCs w:val="24"/>
        </w:rPr>
        <w:t xml:space="preserve"> </w:t>
      </w:r>
      <w:r w:rsidR="00030250" w:rsidRPr="00030250">
        <w:rPr>
          <w:rFonts w:ascii="Times New Roman" w:hAnsi="Times New Roman"/>
          <w:sz w:val="24"/>
          <w:szCs w:val="24"/>
        </w:rPr>
        <w:t xml:space="preserve">political </w:t>
      </w:r>
      <w:r w:rsidR="00030250" w:rsidRPr="001D4326">
        <w:rPr>
          <w:rFonts w:ascii="Times New Roman" w:hAnsi="Times New Roman"/>
          <w:sz w:val="24"/>
          <w:szCs w:val="24"/>
        </w:rPr>
        <w:t xml:space="preserve">values and </w:t>
      </w:r>
      <w:r w:rsidRPr="001D4326">
        <w:rPr>
          <w:rFonts w:ascii="Times New Roman" w:hAnsi="Times New Roman"/>
          <w:sz w:val="24"/>
          <w:szCs w:val="24"/>
        </w:rPr>
        <w:t>outlooks that directly oppose the censor</w:t>
      </w:r>
      <w:r w:rsidR="00001AA3" w:rsidRPr="001D4326">
        <w:rPr>
          <w:rFonts w:ascii="Times New Roman" w:hAnsi="Times New Roman"/>
          <w:sz w:val="24"/>
          <w:szCs w:val="24"/>
        </w:rPr>
        <w:t>ship implemented by injunctions,</w:t>
      </w:r>
      <w:r w:rsidR="00DA2326" w:rsidRPr="001D4326">
        <w:rPr>
          <w:rFonts w:ascii="Times New Roman" w:hAnsi="Times New Roman"/>
          <w:sz w:val="24"/>
          <w:szCs w:val="24"/>
        </w:rPr>
        <w:t xml:space="preserve"> </w:t>
      </w:r>
      <w:r w:rsidR="001D4326" w:rsidRPr="001D4326">
        <w:rPr>
          <w:rFonts w:ascii="Times New Roman" w:hAnsi="Times New Roman"/>
          <w:sz w:val="24"/>
          <w:szCs w:val="24"/>
        </w:rPr>
        <w:t>and their reactions contribute</w:t>
      </w:r>
      <w:r w:rsidR="00001AA3" w:rsidRPr="001D4326">
        <w:rPr>
          <w:rFonts w:ascii="Times New Roman" w:hAnsi="Times New Roman"/>
          <w:sz w:val="24"/>
          <w:szCs w:val="24"/>
        </w:rPr>
        <w:t xml:space="preserve"> to the</w:t>
      </w:r>
      <w:r w:rsidR="00DA2326" w:rsidRPr="001D4326">
        <w:rPr>
          <w:rFonts w:ascii="Times New Roman" w:hAnsi="Times New Roman"/>
          <w:sz w:val="24"/>
          <w:szCs w:val="24"/>
        </w:rPr>
        <w:t xml:space="preserve"> uni</w:t>
      </w:r>
      <w:r w:rsidR="00030250" w:rsidRPr="001D4326">
        <w:rPr>
          <w:rFonts w:ascii="Times New Roman" w:hAnsi="Times New Roman"/>
          <w:sz w:val="24"/>
          <w:szCs w:val="24"/>
        </w:rPr>
        <w:t>n</w:t>
      </w:r>
      <w:r w:rsidR="00DA2326" w:rsidRPr="001D4326">
        <w:rPr>
          <w:rFonts w:ascii="Times New Roman" w:hAnsi="Times New Roman"/>
          <w:sz w:val="24"/>
          <w:szCs w:val="24"/>
        </w:rPr>
        <w:t>tended problems</w:t>
      </w:r>
      <w:r w:rsidR="00001AA3" w:rsidRPr="001D4326">
        <w:rPr>
          <w:rFonts w:ascii="Times New Roman" w:hAnsi="Times New Roman"/>
          <w:sz w:val="24"/>
          <w:szCs w:val="24"/>
        </w:rPr>
        <w:t xml:space="preserve"> </w:t>
      </w:r>
      <w:r w:rsidR="001D4326" w:rsidRPr="001D4326">
        <w:rPr>
          <w:rFonts w:ascii="Times New Roman" w:hAnsi="Times New Roman"/>
          <w:sz w:val="24"/>
          <w:szCs w:val="24"/>
        </w:rPr>
        <w:t>such injunctions generate</w:t>
      </w:r>
      <w:r w:rsidR="00DA2326" w:rsidRPr="001D4326">
        <w:rPr>
          <w:rFonts w:ascii="Times New Roman" w:hAnsi="Times New Roman"/>
          <w:sz w:val="24"/>
          <w:szCs w:val="24"/>
        </w:rPr>
        <w:t>.</w:t>
      </w:r>
      <w:r w:rsidRPr="001D4326">
        <w:rPr>
          <w:rFonts w:ascii="Times New Roman" w:hAnsi="Times New Roman"/>
          <w:sz w:val="24"/>
          <w:szCs w:val="24"/>
        </w:rPr>
        <w:t xml:space="preserve"> </w:t>
      </w:r>
      <w:r w:rsidR="00001AA3" w:rsidRPr="001D4326">
        <w:rPr>
          <w:rFonts w:ascii="Times New Roman" w:hAnsi="Times New Roman"/>
          <w:sz w:val="24"/>
          <w:szCs w:val="24"/>
        </w:rPr>
        <w:t xml:space="preserve"> Though such defiance </w:t>
      </w:r>
      <w:r w:rsidR="00001AA3" w:rsidRPr="00001AA3">
        <w:rPr>
          <w:rFonts w:ascii="Times New Roman" w:hAnsi="Times New Roman"/>
          <w:sz w:val="24"/>
          <w:szCs w:val="24"/>
        </w:rPr>
        <w:t xml:space="preserve">has been condemned for its </w:t>
      </w:r>
      <w:r w:rsidRPr="00001AA3">
        <w:rPr>
          <w:rFonts w:ascii="Times New Roman" w:hAnsi="Times New Roman"/>
          <w:sz w:val="24"/>
          <w:szCs w:val="24"/>
        </w:rPr>
        <w:t>blatant disregard of privacy values or the rule of law more generally,</w:t>
      </w:r>
      <w:r w:rsidRPr="00001AA3">
        <w:rPr>
          <w:rFonts w:ascii="Times New Roman" w:hAnsi="Times New Roman"/>
          <w:sz w:val="24"/>
          <w:szCs w:val="24"/>
          <w:vertAlign w:val="superscript"/>
        </w:rPr>
        <w:footnoteReference w:id="99"/>
      </w:r>
      <w:r w:rsidRPr="00001AA3">
        <w:rPr>
          <w:rFonts w:ascii="Times New Roman" w:hAnsi="Times New Roman"/>
          <w:sz w:val="24"/>
          <w:szCs w:val="24"/>
        </w:rPr>
        <w:t xml:space="preserve"> cases such as </w:t>
      </w:r>
      <w:proofErr w:type="spellStart"/>
      <w:r w:rsidRPr="00001AA3">
        <w:rPr>
          <w:rFonts w:ascii="Times New Roman" w:hAnsi="Times New Roman"/>
          <w:i/>
          <w:sz w:val="24"/>
          <w:szCs w:val="24"/>
        </w:rPr>
        <w:t>Spycatcher</w:t>
      </w:r>
      <w:proofErr w:type="spellEnd"/>
      <w:r w:rsidRPr="00001AA3">
        <w:rPr>
          <w:rFonts w:ascii="Times New Roman" w:hAnsi="Times New Roman"/>
          <w:sz w:val="24"/>
          <w:szCs w:val="24"/>
        </w:rPr>
        <w:t xml:space="preserve"> and </w:t>
      </w:r>
      <w:proofErr w:type="spellStart"/>
      <w:r w:rsidRPr="00001AA3">
        <w:rPr>
          <w:rFonts w:ascii="Times New Roman" w:hAnsi="Times New Roman"/>
          <w:i/>
          <w:sz w:val="24"/>
          <w:szCs w:val="24"/>
        </w:rPr>
        <w:t>Trafigura</w:t>
      </w:r>
      <w:proofErr w:type="spellEnd"/>
      <w:r w:rsidRPr="00001AA3">
        <w:rPr>
          <w:rFonts w:ascii="Times New Roman" w:hAnsi="Times New Roman"/>
          <w:sz w:val="24"/>
          <w:szCs w:val="24"/>
          <w:vertAlign w:val="superscript"/>
        </w:rPr>
        <w:footnoteReference w:id="100"/>
      </w:r>
      <w:r w:rsidR="00001AA3" w:rsidRPr="00001AA3">
        <w:rPr>
          <w:rFonts w:ascii="Times New Roman" w:hAnsi="Times New Roman"/>
          <w:sz w:val="24"/>
          <w:szCs w:val="24"/>
        </w:rPr>
        <w:t xml:space="preserve"> demonstrate that</w:t>
      </w:r>
      <w:r w:rsidR="00DB42D7" w:rsidRPr="00001AA3">
        <w:rPr>
          <w:rFonts w:ascii="Times New Roman" w:hAnsi="Times New Roman"/>
          <w:sz w:val="24"/>
          <w:szCs w:val="24"/>
        </w:rPr>
        <w:t xml:space="preserve"> countering</w:t>
      </w:r>
      <w:r w:rsidRPr="00001AA3">
        <w:rPr>
          <w:rFonts w:ascii="Times New Roman" w:hAnsi="Times New Roman"/>
          <w:sz w:val="24"/>
          <w:szCs w:val="24"/>
        </w:rPr>
        <w:t xml:space="preserve"> can also be sign of </w:t>
      </w:r>
      <w:r w:rsidR="00DB42D7" w:rsidRPr="00001AA3">
        <w:rPr>
          <w:rFonts w:ascii="Times New Roman" w:hAnsi="Times New Roman"/>
          <w:sz w:val="24"/>
          <w:szCs w:val="24"/>
        </w:rPr>
        <w:t xml:space="preserve">a </w:t>
      </w:r>
      <w:r w:rsidRPr="00001AA3">
        <w:rPr>
          <w:rFonts w:ascii="Times New Roman" w:hAnsi="Times New Roman"/>
          <w:sz w:val="24"/>
          <w:szCs w:val="24"/>
        </w:rPr>
        <w:t>healthy arena of public discussion, which, according to Mill, entailed conflict, collision and resistance of opposing views.</w:t>
      </w:r>
      <w:r w:rsidRPr="00001AA3">
        <w:rPr>
          <w:rFonts w:ascii="Times New Roman" w:hAnsi="Times New Roman"/>
          <w:sz w:val="24"/>
          <w:szCs w:val="24"/>
          <w:vertAlign w:val="superscript"/>
        </w:rPr>
        <w:footnoteReference w:id="101"/>
      </w:r>
      <w:r w:rsidRPr="00001AA3">
        <w:rPr>
          <w:rFonts w:ascii="Times New Roman" w:hAnsi="Times New Roman"/>
          <w:sz w:val="24"/>
          <w:szCs w:val="24"/>
        </w:rPr>
        <w:t xml:space="preserve"> </w:t>
      </w:r>
    </w:p>
    <w:p w:rsidR="000E0275" w:rsidRDefault="000E0275" w:rsidP="00D557D8">
      <w:pPr>
        <w:spacing w:after="0" w:line="240" w:lineRule="auto"/>
        <w:jc w:val="both"/>
        <w:rPr>
          <w:rFonts w:ascii="Times New Roman" w:hAnsi="Times New Roman"/>
          <w:color w:val="FF0000"/>
          <w:sz w:val="24"/>
          <w:szCs w:val="24"/>
        </w:rPr>
      </w:pPr>
    </w:p>
    <w:p w:rsidR="00445370" w:rsidRDefault="00445370" w:rsidP="00D557D8">
      <w:pPr>
        <w:spacing w:after="0" w:line="240" w:lineRule="auto"/>
        <w:jc w:val="both"/>
        <w:rPr>
          <w:rFonts w:ascii="Times New Roman" w:hAnsi="Times New Roman"/>
          <w:color w:val="FF0000"/>
          <w:sz w:val="24"/>
          <w:szCs w:val="24"/>
        </w:rPr>
      </w:pPr>
    </w:p>
    <w:p w:rsidR="00AC4F1C" w:rsidRPr="00FF62F6" w:rsidRDefault="00AC4F1C" w:rsidP="00AC4F1C">
      <w:pPr>
        <w:spacing w:after="0" w:line="240" w:lineRule="auto"/>
        <w:jc w:val="both"/>
        <w:rPr>
          <w:rFonts w:ascii="Times New Roman" w:hAnsi="Times New Roman"/>
          <w:b/>
          <w:i/>
          <w:sz w:val="24"/>
          <w:szCs w:val="24"/>
          <w:u w:val="single"/>
        </w:rPr>
      </w:pPr>
      <w:r w:rsidRPr="00FF62F6">
        <w:rPr>
          <w:rFonts w:ascii="Times New Roman" w:hAnsi="Times New Roman"/>
          <w:b/>
          <w:i/>
          <w:sz w:val="24"/>
          <w:szCs w:val="24"/>
          <w:u w:val="single"/>
        </w:rPr>
        <w:t>[3.3] The Liquidity of Online Information</w:t>
      </w:r>
    </w:p>
    <w:p w:rsidR="00AC4F1C" w:rsidRPr="00683200" w:rsidRDefault="00AC4F1C" w:rsidP="00AC4F1C">
      <w:pPr>
        <w:spacing w:after="0" w:line="240" w:lineRule="auto"/>
        <w:jc w:val="both"/>
        <w:rPr>
          <w:rFonts w:ascii="Times New Roman" w:hAnsi="Times New Roman"/>
          <w:sz w:val="24"/>
          <w:szCs w:val="24"/>
        </w:rPr>
      </w:pPr>
    </w:p>
    <w:p w:rsidR="00AC4F1C" w:rsidRPr="00683200" w:rsidRDefault="00DA7518" w:rsidP="00AC4F1C">
      <w:pPr>
        <w:spacing w:after="0" w:line="240" w:lineRule="auto"/>
        <w:jc w:val="both"/>
        <w:rPr>
          <w:rFonts w:ascii="Times New Roman" w:hAnsi="Times New Roman"/>
          <w:sz w:val="24"/>
          <w:szCs w:val="24"/>
        </w:rPr>
      </w:pPr>
      <w:r>
        <w:rPr>
          <w:rFonts w:ascii="Times New Roman" w:hAnsi="Times New Roman"/>
          <w:sz w:val="24"/>
          <w:szCs w:val="24"/>
        </w:rPr>
        <w:t>The third and final factor contributi</w:t>
      </w:r>
      <w:r w:rsidR="00AC4F1C" w:rsidRPr="00683200">
        <w:rPr>
          <w:rFonts w:ascii="Times New Roman" w:hAnsi="Times New Roman"/>
          <w:sz w:val="24"/>
          <w:szCs w:val="24"/>
        </w:rPr>
        <w:t>ng to the unintended consequences of privacy injunctions is the Internet and</w:t>
      </w:r>
      <w:r w:rsidR="00683200" w:rsidRPr="00683200">
        <w:rPr>
          <w:rFonts w:ascii="Times New Roman" w:hAnsi="Times New Roman"/>
          <w:sz w:val="24"/>
          <w:szCs w:val="24"/>
        </w:rPr>
        <w:t xml:space="preserve"> associated</w:t>
      </w:r>
      <w:r w:rsidR="00AC4F1C" w:rsidRPr="00683200">
        <w:rPr>
          <w:rFonts w:ascii="Times New Roman" w:hAnsi="Times New Roman"/>
          <w:sz w:val="24"/>
          <w:szCs w:val="24"/>
        </w:rPr>
        <w:t xml:space="preserve"> information technologies.  The specific characteristics of the Internet as a medium act to exacerbate the issues.  Elsewhere I have drawn upon the work of Lash</w:t>
      </w:r>
      <w:r w:rsidR="00AC4F1C" w:rsidRPr="00683200">
        <w:rPr>
          <w:rFonts w:ascii="Times New Roman" w:hAnsi="Times New Roman"/>
          <w:sz w:val="24"/>
          <w:szCs w:val="24"/>
          <w:vertAlign w:val="superscript"/>
        </w:rPr>
        <w:footnoteReference w:id="102"/>
      </w:r>
      <w:r w:rsidR="00AC4F1C" w:rsidRPr="00683200">
        <w:rPr>
          <w:rFonts w:ascii="Times New Roman" w:hAnsi="Times New Roman"/>
          <w:sz w:val="24"/>
          <w:szCs w:val="24"/>
        </w:rPr>
        <w:t xml:space="preserve"> and Castells,</w:t>
      </w:r>
      <w:r w:rsidR="00AC4F1C" w:rsidRPr="00683200">
        <w:rPr>
          <w:rFonts w:ascii="Times New Roman" w:hAnsi="Times New Roman"/>
          <w:sz w:val="24"/>
          <w:szCs w:val="24"/>
          <w:vertAlign w:val="superscript"/>
        </w:rPr>
        <w:footnoteReference w:id="103"/>
      </w:r>
      <w:r w:rsidR="00AC4F1C" w:rsidRPr="00683200">
        <w:rPr>
          <w:rFonts w:ascii="Times New Roman" w:hAnsi="Times New Roman"/>
          <w:sz w:val="24"/>
          <w:szCs w:val="24"/>
        </w:rPr>
        <w:t xml:space="preserve"> both of whom offer insights into the nature of information in the Internet era.  They suggest that internet technologies have resulted in information becoming intangible in nature and detached from physical copies such as individual books or newspapers.  Information is now highly mobile, moving rapidly and unpredictably in ‘flows’, resulting in spatial and temporal compression.</w:t>
      </w:r>
      <w:r w:rsidR="00AC4F1C" w:rsidRPr="00683200">
        <w:rPr>
          <w:rFonts w:ascii="Times New Roman" w:hAnsi="Times New Roman"/>
          <w:sz w:val="24"/>
          <w:szCs w:val="24"/>
          <w:vertAlign w:val="superscript"/>
        </w:rPr>
        <w:footnoteReference w:id="104"/>
      </w:r>
      <w:r w:rsidR="00AC4F1C" w:rsidRPr="00683200">
        <w:rPr>
          <w:rFonts w:ascii="Times New Roman" w:hAnsi="Times New Roman"/>
          <w:sz w:val="24"/>
          <w:szCs w:val="24"/>
        </w:rPr>
        <w:t xml:space="preserve">  These three related characteristics of temporal compressio</w:t>
      </w:r>
      <w:r w:rsidR="00683200" w:rsidRPr="00683200">
        <w:rPr>
          <w:rFonts w:ascii="Times New Roman" w:hAnsi="Times New Roman"/>
          <w:sz w:val="24"/>
          <w:szCs w:val="24"/>
        </w:rPr>
        <w:t xml:space="preserve">n, spatial compression and </w:t>
      </w:r>
      <w:r w:rsidR="00AC4F1C" w:rsidRPr="00683200">
        <w:rPr>
          <w:rFonts w:ascii="Times New Roman" w:hAnsi="Times New Roman"/>
          <w:sz w:val="24"/>
          <w:szCs w:val="24"/>
        </w:rPr>
        <w:t xml:space="preserve">fluidity were particularly influential in MPI unintended consequences cases, and are now discussed in turn.  </w:t>
      </w:r>
    </w:p>
    <w:p w:rsidR="00AC4F1C" w:rsidRPr="00AC4F1C" w:rsidRDefault="00AC4F1C" w:rsidP="00AC4F1C">
      <w:pPr>
        <w:spacing w:after="0" w:line="240" w:lineRule="auto"/>
        <w:jc w:val="both"/>
        <w:rPr>
          <w:rFonts w:ascii="Times New Roman" w:hAnsi="Times New Roman"/>
          <w:sz w:val="24"/>
          <w:szCs w:val="24"/>
        </w:rPr>
      </w:pPr>
    </w:p>
    <w:p w:rsidR="00AC4F1C" w:rsidRPr="00870AE3" w:rsidRDefault="00AC4F1C" w:rsidP="00AC4F1C">
      <w:pPr>
        <w:spacing w:after="0" w:line="240" w:lineRule="auto"/>
        <w:jc w:val="both"/>
        <w:rPr>
          <w:rFonts w:ascii="Times New Roman" w:hAnsi="Times New Roman"/>
          <w:sz w:val="24"/>
          <w:szCs w:val="24"/>
        </w:rPr>
      </w:pPr>
      <w:r w:rsidRPr="00AC4F1C">
        <w:rPr>
          <w:rFonts w:ascii="Times New Roman" w:hAnsi="Times New Roman"/>
          <w:sz w:val="24"/>
          <w:szCs w:val="24"/>
        </w:rPr>
        <w:t xml:space="preserve">The </w:t>
      </w:r>
      <w:r w:rsidR="008B7782" w:rsidRPr="00870AE3">
        <w:rPr>
          <w:rFonts w:ascii="Times New Roman" w:hAnsi="Times New Roman"/>
          <w:sz w:val="24"/>
          <w:szCs w:val="24"/>
        </w:rPr>
        <w:t xml:space="preserve">Part 1 </w:t>
      </w:r>
      <w:r w:rsidRPr="00870AE3">
        <w:rPr>
          <w:rFonts w:ascii="Times New Roman" w:hAnsi="Times New Roman"/>
          <w:sz w:val="24"/>
          <w:szCs w:val="24"/>
        </w:rPr>
        <w:t xml:space="preserve">cases aptly illustrate that, though the challenges of restricting information are by no means new, they are intensified by the Internet’s capacity to enable information to be </w:t>
      </w:r>
      <w:r w:rsidRPr="00870AE3">
        <w:rPr>
          <w:rFonts w:ascii="Times New Roman" w:hAnsi="Times New Roman"/>
          <w:sz w:val="24"/>
          <w:szCs w:val="24"/>
        </w:rPr>
        <w:lastRenderedPageBreak/>
        <w:t xml:space="preserve">widely communicated </w:t>
      </w:r>
      <w:r w:rsidRPr="00870AE3">
        <w:rPr>
          <w:rFonts w:ascii="Times New Roman" w:hAnsi="Times New Roman"/>
          <w:i/>
          <w:sz w:val="24"/>
          <w:szCs w:val="24"/>
        </w:rPr>
        <w:t>instantaneously</w:t>
      </w:r>
      <w:r w:rsidRPr="00870AE3">
        <w:rPr>
          <w:rFonts w:ascii="Times New Roman" w:hAnsi="Times New Roman"/>
          <w:sz w:val="24"/>
          <w:szCs w:val="24"/>
        </w:rPr>
        <w:t xml:space="preserve"> via decentralised networks.  For example, in </w:t>
      </w:r>
      <w:proofErr w:type="spellStart"/>
      <w:r w:rsidRPr="00870AE3">
        <w:rPr>
          <w:rFonts w:ascii="Times New Roman" w:hAnsi="Times New Roman"/>
          <w:i/>
          <w:sz w:val="24"/>
          <w:szCs w:val="24"/>
        </w:rPr>
        <w:t>Spycatcher</w:t>
      </w:r>
      <w:proofErr w:type="spellEnd"/>
      <w:r w:rsidRPr="00870AE3">
        <w:rPr>
          <w:rFonts w:ascii="Times New Roman" w:hAnsi="Times New Roman"/>
          <w:sz w:val="24"/>
          <w:szCs w:val="24"/>
        </w:rPr>
        <w:t xml:space="preserve"> the analogue process </w:t>
      </w:r>
      <w:r w:rsidR="00075F50">
        <w:rPr>
          <w:rFonts w:ascii="Times New Roman" w:hAnsi="Times New Roman"/>
          <w:sz w:val="24"/>
          <w:szCs w:val="24"/>
        </w:rPr>
        <w:t xml:space="preserve">of </w:t>
      </w:r>
      <w:r w:rsidRPr="00870AE3">
        <w:rPr>
          <w:rFonts w:ascii="Times New Roman" w:hAnsi="Times New Roman"/>
          <w:sz w:val="24"/>
          <w:szCs w:val="24"/>
        </w:rPr>
        <w:t>dissemination unfurled ov</w:t>
      </w:r>
      <w:r w:rsidR="00870AE3" w:rsidRPr="00870AE3">
        <w:rPr>
          <w:rFonts w:ascii="Times New Roman" w:hAnsi="Times New Roman"/>
          <w:sz w:val="24"/>
          <w:szCs w:val="24"/>
        </w:rPr>
        <w:t>er a period of weeks and months,</w:t>
      </w:r>
      <w:r w:rsidRPr="00870AE3">
        <w:rPr>
          <w:rFonts w:ascii="Times New Roman" w:hAnsi="Times New Roman"/>
          <w:sz w:val="24"/>
          <w:szCs w:val="24"/>
        </w:rPr>
        <w:t xml:space="preserve"> with physical copies filtering into the country.  Yet with digital technologies such time-frames are significantly compressed into days or even hours.  For example, Max Mosley’s application for an interim injunction within 4 days of the defendant’s publication was unsuccessful because of the sheer scale of online </w:t>
      </w:r>
      <w:r w:rsidR="00870AE3" w:rsidRPr="00870AE3">
        <w:rPr>
          <w:rFonts w:ascii="Times New Roman" w:hAnsi="Times New Roman"/>
          <w:sz w:val="24"/>
          <w:szCs w:val="24"/>
        </w:rPr>
        <w:t>dissemination in that short period</w:t>
      </w:r>
      <w:r w:rsidRPr="00870AE3">
        <w:rPr>
          <w:rFonts w:ascii="Times New Roman" w:hAnsi="Times New Roman"/>
          <w:sz w:val="24"/>
          <w:szCs w:val="24"/>
        </w:rPr>
        <w:t>.</w:t>
      </w:r>
      <w:r w:rsidRPr="00870AE3">
        <w:rPr>
          <w:rFonts w:ascii="Times New Roman" w:hAnsi="Times New Roman"/>
          <w:sz w:val="24"/>
          <w:szCs w:val="24"/>
          <w:vertAlign w:val="superscript"/>
        </w:rPr>
        <w:footnoteReference w:id="105"/>
      </w:r>
      <w:r w:rsidRPr="00870AE3">
        <w:rPr>
          <w:rFonts w:ascii="Times New Roman" w:hAnsi="Times New Roman"/>
          <w:sz w:val="24"/>
          <w:szCs w:val="24"/>
        </w:rPr>
        <w:t xml:space="preserve">  The </w:t>
      </w:r>
      <w:proofErr w:type="spellStart"/>
      <w:r w:rsidRPr="00870AE3">
        <w:rPr>
          <w:rFonts w:ascii="Times New Roman" w:hAnsi="Times New Roman"/>
          <w:sz w:val="24"/>
          <w:szCs w:val="24"/>
        </w:rPr>
        <w:t>Giggs</w:t>
      </w:r>
      <w:proofErr w:type="spellEnd"/>
      <w:r w:rsidRPr="00870AE3">
        <w:rPr>
          <w:rFonts w:ascii="Times New Roman" w:hAnsi="Times New Roman"/>
          <w:sz w:val="24"/>
          <w:szCs w:val="24"/>
        </w:rPr>
        <w:t xml:space="preserve"> affair provides a furt</w:t>
      </w:r>
      <w:r w:rsidR="00075F50">
        <w:rPr>
          <w:rFonts w:ascii="Times New Roman" w:hAnsi="Times New Roman"/>
          <w:sz w:val="24"/>
          <w:szCs w:val="24"/>
        </w:rPr>
        <w:t>her salient example of the</w:t>
      </w:r>
      <w:r w:rsidRPr="00870AE3">
        <w:rPr>
          <w:rFonts w:ascii="Times New Roman" w:hAnsi="Times New Roman"/>
          <w:sz w:val="24"/>
          <w:szCs w:val="24"/>
        </w:rPr>
        <w:t xml:space="preserve"> speed with which information can be spread in a matter of hours.  The Internet’s temporal compression </w:t>
      </w:r>
      <w:r w:rsidR="00870AE3" w:rsidRPr="00870AE3">
        <w:rPr>
          <w:rFonts w:ascii="Times New Roman" w:hAnsi="Times New Roman"/>
          <w:sz w:val="24"/>
          <w:szCs w:val="24"/>
        </w:rPr>
        <w:t>is particularly relevant</w:t>
      </w:r>
      <w:r w:rsidRPr="00870AE3">
        <w:rPr>
          <w:rFonts w:ascii="Times New Roman" w:hAnsi="Times New Roman"/>
          <w:sz w:val="24"/>
          <w:szCs w:val="24"/>
        </w:rPr>
        <w:t xml:space="preserve"> to MPI because of its interaction with the psychological reactance r</w:t>
      </w:r>
      <w:r w:rsidR="00234E8F">
        <w:rPr>
          <w:rFonts w:ascii="Times New Roman" w:hAnsi="Times New Roman"/>
          <w:sz w:val="24"/>
          <w:szCs w:val="24"/>
        </w:rPr>
        <w:t>esponse outlined above.  Olson and</w:t>
      </w:r>
      <w:r w:rsidRPr="00870AE3">
        <w:rPr>
          <w:rFonts w:ascii="Times New Roman" w:hAnsi="Times New Roman"/>
          <w:sz w:val="24"/>
          <w:szCs w:val="24"/>
        </w:rPr>
        <w:t xml:space="preserve"> </w:t>
      </w:r>
      <w:proofErr w:type="spellStart"/>
      <w:r w:rsidRPr="00870AE3">
        <w:rPr>
          <w:rFonts w:ascii="Times New Roman" w:hAnsi="Times New Roman"/>
          <w:sz w:val="24"/>
          <w:szCs w:val="24"/>
        </w:rPr>
        <w:t>Esses</w:t>
      </w:r>
      <w:proofErr w:type="spellEnd"/>
      <w:r w:rsidRPr="00870AE3">
        <w:rPr>
          <w:rFonts w:ascii="Times New Roman" w:hAnsi="Times New Roman"/>
          <w:sz w:val="24"/>
          <w:szCs w:val="24"/>
        </w:rPr>
        <w:t xml:space="preserve"> note other potential responses to censorship which entail the compliance of individuals.</w:t>
      </w:r>
      <w:r w:rsidRPr="00870AE3">
        <w:rPr>
          <w:rFonts w:ascii="Times New Roman" w:hAnsi="Times New Roman"/>
          <w:sz w:val="24"/>
          <w:szCs w:val="24"/>
          <w:vertAlign w:val="superscript"/>
        </w:rPr>
        <w:footnoteReference w:id="106"/>
      </w:r>
      <w:r w:rsidRPr="00870AE3">
        <w:rPr>
          <w:rFonts w:ascii="Times New Roman" w:hAnsi="Times New Roman"/>
          <w:sz w:val="24"/>
          <w:szCs w:val="24"/>
        </w:rPr>
        <w:t xml:space="preserve">  But they suggest tha</w:t>
      </w:r>
      <w:r w:rsidR="00870AE3" w:rsidRPr="00870AE3">
        <w:rPr>
          <w:rFonts w:ascii="Times New Roman" w:hAnsi="Times New Roman"/>
          <w:sz w:val="24"/>
          <w:szCs w:val="24"/>
        </w:rPr>
        <w:t xml:space="preserve">t reactance might be an </w:t>
      </w:r>
      <w:r w:rsidRPr="00870AE3">
        <w:rPr>
          <w:rFonts w:ascii="Times New Roman" w:hAnsi="Times New Roman"/>
          <w:sz w:val="24"/>
          <w:szCs w:val="24"/>
        </w:rPr>
        <w:t xml:space="preserve">immediate response to the act of censorship, with compliance responses coming later: </w:t>
      </w:r>
    </w:p>
    <w:p w:rsidR="00AC4F1C" w:rsidRPr="00AC4F1C" w:rsidRDefault="00AC4F1C" w:rsidP="00AC4F1C">
      <w:pPr>
        <w:spacing w:after="0" w:line="240" w:lineRule="auto"/>
        <w:jc w:val="both"/>
        <w:rPr>
          <w:rFonts w:ascii="Times New Roman" w:hAnsi="Times New Roman"/>
          <w:color w:val="FF0000"/>
          <w:sz w:val="24"/>
          <w:szCs w:val="24"/>
        </w:rPr>
      </w:pPr>
    </w:p>
    <w:p w:rsidR="00AC4F1C" w:rsidRPr="005A6F36" w:rsidRDefault="00F31A6E" w:rsidP="00EC7877">
      <w:pPr>
        <w:spacing w:after="0" w:line="240" w:lineRule="auto"/>
        <w:ind w:left="851" w:right="851"/>
        <w:jc w:val="both"/>
        <w:rPr>
          <w:rFonts w:ascii="Times New Roman" w:hAnsi="Times New Roman"/>
          <w:sz w:val="24"/>
          <w:szCs w:val="24"/>
        </w:rPr>
      </w:pPr>
      <w:r>
        <w:rPr>
          <w:rFonts w:ascii="Times New Roman" w:hAnsi="Times New Roman"/>
          <w:sz w:val="24"/>
          <w:szCs w:val="24"/>
        </w:rPr>
        <w:t>‘</w:t>
      </w:r>
      <w:r w:rsidR="00AC4F1C" w:rsidRPr="005A6F36">
        <w:rPr>
          <w:rFonts w:ascii="Times New Roman" w:hAnsi="Times New Roman"/>
          <w:i/>
          <w:sz w:val="24"/>
          <w:szCs w:val="24"/>
        </w:rPr>
        <w:t xml:space="preserve">Reactance theory applies when people perceive strong external forces restricting their freedom.  </w:t>
      </w:r>
      <w:r w:rsidR="00AC4F1C" w:rsidRPr="005A6F36">
        <w:rPr>
          <w:rFonts w:ascii="Times New Roman" w:hAnsi="Times New Roman"/>
          <w:b/>
          <w:i/>
          <w:sz w:val="24"/>
          <w:szCs w:val="24"/>
        </w:rPr>
        <w:t>Such perceptions may be particularly likely when censorship is initially imposed</w:t>
      </w:r>
      <w:r>
        <w:rPr>
          <w:rFonts w:ascii="Times New Roman" w:hAnsi="Times New Roman"/>
          <w:sz w:val="24"/>
          <w:szCs w:val="24"/>
        </w:rPr>
        <w:t>.’</w:t>
      </w:r>
      <w:r w:rsidR="00AC4F1C" w:rsidRPr="005A6F36">
        <w:rPr>
          <w:rFonts w:ascii="Times New Roman" w:hAnsi="Times New Roman"/>
          <w:sz w:val="24"/>
          <w:szCs w:val="24"/>
          <w:vertAlign w:val="superscript"/>
        </w:rPr>
        <w:footnoteReference w:id="107"/>
      </w:r>
    </w:p>
    <w:p w:rsidR="00AC4F1C" w:rsidRPr="005A6F36" w:rsidRDefault="00AC4F1C" w:rsidP="00AC4F1C">
      <w:pPr>
        <w:spacing w:after="0" w:line="240" w:lineRule="auto"/>
        <w:jc w:val="both"/>
        <w:rPr>
          <w:rFonts w:ascii="Times New Roman" w:hAnsi="Times New Roman"/>
          <w:sz w:val="24"/>
          <w:szCs w:val="24"/>
        </w:rPr>
      </w:pPr>
    </w:p>
    <w:p w:rsidR="00AC4F1C" w:rsidRPr="005A6F36" w:rsidRDefault="00AC4F1C" w:rsidP="00AC4F1C">
      <w:pPr>
        <w:spacing w:after="0" w:line="240" w:lineRule="auto"/>
        <w:jc w:val="both"/>
        <w:rPr>
          <w:rFonts w:ascii="Times New Roman" w:hAnsi="Times New Roman"/>
          <w:sz w:val="24"/>
          <w:szCs w:val="24"/>
        </w:rPr>
      </w:pPr>
      <w:r w:rsidRPr="005A6F36">
        <w:rPr>
          <w:rFonts w:ascii="Times New Roman" w:hAnsi="Times New Roman"/>
          <w:sz w:val="24"/>
          <w:szCs w:val="24"/>
        </w:rPr>
        <w:t>If this hypothesis is proved correct, it has implications for audience reactance in an online world where technology enables the instantaneous sharing of restricted information.  It suggests that by the tim</w:t>
      </w:r>
      <w:r w:rsidR="00A245C7" w:rsidRPr="005A6F36">
        <w:rPr>
          <w:rFonts w:ascii="Times New Roman" w:hAnsi="Times New Roman"/>
          <w:sz w:val="24"/>
          <w:szCs w:val="24"/>
        </w:rPr>
        <w:t>e the reactance response passes</w:t>
      </w:r>
      <w:r w:rsidRPr="005A6F36">
        <w:rPr>
          <w:rFonts w:ascii="Times New Roman" w:hAnsi="Times New Roman"/>
          <w:sz w:val="24"/>
          <w:szCs w:val="24"/>
        </w:rPr>
        <w:t>, the censored information will have been widely shared and accessed.</w:t>
      </w:r>
    </w:p>
    <w:p w:rsidR="00AC4F1C" w:rsidRPr="005C52C2" w:rsidRDefault="00AC4F1C" w:rsidP="00AC4F1C">
      <w:pPr>
        <w:spacing w:after="0" w:line="240" w:lineRule="auto"/>
        <w:jc w:val="both"/>
        <w:rPr>
          <w:rFonts w:ascii="Times New Roman" w:hAnsi="Times New Roman"/>
          <w:b/>
          <w:sz w:val="24"/>
          <w:szCs w:val="24"/>
        </w:rPr>
      </w:pPr>
    </w:p>
    <w:p w:rsidR="00AC4F1C" w:rsidRPr="005C52C2" w:rsidRDefault="00AC4F1C" w:rsidP="00AC4F1C">
      <w:pPr>
        <w:spacing w:after="0" w:line="240" w:lineRule="auto"/>
        <w:jc w:val="both"/>
        <w:rPr>
          <w:rFonts w:ascii="Times New Roman" w:hAnsi="Times New Roman"/>
          <w:sz w:val="24"/>
          <w:szCs w:val="24"/>
        </w:rPr>
      </w:pPr>
      <w:r w:rsidRPr="005C52C2">
        <w:rPr>
          <w:rFonts w:ascii="Times New Roman" w:hAnsi="Times New Roman"/>
          <w:sz w:val="24"/>
          <w:szCs w:val="24"/>
        </w:rPr>
        <w:t xml:space="preserve">Linked to temporal compression, Internet technologies enable information to move </w:t>
      </w:r>
      <w:r w:rsidR="005A6F36" w:rsidRPr="005C52C2">
        <w:rPr>
          <w:rFonts w:ascii="Times New Roman" w:hAnsi="Times New Roman"/>
          <w:sz w:val="24"/>
          <w:szCs w:val="24"/>
        </w:rPr>
        <w:t xml:space="preserve">immense </w:t>
      </w:r>
      <w:r w:rsidRPr="005C52C2">
        <w:rPr>
          <w:rFonts w:ascii="Times New Roman" w:hAnsi="Times New Roman"/>
          <w:sz w:val="24"/>
          <w:szCs w:val="24"/>
        </w:rPr>
        <w:t xml:space="preserve">distances and traverse boundaries, including those of the nation state, with great ease.  The impact of this on legal issues was acknowledged in </w:t>
      </w:r>
      <w:r w:rsidRPr="005C52C2">
        <w:rPr>
          <w:rFonts w:ascii="Times New Roman" w:hAnsi="Times New Roman"/>
          <w:i/>
          <w:sz w:val="24"/>
          <w:szCs w:val="24"/>
        </w:rPr>
        <w:t>Martinez</w:t>
      </w:r>
      <w:r w:rsidRPr="005C52C2">
        <w:rPr>
          <w:rFonts w:ascii="Times New Roman" w:hAnsi="Times New Roman"/>
          <w:sz w:val="24"/>
          <w:szCs w:val="24"/>
        </w:rPr>
        <w:t xml:space="preserve"> where the CJEU cited Castells in its consideration of jurisdiction issues.</w:t>
      </w:r>
      <w:r w:rsidRPr="005C52C2">
        <w:rPr>
          <w:rFonts w:ascii="Times New Roman" w:hAnsi="Times New Roman"/>
          <w:sz w:val="24"/>
          <w:szCs w:val="24"/>
          <w:vertAlign w:val="superscript"/>
        </w:rPr>
        <w:footnoteReference w:id="108"/>
      </w:r>
      <w:r w:rsidR="005A6F36" w:rsidRPr="005C52C2">
        <w:rPr>
          <w:rFonts w:ascii="Times New Roman" w:hAnsi="Times New Roman"/>
          <w:sz w:val="24"/>
          <w:szCs w:val="24"/>
        </w:rPr>
        <w:t xml:space="preserve">  T</w:t>
      </w:r>
      <w:r w:rsidRPr="005C52C2">
        <w:rPr>
          <w:rFonts w:ascii="Times New Roman" w:hAnsi="Times New Roman"/>
          <w:sz w:val="24"/>
          <w:szCs w:val="24"/>
        </w:rPr>
        <w:t>he contrast between the global physical reach of the Internet and the geographically-limited jurisdiction of English courts is acutely highlighted, and sometimes acknowledged, in MPI case</w:t>
      </w:r>
      <w:r w:rsidR="00A81023">
        <w:rPr>
          <w:rFonts w:ascii="Times New Roman" w:hAnsi="Times New Roman"/>
          <w:sz w:val="24"/>
          <w:szCs w:val="24"/>
        </w:rPr>
        <w:t xml:space="preserve"> </w:t>
      </w:r>
      <w:r w:rsidRPr="005C52C2">
        <w:rPr>
          <w:rFonts w:ascii="Times New Roman" w:hAnsi="Times New Roman"/>
          <w:sz w:val="24"/>
          <w:szCs w:val="24"/>
        </w:rPr>
        <w:t xml:space="preserve">law.  As </w:t>
      </w:r>
      <w:proofErr w:type="spellStart"/>
      <w:r w:rsidRPr="005C52C2">
        <w:rPr>
          <w:rFonts w:ascii="Times New Roman" w:hAnsi="Times New Roman"/>
          <w:sz w:val="24"/>
          <w:szCs w:val="24"/>
        </w:rPr>
        <w:t>Spycatcher</w:t>
      </w:r>
      <w:proofErr w:type="spellEnd"/>
      <w:r w:rsidRPr="005C52C2">
        <w:rPr>
          <w:rFonts w:ascii="Times New Roman" w:hAnsi="Times New Roman"/>
          <w:sz w:val="24"/>
          <w:szCs w:val="24"/>
        </w:rPr>
        <w:t xml:space="preserve"> and PJS illustrate, the English courts have no jurisdiction over what American or other international media groups print, broadcast or disseminate online.  But, crucially, the law’s physical dominion also reaches its limits over protected territories closer to home, with Scotland and Parliament representing physical locations where restricted information can be publicised with impunity.  Irrespective of the cogency of reasons justifying privacy-protecting injunctions, such absurdity inevitably impacts upon their credibility (and that of the law more generally).</w:t>
      </w:r>
    </w:p>
    <w:p w:rsidR="00AC4F1C" w:rsidRPr="00AC4F1C" w:rsidRDefault="00AC4F1C" w:rsidP="00AC4F1C">
      <w:pPr>
        <w:spacing w:after="0" w:line="240" w:lineRule="auto"/>
        <w:jc w:val="both"/>
        <w:rPr>
          <w:rFonts w:ascii="Times New Roman" w:hAnsi="Times New Roman"/>
          <w:b/>
          <w:color w:val="00B050"/>
          <w:sz w:val="24"/>
          <w:szCs w:val="24"/>
        </w:rPr>
      </w:pPr>
    </w:p>
    <w:p w:rsidR="00AC4F1C" w:rsidRPr="004B76FC" w:rsidRDefault="00AC4F1C" w:rsidP="00AC4F1C">
      <w:pPr>
        <w:spacing w:after="0" w:line="240" w:lineRule="auto"/>
        <w:jc w:val="both"/>
        <w:rPr>
          <w:rFonts w:ascii="Times New Roman" w:hAnsi="Times New Roman"/>
          <w:sz w:val="24"/>
          <w:szCs w:val="24"/>
        </w:rPr>
      </w:pPr>
      <w:r w:rsidRPr="004B76FC">
        <w:rPr>
          <w:rFonts w:ascii="Times New Roman" w:hAnsi="Times New Roman"/>
          <w:sz w:val="24"/>
          <w:szCs w:val="24"/>
        </w:rPr>
        <w:t>Finally, the fluid, flowing and unpredictable nature of information on the Internet contributes to the unintended consequences of MPI injunctions because it makes information more difficult to manage.  Occasional use of the liquidity metaphor is apparent in MPI judgments, for example in</w:t>
      </w:r>
      <w:r w:rsidR="002A1907">
        <w:rPr>
          <w:rFonts w:ascii="Times New Roman" w:hAnsi="Times New Roman"/>
          <w:sz w:val="24"/>
          <w:szCs w:val="24"/>
        </w:rPr>
        <w:t xml:space="preserve"> references to ‘burst dams’</w:t>
      </w:r>
      <w:r w:rsidR="002A1907">
        <w:rPr>
          <w:rStyle w:val="FootnoteReference"/>
          <w:rFonts w:ascii="Times New Roman" w:hAnsi="Times New Roman"/>
          <w:sz w:val="24"/>
          <w:szCs w:val="24"/>
        </w:rPr>
        <w:footnoteReference w:id="109"/>
      </w:r>
      <w:r w:rsidR="002A1907">
        <w:rPr>
          <w:rFonts w:ascii="Times New Roman" w:hAnsi="Times New Roman"/>
          <w:sz w:val="24"/>
          <w:szCs w:val="24"/>
        </w:rPr>
        <w:t xml:space="preserve"> or</w:t>
      </w:r>
      <w:r w:rsidRPr="004B76FC">
        <w:rPr>
          <w:rFonts w:ascii="Times New Roman" w:hAnsi="Times New Roman"/>
          <w:sz w:val="24"/>
          <w:szCs w:val="24"/>
        </w:rPr>
        <w:t xml:space="preserve"> the common judicial </w:t>
      </w:r>
      <w:proofErr w:type="spellStart"/>
      <w:r w:rsidRPr="004B76FC">
        <w:rPr>
          <w:rFonts w:ascii="Times New Roman" w:hAnsi="Times New Roman"/>
          <w:sz w:val="24"/>
          <w:szCs w:val="24"/>
        </w:rPr>
        <w:t>mis</w:t>
      </w:r>
      <w:proofErr w:type="spellEnd"/>
      <w:r w:rsidRPr="004B76FC">
        <w:rPr>
          <w:rFonts w:ascii="Times New Roman" w:hAnsi="Times New Roman"/>
          <w:sz w:val="24"/>
          <w:szCs w:val="24"/>
        </w:rPr>
        <w:t>-reading of the ancient tale of King Canute.</w:t>
      </w:r>
      <w:r w:rsidRPr="004B76FC">
        <w:rPr>
          <w:rFonts w:ascii="Times New Roman" w:hAnsi="Times New Roman"/>
          <w:sz w:val="24"/>
          <w:szCs w:val="24"/>
          <w:vertAlign w:val="superscript"/>
        </w:rPr>
        <w:footnoteReference w:id="110"/>
      </w:r>
      <w:r w:rsidR="00CE5574" w:rsidRPr="004B76FC">
        <w:rPr>
          <w:rFonts w:ascii="Times New Roman" w:hAnsi="Times New Roman"/>
          <w:sz w:val="24"/>
          <w:szCs w:val="24"/>
        </w:rPr>
        <w:t xml:space="preserve">  I</w:t>
      </w:r>
      <w:r w:rsidR="005C52C2" w:rsidRPr="004B76FC">
        <w:rPr>
          <w:rFonts w:ascii="Times New Roman" w:hAnsi="Times New Roman"/>
          <w:sz w:val="24"/>
          <w:szCs w:val="24"/>
        </w:rPr>
        <w:t xml:space="preserve">n </w:t>
      </w:r>
      <w:r w:rsidRPr="004B76FC">
        <w:rPr>
          <w:rFonts w:ascii="Times New Roman" w:hAnsi="Times New Roman"/>
          <w:i/>
          <w:sz w:val="24"/>
          <w:szCs w:val="24"/>
        </w:rPr>
        <w:t>Mosley</w:t>
      </w:r>
      <w:r w:rsidRPr="004B76FC">
        <w:rPr>
          <w:rFonts w:ascii="Times New Roman" w:hAnsi="Times New Roman"/>
          <w:sz w:val="24"/>
          <w:szCs w:val="24"/>
        </w:rPr>
        <w:t xml:space="preserve"> </w:t>
      </w:r>
      <w:proofErr w:type="spellStart"/>
      <w:r w:rsidR="005C52C2" w:rsidRPr="004B76FC">
        <w:rPr>
          <w:rFonts w:ascii="Times New Roman" w:hAnsi="Times New Roman"/>
          <w:sz w:val="24"/>
          <w:szCs w:val="24"/>
        </w:rPr>
        <w:t>Eady</w:t>
      </w:r>
      <w:proofErr w:type="spellEnd"/>
      <w:r w:rsidR="005C52C2" w:rsidRPr="004B76FC">
        <w:rPr>
          <w:rFonts w:ascii="Times New Roman" w:hAnsi="Times New Roman"/>
          <w:sz w:val="24"/>
          <w:szCs w:val="24"/>
        </w:rPr>
        <w:t xml:space="preserve"> J </w:t>
      </w:r>
      <w:r w:rsidRPr="004B76FC">
        <w:rPr>
          <w:rFonts w:ascii="Times New Roman" w:hAnsi="Times New Roman"/>
          <w:sz w:val="24"/>
          <w:szCs w:val="24"/>
        </w:rPr>
        <w:t>warned that:</w:t>
      </w:r>
    </w:p>
    <w:p w:rsidR="00AC4F1C" w:rsidRPr="004B76FC" w:rsidRDefault="00AC4F1C" w:rsidP="00AC4F1C">
      <w:pPr>
        <w:spacing w:after="0" w:line="240" w:lineRule="auto"/>
        <w:jc w:val="both"/>
        <w:rPr>
          <w:rFonts w:ascii="Times New Roman" w:hAnsi="Times New Roman"/>
          <w:sz w:val="24"/>
          <w:szCs w:val="24"/>
        </w:rPr>
      </w:pPr>
    </w:p>
    <w:p w:rsidR="00AC4F1C" w:rsidRPr="004B76FC" w:rsidRDefault="00AC4F1C" w:rsidP="00EC7877">
      <w:pPr>
        <w:spacing w:after="0" w:line="240" w:lineRule="auto"/>
        <w:ind w:left="851" w:right="851"/>
        <w:jc w:val="both"/>
        <w:rPr>
          <w:rFonts w:ascii="Times New Roman" w:hAnsi="Times New Roman"/>
          <w:sz w:val="24"/>
          <w:szCs w:val="24"/>
        </w:rPr>
      </w:pPr>
      <w:r w:rsidRPr="004B76FC">
        <w:rPr>
          <w:rFonts w:ascii="Times New Roman" w:hAnsi="Times New Roman"/>
          <w:sz w:val="24"/>
          <w:szCs w:val="24"/>
        </w:rPr>
        <w:t>‘</w:t>
      </w:r>
      <w:r w:rsidRPr="004B76FC">
        <w:rPr>
          <w:rFonts w:ascii="Times New Roman" w:hAnsi="Times New Roman"/>
          <w:i/>
          <w:sz w:val="24"/>
          <w:szCs w:val="24"/>
        </w:rPr>
        <w:t xml:space="preserve">The court should guard against slipping into playing the role of </w:t>
      </w:r>
      <w:r w:rsidRPr="004B76FC">
        <w:rPr>
          <w:rFonts w:ascii="Times New Roman" w:hAnsi="Times New Roman"/>
          <w:b/>
          <w:i/>
          <w:sz w:val="24"/>
          <w:szCs w:val="24"/>
        </w:rPr>
        <w:t>King Canute</w:t>
      </w:r>
      <w:r w:rsidRPr="004B76FC">
        <w:rPr>
          <w:rFonts w:ascii="Times New Roman" w:hAnsi="Times New Roman"/>
          <w:i/>
          <w:sz w:val="24"/>
          <w:szCs w:val="24"/>
        </w:rPr>
        <w:t xml:space="preserve">.  Even though an order may be desirable for the protection of privacy … there may come some point where it would simply serve no useful purpose and would merely be … a </w:t>
      </w:r>
      <w:proofErr w:type="spellStart"/>
      <w:r w:rsidRPr="004B76FC">
        <w:rPr>
          <w:rFonts w:ascii="Times New Roman" w:hAnsi="Times New Roman"/>
          <w:i/>
          <w:sz w:val="24"/>
          <w:szCs w:val="24"/>
        </w:rPr>
        <w:t>brutum</w:t>
      </w:r>
      <w:proofErr w:type="spellEnd"/>
      <w:r w:rsidRPr="004B76FC">
        <w:rPr>
          <w:rFonts w:ascii="Times New Roman" w:hAnsi="Times New Roman"/>
          <w:i/>
          <w:sz w:val="24"/>
          <w:szCs w:val="24"/>
        </w:rPr>
        <w:t xml:space="preserve"> </w:t>
      </w:r>
      <w:proofErr w:type="spellStart"/>
      <w:r w:rsidRPr="004B76FC">
        <w:rPr>
          <w:rFonts w:ascii="Times New Roman" w:hAnsi="Times New Roman"/>
          <w:i/>
          <w:sz w:val="24"/>
          <w:szCs w:val="24"/>
        </w:rPr>
        <w:t>fulmen</w:t>
      </w:r>
      <w:proofErr w:type="spellEnd"/>
      <w:r w:rsidRPr="004B76FC">
        <w:rPr>
          <w:rFonts w:ascii="Times New Roman" w:hAnsi="Times New Roman"/>
          <w:i/>
          <w:sz w:val="24"/>
          <w:szCs w:val="24"/>
        </w:rPr>
        <w:t xml:space="preserve"> [an empty threat].  It is inappropriate for the court to make vain gestures</w:t>
      </w:r>
      <w:r w:rsidRPr="004B76FC">
        <w:rPr>
          <w:rFonts w:ascii="Times New Roman" w:hAnsi="Times New Roman"/>
          <w:sz w:val="24"/>
          <w:szCs w:val="24"/>
        </w:rPr>
        <w:t>.’</w:t>
      </w:r>
      <w:r w:rsidRPr="004B76FC">
        <w:rPr>
          <w:rFonts w:ascii="Times New Roman" w:hAnsi="Times New Roman"/>
          <w:sz w:val="24"/>
          <w:szCs w:val="24"/>
          <w:vertAlign w:val="superscript"/>
        </w:rPr>
        <w:footnoteReference w:id="111"/>
      </w:r>
    </w:p>
    <w:p w:rsidR="00AC4F1C" w:rsidRPr="00AC4F1C" w:rsidRDefault="00AC4F1C" w:rsidP="00AC4F1C">
      <w:pPr>
        <w:spacing w:after="0" w:line="240" w:lineRule="auto"/>
        <w:jc w:val="both"/>
        <w:rPr>
          <w:rFonts w:ascii="Times New Roman" w:hAnsi="Times New Roman"/>
          <w:color w:val="00B050"/>
          <w:sz w:val="24"/>
          <w:szCs w:val="24"/>
        </w:rPr>
      </w:pPr>
    </w:p>
    <w:p w:rsidR="00AC4F1C" w:rsidRPr="004B76FC" w:rsidRDefault="00AC4F1C" w:rsidP="00AC4F1C">
      <w:pPr>
        <w:spacing w:after="0" w:line="240" w:lineRule="auto"/>
        <w:jc w:val="both"/>
        <w:rPr>
          <w:rFonts w:ascii="Times New Roman" w:hAnsi="Times New Roman"/>
          <w:sz w:val="24"/>
          <w:szCs w:val="24"/>
        </w:rPr>
      </w:pPr>
      <w:r w:rsidRPr="004B76FC">
        <w:rPr>
          <w:rFonts w:ascii="Times New Roman" w:hAnsi="Times New Roman"/>
          <w:sz w:val="24"/>
          <w:szCs w:val="24"/>
        </w:rPr>
        <w:t xml:space="preserve">The implicit casting of digital era information as a tide that cannot be held back or controlled reflects </w:t>
      </w:r>
      <w:r w:rsidR="004B76FC" w:rsidRPr="004B76FC">
        <w:rPr>
          <w:rFonts w:ascii="Times New Roman" w:hAnsi="Times New Roman"/>
          <w:sz w:val="24"/>
          <w:szCs w:val="24"/>
        </w:rPr>
        <w:t>fundamental characteristics identified</w:t>
      </w:r>
      <w:r w:rsidRPr="004B76FC">
        <w:rPr>
          <w:rFonts w:ascii="Times New Roman" w:hAnsi="Times New Roman"/>
          <w:sz w:val="24"/>
          <w:szCs w:val="24"/>
        </w:rPr>
        <w:t xml:space="preserve"> by Castells and Lash.  In short, and as MPI case law aptly demonstrates, ‘</w:t>
      </w:r>
      <w:r w:rsidRPr="004B76FC">
        <w:rPr>
          <w:rFonts w:ascii="Times New Roman" w:hAnsi="Times New Roman"/>
          <w:i/>
          <w:sz w:val="24"/>
          <w:szCs w:val="24"/>
        </w:rPr>
        <w:t>Because ‘Information wants to be free’ it poses major challenges for those who wish to tightly control or monopolise it in the Information Age</w:t>
      </w:r>
      <w:r w:rsidRPr="004B76FC">
        <w:rPr>
          <w:rFonts w:ascii="Times New Roman" w:hAnsi="Times New Roman"/>
          <w:sz w:val="24"/>
          <w:szCs w:val="24"/>
        </w:rPr>
        <w:t>.’</w:t>
      </w:r>
      <w:r w:rsidRPr="004B76FC">
        <w:rPr>
          <w:rFonts w:ascii="Times New Roman" w:hAnsi="Times New Roman"/>
          <w:sz w:val="24"/>
          <w:szCs w:val="24"/>
          <w:vertAlign w:val="superscript"/>
        </w:rPr>
        <w:footnoteReference w:id="112"/>
      </w:r>
    </w:p>
    <w:p w:rsidR="00AC4F1C" w:rsidRPr="00AC4F1C" w:rsidRDefault="00AC4F1C" w:rsidP="00AC4F1C">
      <w:pPr>
        <w:spacing w:after="0" w:line="240" w:lineRule="auto"/>
        <w:jc w:val="both"/>
        <w:rPr>
          <w:rFonts w:ascii="Times New Roman" w:hAnsi="Times New Roman"/>
          <w:color w:val="FF0000"/>
          <w:sz w:val="24"/>
          <w:szCs w:val="24"/>
        </w:rPr>
      </w:pPr>
    </w:p>
    <w:p w:rsidR="00AC4F1C" w:rsidRPr="006237C1" w:rsidRDefault="00AC4F1C" w:rsidP="00AC4F1C">
      <w:pPr>
        <w:spacing w:after="0" w:line="240" w:lineRule="auto"/>
        <w:jc w:val="both"/>
        <w:rPr>
          <w:rFonts w:ascii="Times New Roman" w:hAnsi="Times New Roman"/>
          <w:sz w:val="24"/>
          <w:szCs w:val="24"/>
        </w:rPr>
      </w:pPr>
      <w:r w:rsidRPr="008A13FE">
        <w:rPr>
          <w:rFonts w:ascii="Times New Roman" w:hAnsi="Times New Roman"/>
          <w:sz w:val="24"/>
          <w:szCs w:val="24"/>
        </w:rPr>
        <w:t>The three factors discussed in this part – audience reactance, social countering and the liquidity of online information - provide reasons why privacy injunctions sometimes create pervers</w:t>
      </w:r>
      <w:r w:rsidR="00C93652">
        <w:rPr>
          <w:rFonts w:ascii="Times New Roman" w:hAnsi="Times New Roman"/>
          <w:sz w:val="24"/>
          <w:szCs w:val="24"/>
        </w:rPr>
        <w:t xml:space="preserve">e incentives in certain </w:t>
      </w:r>
      <w:r w:rsidR="00C93652" w:rsidRPr="006237C1">
        <w:rPr>
          <w:rFonts w:ascii="Times New Roman" w:hAnsi="Times New Roman"/>
          <w:sz w:val="24"/>
          <w:szCs w:val="24"/>
        </w:rPr>
        <w:t xml:space="preserve">cases.  Judicial responses to such unintended consequences in MPI </w:t>
      </w:r>
      <w:r w:rsidR="0029535F">
        <w:rPr>
          <w:rFonts w:ascii="Times New Roman" w:hAnsi="Times New Roman"/>
          <w:sz w:val="24"/>
          <w:szCs w:val="24"/>
        </w:rPr>
        <w:t>should</w:t>
      </w:r>
      <w:r w:rsidR="00C93652" w:rsidRPr="00254AD9">
        <w:rPr>
          <w:rFonts w:ascii="Times New Roman" w:hAnsi="Times New Roman"/>
          <w:sz w:val="24"/>
          <w:szCs w:val="24"/>
        </w:rPr>
        <w:t xml:space="preserve"> thus</w:t>
      </w:r>
      <w:r w:rsidR="0029535F">
        <w:rPr>
          <w:rFonts w:ascii="Times New Roman" w:hAnsi="Times New Roman"/>
          <w:sz w:val="24"/>
          <w:szCs w:val="24"/>
        </w:rPr>
        <w:t xml:space="preserve"> be</w:t>
      </w:r>
      <w:r w:rsidR="00C93652" w:rsidRPr="00254AD9">
        <w:rPr>
          <w:rFonts w:ascii="Times New Roman" w:hAnsi="Times New Roman"/>
          <w:sz w:val="24"/>
          <w:szCs w:val="24"/>
        </w:rPr>
        <w:t xml:space="preserve"> viewed in light </w:t>
      </w:r>
      <w:r w:rsidR="00C93652" w:rsidRPr="006237C1">
        <w:rPr>
          <w:rFonts w:ascii="Times New Roman" w:hAnsi="Times New Roman"/>
          <w:sz w:val="24"/>
          <w:szCs w:val="24"/>
        </w:rPr>
        <w:t>of these factors.</w:t>
      </w:r>
    </w:p>
    <w:p w:rsidR="007D6E3D" w:rsidRPr="007D6E3D" w:rsidRDefault="007D6E3D" w:rsidP="000E0275">
      <w:pPr>
        <w:spacing w:after="0" w:line="240" w:lineRule="auto"/>
        <w:rPr>
          <w:rFonts w:ascii="Times New Roman" w:hAnsi="Times New Roman"/>
          <w:b/>
          <w:color w:val="00B050"/>
          <w:sz w:val="24"/>
          <w:szCs w:val="24"/>
        </w:rPr>
      </w:pPr>
    </w:p>
    <w:p w:rsidR="004316F0" w:rsidRPr="00166007" w:rsidRDefault="004316F0" w:rsidP="000E0275">
      <w:pPr>
        <w:spacing w:after="0" w:line="240" w:lineRule="auto"/>
        <w:rPr>
          <w:rFonts w:ascii="Times New Roman" w:hAnsi="Times New Roman"/>
          <w:sz w:val="24"/>
          <w:szCs w:val="24"/>
        </w:rPr>
      </w:pPr>
    </w:p>
    <w:p w:rsidR="00627421" w:rsidRPr="00C35BD6" w:rsidRDefault="004316F0" w:rsidP="00C35BD6">
      <w:pPr>
        <w:spacing w:after="0" w:line="240" w:lineRule="auto"/>
        <w:jc w:val="both"/>
        <w:rPr>
          <w:rFonts w:ascii="Times New Roman" w:hAnsi="Times New Roman"/>
          <w:color w:val="FF0000"/>
          <w:sz w:val="24"/>
          <w:szCs w:val="24"/>
        </w:rPr>
      </w:pPr>
      <w:r>
        <w:rPr>
          <w:rFonts w:ascii="Times New Roman" w:hAnsi="Times New Roman"/>
          <w:b/>
          <w:sz w:val="32"/>
          <w:szCs w:val="32"/>
          <w:u w:val="single"/>
        </w:rPr>
        <w:t>[</w:t>
      </w:r>
      <w:r w:rsidR="009A5B21">
        <w:rPr>
          <w:rFonts w:ascii="Times New Roman" w:hAnsi="Times New Roman"/>
          <w:b/>
          <w:sz w:val="32"/>
          <w:szCs w:val="32"/>
          <w:u w:val="single"/>
        </w:rPr>
        <w:t>4</w:t>
      </w:r>
      <w:r w:rsidR="003C0D40">
        <w:rPr>
          <w:rFonts w:ascii="Times New Roman" w:hAnsi="Times New Roman"/>
          <w:b/>
          <w:sz w:val="32"/>
          <w:szCs w:val="32"/>
          <w:u w:val="single"/>
        </w:rPr>
        <w:t>] Unintended Consequences: The Supreme Court</w:t>
      </w:r>
      <w:r w:rsidR="009A5B21">
        <w:rPr>
          <w:rFonts w:ascii="Times New Roman" w:hAnsi="Times New Roman"/>
          <w:b/>
          <w:sz w:val="32"/>
          <w:szCs w:val="32"/>
          <w:u w:val="single"/>
        </w:rPr>
        <w:t xml:space="preserve"> Respond</w:t>
      </w:r>
      <w:r w:rsidR="003C0D40">
        <w:rPr>
          <w:rFonts w:ascii="Times New Roman" w:hAnsi="Times New Roman"/>
          <w:b/>
          <w:sz w:val="32"/>
          <w:szCs w:val="32"/>
          <w:u w:val="single"/>
        </w:rPr>
        <w:t>s</w:t>
      </w:r>
    </w:p>
    <w:p w:rsidR="00C30487" w:rsidRDefault="00C30487" w:rsidP="00166007">
      <w:pPr>
        <w:pStyle w:val="NoSpacing"/>
        <w:jc w:val="both"/>
        <w:rPr>
          <w:rFonts w:ascii="Times New Roman" w:hAnsi="Times New Roman"/>
          <w:sz w:val="24"/>
          <w:szCs w:val="24"/>
        </w:rPr>
      </w:pPr>
    </w:p>
    <w:p w:rsidR="00C30487" w:rsidRDefault="00C30487" w:rsidP="00166007">
      <w:pPr>
        <w:pStyle w:val="NoSpacing"/>
        <w:jc w:val="both"/>
        <w:rPr>
          <w:rFonts w:ascii="Times New Roman" w:hAnsi="Times New Roman"/>
          <w:sz w:val="24"/>
          <w:szCs w:val="24"/>
        </w:rPr>
      </w:pPr>
    </w:p>
    <w:p w:rsidR="00D370B5" w:rsidRPr="00AD6C4F" w:rsidRDefault="009C2817" w:rsidP="00166007">
      <w:pPr>
        <w:pStyle w:val="NoSpacing"/>
        <w:jc w:val="both"/>
        <w:rPr>
          <w:rFonts w:ascii="Times New Roman" w:hAnsi="Times New Roman"/>
          <w:sz w:val="24"/>
          <w:szCs w:val="24"/>
        </w:rPr>
      </w:pPr>
      <w:r w:rsidRPr="00C30487">
        <w:rPr>
          <w:rFonts w:ascii="Times New Roman" w:hAnsi="Times New Roman"/>
          <w:sz w:val="24"/>
          <w:szCs w:val="24"/>
        </w:rPr>
        <w:t>Judi</w:t>
      </w:r>
      <w:r w:rsidR="00793B4B" w:rsidRPr="00C30487">
        <w:rPr>
          <w:rFonts w:ascii="Times New Roman" w:hAnsi="Times New Roman"/>
          <w:sz w:val="24"/>
          <w:szCs w:val="24"/>
        </w:rPr>
        <w:t xml:space="preserve">cial responses to the </w:t>
      </w:r>
      <w:r w:rsidR="008C172B" w:rsidRPr="00C30487">
        <w:rPr>
          <w:rFonts w:ascii="Times New Roman" w:hAnsi="Times New Roman"/>
          <w:sz w:val="24"/>
          <w:szCs w:val="24"/>
        </w:rPr>
        <w:t>unintended co</w:t>
      </w:r>
      <w:r w:rsidR="00793B4B" w:rsidRPr="00C30487">
        <w:rPr>
          <w:rFonts w:ascii="Times New Roman" w:hAnsi="Times New Roman"/>
          <w:sz w:val="24"/>
          <w:szCs w:val="24"/>
        </w:rPr>
        <w:t>nsequences</w:t>
      </w:r>
      <w:r w:rsidR="008C172B" w:rsidRPr="00C30487">
        <w:rPr>
          <w:rFonts w:ascii="Times New Roman" w:hAnsi="Times New Roman"/>
          <w:sz w:val="24"/>
          <w:szCs w:val="24"/>
        </w:rPr>
        <w:t xml:space="preserve"> of</w:t>
      </w:r>
      <w:r w:rsidRPr="00C30487">
        <w:rPr>
          <w:rFonts w:ascii="Times New Roman" w:hAnsi="Times New Roman"/>
          <w:sz w:val="24"/>
          <w:szCs w:val="24"/>
        </w:rPr>
        <w:t xml:space="preserve"> MPI </w:t>
      </w:r>
      <w:r w:rsidR="00FC1CE5" w:rsidRPr="00C30487">
        <w:rPr>
          <w:rFonts w:ascii="Times New Roman" w:hAnsi="Times New Roman"/>
          <w:sz w:val="24"/>
          <w:szCs w:val="24"/>
        </w:rPr>
        <w:t xml:space="preserve">injunctions </w:t>
      </w:r>
      <w:r w:rsidRPr="00C30487">
        <w:rPr>
          <w:rFonts w:ascii="Times New Roman" w:hAnsi="Times New Roman"/>
          <w:sz w:val="24"/>
          <w:szCs w:val="24"/>
        </w:rPr>
        <w:t>ar</w:t>
      </w:r>
      <w:r w:rsidR="00FC1CE5" w:rsidRPr="00C30487">
        <w:rPr>
          <w:rFonts w:ascii="Times New Roman" w:hAnsi="Times New Roman"/>
          <w:sz w:val="24"/>
          <w:szCs w:val="24"/>
        </w:rPr>
        <w:t>e epitomised in the Supreme Co</w:t>
      </w:r>
      <w:r w:rsidRPr="00C30487">
        <w:rPr>
          <w:rFonts w:ascii="Times New Roman" w:hAnsi="Times New Roman"/>
          <w:sz w:val="24"/>
          <w:szCs w:val="24"/>
        </w:rPr>
        <w:t>u</w:t>
      </w:r>
      <w:r w:rsidR="00FC1CE5" w:rsidRPr="00C30487">
        <w:rPr>
          <w:rFonts w:ascii="Times New Roman" w:hAnsi="Times New Roman"/>
          <w:sz w:val="24"/>
          <w:szCs w:val="24"/>
        </w:rPr>
        <w:t xml:space="preserve">rt’s </w:t>
      </w:r>
      <w:r w:rsidR="00FC1CE5" w:rsidRPr="00C30487">
        <w:rPr>
          <w:rFonts w:ascii="Times New Roman" w:hAnsi="Times New Roman"/>
          <w:i/>
          <w:sz w:val="24"/>
          <w:szCs w:val="24"/>
        </w:rPr>
        <w:t xml:space="preserve">PJS </w:t>
      </w:r>
      <w:r w:rsidR="00FC1CE5" w:rsidRPr="00C30487">
        <w:rPr>
          <w:rFonts w:ascii="Times New Roman" w:hAnsi="Times New Roman"/>
          <w:sz w:val="24"/>
          <w:szCs w:val="24"/>
        </w:rPr>
        <w:t>judgment</w:t>
      </w:r>
      <w:r w:rsidRPr="00C30487">
        <w:rPr>
          <w:rFonts w:ascii="Times New Roman" w:hAnsi="Times New Roman"/>
          <w:sz w:val="24"/>
          <w:szCs w:val="24"/>
        </w:rPr>
        <w:t>.  Here the Law</w:t>
      </w:r>
      <w:r w:rsidR="00852852" w:rsidRPr="00C30487">
        <w:rPr>
          <w:rFonts w:ascii="Times New Roman" w:hAnsi="Times New Roman"/>
          <w:sz w:val="24"/>
          <w:szCs w:val="24"/>
        </w:rPr>
        <w:t xml:space="preserve"> Lords employed two crucial distinctions</w:t>
      </w:r>
      <w:r w:rsidR="000277C6">
        <w:rPr>
          <w:rFonts w:ascii="Times New Roman" w:hAnsi="Times New Roman"/>
          <w:sz w:val="24"/>
          <w:szCs w:val="24"/>
        </w:rPr>
        <w:t>, analysed in this section,</w:t>
      </w:r>
      <w:r w:rsidR="00724B41" w:rsidRPr="00C30487">
        <w:rPr>
          <w:rFonts w:ascii="Times New Roman" w:hAnsi="Times New Roman"/>
          <w:sz w:val="24"/>
          <w:szCs w:val="24"/>
        </w:rPr>
        <w:t xml:space="preserve"> </w:t>
      </w:r>
      <w:r w:rsidRPr="00C30487">
        <w:rPr>
          <w:rFonts w:ascii="Times New Roman" w:hAnsi="Times New Roman"/>
          <w:sz w:val="24"/>
          <w:szCs w:val="24"/>
        </w:rPr>
        <w:t xml:space="preserve">that </w:t>
      </w:r>
      <w:r w:rsidR="00852852" w:rsidRPr="00C30487">
        <w:rPr>
          <w:rFonts w:ascii="Times New Roman" w:hAnsi="Times New Roman"/>
          <w:sz w:val="24"/>
          <w:szCs w:val="24"/>
        </w:rPr>
        <w:t xml:space="preserve">the Court of Appeal and the dissenting Lord </w:t>
      </w:r>
      <w:proofErr w:type="spellStart"/>
      <w:r w:rsidR="00852852" w:rsidRPr="00C30487">
        <w:rPr>
          <w:rFonts w:ascii="Times New Roman" w:hAnsi="Times New Roman"/>
          <w:sz w:val="24"/>
          <w:szCs w:val="24"/>
        </w:rPr>
        <w:t>Toulson</w:t>
      </w:r>
      <w:proofErr w:type="spellEnd"/>
      <w:r w:rsidR="00852852" w:rsidRPr="00C30487">
        <w:rPr>
          <w:rFonts w:ascii="Times New Roman" w:hAnsi="Times New Roman"/>
          <w:sz w:val="24"/>
          <w:szCs w:val="24"/>
        </w:rPr>
        <w:t xml:space="preserve"> did not accept.</w:t>
      </w:r>
      <w:r w:rsidR="00EA03B5" w:rsidRPr="00C30487">
        <w:rPr>
          <w:rFonts w:ascii="Times New Roman" w:hAnsi="Times New Roman"/>
          <w:sz w:val="24"/>
          <w:szCs w:val="24"/>
        </w:rPr>
        <w:t xml:space="preserve">  </w:t>
      </w:r>
      <w:r w:rsidR="00A53EC7" w:rsidRPr="00C30487">
        <w:rPr>
          <w:rFonts w:ascii="Times New Roman" w:hAnsi="Times New Roman"/>
          <w:sz w:val="24"/>
          <w:szCs w:val="24"/>
        </w:rPr>
        <w:t xml:space="preserve">First, they </w:t>
      </w:r>
      <w:r w:rsidRPr="00C30487">
        <w:rPr>
          <w:rFonts w:ascii="Times New Roman" w:hAnsi="Times New Roman"/>
          <w:sz w:val="24"/>
          <w:szCs w:val="24"/>
        </w:rPr>
        <w:t>constru</w:t>
      </w:r>
      <w:r w:rsidR="00EA03B5" w:rsidRPr="00C30487">
        <w:rPr>
          <w:rFonts w:ascii="Times New Roman" w:hAnsi="Times New Roman"/>
          <w:sz w:val="24"/>
          <w:szCs w:val="24"/>
        </w:rPr>
        <w:t>cted a distinction between newspaper</w:t>
      </w:r>
      <w:r w:rsidRPr="00C30487">
        <w:rPr>
          <w:rFonts w:ascii="Times New Roman" w:hAnsi="Times New Roman"/>
          <w:sz w:val="24"/>
          <w:szCs w:val="24"/>
        </w:rPr>
        <w:t xml:space="preserve"> a</w:t>
      </w:r>
      <w:r w:rsidR="00217B9A" w:rsidRPr="00C30487">
        <w:rPr>
          <w:rFonts w:ascii="Times New Roman" w:hAnsi="Times New Roman"/>
          <w:sz w:val="24"/>
          <w:szCs w:val="24"/>
        </w:rPr>
        <w:t>n</w:t>
      </w:r>
      <w:r w:rsidRPr="00C30487">
        <w:rPr>
          <w:rFonts w:ascii="Times New Roman" w:hAnsi="Times New Roman"/>
          <w:sz w:val="24"/>
          <w:szCs w:val="24"/>
        </w:rPr>
        <w:t xml:space="preserve">d online publication of </w:t>
      </w:r>
      <w:r w:rsidR="00EA03B5" w:rsidRPr="00C30487">
        <w:rPr>
          <w:rFonts w:ascii="Times New Roman" w:hAnsi="Times New Roman"/>
          <w:sz w:val="24"/>
          <w:szCs w:val="24"/>
        </w:rPr>
        <w:t xml:space="preserve">private information.  </w:t>
      </w:r>
      <w:r w:rsidR="00724B41" w:rsidRPr="00C30487">
        <w:rPr>
          <w:rFonts w:ascii="Times New Roman" w:hAnsi="Times New Roman"/>
          <w:sz w:val="24"/>
          <w:szCs w:val="24"/>
        </w:rPr>
        <w:t>Second, they</w:t>
      </w:r>
      <w:r w:rsidRPr="00C30487">
        <w:rPr>
          <w:rFonts w:ascii="Times New Roman" w:hAnsi="Times New Roman"/>
          <w:sz w:val="24"/>
          <w:szCs w:val="24"/>
        </w:rPr>
        <w:t xml:space="preserve"> distinguished</w:t>
      </w:r>
      <w:r w:rsidR="00EA03B5" w:rsidRPr="00C30487">
        <w:rPr>
          <w:rFonts w:ascii="Times New Roman" w:hAnsi="Times New Roman"/>
          <w:sz w:val="24"/>
          <w:szCs w:val="24"/>
        </w:rPr>
        <w:t xml:space="preserve"> between two aspects of privacy;</w:t>
      </w:r>
      <w:r w:rsidRPr="00C30487">
        <w:rPr>
          <w:rFonts w:ascii="Times New Roman" w:hAnsi="Times New Roman"/>
          <w:sz w:val="24"/>
          <w:szCs w:val="24"/>
        </w:rPr>
        <w:t xml:space="preserve"> secrecy and intrusion</w:t>
      </w:r>
      <w:r w:rsidRPr="00AD6C4F">
        <w:rPr>
          <w:rFonts w:ascii="Times New Roman" w:hAnsi="Times New Roman"/>
          <w:sz w:val="24"/>
          <w:szCs w:val="24"/>
        </w:rPr>
        <w:t>.</w:t>
      </w:r>
      <w:r w:rsidR="000277C6" w:rsidRPr="00AD6C4F">
        <w:rPr>
          <w:rFonts w:ascii="Times New Roman" w:hAnsi="Times New Roman"/>
          <w:sz w:val="24"/>
          <w:szCs w:val="24"/>
        </w:rPr>
        <w:t xml:space="preserve">  </w:t>
      </w:r>
      <w:r w:rsidR="005F7497" w:rsidRPr="00AD6C4F">
        <w:rPr>
          <w:rFonts w:ascii="Times New Roman" w:hAnsi="Times New Roman"/>
          <w:sz w:val="24"/>
          <w:szCs w:val="24"/>
        </w:rPr>
        <w:t>D</w:t>
      </w:r>
      <w:r w:rsidR="00D370B5" w:rsidRPr="00AD6C4F">
        <w:rPr>
          <w:rFonts w:ascii="Times New Roman" w:hAnsi="Times New Roman"/>
          <w:sz w:val="24"/>
          <w:szCs w:val="24"/>
        </w:rPr>
        <w:t>rawing these distinctions enabled the Law Lords</w:t>
      </w:r>
      <w:r w:rsidR="00C30487" w:rsidRPr="00AD6C4F">
        <w:rPr>
          <w:rFonts w:ascii="Times New Roman" w:hAnsi="Times New Roman"/>
          <w:sz w:val="24"/>
          <w:szCs w:val="24"/>
        </w:rPr>
        <w:t xml:space="preserve"> to marginalise the clear, </w:t>
      </w:r>
      <w:r w:rsidR="00D370B5" w:rsidRPr="00AD6C4F">
        <w:rPr>
          <w:rFonts w:ascii="Times New Roman" w:hAnsi="Times New Roman"/>
          <w:sz w:val="24"/>
          <w:szCs w:val="24"/>
        </w:rPr>
        <w:t>widespread</w:t>
      </w:r>
      <w:r w:rsidR="00C30487" w:rsidRPr="00AD6C4F">
        <w:rPr>
          <w:rFonts w:ascii="Times New Roman" w:hAnsi="Times New Roman"/>
          <w:sz w:val="24"/>
          <w:szCs w:val="24"/>
        </w:rPr>
        <w:t xml:space="preserve"> dissemination of the claimant’s identi</w:t>
      </w:r>
      <w:r w:rsidR="000277C6" w:rsidRPr="00AD6C4F">
        <w:rPr>
          <w:rFonts w:ascii="Times New Roman" w:hAnsi="Times New Roman"/>
          <w:sz w:val="24"/>
          <w:szCs w:val="24"/>
        </w:rPr>
        <w:t>ty despite the injunction.  Doing so</w:t>
      </w:r>
      <w:r w:rsidR="00EC44A3">
        <w:rPr>
          <w:rFonts w:ascii="Times New Roman" w:hAnsi="Times New Roman"/>
          <w:sz w:val="24"/>
          <w:szCs w:val="24"/>
        </w:rPr>
        <w:t xml:space="preserve"> justified the continuation of that </w:t>
      </w:r>
      <w:r w:rsidR="00C30487" w:rsidRPr="00AD6C4F">
        <w:rPr>
          <w:rFonts w:ascii="Times New Roman" w:hAnsi="Times New Roman"/>
          <w:sz w:val="24"/>
          <w:szCs w:val="24"/>
        </w:rPr>
        <w:t>injunction and, not insignificantly</w:t>
      </w:r>
      <w:r w:rsidR="0085096F">
        <w:rPr>
          <w:rFonts w:ascii="Times New Roman" w:hAnsi="Times New Roman"/>
          <w:sz w:val="24"/>
          <w:szCs w:val="24"/>
        </w:rPr>
        <w:t>, arguably allowed the law to claim success</w:t>
      </w:r>
      <w:r w:rsidR="00D370B5" w:rsidRPr="00AD6C4F">
        <w:rPr>
          <w:rFonts w:ascii="Times New Roman" w:hAnsi="Times New Roman"/>
          <w:sz w:val="24"/>
          <w:szCs w:val="24"/>
        </w:rPr>
        <w:t xml:space="preserve">. </w:t>
      </w:r>
    </w:p>
    <w:p w:rsidR="001A037C" w:rsidRPr="004141DA" w:rsidRDefault="001A037C" w:rsidP="00166007">
      <w:pPr>
        <w:pStyle w:val="NoSpacing"/>
        <w:jc w:val="both"/>
        <w:rPr>
          <w:rFonts w:ascii="Times New Roman" w:hAnsi="Times New Roman"/>
          <w:color w:val="FF0000"/>
          <w:sz w:val="24"/>
          <w:szCs w:val="24"/>
        </w:rPr>
      </w:pPr>
    </w:p>
    <w:p w:rsidR="00D557D8" w:rsidRDefault="00D557D8" w:rsidP="00166007">
      <w:pPr>
        <w:pStyle w:val="NoSpacing"/>
        <w:jc w:val="both"/>
        <w:rPr>
          <w:rFonts w:ascii="Times New Roman" w:hAnsi="Times New Roman"/>
          <w:sz w:val="24"/>
          <w:szCs w:val="24"/>
        </w:rPr>
      </w:pPr>
    </w:p>
    <w:p w:rsidR="0022661B" w:rsidRDefault="0022661B" w:rsidP="00166007">
      <w:pPr>
        <w:pStyle w:val="NoSpacing"/>
        <w:jc w:val="both"/>
        <w:rPr>
          <w:rFonts w:ascii="Times New Roman" w:hAnsi="Times New Roman"/>
          <w:sz w:val="24"/>
          <w:szCs w:val="24"/>
        </w:rPr>
      </w:pPr>
      <w:r>
        <w:rPr>
          <w:rFonts w:ascii="Times New Roman" w:hAnsi="Times New Roman"/>
          <w:b/>
          <w:sz w:val="24"/>
          <w:szCs w:val="24"/>
          <w:u w:val="single"/>
        </w:rPr>
        <w:t>[4.1] Press v Online Distinction</w:t>
      </w:r>
      <w:r w:rsidR="008260E2">
        <w:rPr>
          <w:rFonts w:ascii="Times New Roman" w:hAnsi="Times New Roman"/>
          <w:b/>
          <w:sz w:val="24"/>
          <w:szCs w:val="24"/>
          <w:u w:val="single"/>
        </w:rPr>
        <w:t xml:space="preserve"> </w:t>
      </w:r>
    </w:p>
    <w:p w:rsidR="00D95650" w:rsidRPr="00A252B9" w:rsidRDefault="00D95650" w:rsidP="00D95650">
      <w:pPr>
        <w:spacing w:after="0" w:line="240" w:lineRule="auto"/>
        <w:jc w:val="both"/>
        <w:rPr>
          <w:rFonts w:ascii="Times New Roman" w:hAnsi="Times New Roman"/>
          <w:color w:val="FF0000"/>
          <w:sz w:val="24"/>
          <w:szCs w:val="24"/>
        </w:rPr>
      </w:pPr>
    </w:p>
    <w:p w:rsidR="00D95650" w:rsidRPr="00986606" w:rsidRDefault="0096796E" w:rsidP="00D95650">
      <w:pPr>
        <w:spacing w:after="0" w:line="240" w:lineRule="auto"/>
        <w:jc w:val="both"/>
        <w:rPr>
          <w:rFonts w:ascii="Times New Roman" w:hAnsi="Times New Roman"/>
          <w:sz w:val="24"/>
          <w:szCs w:val="24"/>
        </w:rPr>
      </w:pPr>
      <w:r>
        <w:rPr>
          <w:rFonts w:ascii="Times New Roman" w:hAnsi="Times New Roman"/>
          <w:sz w:val="24"/>
          <w:szCs w:val="24"/>
        </w:rPr>
        <w:t xml:space="preserve">Lord </w:t>
      </w:r>
      <w:proofErr w:type="spellStart"/>
      <w:r>
        <w:rPr>
          <w:rFonts w:ascii="Times New Roman" w:hAnsi="Times New Roman"/>
          <w:sz w:val="24"/>
          <w:szCs w:val="24"/>
        </w:rPr>
        <w:t>Mance’s</w:t>
      </w:r>
      <w:proofErr w:type="spellEnd"/>
      <w:r>
        <w:rPr>
          <w:rFonts w:ascii="Times New Roman" w:hAnsi="Times New Roman"/>
          <w:sz w:val="24"/>
          <w:szCs w:val="24"/>
        </w:rPr>
        <w:t xml:space="preserve"> leading</w:t>
      </w:r>
      <w:r w:rsidR="003231EC" w:rsidRPr="00C05DBB">
        <w:rPr>
          <w:rFonts w:ascii="Times New Roman" w:hAnsi="Times New Roman"/>
          <w:sz w:val="24"/>
          <w:szCs w:val="24"/>
        </w:rPr>
        <w:t xml:space="preserve"> </w:t>
      </w:r>
      <w:r w:rsidR="00D95650" w:rsidRPr="00C05DBB">
        <w:rPr>
          <w:rFonts w:ascii="Times New Roman" w:hAnsi="Times New Roman"/>
          <w:sz w:val="24"/>
          <w:szCs w:val="24"/>
        </w:rPr>
        <w:t>judgment</w:t>
      </w:r>
      <w:r w:rsidR="00106EBD" w:rsidRPr="00C05DBB">
        <w:rPr>
          <w:rFonts w:ascii="Times New Roman" w:hAnsi="Times New Roman"/>
          <w:sz w:val="24"/>
          <w:szCs w:val="24"/>
        </w:rPr>
        <w:t xml:space="preserve"> in </w:t>
      </w:r>
      <w:r w:rsidR="00106EBD" w:rsidRPr="00763E6E">
        <w:rPr>
          <w:rFonts w:ascii="Times New Roman" w:hAnsi="Times New Roman"/>
          <w:i/>
          <w:sz w:val="24"/>
          <w:szCs w:val="24"/>
        </w:rPr>
        <w:t>PJS</w:t>
      </w:r>
      <w:r w:rsidR="003231EC" w:rsidRPr="00763E6E">
        <w:rPr>
          <w:rStyle w:val="FootnoteReference"/>
          <w:rFonts w:ascii="Times New Roman" w:hAnsi="Times New Roman"/>
          <w:sz w:val="24"/>
          <w:szCs w:val="24"/>
        </w:rPr>
        <w:footnoteReference w:id="113"/>
      </w:r>
      <w:r w:rsidR="003231EC" w:rsidRPr="00763E6E">
        <w:rPr>
          <w:rFonts w:ascii="Times New Roman" w:hAnsi="Times New Roman"/>
          <w:sz w:val="24"/>
          <w:szCs w:val="24"/>
        </w:rPr>
        <w:t xml:space="preserve"> </w:t>
      </w:r>
      <w:r w:rsidR="00BD7F13" w:rsidRPr="00763E6E">
        <w:rPr>
          <w:rFonts w:ascii="Times New Roman" w:hAnsi="Times New Roman"/>
          <w:sz w:val="24"/>
          <w:szCs w:val="24"/>
        </w:rPr>
        <w:t>indicated</w:t>
      </w:r>
      <w:r w:rsidR="00D0341B" w:rsidRPr="00763E6E">
        <w:rPr>
          <w:rFonts w:ascii="Times New Roman" w:hAnsi="Times New Roman"/>
          <w:sz w:val="24"/>
          <w:szCs w:val="24"/>
        </w:rPr>
        <w:t xml:space="preserve"> that assessin</w:t>
      </w:r>
      <w:r w:rsidR="00BD7F13" w:rsidRPr="00763E6E">
        <w:rPr>
          <w:rFonts w:ascii="Times New Roman" w:hAnsi="Times New Roman"/>
          <w:sz w:val="24"/>
          <w:szCs w:val="24"/>
        </w:rPr>
        <w:t>g disclosure s</w:t>
      </w:r>
      <w:r w:rsidR="00D0341B" w:rsidRPr="00763E6E">
        <w:rPr>
          <w:rFonts w:ascii="Times New Roman" w:hAnsi="Times New Roman"/>
          <w:sz w:val="24"/>
          <w:szCs w:val="24"/>
        </w:rPr>
        <w:t>h</w:t>
      </w:r>
      <w:r w:rsidR="00BD7F13" w:rsidRPr="00763E6E">
        <w:rPr>
          <w:rFonts w:ascii="Times New Roman" w:hAnsi="Times New Roman"/>
          <w:sz w:val="24"/>
          <w:szCs w:val="24"/>
        </w:rPr>
        <w:t>oul</w:t>
      </w:r>
      <w:r w:rsidR="00D0341B" w:rsidRPr="00763E6E">
        <w:rPr>
          <w:rFonts w:ascii="Times New Roman" w:hAnsi="Times New Roman"/>
          <w:sz w:val="24"/>
          <w:szCs w:val="24"/>
        </w:rPr>
        <w:t xml:space="preserve">d </w:t>
      </w:r>
      <w:r w:rsidR="00D0341B">
        <w:rPr>
          <w:rFonts w:ascii="Times New Roman" w:hAnsi="Times New Roman"/>
          <w:sz w:val="24"/>
          <w:szCs w:val="24"/>
        </w:rPr>
        <w:t xml:space="preserve">not be a narrow quantitative issue, and instead </w:t>
      </w:r>
      <w:r w:rsidR="00D95650" w:rsidRPr="00C05DBB">
        <w:rPr>
          <w:rFonts w:ascii="Times New Roman" w:hAnsi="Times New Roman"/>
          <w:sz w:val="24"/>
          <w:szCs w:val="24"/>
        </w:rPr>
        <w:t>placed repeated emphasis on the ‘qualitatively different’ nature of Internet and press dissemination of private information.</w:t>
      </w:r>
      <w:r w:rsidR="00D95650" w:rsidRPr="00C05DBB">
        <w:rPr>
          <w:rFonts w:ascii="Times New Roman" w:hAnsi="Times New Roman"/>
          <w:sz w:val="24"/>
          <w:szCs w:val="24"/>
          <w:vertAlign w:val="superscript"/>
        </w:rPr>
        <w:footnoteReference w:id="114"/>
      </w:r>
      <w:r w:rsidR="00D95650" w:rsidRPr="00C05DBB">
        <w:rPr>
          <w:rFonts w:ascii="Times New Roman" w:hAnsi="Times New Roman"/>
          <w:sz w:val="24"/>
          <w:szCs w:val="24"/>
        </w:rPr>
        <w:t xml:space="preserve">  </w:t>
      </w:r>
      <w:r w:rsidR="003231EC" w:rsidRPr="00C05DBB">
        <w:rPr>
          <w:rFonts w:ascii="Times New Roman" w:hAnsi="Times New Roman"/>
          <w:sz w:val="24"/>
          <w:szCs w:val="24"/>
        </w:rPr>
        <w:t>Though</w:t>
      </w:r>
      <w:r w:rsidR="00D95650" w:rsidRPr="00C05DBB">
        <w:rPr>
          <w:rFonts w:ascii="Times New Roman" w:hAnsi="Times New Roman"/>
          <w:sz w:val="24"/>
          <w:szCs w:val="24"/>
        </w:rPr>
        <w:t xml:space="preserve"> these </w:t>
      </w:r>
      <w:r w:rsidR="006128BC" w:rsidRPr="00C05DBB">
        <w:rPr>
          <w:rFonts w:ascii="Times New Roman" w:hAnsi="Times New Roman"/>
          <w:sz w:val="24"/>
          <w:szCs w:val="24"/>
        </w:rPr>
        <w:t xml:space="preserve">differences </w:t>
      </w:r>
      <w:r w:rsidR="00D95650" w:rsidRPr="00C05DBB">
        <w:rPr>
          <w:rFonts w:ascii="Times New Roman" w:hAnsi="Times New Roman"/>
          <w:sz w:val="24"/>
          <w:szCs w:val="24"/>
        </w:rPr>
        <w:t xml:space="preserve">were </w:t>
      </w:r>
      <w:r w:rsidR="004C5DD7" w:rsidRPr="00C05DBB">
        <w:rPr>
          <w:rFonts w:ascii="Times New Roman" w:hAnsi="Times New Roman"/>
          <w:sz w:val="24"/>
          <w:szCs w:val="24"/>
        </w:rPr>
        <w:t xml:space="preserve">not </w:t>
      </w:r>
      <w:r w:rsidR="00430C88" w:rsidRPr="00C05DBB">
        <w:rPr>
          <w:rFonts w:ascii="Times New Roman" w:hAnsi="Times New Roman"/>
          <w:sz w:val="24"/>
          <w:szCs w:val="24"/>
        </w:rPr>
        <w:t>afforded specific, sustained examination</w:t>
      </w:r>
      <w:r w:rsidR="003231EC" w:rsidRPr="00C05DBB">
        <w:rPr>
          <w:rFonts w:ascii="Times New Roman" w:hAnsi="Times New Roman"/>
          <w:sz w:val="24"/>
          <w:szCs w:val="24"/>
        </w:rPr>
        <w:t>, t</w:t>
      </w:r>
      <w:r w:rsidR="00D95650" w:rsidRPr="00C05DBB">
        <w:rPr>
          <w:rFonts w:ascii="Times New Roman" w:hAnsi="Times New Roman"/>
          <w:sz w:val="24"/>
          <w:szCs w:val="24"/>
        </w:rPr>
        <w:t>hree broad distinctions seemed to be influential.</w:t>
      </w:r>
      <w:r w:rsidR="00C05DBB" w:rsidRPr="00C05DBB">
        <w:rPr>
          <w:rFonts w:ascii="Times New Roman" w:hAnsi="Times New Roman"/>
          <w:sz w:val="24"/>
          <w:szCs w:val="24"/>
        </w:rPr>
        <w:t xml:space="preserve">  </w:t>
      </w:r>
      <w:r w:rsidR="00266EEB" w:rsidRPr="00C05DBB">
        <w:rPr>
          <w:rFonts w:ascii="Times New Roman" w:hAnsi="Times New Roman"/>
          <w:sz w:val="24"/>
          <w:szCs w:val="24"/>
        </w:rPr>
        <w:t xml:space="preserve">First, Lord </w:t>
      </w:r>
      <w:proofErr w:type="spellStart"/>
      <w:r w:rsidR="00266EEB" w:rsidRPr="00C05DBB">
        <w:rPr>
          <w:rFonts w:ascii="Times New Roman" w:hAnsi="Times New Roman"/>
          <w:sz w:val="24"/>
          <w:szCs w:val="24"/>
        </w:rPr>
        <w:t>Mance</w:t>
      </w:r>
      <w:proofErr w:type="spellEnd"/>
      <w:r w:rsidR="00D95650" w:rsidRPr="00C05DBB">
        <w:rPr>
          <w:rFonts w:ascii="Times New Roman" w:hAnsi="Times New Roman"/>
          <w:sz w:val="24"/>
          <w:szCs w:val="24"/>
        </w:rPr>
        <w:t xml:space="preserve"> made certain passing claims about the nature of press coverage, depicting it as a ‘media storm’.</w:t>
      </w:r>
      <w:r w:rsidR="00D95650" w:rsidRPr="00C05DBB">
        <w:rPr>
          <w:rFonts w:ascii="Times New Roman" w:hAnsi="Times New Roman"/>
          <w:sz w:val="24"/>
          <w:szCs w:val="24"/>
          <w:vertAlign w:val="superscript"/>
        </w:rPr>
        <w:footnoteReference w:id="115"/>
      </w:r>
      <w:r w:rsidR="00D95650" w:rsidRPr="00C05DBB">
        <w:rPr>
          <w:rFonts w:ascii="Times New Roman" w:hAnsi="Times New Roman"/>
          <w:sz w:val="24"/>
          <w:szCs w:val="24"/>
        </w:rPr>
        <w:t xml:space="preserve">  Judges repeatedly employ this common metaphor in relation to press coverage but not the Internet, suggesting violent, turbulent, ominous, even dangerous characteristics in the former that are not present in the latter.  Lord Neub</w:t>
      </w:r>
      <w:r w:rsidR="00266EEB" w:rsidRPr="00C05DBB">
        <w:rPr>
          <w:rFonts w:ascii="Times New Roman" w:hAnsi="Times New Roman"/>
          <w:sz w:val="24"/>
          <w:szCs w:val="24"/>
        </w:rPr>
        <w:t>erger also touched</w:t>
      </w:r>
      <w:r w:rsidR="00D95650" w:rsidRPr="00C05DBB">
        <w:rPr>
          <w:rFonts w:ascii="Times New Roman" w:hAnsi="Times New Roman"/>
          <w:sz w:val="24"/>
          <w:szCs w:val="24"/>
        </w:rPr>
        <w:t xml:space="preserve"> upon a related characteristic of press coverage; its tendency to record private information ‘in eye-catching headlines and sensational terms’.</w:t>
      </w:r>
      <w:r w:rsidR="00D95650" w:rsidRPr="00C05DBB">
        <w:rPr>
          <w:rFonts w:ascii="Times New Roman" w:hAnsi="Times New Roman"/>
          <w:sz w:val="24"/>
          <w:szCs w:val="24"/>
          <w:vertAlign w:val="superscript"/>
        </w:rPr>
        <w:footnoteReference w:id="116"/>
      </w:r>
      <w:r w:rsidR="001E69CB" w:rsidRPr="00C05DBB">
        <w:rPr>
          <w:rFonts w:ascii="Times New Roman" w:hAnsi="Times New Roman"/>
          <w:sz w:val="24"/>
          <w:szCs w:val="24"/>
        </w:rPr>
        <w:t xml:space="preserve">  Yet it is not clear </w:t>
      </w:r>
      <w:r w:rsidR="001E69CB" w:rsidRPr="00986606">
        <w:rPr>
          <w:rFonts w:ascii="Times New Roman" w:hAnsi="Times New Roman"/>
          <w:sz w:val="24"/>
          <w:szCs w:val="24"/>
        </w:rPr>
        <w:lastRenderedPageBreak/>
        <w:t>why</w:t>
      </w:r>
      <w:r w:rsidR="00D95650" w:rsidRPr="00986606">
        <w:rPr>
          <w:rFonts w:ascii="Times New Roman" w:hAnsi="Times New Roman"/>
          <w:sz w:val="24"/>
          <w:szCs w:val="24"/>
        </w:rPr>
        <w:t xml:space="preserve"> online coverage might not also </w:t>
      </w:r>
      <w:r w:rsidR="001E69CB" w:rsidRPr="00986606">
        <w:rPr>
          <w:rFonts w:ascii="Times New Roman" w:hAnsi="Times New Roman"/>
          <w:sz w:val="24"/>
          <w:szCs w:val="24"/>
        </w:rPr>
        <w:t>possess volatile, ‘storm’-like</w:t>
      </w:r>
      <w:r w:rsidR="00D95650" w:rsidRPr="00986606">
        <w:rPr>
          <w:rFonts w:ascii="Times New Roman" w:hAnsi="Times New Roman"/>
          <w:sz w:val="24"/>
          <w:szCs w:val="24"/>
        </w:rPr>
        <w:t xml:space="preserve"> qualities and</w:t>
      </w:r>
      <w:r w:rsidR="005E580D" w:rsidRPr="00986606">
        <w:rPr>
          <w:rFonts w:ascii="Times New Roman" w:hAnsi="Times New Roman"/>
          <w:sz w:val="24"/>
          <w:szCs w:val="24"/>
        </w:rPr>
        <w:t>/or</w:t>
      </w:r>
      <w:r w:rsidR="00D95650" w:rsidRPr="00986606">
        <w:rPr>
          <w:rFonts w:ascii="Times New Roman" w:hAnsi="Times New Roman"/>
          <w:sz w:val="24"/>
          <w:szCs w:val="24"/>
        </w:rPr>
        <w:t xml:space="preserve"> use sensational</w:t>
      </w:r>
      <w:r w:rsidR="001E69CB" w:rsidRPr="00986606">
        <w:rPr>
          <w:rFonts w:ascii="Times New Roman" w:hAnsi="Times New Roman"/>
          <w:sz w:val="24"/>
          <w:szCs w:val="24"/>
        </w:rPr>
        <w:t xml:space="preserve"> </w:t>
      </w:r>
      <w:r w:rsidR="00C05DBB" w:rsidRPr="00986606">
        <w:rPr>
          <w:rFonts w:ascii="Times New Roman" w:hAnsi="Times New Roman"/>
          <w:sz w:val="24"/>
          <w:szCs w:val="24"/>
        </w:rPr>
        <w:t xml:space="preserve">forms </w:t>
      </w:r>
      <w:r w:rsidR="00D92F7B" w:rsidRPr="00986606">
        <w:rPr>
          <w:rFonts w:ascii="Times New Roman" w:hAnsi="Times New Roman"/>
          <w:sz w:val="24"/>
          <w:szCs w:val="24"/>
        </w:rPr>
        <w:t>of presentation</w:t>
      </w:r>
      <w:r w:rsidR="00D95650" w:rsidRPr="00986606">
        <w:rPr>
          <w:rFonts w:ascii="Times New Roman" w:hAnsi="Times New Roman"/>
          <w:sz w:val="24"/>
          <w:szCs w:val="24"/>
        </w:rPr>
        <w:t>.</w:t>
      </w:r>
      <w:r w:rsidR="00361C8F" w:rsidRPr="00986606">
        <w:rPr>
          <w:rFonts w:ascii="Times New Roman" w:hAnsi="Times New Roman"/>
          <w:sz w:val="24"/>
          <w:szCs w:val="24"/>
        </w:rPr>
        <w:t xml:space="preserve">  The Law Lords may have been alluding to </w:t>
      </w:r>
      <w:r w:rsidR="003224B9" w:rsidRPr="00986606">
        <w:rPr>
          <w:rFonts w:ascii="Times New Roman" w:hAnsi="Times New Roman"/>
          <w:sz w:val="24"/>
          <w:szCs w:val="24"/>
        </w:rPr>
        <w:t>the general hounding</w:t>
      </w:r>
      <w:r w:rsidR="00361C8F" w:rsidRPr="00986606">
        <w:rPr>
          <w:rFonts w:ascii="Times New Roman" w:hAnsi="Times New Roman"/>
          <w:sz w:val="24"/>
          <w:szCs w:val="24"/>
        </w:rPr>
        <w:t xml:space="preserve"> </w:t>
      </w:r>
      <w:r w:rsidR="008F1749" w:rsidRPr="00986606">
        <w:rPr>
          <w:rFonts w:ascii="Times New Roman" w:hAnsi="Times New Roman"/>
          <w:sz w:val="24"/>
          <w:szCs w:val="24"/>
        </w:rPr>
        <w:t xml:space="preserve">by groups of journalists and photographers </w:t>
      </w:r>
      <w:r w:rsidR="00361C8F" w:rsidRPr="00986606">
        <w:rPr>
          <w:rFonts w:ascii="Times New Roman" w:hAnsi="Times New Roman"/>
          <w:sz w:val="24"/>
          <w:szCs w:val="24"/>
        </w:rPr>
        <w:t>that can accompany press coverage</w:t>
      </w:r>
      <w:r w:rsidR="006F029C" w:rsidRPr="00986606">
        <w:rPr>
          <w:rFonts w:ascii="Times New Roman" w:hAnsi="Times New Roman"/>
          <w:sz w:val="24"/>
          <w:szCs w:val="24"/>
        </w:rPr>
        <w:t xml:space="preserve"> of a story</w:t>
      </w:r>
      <w:r w:rsidR="00361C8F" w:rsidRPr="00986606">
        <w:rPr>
          <w:rFonts w:ascii="Times New Roman" w:hAnsi="Times New Roman"/>
          <w:sz w:val="24"/>
          <w:szCs w:val="24"/>
        </w:rPr>
        <w:t xml:space="preserve">.  </w:t>
      </w:r>
      <w:r w:rsidR="003224B9" w:rsidRPr="00986606">
        <w:rPr>
          <w:rFonts w:ascii="Times New Roman" w:hAnsi="Times New Roman"/>
          <w:sz w:val="24"/>
          <w:szCs w:val="24"/>
        </w:rPr>
        <w:t>But, if so, this dimension</w:t>
      </w:r>
      <w:r w:rsidR="00361C8F" w:rsidRPr="00986606">
        <w:rPr>
          <w:rFonts w:ascii="Times New Roman" w:hAnsi="Times New Roman"/>
          <w:sz w:val="24"/>
          <w:szCs w:val="24"/>
        </w:rPr>
        <w:t xml:space="preserve"> was not clearly outlined or articulated, though it is discussed further below.</w:t>
      </w:r>
      <w:r w:rsidR="00D95650" w:rsidRPr="00986606">
        <w:rPr>
          <w:rFonts w:ascii="Times New Roman" w:hAnsi="Times New Roman"/>
          <w:sz w:val="24"/>
          <w:szCs w:val="24"/>
        </w:rPr>
        <w:t xml:space="preserve"> </w:t>
      </w:r>
    </w:p>
    <w:p w:rsidR="00D95650" w:rsidRPr="00986606" w:rsidRDefault="00D95650" w:rsidP="00D95650">
      <w:pPr>
        <w:spacing w:after="0" w:line="240" w:lineRule="auto"/>
        <w:jc w:val="both"/>
        <w:rPr>
          <w:rFonts w:ascii="Times New Roman" w:hAnsi="Times New Roman"/>
          <w:sz w:val="24"/>
          <w:szCs w:val="24"/>
        </w:rPr>
      </w:pPr>
    </w:p>
    <w:p w:rsidR="00D95650" w:rsidRPr="00986606" w:rsidRDefault="00D95650" w:rsidP="00D95650">
      <w:pPr>
        <w:spacing w:after="0" w:line="240" w:lineRule="auto"/>
        <w:jc w:val="both"/>
        <w:rPr>
          <w:rFonts w:ascii="Times New Roman" w:hAnsi="Times New Roman"/>
          <w:sz w:val="24"/>
          <w:szCs w:val="24"/>
        </w:rPr>
      </w:pPr>
      <w:r w:rsidRPr="00986606">
        <w:rPr>
          <w:rFonts w:ascii="Times New Roman" w:hAnsi="Times New Roman"/>
          <w:sz w:val="24"/>
          <w:szCs w:val="24"/>
        </w:rPr>
        <w:t xml:space="preserve">Second, there are subtle indications that the </w:t>
      </w:r>
      <w:r w:rsidR="004674D9" w:rsidRPr="00986606">
        <w:rPr>
          <w:rFonts w:ascii="Times New Roman" w:hAnsi="Times New Roman"/>
          <w:sz w:val="24"/>
          <w:szCs w:val="24"/>
        </w:rPr>
        <w:t xml:space="preserve">Law </w:t>
      </w:r>
      <w:r w:rsidRPr="00986606">
        <w:rPr>
          <w:rFonts w:ascii="Times New Roman" w:hAnsi="Times New Roman"/>
          <w:sz w:val="24"/>
          <w:szCs w:val="24"/>
        </w:rPr>
        <w:t xml:space="preserve">Lords viewed press coverage as somehow more concrete and lasting compared to online coverage.  Lord </w:t>
      </w:r>
      <w:proofErr w:type="spellStart"/>
      <w:r w:rsidRPr="00986606">
        <w:rPr>
          <w:rFonts w:ascii="Times New Roman" w:hAnsi="Times New Roman"/>
          <w:sz w:val="24"/>
          <w:szCs w:val="24"/>
        </w:rPr>
        <w:t>Mance</w:t>
      </w:r>
      <w:proofErr w:type="spellEnd"/>
      <w:r w:rsidRPr="00986606">
        <w:rPr>
          <w:rFonts w:ascii="Times New Roman" w:hAnsi="Times New Roman"/>
          <w:sz w:val="24"/>
          <w:szCs w:val="24"/>
        </w:rPr>
        <w:t xml:space="preserve"> claimed that </w:t>
      </w:r>
      <w:r w:rsidR="00A05F86" w:rsidRPr="00986606">
        <w:rPr>
          <w:rFonts w:ascii="Times New Roman" w:hAnsi="Times New Roman"/>
          <w:sz w:val="24"/>
          <w:szCs w:val="24"/>
        </w:rPr>
        <w:t xml:space="preserve">allowing </w:t>
      </w:r>
      <w:r w:rsidRPr="00986606">
        <w:rPr>
          <w:rFonts w:ascii="Times New Roman" w:hAnsi="Times New Roman"/>
          <w:sz w:val="24"/>
          <w:szCs w:val="24"/>
        </w:rPr>
        <w:t>press publication of PJS’s identity would add an ‘</w:t>
      </w:r>
      <w:r w:rsidRPr="00986606">
        <w:rPr>
          <w:rFonts w:ascii="Times New Roman" w:hAnsi="Times New Roman"/>
          <w:b/>
          <w:i/>
          <w:sz w:val="24"/>
          <w:szCs w:val="24"/>
        </w:rPr>
        <w:t>in some respects more enduring dimension</w:t>
      </w:r>
      <w:r w:rsidRPr="00986606">
        <w:rPr>
          <w:rFonts w:ascii="Times New Roman" w:hAnsi="Times New Roman"/>
          <w:i/>
          <w:sz w:val="24"/>
          <w:szCs w:val="24"/>
        </w:rPr>
        <w:t xml:space="preserve"> to the existing invasions of privacy being perpetrated on the internet</w:t>
      </w:r>
      <w:r w:rsidRPr="00986606">
        <w:rPr>
          <w:rFonts w:ascii="Times New Roman" w:hAnsi="Times New Roman"/>
          <w:sz w:val="24"/>
          <w:szCs w:val="24"/>
        </w:rPr>
        <w:t>’.</w:t>
      </w:r>
      <w:r w:rsidRPr="00986606">
        <w:rPr>
          <w:rFonts w:asciiTheme="minorHAnsi" w:eastAsiaTheme="minorHAnsi" w:hAnsiTheme="minorHAnsi" w:cstheme="minorBidi"/>
          <w:vertAlign w:val="superscript"/>
        </w:rPr>
        <w:footnoteReference w:id="117"/>
      </w:r>
      <w:r w:rsidRPr="00986606">
        <w:rPr>
          <w:rFonts w:ascii="Times New Roman" w:hAnsi="Times New Roman"/>
          <w:sz w:val="24"/>
          <w:szCs w:val="24"/>
        </w:rPr>
        <w:t xml:space="preserve">  Lord </w:t>
      </w:r>
      <w:proofErr w:type="spellStart"/>
      <w:r w:rsidRPr="00986606">
        <w:rPr>
          <w:rFonts w:ascii="Times New Roman" w:hAnsi="Times New Roman"/>
          <w:sz w:val="24"/>
          <w:szCs w:val="24"/>
        </w:rPr>
        <w:t>Mance</w:t>
      </w:r>
      <w:proofErr w:type="spellEnd"/>
      <w:r w:rsidRPr="00986606">
        <w:rPr>
          <w:rFonts w:ascii="Times New Roman" w:hAnsi="Times New Roman"/>
          <w:sz w:val="24"/>
          <w:szCs w:val="24"/>
        </w:rPr>
        <w:t xml:space="preserve"> did not articulate </w:t>
      </w:r>
      <w:r w:rsidRPr="00986606">
        <w:rPr>
          <w:rFonts w:ascii="Times New Roman" w:hAnsi="Times New Roman"/>
          <w:i/>
          <w:sz w:val="24"/>
          <w:szCs w:val="24"/>
        </w:rPr>
        <w:t>why</w:t>
      </w:r>
      <w:r w:rsidR="00BC5F90" w:rsidRPr="00986606">
        <w:rPr>
          <w:rFonts w:ascii="Times New Roman" w:hAnsi="Times New Roman"/>
          <w:sz w:val="24"/>
          <w:szCs w:val="24"/>
        </w:rPr>
        <w:t xml:space="preserve"> press exposure would entail</w:t>
      </w:r>
      <w:r w:rsidRPr="00986606">
        <w:rPr>
          <w:rFonts w:ascii="Times New Roman" w:hAnsi="Times New Roman"/>
          <w:sz w:val="24"/>
          <w:szCs w:val="24"/>
        </w:rPr>
        <w:t xml:space="preserve"> more permanent or enduring </w:t>
      </w:r>
      <w:r w:rsidR="00BC5F90" w:rsidRPr="00986606">
        <w:rPr>
          <w:rFonts w:ascii="Times New Roman" w:hAnsi="Times New Roman"/>
          <w:sz w:val="24"/>
          <w:szCs w:val="24"/>
        </w:rPr>
        <w:t xml:space="preserve">coverage </w:t>
      </w:r>
      <w:r w:rsidRPr="00986606">
        <w:rPr>
          <w:rFonts w:ascii="Times New Roman" w:hAnsi="Times New Roman"/>
          <w:sz w:val="24"/>
          <w:szCs w:val="24"/>
        </w:rPr>
        <w:t>and, by implication, the net</w:t>
      </w:r>
      <w:r w:rsidR="003F64BB" w:rsidRPr="00986606">
        <w:rPr>
          <w:rFonts w:ascii="Times New Roman" w:hAnsi="Times New Roman"/>
          <w:sz w:val="24"/>
          <w:szCs w:val="24"/>
        </w:rPr>
        <w:t xml:space="preserve"> more ephemeral.  </w:t>
      </w:r>
      <w:r w:rsidR="00A05F86" w:rsidRPr="00986606">
        <w:rPr>
          <w:rFonts w:ascii="Times New Roman" w:hAnsi="Times New Roman"/>
          <w:sz w:val="24"/>
          <w:szCs w:val="24"/>
        </w:rPr>
        <w:t>It is unclear whether this is an allusion to press hounding or the nature of the press medium itself.  If a reference to the latter,</w:t>
      </w:r>
      <w:r w:rsidR="003F64BB" w:rsidRPr="00986606">
        <w:rPr>
          <w:rFonts w:ascii="Times New Roman" w:hAnsi="Times New Roman"/>
          <w:sz w:val="24"/>
          <w:szCs w:val="24"/>
        </w:rPr>
        <w:t xml:space="preserve"> s</w:t>
      </w:r>
      <w:r w:rsidRPr="00986606">
        <w:rPr>
          <w:rFonts w:ascii="Times New Roman" w:hAnsi="Times New Roman"/>
          <w:sz w:val="24"/>
          <w:szCs w:val="24"/>
        </w:rPr>
        <w:t xml:space="preserve">uch a proposition is by no means uncontested.  Contrast this claim, for example, with the comments of MacDonald J in </w:t>
      </w:r>
      <w:r w:rsidRPr="00986606">
        <w:rPr>
          <w:rFonts w:ascii="Times New Roman" w:hAnsi="Times New Roman"/>
          <w:i/>
          <w:sz w:val="24"/>
          <w:szCs w:val="24"/>
        </w:rPr>
        <w:t>H v A</w:t>
      </w:r>
      <w:r w:rsidRPr="00986606">
        <w:rPr>
          <w:rFonts w:ascii="Times New Roman" w:hAnsi="Times New Roman"/>
          <w:sz w:val="24"/>
          <w:szCs w:val="24"/>
        </w:rPr>
        <w:t xml:space="preserve">, who cast the respective longevities of press and Internet publication in opposite terms, referring to: </w:t>
      </w:r>
    </w:p>
    <w:p w:rsidR="00D95650" w:rsidRPr="00986606" w:rsidRDefault="00D95650" w:rsidP="00D95650">
      <w:pPr>
        <w:spacing w:after="0" w:line="240" w:lineRule="auto"/>
        <w:jc w:val="both"/>
        <w:rPr>
          <w:rFonts w:ascii="Times New Roman" w:hAnsi="Times New Roman"/>
          <w:sz w:val="24"/>
          <w:szCs w:val="24"/>
        </w:rPr>
      </w:pPr>
    </w:p>
    <w:p w:rsidR="00D95650" w:rsidRPr="00986606" w:rsidRDefault="00D95650" w:rsidP="003B4A70">
      <w:pPr>
        <w:spacing w:after="0" w:line="240" w:lineRule="auto"/>
        <w:ind w:left="851" w:right="851"/>
        <w:jc w:val="both"/>
        <w:rPr>
          <w:rFonts w:ascii="Times New Roman" w:hAnsi="Times New Roman"/>
          <w:sz w:val="24"/>
          <w:szCs w:val="24"/>
        </w:rPr>
      </w:pPr>
      <w:r w:rsidRPr="00986606">
        <w:rPr>
          <w:rFonts w:ascii="Times New Roman" w:hAnsi="Times New Roman"/>
          <w:sz w:val="24"/>
          <w:szCs w:val="24"/>
        </w:rPr>
        <w:t>‘</w:t>
      </w:r>
      <w:r w:rsidRPr="00986606">
        <w:rPr>
          <w:rFonts w:ascii="Times New Roman" w:hAnsi="Times New Roman"/>
          <w:i/>
          <w:sz w:val="24"/>
          <w:szCs w:val="24"/>
        </w:rPr>
        <w:t>the age of the Internet, where today’s news story no longer becomes tomorrow’s discarded fish and chip wrapper, but rather remains accessible in electronic form to those with the requisite search terms</w:t>
      </w:r>
      <w:r w:rsidRPr="00986606">
        <w:rPr>
          <w:rFonts w:ascii="Times New Roman" w:hAnsi="Times New Roman"/>
          <w:sz w:val="24"/>
          <w:szCs w:val="24"/>
        </w:rPr>
        <w:t>’</w:t>
      </w:r>
      <w:r w:rsidRPr="00986606">
        <w:rPr>
          <w:rFonts w:ascii="Times New Roman" w:hAnsi="Times New Roman"/>
          <w:sz w:val="24"/>
          <w:szCs w:val="24"/>
          <w:vertAlign w:val="superscript"/>
        </w:rPr>
        <w:footnoteReference w:id="118"/>
      </w:r>
      <w:r w:rsidRPr="00986606">
        <w:rPr>
          <w:rFonts w:ascii="Times New Roman" w:hAnsi="Times New Roman"/>
          <w:sz w:val="24"/>
          <w:szCs w:val="24"/>
        </w:rPr>
        <w:t xml:space="preserve">  </w:t>
      </w:r>
    </w:p>
    <w:p w:rsidR="00D95650" w:rsidRPr="00986606" w:rsidRDefault="00D95650" w:rsidP="00D95650">
      <w:pPr>
        <w:spacing w:after="0" w:line="240" w:lineRule="auto"/>
        <w:jc w:val="both"/>
        <w:rPr>
          <w:rFonts w:ascii="Times New Roman" w:hAnsi="Times New Roman"/>
          <w:sz w:val="24"/>
          <w:szCs w:val="24"/>
        </w:rPr>
      </w:pPr>
    </w:p>
    <w:p w:rsidR="00D95650" w:rsidRPr="00986606" w:rsidRDefault="00D95650" w:rsidP="00D95650">
      <w:pPr>
        <w:spacing w:after="0" w:line="240" w:lineRule="auto"/>
        <w:jc w:val="both"/>
        <w:rPr>
          <w:rFonts w:ascii="Times New Roman" w:hAnsi="Times New Roman"/>
          <w:sz w:val="24"/>
          <w:szCs w:val="24"/>
        </w:rPr>
      </w:pPr>
      <w:r w:rsidRPr="00986606">
        <w:rPr>
          <w:rFonts w:ascii="Times New Roman" w:hAnsi="Times New Roman"/>
          <w:sz w:val="24"/>
          <w:szCs w:val="24"/>
        </w:rPr>
        <w:t xml:space="preserve">This view contradicts Lord </w:t>
      </w:r>
      <w:proofErr w:type="spellStart"/>
      <w:r w:rsidRPr="00986606">
        <w:rPr>
          <w:rFonts w:ascii="Times New Roman" w:hAnsi="Times New Roman"/>
          <w:sz w:val="24"/>
          <w:szCs w:val="24"/>
        </w:rPr>
        <w:t>Mance’s</w:t>
      </w:r>
      <w:proofErr w:type="spellEnd"/>
      <w:r w:rsidRPr="00986606">
        <w:rPr>
          <w:rFonts w:ascii="Times New Roman" w:hAnsi="Times New Roman"/>
          <w:sz w:val="24"/>
          <w:szCs w:val="24"/>
        </w:rPr>
        <w:t xml:space="preserve"> claims, depicting the Internet as the more permanent, concrete medium, and press coverage as more transient.</w:t>
      </w:r>
    </w:p>
    <w:p w:rsidR="00D95650" w:rsidRPr="00986606" w:rsidRDefault="00D95650" w:rsidP="00D95650">
      <w:pPr>
        <w:spacing w:after="0" w:line="240" w:lineRule="auto"/>
        <w:jc w:val="both"/>
        <w:rPr>
          <w:rFonts w:ascii="Times New Roman" w:hAnsi="Times New Roman"/>
          <w:sz w:val="24"/>
          <w:szCs w:val="24"/>
        </w:rPr>
      </w:pPr>
    </w:p>
    <w:p w:rsidR="00D95650" w:rsidRPr="00986606" w:rsidRDefault="00D95650" w:rsidP="00D95650">
      <w:pPr>
        <w:spacing w:after="0" w:line="240" w:lineRule="auto"/>
        <w:jc w:val="both"/>
        <w:rPr>
          <w:rFonts w:ascii="Times New Roman" w:hAnsi="Times New Roman"/>
          <w:sz w:val="24"/>
          <w:szCs w:val="24"/>
        </w:rPr>
      </w:pPr>
      <w:r w:rsidRPr="00986606">
        <w:rPr>
          <w:rFonts w:ascii="Times New Roman" w:hAnsi="Times New Roman"/>
          <w:sz w:val="24"/>
          <w:szCs w:val="24"/>
        </w:rPr>
        <w:t xml:space="preserve">Third, Lord </w:t>
      </w:r>
      <w:proofErr w:type="spellStart"/>
      <w:r w:rsidRPr="00986606">
        <w:rPr>
          <w:rFonts w:ascii="Times New Roman" w:hAnsi="Times New Roman"/>
          <w:sz w:val="24"/>
          <w:szCs w:val="24"/>
        </w:rPr>
        <w:t>Mance</w:t>
      </w:r>
      <w:proofErr w:type="spellEnd"/>
      <w:r w:rsidRPr="00986606">
        <w:rPr>
          <w:rFonts w:ascii="Times New Roman" w:hAnsi="Times New Roman"/>
          <w:sz w:val="24"/>
          <w:szCs w:val="24"/>
        </w:rPr>
        <w:t xml:space="preserve"> briefly pointed to specific features of the Internet that qualitatively distinguish o</w:t>
      </w:r>
      <w:r w:rsidR="009A1B7C" w:rsidRPr="00986606">
        <w:rPr>
          <w:rFonts w:ascii="Times New Roman" w:hAnsi="Times New Roman"/>
          <w:sz w:val="24"/>
          <w:szCs w:val="24"/>
        </w:rPr>
        <w:t xml:space="preserve">nline from press dissemination.  For example, </w:t>
      </w:r>
      <w:r w:rsidRPr="00986606">
        <w:rPr>
          <w:rFonts w:ascii="Times New Roman" w:hAnsi="Times New Roman"/>
          <w:sz w:val="24"/>
          <w:szCs w:val="24"/>
        </w:rPr>
        <w:t>with the Internet ‘</w:t>
      </w:r>
      <w:r w:rsidRPr="00986606">
        <w:rPr>
          <w:rFonts w:ascii="Times New Roman" w:hAnsi="Times New Roman"/>
          <w:i/>
          <w:sz w:val="24"/>
          <w:szCs w:val="24"/>
        </w:rPr>
        <w:t xml:space="preserve">those interested in a prurient story can, </w:t>
      </w:r>
      <w:r w:rsidRPr="00986606">
        <w:rPr>
          <w:rFonts w:ascii="Times New Roman" w:hAnsi="Times New Roman"/>
          <w:b/>
          <w:i/>
          <w:sz w:val="24"/>
          <w:szCs w:val="24"/>
        </w:rPr>
        <w:t>if they try, probably</w:t>
      </w:r>
      <w:r w:rsidRPr="00986606">
        <w:rPr>
          <w:rFonts w:ascii="Times New Roman" w:hAnsi="Times New Roman"/>
          <w:i/>
          <w:sz w:val="24"/>
          <w:szCs w:val="24"/>
        </w:rPr>
        <w:t xml:space="preserve"> read about the identities of those involved and in some cases about the detail of the conduct, according to where they may find it on the internet</w:t>
      </w:r>
      <w:r w:rsidRPr="00986606">
        <w:rPr>
          <w:rFonts w:ascii="Times New Roman" w:hAnsi="Times New Roman"/>
          <w:sz w:val="24"/>
          <w:szCs w:val="24"/>
        </w:rPr>
        <w:t>.’</w:t>
      </w:r>
      <w:r w:rsidRPr="00986606">
        <w:rPr>
          <w:rFonts w:asciiTheme="minorHAnsi" w:eastAsiaTheme="minorHAnsi" w:hAnsiTheme="minorHAnsi" w:cstheme="minorBidi"/>
          <w:vertAlign w:val="superscript"/>
        </w:rPr>
        <w:footnoteReference w:id="119"/>
      </w:r>
      <w:r w:rsidRPr="00986606">
        <w:rPr>
          <w:rFonts w:ascii="Times New Roman" w:hAnsi="Times New Roman"/>
          <w:sz w:val="24"/>
          <w:szCs w:val="24"/>
        </w:rPr>
        <w:t xml:space="preserve">  </w:t>
      </w:r>
      <w:r w:rsidR="00943C8E" w:rsidRPr="00986606">
        <w:rPr>
          <w:rFonts w:ascii="Times New Roman" w:hAnsi="Times New Roman"/>
          <w:sz w:val="24"/>
          <w:szCs w:val="24"/>
        </w:rPr>
        <w:t xml:space="preserve">So </w:t>
      </w:r>
      <w:r w:rsidRPr="00986606">
        <w:rPr>
          <w:rFonts w:ascii="Times New Roman" w:hAnsi="Times New Roman"/>
          <w:sz w:val="24"/>
          <w:szCs w:val="24"/>
        </w:rPr>
        <w:t>an important distinction between press and online publication is that online material must be actively sought</w:t>
      </w:r>
      <w:r w:rsidR="006B1D74" w:rsidRPr="00986606">
        <w:rPr>
          <w:rFonts w:ascii="Times New Roman" w:hAnsi="Times New Roman"/>
          <w:sz w:val="24"/>
          <w:szCs w:val="24"/>
        </w:rPr>
        <w:t>.  This</w:t>
      </w:r>
      <w:r w:rsidRPr="00986606">
        <w:rPr>
          <w:rFonts w:ascii="Times New Roman" w:hAnsi="Times New Roman"/>
          <w:sz w:val="24"/>
          <w:szCs w:val="24"/>
        </w:rPr>
        <w:t xml:space="preserve"> claim is </w:t>
      </w:r>
      <w:r w:rsidRPr="00986606">
        <w:rPr>
          <w:rFonts w:ascii="Times New Roman" w:hAnsi="Times New Roman"/>
          <w:i/>
          <w:sz w:val="24"/>
          <w:szCs w:val="24"/>
        </w:rPr>
        <w:t>prima facie</w:t>
      </w:r>
      <w:r w:rsidRPr="00986606">
        <w:rPr>
          <w:rFonts w:ascii="Times New Roman" w:hAnsi="Times New Roman"/>
          <w:sz w:val="24"/>
          <w:szCs w:val="24"/>
        </w:rPr>
        <w:t xml:space="preserve"> justifiable in that, unlike press publication, the Internet does not involve prominently displayed front-page headlines for passers-by to see.  Yet this should arguably viewed in light of the ease with which online material can be accessed (even with the PJS injunction in place) and the immense quan</w:t>
      </w:r>
      <w:r w:rsidR="005E580D" w:rsidRPr="00986606">
        <w:rPr>
          <w:rFonts w:ascii="Times New Roman" w:hAnsi="Times New Roman"/>
          <w:sz w:val="24"/>
          <w:szCs w:val="24"/>
        </w:rPr>
        <w:t>titative reach of the Internet, discussed below</w:t>
      </w:r>
      <w:r w:rsidR="000E1970" w:rsidRPr="00986606">
        <w:rPr>
          <w:rFonts w:ascii="Times New Roman" w:hAnsi="Times New Roman"/>
          <w:sz w:val="24"/>
          <w:szCs w:val="24"/>
        </w:rPr>
        <w:t xml:space="preserve">.  </w:t>
      </w:r>
      <w:r w:rsidRPr="00986606">
        <w:rPr>
          <w:rFonts w:ascii="Times New Roman" w:hAnsi="Times New Roman"/>
          <w:sz w:val="24"/>
          <w:szCs w:val="24"/>
        </w:rPr>
        <w:t xml:space="preserve">A further, and highly significant feature of the Internet that Lord </w:t>
      </w:r>
      <w:proofErr w:type="spellStart"/>
      <w:r w:rsidRPr="00986606">
        <w:rPr>
          <w:rFonts w:ascii="Times New Roman" w:hAnsi="Times New Roman"/>
          <w:sz w:val="24"/>
          <w:szCs w:val="24"/>
        </w:rPr>
        <w:t>Mance</w:t>
      </w:r>
      <w:proofErr w:type="spellEnd"/>
      <w:r w:rsidRPr="00986606">
        <w:rPr>
          <w:rFonts w:ascii="Times New Roman" w:hAnsi="Times New Roman"/>
          <w:sz w:val="24"/>
          <w:szCs w:val="24"/>
        </w:rPr>
        <w:t xml:space="preserve"> identified is ‘</w:t>
      </w:r>
      <w:r w:rsidRPr="00986606">
        <w:rPr>
          <w:rFonts w:ascii="Times New Roman" w:hAnsi="Times New Roman"/>
          <w:i/>
          <w:sz w:val="24"/>
          <w:szCs w:val="24"/>
        </w:rPr>
        <w:t xml:space="preserve">the parallel – and </w:t>
      </w:r>
      <w:r w:rsidRPr="00986606">
        <w:rPr>
          <w:rFonts w:ascii="Times New Roman" w:hAnsi="Times New Roman"/>
          <w:b/>
          <w:i/>
          <w:sz w:val="24"/>
          <w:szCs w:val="24"/>
        </w:rPr>
        <w:t>in probability significantly uncontrollable</w:t>
      </w:r>
      <w:r w:rsidRPr="00986606">
        <w:rPr>
          <w:rFonts w:ascii="Times New Roman" w:hAnsi="Times New Roman"/>
          <w:i/>
          <w:sz w:val="24"/>
          <w:szCs w:val="24"/>
        </w:rPr>
        <w:t xml:space="preserve"> – world of the internet and social media</w:t>
      </w:r>
      <w:r w:rsidRPr="00986606">
        <w:rPr>
          <w:rFonts w:ascii="Times New Roman" w:hAnsi="Times New Roman"/>
          <w:sz w:val="24"/>
          <w:szCs w:val="24"/>
        </w:rPr>
        <w:t>’.</w:t>
      </w:r>
      <w:r w:rsidRPr="00986606">
        <w:rPr>
          <w:rFonts w:asciiTheme="minorHAnsi" w:eastAsiaTheme="minorHAnsi" w:hAnsiTheme="minorHAnsi" w:cstheme="minorBidi"/>
          <w:vertAlign w:val="superscript"/>
        </w:rPr>
        <w:footnoteReference w:id="120"/>
      </w:r>
      <w:r w:rsidRPr="00986606">
        <w:rPr>
          <w:rFonts w:ascii="Times New Roman" w:hAnsi="Times New Roman"/>
          <w:sz w:val="24"/>
          <w:szCs w:val="24"/>
        </w:rPr>
        <w:t xml:space="preserve">  This, he conceded, was ‘</w:t>
      </w:r>
      <w:r w:rsidRPr="00986606">
        <w:rPr>
          <w:rFonts w:ascii="Times New Roman" w:hAnsi="Times New Roman"/>
          <w:i/>
          <w:sz w:val="24"/>
          <w:szCs w:val="24"/>
        </w:rPr>
        <w:t xml:space="preserve">the </w:t>
      </w:r>
      <w:r w:rsidRPr="00986606">
        <w:rPr>
          <w:rFonts w:ascii="Times New Roman" w:hAnsi="Times New Roman"/>
          <w:b/>
          <w:i/>
          <w:sz w:val="24"/>
          <w:szCs w:val="24"/>
        </w:rPr>
        <w:t>only</w:t>
      </w:r>
      <w:r w:rsidRPr="00986606">
        <w:rPr>
          <w:rFonts w:ascii="Times New Roman" w:hAnsi="Times New Roman"/>
          <w:i/>
          <w:sz w:val="24"/>
          <w:szCs w:val="24"/>
        </w:rPr>
        <w:t xml:space="preserve"> consideration militating in favour of discharging the injunction</w:t>
      </w:r>
      <w:r w:rsidRPr="00986606">
        <w:rPr>
          <w:rFonts w:ascii="Times New Roman" w:hAnsi="Times New Roman"/>
          <w:sz w:val="24"/>
          <w:szCs w:val="24"/>
        </w:rPr>
        <w:t>’.  This telling statement represents an acknowledgment of the limits of law i</w:t>
      </w:r>
      <w:r w:rsidR="0040347C" w:rsidRPr="00986606">
        <w:rPr>
          <w:rFonts w:ascii="Times New Roman" w:hAnsi="Times New Roman"/>
          <w:sz w:val="24"/>
          <w:szCs w:val="24"/>
        </w:rPr>
        <w:t>n an online context, suggesting</w:t>
      </w:r>
      <w:r w:rsidRPr="00986606">
        <w:rPr>
          <w:rFonts w:ascii="Times New Roman" w:hAnsi="Times New Roman"/>
          <w:sz w:val="24"/>
          <w:szCs w:val="24"/>
        </w:rPr>
        <w:t xml:space="preserve"> that ‘storm’-like conditions may ex</w:t>
      </w:r>
      <w:r w:rsidR="0040347C" w:rsidRPr="00986606">
        <w:rPr>
          <w:rFonts w:ascii="Times New Roman" w:hAnsi="Times New Roman"/>
          <w:sz w:val="24"/>
          <w:szCs w:val="24"/>
        </w:rPr>
        <w:t>tend into online media coverage</w:t>
      </w:r>
      <w:r w:rsidR="00AA5BD1" w:rsidRPr="00986606">
        <w:rPr>
          <w:rFonts w:ascii="Times New Roman" w:hAnsi="Times New Roman"/>
          <w:sz w:val="24"/>
          <w:szCs w:val="24"/>
        </w:rPr>
        <w:t>.</w:t>
      </w:r>
      <w:r w:rsidRPr="00986606">
        <w:rPr>
          <w:rFonts w:ascii="Times New Roman" w:hAnsi="Times New Roman"/>
          <w:sz w:val="24"/>
          <w:szCs w:val="24"/>
        </w:rPr>
        <w:t xml:space="preserve">  Ultimately, this brief but highly revealing acknowledgement perhaps highlights </w:t>
      </w:r>
      <w:r w:rsidRPr="00986606">
        <w:rPr>
          <w:rFonts w:ascii="Times New Roman" w:hAnsi="Times New Roman"/>
          <w:i/>
          <w:sz w:val="24"/>
          <w:szCs w:val="24"/>
        </w:rPr>
        <w:t>the</w:t>
      </w:r>
      <w:r w:rsidRPr="00986606">
        <w:rPr>
          <w:rFonts w:ascii="Times New Roman" w:hAnsi="Times New Roman"/>
          <w:sz w:val="24"/>
          <w:szCs w:val="24"/>
        </w:rPr>
        <w:t xml:space="preserve"> most significant difference between the press and internet as far as the law is concerned; the former, being</w:t>
      </w:r>
      <w:r w:rsidR="00AA5BD1" w:rsidRPr="00986606">
        <w:rPr>
          <w:rFonts w:ascii="Times New Roman" w:hAnsi="Times New Roman"/>
          <w:sz w:val="24"/>
          <w:szCs w:val="24"/>
        </w:rPr>
        <w:t xml:space="preserve"> </w:t>
      </w:r>
      <w:r w:rsidRPr="00986606">
        <w:rPr>
          <w:rFonts w:ascii="Times New Roman" w:hAnsi="Times New Roman"/>
          <w:sz w:val="24"/>
          <w:szCs w:val="24"/>
        </w:rPr>
        <w:t>fixed in a physical space within the court’s juri</w:t>
      </w:r>
      <w:r w:rsidR="00266AE2" w:rsidRPr="00986606">
        <w:rPr>
          <w:rFonts w:ascii="Times New Roman" w:hAnsi="Times New Roman"/>
          <w:sz w:val="24"/>
          <w:szCs w:val="24"/>
        </w:rPr>
        <w:t>s</w:t>
      </w:r>
      <w:r w:rsidRPr="00986606">
        <w:rPr>
          <w:rFonts w:ascii="Times New Roman" w:hAnsi="Times New Roman"/>
          <w:sz w:val="24"/>
          <w:szCs w:val="24"/>
        </w:rPr>
        <w:t xml:space="preserve">diction, </w:t>
      </w:r>
      <w:r w:rsidRPr="00986606">
        <w:rPr>
          <w:rFonts w:ascii="Times New Roman" w:hAnsi="Times New Roman"/>
          <w:i/>
          <w:sz w:val="24"/>
          <w:szCs w:val="24"/>
        </w:rPr>
        <w:t xml:space="preserve">can </w:t>
      </w:r>
      <w:r w:rsidRPr="00986606">
        <w:rPr>
          <w:rFonts w:ascii="Times New Roman" w:hAnsi="Times New Roman"/>
          <w:sz w:val="24"/>
          <w:szCs w:val="24"/>
        </w:rPr>
        <w:t>read</w:t>
      </w:r>
      <w:r w:rsidR="009A248D" w:rsidRPr="00986606">
        <w:rPr>
          <w:rFonts w:ascii="Times New Roman" w:hAnsi="Times New Roman"/>
          <w:sz w:val="24"/>
          <w:szCs w:val="24"/>
        </w:rPr>
        <w:t xml:space="preserve">ily be made subject to an order, whereas Internet communications, for the reasons outlined in Part 3.3, will prove far harder to police.  This is arguably the </w:t>
      </w:r>
      <w:r w:rsidR="0053453A" w:rsidRPr="00986606">
        <w:rPr>
          <w:rFonts w:ascii="Times New Roman" w:hAnsi="Times New Roman"/>
          <w:sz w:val="24"/>
          <w:szCs w:val="24"/>
        </w:rPr>
        <w:t xml:space="preserve">most </w:t>
      </w:r>
      <w:r w:rsidR="00641A0C" w:rsidRPr="00986606">
        <w:rPr>
          <w:rFonts w:ascii="Times New Roman" w:hAnsi="Times New Roman"/>
          <w:sz w:val="24"/>
          <w:szCs w:val="24"/>
        </w:rPr>
        <w:t xml:space="preserve">persuasive </w:t>
      </w:r>
      <w:r w:rsidR="001D018F" w:rsidRPr="00986606">
        <w:rPr>
          <w:rFonts w:ascii="Times New Roman" w:hAnsi="Times New Roman"/>
          <w:sz w:val="24"/>
          <w:szCs w:val="24"/>
        </w:rPr>
        <w:t xml:space="preserve">of the various </w:t>
      </w:r>
      <w:r w:rsidR="00641A0C" w:rsidRPr="00986606">
        <w:rPr>
          <w:rFonts w:ascii="Times New Roman" w:hAnsi="Times New Roman"/>
          <w:sz w:val="24"/>
          <w:szCs w:val="24"/>
        </w:rPr>
        <w:t>example</w:t>
      </w:r>
      <w:r w:rsidR="001D018F" w:rsidRPr="00986606">
        <w:rPr>
          <w:rFonts w:ascii="Times New Roman" w:hAnsi="Times New Roman"/>
          <w:sz w:val="24"/>
          <w:szCs w:val="24"/>
        </w:rPr>
        <w:t>s</w:t>
      </w:r>
      <w:r w:rsidR="009A248D" w:rsidRPr="00986606">
        <w:rPr>
          <w:rFonts w:ascii="Times New Roman" w:hAnsi="Times New Roman"/>
          <w:sz w:val="24"/>
          <w:szCs w:val="24"/>
        </w:rPr>
        <w:t xml:space="preserve"> set out by the Law Lords</w:t>
      </w:r>
      <w:r w:rsidR="00641A0C" w:rsidRPr="00986606">
        <w:rPr>
          <w:rFonts w:ascii="Times New Roman" w:hAnsi="Times New Roman"/>
          <w:sz w:val="24"/>
          <w:szCs w:val="24"/>
        </w:rPr>
        <w:t xml:space="preserve"> in </w:t>
      </w:r>
      <w:r w:rsidR="001D018F" w:rsidRPr="00986606">
        <w:rPr>
          <w:rFonts w:ascii="Times New Roman" w:hAnsi="Times New Roman"/>
          <w:sz w:val="24"/>
          <w:szCs w:val="24"/>
        </w:rPr>
        <w:t xml:space="preserve">support of </w:t>
      </w:r>
      <w:r w:rsidR="00641A0C" w:rsidRPr="00986606">
        <w:rPr>
          <w:rFonts w:ascii="Times New Roman" w:hAnsi="Times New Roman"/>
          <w:sz w:val="24"/>
          <w:szCs w:val="24"/>
        </w:rPr>
        <w:t xml:space="preserve">their </w:t>
      </w:r>
      <w:r w:rsidR="0053453A" w:rsidRPr="00986606">
        <w:rPr>
          <w:rFonts w:ascii="Times New Roman" w:hAnsi="Times New Roman"/>
          <w:sz w:val="24"/>
          <w:szCs w:val="24"/>
        </w:rPr>
        <w:t>press-Internet</w:t>
      </w:r>
      <w:r w:rsidR="00641A0C" w:rsidRPr="00986606">
        <w:rPr>
          <w:rFonts w:ascii="Times New Roman" w:hAnsi="Times New Roman"/>
          <w:sz w:val="24"/>
          <w:szCs w:val="24"/>
        </w:rPr>
        <w:t xml:space="preserve"> distinction</w:t>
      </w:r>
      <w:r w:rsidR="00C644E5" w:rsidRPr="00986606">
        <w:rPr>
          <w:rFonts w:ascii="Times New Roman" w:hAnsi="Times New Roman"/>
          <w:sz w:val="24"/>
          <w:szCs w:val="24"/>
        </w:rPr>
        <w:t>.  Yet</w:t>
      </w:r>
      <w:r w:rsidR="009A248D" w:rsidRPr="00986606">
        <w:rPr>
          <w:rFonts w:ascii="Times New Roman" w:hAnsi="Times New Roman"/>
          <w:sz w:val="24"/>
          <w:szCs w:val="24"/>
        </w:rPr>
        <w:t xml:space="preserve"> this reason re</w:t>
      </w:r>
      <w:r w:rsidR="00C644E5" w:rsidRPr="00986606">
        <w:rPr>
          <w:rFonts w:ascii="Times New Roman" w:hAnsi="Times New Roman"/>
          <w:sz w:val="24"/>
          <w:szCs w:val="24"/>
        </w:rPr>
        <w:t xml:space="preserve">lates to the practical efficacy and </w:t>
      </w:r>
      <w:r w:rsidR="009A248D" w:rsidRPr="00986606">
        <w:rPr>
          <w:rFonts w:ascii="Times New Roman" w:hAnsi="Times New Roman"/>
          <w:sz w:val="24"/>
          <w:szCs w:val="24"/>
        </w:rPr>
        <w:t xml:space="preserve">enforceability of law </w:t>
      </w:r>
      <w:r w:rsidR="00C644E5" w:rsidRPr="00986606">
        <w:rPr>
          <w:rFonts w:ascii="Times New Roman" w:hAnsi="Times New Roman"/>
          <w:sz w:val="24"/>
          <w:szCs w:val="24"/>
        </w:rPr>
        <w:t xml:space="preserve">rather than core privacy </w:t>
      </w:r>
      <w:r w:rsidR="009A248D" w:rsidRPr="00986606">
        <w:rPr>
          <w:rFonts w:ascii="Times New Roman" w:hAnsi="Times New Roman"/>
          <w:sz w:val="24"/>
          <w:szCs w:val="24"/>
        </w:rPr>
        <w:t xml:space="preserve">concerns </w:t>
      </w:r>
      <w:r w:rsidR="009A248D" w:rsidRPr="00986606">
        <w:rPr>
          <w:rFonts w:ascii="Times New Roman" w:hAnsi="Times New Roman"/>
          <w:i/>
          <w:sz w:val="24"/>
          <w:szCs w:val="24"/>
        </w:rPr>
        <w:t>per se</w:t>
      </w:r>
      <w:r w:rsidR="009A248D" w:rsidRPr="00986606">
        <w:rPr>
          <w:rFonts w:ascii="Times New Roman" w:hAnsi="Times New Roman"/>
          <w:sz w:val="24"/>
          <w:szCs w:val="24"/>
        </w:rPr>
        <w:t>.</w:t>
      </w:r>
    </w:p>
    <w:p w:rsidR="00D95650" w:rsidRPr="00986606" w:rsidRDefault="00D95650" w:rsidP="00D95650">
      <w:pPr>
        <w:spacing w:after="0" w:line="240" w:lineRule="auto"/>
        <w:jc w:val="both"/>
        <w:rPr>
          <w:rFonts w:ascii="Times New Roman" w:hAnsi="Times New Roman"/>
          <w:sz w:val="24"/>
          <w:szCs w:val="24"/>
        </w:rPr>
      </w:pPr>
    </w:p>
    <w:p w:rsidR="00D95650" w:rsidRPr="00986606" w:rsidRDefault="006C5DFA" w:rsidP="00D95650">
      <w:pPr>
        <w:spacing w:after="0" w:line="240" w:lineRule="auto"/>
        <w:jc w:val="both"/>
        <w:rPr>
          <w:rFonts w:ascii="Times New Roman" w:hAnsi="Times New Roman"/>
          <w:sz w:val="24"/>
          <w:szCs w:val="24"/>
        </w:rPr>
      </w:pPr>
      <w:r w:rsidRPr="00986606">
        <w:rPr>
          <w:rFonts w:ascii="Times New Roman" w:hAnsi="Times New Roman"/>
          <w:sz w:val="24"/>
          <w:szCs w:val="24"/>
        </w:rPr>
        <w:t xml:space="preserve">In light of the tenuousness </w:t>
      </w:r>
      <w:r w:rsidR="004D5F3F" w:rsidRPr="00986606">
        <w:rPr>
          <w:rFonts w:ascii="Times New Roman" w:hAnsi="Times New Roman"/>
          <w:sz w:val="24"/>
          <w:szCs w:val="24"/>
        </w:rPr>
        <w:t>of</w:t>
      </w:r>
      <w:r w:rsidR="003F1DCC" w:rsidRPr="00986606">
        <w:rPr>
          <w:rFonts w:ascii="Times New Roman" w:hAnsi="Times New Roman"/>
          <w:sz w:val="24"/>
          <w:szCs w:val="24"/>
        </w:rPr>
        <w:t xml:space="preserve"> the main</w:t>
      </w:r>
      <w:r w:rsidRPr="00986606">
        <w:rPr>
          <w:rFonts w:ascii="Times New Roman" w:hAnsi="Times New Roman"/>
          <w:sz w:val="24"/>
          <w:szCs w:val="24"/>
        </w:rPr>
        <w:t xml:space="preserve"> </w:t>
      </w:r>
      <w:r w:rsidR="004D5F3F" w:rsidRPr="00986606">
        <w:rPr>
          <w:rFonts w:ascii="Times New Roman" w:hAnsi="Times New Roman"/>
          <w:sz w:val="24"/>
          <w:szCs w:val="24"/>
        </w:rPr>
        <w:t>reasons underlying the</w:t>
      </w:r>
      <w:r w:rsidRPr="00986606">
        <w:rPr>
          <w:rFonts w:ascii="Times New Roman" w:hAnsi="Times New Roman"/>
          <w:sz w:val="24"/>
          <w:szCs w:val="24"/>
        </w:rPr>
        <w:t xml:space="preserve"> press-Internet</w:t>
      </w:r>
      <w:r w:rsidR="004D5F3F" w:rsidRPr="00986606">
        <w:rPr>
          <w:rFonts w:ascii="Times New Roman" w:hAnsi="Times New Roman"/>
          <w:sz w:val="24"/>
          <w:szCs w:val="24"/>
        </w:rPr>
        <w:t xml:space="preserve"> qualitative distinction</w:t>
      </w:r>
      <w:r w:rsidRPr="00986606">
        <w:rPr>
          <w:rFonts w:ascii="Times New Roman" w:hAnsi="Times New Roman"/>
          <w:sz w:val="24"/>
          <w:szCs w:val="24"/>
        </w:rPr>
        <w:t xml:space="preserve">, one must question </w:t>
      </w:r>
      <w:r w:rsidR="004D5F3F" w:rsidRPr="00986606">
        <w:rPr>
          <w:rFonts w:ascii="Times New Roman" w:hAnsi="Times New Roman"/>
          <w:sz w:val="24"/>
          <w:szCs w:val="24"/>
        </w:rPr>
        <w:t xml:space="preserve">whether </w:t>
      </w:r>
      <w:r w:rsidRPr="00986606">
        <w:rPr>
          <w:rFonts w:ascii="Times New Roman" w:hAnsi="Times New Roman"/>
          <w:sz w:val="24"/>
          <w:szCs w:val="24"/>
        </w:rPr>
        <w:t>it is necessary or appropriate</w:t>
      </w:r>
      <w:r w:rsidR="004D5F3F" w:rsidRPr="00986606">
        <w:rPr>
          <w:rFonts w:ascii="Times New Roman" w:hAnsi="Times New Roman"/>
          <w:sz w:val="24"/>
          <w:szCs w:val="24"/>
        </w:rPr>
        <w:t>.</w:t>
      </w:r>
      <w:r w:rsidRPr="00986606">
        <w:rPr>
          <w:rFonts w:ascii="Times New Roman" w:hAnsi="Times New Roman"/>
          <w:sz w:val="24"/>
          <w:szCs w:val="24"/>
        </w:rPr>
        <w:t xml:space="preserve">  </w:t>
      </w:r>
      <w:r w:rsidR="008D47F2" w:rsidRPr="00986606">
        <w:rPr>
          <w:rFonts w:ascii="Times New Roman" w:hAnsi="Times New Roman"/>
          <w:sz w:val="24"/>
          <w:szCs w:val="24"/>
        </w:rPr>
        <w:t xml:space="preserve">Lord </w:t>
      </w:r>
      <w:proofErr w:type="spellStart"/>
      <w:r w:rsidR="008D47F2" w:rsidRPr="00986606">
        <w:rPr>
          <w:rFonts w:ascii="Times New Roman" w:hAnsi="Times New Roman"/>
          <w:sz w:val="24"/>
          <w:szCs w:val="24"/>
        </w:rPr>
        <w:t>Toulson</w:t>
      </w:r>
      <w:proofErr w:type="spellEnd"/>
      <w:r w:rsidR="008D47F2" w:rsidRPr="00986606">
        <w:rPr>
          <w:rFonts w:ascii="Times New Roman" w:hAnsi="Times New Roman"/>
          <w:sz w:val="24"/>
          <w:szCs w:val="24"/>
        </w:rPr>
        <w:t xml:space="preserve"> </w:t>
      </w:r>
      <w:r w:rsidR="003F1DCC" w:rsidRPr="00986606">
        <w:rPr>
          <w:rFonts w:ascii="Times New Roman" w:hAnsi="Times New Roman"/>
          <w:sz w:val="24"/>
          <w:szCs w:val="24"/>
        </w:rPr>
        <w:t>rejected the</w:t>
      </w:r>
      <w:r w:rsidR="00D95650" w:rsidRPr="00986606">
        <w:rPr>
          <w:rFonts w:ascii="Times New Roman" w:hAnsi="Times New Roman"/>
          <w:sz w:val="24"/>
          <w:szCs w:val="24"/>
        </w:rPr>
        <w:t xml:space="preserve"> distinction drawn by the majority,</w:t>
      </w:r>
      <w:r w:rsidR="00D95650" w:rsidRPr="00986606">
        <w:rPr>
          <w:rFonts w:ascii="Times New Roman" w:hAnsi="Times New Roman"/>
          <w:sz w:val="24"/>
          <w:szCs w:val="24"/>
          <w:vertAlign w:val="superscript"/>
        </w:rPr>
        <w:footnoteReference w:id="121"/>
      </w:r>
      <w:r w:rsidR="00D95650" w:rsidRPr="00986606">
        <w:rPr>
          <w:rFonts w:ascii="Times New Roman" w:hAnsi="Times New Roman"/>
          <w:sz w:val="24"/>
          <w:szCs w:val="24"/>
        </w:rPr>
        <w:t xml:space="preserve"> arguing that s.12(4) HRA requires the court to have regard to the extent to which information is available to the publ</w:t>
      </w:r>
      <w:r w:rsidR="00175488" w:rsidRPr="00986606">
        <w:rPr>
          <w:rFonts w:ascii="Times New Roman" w:hAnsi="Times New Roman"/>
          <w:sz w:val="24"/>
          <w:szCs w:val="24"/>
        </w:rPr>
        <w:t>ic irrespective of the medium</w:t>
      </w:r>
      <w:r w:rsidR="00D95650" w:rsidRPr="00986606">
        <w:rPr>
          <w:rFonts w:ascii="Times New Roman" w:hAnsi="Times New Roman"/>
          <w:sz w:val="24"/>
          <w:szCs w:val="24"/>
        </w:rPr>
        <w:t>:</w:t>
      </w:r>
    </w:p>
    <w:p w:rsidR="00D95650" w:rsidRPr="00986606" w:rsidRDefault="00D95650" w:rsidP="00D95650">
      <w:pPr>
        <w:spacing w:after="0" w:line="240" w:lineRule="auto"/>
        <w:jc w:val="both"/>
        <w:rPr>
          <w:rFonts w:ascii="Times New Roman" w:hAnsi="Times New Roman"/>
          <w:sz w:val="24"/>
          <w:szCs w:val="24"/>
        </w:rPr>
      </w:pPr>
    </w:p>
    <w:p w:rsidR="00D95650" w:rsidRPr="00986606" w:rsidRDefault="00D95650" w:rsidP="003B4A70">
      <w:pPr>
        <w:spacing w:after="0" w:line="240" w:lineRule="auto"/>
        <w:ind w:left="851" w:right="851"/>
        <w:jc w:val="both"/>
        <w:rPr>
          <w:rFonts w:ascii="Times New Roman" w:hAnsi="Times New Roman"/>
          <w:sz w:val="24"/>
          <w:szCs w:val="24"/>
        </w:rPr>
      </w:pPr>
      <w:r w:rsidRPr="00986606">
        <w:rPr>
          <w:rFonts w:ascii="Times New Roman" w:hAnsi="Times New Roman"/>
          <w:sz w:val="24"/>
          <w:szCs w:val="24"/>
        </w:rPr>
        <w:t xml:space="preserve"> ‘</w:t>
      </w:r>
      <w:r w:rsidRPr="00986606">
        <w:rPr>
          <w:rFonts w:ascii="Times New Roman" w:hAnsi="Times New Roman"/>
          <w:i/>
          <w:sz w:val="24"/>
          <w:szCs w:val="24"/>
        </w:rPr>
        <w:t>If the information is in wide, general circulation from whatever source or combination of sources, I do not see that it should make a significant difference whether the medium of the intended publication is the internet, print journalism or broadcast journalism.  The world of public information is interactive and indivisible</w:t>
      </w:r>
      <w:r w:rsidRPr="00986606">
        <w:rPr>
          <w:rFonts w:ascii="Times New Roman" w:hAnsi="Times New Roman"/>
          <w:sz w:val="24"/>
          <w:szCs w:val="24"/>
        </w:rPr>
        <w:t>.’</w:t>
      </w:r>
      <w:r w:rsidRPr="00986606">
        <w:rPr>
          <w:rFonts w:ascii="Times New Roman" w:hAnsi="Times New Roman"/>
          <w:sz w:val="24"/>
          <w:szCs w:val="24"/>
          <w:vertAlign w:val="superscript"/>
        </w:rPr>
        <w:footnoteReference w:id="122"/>
      </w:r>
      <w:r w:rsidRPr="00986606">
        <w:rPr>
          <w:rFonts w:ascii="Times New Roman" w:hAnsi="Times New Roman"/>
          <w:sz w:val="24"/>
          <w:szCs w:val="24"/>
        </w:rPr>
        <w:t xml:space="preserve">  </w:t>
      </w:r>
    </w:p>
    <w:p w:rsidR="00B75D1E" w:rsidRPr="00986606" w:rsidRDefault="00B75D1E" w:rsidP="00D95650">
      <w:pPr>
        <w:spacing w:after="0" w:line="240" w:lineRule="auto"/>
        <w:jc w:val="both"/>
        <w:rPr>
          <w:rFonts w:ascii="Times New Roman" w:hAnsi="Times New Roman"/>
          <w:i/>
          <w:sz w:val="24"/>
          <w:szCs w:val="24"/>
          <w:u w:val="single"/>
        </w:rPr>
      </w:pPr>
    </w:p>
    <w:p w:rsidR="00D95650" w:rsidRPr="00986606" w:rsidRDefault="00D95650" w:rsidP="00D95650">
      <w:pPr>
        <w:spacing w:after="0" w:line="240" w:lineRule="auto"/>
        <w:jc w:val="both"/>
        <w:rPr>
          <w:rFonts w:ascii="Times New Roman" w:hAnsi="Times New Roman"/>
          <w:b/>
          <w:sz w:val="24"/>
          <w:szCs w:val="24"/>
        </w:rPr>
      </w:pPr>
      <w:r w:rsidRPr="00986606">
        <w:rPr>
          <w:rFonts w:ascii="Times New Roman" w:hAnsi="Times New Roman"/>
          <w:i/>
          <w:sz w:val="24"/>
          <w:szCs w:val="24"/>
          <w:u w:val="single"/>
        </w:rPr>
        <w:t>Quantitative distinctions</w:t>
      </w:r>
      <w:r w:rsidRPr="00986606">
        <w:rPr>
          <w:rFonts w:ascii="Times New Roman" w:hAnsi="Times New Roman"/>
          <w:b/>
          <w:sz w:val="24"/>
          <w:szCs w:val="24"/>
        </w:rPr>
        <w:t xml:space="preserve"> </w:t>
      </w:r>
    </w:p>
    <w:p w:rsidR="00D95650" w:rsidRPr="00986606" w:rsidRDefault="00203C39" w:rsidP="00D95650">
      <w:pPr>
        <w:spacing w:after="0" w:line="240" w:lineRule="auto"/>
        <w:jc w:val="both"/>
        <w:rPr>
          <w:rFonts w:ascii="Times New Roman" w:hAnsi="Times New Roman"/>
          <w:sz w:val="24"/>
          <w:szCs w:val="24"/>
        </w:rPr>
      </w:pPr>
      <w:r w:rsidRPr="00986606">
        <w:rPr>
          <w:rFonts w:ascii="Times New Roman" w:hAnsi="Times New Roman"/>
          <w:sz w:val="24"/>
          <w:szCs w:val="24"/>
        </w:rPr>
        <w:t xml:space="preserve">In </w:t>
      </w:r>
      <w:r w:rsidR="00D95650" w:rsidRPr="00986606">
        <w:rPr>
          <w:rFonts w:ascii="Times New Roman" w:hAnsi="Times New Roman"/>
          <w:sz w:val="24"/>
          <w:szCs w:val="24"/>
        </w:rPr>
        <w:t>emphasising qualitative distinctions between the Internet</w:t>
      </w:r>
      <w:r w:rsidR="00B75D1E" w:rsidRPr="00986606">
        <w:rPr>
          <w:rFonts w:ascii="Times New Roman" w:hAnsi="Times New Roman"/>
          <w:sz w:val="24"/>
          <w:szCs w:val="24"/>
        </w:rPr>
        <w:t xml:space="preserve"> and press</w:t>
      </w:r>
      <w:r w:rsidR="00645D5F" w:rsidRPr="00986606">
        <w:rPr>
          <w:rFonts w:ascii="Times New Roman" w:hAnsi="Times New Roman"/>
          <w:sz w:val="24"/>
          <w:szCs w:val="24"/>
        </w:rPr>
        <w:t xml:space="preserve">, the Law Lords </w:t>
      </w:r>
      <w:r w:rsidRPr="00986606">
        <w:rPr>
          <w:rFonts w:ascii="Times New Roman" w:hAnsi="Times New Roman"/>
          <w:sz w:val="24"/>
          <w:szCs w:val="24"/>
        </w:rPr>
        <w:t>disregarde</w:t>
      </w:r>
      <w:r w:rsidR="00645D5F" w:rsidRPr="00986606">
        <w:rPr>
          <w:rFonts w:ascii="Times New Roman" w:hAnsi="Times New Roman"/>
          <w:sz w:val="24"/>
          <w:szCs w:val="24"/>
        </w:rPr>
        <w:t>d the</w:t>
      </w:r>
      <w:r w:rsidR="00D95650" w:rsidRPr="00986606">
        <w:rPr>
          <w:rFonts w:ascii="Times New Roman" w:hAnsi="Times New Roman"/>
          <w:sz w:val="24"/>
          <w:szCs w:val="24"/>
        </w:rPr>
        <w:t xml:space="preserve"> </w:t>
      </w:r>
      <w:r w:rsidR="00CC6BA3" w:rsidRPr="00986606">
        <w:rPr>
          <w:rFonts w:ascii="Times New Roman" w:hAnsi="Times New Roman"/>
          <w:sz w:val="24"/>
          <w:szCs w:val="24"/>
        </w:rPr>
        <w:t xml:space="preserve">traditional </w:t>
      </w:r>
      <w:r w:rsidR="00D95650" w:rsidRPr="00986606">
        <w:rPr>
          <w:rFonts w:ascii="Times New Roman" w:hAnsi="Times New Roman"/>
          <w:sz w:val="24"/>
          <w:szCs w:val="24"/>
        </w:rPr>
        <w:t>quantitative</w:t>
      </w:r>
      <w:r w:rsidR="00080012" w:rsidRPr="00986606">
        <w:rPr>
          <w:rFonts w:ascii="Times New Roman" w:hAnsi="Times New Roman"/>
          <w:sz w:val="24"/>
          <w:szCs w:val="24"/>
        </w:rPr>
        <w:t xml:space="preserve"> view of dissemination</w:t>
      </w:r>
      <w:r w:rsidR="00645D5F" w:rsidRPr="00986606">
        <w:rPr>
          <w:rFonts w:ascii="Times New Roman" w:hAnsi="Times New Roman"/>
          <w:sz w:val="24"/>
          <w:szCs w:val="24"/>
        </w:rPr>
        <w:t xml:space="preserve">, a strategy intrinsically linked to their marginalisation of secrecy </w:t>
      </w:r>
      <w:r w:rsidR="00B75D1E" w:rsidRPr="00986606">
        <w:rPr>
          <w:rFonts w:ascii="Times New Roman" w:hAnsi="Times New Roman"/>
          <w:sz w:val="24"/>
          <w:szCs w:val="24"/>
        </w:rPr>
        <w:t>discussed at Part 4.2.  However,</w:t>
      </w:r>
      <w:r w:rsidR="00645D5F" w:rsidRPr="00986606">
        <w:rPr>
          <w:rFonts w:ascii="Times New Roman" w:hAnsi="Times New Roman"/>
          <w:sz w:val="24"/>
          <w:szCs w:val="24"/>
        </w:rPr>
        <w:t xml:space="preserve"> </w:t>
      </w:r>
      <w:r w:rsidR="00080012" w:rsidRPr="00986606">
        <w:rPr>
          <w:rFonts w:ascii="Times New Roman" w:hAnsi="Times New Roman"/>
          <w:sz w:val="24"/>
          <w:szCs w:val="24"/>
        </w:rPr>
        <w:t xml:space="preserve">despite indicating that the number of people aware of PJS’s identity was immaterial, </w:t>
      </w:r>
      <w:r w:rsidR="00645D5F" w:rsidRPr="00986606">
        <w:rPr>
          <w:rFonts w:ascii="Times New Roman" w:hAnsi="Times New Roman"/>
          <w:sz w:val="24"/>
          <w:szCs w:val="24"/>
        </w:rPr>
        <w:t>s</w:t>
      </w:r>
      <w:r w:rsidR="00D95650" w:rsidRPr="00986606">
        <w:rPr>
          <w:rFonts w:ascii="Times New Roman" w:hAnsi="Times New Roman"/>
          <w:sz w:val="24"/>
          <w:szCs w:val="24"/>
        </w:rPr>
        <w:t xml:space="preserve">ome </w:t>
      </w:r>
      <w:r w:rsidR="00080012" w:rsidRPr="00986606">
        <w:rPr>
          <w:rFonts w:ascii="Times New Roman" w:hAnsi="Times New Roman"/>
          <w:sz w:val="24"/>
          <w:szCs w:val="24"/>
        </w:rPr>
        <w:t xml:space="preserve">brief </w:t>
      </w:r>
      <w:r w:rsidR="00645D5F" w:rsidRPr="00986606">
        <w:rPr>
          <w:rFonts w:ascii="Times New Roman" w:hAnsi="Times New Roman"/>
          <w:sz w:val="24"/>
          <w:szCs w:val="24"/>
        </w:rPr>
        <w:t xml:space="preserve">quantitative </w:t>
      </w:r>
      <w:r w:rsidR="00D95650" w:rsidRPr="00986606">
        <w:rPr>
          <w:rFonts w:ascii="Times New Roman" w:hAnsi="Times New Roman"/>
          <w:sz w:val="24"/>
          <w:szCs w:val="24"/>
        </w:rPr>
        <w:t>dis</w:t>
      </w:r>
      <w:r w:rsidR="00787DF9" w:rsidRPr="00986606">
        <w:rPr>
          <w:rFonts w:ascii="Times New Roman" w:hAnsi="Times New Roman"/>
          <w:sz w:val="24"/>
          <w:szCs w:val="24"/>
        </w:rPr>
        <w:t xml:space="preserve">tinctions </w:t>
      </w:r>
      <w:r w:rsidR="00CF12B7" w:rsidRPr="00986606">
        <w:rPr>
          <w:rFonts w:ascii="Times New Roman" w:hAnsi="Times New Roman"/>
          <w:sz w:val="24"/>
          <w:szCs w:val="24"/>
        </w:rPr>
        <w:t>between</w:t>
      </w:r>
      <w:r w:rsidR="00F66BEA" w:rsidRPr="00986606">
        <w:rPr>
          <w:rFonts w:ascii="Times New Roman" w:hAnsi="Times New Roman"/>
          <w:sz w:val="24"/>
          <w:szCs w:val="24"/>
        </w:rPr>
        <w:t xml:space="preserve"> the respective reaches of the press and Internet</w:t>
      </w:r>
      <w:r w:rsidR="00CF12B7" w:rsidRPr="00986606">
        <w:rPr>
          <w:rFonts w:ascii="Times New Roman" w:hAnsi="Times New Roman"/>
          <w:sz w:val="24"/>
          <w:szCs w:val="24"/>
        </w:rPr>
        <w:t xml:space="preserve"> </w:t>
      </w:r>
      <w:r w:rsidR="00787DF9" w:rsidRPr="00986606">
        <w:rPr>
          <w:rFonts w:ascii="Times New Roman" w:hAnsi="Times New Roman"/>
          <w:sz w:val="24"/>
          <w:szCs w:val="24"/>
        </w:rPr>
        <w:t xml:space="preserve">did </w:t>
      </w:r>
      <w:r w:rsidR="00CF12B7" w:rsidRPr="00986606">
        <w:rPr>
          <w:rFonts w:ascii="Times New Roman" w:hAnsi="Times New Roman"/>
          <w:sz w:val="24"/>
          <w:szCs w:val="24"/>
        </w:rPr>
        <w:t xml:space="preserve">also </w:t>
      </w:r>
      <w:r w:rsidR="00D0377B" w:rsidRPr="00986606">
        <w:rPr>
          <w:rFonts w:ascii="Times New Roman" w:hAnsi="Times New Roman"/>
          <w:sz w:val="24"/>
          <w:szCs w:val="24"/>
        </w:rPr>
        <w:t xml:space="preserve">feature </w:t>
      </w:r>
      <w:r w:rsidR="00787DF9" w:rsidRPr="00986606">
        <w:rPr>
          <w:rFonts w:ascii="Times New Roman" w:hAnsi="Times New Roman"/>
          <w:sz w:val="24"/>
          <w:szCs w:val="24"/>
        </w:rPr>
        <w:t xml:space="preserve">in the Law Lords’ reasoning.  </w:t>
      </w:r>
      <w:r w:rsidR="00D95650" w:rsidRPr="00986606">
        <w:rPr>
          <w:rFonts w:ascii="Times New Roman" w:hAnsi="Times New Roman"/>
          <w:sz w:val="24"/>
          <w:szCs w:val="24"/>
        </w:rPr>
        <w:t xml:space="preserve">For example, Lord </w:t>
      </w:r>
      <w:proofErr w:type="spellStart"/>
      <w:r w:rsidR="00D95650" w:rsidRPr="00986606">
        <w:rPr>
          <w:rFonts w:ascii="Times New Roman" w:hAnsi="Times New Roman"/>
          <w:sz w:val="24"/>
          <w:szCs w:val="24"/>
        </w:rPr>
        <w:t>Mance</w:t>
      </w:r>
      <w:proofErr w:type="spellEnd"/>
      <w:r w:rsidR="00D95650" w:rsidRPr="00986606">
        <w:rPr>
          <w:rFonts w:ascii="Times New Roman" w:hAnsi="Times New Roman"/>
          <w:sz w:val="24"/>
          <w:szCs w:val="24"/>
        </w:rPr>
        <w:t xml:space="preserve"> claimed that newspaper publication</w:t>
      </w:r>
      <w:r w:rsidR="009117BF" w:rsidRPr="00986606">
        <w:rPr>
          <w:rFonts w:ascii="Times New Roman" w:hAnsi="Times New Roman"/>
          <w:sz w:val="24"/>
          <w:szCs w:val="24"/>
        </w:rPr>
        <w:t xml:space="preserve"> of the PJS story</w:t>
      </w:r>
      <w:r w:rsidR="00D95650" w:rsidRPr="00986606">
        <w:rPr>
          <w:rFonts w:ascii="Times New Roman" w:hAnsi="Times New Roman"/>
          <w:sz w:val="24"/>
          <w:szCs w:val="24"/>
        </w:rPr>
        <w:t xml:space="preserve"> would be accompanied b</w:t>
      </w:r>
      <w:r w:rsidR="00787DF9" w:rsidRPr="00986606">
        <w:rPr>
          <w:rFonts w:ascii="Times New Roman" w:hAnsi="Times New Roman"/>
          <w:sz w:val="24"/>
          <w:szCs w:val="24"/>
        </w:rPr>
        <w:t xml:space="preserve">y </w:t>
      </w:r>
      <w:r w:rsidR="009117BF" w:rsidRPr="00986606">
        <w:rPr>
          <w:rFonts w:ascii="Times New Roman" w:hAnsi="Times New Roman"/>
          <w:sz w:val="24"/>
          <w:szCs w:val="24"/>
        </w:rPr>
        <w:t>photographs of the appellant</w:t>
      </w:r>
      <w:r w:rsidR="00A52A1E" w:rsidRPr="00986606">
        <w:rPr>
          <w:rFonts w:ascii="Times New Roman" w:hAnsi="Times New Roman"/>
          <w:sz w:val="24"/>
          <w:szCs w:val="24"/>
        </w:rPr>
        <w:t xml:space="preserve"> and his family, quoting</w:t>
      </w:r>
      <w:r w:rsidR="00D95650" w:rsidRPr="00986606">
        <w:rPr>
          <w:rFonts w:ascii="Times New Roman" w:hAnsi="Times New Roman"/>
          <w:sz w:val="24"/>
          <w:szCs w:val="24"/>
        </w:rPr>
        <w:t xml:space="preserve"> with approval a passage from the </w:t>
      </w:r>
      <w:proofErr w:type="spellStart"/>
      <w:r w:rsidR="00D95650" w:rsidRPr="00986606">
        <w:rPr>
          <w:rFonts w:ascii="Times New Roman" w:hAnsi="Times New Roman"/>
          <w:i/>
          <w:sz w:val="24"/>
          <w:szCs w:val="24"/>
        </w:rPr>
        <w:t>Leveson</w:t>
      </w:r>
      <w:proofErr w:type="spellEnd"/>
      <w:r w:rsidR="00D95650" w:rsidRPr="00986606">
        <w:rPr>
          <w:rFonts w:ascii="Times New Roman" w:hAnsi="Times New Roman"/>
          <w:i/>
          <w:sz w:val="24"/>
          <w:szCs w:val="24"/>
        </w:rPr>
        <w:t xml:space="preserve"> Report</w:t>
      </w:r>
      <w:r w:rsidR="00D0377B" w:rsidRPr="00986606">
        <w:rPr>
          <w:rFonts w:ascii="Times New Roman" w:hAnsi="Times New Roman"/>
          <w:sz w:val="24"/>
          <w:szCs w:val="24"/>
        </w:rPr>
        <w:t xml:space="preserve"> which stated</w:t>
      </w:r>
      <w:r w:rsidR="00D95650" w:rsidRPr="00986606">
        <w:rPr>
          <w:rFonts w:ascii="Times New Roman" w:hAnsi="Times New Roman"/>
          <w:sz w:val="24"/>
          <w:szCs w:val="24"/>
        </w:rPr>
        <w:t xml:space="preserve"> that ‘mass circulation’ of photos:</w:t>
      </w:r>
    </w:p>
    <w:p w:rsidR="00D95650" w:rsidRPr="00986606" w:rsidRDefault="00D95650" w:rsidP="00D95650">
      <w:pPr>
        <w:spacing w:after="0" w:line="240" w:lineRule="auto"/>
        <w:jc w:val="both"/>
        <w:rPr>
          <w:rFonts w:ascii="Times New Roman" w:hAnsi="Times New Roman"/>
          <w:sz w:val="24"/>
          <w:szCs w:val="24"/>
        </w:rPr>
      </w:pPr>
    </w:p>
    <w:p w:rsidR="00D95650" w:rsidRPr="00986606" w:rsidRDefault="00D95650" w:rsidP="003B4A70">
      <w:pPr>
        <w:spacing w:after="0" w:line="240" w:lineRule="auto"/>
        <w:ind w:left="851" w:right="851"/>
        <w:jc w:val="both"/>
        <w:rPr>
          <w:rFonts w:ascii="Times New Roman" w:hAnsi="Times New Roman"/>
          <w:sz w:val="24"/>
          <w:szCs w:val="24"/>
        </w:rPr>
      </w:pPr>
      <w:r w:rsidRPr="00986606">
        <w:rPr>
          <w:rFonts w:ascii="Times New Roman" w:hAnsi="Times New Roman"/>
          <w:sz w:val="24"/>
          <w:szCs w:val="24"/>
        </w:rPr>
        <w:t>‘</w:t>
      </w:r>
      <w:r w:rsidRPr="00986606">
        <w:rPr>
          <w:rFonts w:ascii="Times New Roman" w:hAnsi="Times New Roman"/>
          <w:b/>
          <w:i/>
          <w:sz w:val="24"/>
          <w:szCs w:val="24"/>
        </w:rPr>
        <w:t>multiplies and magnifies</w:t>
      </w:r>
      <w:r w:rsidRPr="00986606">
        <w:rPr>
          <w:rFonts w:ascii="Times New Roman" w:hAnsi="Times New Roman"/>
          <w:i/>
          <w:sz w:val="24"/>
          <w:szCs w:val="24"/>
        </w:rPr>
        <w:t xml:space="preserve"> the intrusion, not simply because </w:t>
      </w:r>
      <w:r w:rsidRPr="00986606">
        <w:rPr>
          <w:rFonts w:ascii="Times New Roman" w:hAnsi="Times New Roman"/>
          <w:b/>
          <w:i/>
          <w:sz w:val="24"/>
          <w:szCs w:val="24"/>
        </w:rPr>
        <w:t>more people will be viewing</w:t>
      </w:r>
      <w:r w:rsidRPr="00986606">
        <w:rPr>
          <w:rFonts w:ascii="Times New Roman" w:hAnsi="Times New Roman"/>
          <w:i/>
          <w:sz w:val="24"/>
          <w:szCs w:val="24"/>
        </w:rPr>
        <w:t xml:space="preserve"> the images, but also because </w:t>
      </w:r>
      <w:r w:rsidRPr="00986606">
        <w:rPr>
          <w:rFonts w:ascii="Times New Roman" w:hAnsi="Times New Roman"/>
          <w:b/>
          <w:i/>
          <w:sz w:val="24"/>
          <w:szCs w:val="24"/>
        </w:rPr>
        <w:t>more people will be talking about them</w:t>
      </w:r>
      <w:r w:rsidRPr="00986606">
        <w:rPr>
          <w:rFonts w:ascii="Times New Roman" w:hAnsi="Times New Roman"/>
          <w:i/>
          <w:sz w:val="24"/>
          <w:szCs w:val="24"/>
        </w:rPr>
        <w:t xml:space="preserve">.  Thus the fact of publication inflates the apparent newsworthiness … by placing them </w:t>
      </w:r>
      <w:r w:rsidRPr="00986606">
        <w:rPr>
          <w:rFonts w:ascii="Times New Roman" w:hAnsi="Times New Roman"/>
          <w:b/>
          <w:i/>
          <w:sz w:val="24"/>
          <w:szCs w:val="24"/>
        </w:rPr>
        <w:t>more firmly within the public domain</w:t>
      </w:r>
      <w:r w:rsidRPr="00986606">
        <w:rPr>
          <w:rFonts w:ascii="Times New Roman" w:hAnsi="Times New Roman"/>
          <w:i/>
          <w:sz w:val="24"/>
          <w:szCs w:val="24"/>
        </w:rPr>
        <w:t xml:space="preserve"> and at the top of the news agenda</w:t>
      </w:r>
      <w:r w:rsidRPr="00986606">
        <w:rPr>
          <w:rFonts w:ascii="Times New Roman" w:hAnsi="Times New Roman"/>
          <w:sz w:val="24"/>
          <w:szCs w:val="24"/>
        </w:rPr>
        <w:t>.’</w:t>
      </w:r>
      <w:r w:rsidRPr="00986606">
        <w:rPr>
          <w:rFonts w:ascii="Times New Roman" w:hAnsi="Times New Roman"/>
          <w:sz w:val="24"/>
          <w:szCs w:val="24"/>
          <w:vertAlign w:val="superscript"/>
        </w:rPr>
        <w:footnoteReference w:id="123"/>
      </w:r>
      <w:r w:rsidRPr="00986606">
        <w:rPr>
          <w:rFonts w:ascii="Times New Roman" w:hAnsi="Times New Roman"/>
          <w:sz w:val="24"/>
          <w:szCs w:val="24"/>
        </w:rPr>
        <w:t xml:space="preserve"> </w:t>
      </w:r>
    </w:p>
    <w:p w:rsidR="00D95650" w:rsidRPr="00986606" w:rsidRDefault="00D95650" w:rsidP="00D95650">
      <w:pPr>
        <w:spacing w:after="0" w:line="240" w:lineRule="auto"/>
        <w:jc w:val="both"/>
        <w:rPr>
          <w:rFonts w:ascii="Times New Roman" w:hAnsi="Times New Roman"/>
          <w:sz w:val="24"/>
          <w:szCs w:val="24"/>
        </w:rPr>
      </w:pPr>
      <w:r w:rsidRPr="00986606">
        <w:rPr>
          <w:rFonts w:ascii="Times New Roman" w:hAnsi="Times New Roman"/>
          <w:sz w:val="24"/>
          <w:szCs w:val="24"/>
        </w:rPr>
        <w:t xml:space="preserve"> </w:t>
      </w:r>
    </w:p>
    <w:p w:rsidR="00D95650" w:rsidRPr="00986606" w:rsidRDefault="00D95650" w:rsidP="00D95650">
      <w:pPr>
        <w:spacing w:after="0" w:line="240" w:lineRule="auto"/>
        <w:jc w:val="both"/>
        <w:rPr>
          <w:rFonts w:ascii="Times New Roman" w:hAnsi="Times New Roman"/>
          <w:sz w:val="24"/>
          <w:szCs w:val="24"/>
        </w:rPr>
      </w:pPr>
      <w:r w:rsidRPr="00986606">
        <w:rPr>
          <w:rFonts w:ascii="Times New Roman" w:hAnsi="Times New Roman"/>
          <w:sz w:val="24"/>
          <w:szCs w:val="24"/>
        </w:rPr>
        <w:t xml:space="preserve">Lord </w:t>
      </w:r>
      <w:proofErr w:type="spellStart"/>
      <w:r w:rsidRPr="00986606">
        <w:rPr>
          <w:rFonts w:ascii="Times New Roman" w:hAnsi="Times New Roman"/>
          <w:sz w:val="24"/>
          <w:szCs w:val="24"/>
        </w:rPr>
        <w:t>Mance’s</w:t>
      </w:r>
      <w:proofErr w:type="spellEnd"/>
      <w:r w:rsidRPr="00986606">
        <w:rPr>
          <w:rFonts w:ascii="Times New Roman" w:hAnsi="Times New Roman"/>
          <w:sz w:val="24"/>
          <w:szCs w:val="24"/>
        </w:rPr>
        <w:t xml:space="preserve"> </w:t>
      </w:r>
      <w:r w:rsidR="00AC008A" w:rsidRPr="00986606">
        <w:rPr>
          <w:rFonts w:ascii="Times New Roman" w:hAnsi="Times New Roman"/>
          <w:sz w:val="24"/>
          <w:szCs w:val="24"/>
        </w:rPr>
        <w:t>use of this passage</w:t>
      </w:r>
      <w:r w:rsidR="00855651" w:rsidRPr="00986606">
        <w:rPr>
          <w:rFonts w:ascii="Times New Roman" w:hAnsi="Times New Roman"/>
          <w:sz w:val="24"/>
          <w:szCs w:val="24"/>
        </w:rPr>
        <w:t xml:space="preserve"> s</w:t>
      </w:r>
      <w:r w:rsidR="00885FFA" w:rsidRPr="00986606">
        <w:rPr>
          <w:rFonts w:ascii="Times New Roman" w:hAnsi="Times New Roman"/>
          <w:sz w:val="24"/>
          <w:szCs w:val="24"/>
        </w:rPr>
        <w:t>eemed</w:t>
      </w:r>
      <w:r w:rsidRPr="00986606">
        <w:rPr>
          <w:rFonts w:ascii="Times New Roman" w:hAnsi="Times New Roman"/>
          <w:sz w:val="24"/>
          <w:szCs w:val="24"/>
        </w:rPr>
        <w:t xml:space="preserve"> to suggest that the press enjoys an extended reach </w:t>
      </w:r>
      <w:r w:rsidR="00885FFA" w:rsidRPr="00986606">
        <w:rPr>
          <w:rFonts w:ascii="Times New Roman" w:hAnsi="Times New Roman"/>
          <w:sz w:val="24"/>
          <w:szCs w:val="24"/>
        </w:rPr>
        <w:t>because more people will see</w:t>
      </w:r>
      <w:r w:rsidRPr="00986606">
        <w:rPr>
          <w:rFonts w:ascii="Times New Roman" w:hAnsi="Times New Roman"/>
          <w:sz w:val="24"/>
          <w:szCs w:val="24"/>
        </w:rPr>
        <w:t xml:space="preserve"> </w:t>
      </w:r>
      <w:r w:rsidR="003E595C" w:rsidRPr="00986606">
        <w:rPr>
          <w:rFonts w:ascii="Times New Roman" w:hAnsi="Times New Roman"/>
          <w:sz w:val="24"/>
          <w:szCs w:val="24"/>
        </w:rPr>
        <w:t xml:space="preserve">(presumably generic rather than intimate) </w:t>
      </w:r>
      <w:r w:rsidRPr="00986606">
        <w:rPr>
          <w:rFonts w:ascii="Times New Roman" w:hAnsi="Times New Roman"/>
          <w:sz w:val="24"/>
          <w:szCs w:val="24"/>
        </w:rPr>
        <w:t>photos of the parties</w:t>
      </w:r>
      <w:r w:rsidR="003E595C" w:rsidRPr="00986606">
        <w:rPr>
          <w:rFonts w:ascii="Times New Roman" w:hAnsi="Times New Roman"/>
          <w:sz w:val="24"/>
          <w:szCs w:val="24"/>
        </w:rPr>
        <w:t>,</w:t>
      </w:r>
      <w:r w:rsidRPr="00986606">
        <w:rPr>
          <w:rFonts w:ascii="Times New Roman" w:hAnsi="Times New Roman"/>
          <w:sz w:val="24"/>
          <w:szCs w:val="24"/>
        </w:rPr>
        <w:t xml:space="preserve"> and this will somehow prompt more ‘water-cooler’ gossip than</w:t>
      </w:r>
      <w:r w:rsidR="00E63960" w:rsidRPr="00986606">
        <w:rPr>
          <w:rFonts w:ascii="Times New Roman" w:hAnsi="Times New Roman"/>
          <w:sz w:val="24"/>
          <w:szCs w:val="24"/>
        </w:rPr>
        <w:t xml:space="preserve"> the basic story in isolation.  </w:t>
      </w:r>
      <w:r w:rsidR="00885FFA" w:rsidRPr="00986606">
        <w:rPr>
          <w:rFonts w:ascii="Times New Roman" w:hAnsi="Times New Roman"/>
          <w:sz w:val="24"/>
          <w:szCs w:val="24"/>
        </w:rPr>
        <w:t>This proposition</w:t>
      </w:r>
      <w:r w:rsidRPr="00986606">
        <w:rPr>
          <w:rFonts w:ascii="Times New Roman" w:hAnsi="Times New Roman"/>
          <w:sz w:val="24"/>
          <w:szCs w:val="24"/>
        </w:rPr>
        <w:t xml:space="preserve"> is</w:t>
      </w:r>
      <w:r w:rsidR="00BD448B" w:rsidRPr="00986606">
        <w:rPr>
          <w:rFonts w:ascii="Times New Roman" w:hAnsi="Times New Roman"/>
          <w:sz w:val="24"/>
          <w:szCs w:val="24"/>
        </w:rPr>
        <w:t xml:space="preserve"> highly speculative</w:t>
      </w:r>
      <w:r w:rsidRPr="00986606">
        <w:rPr>
          <w:rFonts w:ascii="Times New Roman" w:hAnsi="Times New Roman"/>
          <w:sz w:val="24"/>
          <w:szCs w:val="24"/>
        </w:rPr>
        <w:t>.</w:t>
      </w:r>
      <w:r w:rsidR="00313E08" w:rsidRPr="00986606">
        <w:rPr>
          <w:rFonts w:ascii="Times New Roman" w:hAnsi="Times New Roman"/>
          <w:sz w:val="24"/>
          <w:szCs w:val="24"/>
        </w:rPr>
        <w:t xml:space="preserve">  Alternatively, </w:t>
      </w:r>
      <w:r w:rsidR="00313F3A" w:rsidRPr="00986606">
        <w:rPr>
          <w:rFonts w:ascii="Times New Roman" w:hAnsi="Times New Roman"/>
          <w:sz w:val="24"/>
          <w:szCs w:val="24"/>
        </w:rPr>
        <w:t xml:space="preserve">Lord </w:t>
      </w:r>
      <w:proofErr w:type="spellStart"/>
      <w:r w:rsidR="00313F3A" w:rsidRPr="00986606">
        <w:rPr>
          <w:rFonts w:ascii="Times New Roman" w:hAnsi="Times New Roman"/>
          <w:sz w:val="24"/>
          <w:szCs w:val="24"/>
        </w:rPr>
        <w:t>Mance</w:t>
      </w:r>
      <w:proofErr w:type="spellEnd"/>
      <w:r w:rsidR="00313F3A" w:rsidRPr="00986606">
        <w:rPr>
          <w:rFonts w:ascii="Times New Roman" w:hAnsi="Times New Roman"/>
          <w:sz w:val="24"/>
          <w:szCs w:val="24"/>
        </w:rPr>
        <w:t xml:space="preserve"> could have been</w:t>
      </w:r>
      <w:r w:rsidR="00313E08" w:rsidRPr="00986606">
        <w:rPr>
          <w:rFonts w:ascii="Times New Roman" w:hAnsi="Times New Roman"/>
          <w:sz w:val="24"/>
          <w:szCs w:val="24"/>
        </w:rPr>
        <w:t xml:space="preserve"> alluding to the paparazzi </w:t>
      </w:r>
      <w:r w:rsidR="00313F3A" w:rsidRPr="00986606">
        <w:rPr>
          <w:rFonts w:ascii="Times New Roman" w:hAnsi="Times New Roman"/>
          <w:sz w:val="24"/>
          <w:szCs w:val="24"/>
        </w:rPr>
        <w:t>photography that sometimes accompanies press coverage of stories</w:t>
      </w:r>
      <w:r w:rsidR="00A5239D" w:rsidRPr="00986606">
        <w:rPr>
          <w:rFonts w:ascii="Times New Roman" w:hAnsi="Times New Roman"/>
          <w:sz w:val="24"/>
          <w:szCs w:val="24"/>
        </w:rPr>
        <w:t xml:space="preserve">.  This </w:t>
      </w:r>
      <w:r w:rsidR="004A12D5" w:rsidRPr="00986606">
        <w:rPr>
          <w:rFonts w:ascii="Times New Roman" w:hAnsi="Times New Roman"/>
          <w:sz w:val="24"/>
          <w:szCs w:val="24"/>
        </w:rPr>
        <w:t>practice has been condemned by the European Court of Human Rights</w:t>
      </w:r>
      <w:r w:rsidR="004A12D5" w:rsidRPr="00986606">
        <w:rPr>
          <w:rStyle w:val="FootnoteReference"/>
          <w:rFonts w:ascii="Times New Roman" w:hAnsi="Times New Roman"/>
          <w:sz w:val="24"/>
          <w:szCs w:val="24"/>
        </w:rPr>
        <w:footnoteReference w:id="124"/>
      </w:r>
      <w:r w:rsidR="004A12D5" w:rsidRPr="00986606">
        <w:rPr>
          <w:rFonts w:ascii="Times New Roman" w:hAnsi="Times New Roman"/>
          <w:sz w:val="24"/>
          <w:szCs w:val="24"/>
        </w:rPr>
        <w:t xml:space="preserve"> and </w:t>
      </w:r>
      <w:r w:rsidR="00A5239D" w:rsidRPr="00986606">
        <w:rPr>
          <w:rFonts w:ascii="Times New Roman" w:hAnsi="Times New Roman"/>
          <w:sz w:val="24"/>
          <w:szCs w:val="24"/>
        </w:rPr>
        <w:t xml:space="preserve">forms a more convincing basis </w:t>
      </w:r>
      <w:r w:rsidR="00995699" w:rsidRPr="00986606">
        <w:rPr>
          <w:rFonts w:ascii="Times New Roman" w:hAnsi="Times New Roman"/>
          <w:sz w:val="24"/>
          <w:szCs w:val="24"/>
        </w:rPr>
        <w:t xml:space="preserve">for </w:t>
      </w:r>
      <w:r w:rsidR="00A5239D" w:rsidRPr="00986606">
        <w:rPr>
          <w:rFonts w:ascii="Times New Roman" w:hAnsi="Times New Roman"/>
          <w:sz w:val="24"/>
          <w:szCs w:val="24"/>
        </w:rPr>
        <w:t>distingu</w:t>
      </w:r>
      <w:r w:rsidR="004A12D5" w:rsidRPr="00986606">
        <w:rPr>
          <w:rFonts w:ascii="Times New Roman" w:hAnsi="Times New Roman"/>
          <w:sz w:val="24"/>
          <w:szCs w:val="24"/>
        </w:rPr>
        <w:t>ish</w:t>
      </w:r>
      <w:r w:rsidR="00995699" w:rsidRPr="00986606">
        <w:rPr>
          <w:rFonts w:ascii="Times New Roman" w:hAnsi="Times New Roman"/>
          <w:sz w:val="24"/>
          <w:szCs w:val="24"/>
        </w:rPr>
        <w:t>ing</w:t>
      </w:r>
      <w:r w:rsidR="004A12D5" w:rsidRPr="00986606">
        <w:rPr>
          <w:rFonts w:ascii="Times New Roman" w:hAnsi="Times New Roman"/>
          <w:sz w:val="24"/>
          <w:szCs w:val="24"/>
        </w:rPr>
        <w:t xml:space="preserve"> press and Internet coverage</w:t>
      </w:r>
      <w:r w:rsidR="00995699" w:rsidRPr="00986606">
        <w:rPr>
          <w:rFonts w:ascii="Times New Roman" w:hAnsi="Times New Roman"/>
          <w:sz w:val="24"/>
          <w:szCs w:val="24"/>
        </w:rPr>
        <w:t>.  However</w:t>
      </w:r>
      <w:r w:rsidR="00A5239D" w:rsidRPr="00986606">
        <w:rPr>
          <w:rFonts w:ascii="Times New Roman" w:hAnsi="Times New Roman"/>
          <w:sz w:val="24"/>
          <w:szCs w:val="24"/>
        </w:rPr>
        <w:t xml:space="preserve"> the passage does not explicitly</w:t>
      </w:r>
      <w:r w:rsidR="00204215" w:rsidRPr="00986606">
        <w:rPr>
          <w:rFonts w:ascii="Times New Roman" w:hAnsi="Times New Roman"/>
          <w:sz w:val="24"/>
          <w:szCs w:val="24"/>
        </w:rPr>
        <w:t xml:space="preserve"> refer to</w:t>
      </w:r>
      <w:r w:rsidR="00995699" w:rsidRPr="00986606">
        <w:rPr>
          <w:rFonts w:ascii="Times New Roman" w:hAnsi="Times New Roman"/>
          <w:sz w:val="24"/>
          <w:szCs w:val="24"/>
        </w:rPr>
        <w:t xml:space="preserve"> paparazzi</w:t>
      </w:r>
      <w:r w:rsidR="00204215" w:rsidRPr="00986606">
        <w:rPr>
          <w:rFonts w:ascii="Times New Roman" w:hAnsi="Times New Roman"/>
          <w:sz w:val="24"/>
          <w:szCs w:val="24"/>
        </w:rPr>
        <w:t xml:space="preserve"> photography,</w:t>
      </w:r>
      <w:r w:rsidR="00995699" w:rsidRPr="00986606">
        <w:rPr>
          <w:rFonts w:ascii="Times New Roman" w:hAnsi="Times New Roman"/>
          <w:sz w:val="24"/>
          <w:szCs w:val="24"/>
        </w:rPr>
        <w:t xml:space="preserve"> and furthermore it does not articulate </w:t>
      </w:r>
      <w:r w:rsidR="00A5239D" w:rsidRPr="00986606">
        <w:rPr>
          <w:rFonts w:ascii="Times New Roman" w:hAnsi="Times New Roman"/>
          <w:sz w:val="24"/>
          <w:szCs w:val="24"/>
        </w:rPr>
        <w:t>why such accompanying photos lead more people to discuss the story</w:t>
      </w:r>
      <w:r w:rsidR="003E595C" w:rsidRPr="00986606">
        <w:rPr>
          <w:rFonts w:ascii="Times New Roman" w:hAnsi="Times New Roman"/>
          <w:sz w:val="24"/>
          <w:szCs w:val="24"/>
        </w:rPr>
        <w:t>,</w:t>
      </w:r>
      <w:r w:rsidR="00A5239D" w:rsidRPr="00986606">
        <w:rPr>
          <w:rFonts w:ascii="Times New Roman" w:hAnsi="Times New Roman"/>
          <w:sz w:val="24"/>
          <w:szCs w:val="24"/>
        </w:rPr>
        <w:t xml:space="preserve"> or </w:t>
      </w:r>
      <w:r w:rsidR="00204215" w:rsidRPr="00986606">
        <w:rPr>
          <w:rFonts w:ascii="Times New Roman" w:hAnsi="Times New Roman"/>
          <w:sz w:val="24"/>
          <w:szCs w:val="24"/>
        </w:rPr>
        <w:t xml:space="preserve">why they </w:t>
      </w:r>
      <w:r w:rsidR="00A5239D" w:rsidRPr="00986606">
        <w:rPr>
          <w:rFonts w:ascii="Times New Roman" w:hAnsi="Times New Roman"/>
          <w:sz w:val="24"/>
          <w:szCs w:val="24"/>
        </w:rPr>
        <w:t>place it ‘more firmly’ in the public domain.</w:t>
      </w:r>
    </w:p>
    <w:p w:rsidR="00D95650" w:rsidRPr="00986606" w:rsidRDefault="00D95650" w:rsidP="00D95650">
      <w:pPr>
        <w:spacing w:after="0" w:line="240" w:lineRule="auto"/>
        <w:jc w:val="both"/>
        <w:rPr>
          <w:rFonts w:ascii="Times New Roman" w:hAnsi="Times New Roman"/>
          <w:sz w:val="24"/>
          <w:szCs w:val="24"/>
        </w:rPr>
      </w:pPr>
    </w:p>
    <w:p w:rsidR="00D95650" w:rsidRPr="00986606" w:rsidRDefault="00D95650" w:rsidP="00D95650">
      <w:pPr>
        <w:spacing w:after="0" w:line="240" w:lineRule="auto"/>
        <w:jc w:val="both"/>
        <w:rPr>
          <w:rFonts w:ascii="Times New Roman" w:hAnsi="Times New Roman"/>
          <w:sz w:val="24"/>
          <w:szCs w:val="24"/>
        </w:rPr>
      </w:pPr>
      <w:r w:rsidRPr="00986606">
        <w:rPr>
          <w:rFonts w:ascii="Times New Roman" w:hAnsi="Times New Roman"/>
          <w:sz w:val="24"/>
          <w:szCs w:val="24"/>
        </w:rPr>
        <w:t>Lord Neuberger also afforded passing attention to the quantitative aspects of dissemination.  He dealt with claims that that 20-25% of the population</w:t>
      </w:r>
      <w:r w:rsidR="00AC008A" w:rsidRPr="00986606">
        <w:rPr>
          <w:rFonts w:ascii="Times New Roman" w:hAnsi="Times New Roman"/>
          <w:sz w:val="24"/>
          <w:szCs w:val="24"/>
        </w:rPr>
        <w:t xml:space="preserve"> already</w:t>
      </w:r>
      <w:r w:rsidRPr="00986606">
        <w:rPr>
          <w:rFonts w:ascii="Times New Roman" w:hAnsi="Times New Roman"/>
          <w:sz w:val="24"/>
          <w:szCs w:val="24"/>
        </w:rPr>
        <w:t xml:space="preserve"> knew</w:t>
      </w:r>
      <w:r w:rsidR="00AC008A" w:rsidRPr="00986606">
        <w:rPr>
          <w:rFonts w:ascii="Times New Roman" w:hAnsi="Times New Roman"/>
          <w:sz w:val="24"/>
          <w:szCs w:val="24"/>
        </w:rPr>
        <w:t xml:space="preserve"> the identity of PJS</w:t>
      </w:r>
      <w:r w:rsidR="00F43D77" w:rsidRPr="00986606">
        <w:rPr>
          <w:rFonts w:ascii="Times New Roman" w:hAnsi="Times New Roman"/>
          <w:sz w:val="24"/>
          <w:szCs w:val="24"/>
        </w:rPr>
        <w:t xml:space="preserve"> by </w:t>
      </w:r>
      <w:r w:rsidR="00AC008A" w:rsidRPr="00986606">
        <w:rPr>
          <w:rFonts w:ascii="Times New Roman" w:hAnsi="Times New Roman"/>
          <w:sz w:val="24"/>
          <w:szCs w:val="24"/>
        </w:rPr>
        <w:t xml:space="preserve">optimistically </w:t>
      </w:r>
      <w:r w:rsidR="00F43D77" w:rsidRPr="00986606">
        <w:rPr>
          <w:rFonts w:ascii="Times New Roman" w:hAnsi="Times New Roman"/>
          <w:sz w:val="24"/>
          <w:szCs w:val="24"/>
        </w:rPr>
        <w:t xml:space="preserve">focussing on the </w:t>
      </w:r>
      <w:r w:rsidR="00AC008A" w:rsidRPr="00986606">
        <w:rPr>
          <w:rFonts w:ascii="Times New Roman" w:hAnsi="Times New Roman"/>
          <w:sz w:val="24"/>
          <w:szCs w:val="24"/>
        </w:rPr>
        <w:t>counter-</w:t>
      </w:r>
      <w:r w:rsidR="00F43D77" w:rsidRPr="00986606">
        <w:rPr>
          <w:rFonts w:ascii="Times New Roman" w:hAnsi="Times New Roman"/>
          <w:sz w:val="24"/>
          <w:szCs w:val="24"/>
        </w:rPr>
        <w:t>point that</w:t>
      </w:r>
      <w:r w:rsidRPr="00986606">
        <w:rPr>
          <w:rFonts w:ascii="Times New Roman" w:hAnsi="Times New Roman"/>
          <w:sz w:val="24"/>
          <w:szCs w:val="24"/>
        </w:rPr>
        <w:t xml:space="preserve"> 75% </w:t>
      </w:r>
      <w:r w:rsidR="00A4456D" w:rsidRPr="00986606">
        <w:rPr>
          <w:rFonts w:ascii="Times New Roman" w:hAnsi="Times New Roman"/>
          <w:sz w:val="24"/>
          <w:szCs w:val="24"/>
        </w:rPr>
        <w:t xml:space="preserve">thus </w:t>
      </w:r>
      <w:r w:rsidRPr="00986606">
        <w:rPr>
          <w:rFonts w:ascii="Times New Roman" w:hAnsi="Times New Roman"/>
          <w:sz w:val="24"/>
          <w:szCs w:val="24"/>
        </w:rPr>
        <w:t>remained</w:t>
      </w:r>
      <w:r w:rsidR="00AC008A" w:rsidRPr="00986606">
        <w:rPr>
          <w:rFonts w:ascii="Times New Roman" w:hAnsi="Times New Roman"/>
          <w:sz w:val="24"/>
          <w:szCs w:val="24"/>
        </w:rPr>
        <w:t xml:space="preserve"> unaware of it</w:t>
      </w:r>
      <w:r w:rsidRPr="00986606">
        <w:rPr>
          <w:rFonts w:ascii="Times New Roman" w:hAnsi="Times New Roman"/>
          <w:sz w:val="24"/>
          <w:szCs w:val="24"/>
        </w:rPr>
        <w:t>.</w:t>
      </w:r>
      <w:r w:rsidRPr="00986606">
        <w:rPr>
          <w:rFonts w:ascii="Times New Roman" w:hAnsi="Times New Roman"/>
          <w:sz w:val="24"/>
          <w:szCs w:val="24"/>
          <w:vertAlign w:val="superscript"/>
        </w:rPr>
        <w:footnoteReference w:id="125"/>
      </w:r>
      <w:r w:rsidR="00E63960" w:rsidRPr="00986606">
        <w:rPr>
          <w:rFonts w:ascii="Times New Roman" w:hAnsi="Times New Roman"/>
          <w:sz w:val="24"/>
          <w:szCs w:val="24"/>
        </w:rPr>
        <w:t xml:space="preserve">  At</w:t>
      </w:r>
      <w:r w:rsidRPr="00986606">
        <w:rPr>
          <w:rFonts w:ascii="Times New Roman" w:hAnsi="Times New Roman"/>
          <w:sz w:val="24"/>
          <w:szCs w:val="24"/>
        </w:rPr>
        <w:t xml:space="preserve"> </w:t>
      </w:r>
      <w:r w:rsidRPr="00986606">
        <w:rPr>
          <w:rFonts w:ascii="Times New Roman" w:hAnsi="Times New Roman"/>
          <w:sz w:val="24"/>
          <w:szCs w:val="24"/>
        </w:rPr>
        <w:lastRenderedPageBreak/>
        <w:t>one leve</w:t>
      </w:r>
      <w:r w:rsidR="00B75D1E" w:rsidRPr="00986606">
        <w:rPr>
          <w:rFonts w:ascii="Times New Roman" w:hAnsi="Times New Roman"/>
          <w:sz w:val="24"/>
          <w:szCs w:val="24"/>
        </w:rPr>
        <w:t>l</w:t>
      </w:r>
      <w:r w:rsidRPr="00986606">
        <w:rPr>
          <w:rFonts w:ascii="Times New Roman" w:hAnsi="Times New Roman"/>
          <w:sz w:val="24"/>
          <w:szCs w:val="24"/>
        </w:rPr>
        <w:t xml:space="preserve"> he was correct to point out that this represents a minority of the populace,</w:t>
      </w:r>
      <w:r w:rsidR="00845514" w:rsidRPr="00986606">
        <w:rPr>
          <w:rFonts w:ascii="Times New Roman" w:hAnsi="Times New Roman"/>
          <w:sz w:val="24"/>
          <w:szCs w:val="24"/>
        </w:rPr>
        <w:t xml:space="preserve"> albeit a significant one.  But</w:t>
      </w:r>
      <w:r w:rsidR="00204C15" w:rsidRPr="00986606">
        <w:rPr>
          <w:rFonts w:ascii="Times New Roman" w:hAnsi="Times New Roman"/>
          <w:sz w:val="24"/>
          <w:szCs w:val="24"/>
        </w:rPr>
        <w:t xml:space="preserve"> </w:t>
      </w:r>
      <w:r w:rsidRPr="00986606">
        <w:rPr>
          <w:rFonts w:ascii="Times New Roman" w:hAnsi="Times New Roman"/>
          <w:sz w:val="24"/>
          <w:szCs w:val="24"/>
        </w:rPr>
        <w:t xml:space="preserve">nevertheless, Lord Neuberger significantly underplayed the statistics here.  Even 20-25% of </w:t>
      </w:r>
      <w:r w:rsidR="0068110A" w:rsidRPr="00986606">
        <w:rPr>
          <w:rFonts w:ascii="Times New Roman" w:hAnsi="Times New Roman"/>
          <w:sz w:val="24"/>
          <w:szCs w:val="24"/>
        </w:rPr>
        <w:t>the British population</w:t>
      </w:r>
      <w:r w:rsidR="00845514" w:rsidRPr="00986606">
        <w:rPr>
          <w:rFonts w:ascii="Times New Roman" w:hAnsi="Times New Roman"/>
          <w:sz w:val="24"/>
          <w:szCs w:val="24"/>
        </w:rPr>
        <w:t xml:space="preserve"> (approximately</w:t>
      </w:r>
      <w:r w:rsidR="00930184" w:rsidRPr="00986606">
        <w:rPr>
          <w:rFonts w:ascii="Times New Roman" w:hAnsi="Times New Roman"/>
          <w:sz w:val="24"/>
          <w:szCs w:val="24"/>
        </w:rPr>
        <w:t xml:space="preserve"> 12.5 to 15.7 million people</w:t>
      </w:r>
      <w:r w:rsidR="00845514" w:rsidRPr="00986606">
        <w:rPr>
          <w:rFonts w:ascii="Times New Roman" w:hAnsi="Times New Roman"/>
          <w:sz w:val="24"/>
          <w:szCs w:val="24"/>
        </w:rPr>
        <w:t>)</w:t>
      </w:r>
      <w:r w:rsidR="0089631B" w:rsidRPr="00986606">
        <w:rPr>
          <w:rStyle w:val="FootnoteReference"/>
          <w:rFonts w:ascii="Times New Roman" w:hAnsi="Times New Roman"/>
          <w:sz w:val="24"/>
          <w:szCs w:val="24"/>
        </w:rPr>
        <w:footnoteReference w:id="126"/>
      </w:r>
      <w:r w:rsidRPr="00986606">
        <w:rPr>
          <w:rFonts w:ascii="Times New Roman" w:hAnsi="Times New Roman"/>
          <w:sz w:val="24"/>
          <w:szCs w:val="24"/>
        </w:rPr>
        <w:t xml:space="preserve"> </w:t>
      </w:r>
      <w:r w:rsidR="00204C15" w:rsidRPr="00986606">
        <w:rPr>
          <w:rFonts w:ascii="Times New Roman" w:hAnsi="Times New Roman"/>
          <w:sz w:val="24"/>
          <w:szCs w:val="24"/>
        </w:rPr>
        <w:t xml:space="preserve">is a figure around 10 times </w:t>
      </w:r>
      <w:r w:rsidR="00A53052" w:rsidRPr="00986606">
        <w:rPr>
          <w:rFonts w:ascii="Times New Roman" w:hAnsi="Times New Roman"/>
          <w:sz w:val="24"/>
          <w:szCs w:val="24"/>
        </w:rPr>
        <w:t xml:space="preserve">higher than </w:t>
      </w:r>
      <w:r w:rsidRPr="00986606">
        <w:rPr>
          <w:rFonts w:ascii="Times New Roman" w:hAnsi="Times New Roman"/>
          <w:sz w:val="24"/>
          <w:szCs w:val="24"/>
        </w:rPr>
        <w:t>the sales figures for even the highest-circulation newspapers in England.  For example, May 2015 figures indicated that the highest-selling newspapers were the Daily Mail (average circulation of 1,650,00) and The Mail on Sunday (average circulation of around 1,500,000).</w:t>
      </w:r>
      <w:r w:rsidRPr="00986606">
        <w:rPr>
          <w:rFonts w:ascii="Times New Roman" w:hAnsi="Times New Roman"/>
          <w:sz w:val="24"/>
          <w:szCs w:val="24"/>
          <w:vertAlign w:val="superscript"/>
        </w:rPr>
        <w:footnoteReference w:id="127"/>
      </w:r>
    </w:p>
    <w:p w:rsidR="0066656C" w:rsidRPr="00986606" w:rsidRDefault="0066656C" w:rsidP="00634AF0">
      <w:pPr>
        <w:spacing w:after="0" w:line="240" w:lineRule="auto"/>
        <w:jc w:val="both"/>
        <w:rPr>
          <w:rFonts w:ascii="Times New Roman" w:hAnsi="Times New Roman"/>
          <w:sz w:val="24"/>
          <w:szCs w:val="24"/>
        </w:rPr>
      </w:pPr>
    </w:p>
    <w:p w:rsidR="00BF41AF" w:rsidRPr="00986606" w:rsidRDefault="00BF41AF" w:rsidP="00634AF0">
      <w:pPr>
        <w:spacing w:after="0" w:line="240" w:lineRule="auto"/>
        <w:jc w:val="both"/>
        <w:rPr>
          <w:rFonts w:ascii="Times New Roman" w:hAnsi="Times New Roman"/>
          <w:i/>
          <w:sz w:val="24"/>
          <w:szCs w:val="24"/>
          <w:u w:val="single"/>
        </w:rPr>
      </w:pPr>
      <w:r w:rsidRPr="00986606">
        <w:rPr>
          <w:rFonts w:ascii="Times New Roman" w:hAnsi="Times New Roman"/>
          <w:i/>
          <w:sz w:val="24"/>
          <w:szCs w:val="24"/>
          <w:u w:val="single"/>
        </w:rPr>
        <w:t>Summary</w:t>
      </w:r>
    </w:p>
    <w:p w:rsidR="0066656C" w:rsidRPr="00986606" w:rsidRDefault="00B75D1E" w:rsidP="00634AF0">
      <w:pPr>
        <w:spacing w:after="0" w:line="240" w:lineRule="auto"/>
        <w:jc w:val="both"/>
        <w:rPr>
          <w:rFonts w:ascii="Times New Roman" w:hAnsi="Times New Roman"/>
          <w:sz w:val="24"/>
          <w:szCs w:val="24"/>
        </w:rPr>
      </w:pPr>
      <w:r w:rsidRPr="00986606">
        <w:rPr>
          <w:rFonts w:ascii="Times New Roman" w:hAnsi="Times New Roman"/>
          <w:sz w:val="24"/>
          <w:szCs w:val="24"/>
        </w:rPr>
        <w:t xml:space="preserve">The reasons informing the </w:t>
      </w:r>
      <w:r w:rsidR="0066656C" w:rsidRPr="00986606">
        <w:rPr>
          <w:rFonts w:ascii="Times New Roman" w:hAnsi="Times New Roman"/>
          <w:sz w:val="24"/>
          <w:szCs w:val="24"/>
        </w:rPr>
        <w:t>Law Lords’ qualitative distinction between press a</w:t>
      </w:r>
      <w:r w:rsidRPr="00986606">
        <w:rPr>
          <w:rFonts w:ascii="Times New Roman" w:hAnsi="Times New Roman"/>
          <w:sz w:val="24"/>
          <w:szCs w:val="24"/>
        </w:rPr>
        <w:t>nd Internet dissemination were mostly</w:t>
      </w:r>
      <w:r w:rsidR="0066656C" w:rsidRPr="00986606">
        <w:rPr>
          <w:rFonts w:ascii="Times New Roman" w:hAnsi="Times New Roman"/>
          <w:sz w:val="24"/>
          <w:szCs w:val="24"/>
        </w:rPr>
        <w:t xml:space="preserve"> tenuous and contestable, a proposition supported by Lord </w:t>
      </w:r>
      <w:proofErr w:type="spellStart"/>
      <w:r w:rsidR="0066656C" w:rsidRPr="00986606">
        <w:rPr>
          <w:rFonts w:ascii="Times New Roman" w:hAnsi="Times New Roman"/>
          <w:sz w:val="24"/>
          <w:szCs w:val="24"/>
        </w:rPr>
        <w:t>Toulson’s</w:t>
      </w:r>
      <w:proofErr w:type="spellEnd"/>
      <w:r w:rsidR="0066656C" w:rsidRPr="00986606">
        <w:rPr>
          <w:rFonts w:ascii="Times New Roman" w:hAnsi="Times New Roman"/>
          <w:sz w:val="24"/>
          <w:szCs w:val="24"/>
        </w:rPr>
        <w:t xml:space="preserve"> alternative finding that public information is indivisible.</w:t>
      </w:r>
      <w:r w:rsidR="00F424EF" w:rsidRPr="00986606">
        <w:rPr>
          <w:rFonts w:ascii="Times New Roman" w:hAnsi="Times New Roman"/>
          <w:sz w:val="24"/>
          <w:szCs w:val="24"/>
        </w:rPr>
        <w:t xml:space="preserve">  </w:t>
      </w:r>
      <w:r w:rsidR="0066656C" w:rsidRPr="00986606">
        <w:rPr>
          <w:rFonts w:ascii="Times New Roman" w:hAnsi="Times New Roman"/>
          <w:sz w:val="24"/>
          <w:szCs w:val="24"/>
        </w:rPr>
        <w:t xml:space="preserve">Furthermore, the </w:t>
      </w:r>
      <w:r w:rsidR="00F424EF" w:rsidRPr="00986606">
        <w:rPr>
          <w:rFonts w:ascii="Times New Roman" w:hAnsi="Times New Roman"/>
          <w:sz w:val="24"/>
          <w:szCs w:val="24"/>
        </w:rPr>
        <w:t>quantitative approach to confidentiality</w:t>
      </w:r>
      <w:r w:rsidR="0066656C" w:rsidRPr="00986606">
        <w:rPr>
          <w:rFonts w:ascii="Times New Roman" w:hAnsi="Times New Roman"/>
          <w:sz w:val="24"/>
          <w:szCs w:val="24"/>
        </w:rPr>
        <w:t xml:space="preserve"> was marginalised and dismissed</w:t>
      </w:r>
      <w:r w:rsidR="00F424EF" w:rsidRPr="00986606">
        <w:rPr>
          <w:rFonts w:ascii="Times New Roman" w:hAnsi="Times New Roman"/>
          <w:sz w:val="24"/>
          <w:szCs w:val="24"/>
        </w:rPr>
        <w:t xml:space="preserve">.  Yet even when it was briefly addressed, there was a </w:t>
      </w:r>
      <w:r w:rsidR="0066656C" w:rsidRPr="00986606">
        <w:rPr>
          <w:rFonts w:ascii="Times New Roman" w:hAnsi="Times New Roman"/>
          <w:sz w:val="24"/>
          <w:szCs w:val="24"/>
        </w:rPr>
        <w:t>tendency to underplay the extent of Internet dissemination and</w:t>
      </w:r>
      <w:r w:rsidR="006A6D90" w:rsidRPr="00986606">
        <w:rPr>
          <w:rFonts w:ascii="Times New Roman" w:hAnsi="Times New Roman"/>
          <w:sz w:val="24"/>
          <w:szCs w:val="24"/>
        </w:rPr>
        <w:t xml:space="preserve"> amplify the quantity of press dissemination in the face of clear evidence to the contrary.</w:t>
      </w:r>
      <w:r w:rsidR="00490B21" w:rsidRPr="00986606">
        <w:rPr>
          <w:rFonts w:ascii="Times New Roman" w:hAnsi="Times New Roman"/>
          <w:sz w:val="24"/>
          <w:szCs w:val="24"/>
        </w:rPr>
        <w:t xml:space="preserve">  Yet despite such weaknesses, </w:t>
      </w:r>
      <w:r w:rsidR="00BF41AF" w:rsidRPr="00986606">
        <w:rPr>
          <w:rFonts w:ascii="Times New Roman" w:hAnsi="Times New Roman"/>
          <w:sz w:val="24"/>
          <w:szCs w:val="24"/>
        </w:rPr>
        <w:t>the press-online divide formed a necessary part</w:t>
      </w:r>
      <w:r w:rsidR="00490B21" w:rsidRPr="00986606">
        <w:rPr>
          <w:rFonts w:ascii="Times New Roman" w:hAnsi="Times New Roman"/>
          <w:sz w:val="24"/>
          <w:szCs w:val="24"/>
        </w:rPr>
        <w:t xml:space="preserve"> of the Law Lords’ strategy </w:t>
      </w:r>
      <w:r w:rsidR="00BF41AF" w:rsidRPr="00986606">
        <w:rPr>
          <w:rFonts w:ascii="Times New Roman" w:hAnsi="Times New Roman"/>
          <w:sz w:val="24"/>
          <w:szCs w:val="24"/>
        </w:rPr>
        <w:t>of modifying the problem they were faced with solving.</w:t>
      </w:r>
    </w:p>
    <w:p w:rsidR="0022661B" w:rsidRPr="00986606" w:rsidRDefault="0022661B" w:rsidP="00166007">
      <w:pPr>
        <w:pStyle w:val="NoSpacing"/>
        <w:jc w:val="both"/>
        <w:rPr>
          <w:rFonts w:ascii="Times New Roman" w:hAnsi="Times New Roman"/>
          <w:sz w:val="24"/>
          <w:szCs w:val="24"/>
        </w:rPr>
      </w:pPr>
    </w:p>
    <w:p w:rsidR="0022661B" w:rsidRPr="00986606" w:rsidRDefault="0022661B" w:rsidP="00166007">
      <w:pPr>
        <w:pStyle w:val="NoSpacing"/>
        <w:jc w:val="both"/>
        <w:rPr>
          <w:rFonts w:ascii="Times New Roman" w:hAnsi="Times New Roman"/>
          <w:b/>
          <w:sz w:val="24"/>
          <w:szCs w:val="24"/>
          <w:u w:val="single"/>
        </w:rPr>
      </w:pPr>
    </w:p>
    <w:p w:rsidR="00D557D8" w:rsidRPr="00986606" w:rsidRDefault="0022661B" w:rsidP="00166007">
      <w:pPr>
        <w:pStyle w:val="NoSpacing"/>
        <w:jc w:val="both"/>
        <w:rPr>
          <w:rFonts w:ascii="Times New Roman" w:hAnsi="Times New Roman"/>
          <w:b/>
          <w:sz w:val="24"/>
          <w:szCs w:val="24"/>
          <w:u w:val="single"/>
        </w:rPr>
      </w:pPr>
      <w:r w:rsidRPr="00986606">
        <w:rPr>
          <w:rFonts w:ascii="Times New Roman" w:hAnsi="Times New Roman"/>
          <w:b/>
          <w:sz w:val="24"/>
          <w:szCs w:val="24"/>
          <w:u w:val="single"/>
        </w:rPr>
        <w:t xml:space="preserve">[4.2] </w:t>
      </w:r>
      <w:r w:rsidR="008742A5" w:rsidRPr="00986606">
        <w:rPr>
          <w:rFonts w:ascii="Times New Roman" w:hAnsi="Times New Roman"/>
          <w:b/>
          <w:sz w:val="24"/>
          <w:szCs w:val="24"/>
          <w:u w:val="single"/>
        </w:rPr>
        <w:t>From Secrecy to Intrusion: Changing the Problem</w:t>
      </w:r>
    </w:p>
    <w:p w:rsidR="008742A5" w:rsidRPr="00986606" w:rsidRDefault="008742A5" w:rsidP="00166007">
      <w:pPr>
        <w:pStyle w:val="NoSpacing"/>
        <w:jc w:val="both"/>
        <w:rPr>
          <w:rFonts w:ascii="Times New Roman" w:hAnsi="Times New Roman"/>
          <w:b/>
          <w:sz w:val="24"/>
          <w:szCs w:val="24"/>
          <w:u w:val="single"/>
        </w:rPr>
      </w:pPr>
    </w:p>
    <w:p w:rsidR="00A82893" w:rsidRPr="00986606" w:rsidRDefault="008D6C92" w:rsidP="00166007">
      <w:pPr>
        <w:pStyle w:val="NoSpacing"/>
        <w:jc w:val="both"/>
        <w:rPr>
          <w:rFonts w:ascii="Times New Roman" w:hAnsi="Times New Roman"/>
          <w:sz w:val="24"/>
          <w:szCs w:val="24"/>
        </w:rPr>
      </w:pPr>
      <w:r w:rsidRPr="00986606">
        <w:rPr>
          <w:rFonts w:ascii="Times New Roman" w:hAnsi="Times New Roman"/>
          <w:sz w:val="24"/>
          <w:szCs w:val="24"/>
        </w:rPr>
        <w:t>Fine identifies</w:t>
      </w:r>
      <w:r w:rsidR="00841B28" w:rsidRPr="00986606">
        <w:rPr>
          <w:rFonts w:ascii="Times New Roman" w:hAnsi="Times New Roman"/>
          <w:sz w:val="24"/>
          <w:szCs w:val="24"/>
        </w:rPr>
        <w:t xml:space="preserve"> latent failures in solutions to problems</w:t>
      </w:r>
      <w:r w:rsidR="00DA6B22" w:rsidRPr="00986606">
        <w:rPr>
          <w:rFonts w:ascii="Times New Roman" w:hAnsi="Times New Roman"/>
          <w:sz w:val="24"/>
          <w:szCs w:val="24"/>
        </w:rPr>
        <w:t xml:space="preserve"> </w:t>
      </w:r>
      <w:r w:rsidRPr="00986606">
        <w:rPr>
          <w:rFonts w:ascii="Times New Roman" w:hAnsi="Times New Roman"/>
          <w:sz w:val="24"/>
          <w:szCs w:val="24"/>
        </w:rPr>
        <w:t xml:space="preserve">as </w:t>
      </w:r>
      <w:r w:rsidR="00841B28" w:rsidRPr="00986606">
        <w:rPr>
          <w:rFonts w:ascii="Times New Roman" w:hAnsi="Times New Roman"/>
          <w:sz w:val="24"/>
          <w:szCs w:val="24"/>
        </w:rPr>
        <w:t>an exam</w:t>
      </w:r>
      <w:r w:rsidR="004E1294" w:rsidRPr="00986606">
        <w:rPr>
          <w:rFonts w:ascii="Times New Roman" w:hAnsi="Times New Roman"/>
          <w:sz w:val="24"/>
          <w:szCs w:val="24"/>
        </w:rPr>
        <w:t>ple of unintended consequences.</w:t>
      </w:r>
      <w:r w:rsidR="00A82893" w:rsidRPr="00986606">
        <w:rPr>
          <w:rStyle w:val="FootnoteReference"/>
          <w:rFonts w:ascii="Times New Roman" w:hAnsi="Times New Roman"/>
          <w:sz w:val="24"/>
          <w:szCs w:val="24"/>
        </w:rPr>
        <w:footnoteReference w:id="128"/>
      </w:r>
      <w:r w:rsidR="002D349C" w:rsidRPr="00986606">
        <w:rPr>
          <w:rFonts w:ascii="Times New Roman" w:hAnsi="Times New Roman"/>
          <w:sz w:val="24"/>
          <w:szCs w:val="24"/>
        </w:rPr>
        <w:t xml:space="preserve">  </w:t>
      </w:r>
      <w:r w:rsidR="00DB57E6" w:rsidRPr="00986606">
        <w:rPr>
          <w:rFonts w:ascii="Times New Roman" w:hAnsi="Times New Roman"/>
          <w:sz w:val="24"/>
          <w:szCs w:val="24"/>
        </w:rPr>
        <w:t>Each MPI injunction is an attempted solution</w:t>
      </w:r>
      <w:r w:rsidR="002D349C" w:rsidRPr="00986606">
        <w:rPr>
          <w:rFonts w:ascii="Times New Roman" w:hAnsi="Times New Roman"/>
          <w:sz w:val="24"/>
          <w:szCs w:val="24"/>
        </w:rPr>
        <w:t xml:space="preserve"> to a problem. </w:t>
      </w:r>
      <w:r w:rsidR="00DB57E6" w:rsidRPr="00986606">
        <w:rPr>
          <w:rFonts w:ascii="Times New Roman" w:hAnsi="Times New Roman"/>
          <w:sz w:val="24"/>
          <w:szCs w:val="24"/>
        </w:rPr>
        <w:t xml:space="preserve"> But in order to determine its</w:t>
      </w:r>
      <w:r w:rsidR="002D349C" w:rsidRPr="00986606">
        <w:rPr>
          <w:rFonts w:ascii="Times New Roman" w:hAnsi="Times New Roman"/>
          <w:sz w:val="24"/>
          <w:szCs w:val="24"/>
        </w:rPr>
        <w:t xml:space="preserve"> success or failure we </w:t>
      </w:r>
      <w:r w:rsidR="00DB57E6" w:rsidRPr="00986606">
        <w:rPr>
          <w:rFonts w:ascii="Times New Roman" w:hAnsi="Times New Roman"/>
          <w:sz w:val="24"/>
          <w:szCs w:val="24"/>
        </w:rPr>
        <w:t xml:space="preserve">must identify and articulate </w:t>
      </w:r>
      <w:r w:rsidR="002D349C" w:rsidRPr="00986606">
        <w:rPr>
          <w:rFonts w:ascii="Times New Roman" w:hAnsi="Times New Roman"/>
          <w:sz w:val="24"/>
          <w:szCs w:val="24"/>
        </w:rPr>
        <w:t>the precise problem that such an in</w:t>
      </w:r>
      <w:r w:rsidR="00DB57E6" w:rsidRPr="00986606">
        <w:rPr>
          <w:rFonts w:ascii="Times New Roman" w:hAnsi="Times New Roman"/>
          <w:sz w:val="24"/>
          <w:szCs w:val="24"/>
        </w:rPr>
        <w:t>junction is attempting to solve.  In basic terms, the injunction’s purpose is t</w:t>
      </w:r>
      <w:r w:rsidR="002D349C" w:rsidRPr="00986606">
        <w:rPr>
          <w:rFonts w:ascii="Times New Roman" w:hAnsi="Times New Roman"/>
          <w:sz w:val="24"/>
          <w:szCs w:val="24"/>
        </w:rPr>
        <w:t xml:space="preserve">o protect a claimant </w:t>
      </w:r>
      <w:r w:rsidR="00DB57E6" w:rsidRPr="00986606">
        <w:rPr>
          <w:rFonts w:ascii="Times New Roman" w:hAnsi="Times New Roman"/>
          <w:sz w:val="24"/>
          <w:szCs w:val="24"/>
        </w:rPr>
        <w:t xml:space="preserve">from the problem of a </w:t>
      </w:r>
      <w:r w:rsidR="002D349C" w:rsidRPr="00986606">
        <w:rPr>
          <w:rFonts w:ascii="Times New Roman" w:hAnsi="Times New Roman"/>
          <w:sz w:val="24"/>
          <w:szCs w:val="24"/>
        </w:rPr>
        <w:t xml:space="preserve">loss of privacy.  </w:t>
      </w:r>
      <w:r w:rsidR="00DB57E6" w:rsidRPr="00986606">
        <w:rPr>
          <w:rFonts w:ascii="Times New Roman" w:hAnsi="Times New Roman"/>
          <w:sz w:val="24"/>
          <w:szCs w:val="24"/>
        </w:rPr>
        <w:t xml:space="preserve">It would therefore seem </w:t>
      </w:r>
      <w:r w:rsidR="002D349C" w:rsidRPr="00986606">
        <w:rPr>
          <w:rFonts w:ascii="Times New Roman" w:hAnsi="Times New Roman"/>
          <w:sz w:val="24"/>
          <w:szCs w:val="24"/>
        </w:rPr>
        <w:t xml:space="preserve">that </w:t>
      </w:r>
      <w:r w:rsidR="00D92119" w:rsidRPr="00986606">
        <w:rPr>
          <w:rFonts w:ascii="Times New Roman" w:hAnsi="Times New Roman"/>
          <w:sz w:val="24"/>
          <w:szCs w:val="24"/>
        </w:rPr>
        <w:t xml:space="preserve">an injunction </w:t>
      </w:r>
      <w:r w:rsidR="008E0DE4" w:rsidRPr="00986606">
        <w:rPr>
          <w:rFonts w:ascii="Times New Roman" w:hAnsi="Times New Roman"/>
          <w:sz w:val="24"/>
          <w:szCs w:val="24"/>
        </w:rPr>
        <w:t>prohibiting defendants and others from</w:t>
      </w:r>
      <w:r w:rsidR="00DB57E6" w:rsidRPr="00986606">
        <w:rPr>
          <w:rFonts w:ascii="Times New Roman" w:hAnsi="Times New Roman"/>
          <w:sz w:val="24"/>
          <w:szCs w:val="24"/>
        </w:rPr>
        <w:t xml:space="preserve"> disseminating</w:t>
      </w:r>
      <w:r w:rsidR="008E0DE4" w:rsidRPr="00986606">
        <w:rPr>
          <w:rFonts w:ascii="Times New Roman" w:hAnsi="Times New Roman"/>
          <w:sz w:val="24"/>
          <w:szCs w:val="24"/>
        </w:rPr>
        <w:t xml:space="preserve"> </w:t>
      </w:r>
      <w:r w:rsidR="00D92119" w:rsidRPr="00986606">
        <w:rPr>
          <w:rFonts w:ascii="Times New Roman" w:hAnsi="Times New Roman"/>
          <w:sz w:val="24"/>
          <w:szCs w:val="24"/>
        </w:rPr>
        <w:t xml:space="preserve">private information that </w:t>
      </w:r>
      <w:r w:rsidR="008E0DE4" w:rsidRPr="00986606">
        <w:rPr>
          <w:rFonts w:ascii="Times New Roman" w:hAnsi="Times New Roman"/>
          <w:sz w:val="24"/>
          <w:szCs w:val="24"/>
        </w:rPr>
        <w:t xml:space="preserve">later </w:t>
      </w:r>
      <w:r w:rsidR="00D92119" w:rsidRPr="00986606">
        <w:rPr>
          <w:rFonts w:ascii="Times New Roman" w:hAnsi="Times New Roman"/>
          <w:sz w:val="24"/>
          <w:szCs w:val="24"/>
        </w:rPr>
        <w:t>becomes widely disseminated in any event</w:t>
      </w:r>
      <w:r w:rsidR="00FA54DB" w:rsidRPr="00986606">
        <w:rPr>
          <w:rFonts w:ascii="Times New Roman" w:hAnsi="Times New Roman"/>
          <w:sz w:val="24"/>
          <w:szCs w:val="24"/>
        </w:rPr>
        <w:t xml:space="preserve"> represents a failed solution to the problem of protecting privacy.  Yet the </w:t>
      </w:r>
      <w:r w:rsidR="008E0DE4" w:rsidRPr="00986606">
        <w:rPr>
          <w:rFonts w:ascii="Times New Roman" w:hAnsi="Times New Roman"/>
          <w:sz w:val="24"/>
          <w:szCs w:val="24"/>
        </w:rPr>
        <w:t xml:space="preserve">MPI </w:t>
      </w:r>
      <w:r w:rsidR="00FA54DB" w:rsidRPr="00986606">
        <w:rPr>
          <w:rFonts w:ascii="Times New Roman" w:hAnsi="Times New Roman"/>
          <w:sz w:val="24"/>
          <w:szCs w:val="24"/>
        </w:rPr>
        <w:t>c</w:t>
      </w:r>
      <w:r w:rsidR="00841DE6" w:rsidRPr="00986606">
        <w:rPr>
          <w:rFonts w:ascii="Times New Roman" w:hAnsi="Times New Roman"/>
          <w:sz w:val="24"/>
          <w:szCs w:val="24"/>
        </w:rPr>
        <w:t>ou</w:t>
      </w:r>
      <w:r w:rsidR="00FA54DB" w:rsidRPr="00986606">
        <w:rPr>
          <w:rFonts w:ascii="Times New Roman" w:hAnsi="Times New Roman"/>
          <w:sz w:val="24"/>
          <w:szCs w:val="24"/>
        </w:rPr>
        <w:t xml:space="preserve">rts have responded to </w:t>
      </w:r>
      <w:r w:rsidR="00DB57E6" w:rsidRPr="00986606">
        <w:rPr>
          <w:rFonts w:ascii="Times New Roman" w:hAnsi="Times New Roman"/>
          <w:sz w:val="24"/>
          <w:szCs w:val="24"/>
        </w:rPr>
        <w:t xml:space="preserve">this apparent solution failure in a highly </w:t>
      </w:r>
      <w:r w:rsidR="008E0DE4" w:rsidRPr="00986606">
        <w:rPr>
          <w:rFonts w:ascii="Times New Roman" w:hAnsi="Times New Roman"/>
          <w:sz w:val="24"/>
          <w:szCs w:val="24"/>
        </w:rPr>
        <w:t xml:space="preserve">interesting way. </w:t>
      </w:r>
      <w:r w:rsidR="002D349C" w:rsidRPr="00986606">
        <w:rPr>
          <w:rFonts w:ascii="Times New Roman" w:hAnsi="Times New Roman"/>
          <w:sz w:val="24"/>
          <w:szCs w:val="24"/>
        </w:rPr>
        <w:t xml:space="preserve"> </w:t>
      </w:r>
    </w:p>
    <w:p w:rsidR="005449EF" w:rsidRPr="00986606" w:rsidRDefault="005449EF" w:rsidP="00166007">
      <w:pPr>
        <w:pStyle w:val="NoSpacing"/>
        <w:jc w:val="both"/>
        <w:rPr>
          <w:rFonts w:ascii="Times New Roman" w:hAnsi="Times New Roman"/>
          <w:sz w:val="24"/>
          <w:szCs w:val="24"/>
        </w:rPr>
      </w:pPr>
    </w:p>
    <w:p w:rsidR="00DA6B22" w:rsidRPr="00986606" w:rsidRDefault="005658D4" w:rsidP="00166007">
      <w:pPr>
        <w:pStyle w:val="NoSpacing"/>
        <w:jc w:val="both"/>
        <w:rPr>
          <w:rFonts w:ascii="Times New Roman" w:hAnsi="Times New Roman"/>
        </w:rPr>
      </w:pPr>
      <w:r w:rsidRPr="00986606">
        <w:rPr>
          <w:rFonts w:ascii="Times New Roman" w:hAnsi="Times New Roman"/>
          <w:sz w:val="24"/>
          <w:szCs w:val="24"/>
        </w:rPr>
        <w:t xml:space="preserve">The approach was first </w:t>
      </w:r>
      <w:r w:rsidR="002B7BAF" w:rsidRPr="00986606">
        <w:rPr>
          <w:rFonts w:ascii="Times New Roman" w:hAnsi="Times New Roman"/>
          <w:sz w:val="24"/>
          <w:szCs w:val="24"/>
        </w:rPr>
        <w:t xml:space="preserve">adopted </w:t>
      </w:r>
      <w:r w:rsidRPr="00986606">
        <w:rPr>
          <w:rFonts w:ascii="Times New Roman" w:hAnsi="Times New Roman"/>
          <w:sz w:val="24"/>
          <w:szCs w:val="24"/>
        </w:rPr>
        <w:t>i</w:t>
      </w:r>
      <w:r w:rsidR="008D6C92" w:rsidRPr="00986606">
        <w:rPr>
          <w:rFonts w:ascii="Times New Roman" w:hAnsi="Times New Roman"/>
          <w:sz w:val="24"/>
          <w:szCs w:val="24"/>
        </w:rPr>
        <w:t xml:space="preserve">n </w:t>
      </w:r>
      <w:proofErr w:type="spellStart"/>
      <w:r w:rsidR="008D6C92" w:rsidRPr="00986606">
        <w:rPr>
          <w:rFonts w:ascii="Times New Roman" w:hAnsi="Times New Roman"/>
          <w:sz w:val="24"/>
          <w:szCs w:val="24"/>
        </w:rPr>
        <w:t>Giggs</w:t>
      </w:r>
      <w:proofErr w:type="spellEnd"/>
      <w:r w:rsidRPr="00986606">
        <w:rPr>
          <w:rFonts w:ascii="Times New Roman" w:hAnsi="Times New Roman"/>
          <w:sz w:val="24"/>
          <w:szCs w:val="24"/>
        </w:rPr>
        <w:t xml:space="preserve"> where</w:t>
      </w:r>
      <w:r w:rsidR="008D6C92" w:rsidRPr="00986606">
        <w:rPr>
          <w:rFonts w:ascii="Times New Roman" w:hAnsi="Times New Roman"/>
          <w:sz w:val="24"/>
          <w:szCs w:val="24"/>
        </w:rPr>
        <w:t xml:space="preserve"> the injunction as a solution to a problem </w:t>
      </w:r>
      <w:r w:rsidR="002B7BAF" w:rsidRPr="00986606">
        <w:rPr>
          <w:rFonts w:ascii="Times New Roman" w:hAnsi="Times New Roman"/>
          <w:sz w:val="24"/>
          <w:szCs w:val="24"/>
        </w:rPr>
        <w:t xml:space="preserve">seemed to have </w:t>
      </w:r>
      <w:r w:rsidR="008D6C92" w:rsidRPr="00986606">
        <w:rPr>
          <w:rFonts w:ascii="Times New Roman" w:hAnsi="Times New Roman"/>
          <w:sz w:val="24"/>
          <w:szCs w:val="24"/>
        </w:rPr>
        <w:t xml:space="preserve">failed; dissemination of </w:t>
      </w:r>
      <w:proofErr w:type="spellStart"/>
      <w:r w:rsidR="008D6C92" w:rsidRPr="00986606">
        <w:rPr>
          <w:rFonts w:ascii="Times New Roman" w:hAnsi="Times New Roman"/>
          <w:sz w:val="24"/>
          <w:szCs w:val="24"/>
        </w:rPr>
        <w:t>Giggs</w:t>
      </w:r>
      <w:proofErr w:type="spellEnd"/>
      <w:r w:rsidR="008D6C92" w:rsidRPr="00986606">
        <w:rPr>
          <w:rFonts w:ascii="Times New Roman" w:hAnsi="Times New Roman"/>
          <w:sz w:val="24"/>
          <w:szCs w:val="24"/>
        </w:rPr>
        <w:t xml:space="preserve">’ identity and his affair </w:t>
      </w:r>
      <w:r w:rsidR="00E8639B" w:rsidRPr="00986606">
        <w:rPr>
          <w:rFonts w:ascii="Times New Roman" w:hAnsi="Times New Roman"/>
          <w:sz w:val="24"/>
          <w:szCs w:val="24"/>
        </w:rPr>
        <w:t>arguably</w:t>
      </w:r>
      <w:r w:rsidR="00DA6B22" w:rsidRPr="00986606">
        <w:rPr>
          <w:rFonts w:ascii="Times New Roman" w:hAnsi="Times New Roman"/>
          <w:sz w:val="24"/>
          <w:szCs w:val="24"/>
        </w:rPr>
        <w:t xml:space="preserve"> </w:t>
      </w:r>
      <w:r w:rsidR="008D6C92" w:rsidRPr="00986606">
        <w:rPr>
          <w:rFonts w:ascii="Times New Roman" w:hAnsi="Times New Roman"/>
          <w:sz w:val="24"/>
          <w:szCs w:val="24"/>
        </w:rPr>
        <w:t>increased</w:t>
      </w:r>
      <w:r w:rsidR="00DA6B22" w:rsidRPr="00986606">
        <w:rPr>
          <w:rFonts w:ascii="Times New Roman" w:hAnsi="Times New Roman"/>
          <w:sz w:val="24"/>
          <w:szCs w:val="24"/>
        </w:rPr>
        <w:t xml:space="preserve"> as a result</w:t>
      </w:r>
      <w:r w:rsidR="00B207A4" w:rsidRPr="00986606">
        <w:rPr>
          <w:rFonts w:ascii="Times New Roman" w:hAnsi="Times New Roman"/>
          <w:sz w:val="24"/>
          <w:szCs w:val="24"/>
        </w:rPr>
        <w:t xml:space="preserve"> of the litigation</w:t>
      </w:r>
      <w:r w:rsidR="008D6C92" w:rsidRPr="00986606">
        <w:rPr>
          <w:rFonts w:ascii="Times New Roman" w:hAnsi="Times New Roman"/>
          <w:sz w:val="24"/>
          <w:szCs w:val="24"/>
        </w:rPr>
        <w:t>.</w:t>
      </w:r>
      <w:r w:rsidR="00F10610" w:rsidRPr="00986606">
        <w:rPr>
          <w:rFonts w:ascii="Times New Roman" w:hAnsi="Times New Roman"/>
          <w:sz w:val="24"/>
          <w:szCs w:val="24"/>
        </w:rPr>
        <w:t xml:space="preserve">  This </w:t>
      </w:r>
      <w:r w:rsidR="00C82EC9" w:rsidRPr="00986606">
        <w:rPr>
          <w:rFonts w:ascii="Times New Roman" w:hAnsi="Times New Roman"/>
          <w:sz w:val="24"/>
          <w:szCs w:val="24"/>
        </w:rPr>
        <w:t xml:space="preserve">failure </w:t>
      </w:r>
      <w:r w:rsidR="00F10610" w:rsidRPr="00986606">
        <w:rPr>
          <w:rFonts w:ascii="Times New Roman" w:hAnsi="Times New Roman"/>
          <w:sz w:val="24"/>
          <w:szCs w:val="24"/>
        </w:rPr>
        <w:t>was</w:t>
      </w:r>
      <w:r w:rsidRPr="00986606">
        <w:rPr>
          <w:rFonts w:ascii="Times New Roman" w:hAnsi="Times New Roman"/>
          <w:sz w:val="24"/>
          <w:szCs w:val="24"/>
        </w:rPr>
        <w:t xml:space="preserve"> indirectly</w:t>
      </w:r>
      <w:r w:rsidR="00F10610" w:rsidRPr="00986606">
        <w:rPr>
          <w:rFonts w:ascii="Times New Roman" w:hAnsi="Times New Roman"/>
          <w:sz w:val="24"/>
          <w:szCs w:val="24"/>
        </w:rPr>
        <w:t xml:space="preserve"> acknowledged by </w:t>
      </w:r>
      <w:r w:rsidR="00DA6B22" w:rsidRPr="00986606">
        <w:rPr>
          <w:rFonts w:ascii="Times New Roman" w:hAnsi="Times New Roman"/>
          <w:sz w:val="24"/>
          <w:szCs w:val="24"/>
        </w:rPr>
        <w:t>Tug</w:t>
      </w:r>
      <w:r w:rsidR="00F10610" w:rsidRPr="00986606">
        <w:rPr>
          <w:rFonts w:ascii="Times New Roman" w:hAnsi="Times New Roman"/>
          <w:sz w:val="24"/>
          <w:szCs w:val="24"/>
        </w:rPr>
        <w:t>endhat J</w:t>
      </w:r>
      <w:r w:rsidR="002B7BAF" w:rsidRPr="00986606">
        <w:rPr>
          <w:rFonts w:ascii="Times New Roman" w:hAnsi="Times New Roman"/>
          <w:sz w:val="24"/>
          <w:szCs w:val="24"/>
        </w:rPr>
        <w:t>, who claimed</w:t>
      </w:r>
      <w:r w:rsidR="00DA6B22" w:rsidRPr="00986606">
        <w:rPr>
          <w:rFonts w:ascii="Times New Roman" w:hAnsi="Times New Roman"/>
          <w:sz w:val="24"/>
          <w:szCs w:val="24"/>
        </w:rPr>
        <w:t>:</w:t>
      </w:r>
    </w:p>
    <w:p w:rsidR="00DA6B22" w:rsidRPr="00986606" w:rsidRDefault="00DA6B22" w:rsidP="005111CF">
      <w:pPr>
        <w:spacing w:after="0" w:line="240" w:lineRule="auto"/>
        <w:jc w:val="both"/>
        <w:rPr>
          <w:rFonts w:ascii="Times New Roman" w:hAnsi="Times New Roman"/>
          <w:sz w:val="24"/>
          <w:szCs w:val="24"/>
        </w:rPr>
      </w:pPr>
    </w:p>
    <w:p w:rsidR="00F10610" w:rsidRPr="00986606" w:rsidRDefault="00F10610" w:rsidP="003B4A70">
      <w:pPr>
        <w:spacing w:after="0" w:line="240" w:lineRule="auto"/>
        <w:ind w:left="851" w:right="851"/>
        <w:jc w:val="both"/>
        <w:rPr>
          <w:rFonts w:ascii="Times New Roman" w:hAnsi="Times New Roman"/>
          <w:sz w:val="24"/>
          <w:szCs w:val="24"/>
        </w:rPr>
      </w:pPr>
      <w:r w:rsidRPr="00986606">
        <w:rPr>
          <w:rFonts w:ascii="Times New Roman" w:hAnsi="Times New Roman"/>
          <w:sz w:val="24"/>
          <w:szCs w:val="24"/>
        </w:rPr>
        <w:t>‘</w:t>
      </w:r>
      <w:r w:rsidRPr="00986606">
        <w:rPr>
          <w:rFonts w:ascii="Times New Roman" w:hAnsi="Times New Roman"/>
          <w:i/>
          <w:sz w:val="24"/>
          <w:szCs w:val="24"/>
        </w:rPr>
        <w:t xml:space="preserve">It is obvious that </w:t>
      </w:r>
      <w:r w:rsidRPr="00986606">
        <w:rPr>
          <w:rFonts w:ascii="Times New Roman" w:hAnsi="Times New Roman"/>
          <w:b/>
          <w:i/>
          <w:sz w:val="24"/>
          <w:szCs w:val="24"/>
        </w:rPr>
        <w:t>if</w:t>
      </w:r>
      <w:r w:rsidRPr="00986606">
        <w:rPr>
          <w:rFonts w:ascii="Times New Roman" w:hAnsi="Times New Roman"/>
          <w:i/>
          <w:sz w:val="24"/>
          <w:szCs w:val="24"/>
        </w:rPr>
        <w:t xml:space="preserve"> the purpose of this injunction were to preserve a secret, it would have </w:t>
      </w:r>
      <w:r w:rsidRPr="00986606">
        <w:rPr>
          <w:rFonts w:ascii="Times New Roman" w:hAnsi="Times New Roman"/>
          <w:b/>
          <w:i/>
          <w:sz w:val="24"/>
          <w:szCs w:val="24"/>
        </w:rPr>
        <w:t>failed</w:t>
      </w:r>
      <w:r w:rsidRPr="00986606">
        <w:rPr>
          <w:rFonts w:ascii="Times New Roman" w:hAnsi="Times New Roman"/>
          <w:i/>
          <w:sz w:val="24"/>
          <w:szCs w:val="24"/>
        </w:rPr>
        <w:t xml:space="preserve"> in its purpose.   But in so far as its purpose is to prevent intrusion or harassment, </w:t>
      </w:r>
      <w:r w:rsidRPr="00986606">
        <w:rPr>
          <w:rFonts w:ascii="Times New Roman" w:hAnsi="Times New Roman"/>
          <w:b/>
          <w:i/>
          <w:sz w:val="24"/>
          <w:szCs w:val="24"/>
        </w:rPr>
        <w:t>it has not failed.</w:t>
      </w:r>
      <w:r w:rsidRPr="00986606">
        <w:rPr>
          <w:rFonts w:ascii="Times New Roman" w:hAnsi="Times New Roman"/>
          <w:sz w:val="24"/>
          <w:szCs w:val="24"/>
        </w:rPr>
        <w:t>’</w:t>
      </w:r>
      <w:r w:rsidRPr="00986606">
        <w:rPr>
          <w:rStyle w:val="FootnoteReference"/>
          <w:rFonts w:ascii="Times New Roman" w:hAnsi="Times New Roman"/>
          <w:sz w:val="24"/>
          <w:szCs w:val="24"/>
        </w:rPr>
        <w:footnoteReference w:id="129"/>
      </w:r>
    </w:p>
    <w:p w:rsidR="00DA6B22" w:rsidRPr="00986606" w:rsidRDefault="00DA6B22" w:rsidP="005111CF">
      <w:pPr>
        <w:spacing w:after="0" w:line="240" w:lineRule="auto"/>
        <w:jc w:val="both"/>
        <w:rPr>
          <w:rFonts w:ascii="Times New Roman" w:hAnsi="Times New Roman"/>
          <w:sz w:val="24"/>
          <w:szCs w:val="24"/>
        </w:rPr>
      </w:pPr>
    </w:p>
    <w:p w:rsidR="005449EF" w:rsidRPr="00986606" w:rsidRDefault="00A045A2" w:rsidP="0006647C">
      <w:pPr>
        <w:spacing w:after="0" w:line="240" w:lineRule="auto"/>
        <w:jc w:val="both"/>
        <w:rPr>
          <w:rFonts w:ascii="Times New Roman" w:hAnsi="Times New Roman"/>
          <w:sz w:val="24"/>
          <w:szCs w:val="24"/>
        </w:rPr>
      </w:pPr>
      <w:r w:rsidRPr="00986606">
        <w:rPr>
          <w:rFonts w:ascii="Times New Roman" w:hAnsi="Times New Roman"/>
          <w:sz w:val="24"/>
          <w:szCs w:val="24"/>
        </w:rPr>
        <w:t>Two</w:t>
      </w:r>
      <w:r w:rsidR="00875139" w:rsidRPr="00986606">
        <w:rPr>
          <w:rFonts w:ascii="Times New Roman" w:hAnsi="Times New Roman"/>
          <w:sz w:val="24"/>
          <w:szCs w:val="24"/>
        </w:rPr>
        <w:t xml:space="preserve"> points of interest emerge from </w:t>
      </w:r>
      <w:r w:rsidR="00E04C6E" w:rsidRPr="00986606">
        <w:rPr>
          <w:rFonts w:ascii="Times New Roman" w:hAnsi="Times New Roman"/>
          <w:sz w:val="24"/>
          <w:szCs w:val="24"/>
        </w:rPr>
        <w:t>this</w:t>
      </w:r>
      <w:r w:rsidR="00875139" w:rsidRPr="00986606">
        <w:rPr>
          <w:rFonts w:ascii="Times New Roman" w:hAnsi="Times New Roman"/>
          <w:sz w:val="24"/>
          <w:szCs w:val="24"/>
        </w:rPr>
        <w:t xml:space="preserve"> statement.</w:t>
      </w:r>
      <w:r w:rsidR="000C2C8B" w:rsidRPr="00986606">
        <w:rPr>
          <w:rFonts w:ascii="Times New Roman" w:hAnsi="Times New Roman"/>
          <w:sz w:val="24"/>
          <w:szCs w:val="24"/>
        </w:rPr>
        <w:t xml:space="preserve">  </w:t>
      </w:r>
      <w:r w:rsidR="00E04C6E" w:rsidRPr="00986606">
        <w:rPr>
          <w:rFonts w:ascii="Times New Roman" w:hAnsi="Times New Roman"/>
          <w:sz w:val="24"/>
          <w:szCs w:val="24"/>
        </w:rPr>
        <w:t>First Tugendhat J</w:t>
      </w:r>
      <w:r w:rsidR="005804B6" w:rsidRPr="00986606">
        <w:rPr>
          <w:rFonts w:ascii="Times New Roman" w:hAnsi="Times New Roman"/>
          <w:sz w:val="24"/>
          <w:szCs w:val="24"/>
        </w:rPr>
        <w:t xml:space="preserve"> implies that ‘keeping a secret’ was not necessarily the injunction’s aim (‘if’).  Yet a secret, understood as something that is kept hidden</w:t>
      </w:r>
      <w:r w:rsidR="00B176DF" w:rsidRPr="00986606">
        <w:rPr>
          <w:rFonts w:ascii="Times New Roman" w:hAnsi="Times New Roman"/>
          <w:sz w:val="24"/>
          <w:szCs w:val="24"/>
        </w:rPr>
        <w:t xml:space="preserve"> or</w:t>
      </w:r>
      <w:r w:rsidR="005804B6" w:rsidRPr="00986606">
        <w:rPr>
          <w:rFonts w:ascii="Times New Roman" w:hAnsi="Times New Roman"/>
          <w:sz w:val="24"/>
          <w:szCs w:val="24"/>
        </w:rPr>
        <w:t xml:space="preserve"> concealed</w:t>
      </w:r>
      <w:r w:rsidR="00E31D47" w:rsidRPr="00986606">
        <w:rPr>
          <w:rStyle w:val="FootnoteReference"/>
          <w:rFonts w:ascii="Times New Roman" w:hAnsi="Times New Roman"/>
          <w:sz w:val="24"/>
          <w:szCs w:val="24"/>
        </w:rPr>
        <w:footnoteReference w:id="130"/>
      </w:r>
      <w:r w:rsidR="005804B6" w:rsidRPr="00986606">
        <w:rPr>
          <w:rFonts w:ascii="Times New Roman" w:hAnsi="Times New Roman"/>
          <w:sz w:val="24"/>
          <w:szCs w:val="24"/>
        </w:rPr>
        <w:t xml:space="preserve"> </w:t>
      </w:r>
      <w:r w:rsidR="005804B6" w:rsidRPr="00986606">
        <w:rPr>
          <w:rFonts w:ascii="Times New Roman" w:hAnsi="Times New Roman"/>
          <w:i/>
          <w:sz w:val="24"/>
          <w:szCs w:val="24"/>
        </w:rPr>
        <w:t>was</w:t>
      </w:r>
      <w:r w:rsidR="005804B6" w:rsidRPr="00986606">
        <w:rPr>
          <w:rFonts w:ascii="Times New Roman" w:hAnsi="Times New Roman"/>
          <w:sz w:val="24"/>
          <w:szCs w:val="24"/>
        </w:rPr>
        <w:t xml:space="preserve"> surely a key aim of the </w:t>
      </w:r>
      <w:proofErr w:type="spellStart"/>
      <w:r w:rsidR="005804B6" w:rsidRPr="00986606">
        <w:rPr>
          <w:rFonts w:ascii="Times New Roman" w:hAnsi="Times New Roman"/>
          <w:sz w:val="24"/>
          <w:szCs w:val="24"/>
        </w:rPr>
        <w:t>Giggs</w:t>
      </w:r>
      <w:proofErr w:type="spellEnd"/>
      <w:r w:rsidR="005804B6" w:rsidRPr="00986606">
        <w:rPr>
          <w:rFonts w:ascii="Times New Roman" w:hAnsi="Times New Roman"/>
          <w:sz w:val="24"/>
          <w:szCs w:val="24"/>
        </w:rPr>
        <w:t xml:space="preserve"> injunctions, and indeed all MPI injunctions.  </w:t>
      </w:r>
      <w:r w:rsidR="00C92D6A" w:rsidRPr="00986606">
        <w:rPr>
          <w:rFonts w:ascii="Times New Roman" w:hAnsi="Times New Roman"/>
          <w:sz w:val="24"/>
          <w:szCs w:val="24"/>
        </w:rPr>
        <w:t>Selective concealment and exposure, a degree of control over the information we reveal about ourselves to others</w:t>
      </w:r>
      <w:r w:rsidR="00B7038C" w:rsidRPr="00986606">
        <w:rPr>
          <w:rFonts w:ascii="Times New Roman" w:hAnsi="Times New Roman"/>
          <w:sz w:val="24"/>
          <w:szCs w:val="24"/>
        </w:rPr>
        <w:t>,</w:t>
      </w:r>
      <w:r w:rsidR="00C92D6A" w:rsidRPr="00986606">
        <w:rPr>
          <w:rFonts w:ascii="Times New Roman" w:hAnsi="Times New Roman"/>
          <w:sz w:val="24"/>
          <w:szCs w:val="24"/>
        </w:rPr>
        <w:t xml:space="preserve"> is viewed as</w:t>
      </w:r>
      <w:r w:rsidR="000225C2" w:rsidRPr="00986606">
        <w:rPr>
          <w:rFonts w:ascii="Times New Roman" w:hAnsi="Times New Roman"/>
          <w:sz w:val="24"/>
          <w:szCs w:val="24"/>
        </w:rPr>
        <w:t xml:space="preserve"> a crucial aspect </w:t>
      </w:r>
      <w:r w:rsidR="00C92D6A" w:rsidRPr="00986606">
        <w:rPr>
          <w:rFonts w:ascii="Times New Roman" w:hAnsi="Times New Roman"/>
          <w:sz w:val="24"/>
          <w:szCs w:val="24"/>
        </w:rPr>
        <w:t>of modern</w:t>
      </w:r>
      <w:r w:rsidR="00B176DF" w:rsidRPr="00986606">
        <w:rPr>
          <w:rFonts w:ascii="Times New Roman" w:hAnsi="Times New Roman"/>
          <w:sz w:val="24"/>
          <w:szCs w:val="24"/>
        </w:rPr>
        <w:t xml:space="preserve"> liberal understandings </w:t>
      </w:r>
      <w:r w:rsidR="000225C2" w:rsidRPr="00986606">
        <w:rPr>
          <w:rFonts w:ascii="Times New Roman" w:hAnsi="Times New Roman"/>
          <w:sz w:val="24"/>
          <w:szCs w:val="24"/>
        </w:rPr>
        <w:t>of</w:t>
      </w:r>
      <w:r w:rsidR="00C92D6A" w:rsidRPr="00986606">
        <w:rPr>
          <w:rFonts w:ascii="Times New Roman" w:hAnsi="Times New Roman"/>
          <w:sz w:val="24"/>
          <w:szCs w:val="24"/>
        </w:rPr>
        <w:t xml:space="preserve"> privacy.</w:t>
      </w:r>
      <w:r w:rsidR="00E31D47" w:rsidRPr="00986606">
        <w:rPr>
          <w:rStyle w:val="FootnoteReference"/>
          <w:rFonts w:ascii="Times New Roman" w:hAnsi="Times New Roman"/>
          <w:sz w:val="24"/>
          <w:szCs w:val="24"/>
        </w:rPr>
        <w:footnoteReference w:id="131"/>
      </w:r>
      <w:r w:rsidR="000C2C8B" w:rsidRPr="00986606">
        <w:rPr>
          <w:rFonts w:ascii="Times New Roman" w:hAnsi="Times New Roman"/>
          <w:sz w:val="24"/>
          <w:szCs w:val="24"/>
        </w:rPr>
        <w:t xml:space="preserve">  </w:t>
      </w:r>
      <w:r w:rsidR="0097341A" w:rsidRPr="00986606">
        <w:rPr>
          <w:rFonts w:ascii="Times New Roman" w:hAnsi="Times New Roman"/>
          <w:sz w:val="24"/>
          <w:szCs w:val="24"/>
        </w:rPr>
        <w:t xml:space="preserve">Second, </w:t>
      </w:r>
      <w:r w:rsidR="00576922" w:rsidRPr="00986606">
        <w:rPr>
          <w:rFonts w:ascii="Times New Roman" w:hAnsi="Times New Roman"/>
          <w:sz w:val="24"/>
          <w:szCs w:val="24"/>
        </w:rPr>
        <w:t>Tugendhat J indicated</w:t>
      </w:r>
      <w:r w:rsidR="00875139" w:rsidRPr="00986606">
        <w:rPr>
          <w:rFonts w:ascii="Times New Roman" w:hAnsi="Times New Roman"/>
          <w:sz w:val="24"/>
          <w:szCs w:val="24"/>
        </w:rPr>
        <w:t xml:space="preserve"> that the purposes of keeping a secret and preventing intrusion</w:t>
      </w:r>
      <w:r w:rsidR="00E546D7" w:rsidRPr="00986606">
        <w:rPr>
          <w:rFonts w:ascii="Times New Roman" w:hAnsi="Times New Roman"/>
          <w:sz w:val="24"/>
          <w:szCs w:val="24"/>
        </w:rPr>
        <w:t xml:space="preserve"> are two distinct, separable aims</w:t>
      </w:r>
      <w:r w:rsidR="00875139" w:rsidRPr="00986606">
        <w:rPr>
          <w:rFonts w:ascii="Times New Roman" w:hAnsi="Times New Roman"/>
          <w:sz w:val="24"/>
          <w:szCs w:val="24"/>
        </w:rPr>
        <w:t>, and that one can f</w:t>
      </w:r>
      <w:r w:rsidR="00042990" w:rsidRPr="00986606">
        <w:rPr>
          <w:rFonts w:ascii="Times New Roman" w:hAnsi="Times New Roman"/>
          <w:sz w:val="24"/>
          <w:szCs w:val="24"/>
        </w:rPr>
        <w:t>ail whilst the other succeeds.</w:t>
      </w:r>
      <w:r w:rsidR="00E04C6E" w:rsidRPr="00986606">
        <w:rPr>
          <w:rFonts w:ascii="Times New Roman" w:hAnsi="Times New Roman"/>
          <w:sz w:val="24"/>
          <w:szCs w:val="24"/>
        </w:rPr>
        <w:t xml:space="preserve">  This distinction informed the Supreme Court’s recent approach in the </w:t>
      </w:r>
      <w:r w:rsidR="00E04C6E" w:rsidRPr="00986606">
        <w:rPr>
          <w:rFonts w:ascii="Times New Roman" w:hAnsi="Times New Roman"/>
          <w:i/>
          <w:sz w:val="24"/>
          <w:szCs w:val="24"/>
        </w:rPr>
        <w:t xml:space="preserve">PJS </w:t>
      </w:r>
      <w:r w:rsidR="00E04C6E" w:rsidRPr="00986606">
        <w:rPr>
          <w:rFonts w:ascii="Times New Roman" w:hAnsi="Times New Roman"/>
          <w:sz w:val="24"/>
          <w:szCs w:val="24"/>
        </w:rPr>
        <w:t>dispute.</w:t>
      </w:r>
      <w:r w:rsidR="00042990" w:rsidRPr="00986606">
        <w:rPr>
          <w:rFonts w:ascii="Times New Roman" w:hAnsi="Times New Roman"/>
          <w:sz w:val="24"/>
          <w:szCs w:val="24"/>
        </w:rPr>
        <w:t xml:space="preserve"> </w:t>
      </w:r>
    </w:p>
    <w:p w:rsidR="00130EE9" w:rsidRPr="00986606" w:rsidRDefault="00130EE9" w:rsidP="0006647C">
      <w:pPr>
        <w:spacing w:after="0" w:line="240" w:lineRule="auto"/>
        <w:jc w:val="both"/>
        <w:rPr>
          <w:rFonts w:ascii="Times New Roman" w:hAnsi="Times New Roman"/>
          <w:sz w:val="24"/>
          <w:szCs w:val="24"/>
        </w:rPr>
      </w:pPr>
    </w:p>
    <w:p w:rsidR="00A252B9" w:rsidRPr="00986606" w:rsidRDefault="00FD55B1" w:rsidP="00A252B9">
      <w:pPr>
        <w:spacing w:after="0" w:line="240" w:lineRule="auto"/>
        <w:jc w:val="both"/>
        <w:rPr>
          <w:rFonts w:ascii="Times New Roman" w:hAnsi="Times New Roman"/>
          <w:sz w:val="24"/>
          <w:szCs w:val="24"/>
        </w:rPr>
      </w:pPr>
      <w:r w:rsidRPr="00986606">
        <w:rPr>
          <w:rFonts w:ascii="Times New Roman" w:hAnsi="Times New Roman"/>
          <w:i/>
          <w:sz w:val="24"/>
          <w:szCs w:val="24"/>
          <w:u w:val="single"/>
        </w:rPr>
        <w:t xml:space="preserve">The distinction in </w:t>
      </w:r>
      <w:r w:rsidR="00A252B9" w:rsidRPr="00986606">
        <w:rPr>
          <w:rFonts w:ascii="Times New Roman" w:hAnsi="Times New Roman"/>
          <w:i/>
          <w:sz w:val="24"/>
          <w:szCs w:val="24"/>
          <w:u w:val="single"/>
        </w:rPr>
        <w:t>PJS v News Group</w:t>
      </w:r>
    </w:p>
    <w:p w:rsidR="00A252B9" w:rsidRPr="00986606" w:rsidRDefault="00FC6BAD" w:rsidP="00A252B9">
      <w:pPr>
        <w:spacing w:after="0" w:line="240" w:lineRule="auto"/>
        <w:jc w:val="both"/>
        <w:rPr>
          <w:rFonts w:ascii="Times New Roman" w:hAnsi="Times New Roman"/>
          <w:sz w:val="24"/>
          <w:szCs w:val="24"/>
        </w:rPr>
      </w:pPr>
      <w:r w:rsidRPr="00986606">
        <w:rPr>
          <w:rFonts w:ascii="Times New Roman" w:hAnsi="Times New Roman"/>
          <w:sz w:val="24"/>
          <w:szCs w:val="24"/>
        </w:rPr>
        <w:t xml:space="preserve">In </w:t>
      </w:r>
      <w:r w:rsidRPr="00986606">
        <w:rPr>
          <w:rFonts w:ascii="Times New Roman" w:hAnsi="Times New Roman"/>
          <w:i/>
          <w:sz w:val="24"/>
          <w:szCs w:val="24"/>
        </w:rPr>
        <w:t>PJS</w:t>
      </w:r>
      <w:r w:rsidRPr="00986606">
        <w:rPr>
          <w:rFonts w:ascii="Times New Roman" w:hAnsi="Times New Roman"/>
          <w:sz w:val="24"/>
          <w:szCs w:val="24"/>
        </w:rPr>
        <w:t xml:space="preserve"> t</w:t>
      </w:r>
      <w:r w:rsidR="00A252B9" w:rsidRPr="00986606">
        <w:rPr>
          <w:rFonts w:ascii="Times New Roman" w:hAnsi="Times New Roman"/>
          <w:sz w:val="24"/>
          <w:szCs w:val="24"/>
        </w:rPr>
        <w:t xml:space="preserve">he majority Law Lords </w:t>
      </w:r>
      <w:r w:rsidRPr="00986606">
        <w:rPr>
          <w:rFonts w:ascii="Times New Roman" w:hAnsi="Times New Roman"/>
          <w:sz w:val="24"/>
          <w:szCs w:val="24"/>
        </w:rPr>
        <w:t xml:space="preserve">also drew </w:t>
      </w:r>
      <w:r w:rsidR="009A3DEA" w:rsidRPr="00986606">
        <w:rPr>
          <w:rFonts w:ascii="Times New Roman" w:hAnsi="Times New Roman"/>
          <w:sz w:val="24"/>
          <w:szCs w:val="24"/>
        </w:rPr>
        <w:t xml:space="preserve">a </w:t>
      </w:r>
      <w:r w:rsidR="00A252B9" w:rsidRPr="00986606">
        <w:rPr>
          <w:rFonts w:ascii="Times New Roman" w:hAnsi="Times New Roman"/>
          <w:sz w:val="24"/>
          <w:szCs w:val="24"/>
        </w:rPr>
        <w:t>crucial distinction</w:t>
      </w:r>
      <w:r w:rsidR="009A3DEA" w:rsidRPr="00986606">
        <w:rPr>
          <w:rFonts w:ascii="Times New Roman" w:hAnsi="Times New Roman"/>
          <w:sz w:val="24"/>
          <w:szCs w:val="24"/>
        </w:rPr>
        <w:t xml:space="preserve"> </w:t>
      </w:r>
      <w:r w:rsidR="001F6C2A" w:rsidRPr="00986606">
        <w:rPr>
          <w:rFonts w:ascii="Times New Roman" w:hAnsi="Times New Roman"/>
          <w:sz w:val="24"/>
          <w:szCs w:val="24"/>
        </w:rPr>
        <w:t>in the very core</w:t>
      </w:r>
      <w:r w:rsidR="009A3DEA" w:rsidRPr="00986606">
        <w:rPr>
          <w:rFonts w:ascii="Times New Roman" w:hAnsi="Times New Roman"/>
          <w:sz w:val="24"/>
          <w:szCs w:val="24"/>
        </w:rPr>
        <w:t xml:space="preserve"> of the Art</w:t>
      </w:r>
      <w:r w:rsidR="00267391" w:rsidRPr="00986606">
        <w:rPr>
          <w:rFonts w:ascii="Times New Roman" w:hAnsi="Times New Roman"/>
          <w:sz w:val="24"/>
          <w:szCs w:val="24"/>
        </w:rPr>
        <w:t>icle</w:t>
      </w:r>
      <w:r w:rsidR="009A3DEA" w:rsidRPr="00986606">
        <w:rPr>
          <w:rFonts w:ascii="Times New Roman" w:hAnsi="Times New Roman"/>
          <w:sz w:val="24"/>
          <w:szCs w:val="24"/>
        </w:rPr>
        <w:t xml:space="preserve"> 8 privacy right itself</w:t>
      </w:r>
      <w:r w:rsidR="00267391" w:rsidRPr="00986606">
        <w:rPr>
          <w:rFonts w:ascii="Times New Roman" w:hAnsi="Times New Roman"/>
          <w:sz w:val="24"/>
          <w:szCs w:val="24"/>
        </w:rPr>
        <w:t>,</w:t>
      </w:r>
      <w:r w:rsidR="00A252B9" w:rsidRPr="00986606">
        <w:rPr>
          <w:rFonts w:ascii="Times New Roman" w:hAnsi="Times New Roman"/>
          <w:sz w:val="24"/>
          <w:szCs w:val="24"/>
        </w:rPr>
        <w:t xml:space="preserve"> which enabled them to justify c</w:t>
      </w:r>
      <w:r w:rsidR="009A3DEA" w:rsidRPr="00986606">
        <w:rPr>
          <w:rFonts w:ascii="Times New Roman" w:hAnsi="Times New Roman"/>
          <w:sz w:val="24"/>
          <w:szCs w:val="24"/>
        </w:rPr>
        <w:t xml:space="preserve">ontinuing the </w:t>
      </w:r>
      <w:r w:rsidR="009A3DEA" w:rsidRPr="00986606">
        <w:rPr>
          <w:rFonts w:ascii="Times New Roman" w:hAnsi="Times New Roman"/>
          <w:i/>
          <w:sz w:val="24"/>
          <w:szCs w:val="24"/>
        </w:rPr>
        <w:t>PJS</w:t>
      </w:r>
      <w:r w:rsidR="009A3DEA" w:rsidRPr="00986606">
        <w:rPr>
          <w:rFonts w:ascii="Times New Roman" w:hAnsi="Times New Roman"/>
          <w:sz w:val="24"/>
          <w:szCs w:val="24"/>
        </w:rPr>
        <w:t xml:space="preserve"> injunction despite widespread dissemination</w:t>
      </w:r>
      <w:r w:rsidR="001F6C2A" w:rsidRPr="00986606">
        <w:rPr>
          <w:rFonts w:ascii="Times New Roman" w:hAnsi="Times New Roman"/>
          <w:sz w:val="24"/>
          <w:szCs w:val="24"/>
        </w:rPr>
        <w:t xml:space="preserve">.  </w:t>
      </w:r>
      <w:r w:rsidR="00A252B9" w:rsidRPr="00986606">
        <w:rPr>
          <w:rFonts w:ascii="Times New Roman" w:hAnsi="Times New Roman"/>
          <w:sz w:val="24"/>
          <w:szCs w:val="24"/>
        </w:rPr>
        <w:t xml:space="preserve">Lords </w:t>
      </w:r>
      <w:proofErr w:type="spellStart"/>
      <w:r w:rsidR="00A252B9" w:rsidRPr="00986606">
        <w:rPr>
          <w:rFonts w:ascii="Times New Roman" w:hAnsi="Times New Roman"/>
          <w:sz w:val="24"/>
          <w:szCs w:val="24"/>
        </w:rPr>
        <w:t>Mance</w:t>
      </w:r>
      <w:proofErr w:type="spellEnd"/>
      <w:r w:rsidR="00A252B9" w:rsidRPr="00986606">
        <w:rPr>
          <w:rFonts w:ascii="Times New Roman" w:hAnsi="Times New Roman"/>
          <w:sz w:val="24"/>
          <w:szCs w:val="24"/>
        </w:rPr>
        <w:t xml:space="preserve"> and Neuberger </w:t>
      </w:r>
      <w:r w:rsidR="00342C52" w:rsidRPr="00986606">
        <w:rPr>
          <w:rFonts w:ascii="Times New Roman" w:hAnsi="Times New Roman"/>
          <w:sz w:val="24"/>
          <w:szCs w:val="24"/>
        </w:rPr>
        <w:t xml:space="preserve">drew </w:t>
      </w:r>
      <w:r w:rsidR="00A252B9" w:rsidRPr="00986606">
        <w:rPr>
          <w:rFonts w:ascii="Times New Roman" w:hAnsi="Times New Roman"/>
          <w:sz w:val="24"/>
          <w:szCs w:val="24"/>
        </w:rPr>
        <w:t xml:space="preserve">upon the comments of </w:t>
      </w:r>
      <w:r w:rsidRPr="00986606">
        <w:rPr>
          <w:rFonts w:ascii="Times New Roman" w:hAnsi="Times New Roman"/>
          <w:sz w:val="24"/>
          <w:szCs w:val="24"/>
        </w:rPr>
        <w:t xml:space="preserve">Tugendhat and </w:t>
      </w:r>
      <w:proofErr w:type="spellStart"/>
      <w:r w:rsidR="00A252B9" w:rsidRPr="00986606">
        <w:rPr>
          <w:rFonts w:ascii="Times New Roman" w:hAnsi="Times New Roman"/>
          <w:sz w:val="24"/>
          <w:szCs w:val="24"/>
        </w:rPr>
        <w:t>Eady</w:t>
      </w:r>
      <w:proofErr w:type="spellEnd"/>
      <w:r w:rsidR="00A252B9" w:rsidRPr="00986606">
        <w:rPr>
          <w:rFonts w:ascii="Times New Roman" w:hAnsi="Times New Roman"/>
          <w:sz w:val="24"/>
          <w:szCs w:val="24"/>
        </w:rPr>
        <w:t xml:space="preserve"> </w:t>
      </w:r>
      <w:proofErr w:type="spellStart"/>
      <w:r w:rsidR="00A252B9" w:rsidRPr="00986606">
        <w:rPr>
          <w:rFonts w:ascii="Times New Roman" w:hAnsi="Times New Roman"/>
          <w:sz w:val="24"/>
          <w:szCs w:val="24"/>
        </w:rPr>
        <w:t>J</w:t>
      </w:r>
      <w:r w:rsidRPr="00986606">
        <w:rPr>
          <w:rFonts w:ascii="Times New Roman" w:hAnsi="Times New Roman"/>
          <w:sz w:val="24"/>
          <w:szCs w:val="24"/>
        </w:rPr>
        <w:t>s</w:t>
      </w:r>
      <w:proofErr w:type="spellEnd"/>
      <w:r w:rsidR="00A252B9" w:rsidRPr="00986606">
        <w:rPr>
          <w:rFonts w:ascii="Times New Roman" w:hAnsi="Times New Roman"/>
          <w:sz w:val="24"/>
          <w:szCs w:val="24"/>
        </w:rPr>
        <w:t xml:space="preserve"> in </w:t>
      </w:r>
      <w:proofErr w:type="spellStart"/>
      <w:r w:rsidR="00A252B9" w:rsidRPr="00986606">
        <w:rPr>
          <w:rFonts w:ascii="Times New Roman" w:hAnsi="Times New Roman"/>
          <w:i/>
          <w:sz w:val="24"/>
          <w:szCs w:val="24"/>
        </w:rPr>
        <w:t>Giggs</w:t>
      </w:r>
      <w:proofErr w:type="spellEnd"/>
      <w:r w:rsidR="00A252B9" w:rsidRPr="00986606">
        <w:rPr>
          <w:rFonts w:ascii="Times New Roman" w:hAnsi="Times New Roman"/>
          <w:sz w:val="24"/>
          <w:szCs w:val="24"/>
          <w:vertAlign w:val="superscript"/>
        </w:rPr>
        <w:footnoteReference w:id="132"/>
      </w:r>
      <w:r w:rsidR="00A252B9" w:rsidRPr="00986606">
        <w:rPr>
          <w:rFonts w:ascii="Times New Roman" w:hAnsi="Times New Roman"/>
          <w:sz w:val="24"/>
          <w:szCs w:val="24"/>
        </w:rPr>
        <w:t xml:space="preserve"> </w:t>
      </w:r>
      <w:r w:rsidR="00342C52" w:rsidRPr="00986606">
        <w:rPr>
          <w:rFonts w:ascii="Times New Roman" w:hAnsi="Times New Roman"/>
          <w:sz w:val="24"/>
          <w:szCs w:val="24"/>
        </w:rPr>
        <w:t>and m</w:t>
      </w:r>
      <w:r w:rsidR="00A252B9" w:rsidRPr="00986606">
        <w:rPr>
          <w:rFonts w:ascii="Times New Roman" w:hAnsi="Times New Roman"/>
          <w:sz w:val="24"/>
          <w:szCs w:val="24"/>
        </w:rPr>
        <w:t>a</w:t>
      </w:r>
      <w:r w:rsidRPr="00986606">
        <w:rPr>
          <w:rFonts w:ascii="Times New Roman" w:hAnsi="Times New Roman"/>
          <w:sz w:val="24"/>
          <w:szCs w:val="24"/>
        </w:rPr>
        <w:t xml:space="preserve">intained a distinction between </w:t>
      </w:r>
      <w:r w:rsidR="00A252B9" w:rsidRPr="00986606">
        <w:rPr>
          <w:rFonts w:ascii="Times New Roman" w:hAnsi="Times New Roman"/>
          <w:sz w:val="24"/>
          <w:szCs w:val="24"/>
        </w:rPr>
        <w:t xml:space="preserve">two core </w:t>
      </w:r>
      <w:r w:rsidRPr="00986606">
        <w:rPr>
          <w:rFonts w:ascii="Times New Roman" w:hAnsi="Times New Roman"/>
          <w:sz w:val="24"/>
          <w:szCs w:val="24"/>
        </w:rPr>
        <w:t>components</w:t>
      </w:r>
      <w:r w:rsidR="00A252B9" w:rsidRPr="00986606">
        <w:rPr>
          <w:rFonts w:ascii="Times New Roman" w:hAnsi="Times New Roman"/>
          <w:sz w:val="24"/>
          <w:szCs w:val="24"/>
        </w:rPr>
        <w:t xml:space="preserve"> of Article 8: confidentiality and intrusion.</w:t>
      </w:r>
      <w:r w:rsidR="00A252B9" w:rsidRPr="00986606">
        <w:rPr>
          <w:rFonts w:ascii="Times New Roman" w:hAnsi="Times New Roman"/>
          <w:sz w:val="24"/>
          <w:szCs w:val="24"/>
          <w:vertAlign w:val="superscript"/>
        </w:rPr>
        <w:footnoteReference w:id="133"/>
      </w:r>
    </w:p>
    <w:p w:rsidR="00A252B9" w:rsidRPr="00986606" w:rsidRDefault="00A252B9" w:rsidP="00A252B9">
      <w:pPr>
        <w:spacing w:after="0" w:line="240" w:lineRule="auto"/>
        <w:jc w:val="both"/>
        <w:rPr>
          <w:rFonts w:ascii="Times New Roman" w:hAnsi="Times New Roman"/>
          <w:sz w:val="24"/>
          <w:szCs w:val="24"/>
        </w:rPr>
      </w:pPr>
    </w:p>
    <w:p w:rsidR="00A252B9" w:rsidRPr="00986606" w:rsidRDefault="00A252B9" w:rsidP="00A252B9">
      <w:pPr>
        <w:spacing w:after="0" w:line="240" w:lineRule="auto"/>
        <w:jc w:val="both"/>
        <w:rPr>
          <w:rFonts w:ascii="Times New Roman" w:hAnsi="Times New Roman"/>
          <w:sz w:val="24"/>
          <w:szCs w:val="24"/>
        </w:rPr>
      </w:pPr>
      <w:r w:rsidRPr="00986606">
        <w:rPr>
          <w:rFonts w:ascii="Times New Roman" w:hAnsi="Times New Roman"/>
          <w:sz w:val="24"/>
          <w:szCs w:val="24"/>
        </w:rPr>
        <w:t>The first confidentiality aspect</w:t>
      </w:r>
      <w:r w:rsidR="00935A51" w:rsidRPr="00986606">
        <w:rPr>
          <w:rFonts w:ascii="Times New Roman" w:hAnsi="Times New Roman"/>
          <w:sz w:val="24"/>
          <w:szCs w:val="24"/>
        </w:rPr>
        <w:t xml:space="preserve"> of privacy entails maintaining a secret</w:t>
      </w:r>
      <w:r w:rsidRPr="00986606">
        <w:rPr>
          <w:rFonts w:ascii="Times New Roman" w:hAnsi="Times New Roman"/>
          <w:sz w:val="24"/>
          <w:szCs w:val="24"/>
        </w:rPr>
        <w:t>, seeking to protect against ‘unwanted access to private information’,</w:t>
      </w:r>
      <w:r w:rsidRPr="00986606">
        <w:rPr>
          <w:rFonts w:ascii="Times New Roman" w:hAnsi="Times New Roman"/>
          <w:sz w:val="24"/>
          <w:szCs w:val="24"/>
          <w:vertAlign w:val="superscript"/>
        </w:rPr>
        <w:footnoteReference w:id="134"/>
      </w:r>
      <w:r w:rsidRPr="00986606">
        <w:rPr>
          <w:rFonts w:ascii="Times New Roman" w:hAnsi="Times New Roman"/>
          <w:sz w:val="24"/>
          <w:szCs w:val="24"/>
        </w:rPr>
        <w:t xml:space="preserve"> and this is arguably associated with MPI’s breach of confidence origins.</w:t>
      </w:r>
      <w:r w:rsidR="00BF04D5" w:rsidRPr="00986606">
        <w:rPr>
          <w:rFonts w:ascii="Times New Roman" w:hAnsi="Times New Roman"/>
          <w:sz w:val="24"/>
          <w:szCs w:val="24"/>
        </w:rPr>
        <w:t xml:space="preserve">  Lord Neuberger conceded</w:t>
      </w:r>
      <w:r w:rsidRPr="00986606">
        <w:rPr>
          <w:rFonts w:ascii="Times New Roman" w:hAnsi="Times New Roman"/>
          <w:sz w:val="24"/>
          <w:szCs w:val="24"/>
        </w:rPr>
        <w:t xml:space="preserve"> that due to widespread dissemination, this first aspect of the claim</w:t>
      </w:r>
      <w:r w:rsidR="00BF04D5" w:rsidRPr="00986606">
        <w:rPr>
          <w:rFonts w:ascii="Times New Roman" w:hAnsi="Times New Roman"/>
          <w:sz w:val="24"/>
          <w:szCs w:val="24"/>
        </w:rPr>
        <w:t>ant’s case was</w:t>
      </w:r>
      <w:r w:rsidRPr="00986606">
        <w:rPr>
          <w:rFonts w:ascii="Times New Roman" w:hAnsi="Times New Roman"/>
          <w:sz w:val="24"/>
          <w:szCs w:val="24"/>
        </w:rPr>
        <w:t xml:space="preserve"> weak, thoug</w:t>
      </w:r>
      <w:r w:rsidR="00BF04D5" w:rsidRPr="00986606">
        <w:rPr>
          <w:rFonts w:ascii="Times New Roman" w:hAnsi="Times New Roman"/>
          <w:sz w:val="24"/>
          <w:szCs w:val="24"/>
        </w:rPr>
        <w:t>h (interestingly) not futile</w:t>
      </w:r>
      <w:r w:rsidRPr="00986606">
        <w:rPr>
          <w:rFonts w:ascii="Times New Roman" w:hAnsi="Times New Roman"/>
          <w:sz w:val="24"/>
          <w:szCs w:val="24"/>
        </w:rPr>
        <w:t xml:space="preserve">: </w:t>
      </w:r>
    </w:p>
    <w:p w:rsidR="00A252B9" w:rsidRPr="00986606" w:rsidRDefault="00A252B9" w:rsidP="00A252B9">
      <w:pPr>
        <w:spacing w:after="0" w:line="240" w:lineRule="auto"/>
        <w:jc w:val="both"/>
        <w:rPr>
          <w:rFonts w:ascii="Times New Roman" w:hAnsi="Times New Roman"/>
          <w:sz w:val="24"/>
          <w:szCs w:val="24"/>
        </w:rPr>
      </w:pPr>
    </w:p>
    <w:p w:rsidR="00A252B9" w:rsidRPr="00986606" w:rsidRDefault="00A252B9" w:rsidP="0077166C">
      <w:pPr>
        <w:spacing w:after="0" w:line="240" w:lineRule="auto"/>
        <w:ind w:left="851" w:right="851"/>
        <w:jc w:val="both"/>
        <w:rPr>
          <w:rFonts w:ascii="Times New Roman" w:hAnsi="Times New Roman"/>
          <w:sz w:val="24"/>
          <w:szCs w:val="24"/>
        </w:rPr>
      </w:pPr>
      <w:r w:rsidRPr="00986606">
        <w:rPr>
          <w:rFonts w:ascii="Times New Roman" w:hAnsi="Times New Roman"/>
          <w:sz w:val="24"/>
          <w:szCs w:val="24"/>
        </w:rPr>
        <w:t>‘</w:t>
      </w:r>
      <w:r w:rsidRPr="00986606">
        <w:rPr>
          <w:rFonts w:ascii="Times New Roman" w:hAnsi="Times New Roman"/>
          <w:b/>
          <w:i/>
          <w:sz w:val="24"/>
          <w:szCs w:val="24"/>
        </w:rPr>
        <w:t>If</w:t>
      </w:r>
      <w:r w:rsidRPr="00986606">
        <w:rPr>
          <w:rFonts w:ascii="Times New Roman" w:hAnsi="Times New Roman"/>
          <w:i/>
          <w:sz w:val="24"/>
          <w:szCs w:val="24"/>
        </w:rPr>
        <w:t xml:space="preserve"> PJS’s case was simply based on confidentiality (or secrecy), then, while I would not characterise his claim for a permanent injunction as hopeless, it would have substantial difficulties</w:t>
      </w:r>
      <w:r w:rsidRPr="00986606">
        <w:rPr>
          <w:rFonts w:ascii="Times New Roman" w:hAnsi="Times New Roman"/>
          <w:sz w:val="24"/>
          <w:szCs w:val="24"/>
        </w:rPr>
        <w:t>.’</w:t>
      </w:r>
      <w:r w:rsidRPr="00986606">
        <w:rPr>
          <w:rFonts w:ascii="Times New Roman" w:hAnsi="Times New Roman"/>
          <w:sz w:val="24"/>
          <w:szCs w:val="24"/>
          <w:vertAlign w:val="superscript"/>
        </w:rPr>
        <w:footnoteReference w:id="135"/>
      </w:r>
      <w:r w:rsidRPr="00986606">
        <w:rPr>
          <w:rFonts w:ascii="Times New Roman" w:hAnsi="Times New Roman"/>
          <w:sz w:val="24"/>
          <w:szCs w:val="24"/>
        </w:rPr>
        <w:t xml:space="preserve"> </w:t>
      </w:r>
    </w:p>
    <w:p w:rsidR="00A252B9" w:rsidRPr="00986606" w:rsidRDefault="00A252B9" w:rsidP="00A252B9">
      <w:pPr>
        <w:spacing w:after="0" w:line="240" w:lineRule="auto"/>
        <w:jc w:val="both"/>
        <w:rPr>
          <w:rFonts w:ascii="Times New Roman" w:hAnsi="Times New Roman"/>
          <w:sz w:val="24"/>
          <w:szCs w:val="24"/>
        </w:rPr>
      </w:pPr>
    </w:p>
    <w:p w:rsidR="006F1B81" w:rsidRPr="00986606" w:rsidRDefault="00A252B9" w:rsidP="00A252B9">
      <w:pPr>
        <w:spacing w:after="0" w:line="240" w:lineRule="auto"/>
        <w:jc w:val="both"/>
        <w:rPr>
          <w:rFonts w:ascii="Times New Roman" w:hAnsi="Times New Roman"/>
          <w:sz w:val="24"/>
          <w:szCs w:val="24"/>
        </w:rPr>
      </w:pPr>
      <w:r w:rsidRPr="00986606">
        <w:rPr>
          <w:rFonts w:ascii="Times New Roman" w:hAnsi="Times New Roman"/>
          <w:sz w:val="24"/>
          <w:szCs w:val="24"/>
        </w:rPr>
        <w:t>A second com</w:t>
      </w:r>
      <w:r w:rsidR="00BF04D5" w:rsidRPr="00986606">
        <w:rPr>
          <w:rFonts w:ascii="Times New Roman" w:hAnsi="Times New Roman"/>
          <w:sz w:val="24"/>
          <w:szCs w:val="24"/>
        </w:rPr>
        <w:t>ponent of privacy, intrusion, was</w:t>
      </w:r>
      <w:r w:rsidRPr="00986606">
        <w:rPr>
          <w:rFonts w:ascii="Times New Roman" w:hAnsi="Times New Roman"/>
          <w:sz w:val="24"/>
          <w:szCs w:val="24"/>
        </w:rPr>
        <w:t xml:space="preserve"> distinguished from confidentiality.  This entails ‘</w:t>
      </w:r>
      <w:r w:rsidRPr="00986606">
        <w:rPr>
          <w:rFonts w:ascii="Times New Roman" w:hAnsi="Times New Roman"/>
          <w:i/>
          <w:sz w:val="24"/>
          <w:szCs w:val="24"/>
        </w:rPr>
        <w:t>unwanted access to [or intrusion into] one’s … personal space</w:t>
      </w:r>
      <w:r w:rsidRPr="00986606">
        <w:rPr>
          <w:rFonts w:ascii="Times New Roman" w:hAnsi="Times New Roman"/>
          <w:sz w:val="24"/>
          <w:szCs w:val="24"/>
        </w:rPr>
        <w:t>’,</w:t>
      </w:r>
      <w:r w:rsidRPr="00986606">
        <w:rPr>
          <w:rFonts w:ascii="Times New Roman" w:hAnsi="Times New Roman"/>
          <w:sz w:val="24"/>
          <w:szCs w:val="24"/>
          <w:vertAlign w:val="superscript"/>
        </w:rPr>
        <w:footnoteReference w:id="136"/>
      </w:r>
      <w:r w:rsidRPr="00986606">
        <w:rPr>
          <w:rFonts w:ascii="Times New Roman" w:hAnsi="Times New Roman"/>
          <w:sz w:val="24"/>
          <w:szCs w:val="24"/>
        </w:rPr>
        <w:t xml:space="preserve"> and is also the concern of privacy.</w:t>
      </w:r>
      <w:r w:rsidRPr="00986606">
        <w:rPr>
          <w:rFonts w:ascii="Times New Roman" w:hAnsi="Times New Roman"/>
          <w:sz w:val="24"/>
          <w:szCs w:val="24"/>
          <w:vertAlign w:val="superscript"/>
        </w:rPr>
        <w:footnoteReference w:id="137"/>
      </w:r>
      <w:r w:rsidR="003810EB" w:rsidRPr="00986606">
        <w:rPr>
          <w:rFonts w:ascii="Times New Roman" w:hAnsi="Times New Roman"/>
          <w:sz w:val="24"/>
          <w:szCs w:val="24"/>
        </w:rPr>
        <w:t xml:space="preserve">  </w:t>
      </w:r>
      <w:r w:rsidRPr="00986606">
        <w:rPr>
          <w:rFonts w:ascii="Times New Roman" w:hAnsi="Times New Roman"/>
          <w:sz w:val="24"/>
          <w:szCs w:val="24"/>
        </w:rPr>
        <w:t>This element</w:t>
      </w:r>
      <w:r w:rsidR="00BF04D5" w:rsidRPr="00986606">
        <w:rPr>
          <w:rFonts w:ascii="Times New Roman" w:hAnsi="Times New Roman"/>
          <w:sz w:val="24"/>
          <w:szCs w:val="24"/>
        </w:rPr>
        <w:t xml:space="preserve"> was said to be</w:t>
      </w:r>
      <w:r w:rsidRPr="00986606">
        <w:rPr>
          <w:rFonts w:ascii="Times New Roman" w:hAnsi="Times New Roman"/>
          <w:sz w:val="24"/>
          <w:szCs w:val="24"/>
        </w:rPr>
        <w:t xml:space="preserve"> concerned</w:t>
      </w:r>
      <w:r w:rsidR="00BF04D5" w:rsidRPr="00986606">
        <w:rPr>
          <w:rFonts w:ascii="Times New Roman" w:hAnsi="Times New Roman"/>
          <w:sz w:val="24"/>
          <w:szCs w:val="24"/>
        </w:rPr>
        <w:t xml:space="preserve"> with</w:t>
      </w:r>
      <w:r w:rsidRPr="00986606">
        <w:rPr>
          <w:rFonts w:ascii="Times New Roman" w:hAnsi="Times New Roman"/>
          <w:sz w:val="24"/>
          <w:szCs w:val="24"/>
        </w:rPr>
        <w:t xml:space="preserve"> prevent</w:t>
      </w:r>
      <w:r w:rsidR="00BF04D5" w:rsidRPr="00986606">
        <w:rPr>
          <w:rFonts w:ascii="Times New Roman" w:hAnsi="Times New Roman"/>
          <w:sz w:val="24"/>
          <w:szCs w:val="24"/>
        </w:rPr>
        <w:t>ing</w:t>
      </w:r>
      <w:r w:rsidRPr="00986606">
        <w:rPr>
          <w:rFonts w:ascii="Times New Roman" w:hAnsi="Times New Roman"/>
          <w:sz w:val="24"/>
          <w:szCs w:val="24"/>
        </w:rPr>
        <w:t xml:space="preserve"> ‘invasivene</w:t>
      </w:r>
      <w:r w:rsidR="003A348A" w:rsidRPr="00986606">
        <w:rPr>
          <w:rFonts w:ascii="Times New Roman" w:hAnsi="Times New Roman"/>
          <w:sz w:val="24"/>
          <w:szCs w:val="24"/>
        </w:rPr>
        <w:t>ss and distress’ to individuals.</w:t>
      </w:r>
      <w:r w:rsidRPr="00986606">
        <w:rPr>
          <w:rFonts w:ascii="Times New Roman" w:hAnsi="Times New Roman"/>
          <w:sz w:val="24"/>
          <w:szCs w:val="24"/>
          <w:vertAlign w:val="superscript"/>
        </w:rPr>
        <w:footnoteReference w:id="138"/>
      </w:r>
      <w:r w:rsidRPr="00986606">
        <w:rPr>
          <w:rFonts w:ascii="Times New Roman" w:hAnsi="Times New Roman"/>
          <w:sz w:val="24"/>
          <w:szCs w:val="24"/>
        </w:rPr>
        <w:t xml:space="preserve"> </w:t>
      </w:r>
      <w:r w:rsidR="003A348A" w:rsidRPr="00986606">
        <w:rPr>
          <w:rFonts w:ascii="Times New Roman" w:hAnsi="Times New Roman"/>
          <w:sz w:val="24"/>
          <w:szCs w:val="24"/>
        </w:rPr>
        <w:t xml:space="preserve"> T</w:t>
      </w:r>
      <w:r w:rsidRPr="00986606">
        <w:rPr>
          <w:rFonts w:ascii="Times New Roman" w:hAnsi="Times New Roman"/>
          <w:sz w:val="24"/>
          <w:szCs w:val="24"/>
        </w:rPr>
        <w:t>hough</w:t>
      </w:r>
      <w:r w:rsidR="00B26AD4" w:rsidRPr="00986606">
        <w:rPr>
          <w:rFonts w:ascii="Times New Roman" w:hAnsi="Times New Roman"/>
          <w:sz w:val="24"/>
          <w:szCs w:val="24"/>
        </w:rPr>
        <w:t xml:space="preserve"> the Supreme Court judgment did</w:t>
      </w:r>
      <w:r w:rsidRPr="00986606">
        <w:rPr>
          <w:rFonts w:ascii="Times New Roman" w:hAnsi="Times New Roman"/>
          <w:sz w:val="24"/>
          <w:szCs w:val="24"/>
        </w:rPr>
        <w:t xml:space="preserve"> not e</w:t>
      </w:r>
      <w:r w:rsidR="003810EB" w:rsidRPr="00986606">
        <w:rPr>
          <w:rFonts w:ascii="Times New Roman" w:hAnsi="Times New Roman"/>
          <w:sz w:val="24"/>
          <w:szCs w:val="24"/>
        </w:rPr>
        <w:t>laborate</w:t>
      </w:r>
      <w:r w:rsidR="00832DC9" w:rsidRPr="00986606">
        <w:rPr>
          <w:rFonts w:ascii="Times New Roman" w:hAnsi="Times New Roman"/>
          <w:sz w:val="24"/>
          <w:szCs w:val="24"/>
        </w:rPr>
        <w:t xml:space="preserve"> upon this furt</w:t>
      </w:r>
      <w:r w:rsidR="00CB2266" w:rsidRPr="00986606">
        <w:rPr>
          <w:rFonts w:ascii="Times New Roman" w:hAnsi="Times New Roman"/>
          <w:sz w:val="24"/>
          <w:szCs w:val="24"/>
        </w:rPr>
        <w:t>her</w:t>
      </w:r>
      <w:r w:rsidR="003A348A" w:rsidRPr="00986606">
        <w:rPr>
          <w:rFonts w:ascii="Times New Roman" w:hAnsi="Times New Roman"/>
          <w:sz w:val="24"/>
          <w:szCs w:val="24"/>
        </w:rPr>
        <w:t xml:space="preserve">, it indirectly referenced passages of leading text </w:t>
      </w:r>
      <w:r w:rsidR="003A348A" w:rsidRPr="00986606">
        <w:rPr>
          <w:rFonts w:ascii="Times New Roman" w:hAnsi="Times New Roman"/>
          <w:i/>
          <w:sz w:val="24"/>
          <w:szCs w:val="24"/>
        </w:rPr>
        <w:t>Tugendhat &amp; Christie</w:t>
      </w:r>
      <w:r w:rsidR="003A348A" w:rsidRPr="00986606">
        <w:rPr>
          <w:rFonts w:ascii="Times New Roman" w:hAnsi="Times New Roman"/>
          <w:sz w:val="24"/>
          <w:szCs w:val="24"/>
        </w:rPr>
        <w:t xml:space="preserve"> that indicate this second aspect of Article 8 is concerned with physical privacy.  </w:t>
      </w:r>
      <w:r w:rsidR="003A348A" w:rsidRPr="00986606">
        <w:rPr>
          <w:rFonts w:ascii="Times New Roman" w:hAnsi="Times New Roman"/>
          <w:i/>
          <w:sz w:val="24"/>
          <w:szCs w:val="24"/>
        </w:rPr>
        <w:t xml:space="preserve">Tugendhat &amp; </w:t>
      </w:r>
      <w:r w:rsidR="003A348A" w:rsidRPr="00986606">
        <w:rPr>
          <w:rFonts w:ascii="Times New Roman" w:hAnsi="Times New Roman"/>
          <w:i/>
          <w:sz w:val="24"/>
          <w:szCs w:val="24"/>
        </w:rPr>
        <w:lastRenderedPageBreak/>
        <w:t>Christie</w:t>
      </w:r>
      <w:r w:rsidR="003A348A" w:rsidRPr="00986606">
        <w:rPr>
          <w:rFonts w:ascii="Times New Roman" w:hAnsi="Times New Roman"/>
          <w:sz w:val="24"/>
          <w:szCs w:val="24"/>
        </w:rPr>
        <w:t xml:space="preserve"> list</w:t>
      </w:r>
      <w:r w:rsidR="00E456BA" w:rsidRPr="00986606">
        <w:rPr>
          <w:rFonts w:ascii="Times New Roman" w:hAnsi="Times New Roman"/>
          <w:sz w:val="24"/>
          <w:szCs w:val="24"/>
        </w:rPr>
        <w:t>s</w:t>
      </w:r>
      <w:r w:rsidR="003A348A" w:rsidRPr="00986606">
        <w:rPr>
          <w:rFonts w:ascii="Times New Roman" w:hAnsi="Times New Roman"/>
          <w:sz w:val="24"/>
          <w:szCs w:val="24"/>
        </w:rPr>
        <w:t xml:space="preserve"> various activities that</w:t>
      </w:r>
      <w:r w:rsidR="00BF7039" w:rsidRPr="00986606">
        <w:rPr>
          <w:rFonts w:ascii="Times New Roman" w:hAnsi="Times New Roman"/>
          <w:sz w:val="24"/>
          <w:szCs w:val="24"/>
        </w:rPr>
        <w:t xml:space="preserve"> violate physical privacy</w:t>
      </w:r>
      <w:r w:rsidR="003A348A" w:rsidRPr="00986606">
        <w:rPr>
          <w:rFonts w:ascii="Times New Roman" w:hAnsi="Times New Roman"/>
          <w:sz w:val="24"/>
          <w:szCs w:val="24"/>
        </w:rPr>
        <w:t>, including: telephoto lens photography; filming someone against their wishes; following a person or pursing them for an interview.</w:t>
      </w:r>
      <w:r w:rsidR="003A348A" w:rsidRPr="00986606">
        <w:rPr>
          <w:rStyle w:val="FootnoteReference"/>
          <w:rFonts w:ascii="Times New Roman" w:hAnsi="Times New Roman"/>
          <w:sz w:val="24"/>
          <w:szCs w:val="24"/>
        </w:rPr>
        <w:footnoteReference w:id="139"/>
      </w:r>
      <w:r w:rsidR="00612D8F" w:rsidRPr="00986606">
        <w:rPr>
          <w:rFonts w:ascii="Times New Roman" w:hAnsi="Times New Roman"/>
          <w:sz w:val="24"/>
          <w:szCs w:val="24"/>
        </w:rPr>
        <w:t xml:space="preserve">  The</w:t>
      </w:r>
      <w:r w:rsidR="00E456BA" w:rsidRPr="00986606">
        <w:rPr>
          <w:rFonts w:ascii="Times New Roman" w:hAnsi="Times New Roman"/>
          <w:sz w:val="24"/>
          <w:szCs w:val="24"/>
        </w:rPr>
        <w:t xml:space="preserve"> passage thus directly covers press h</w:t>
      </w:r>
      <w:r w:rsidR="00612D8F" w:rsidRPr="00986606">
        <w:rPr>
          <w:rFonts w:ascii="Times New Roman" w:hAnsi="Times New Roman"/>
          <w:sz w:val="24"/>
          <w:szCs w:val="24"/>
        </w:rPr>
        <w:t>ounding and paparazzi activity, yet this physi</w:t>
      </w:r>
      <w:r w:rsidR="00567163" w:rsidRPr="00986606">
        <w:rPr>
          <w:rFonts w:ascii="Times New Roman" w:hAnsi="Times New Roman"/>
          <w:sz w:val="24"/>
          <w:szCs w:val="24"/>
        </w:rPr>
        <w:t>cal understanding of intrusion wa</w:t>
      </w:r>
      <w:r w:rsidR="00612D8F" w:rsidRPr="00986606">
        <w:rPr>
          <w:rFonts w:ascii="Times New Roman" w:hAnsi="Times New Roman"/>
          <w:sz w:val="24"/>
          <w:szCs w:val="24"/>
        </w:rPr>
        <w:t>s merely afforded fleeting mention by the Law Lords,</w:t>
      </w:r>
      <w:r w:rsidR="004E3105" w:rsidRPr="00986606">
        <w:rPr>
          <w:rStyle w:val="FootnoteReference"/>
          <w:rFonts w:ascii="Times New Roman" w:hAnsi="Times New Roman"/>
          <w:sz w:val="24"/>
          <w:szCs w:val="24"/>
        </w:rPr>
        <w:footnoteReference w:id="140"/>
      </w:r>
      <w:r w:rsidR="00612D8F" w:rsidRPr="00986606">
        <w:rPr>
          <w:rFonts w:ascii="Times New Roman" w:hAnsi="Times New Roman"/>
          <w:sz w:val="24"/>
          <w:szCs w:val="24"/>
        </w:rPr>
        <w:t xml:space="preserve"> only becoming </w:t>
      </w:r>
      <w:r w:rsidR="005F241D" w:rsidRPr="00986606">
        <w:rPr>
          <w:rFonts w:ascii="Times New Roman" w:hAnsi="Times New Roman"/>
          <w:sz w:val="24"/>
          <w:szCs w:val="24"/>
        </w:rPr>
        <w:t xml:space="preserve">apparent </w:t>
      </w:r>
      <w:r w:rsidR="00612D8F" w:rsidRPr="00986606">
        <w:rPr>
          <w:rFonts w:ascii="Times New Roman" w:hAnsi="Times New Roman"/>
          <w:sz w:val="24"/>
          <w:szCs w:val="24"/>
        </w:rPr>
        <w:t>as a background influ</w:t>
      </w:r>
      <w:r w:rsidR="00604A7B" w:rsidRPr="00986606">
        <w:rPr>
          <w:rFonts w:ascii="Times New Roman" w:hAnsi="Times New Roman"/>
          <w:sz w:val="24"/>
          <w:szCs w:val="24"/>
        </w:rPr>
        <w:t xml:space="preserve">ence upon further examination.  </w:t>
      </w:r>
      <w:r w:rsidR="005F241D" w:rsidRPr="00986606">
        <w:rPr>
          <w:rFonts w:ascii="Times New Roman" w:hAnsi="Times New Roman"/>
          <w:sz w:val="24"/>
          <w:szCs w:val="24"/>
        </w:rPr>
        <w:t>In any event t</w:t>
      </w:r>
      <w:r w:rsidR="00E456BA" w:rsidRPr="00986606">
        <w:rPr>
          <w:rFonts w:ascii="Times New Roman" w:hAnsi="Times New Roman"/>
          <w:sz w:val="24"/>
          <w:szCs w:val="24"/>
        </w:rPr>
        <w:t xml:space="preserve">he </w:t>
      </w:r>
      <w:r w:rsidR="00A348E8" w:rsidRPr="00986606">
        <w:rPr>
          <w:rFonts w:ascii="Times New Roman" w:hAnsi="Times New Roman"/>
          <w:sz w:val="24"/>
          <w:szCs w:val="24"/>
        </w:rPr>
        <w:t xml:space="preserve">Law Lords’ </w:t>
      </w:r>
      <w:r w:rsidR="004474B9" w:rsidRPr="00986606">
        <w:rPr>
          <w:rFonts w:ascii="Times New Roman" w:hAnsi="Times New Roman"/>
          <w:sz w:val="24"/>
          <w:szCs w:val="24"/>
        </w:rPr>
        <w:t>treatment of ‘intrusion’ was</w:t>
      </w:r>
      <w:r w:rsidR="00E456BA" w:rsidRPr="00986606">
        <w:rPr>
          <w:rFonts w:ascii="Times New Roman" w:hAnsi="Times New Roman"/>
          <w:sz w:val="24"/>
          <w:szCs w:val="24"/>
        </w:rPr>
        <w:t xml:space="preserve"> ambiguous because</w:t>
      </w:r>
      <w:r w:rsidR="00BF7039" w:rsidRPr="00986606">
        <w:rPr>
          <w:rFonts w:ascii="Times New Roman" w:hAnsi="Times New Roman"/>
          <w:sz w:val="24"/>
          <w:szCs w:val="24"/>
        </w:rPr>
        <w:t xml:space="preserve"> there </w:t>
      </w:r>
      <w:r w:rsidR="00A348E8" w:rsidRPr="00986606">
        <w:rPr>
          <w:rFonts w:ascii="Times New Roman" w:hAnsi="Times New Roman"/>
          <w:sz w:val="24"/>
          <w:szCs w:val="24"/>
        </w:rPr>
        <w:t>seemed to be</w:t>
      </w:r>
      <w:r w:rsidR="00A26595" w:rsidRPr="00986606">
        <w:rPr>
          <w:rFonts w:ascii="Times New Roman" w:hAnsi="Times New Roman"/>
          <w:sz w:val="24"/>
          <w:szCs w:val="24"/>
        </w:rPr>
        <w:t xml:space="preserve"> </w:t>
      </w:r>
      <w:r w:rsidR="005F241D" w:rsidRPr="00986606">
        <w:rPr>
          <w:rFonts w:ascii="Times New Roman" w:hAnsi="Times New Roman"/>
          <w:sz w:val="24"/>
          <w:szCs w:val="24"/>
        </w:rPr>
        <w:t xml:space="preserve">a second </w:t>
      </w:r>
      <w:r w:rsidR="00604A7B" w:rsidRPr="00986606">
        <w:rPr>
          <w:rFonts w:ascii="Times New Roman" w:hAnsi="Times New Roman"/>
          <w:sz w:val="24"/>
          <w:szCs w:val="24"/>
        </w:rPr>
        <w:t>understanding</w:t>
      </w:r>
      <w:r w:rsidR="00A26595" w:rsidRPr="00986606">
        <w:rPr>
          <w:rFonts w:ascii="Times New Roman" w:hAnsi="Times New Roman"/>
          <w:sz w:val="24"/>
          <w:szCs w:val="24"/>
        </w:rPr>
        <w:t xml:space="preserve"> of ‘intrusion’</w:t>
      </w:r>
      <w:r w:rsidR="005F241D" w:rsidRPr="00986606">
        <w:rPr>
          <w:rFonts w:ascii="Times New Roman" w:hAnsi="Times New Roman"/>
          <w:sz w:val="24"/>
          <w:szCs w:val="24"/>
        </w:rPr>
        <w:t xml:space="preserve"> at play;</w:t>
      </w:r>
      <w:r w:rsidR="006F1B81" w:rsidRPr="00986606">
        <w:rPr>
          <w:rFonts w:ascii="Times New Roman" w:hAnsi="Times New Roman"/>
          <w:sz w:val="24"/>
          <w:szCs w:val="24"/>
        </w:rPr>
        <w:t xml:space="preserve"> new </w:t>
      </w:r>
      <w:r w:rsidR="00604A7B" w:rsidRPr="00986606">
        <w:rPr>
          <w:rFonts w:ascii="Times New Roman" w:hAnsi="Times New Roman"/>
          <w:sz w:val="24"/>
          <w:szCs w:val="24"/>
        </w:rPr>
        <w:t xml:space="preserve">individual </w:t>
      </w:r>
      <w:r w:rsidR="004474B9" w:rsidRPr="00986606">
        <w:rPr>
          <w:rFonts w:ascii="Times New Roman" w:hAnsi="Times New Roman"/>
          <w:sz w:val="24"/>
          <w:szCs w:val="24"/>
        </w:rPr>
        <w:t>intrusions would</w:t>
      </w:r>
      <w:r w:rsidR="006F1B81" w:rsidRPr="00986606">
        <w:rPr>
          <w:rFonts w:ascii="Times New Roman" w:hAnsi="Times New Roman"/>
          <w:sz w:val="24"/>
          <w:szCs w:val="24"/>
        </w:rPr>
        <w:t xml:space="preserve"> result from</w:t>
      </w:r>
      <w:r w:rsidRPr="00986606">
        <w:rPr>
          <w:rFonts w:ascii="Times New Roman" w:hAnsi="Times New Roman"/>
          <w:sz w:val="24"/>
          <w:szCs w:val="24"/>
        </w:rPr>
        <w:t xml:space="preserve"> additional repetition of personal informa</w:t>
      </w:r>
      <w:r w:rsidR="00454491" w:rsidRPr="00986606">
        <w:rPr>
          <w:rFonts w:ascii="Times New Roman" w:hAnsi="Times New Roman"/>
          <w:sz w:val="24"/>
          <w:szCs w:val="24"/>
        </w:rPr>
        <w:t>tion,</w:t>
      </w:r>
      <w:r w:rsidRPr="00986606">
        <w:rPr>
          <w:rFonts w:ascii="Times New Roman" w:hAnsi="Times New Roman"/>
          <w:sz w:val="24"/>
          <w:szCs w:val="24"/>
          <w:vertAlign w:val="superscript"/>
        </w:rPr>
        <w:footnoteReference w:id="141"/>
      </w:r>
      <w:r w:rsidR="003810EB" w:rsidRPr="00986606">
        <w:rPr>
          <w:rFonts w:ascii="Times New Roman" w:hAnsi="Times New Roman"/>
          <w:sz w:val="24"/>
          <w:szCs w:val="24"/>
        </w:rPr>
        <w:t xml:space="preserve">  </w:t>
      </w:r>
      <w:r w:rsidR="006F1B81" w:rsidRPr="00986606">
        <w:rPr>
          <w:rFonts w:ascii="Times New Roman" w:hAnsi="Times New Roman"/>
          <w:sz w:val="24"/>
          <w:szCs w:val="24"/>
        </w:rPr>
        <w:t xml:space="preserve">each reiteration causing </w:t>
      </w:r>
      <w:r w:rsidR="003810EB" w:rsidRPr="00986606">
        <w:rPr>
          <w:rFonts w:ascii="Times New Roman" w:hAnsi="Times New Roman"/>
          <w:sz w:val="24"/>
          <w:szCs w:val="24"/>
        </w:rPr>
        <w:t>another harm to the claimant.</w:t>
      </w:r>
      <w:r w:rsidR="006F1B81" w:rsidRPr="00986606">
        <w:rPr>
          <w:rFonts w:ascii="Times New Roman" w:hAnsi="Times New Roman"/>
          <w:sz w:val="24"/>
          <w:szCs w:val="24"/>
        </w:rPr>
        <w:t xml:space="preserve">  </w:t>
      </w:r>
      <w:r w:rsidR="00A348E8" w:rsidRPr="00986606">
        <w:rPr>
          <w:rFonts w:ascii="Times New Roman" w:hAnsi="Times New Roman"/>
          <w:sz w:val="24"/>
          <w:szCs w:val="24"/>
        </w:rPr>
        <w:t>This form of intrusion indicates that</w:t>
      </w:r>
      <w:r w:rsidR="006F1B81" w:rsidRPr="00986606">
        <w:rPr>
          <w:rFonts w:ascii="Times New Roman" w:hAnsi="Times New Roman"/>
          <w:sz w:val="24"/>
          <w:szCs w:val="24"/>
        </w:rPr>
        <w:t xml:space="preserve"> </w:t>
      </w:r>
      <w:r w:rsidR="000039D3" w:rsidRPr="00986606">
        <w:rPr>
          <w:rFonts w:ascii="Times New Roman" w:hAnsi="Times New Roman"/>
          <w:sz w:val="24"/>
          <w:szCs w:val="24"/>
        </w:rPr>
        <w:t>it</w:t>
      </w:r>
      <w:r w:rsidR="006F1B81" w:rsidRPr="00986606">
        <w:rPr>
          <w:rFonts w:ascii="Times New Roman" w:hAnsi="Times New Roman"/>
          <w:sz w:val="24"/>
          <w:szCs w:val="24"/>
        </w:rPr>
        <w:t xml:space="preserve"> is not merely understood with reference to physical space, but also in a more personal ‘non-physical’ sense.  Support for this latter meaning can be found in </w:t>
      </w:r>
      <w:r w:rsidR="006F1B81" w:rsidRPr="00986606">
        <w:rPr>
          <w:rFonts w:ascii="Times New Roman" w:hAnsi="Times New Roman"/>
          <w:i/>
          <w:sz w:val="24"/>
          <w:szCs w:val="24"/>
        </w:rPr>
        <w:t>Tugendhat &amp; Christie</w:t>
      </w:r>
      <w:r w:rsidR="006F1B81" w:rsidRPr="00986606">
        <w:rPr>
          <w:rStyle w:val="FootnoteReference"/>
          <w:rFonts w:ascii="Times New Roman" w:hAnsi="Times New Roman"/>
          <w:sz w:val="24"/>
          <w:szCs w:val="24"/>
        </w:rPr>
        <w:footnoteReference w:id="142"/>
      </w:r>
      <w:r w:rsidR="00604A7B" w:rsidRPr="00986606">
        <w:rPr>
          <w:rFonts w:ascii="Times New Roman" w:hAnsi="Times New Roman"/>
          <w:sz w:val="24"/>
          <w:szCs w:val="24"/>
        </w:rPr>
        <w:t xml:space="preserve"> and in</w:t>
      </w:r>
      <w:r w:rsidR="006F1B81" w:rsidRPr="00986606">
        <w:rPr>
          <w:rFonts w:ascii="Times New Roman" w:hAnsi="Times New Roman"/>
          <w:sz w:val="24"/>
          <w:szCs w:val="24"/>
        </w:rPr>
        <w:t xml:space="preserve"> Solove’s account</w:t>
      </w:r>
      <w:r w:rsidR="00604A7B" w:rsidRPr="00986606">
        <w:rPr>
          <w:rFonts w:ascii="Times New Roman" w:hAnsi="Times New Roman"/>
          <w:sz w:val="24"/>
          <w:szCs w:val="24"/>
        </w:rPr>
        <w:t xml:space="preserve"> of intrusion</w:t>
      </w:r>
      <w:r w:rsidR="006F1B81" w:rsidRPr="00986606">
        <w:rPr>
          <w:rFonts w:ascii="Times New Roman" w:hAnsi="Times New Roman"/>
          <w:sz w:val="24"/>
          <w:szCs w:val="24"/>
        </w:rPr>
        <w:t>.</w:t>
      </w:r>
      <w:r w:rsidR="00F8637E" w:rsidRPr="00986606">
        <w:rPr>
          <w:rStyle w:val="FootnoteReference"/>
          <w:rFonts w:ascii="Times New Roman" w:hAnsi="Times New Roman"/>
          <w:sz w:val="24"/>
          <w:szCs w:val="24"/>
        </w:rPr>
        <w:footnoteReference w:id="143"/>
      </w:r>
    </w:p>
    <w:p w:rsidR="006F1B81" w:rsidRPr="00986606" w:rsidRDefault="006F1B81" w:rsidP="00A252B9">
      <w:pPr>
        <w:spacing w:after="0" w:line="240" w:lineRule="auto"/>
        <w:jc w:val="both"/>
        <w:rPr>
          <w:rFonts w:ascii="Times New Roman" w:hAnsi="Times New Roman"/>
          <w:sz w:val="24"/>
          <w:szCs w:val="24"/>
        </w:rPr>
      </w:pPr>
      <w:r w:rsidRPr="00986606">
        <w:rPr>
          <w:rFonts w:ascii="Times New Roman" w:hAnsi="Times New Roman"/>
          <w:sz w:val="24"/>
          <w:szCs w:val="24"/>
        </w:rPr>
        <w:t xml:space="preserve"> </w:t>
      </w:r>
      <w:r w:rsidR="003810EB" w:rsidRPr="00986606">
        <w:rPr>
          <w:rFonts w:ascii="Times New Roman" w:hAnsi="Times New Roman"/>
          <w:sz w:val="24"/>
          <w:szCs w:val="24"/>
        </w:rPr>
        <w:t xml:space="preserve">  </w:t>
      </w:r>
    </w:p>
    <w:p w:rsidR="00A252B9" w:rsidRPr="00986606" w:rsidRDefault="004474B9" w:rsidP="00A252B9">
      <w:pPr>
        <w:spacing w:after="0" w:line="240" w:lineRule="auto"/>
        <w:jc w:val="both"/>
        <w:rPr>
          <w:rFonts w:ascii="Times New Roman" w:hAnsi="Times New Roman"/>
          <w:sz w:val="24"/>
          <w:szCs w:val="24"/>
        </w:rPr>
      </w:pPr>
      <w:r w:rsidRPr="00986606">
        <w:rPr>
          <w:rFonts w:ascii="Times New Roman" w:hAnsi="Times New Roman"/>
          <w:sz w:val="24"/>
          <w:szCs w:val="24"/>
        </w:rPr>
        <w:t>The proposition that each repetition of private information creates another intrusion</w:t>
      </w:r>
      <w:r w:rsidR="00A252B9" w:rsidRPr="00986606">
        <w:rPr>
          <w:rFonts w:ascii="Times New Roman" w:hAnsi="Times New Roman"/>
          <w:sz w:val="24"/>
          <w:szCs w:val="24"/>
        </w:rPr>
        <w:t xml:space="preserve"> is a crucial development because it directly inverts the legal effect of the traditional public domain proviso </w:t>
      </w:r>
      <w:r w:rsidR="003810EB" w:rsidRPr="00986606">
        <w:rPr>
          <w:rFonts w:ascii="Times New Roman" w:hAnsi="Times New Roman"/>
          <w:sz w:val="24"/>
          <w:szCs w:val="24"/>
        </w:rPr>
        <w:t xml:space="preserve">as </w:t>
      </w:r>
      <w:r w:rsidR="00A252B9" w:rsidRPr="00986606">
        <w:rPr>
          <w:rFonts w:ascii="Times New Roman" w:hAnsi="Times New Roman"/>
          <w:sz w:val="24"/>
          <w:szCs w:val="24"/>
        </w:rPr>
        <w:t>set out</w:t>
      </w:r>
      <w:r w:rsidR="003810EB" w:rsidRPr="00986606">
        <w:rPr>
          <w:rFonts w:ascii="Times New Roman" w:hAnsi="Times New Roman"/>
          <w:sz w:val="24"/>
          <w:szCs w:val="24"/>
        </w:rPr>
        <w:t xml:space="preserve"> by Lord Goff</w:t>
      </w:r>
      <w:r w:rsidR="00A252B9" w:rsidRPr="00986606">
        <w:rPr>
          <w:rFonts w:ascii="Times New Roman" w:hAnsi="Times New Roman"/>
          <w:sz w:val="24"/>
          <w:szCs w:val="24"/>
        </w:rPr>
        <w:t xml:space="preserve"> in </w:t>
      </w:r>
      <w:proofErr w:type="spellStart"/>
      <w:r w:rsidR="00A252B9" w:rsidRPr="00986606">
        <w:rPr>
          <w:rFonts w:ascii="Times New Roman" w:hAnsi="Times New Roman"/>
          <w:i/>
          <w:sz w:val="24"/>
          <w:szCs w:val="24"/>
        </w:rPr>
        <w:t>Spycatcher</w:t>
      </w:r>
      <w:proofErr w:type="spellEnd"/>
      <w:r w:rsidR="00A252B9" w:rsidRPr="00986606">
        <w:rPr>
          <w:rFonts w:ascii="Times New Roman" w:hAnsi="Times New Roman"/>
          <w:sz w:val="24"/>
          <w:szCs w:val="24"/>
        </w:rPr>
        <w:t xml:space="preserve">.  Thus as information becomes disseminated more widely, harmful intrusion actually increases in </w:t>
      </w:r>
      <w:r w:rsidR="00A252B9" w:rsidRPr="00986606">
        <w:rPr>
          <w:rFonts w:ascii="Times New Roman" w:hAnsi="Times New Roman"/>
          <w:i/>
          <w:sz w:val="24"/>
          <w:szCs w:val="24"/>
        </w:rPr>
        <w:t>quantity</w:t>
      </w:r>
      <w:r w:rsidR="003075C3" w:rsidRPr="00986606">
        <w:rPr>
          <w:rFonts w:ascii="Times New Roman" w:hAnsi="Times New Roman"/>
          <w:sz w:val="24"/>
          <w:szCs w:val="24"/>
        </w:rPr>
        <w:t xml:space="preserve"> as a result</w:t>
      </w:r>
      <w:r w:rsidR="00531C02" w:rsidRPr="00986606">
        <w:rPr>
          <w:rFonts w:ascii="Times New Roman" w:hAnsi="Times New Roman"/>
          <w:sz w:val="24"/>
          <w:szCs w:val="24"/>
        </w:rPr>
        <w:t xml:space="preserve">.  </w:t>
      </w:r>
      <w:r w:rsidR="00C016B8" w:rsidRPr="00986606">
        <w:rPr>
          <w:rFonts w:ascii="Times New Roman" w:hAnsi="Times New Roman"/>
          <w:sz w:val="24"/>
          <w:szCs w:val="24"/>
        </w:rPr>
        <w:t xml:space="preserve">The quantitative approach dismissed as </w:t>
      </w:r>
      <w:r w:rsidR="00E21029" w:rsidRPr="00986606">
        <w:rPr>
          <w:rFonts w:ascii="Times New Roman" w:hAnsi="Times New Roman"/>
          <w:sz w:val="24"/>
          <w:szCs w:val="24"/>
        </w:rPr>
        <w:t>too limited</w:t>
      </w:r>
      <w:r w:rsidR="00C016B8" w:rsidRPr="00986606">
        <w:rPr>
          <w:rFonts w:ascii="Times New Roman" w:hAnsi="Times New Roman"/>
          <w:sz w:val="24"/>
          <w:szCs w:val="24"/>
        </w:rPr>
        <w:t xml:space="preserve"> in the context of secrecy is re</w:t>
      </w:r>
      <w:r w:rsidR="00297871" w:rsidRPr="00986606">
        <w:rPr>
          <w:rFonts w:ascii="Times New Roman" w:hAnsi="Times New Roman"/>
          <w:sz w:val="24"/>
          <w:szCs w:val="24"/>
        </w:rPr>
        <w:t>-</w:t>
      </w:r>
      <w:r w:rsidR="00C016B8" w:rsidRPr="00986606">
        <w:rPr>
          <w:rFonts w:ascii="Times New Roman" w:hAnsi="Times New Roman"/>
          <w:sz w:val="24"/>
          <w:szCs w:val="24"/>
        </w:rPr>
        <w:t xml:space="preserve">deployed in relation to intrusion.  </w:t>
      </w:r>
      <w:r w:rsidR="00531C02" w:rsidRPr="00986606">
        <w:rPr>
          <w:rFonts w:ascii="Times New Roman" w:hAnsi="Times New Roman"/>
          <w:sz w:val="24"/>
          <w:szCs w:val="24"/>
        </w:rPr>
        <w:t>The process of disseminating</w:t>
      </w:r>
      <w:r w:rsidR="00A252B9" w:rsidRPr="00986606">
        <w:rPr>
          <w:rFonts w:ascii="Times New Roman" w:hAnsi="Times New Roman"/>
          <w:sz w:val="24"/>
          <w:szCs w:val="24"/>
        </w:rPr>
        <w:t xml:space="preserve"> private information thus shifts from being a factor that </w:t>
      </w:r>
      <w:r w:rsidR="00A252B9" w:rsidRPr="00986606">
        <w:rPr>
          <w:rFonts w:ascii="Times New Roman" w:hAnsi="Times New Roman"/>
          <w:i/>
          <w:sz w:val="24"/>
          <w:szCs w:val="24"/>
        </w:rPr>
        <w:t>undermines</w:t>
      </w:r>
      <w:r w:rsidR="00A252B9" w:rsidRPr="00986606">
        <w:rPr>
          <w:rFonts w:ascii="Times New Roman" w:hAnsi="Times New Roman"/>
          <w:sz w:val="24"/>
          <w:szCs w:val="24"/>
        </w:rPr>
        <w:t xml:space="preserve"> the c</w:t>
      </w:r>
      <w:r w:rsidR="00531C02" w:rsidRPr="00986606">
        <w:rPr>
          <w:rFonts w:ascii="Times New Roman" w:hAnsi="Times New Roman"/>
          <w:sz w:val="24"/>
          <w:szCs w:val="24"/>
        </w:rPr>
        <w:t>laimant’s case into a factor</w:t>
      </w:r>
      <w:r w:rsidR="00A252B9" w:rsidRPr="00986606">
        <w:rPr>
          <w:rFonts w:ascii="Times New Roman" w:hAnsi="Times New Roman"/>
          <w:sz w:val="24"/>
          <w:szCs w:val="24"/>
        </w:rPr>
        <w:t xml:space="preserve"> that actively </w:t>
      </w:r>
      <w:r w:rsidR="00A252B9" w:rsidRPr="00986606">
        <w:rPr>
          <w:rFonts w:ascii="Times New Roman" w:hAnsi="Times New Roman"/>
          <w:i/>
          <w:sz w:val="24"/>
          <w:szCs w:val="24"/>
        </w:rPr>
        <w:t>favours</w:t>
      </w:r>
      <w:r w:rsidR="00A252B9" w:rsidRPr="00986606">
        <w:rPr>
          <w:rFonts w:ascii="Times New Roman" w:hAnsi="Times New Roman"/>
          <w:sz w:val="24"/>
          <w:szCs w:val="24"/>
        </w:rPr>
        <w:t xml:space="preserve"> a claimant’s case.  It is this second </w:t>
      </w:r>
      <w:proofErr w:type="spellStart"/>
      <w:r w:rsidR="00A252B9" w:rsidRPr="00986606">
        <w:rPr>
          <w:rFonts w:ascii="Times New Roman" w:hAnsi="Times New Roman"/>
          <w:sz w:val="24"/>
          <w:szCs w:val="24"/>
        </w:rPr>
        <w:t>intrusional</w:t>
      </w:r>
      <w:proofErr w:type="spellEnd"/>
      <w:r w:rsidR="00A252B9" w:rsidRPr="00986606">
        <w:rPr>
          <w:rFonts w:ascii="Times New Roman" w:hAnsi="Times New Roman"/>
          <w:sz w:val="24"/>
          <w:szCs w:val="24"/>
        </w:rPr>
        <w:t xml:space="preserve"> component of privacy that the Law Lords privilege</w:t>
      </w:r>
      <w:r w:rsidR="00531C02" w:rsidRPr="00986606">
        <w:rPr>
          <w:rFonts w:ascii="Times New Roman" w:hAnsi="Times New Roman"/>
          <w:sz w:val="24"/>
          <w:szCs w:val="24"/>
        </w:rPr>
        <w:t>d</w:t>
      </w:r>
      <w:r w:rsidR="00A252B9" w:rsidRPr="00986606">
        <w:rPr>
          <w:rFonts w:ascii="Times New Roman" w:hAnsi="Times New Roman"/>
          <w:sz w:val="24"/>
          <w:szCs w:val="24"/>
        </w:rPr>
        <w:t xml:space="preserve"> throughout </w:t>
      </w:r>
      <w:r w:rsidR="00A252B9" w:rsidRPr="00986606">
        <w:rPr>
          <w:rFonts w:ascii="Times New Roman" w:hAnsi="Times New Roman"/>
          <w:i/>
          <w:sz w:val="24"/>
          <w:szCs w:val="24"/>
        </w:rPr>
        <w:t xml:space="preserve">PJS </w:t>
      </w:r>
      <w:r w:rsidR="00A252B9" w:rsidRPr="00986606">
        <w:rPr>
          <w:rFonts w:ascii="Times New Roman" w:hAnsi="Times New Roman"/>
          <w:sz w:val="24"/>
          <w:szCs w:val="24"/>
        </w:rPr>
        <w:t>whilst marginalising the first confidence-based element.</w:t>
      </w:r>
      <w:r w:rsidR="00422AE0" w:rsidRPr="00986606">
        <w:rPr>
          <w:rFonts w:ascii="Times New Roman" w:hAnsi="Times New Roman"/>
          <w:sz w:val="24"/>
          <w:szCs w:val="24"/>
        </w:rPr>
        <w:t xml:space="preserve">  This enabled</w:t>
      </w:r>
      <w:r w:rsidR="00A252B9" w:rsidRPr="00986606">
        <w:rPr>
          <w:rFonts w:ascii="Times New Roman" w:hAnsi="Times New Roman"/>
          <w:sz w:val="24"/>
          <w:szCs w:val="24"/>
        </w:rPr>
        <w:t xml:space="preserve"> Lord Neuberger to claim that while the s</w:t>
      </w:r>
      <w:r w:rsidR="007C5633" w:rsidRPr="00986606">
        <w:rPr>
          <w:rFonts w:ascii="Times New Roman" w:hAnsi="Times New Roman"/>
          <w:sz w:val="24"/>
          <w:szCs w:val="24"/>
        </w:rPr>
        <w:t>ecrecy aspect of PJS’s claim had</w:t>
      </w:r>
      <w:r w:rsidR="00A252B9" w:rsidRPr="00986606">
        <w:rPr>
          <w:rFonts w:ascii="Times New Roman" w:hAnsi="Times New Roman"/>
          <w:sz w:val="24"/>
          <w:szCs w:val="24"/>
        </w:rPr>
        <w:t xml:space="preserve"> been ‘</w:t>
      </w:r>
      <w:r w:rsidR="00A252B9" w:rsidRPr="00986606">
        <w:rPr>
          <w:rFonts w:ascii="Times New Roman" w:hAnsi="Times New Roman"/>
          <w:i/>
          <w:sz w:val="24"/>
          <w:szCs w:val="24"/>
        </w:rPr>
        <w:t>undoubtedly severely undermined (and probably, but not necessarily demolished)</w:t>
      </w:r>
      <w:r w:rsidR="00A73B29" w:rsidRPr="00986606">
        <w:rPr>
          <w:rFonts w:ascii="Times New Roman" w:hAnsi="Times New Roman"/>
          <w:sz w:val="24"/>
          <w:szCs w:val="24"/>
        </w:rPr>
        <w:t>’, he doubted</w:t>
      </w:r>
      <w:r w:rsidR="00A252B9" w:rsidRPr="00986606">
        <w:rPr>
          <w:rFonts w:ascii="Times New Roman" w:hAnsi="Times New Roman"/>
          <w:sz w:val="24"/>
          <w:szCs w:val="24"/>
        </w:rPr>
        <w:t xml:space="preserve"> th</w:t>
      </w:r>
      <w:r w:rsidR="00A73B29" w:rsidRPr="00986606">
        <w:rPr>
          <w:rFonts w:ascii="Times New Roman" w:hAnsi="Times New Roman"/>
          <w:sz w:val="24"/>
          <w:szCs w:val="24"/>
        </w:rPr>
        <w:t>at the intrusion-based claim had</w:t>
      </w:r>
      <w:r w:rsidR="00A252B9" w:rsidRPr="00986606">
        <w:rPr>
          <w:rFonts w:ascii="Times New Roman" w:hAnsi="Times New Roman"/>
          <w:sz w:val="24"/>
          <w:szCs w:val="24"/>
        </w:rPr>
        <w:t xml:space="preserve"> been ‘</w:t>
      </w:r>
      <w:r w:rsidR="00A252B9" w:rsidRPr="00986606">
        <w:rPr>
          <w:rFonts w:ascii="Times New Roman" w:hAnsi="Times New Roman"/>
          <w:i/>
          <w:sz w:val="24"/>
          <w:szCs w:val="24"/>
        </w:rPr>
        <w:t>substantially reduced [in] strength</w:t>
      </w:r>
      <w:r w:rsidR="00A252B9" w:rsidRPr="00986606">
        <w:rPr>
          <w:rFonts w:ascii="Times New Roman" w:hAnsi="Times New Roman"/>
          <w:sz w:val="24"/>
          <w:szCs w:val="24"/>
        </w:rPr>
        <w:t>’.</w:t>
      </w:r>
      <w:r w:rsidR="00A252B9" w:rsidRPr="00986606">
        <w:rPr>
          <w:rFonts w:ascii="Times New Roman" w:hAnsi="Times New Roman"/>
          <w:sz w:val="24"/>
          <w:szCs w:val="24"/>
          <w:vertAlign w:val="superscript"/>
        </w:rPr>
        <w:footnoteReference w:id="144"/>
      </w:r>
      <w:r w:rsidR="003976F7" w:rsidRPr="00986606">
        <w:rPr>
          <w:rFonts w:ascii="Times New Roman" w:hAnsi="Times New Roman"/>
          <w:sz w:val="24"/>
          <w:szCs w:val="24"/>
        </w:rPr>
        <w:t xml:space="preserve">  S</w:t>
      </w:r>
      <w:r w:rsidR="007A5D4E" w:rsidRPr="00986606">
        <w:rPr>
          <w:rFonts w:ascii="Times New Roman" w:hAnsi="Times New Roman"/>
          <w:sz w:val="24"/>
          <w:szCs w:val="24"/>
        </w:rPr>
        <w:t>o under</w:t>
      </w:r>
      <w:r w:rsidR="0039048A" w:rsidRPr="00986606">
        <w:rPr>
          <w:rFonts w:ascii="Times New Roman" w:hAnsi="Times New Roman"/>
          <w:sz w:val="24"/>
          <w:szCs w:val="24"/>
        </w:rPr>
        <w:t xml:space="preserve"> this </w:t>
      </w:r>
      <w:r w:rsidR="00297871" w:rsidRPr="00986606">
        <w:rPr>
          <w:rFonts w:ascii="Times New Roman" w:hAnsi="Times New Roman"/>
          <w:sz w:val="24"/>
          <w:szCs w:val="24"/>
        </w:rPr>
        <w:t>approach,</w:t>
      </w:r>
      <w:r w:rsidR="00A73B29" w:rsidRPr="00986606">
        <w:rPr>
          <w:rFonts w:ascii="Times New Roman" w:hAnsi="Times New Roman"/>
          <w:sz w:val="24"/>
          <w:szCs w:val="24"/>
        </w:rPr>
        <w:t xml:space="preserve"> </w:t>
      </w:r>
      <w:r w:rsidR="00297871" w:rsidRPr="00986606">
        <w:rPr>
          <w:rFonts w:ascii="Times New Roman" w:hAnsi="Times New Roman"/>
          <w:sz w:val="24"/>
          <w:szCs w:val="24"/>
        </w:rPr>
        <w:t xml:space="preserve">as </w:t>
      </w:r>
      <w:r w:rsidR="00A252B9" w:rsidRPr="00986606">
        <w:rPr>
          <w:rFonts w:ascii="Times New Roman" w:hAnsi="Times New Roman"/>
          <w:sz w:val="24"/>
          <w:szCs w:val="24"/>
        </w:rPr>
        <w:t xml:space="preserve">the </w:t>
      </w:r>
      <w:r w:rsidR="00A73B29" w:rsidRPr="00986606">
        <w:rPr>
          <w:rFonts w:ascii="Times New Roman" w:hAnsi="Times New Roman"/>
          <w:sz w:val="24"/>
          <w:szCs w:val="24"/>
        </w:rPr>
        <w:t>‘</w:t>
      </w:r>
      <w:r w:rsidR="00A252B9" w:rsidRPr="00986606">
        <w:rPr>
          <w:rFonts w:ascii="Times New Roman" w:hAnsi="Times New Roman"/>
          <w:sz w:val="24"/>
          <w:szCs w:val="24"/>
        </w:rPr>
        <w:t>secrecy</w:t>
      </w:r>
      <w:r w:rsidR="00A73B29" w:rsidRPr="00986606">
        <w:rPr>
          <w:rFonts w:ascii="Times New Roman" w:hAnsi="Times New Roman"/>
          <w:sz w:val="24"/>
          <w:szCs w:val="24"/>
        </w:rPr>
        <w:t>’</w:t>
      </w:r>
      <w:r w:rsidR="00A252B9" w:rsidRPr="00986606">
        <w:rPr>
          <w:rFonts w:ascii="Times New Roman" w:hAnsi="Times New Roman"/>
          <w:sz w:val="24"/>
          <w:szCs w:val="24"/>
        </w:rPr>
        <w:t xml:space="preserve"> claim dissipates with th</w:t>
      </w:r>
      <w:r w:rsidR="00297871" w:rsidRPr="00986606">
        <w:rPr>
          <w:rFonts w:ascii="Times New Roman" w:hAnsi="Times New Roman"/>
          <w:sz w:val="24"/>
          <w:szCs w:val="24"/>
        </w:rPr>
        <w:t>e spread of private information,</w:t>
      </w:r>
      <w:r w:rsidR="00A252B9" w:rsidRPr="00986606">
        <w:rPr>
          <w:rFonts w:ascii="Times New Roman" w:hAnsi="Times New Roman"/>
          <w:sz w:val="24"/>
          <w:szCs w:val="24"/>
        </w:rPr>
        <w:t xml:space="preserve"> the </w:t>
      </w:r>
      <w:r w:rsidR="00A73B29" w:rsidRPr="00986606">
        <w:rPr>
          <w:rFonts w:ascii="Times New Roman" w:hAnsi="Times New Roman"/>
          <w:sz w:val="24"/>
          <w:szCs w:val="24"/>
        </w:rPr>
        <w:t>‘</w:t>
      </w:r>
      <w:r w:rsidR="00A252B9" w:rsidRPr="00986606">
        <w:rPr>
          <w:rFonts w:ascii="Times New Roman" w:hAnsi="Times New Roman"/>
          <w:sz w:val="24"/>
          <w:szCs w:val="24"/>
        </w:rPr>
        <w:t>intrusion</w:t>
      </w:r>
      <w:r w:rsidR="00A73B29" w:rsidRPr="00986606">
        <w:rPr>
          <w:rFonts w:ascii="Times New Roman" w:hAnsi="Times New Roman"/>
          <w:sz w:val="24"/>
          <w:szCs w:val="24"/>
        </w:rPr>
        <w:t>’</w:t>
      </w:r>
      <w:r w:rsidR="00A252B9" w:rsidRPr="00986606">
        <w:rPr>
          <w:rFonts w:ascii="Times New Roman" w:hAnsi="Times New Roman"/>
          <w:sz w:val="24"/>
          <w:szCs w:val="24"/>
        </w:rPr>
        <w:t xml:space="preserve"> claim undergoes an inverse</w:t>
      </w:r>
      <w:r w:rsidR="00297871" w:rsidRPr="00986606">
        <w:rPr>
          <w:rFonts w:ascii="Times New Roman" w:hAnsi="Times New Roman"/>
          <w:sz w:val="24"/>
          <w:szCs w:val="24"/>
        </w:rPr>
        <w:t>ly proportionate strengthening.  This means</w:t>
      </w:r>
      <w:r w:rsidR="00A252B9" w:rsidRPr="00986606">
        <w:rPr>
          <w:rFonts w:ascii="Times New Roman" w:hAnsi="Times New Roman"/>
          <w:sz w:val="24"/>
          <w:szCs w:val="24"/>
        </w:rPr>
        <w:t xml:space="preserve"> that in future similar cases, the claimant’s Article 8 claim will be </w:t>
      </w:r>
      <w:r w:rsidR="00815CF7" w:rsidRPr="00986606">
        <w:rPr>
          <w:rFonts w:ascii="Times New Roman" w:hAnsi="Times New Roman"/>
          <w:sz w:val="24"/>
          <w:szCs w:val="24"/>
        </w:rPr>
        <w:t xml:space="preserve">unaffected by </w:t>
      </w:r>
      <w:r w:rsidR="00165C4E" w:rsidRPr="00986606">
        <w:rPr>
          <w:rFonts w:ascii="Times New Roman" w:hAnsi="Times New Roman"/>
          <w:sz w:val="24"/>
          <w:szCs w:val="24"/>
        </w:rPr>
        <w:t xml:space="preserve">how widely known his </w:t>
      </w:r>
      <w:r w:rsidR="00815CF7" w:rsidRPr="00986606">
        <w:rPr>
          <w:rFonts w:ascii="Times New Roman" w:hAnsi="Times New Roman"/>
          <w:sz w:val="24"/>
          <w:szCs w:val="24"/>
        </w:rPr>
        <w:t>private</w:t>
      </w:r>
      <w:r w:rsidR="00DF7ACE" w:rsidRPr="00986606">
        <w:rPr>
          <w:rFonts w:ascii="Times New Roman" w:hAnsi="Times New Roman"/>
          <w:sz w:val="24"/>
          <w:szCs w:val="24"/>
        </w:rPr>
        <w:t xml:space="preserve"> information is</w:t>
      </w:r>
      <w:r w:rsidR="00A252B9" w:rsidRPr="00986606">
        <w:rPr>
          <w:rFonts w:ascii="Times New Roman" w:hAnsi="Times New Roman"/>
          <w:sz w:val="24"/>
          <w:szCs w:val="24"/>
        </w:rPr>
        <w:t xml:space="preserve">.  </w:t>
      </w:r>
      <w:proofErr w:type="spellStart"/>
      <w:r w:rsidR="00A252B9" w:rsidRPr="00986606">
        <w:rPr>
          <w:rFonts w:ascii="Times New Roman" w:hAnsi="Times New Roman"/>
          <w:sz w:val="24"/>
          <w:szCs w:val="24"/>
        </w:rPr>
        <w:t>Eady</w:t>
      </w:r>
      <w:proofErr w:type="spellEnd"/>
      <w:r w:rsidR="00A252B9" w:rsidRPr="00986606">
        <w:rPr>
          <w:rFonts w:ascii="Times New Roman" w:hAnsi="Times New Roman"/>
          <w:sz w:val="24"/>
          <w:szCs w:val="24"/>
        </w:rPr>
        <w:t xml:space="preserve"> J’s comments in </w:t>
      </w:r>
      <w:proofErr w:type="spellStart"/>
      <w:r w:rsidR="00A252B9" w:rsidRPr="00986606">
        <w:rPr>
          <w:rFonts w:ascii="Times New Roman" w:hAnsi="Times New Roman"/>
          <w:i/>
          <w:sz w:val="24"/>
          <w:szCs w:val="24"/>
        </w:rPr>
        <w:t>Giggs</w:t>
      </w:r>
      <w:proofErr w:type="spellEnd"/>
      <w:r w:rsidR="00A252B9" w:rsidRPr="00986606">
        <w:rPr>
          <w:rFonts w:ascii="Times New Roman" w:hAnsi="Times New Roman"/>
          <w:sz w:val="24"/>
          <w:szCs w:val="24"/>
        </w:rPr>
        <w:t xml:space="preserve"> that widespread publication strengthened rather than diminished the claimant’s case for an injunction</w:t>
      </w:r>
      <w:r w:rsidR="00A252B9" w:rsidRPr="00986606">
        <w:rPr>
          <w:rFonts w:ascii="Times New Roman" w:hAnsi="Times New Roman"/>
          <w:sz w:val="24"/>
          <w:szCs w:val="24"/>
          <w:vertAlign w:val="superscript"/>
        </w:rPr>
        <w:footnoteReference w:id="145"/>
      </w:r>
      <w:r w:rsidR="00A252B9" w:rsidRPr="00986606">
        <w:rPr>
          <w:rFonts w:ascii="Times New Roman" w:hAnsi="Times New Roman"/>
          <w:sz w:val="24"/>
          <w:szCs w:val="24"/>
        </w:rPr>
        <w:t xml:space="preserve"> supports this reading. </w:t>
      </w:r>
    </w:p>
    <w:p w:rsidR="00A252B9" w:rsidRPr="00986606" w:rsidRDefault="00A252B9" w:rsidP="00A252B9">
      <w:pPr>
        <w:spacing w:after="0" w:line="240" w:lineRule="auto"/>
        <w:jc w:val="both"/>
        <w:rPr>
          <w:rFonts w:ascii="Times New Roman" w:hAnsi="Times New Roman"/>
          <w:sz w:val="24"/>
          <w:szCs w:val="24"/>
        </w:rPr>
      </w:pPr>
    </w:p>
    <w:p w:rsidR="00AE29D2" w:rsidRPr="00986606" w:rsidRDefault="00A252B9" w:rsidP="00A252B9">
      <w:pPr>
        <w:spacing w:after="0" w:line="240" w:lineRule="auto"/>
        <w:jc w:val="both"/>
        <w:rPr>
          <w:rFonts w:ascii="Times New Roman" w:hAnsi="Times New Roman"/>
          <w:sz w:val="24"/>
          <w:szCs w:val="24"/>
        </w:rPr>
      </w:pPr>
      <w:r w:rsidRPr="00986606">
        <w:rPr>
          <w:rFonts w:ascii="Times New Roman" w:hAnsi="Times New Roman"/>
          <w:sz w:val="24"/>
          <w:szCs w:val="24"/>
        </w:rPr>
        <w:t>The crucial inversion of wide dissemination from an anti-claimant factor into a pro-claimant factor in MPI claims has significant c</w:t>
      </w:r>
      <w:r w:rsidR="003178F9" w:rsidRPr="00986606">
        <w:rPr>
          <w:rFonts w:ascii="Times New Roman" w:hAnsi="Times New Roman"/>
          <w:sz w:val="24"/>
          <w:szCs w:val="24"/>
        </w:rPr>
        <w:t>onsequences for the viability</w:t>
      </w:r>
      <w:r w:rsidRPr="00986606">
        <w:rPr>
          <w:rFonts w:ascii="Times New Roman" w:hAnsi="Times New Roman"/>
          <w:sz w:val="24"/>
          <w:szCs w:val="24"/>
        </w:rPr>
        <w:t xml:space="preserve"> of injunctions.  The </w:t>
      </w:r>
      <w:r w:rsidR="00317BB7" w:rsidRPr="00986606">
        <w:rPr>
          <w:rFonts w:ascii="Times New Roman" w:hAnsi="Times New Roman"/>
          <w:sz w:val="24"/>
          <w:szCs w:val="24"/>
        </w:rPr>
        <w:t xml:space="preserve">change of </w:t>
      </w:r>
      <w:r w:rsidRPr="00986606">
        <w:rPr>
          <w:rFonts w:ascii="Times New Roman" w:hAnsi="Times New Roman"/>
          <w:sz w:val="24"/>
          <w:szCs w:val="24"/>
        </w:rPr>
        <w:t xml:space="preserve">emphasis from </w:t>
      </w:r>
      <w:r w:rsidR="003178F9" w:rsidRPr="00986606">
        <w:rPr>
          <w:rFonts w:ascii="Times New Roman" w:hAnsi="Times New Roman"/>
          <w:sz w:val="24"/>
          <w:szCs w:val="24"/>
        </w:rPr>
        <w:t xml:space="preserve">maintaining secrecy to </w:t>
      </w:r>
      <w:r w:rsidRPr="00986606">
        <w:rPr>
          <w:rFonts w:ascii="Times New Roman" w:hAnsi="Times New Roman"/>
          <w:sz w:val="24"/>
          <w:szCs w:val="24"/>
        </w:rPr>
        <w:t>restricting instance</w:t>
      </w:r>
      <w:r w:rsidR="003178F9" w:rsidRPr="00986606">
        <w:rPr>
          <w:rFonts w:ascii="Times New Roman" w:hAnsi="Times New Roman"/>
          <w:sz w:val="24"/>
          <w:szCs w:val="24"/>
        </w:rPr>
        <w:t xml:space="preserve">s of intrusion entails a subtle but profound </w:t>
      </w:r>
      <w:r w:rsidRPr="00986606">
        <w:rPr>
          <w:rFonts w:ascii="Times New Roman" w:hAnsi="Times New Roman"/>
          <w:sz w:val="24"/>
          <w:szCs w:val="24"/>
        </w:rPr>
        <w:t xml:space="preserve">shift in the </w:t>
      </w:r>
      <w:r w:rsidR="003178F9" w:rsidRPr="00986606">
        <w:rPr>
          <w:rFonts w:ascii="Times New Roman" w:hAnsi="Times New Roman"/>
          <w:sz w:val="24"/>
          <w:szCs w:val="24"/>
        </w:rPr>
        <w:t>purpose and justification of</w:t>
      </w:r>
      <w:r w:rsidRPr="00986606">
        <w:rPr>
          <w:rFonts w:ascii="Times New Roman" w:hAnsi="Times New Roman"/>
          <w:sz w:val="24"/>
          <w:szCs w:val="24"/>
        </w:rPr>
        <w:t xml:space="preserve"> privacy-protecting injunction</w:t>
      </w:r>
      <w:r w:rsidR="003178F9" w:rsidRPr="00986606">
        <w:rPr>
          <w:rFonts w:ascii="Times New Roman" w:hAnsi="Times New Roman"/>
          <w:sz w:val="24"/>
          <w:szCs w:val="24"/>
        </w:rPr>
        <w:t>s</w:t>
      </w:r>
      <w:r w:rsidRPr="00986606">
        <w:rPr>
          <w:rFonts w:ascii="Times New Roman" w:hAnsi="Times New Roman"/>
          <w:sz w:val="24"/>
          <w:szCs w:val="24"/>
        </w:rPr>
        <w:t>, an</w:t>
      </w:r>
      <w:r w:rsidR="00605990" w:rsidRPr="00986606">
        <w:rPr>
          <w:rFonts w:ascii="Times New Roman" w:hAnsi="Times New Roman"/>
          <w:sz w:val="24"/>
          <w:szCs w:val="24"/>
        </w:rPr>
        <w:t>d thus – in turn – the standard</w:t>
      </w:r>
      <w:r w:rsidRPr="00986606">
        <w:rPr>
          <w:rFonts w:ascii="Times New Roman" w:hAnsi="Times New Roman"/>
          <w:sz w:val="24"/>
          <w:szCs w:val="24"/>
        </w:rPr>
        <w:t xml:space="preserve"> by w</w:t>
      </w:r>
      <w:r w:rsidR="00605990" w:rsidRPr="00986606">
        <w:rPr>
          <w:rFonts w:ascii="Times New Roman" w:hAnsi="Times New Roman"/>
          <w:sz w:val="24"/>
          <w:szCs w:val="24"/>
        </w:rPr>
        <w:t>hich their</w:t>
      </w:r>
      <w:r w:rsidR="00DF7ACE" w:rsidRPr="00986606">
        <w:rPr>
          <w:rFonts w:ascii="Times New Roman" w:hAnsi="Times New Roman"/>
          <w:sz w:val="24"/>
          <w:szCs w:val="24"/>
        </w:rPr>
        <w:t xml:space="preserve"> success is gauged.  So w</w:t>
      </w:r>
      <w:r w:rsidRPr="00986606">
        <w:rPr>
          <w:rFonts w:ascii="Times New Roman" w:hAnsi="Times New Roman"/>
          <w:sz w:val="24"/>
          <w:szCs w:val="24"/>
        </w:rPr>
        <w:t xml:space="preserve">hen privacy is understood as the need to keep private information secret, widespread online publication of </w:t>
      </w:r>
      <w:r w:rsidRPr="00986606">
        <w:rPr>
          <w:rFonts w:ascii="Times New Roman" w:hAnsi="Times New Roman"/>
          <w:sz w:val="24"/>
          <w:szCs w:val="24"/>
        </w:rPr>
        <w:lastRenderedPageBreak/>
        <w:t xml:space="preserve">that information inevitably entails a loss of control over it; the injunction as a solution to this problem has not successfully achieved its purpose.  </w:t>
      </w:r>
      <w:r w:rsidR="00605990" w:rsidRPr="00986606">
        <w:rPr>
          <w:rFonts w:ascii="Times New Roman" w:hAnsi="Times New Roman"/>
          <w:sz w:val="24"/>
          <w:szCs w:val="24"/>
        </w:rPr>
        <w:t xml:space="preserve">Tugendhat J’s claim (outlined above) that  </w:t>
      </w:r>
      <w:r w:rsidR="00605990" w:rsidRPr="00986606">
        <w:rPr>
          <w:rFonts w:ascii="Times New Roman" w:hAnsi="Times New Roman"/>
          <w:i/>
          <w:sz w:val="24"/>
          <w:szCs w:val="24"/>
        </w:rPr>
        <w:t>if</w:t>
      </w:r>
      <w:r w:rsidR="00605990" w:rsidRPr="00986606">
        <w:rPr>
          <w:rFonts w:ascii="Times New Roman" w:hAnsi="Times New Roman"/>
          <w:sz w:val="24"/>
          <w:szCs w:val="24"/>
        </w:rPr>
        <w:t xml:space="preserve"> the injunction was intended to keep a secret it had failed</w:t>
      </w:r>
      <w:r w:rsidR="003178F9" w:rsidRPr="00986606">
        <w:rPr>
          <w:rFonts w:ascii="Times New Roman" w:hAnsi="Times New Roman"/>
          <w:sz w:val="24"/>
          <w:szCs w:val="24"/>
        </w:rPr>
        <w:t xml:space="preserve"> acknowledges this, and wa</w:t>
      </w:r>
      <w:r w:rsidRPr="00986606">
        <w:rPr>
          <w:rFonts w:ascii="Times New Roman" w:hAnsi="Times New Roman"/>
          <w:sz w:val="24"/>
          <w:szCs w:val="24"/>
        </w:rPr>
        <w:t>s quot</w:t>
      </w:r>
      <w:r w:rsidR="008D1BE6" w:rsidRPr="00986606">
        <w:rPr>
          <w:rFonts w:ascii="Times New Roman" w:hAnsi="Times New Roman"/>
          <w:sz w:val="24"/>
          <w:szCs w:val="24"/>
        </w:rPr>
        <w:t xml:space="preserve">ed with approval by both Lords </w:t>
      </w:r>
      <w:proofErr w:type="spellStart"/>
      <w:r w:rsidR="008D1BE6" w:rsidRPr="00986606">
        <w:rPr>
          <w:rFonts w:ascii="Times New Roman" w:hAnsi="Times New Roman"/>
          <w:sz w:val="24"/>
          <w:szCs w:val="24"/>
        </w:rPr>
        <w:t>Mance</w:t>
      </w:r>
      <w:proofErr w:type="spellEnd"/>
      <w:r w:rsidR="008D1BE6" w:rsidRPr="00986606">
        <w:rPr>
          <w:rFonts w:ascii="Times New Roman" w:hAnsi="Times New Roman"/>
          <w:sz w:val="24"/>
          <w:szCs w:val="24"/>
        </w:rPr>
        <w:t xml:space="preserve"> and</w:t>
      </w:r>
      <w:r w:rsidRPr="00986606">
        <w:rPr>
          <w:rFonts w:ascii="Times New Roman" w:hAnsi="Times New Roman"/>
          <w:sz w:val="24"/>
          <w:szCs w:val="24"/>
        </w:rPr>
        <w:t xml:space="preserve"> Neuberger in </w:t>
      </w:r>
      <w:r w:rsidRPr="00986606">
        <w:rPr>
          <w:rFonts w:ascii="Times New Roman" w:hAnsi="Times New Roman"/>
          <w:i/>
          <w:sz w:val="24"/>
          <w:szCs w:val="24"/>
        </w:rPr>
        <w:t>PJS</w:t>
      </w:r>
      <w:r w:rsidRPr="00986606">
        <w:rPr>
          <w:rFonts w:ascii="Times New Roman" w:hAnsi="Times New Roman"/>
          <w:sz w:val="24"/>
          <w:szCs w:val="24"/>
        </w:rPr>
        <w:t>.</w:t>
      </w:r>
      <w:r w:rsidRPr="00986606">
        <w:rPr>
          <w:rFonts w:ascii="Times New Roman" w:hAnsi="Times New Roman"/>
          <w:sz w:val="24"/>
          <w:szCs w:val="24"/>
          <w:vertAlign w:val="superscript"/>
        </w:rPr>
        <w:footnoteReference w:id="146"/>
      </w:r>
      <w:r w:rsidR="00605990" w:rsidRPr="00986606">
        <w:rPr>
          <w:rFonts w:ascii="Times New Roman" w:hAnsi="Times New Roman"/>
          <w:sz w:val="24"/>
          <w:szCs w:val="24"/>
        </w:rPr>
        <w:t xml:space="preserve">  </w:t>
      </w:r>
      <w:r w:rsidR="003178F9" w:rsidRPr="00986606">
        <w:rPr>
          <w:rFonts w:ascii="Times New Roman" w:hAnsi="Times New Roman"/>
          <w:sz w:val="24"/>
          <w:szCs w:val="24"/>
        </w:rPr>
        <w:t xml:space="preserve">But in </w:t>
      </w:r>
      <w:r w:rsidR="003178F9" w:rsidRPr="00986606">
        <w:rPr>
          <w:rFonts w:ascii="Times New Roman" w:hAnsi="Times New Roman"/>
          <w:i/>
          <w:sz w:val="24"/>
          <w:szCs w:val="24"/>
        </w:rPr>
        <w:t>PJS</w:t>
      </w:r>
      <w:r w:rsidR="003178F9" w:rsidRPr="00986606">
        <w:rPr>
          <w:rFonts w:ascii="Times New Roman" w:hAnsi="Times New Roman"/>
          <w:sz w:val="24"/>
          <w:szCs w:val="24"/>
        </w:rPr>
        <w:t xml:space="preserve"> and </w:t>
      </w:r>
      <w:proofErr w:type="spellStart"/>
      <w:r w:rsidR="003178F9" w:rsidRPr="00986606">
        <w:rPr>
          <w:rFonts w:ascii="Times New Roman" w:hAnsi="Times New Roman"/>
          <w:i/>
          <w:sz w:val="24"/>
          <w:szCs w:val="24"/>
        </w:rPr>
        <w:t>Giggs</w:t>
      </w:r>
      <w:proofErr w:type="spellEnd"/>
      <w:r w:rsidRPr="00986606">
        <w:rPr>
          <w:rFonts w:ascii="Times New Roman" w:hAnsi="Times New Roman"/>
          <w:sz w:val="24"/>
          <w:szCs w:val="24"/>
        </w:rPr>
        <w:t>, the courts marginalise</w:t>
      </w:r>
      <w:r w:rsidR="003178F9" w:rsidRPr="00986606">
        <w:rPr>
          <w:rFonts w:ascii="Times New Roman" w:hAnsi="Times New Roman"/>
          <w:sz w:val="24"/>
          <w:szCs w:val="24"/>
        </w:rPr>
        <w:t>d</w:t>
      </w:r>
      <w:r w:rsidRPr="00986606">
        <w:rPr>
          <w:rFonts w:ascii="Times New Roman" w:hAnsi="Times New Roman"/>
          <w:sz w:val="24"/>
          <w:szCs w:val="24"/>
        </w:rPr>
        <w:t xml:space="preserve"> this aspect and instead shift</w:t>
      </w:r>
      <w:r w:rsidR="003178F9" w:rsidRPr="00986606">
        <w:rPr>
          <w:rFonts w:ascii="Times New Roman" w:hAnsi="Times New Roman"/>
          <w:sz w:val="24"/>
          <w:szCs w:val="24"/>
        </w:rPr>
        <w:t>ed to emphasise</w:t>
      </w:r>
      <w:r w:rsidRPr="00986606">
        <w:rPr>
          <w:rFonts w:ascii="Times New Roman" w:hAnsi="Times New Roman"/>
          <w:sz w:val="24"/>
          <w:szCs w:val="24"/>
        </w:rPr>
        <w:t xml:space="preserve"> privacy understood as restricting the intrusive repetition of privat</w:t>
      </w:r>
      <w:r w:rsidR="003178F9" w:rsidRPr="00986606">
        <w:rPr>
          <w:rFonts w:ascii="Times New Roman" w:hAnsi="Times New Roman"/>
          <w:sz w:val="24"/>
          <w:szCs w:val="24"/>
        </w:rPr>
        <w:t>e information; the injunction was thus</w:t>
      </w:r>
      <w:r w:rsidRPr="00986606">
        <w:rPr>
          <w:rFonts w:ascii="Times New Roman" w:hAnsi="Times New Roman"/>
          <w:sz w:val="24"/>
          <w:szCs w:val="24"/>
        </w:rPr>
        <w:t xml:space="preserve"> able to achieve this more modest aim simply by acting to limit its repetition </w:t>
      </w:r>
      <w:r w:rsidRPr="00986606">
        <w:rPr>
          <w:rFonts w:ascii="Times New Roman" w:hAnsi="Times New Roman"/>
          <w:i/>
          <w:sz w:val="24"/>
          <w:szCs w:val="24"/>
        </w:rPr>
        <w:t>more</w:t>
      </w:r>
      <w:r w:rsidR="00C82D30" w:rsidRPr="00986606">
        <w:rPr>
          <w:rFonts w:ascii="Times New Roman" w:hAnsi="Times New Roman"/>
          <w:i/>
          <w:sz w:val="24"/>
          <w:szCs w:val="24"/>
        </w:rPr>
        <w:t xml:space="preserve"> effectively</w:t>
      </w:r>
      <w:r w:rsidRPr="00986606">
        <w:rPr>
          <w:rFonts w:ascii="Times New Roman" w:hAnsi="Times New Roman"/>
          <w:i/>
          <w:sz w:val="24"/>
          <w:szCs w:val="24"/>
        </w:rPr>
        <w:t xml:space="preserve"> </w:t>
      </w:r>
      <w:r w:rsidRPr="00986606">
        <w:rPr>
          <w:rFonts w:ascii="Times New Roman" w:hAnsi="Times New Roman"/>
          <w:sz w:val="24"/>
          <w:szCs w:val="24"/>
        </w:rPr>
        <w:t>than if no injunction was</w:t>
      </w:r>
      <w:r w:rsidR="003178F9" w:rsidRPr="00986606">
        <w:rPr>
          <w:rFonts w:ascii="Times New Roman" w:hAnsi="Times New Roman"/>
          <w:sz w:val="24"/>
          <w:szCs w:val="24"/>
        </w:rPr>
        <w:t xml:space="preserve"> in place.  Lord Neuberger made</w:t>
      </w:r>
      <w:r w:rsidRPr="00986606">
        <w:rPr>
          <w:rFonts w:ascii="Times New Roman" w:hAnsi="Times New Roman"/>
          <w:sz w:val="24"/>
          <w:szCs w:val="24"/>
        </w:rPr>
        <w:t xml:space="preserve"> this very poi</w:t>
      </w:r>
      <w:r w:rsidR="003178F9" w:rsidRPr="00986606">
        <w:rPr>
          <w:rFonts w:ascii="Times New Roman" w:hAnsi="Times New Roman"/>
          <w:sz w:val="24"/>
          <w:szCs w:val="24"/>
        </w:rPr>
        <w:t>nt, claiming that PJS and his family would</w:t>
      </w:r>
      <w:r w:rsidRPr="00986606">
        <w:rPr>
          <w:rFonts w:ascii="Times New Roman" w:hAnsi="Times New Roman"/>
          <w:sz w:val="24"/>
          <w:szCs w:val="24"/>
        </w:rPr>
        <w:t xml:space="preserve"> be subject to great</w:t>
      </w:r>
      <w:r w:rsidR="00BA05D1" w:rsidRPr="00986606">
        <w:rPr>
          <w:rFonts w:ascii="Times New Roman" w:hAnsi="Times New Roman"/>
          <w:sz w:val="24"/>
          <w:szCs w:val="24"/>
        </w:rPr>
        <w:t>er intrusion if the injunction wa</w:t>
      </w:r>
      <w:r w:rsidRPr="00986606">
        <w:rPr>
          <w:rFonts w:ascii="Times New Roman" w:hAnsi="Times New Roman"/>
          <w:sz w:val="24"/>
          <w:szCs w:val="24"/>
        </w:rPr>
        <w:t xml:space="preserve">s not continued.  As well as </w:t>
      </w:r>
      <w:r w:rsidR="00607874" w:rsidRPr="00986606">
        <w:rPr>
          <w:rFonts w:ascii="Times New Roman" w:hAnsi="Times New Roman"/>
          <w:sz w:val="24"/>
          <w:szCs w:val="24"/>
        </w:rPr>
        <w:t>limiting press intrusion</w:t>
      </w:r>
      <w:r w:rsidRPr="00986606">
        <w:rPr>
          <w:rFonts w:ascii="Times New Roman" w:hAnsi="Times New Roman"/>
          <w:sz w:val="24"/>
          <w:szCs w:val="24"/>
        </w:rPr>
        <w:t xml:space="preserve">, </w:t>
      </w:r>
      <w:r w:rsidR="00605990" w:rsidRPr="00986606">
        <w:rPr>
          <w:rFonts w:ascii="Times New Roman" w:hAnsi="Times New Roman"/>
          <w:sz w:val="24"/>
          <w:szCs w:val="24"/>
        </w:rPr>
        <w:t xml:space="preserve">he </w:t>
      </w:r>
      <w:r w:rsidRPr="00986606">
        <w:rPr>
          <w:rFonts w:ascii="Times New Roman" w:hAnsi="Times New Roman"/>
          <w:sz w:val="24"/>
          <w:szCs w:val="24"/>
        </w:rPr>
        <w:t>a</w:t>
      </w:r>
      <w:r w:rsidR="00DF7ACE" w:rsidRPr="00986606">
        <w:rPr>
          <w:rFonts w:ascii="Times New Roman" w:hAnsi="Times New Roman"/>
          <w:sz w:val="24"/>
          <w:szCs w:val="24"/>
        </w:rPr>
        <w:t>rgued that the injunction would</w:t>
      </w:r>
      <w:r w:rsidRPr="00986606">
        <w:rPr>
          <w:rFonts w:ascii="Times New Roman" w:hAnsi="Times New Roman"/>
          <w:sz w:val="24"/>
          <w:szCs w:val="24"/>
        </w:rPr>
        <w:t xml:space="preserve"> have some effect on Inte</w:t>
      </w:r>
      <w:r w:rsidR="00BA05D1" w:rsidRPr="00986606">
        <w:rPr>
          <w:rFonts w:ascii="Times New Roman" w:hAnsi="Times New Roman"/>
          <w:sz w:val="24"/>
          <w:szCs w:val="24"/>
        </w:rPr>
        <w:t>rnet dissemination because it would</w:t>
      </w:r>
      <w:r w:rsidRPr="00986606">
        <w:rPr>
          <w:rFonts w:ascii="Times New Roman" w:hAnsi="Times New Roman"/>
          <w:sz w:val="24"/>
          <w:szCs w:val="24"/>
        </w:rPr>
        <w:t xml:space="preserve"> make t</w:t>
      </w:r>
      <w:r w:rsidR="00AE29D2" w:rsidRPr="00986606">
        <w:rPr>
          <w:rFonts w:ascii="Times New Roman" w:hAnsi="Times New Roman"/>
          <w:sz w:val="24"/>
          <w:szCs w:val="24"/>
        </w:rPr>
        <w:t>he story more difficult to find,</w:t>
      </w:r>
      <w:r w:rsidRPr="00986606">
        <w:rPr>
          <w:rFonts w:ascii="Times New Roman" w:hAnsi="Times New Roman"/>
          <w:sz w:val="24"/>
          <w:szCs w:val="24"/>
          <w:vertAlign w:val="superscript"/>
        </w:rPr>
        <w:footnoteReference w:id="147"/>
      </w:r>
      <w:r w:rsidR="00AE29D2" w:rsidRPr="00986606">
        <w:rPr>
          <w:rFonts w:ascii="Times New Roman" w:hAnsi="Times New Roman"/>
          <w:sz w:val="24"/>
          <w:szCs w:val="24"/>
        </w:rPr>
        <w:t xml:space="preserve"> thus indicating a </w:t>
      </w:r>
      <w:r w:rsidR="00E13E10" w:rsidRPr="00986606">
        <w:rPr>
          <w:rFonts w:ascii="Times New Roman" w:hAnsi="Times New Roman"/>
          <w:sz w:val="24"/>
          <w:szCs w:val="24"/>
        </w:rPr>
        <w:t xml:space="preserve">potential </w:t>
      </w:r>
      <w:r w:rsidR="00607874" w:rsidRPr="00986606">
        <w:rPr>
          <w:rFonts w:ascii="Times New Roman" w:hAnsi="Times New Roman"/>
          <w:sz w:val="24"/>
          <w:szCs w:val="24"/>
        </w:rPr>
        <w:t xml:space="preserve">concern for </w:t>
      </w:r>
      <w:r w:rsidR="00AE29D2" w:rsidRPr="00986606">
        <w:rPr>
          <w:rFonts w:ascii="Times New Roman" w:hAnsi="Times New Roman"/>
          <w:sz w:val="24"/>
          <w:szCs w:val="24"/>
        </w:rPr>
        <w:t xml:space="preserve">both physical paparazzi-based intrusion </w:t>
      </w:r>
      <w:r w:rsidR="00AE29D2" w:rsidRPr="00986606">
        <w:rPr>
          <w:rFonts w:ascii="Times New Roman" w:hAnsi="Times New Roman"/>
          <w:i/>
          <w:sz w:val="24"/>
          <w:szCs w:val="24"/>
        </w:rPr>
        <w:t>and</w:t>
      </w:r>
      <w:r w:rsidR="00AE29D2" w:rsidRPr="00986606">
        <w:rPr>
          <w:rFonts w:ascii="Times New Roman" w:hAnsi="Times New Roman"/>
          <w:sz w:val="24"/>
          <w:szCs w:val="24"/>
        </w:rPr>
        <w:t xml:space="preserve"> </w:t>
      </w:r>
      <w:r w:rsidR="00E13E10" w:rsidRPr="00986606">
        <w:rPr>
          <w:rFonts w:ascii="Times New Roman" w:hAnsi="Times New Roman"/>
          <w:sz w:val="24"/>
          <w:szCs w:val="24"/>
        </w:rPr>
        <w:t>‘</w:t>
      </w:r>
      <w:r w:rsidR="00AE29D2" w:rsidRPr="00986606">
        <w:rPr>
          <w:rFonts w:ascii="Times New Roman" w:hAnsi="Times New Roman"/>
          <w:sz w:val="24"/>
          <w:szCs w:val="24"/>
        </w:rPr>
        <w:t>repetition of information</w:t>
      </w:r>
      <w:r w:rsidR="00E13E10" w:rsidRPr="00986606">
        <w:rPr>
          <w:rFonts w:ascii="Times New Roman" w:hAnsi="Times New Roman"/>
          <w:sz w:val="24"/>
          <w:szCs w:val="24"/>
        </w:rPr>
        <w:t>’</w:t>
      </w:r>
      <w:r w:rsidR="00AE29D2" w:rsidRPr="00986606">
        <w:rPr>
          <w:rFonts w:ascii="Times New Roman" w:hAnsi="Times New Roman"/>
          <w:sz w:val="24"/>
          <w:szCs w:val="24"/>
        </w:rPr>
        <w:t xml:space="preserve"> intrusion.</w:t>
      </w:r>
    </w:p>
    <w:p w:rsidR="00E13E10" w:rsidRPr="00986606" w:rsidRDefault="00E13E10" w:rsidP="00A252B9">
      <w:pPr>
        <w:spacing w:after="0" w:line="240" w:lineRule="auto"/>
        <w:jc w:val="both"/>
        <w:rPr>
          <w:rFonts w:ascii="Times New Roman" w:hAnsi="Times New Roman"/>
          <w:sz w:val="24"/>
          <w:szCs w:val="24"/>
        </w:rPr>
      </w:pPr>
    </w:p>
    <w:p w:rsidR="00A252B9" w:rsidRPr="00986606" w:rsidRDefault="00A252B9" w:rsidP="00A252B9">
      <w:pPr>
        <w:spacing w:after="0" w:line="240" w:lineRule="auto"/>
        <w:jc w:val="both"/>
        <w:rPr>
          <w:rFonts w:ascii="Times New Roman" w:hAnsi="Times New Roman"/>
          <w:sz w:val="24"/>
          <w:szCs w:val="24"/>
        </w:rPr>
      </w:pPr>
      <w:r w:rsidRPr="00986606">
        <w:rPr>
          <w:rFonts w:ascii="Times New Roman" w:hAnsi="Times New Roman"/>
          <w:sz w:val="24"/>
          <w:szCs w:val="24"/>
        </w:rPr>
        <w:t xml:space="preserve">By claiming that the claimant would be subject to more intrusion without </w:t>
      </w:r>
      <w:r w:rsidR="002475D2" w:rsidRPr="00986606">
        <w:rPr>
          <w:rFonts w:ascii="Times New Roman" w:hAnsi="Times New Roman"/>
          <w:sz w:val="24"/>
          <w:szCs w:val="24"/>
        </w:rPr>
        <w:t>an injunction, courts can maintain</w:t>
      </w:r>
      <w:r w:rsidRPr="00986606">
        <w:rPr>
          <w:rFonts w:ascii="Times New Roman" w:hAnsi="Times New Roman"/>
          <w:sz w:val="24"/>
          <w:szCs w:val="24"/>
        </w:rPr>
        <w:t xml:space="preserve"> that it has not failed and remains worthwhile</w:t>
      </w:r>
      <w:r w:rsidR="00D969D9" w:rsidRPr="00986606">
        <w:rPr>
          <w:rFonts w:ascii="Times New Roman" w:hAnsi="Times New Roman"/>
          <w:sz w:val="24"/>
          <w:szCs w:val="24"/>
        </w:rPr>
        <w:t xml:space="preserve"> (or ‘serves a useful purpose’)</w:t>
      </w:r>
      <w:r w:rsidRPr="00986606">
        <w:rPr>
          <w:rFonts w:ascii="Times New Roman" w:hAnsi="Times New Roman"/>
          <w:sz w:val="24"/>
          <w:szCs w:val="24"/>
        </w:rPr>
        <w:t>.</w:t>
      </w:r>
      <w:r w:rsidR="00D969D9" w:rsidRPr="00986606">
        <w:rPr>
          <w:rStyle w:val="FootnoteReference"/>
          <w:rFonts w:ascii="Times New Roman" w:hAnsi="Times New Roman"/>
          <w:sz w:val="24"/>
          <w:szCs w:val="24"/>
        </w:rPr>
        <w:footnoteReference w:id="148"/>
      </w:r>
      <w:r w:rsidRPr="00986606">
        <w:rPr>
          <w:rFonts w:ascii="Times New Roman" w:hAnsi="Times New Roman"/>
          <w:sz w:val="24"/>
          <w:szCs w:val="24"/>
        </w:rPr>
        <w:t xml:space="preserve">  The problem is changed, the injunc</w:t>
      </w:r>
      <w:r w:rsidR="002475D2" w:rsidRPr="00986606">
        <w:rPr>
          <w:rFonts w:ascii="Times New Roman" w:hAnsi="Times New Roman"/>
          <w:sz w:val="24"/>
          <w:szCs w:val="24"/>
        </w:rPr>
        <w:t>tion successfully solves this</w:t>
      </w:r>
      <w:r w:rsidR="0067049D" w:rsidRPr="00986606">
        <w:rPr>
          <w:rFonts w:ascii="Times New Roman" w:hAnsi="Times New Roman"/>
          <w:sz w:val="24"/>
          <w:szCs w:val="24"/>
        </w:rPr>
        <w:t xml:space="preserve"> new</w:t>
      </w:r>
      <w:r w:rsidRPr="00986606">
        <w:rPr>
          <w:rFonts w:ascii="Times New Roman" w:hAnsi="Times New Roman"/>
          <w:sz w:val="24"/>
          <w:szCs w:val="24"/>
        </w:rPr>
        <w:t xml:space="preserve"> problem and, perhaps, the law saves face.</w:t>
      </w:r>
      <w:r w:rsidR="0083376A" w:rsidRPr="00986606">
        <w:rPr>
          <w:rFonts w:ascii="Times New Roman" w:hAnsi="Times New Roman"/>
          <w:sz w:val="24"/>
          <w:szCs w:val="24"/>
        </w:rPr>
        <w:t xml:space="preserve">  Yet, </w:t>
      </w:r>
      <w:r w:rsidR="00E13E10" w:rsidRPr="00986606">
        <w:rPr>
          <w:rFonts w:ascii="Times New Roman" w:hAnsi="Times New Roman"/>
          <w:sz w:val="24"/>
          <w:szCs w:val="24"/>
        </w:rPr>
        <w:t xml:space="preserve">as discussed, </w:t>
      </w:r>
      <w:r w:rsidR="0083376A" w:rsidRPr="00986606">
        <w:rPr>
          <w:rFonts w:ascii="Times New Roman" w:hAnsi="Times New Roman"/>
          <w:sz w:val="24"/>
          <w:szCs w:val="24"/>
        </w:rPr>
        <w:t>the extent to which MPI injunctions</w:t>
      </w:r>
      <w:r w:rsidR="00E13E10" w:rsidRPr="00986606">
        <w:rPr>
          <w:rFonts w:ascii="Times New Roman" w:hAnsi="Times New Roman"/>
          <w:sz w:val="24"/>
          <w:szCs w:val="24"/>
        </w:rPr>
        <w:t xml:space="preserve"> are able to</w:t>
      </w:r>
      <w:r w:rsidR="0083376A" w:rsidRPr="00986606">
        <w:rPr>
          <w:rFonts w:ascii="Times New Roman" w:hAnsi="Times New Roman"/>
          <w:sz w:val="24"/>
          <w:szCs w:val="24"/>
        </w:rPr>
        <w:t xml:space="preserve"> limit </w:t>
      </w:r>
      <w:r w:rsidR="00E13E10" w:rsidRPr="00986606">
        <w:rPr>
          <w:rFonts w:ascii="Times New Roman" w:hAnsi="Times New Roman"/>
          <w:sz w:val="24"/>
          <w:szCs w:val="24"/>
        </w:rPr>
        <w:t xml:space="preserve">‘repetition of information’ </w:t>
      </w:r>
      <w:r w:rsidR="0083376A" w:rsidRPr="00986606">
        <w:rPr>
          <w:rFonts w:ascii="Times New Roman" w:hAnsi="Times New Roman"/>
          <w:sz w:val="24"/>
          <w:szCs w:val="24"/>
        </w:rPr>
        <w:t xml:space="preserve">intrusion is questionable.  </w:t>
      </w:r>
      <w:r w:rsidR="00E13E10" w:rsidRPr="00986606">
        <w:rPr>
          <w:rFonts w:ascii="Times New Roman" w:hAnsi="Times New Roman"/>
          <w:sz w:val="24"/>
          <w:szCs w:val="24"/>
        </w:rPr>
        <w:t>Part 1.2</w:t>
      </w:r>
      <w:r w:rsidR="0083376A" w:rsidRPr="00986606">
        <w:rPr>
          <w:rFonts w:ascii="Times New Roman" w:hAnsi="Times New Roman"/>
          <w:sz w:val="24"/>
          <w:szCs w:val="24"/>
        </w:rPr>
        <w:t xml:space="preserve"> established that private information</w:t>
      </w:r>
      <w:r w:rsidR="005F0F78" w:rsidRPr="00986606">
        <w:rPr>
          <w:rFonts w:ascii="Times New Roman" w:hAnsi="Times New Roman"/>
          <w:sz w:val="24"/>
          <w:szCs w:val="24"/>
        </w:rPr>
        <w:t xml:space="preserve"> was nonetheless widely repeated despite the </w:t>
      </w:r>
      <w:r w:rsidR="00102AF1" w:rsidRPr="00986606">
        <w:rPr>
          <w:rFonts w:ascii="Times New Roman" w:hAnsi="Times New Roman"/>
          <w:i/>
          <w:sz w:val="24"/>
          <w:szCs w:val="24"/>
        </w:rPr>
        <w:t>PJS</w:t>
      </w:r>
      <w:r w:rsidR="00102AF1" w:rsidRPr="00986606">
        <w:rPr>
          <w:rFonts w:ascii="Times New Roman" w:hAnsi="Times New Roman"/>
          <w:sz w:val="24"/>
          <w:szCs w:val="24"/>
        </w:rPr>
        <w:t xml:space="preserve"> </w:t>
      </w:r>
      <w:r w:rsidR="005F0F78" w:rsidRPr="00986606">
        <w:rPr>
          <w:rFonts w:ascii="Times New Roman" w:hAnsi="Times New Roman"/>
          <w:sz w:val="24"/>
          <w:szCs w:val="24"/>
        </w:rPr>
        <w:t xml:space="preserve">injunction.  Additionally, </w:t>
      </w:r>
      <w:r w:rsidR="00DD49C4" w:rsidRPr="00986606">
        <w:rPr>
          <w:rFonts w:ascii="Times New Roman" w:hAnsi="Times New Roman"/>
          <w:sz w:val="24"/>
          <w:szCs w:val="24"/>
        </w:rPr>
        <w:t>MPI injunctions are not the only means to restrict physical press intrusion;</w:t>
      </w:r>
      <w:r w:rsidR="00573CFE" w:rsidRPr="00986606">
        <w:rPr>
          <w:rFonts w:ascii="Times New Roman" w:hAnsi="Times New Roman"/>
          <w:sz w:val="24"/>
          <w:szCs w:val="24"/>
        </w:rPr>
        <w:t xml:space="preserve"> </w:t>
      </w:r>
      <w:r w:rsidR="00DD49C4" w:rsidRPr="00986606">
        <w:rPr>
          <w:rFonts w:ascii="Times New Roman" w:hAnsi="Times New Roman"/>
          <w:sz w:val="24"/>
          <w:szCs w:val="24"/>
        </w:rPr>
        <w:t xml:space="preserve">for example, </w:t>
      </w:r>
      <w:r w:rsidR="00120382" w:rsidRPr="00986606">
        <w:rPr>
          <w:rFonts w:ascii="Times New Roman" w:hAnsi="Times New Roman"/>
          <w:sz w:val="24"/>
          <w:szCs w:val="24"/>
        </w:rPr>
        <w:t xml:space="preserve">the </w:t>
      </w:r>
      <w:r w:rsidR="00120382" w:rsidRPr="00986606">
        <w:rPr>
          <w:rFonts w:ascii="Times New Roman" w:hAnsi="Times New Roman"/>
          <w:i/>
          <w:sz w:val="24"/>
          <w:szCs w:val="24"/>
        </w:rPr>
        <w:t>Harassment Act 1997</w:t>
      </w:r>
      <w:r w:rsidR="00120382" w:rsidRPr="00986606">
        <w:rPr>
          <w:rFonts w:ascii="Times New Roman" w:hAnsi="Times New Roman"/>
          <w:sz w:val="24"/>
          <w:szCs w:val="24"/>
        </w:rPr>
        <w:t xml:space="preserve"> </w:t>
      </w:r>
      <w:r w:rsidR="00DD49C4" w:rsidRPr="00986606">
        <w:rPr>
          <w:rFonts w:ascii="Times New Roman" w:hAnsi="Times New Roman"/>
          <w:sz w:val="24"/>
          <w:szCs w:val="24"/>
        </w:rPr>
        <w:t xml:space="preserve">was </w:t>
      </w:r>
      <w:r w:rsidR="00120382" w:rsidRPr="00986606">
        <w:rPr>
          <w:rFonts w:ascii="Times New Roman" w:hAnsi="Times New Roman"/>
          <w:sz w:val="24"/>
          <w:szCs w:val="24"/>
        </w:rPr>
        <w:t xml:space="preserve">employed effectively to restrain aggressive and deplorable press </w:t>
      </w:r>
      <w:r w:rsidR="00DD49C4" w:rsidRPr="00986606">
        <w:rPr>
          <w:rFonts w:ascii="Times New Roman" w:hAnsi="Times New Roman"/>
          <w:sz w:val="24"/>
          <w:szCs w:val="24"/>
        </w:rPr>
        <w:t xml:space="preserve">hounding </w:t>
      </w:r>
      <w:r w:rsidR="00120382" w:rsidRPr="00986606">
        <w:rPr>
          <w:rFonts w:ascii="Times New Roman" w:hAnsi="Times New Roman"/>
          <w:sz w:val="24"/>
          <w:szCs w:val="24"/>
        </w:rPr>
        <w:t xml:space="preserve">in </w:t>
      </w:r>
      <w:r w:rsidR="00120382" w:rsidRPr="00986606">
        <w:rPr>
          <w:rFonts w:ascii="Times New Roman" w:hAnsi="Times New Roman"/>
          <w:i/>
          <w:sz w:val="24"/>
          <w:szCs w:val="24"/>
        </w:rPr>
        <w:t>Hong v XYZ.</w:t>
      </w:r>
      <w:r w:rsidR="002B198E" w:rsidRPr="00986606">
        <w:rPr>
          <w:rStyle w:val="FootnoteReference"/>
          <w:rFonts w:ascii="Times New Roman" w:hAnsi="Times New Roman"/>
          <w:i/>
          <w:sz w:val="24"/>
          <w:szCs w:val="24"/>
        </w:rPr>
        <w:footnoteReference w:id="149"/>
      </w:r>
      <w:r w:rsidR="005F0F78" w:rsidRPr="00986606">
        <w:rPr>
          <w:rFonts w:ascii="Times New Roman" w:hAnsi="Times New Roman"/>
          <w:sz w:val="24"/>
          <w:szCs w:val="24"/>
        </w:rPr>
        <w:t xml:space="preserve"> </w:t>
      </w:r>
      <w:r w:rsidRPr="00986606">
        <w:rPr>
          <w:rFonts w:ascii="Times New Roman" w:hAnsi="Times New Roman"/>
          <w:sz w:val="24"/>
          <w:szCs w:val="24"/>
        </w:rPr>
        <w:t xml:space="preserve"> </w:t>
      </w:r>
    </w:p>
    <w:p w:rsidR="00A252B9" w:rsidRPr="00986606" w:rsidRDefault="00A252B9" w:rsidP="00A252B9">
      <w:pPr>
        <w:spacing w:after="0" w:line="240" w:lineRule="auto"/>
        <w:jc w:val="both"/>
        <w:rPr>
          <w:rFonts w:ascii="Times New Roman" w:hAnsi="Times New Roman"/>
          <w:sz w:val="24"/>
          <w:szCs w:val="24"/>
        </w:rPr>
      </w:pPr>
    </w:p>
    <w:p w:rsidR="0045475C" w:rsidRPr="00986606" w:rsidRDefault="0045475C" w:rsidP="00A252B9">
      <w:pPr>
        <w:spacing w:after="0" w:line="240" w:lineRule="auto"/>
        <w:jc w:val="both"/>
        <w:rPr>
          <w:rFonts w:ascii="Times New Roman" w:hAnsi="Times New Roman"/>
          <w:sz w:val="24"/>
          <w:szCs w:val="24"/>
        </w:rPr>
      </w:pPr>
    </w:p>
    <w:p w:rsidR="00A252B9" w:rsidRPr="00986606" w:rsidRDefault="0045475C" w:rsidP="00A252B9">
      <w:pPr>
        <w:spacing w:after="0" w:line="240" w:lineRule="auto"/>
        <w:jc w:val="both"/>
        <w:rPr>
          <w:rFonts w:ascii="Times New Roman" w:hAnsi="Times New Roman"/>
          <w:sz w:val="24"/>
          <w:szCs w:val="24"/>
        </w:rPr>
      </w:pPr>
      <w:r w:rsidRPr="00986606">
        <w:rPr>
          <w:rFonts w:ascii="Times New Roman" w:hAnsi="Times New Roman"/>
          <w:sz w:val="24"/>
          <w:szCs w:val="24"/>
        </w:rPr>
        <w:t xml:space="preserve">Ultimately, one must question the </w:t>
      </w:r>
      <w:r w:rsidR="00AE281B" w:rsidRPr="00986606">
        <w:rPr>
          <w:rFonts w:ascii="Times New Roman" w:hAnsi="Times New Roman"/>
          <w:sz w:val="24"/>
          <w:szCs w:val="24"/>
        </w:rPr>
        <w:t xml:space="preserve">extent </w:t>
      </w:r>
      <w:r w:rsidRPr="00986606">
        <w:rPr>
          <w:rFonts w:ascii="Times New Roman" w:hAnsi="Times New Roman"/>
          <w:sz w:val="24"/>
          <w:szCs w:val="24"/>
        </w:rPr>
        <w:t xml:space="preserve">to which </w:t>
      </w:r>
      <w:r w:rsidR="00A252B9" w:rsidRPr="00986606">
        <w:rPr>
          <w:rFonts w:ascii="Times New Roman" w:hAnsi="Times New Roman"/>
          <w:sz w:val="24"/>
          <w:szCs w:val="24"/>
        </w:rPr>
        <w:t>the two aspects</w:t>
      </w:r>
      <w:r w:rsidR="003B65A5" w:rsidRPr="00986606">
        <w:rPr>
          <w:rFonts w:ascii="Times New Roman" w:hAnsi="Times New Roman"/>
          <w:sz w:val="24"/>
          <w:szCs w:val="24"/>
        </w:rPr>
        <w:t xml:space="preserve"> of privacy</w:t>
      </w:r>
      <w:r w:rsidRPr="00986606">
        <w:rPr>
          <w:rFonts w:ascii="Times New Roman" w:hAnsi="Times New Roman"/>
          <w:sz w:val="24"/>
          <w:szCs w:val="24"/>
        </w:rPr>
        <w:t xml:space="preserve"> – secrecy and intrusion - are</w:t>
      </w:r>
      <w:r w:rsidR="003B65A5" w:rsidRPr="00986606">
        <w:rPr>
          <w:rFonts w:ascii="Times New Roman" w:hAnsi="Times New Roman"/>
          <w:sz w:val="24"/>
          <w:szCs w:val="24"/>
        </w:rPr>
        <w:t xml:space="preserve"> neatly and</w:t>
      </w:r>
      <w:r w:rsidR="00A252B9" w:rsidRPr="00986606">
        <w:rPr>
          <w:rFonts w:ascii="Times New Roman" w:hAnsi="Times New Roman"/>
          <w:sz w:val="24"/>
          <w:szCs w:val="24"/>
        </w:rPr>
        <w:t xml:space="preserve"> conveniently separable</w:t>
      </w:r>
      <w:r w:rsidR="005057A3" w:rsidRPr="00986606">
        <w:rPr>
          <w:rFonts w:ascii="Times New Roman" w:hAnsi="Times New Roman"/>
          <w:sz w:val="24"/>
          <w:szCs w:val="24"/>
        </w:rPr>
        <w:t xml:space="preserve"> as the Law Lords suggested.</w:t>
      </w:r>
      <w:r w:rsidR="00461B2A" w:rsidRPr="00986606">
        <w:rPr>
          <w:rFonts w:ascii="Times New Roman" w:hAnsi="Times New Roman"/>
          <w:sz w:val="24"/>
          <w:szCs w:val="24"/>
        </w:rPr>
        <w:t xml:space="preserve"> </w:t>
      </w:r>
      <w:r w:rsidR="005057A3" w:rsidRPr="00986606">
        <w:rPr>
          <w:rFonts w:ascii="Times New Roman" w:hAnsi="Times New Roman"/>
          <w:sz w:val="24"/>
          <w:szCs w:val="24"/>
        </w:rPr>
        <w:t xml:space="preserve"> This is particularly in light of</w:t>
      </w:r>
      <w:r w:rsidR="00461B2A" w:rsidRPr="00986606">
        <w:rPr>
          <w:rFonts w:ascii="Times New Roman" w:hAnsi="Times New Roman"/>
          <w:sz w:val="24"/>
          <w:szCs w:val="24"/>
        </w:rPr>
        <w:t xml:space="preserve"> the</w:t>
      </w:r>
      <w:r w:rsidR="005057A3" w:rsidRPr="00986606">
        <w:rPr>
          <w:rFonts w:ascii="Times New Roman" w:hAnsi="Times New Roman"/>
          <w:sz w:val="24"/>
          <w:szCs w:val="24"/>
        </w:rPr>
        <w:t xml:space="preserve"> apparent</w:t>
      </w:r>
      <w:r w:rsidR="00461B2A" w:rsidRPr="00986606">
        <w:rPr>
          <w:rFonts w:ascii="Times New Roman" w:hAnsi="Times New Roman"/>
          <w:sz w:val="24"/>
          <w:szCs w:val="24"/>
        </w:rPr>
        <w:t xml:space="preserve"> dual meaning of intrusion itself</w:t>
      </w:r>
      <w:r w:rsidR="00F62D85" w:rsidRPr="00986606">
        <w:rPr>
          <w:rFonts w:ascii="Times New Roman" w:hAnsi="Times New Roman"/>
          <w:sz w:val="24"/>
          <w:szCs w:val="24"/>
        </w:rPr>
        <w:t xml:space="preserve">; it </w:t>
      </w:r>
      <w:r w:rsidR="00607874" w:rsidRPr="00986606">
        <w:rPr>
          <w:rFonts w:ascii="Times New Roman" w:hAnsi="Times New Roman"/>
          <w:sz w:val="24"/>
          <w:szCs w:val="24"/>
        </w:rPr>
        <w:t>seems to encompass</w:t>
      </w:r>
      <w:r w:rsidR="00F62D85" w:rsidRPr="00986606">
        <w:rPr>
          <w:rFonts w:ascii="Times New Roman" w:hAnsi="Times New Roman"/>
          <w:sz w:val="24"/>
          <w:szCs w:val="24"/>
        </w:rPr>
        <w:t xml:space="preserve"> press hounding and intrusive repetition, </w:t>
      </w:r>
      <w:r w:rsidR="005057A3" w:rsidRPr="00986606">
        <w:rPr>
          <w:rFonts w:ascii="Times New Roman" w:hAnsi="Times New Roman"/>
          <w:sz w:val="24"/>
          <w:szCs w:val="24"/>
        </w:rPr>
        <w:t xml:space="preserve">the </w:t>
      </w:r>
      <w:r w:rsidR="00F62D85" w:rsidRPr="00986606">
        <w:rPr>
          <w:rFonts w:ascii="Times New Roman" w:hAnsi="Times New Roman"/>
          <w:sz w:val="24"/>
          <w:szCs w:val="24"/>
        </w:rPr>
        <w:t xml:space="preserve">latter of </w:t>
      </w:r>
      <w:r w:rsidR="00AE281B" w:rsidRPr="00986606">
        <w:rPr>
          <w:rFonts w:ascii="Times New Roman" w:hAnsi="Times New Roman"/>
          <w:sz w:val="24"/>
          <w:szCs w:val="24"/>
        </w:rPr>
        <w:t xml:space="preserve">which bears </w:t>
      </w:r>
      <w:r w:rsidR="00420718" w:rsidRPr="00986606">
        <w:rPr>
          <w:rFonts w:ascii="Times New Roman" w:hAnsi="Times New Roman"/>
          <w:sz w:val="24"/>
          <w:szCs w:val="24"/>
        </w:rPr>
        <w:t xml:space="preserve">a </w:t>
      </w:r>
      <w:r w:rsidR="00AE281B" w:rsidRPr="00986606">
        <w:rPr>
          <w:rFonts w:ascii="Times New Roman" w:hAnsi="Times New Roman"/>
          <w:sz w:val="24"/>
          <w:szCs w:val="24"/>
        </w:rPr>
        <w:t>rem</w:t>
      </w:r>
      <w:r w:rsidR="005057A3" w:rsidRPr="00986606">
        <w:rPr>
          <w:rFonts w:ascii="Times New Roman" w:hAnsi="Times New Roman"/>
          <w:sz w:val="24"/>
          <w:szCs w:val="24"/>
        </w:rPr>
        <w:t>arkable resemblance</w:t>
      </w:r>
      <w:r w:rsidR="00F62D85" w:rsidRPr="00986606">
        <w:rPr>
          <w:rFonts w:ascii="Times New Roman" w:hAnsi="Times New Roman"/>
          <w:sz w:val="24"/>
          <w:szCs w:val="24"/>
        </w:rPr>
        <w:t xml:space="preserve"> (in form but not</w:t>
      </w:r>
      <w:r w:rsidR="00373F49" w:rsidRPr="00986606">
        <w:rPr>
          <w:rFonts w:ascii="Times New Roman" w:hAnsi="Times New Roman"/>
          <w:sz w:val="24"/>
          <w:szCs w:val="24"/>
        </w:rPr>
        <w:t xml:space="preserve"> favour</w:t>
      </w:r>
      <w:r w:rsidR="00F62D85" w:rsidRPr="00986606">
        <w:rPr>
          <w:rFonts w:ascii="Times New Roman" w:hAnsi="Times New Roman"/>
          <w:sz w:val="24"/>
          <w:szCs w:val="24"/>
        </w:rPr>
        <w:t>)</w:t>
      </w:r>
      <w:r w:rsidR="005057A3" w:rsidRPr="00986606">
        <w:rPr>
          <w:rFonts w:ascii="Times New Roman" w:hAnsi="Times New Roman"/>
          <w:sz w:val="24"/>
          <w:szCs w:val="24"/>
        </w:rPr>
        <w:t xml:space="preserve"> to</w:t>
      </w:r>
      <w:r w:rsidR="008B4412" w:rsidRPr="00986606">
        <w:rPr>
          <w:rFonts w:ascii="Times New Roman" w:hAnsi="Times New Roman"/>
          <w:sz w:val="24"/>
          <w:szCs w:val="24"/>
        </w:rPr>
        <w:t xml:space="preserve"> the</w:t>
      </w:r>
      <w:r w:rsidR="005057A3" w:rsidRPr="00986606">
        <w:rPr>
          <w:rFonts w:ascii="Times New Roman" w:hAnsi="Times New Roman"/>
          <w:sz w:val="24"/>
          <w:szCs w:val="24"/>
        </w:rPr>
        <w:t xml:space="preserve"> </w:t>
      </w:r>
      <w:r w:rsidR="00F62D85" w:rsidRPr="00986606">
        <w:rPr>
          <w:rFonts w:ascii="Times New Roman" w:hAnsi="Times New Roman"/>
          <w:sz w:val="24"/>
          <w:szCs w:val="24"/>
        </w:rPr>
        <w:t>‘</w:t>
      </w:r>
      <w:r w:rsidR="005057A3" w:rsidRPr="00986606">
        <w:rPr>
          <w:rFonts w:ascii="Times New Roman" w:hAnsi="Times New Roman"/>
          <w:sz w:val="24"/>
          <w:szCs w:val="24"/>
        </w:rPr>
        <w:t>secrecy</w:t>
      </w:r>
      <w:r w:rsidR="00F62D85" w:rsidRPr="00986606">
        <w:rPr>
          <w:rFonts w:ascii="Times New Roman" w:hAnsi="Times New Roman"/>
          <w:sz w:val="24"/>
          <w:szCs w:val="24"/>
        </w:rPr>
        <w:t>’ that</w:t>
      </w:r>
      <w:r w:rsidR="00373F49" w:rsidRPr="00986606">
        <w:rPr>
          <w:rFonts w:ascii="Times New Roman" w:hAnsi="Times New Roman"/>
          <w:sz w:val="24"/>
          <w:szCs w:val="24"/>
        </w:rPr>
        <w:t xml:space="preserve"> it displaced</w:t>
      </w:r>
      <w:r w:rsidR="005057A3" w:rsidRPr="00986606">
        <w:rPr>
          <w:rFonts w:ascii="Times New Roman" w:hAnsi="Times New Roman"/>
          <w:sz w:val="24"/>
          <w:szCs w:val="24"/>
        </w:rPr>
        <w:t>.</w:t>
      </w:r>
      <w:r w:rsidR="00497871" w:rsidRPr="00986606">
        <w:rPr>
          <w:rFonts w:ascii="Times New Roman" w:hAnsi="Times New Roman"/>
          <w:sz w:val="24"/>
          <w:szCs w:val="24"/>
        </w:rPr>
        <w:t xml:space="preserve">  </w:t>
      </w:r>
      <w:r w:rsidR="00A252B9" w:rsidRPr="00986606">
        <w:rPr>
          <w:rFonts w:ascii="Times New Roman" w:hAnsi="Times New Roman"/>
          <w:sz w:val="24"/>
          <w:szCs w:val="24"/>
        </w:rPr>
        <w:t xml:space="preserve">As with the Supreme Court majority’s distinction between online and press dissemination, Lord </w:t>
      </w:r>
      <w:proofErr w:type="spellStart"/>
      <w:r w:rsidR="00A252B9" w:rsidRPr="00986606">
        <w:rPr>
          <w:rFonts w:ascii="Times New Roman" w:hAnsi="Times New Roman"/>
          <w:sz w:val="24"/>
          <w:szCs w:val="24"/>
        </w:rPr>
        <w:t>Toulson</w:t>
      </w:r>
      <w:proofErr w:type="spellEnd"/>
      <w:r w:rsidR="00A252B9" w:rsidRPr="00986606">
        <w:rPr>
          <w:rFonts w:ascii="Times New Roman" w:hAnsi="Times New Roman"/>
          <w:sz w:val="24"/>
          <w:szCs w:val="24"/>
        </w:rPr>
        <w:t xml:space="preserve"> implicitly dissented on the majority’</w:t>
      </w:r>
      <w:r w:rsidR="00BB1E43" w:rsidRPr="00986606">
        <w:rPr>
          <w:rFonts w:ascii="Times New Roman" w:hAnsi="Times New Roman"/>
          <w:sz w:val="24"/>
          <w:szCs w:val="24"/>
        </w:rPr>
        <w:t>s splitting of privacy.  He did</w:t>
      </w:r>
      <w:r w:rsidR="00A252B9" w:rsidRPr="00986606">
        <w:rPr>
          <w:rFonts w:ascii="Times New Roman" w:hAnsi="Times New Roman"/>
          <w:sz w:val="24"/>
          <w:szCs w:val="24"/>
        </w:rPr>
        <w:t xml:space="preserve"> not distinguish between confidence and intrusion,</w:t>
      </w:r>
      <w:r w:rsidR="00497871" w:rsidRPr="00986606">
        <w:rPr>
          <w:rFonts w:ascii="Times New Roman" w:hAnsi="Times New Roman"/>
          <w:sz w:val="24"/>
          <w:szCs w:val="24"/>
        </w:rPr>
        <w:t xml:space="preserve"> but </w:t>
      </w:r>
      <w:r w:rsidR="00BB1E43" w:rsidRPr="00986606">
        <w:rPr>
          <w:rFonts w:ascii="Times New Roman" w:hAnsi="Times New Roman"/>
          <w:sz w:val="24"/>
          <w:szCs w:val="24"/>
        </w:rPr>
        <w:t>viewed</w:t>
      </w:r>
      <w:r w:rsidR="00A252B9" w:rsidRPr="00986606">
        <w:rPr>
          <w:rFonts w:ascii="Times New Roman" w:hAnsi="Times New Roman"/>
          <w:sz w:val="24"/>
          <w:szCs w:val="24"/>
        </w:rPr>
        <w:t xml:space="preserve"> privacy as a unified whole</w:t>
      </w:r>
      <w:r w:rsidR="00497871" w:rsidRPr="00986606">
        <w:rPr>
          <w:rFonts w:ascii="Times New Roman" w:hAnsi="Times New Roman"/>
          <w:sz w:val="24"/>
          <w:szCs w:val="24"/>
        </w:rPr>
        <w:t>.</w:t>
      </w:r>
      <w:r w:rsidR="00A252B9" w:rsidRPr="00986606">
        <w:rPr>
          <w:rFonts w:ascii="Times New Roman" w:hAnsi="Times New Roman"/>
          <w:sz w:val="24"/>
          <w:szCs w:val="24"/>
        </w:rPr>
        <w:t xml:space="preserve"> </w:t>
      </w:r>
      <w:r w:rsidR="00497871" w:rsidRPr="00986606">
        <w:rPr>
          <w:rFonts w:ascii="Times New Roman" w:hAnsi="Times New Roman"/>
          <w:sz w:val="24"/>
          <w:szCs w:val="24"/>
        </w:rPr>
        <w:t xml:space="preserve"> Thus a degree of confidentiality was</w:t>
      </w:r>
      <w:r w:rsidR="00BB1E43" w:rsidRPr="00986606">
        <w:rPr>
          <w:rFonts w:ascii="Times New Roman" w:hAnsi="Times New Roman"/>
          <w:sz w:val="24"/>
          <w:szCs w:val="24"/>
        </w:rPr>
        <w:t xml:space="preserve"> central</w:t>
      </w:r>
      <w:r w:rsidR="00497871" w:rsidRPr="00986606">
        <w:rPr>
          <w:rFonts w:ascii="Times New Roman" w:hAnsi="Times New Roman"/>
          <w:sz w:val="24"/>
          <w:szCs w:val="24"/>
        </w:rPr>
        <w:t xml:space="preserve"> if a privacy-protecting injunction was to continue:</w:t>
      </w:r>
    </w:p>
    <w:p w:rsidR="00A252B9" w:rsidRPr="00986606" w:rsidRDefault="00A252B9" w:rsidP="00A252B9">
      <w:pPr>
        <w:spacing w:after="0" w:line="240" w:lineRule="auto"/>
        <w:jc w:val="both"/>
        <w:rPr>
          <w:rFonts w:ascii="Times New Roman" w:hAnsi="Times New Roman"/>
          <w:sz w:val="24"/>
          <w:szCs w:val="24"/>
        </w:rPr>
      </w:pPr>
      <w:r w:rsidRPr="00986606">
        <w:rPr>
          <w:rFonts w:ascii="Times New Roman" w:hAnsi="Times New Roman"/>
          <w:sz w:val="24"/>
          <w:szCs w:val="24"/>
        </w:rPr>
        <w:t xml:space="preserve">  </w:t>
      </w:r>
    </w:p>
    <w:p w:rsidR="00A252B9" w:rsidRPr="00986606" w:rsidRDefault="00A252B9" w:rsidP="009A5B21">
      <w:pPr>
        <w:spacing w:after="0" w:line="240" w:lineRule="auto"/>
        <w:ind w:left="851" w:right="851"/>
        <w:jc w:val="both"/>
        <w:rPr>
          <w:rFonts w:ascii="Times New Roman" w:hAnsi="Times New Roman"/>
          <w:sz w:val="24"/>
          <w:szCs w:val="24"/>
        </w:rPr>
      </w:pPr>
      <w:r w:rsidRPr="00986606">
        <w:rPr>
          <w:rFonts w:ascii="Times New Roman" w:hAnsi="Times New Roman"/>
          <w:sz w:val="24"/>
          <w:szCs w:val="24"/>
        </w:rPr>
        <w:t>‘</w:t>
      </w:r>
      <w:r w:rsidRPr="00986606">
        <w:rPr>
          <w:rFonts w:ascii="Times New Roman" w:hAnsi="Times New Roman"/>
          <w:i/>
          <w:sz w:val="24"/>
          <w:szCs w:val="24"/>
        </w:rPr>
        <w:t>the story’s confidentiality has become so porous that the idea of it still remaining a secret in a meaningful sense is illusory.  Once it has become readily available to anyone who wants to know it, it has lost the essence of confidentiality.</w:t>
      </w:r>
      <w:r w:rsidRPr="00986606">
        <w:rPr>
          <w:rFonts w:ascii="Times New Roman" w:hAnsi="Times New Roman"/>
          <w:sz w:val="24"/>
          <w:szCs w:val="24"/>
        </w:rPr>
        <w:t>’</w:t>
      </w:r>
      <w:r w:rsidRPr="00986606">
        <w:rPr>
          <w:rFonts w:ascii="Times New Roman" w:hAnsi="Times New Roman"/>
          <w:sz w:val="24"/>
          <w:szCs w:val="24"/>
          <w:vertAlign w:val="superscript"/>
        </w:rPr>
        <w:footnoteReference w:id="150"/>
      </w:r>
      <w:r w:rsidRPr="00986606">
        <w:rPr>
          <w:rFonts w:ascii="Times New Roman" w:hAnsi="Times New Roman"/>
          <w:sz w:val="24"/>
          <w:szCs w:val="24"/>
        </w:rPr>
        <w:t xml:space="preserve">  </w:t>
      </w:r>
    </w:p>
    <w:p w:rsidR="00EA06C7" w:rsidRPr="00986606" w:rsidRDefault="00EA06C7" w:rsidP="00083B72">
      <w:pPr>
        <w:spacing w:after="0" w:line="240" w:lineRule="auto"/>
        <w:jc w:val="both"/>
        <w:rPr>
          <w:rFonts w:ascii="Times New Roman" w:hAnsi="Times New Roman"/>
          <w:sz w:val="24"/>
          <w:szCs w:val="24"/>
        </w:rPr>
      </w:pPr>
    </w:p>
    <w:p w:rsidR="00B81071" w:rsidRPr="00986606" w:rsidRDefault="00B81071" w:rsidP="00083B72">
      <w:pPr>
        <w:spacing w:after="0" w:line="240" w:lineRule="auto"/>
        <w:jc w:val="both"/>
        <w:rPr>
          <w:rFonts w:ascii="Times New Roman" w:hAnsi="Times New Roman"/>
          <w:sz w:val="24"/>
          <w:szCs w:val="24"/>
        </w:rPr>
      </w:pPr>
    </w:p>
    <w:p w:rsidR="00BD19A1" w:rsidRPr="00986606" w:rsidRDefault="00BD19A1" w:rsidP="00083B72">
      <w:pPr>
        <w:spacing w:after="0" w:line="240" w:lineRule="auto"/>
        <w:jc w:val="both"/>
        <w:rPr>
          <w:rFonts w:ascii="Times New Roman" w:hAnsi="Times New Roman"/>
          <w:sz w:val="24"/>
          <w:szCs w:val="24"/>
        </w:rPr>
      </w:pPr>
    </w:p>
    <w:p w:rsidR="00BD19A1" w:rsidRPr="00986606" w:rsidRDefault="00BD19A1" w:rsidP="00083B72">
      <w:pPr>
        <w:spacing w:after="0" w:line="240" w:lineRule="auto"/>
        <w:jc w:val="both"/>
        <w:rPr>
          <w:rFonts w:ascii="Times New Roman" w:hAnsi="Times New Roman"/>
          <w:sz w:val="24"/>
          <w:szCs w:val="24"/>
        </w:rPr>
      </w:pPr>
    </w:p>
    <w:p w:rsidR="00BD19A1" w:rsidRPr="00986606" w:rsidRDefault="00BD19A1" w:rsidP="00083B72">
      <w:pPr>
        <w:spacing w:after="0" w:line="240" w:lineRule="auto"/>
        <w:jc w:val="both"/>
        <w:rPr>
          <w:rFonts w:ascii="Times New Roman" w:hAnsi="Times New Roman"/>
          <w:sz w:val="24"/>
          <w:szCs w:val="24"/>
        </w:rPr>
      </w:pPr>
    </w:p>
    <w:p w:rsidR="00BD19A1" w:rsidRPr="00986606" w:rsidRDefault="00BD19A1" w:rsidP="00083B72">
      <w:pPr>
        <w:spacing w:after="0" w:line="240" w:lineRule="auto"/>
        <w:jc w:val="both"/>
        <w:rPr>
          <w:rFonts w:ascii="Times New Roman" w:hAnsi="Times New Roman"/>
          <w:sz w:val="24"/>
          <w:szCs w:val="24"/>
        </w:rPr>
      </w:pPr>
    </w:p>
    <w:p w:rsidR="00BE6332" w:rsidRPr="00986606" w:rsidRDefault="00025D42" w:rsidP="00C5746F">
      <w:pPr>
        <w:spacing w:after="0" w:line="240" w:lineRule="auto"/>
        <w:jc w:val="both"/>
        <w:rPr>
          <w:rFonts w:ascii="Times New Roman" w:hAnsi="Times New Roman"/>
          <w:b/>
          <w:sz w:val="32"/>
          <w:szCs w:val="32"/>
          <w:u w:val="single"/>
        </w:rPr>
      </w:pPr>
      <w:r w:rsidRPr="00986606">
        <w:rPr>
          <w:rFonts w:ascii="Times New Roman" w:hAnsi="Times New Roman"/>
          <w:b/>
          <w:sz w:val="32"/>
          <w:szCs w:val="32"/>
          <w:u w:val="single"/>
        </w:rPr>
        <w:lastRenderedPageBreak/>
        <w:t>Conclusion</w:t>
      </w:r>
    </w:p>
    <w:p w:rsidR="00C80002" w:rsidRPr="00986606" w:rsidRDefault="00C80002" w:rsidP="00C5746F">
      <w:pPr>
        <w:spacing w:after="0" w:line="240" w:lineRule="auto"/>
        <w:jc w:val="both"/>
        <w:rPr>
          <w:rFonts w:ascii="Times New Roman" w:hAnsi="Times New Roman"/>
          <w:sz w:val="24"/>
          <w:szCs w:val="24"/>
        </w:rPr>
      </w:pPr>
    </w:p>
    <w:p w:rsidR="00C80002" w:rsidRPr="00986606" w:rsidRDefault="00C80002" w:rsidP="00C5746F">
      <w:pPr>
        <w:spacing w:after="0" w:line="240" w:lineRule="auto"/>
        <w:jc w:val="both"/>
        <w:rPr>
          <w:rFonts w:ascii="Times New Roman" w:hAnsi="Times New Roman"/>
          <w:sz w:val="24"/>
          <w:szCs w:val="24"/>
        </w:rPr>
      </w:pPr>
    </w:p>
    <w:p w:rsidR="004D7B08" w:rsidRPr="00986606" w:rsidRDefault="004D7B08" w:rsidP="004D7B08">
      <w:pPr>
        <w:spacing w:after="0" w:line="240" w:lineRule="auto"/>
        <w:jc w:val="both"/>
        <w:rPr>
          <w:rFonts w:ascii="Times New Roman" w:hAnsi="Times New Roman"/>
          <w:sz w:val="24"/>
          <w:szCs w:val="24"/>
        </w:rPr>
      </w:pPr>
      <w:r w:rsidRPr="00986606">
        <w:rPr>
          <w:rFonts w:ascii="Times New Roman" w:hAnsi="Times New Roman"/>
          <w:sz w:val="24"/>
          <w:szCs w:val="24"/>
        </w:rPr>
        <w:t>Though in most cases MPI injunctions remain effective, they have on occasion led to unintended consequences.  In these cases injunctions created perverse incentives by increasing the desire of audiences to know the restricted information and/or instigating counter-responses from groups whose values strongly oppose such censorship.  Though such dynamics are by no means a new phenomenon, they have been exacerbated by Internet technologies that make communication of information quicker, easier, more widespread and fluid.</w:t>
      </w:r>
    </w:p>
    <w:p w:rsidR="004D7B08" w:rsidRPr="00986606" w:rsidRDefault="004D7B08" w:rsidP="004D7B08">
      <w:pPr>
        <w:spacing w:after="0" w:line="240" w:lineRule="auto"/>
        <w:jc w:val="both"/>
        <w:rPr>
          <w:rFonts w:ascii="Times New Roman" w:hAnsi="Times New Roman"/>
          <w:sz w:val="24"/>
          <w:szCs w:val="24"/>
        </w:rPr>
      </w:pPr>
    </w:p>
    <w:p w:rsidR="004D7B08" w:rsidRPr="00986606" w:rsidRDefault="004D7B08" w:rsidP="004D7B08">
      <w:pPr>
        <w:spacing w:after="0" w:line="240" w:lineRule="auto"/>
        <w:jc w:val="both"/>
        <w:rPr>
          <w:rFonts w:ascii="Times New Roman" w:hAnsi="Times New Roman"/>
          <w:sz w:val="24"/>
          <w:szCs w:val="24"/>
        </w:rPr>
      </w:pPr>
      <w:r w:rsidRPr="00986606">
        <w:rPr>
          <w:rFonts w:ascii="Times New Roman" w:hAnsi="Times New Roman"/>
          <w:sz w:val="24"/>
          <w:szCs w:val="24"/>
        </w:rPr>
        <w:t xml:space="preserve">The specific effects of MPI injunction censorship in an online context do not appear to have been subject to empirical study and could </w:t>
      </w:r>
      <w:r w:rsidR="00DB4A61" w:rsidRPr="00986606">
        <w:rPr>
          <w:rFonts w:ascii="Times New Roman" w:hAnsi="Times New Roman"/>
          <w:sz w:val="24"/>
          <w:szCs w:val="24"/>
        </w:rPr>
        <w:t xml:space="preserve">arguably benefit from </w:t>
      </w:r>
      <w:r w:rsidRPr="00986606">
        <w:rPr>
          <w:rFonts w:ascii="Times New Roman" w:hAnsi="Times New Roman"/>
          <w:sz w:val="24"/>
          <w:szCs w:val="24"/>
        </w:rPr>
        <w:t xml:space="preserve">further inter-disciplinary research.  Building on the </w:t>
      </w:r>
      <w:proofErr w:type="spellStart"/>
      <w:r w:rsidRPr="00986606">
        <w:rPr>
          <w:rFonts w:ascii="Times New Roman" w:hAnsi="Times New Roman"/>
          <w:sz w:val="24"/>
          <w:szCs w:val="24"/>
        </w:rPr>
        <w:t>Worchel</w:t>
      </w:r>
      <w:proofErr w:type="spellEnd"/>
      <w:r w:rsidRPr="00986606">
        <w:rPr>
          <w:rFonts w:ascii="Times New Roman" w:hAnsi="Times New Roman"/>
          <w:sz w:val="24"/>
          <w:szCs w:val="24"/>
        </w:rPr>
        <w:t xml:space="preserve"> censorship studies, such research could provide a greater understanding of the factors that increase the likelihood of injunctions creating perverse incentives.  Its findings could provide a basis for more effective use of injunctions, e.g. providing guidance on the appropriate conditions in which to issue them and their precise terms.  But Merton also cautions us to be attuned of the limits of purposive human action and to the possibility that, in any event, legal edicts may fail or backfire in a world over which lawmakers and other actors have limited control.</w:t>
      </w:r>
    </w:p>
    <w:p w:rsidR="004D7B08" w:rsidRPr="00986606" w:rsidRDefault="004D7B08" w:rsidP="004D7B08">
      <w:pPr>
        <w:spacing w:after="0" w:line="240" w:lineRule="auto"/>
        <w:jc w:val="both"/>
        <w:rPr>
          <w:rFonts w:ascii="Times New Roman" w:hAnsi="Times New Roman"/>
          <w:sz w:val="24"/>
          <w:szCs w:val="24"/>
        </w:rPr>
      </w:pPr>
    </w:p>
    <w:p w:rsidR="004D7B08" w:rsidRPr="00986606" w:rsidRDefault="004D7B08" w:rsidP="004D7B08">
      <w:pPr>
        <w:spacing w:after="0" w:line="240" w:lineRule="auto"/>
        <w:jc w:val="both"/>
        <w:rPr>
          <w:rFonts w:ascii="Times New Roman" w:hAnsi="Times New Roman"/>
          <w:sz w:val="24"/>
          <w:szCs w:val="24"/>
        </w:rPr>
      </w:pPr>
      <w:r w:rsidRPr="00986606">
        <w:rPr>
          <w:rFonts w:ascii="Times New Roman" w:hAnsi="Times New Roman"/>
          <w:sz w:val="24"/>
          <w:szCs w:val="24"/>
        </w:rPr>
        <w:t xml:space="preserve">Because judges are unable to address the root causes of unintended consequences of MPI injunctions it is likely that similar episodes could occur in the future.  Instead, the judicial response to unintended consequences has been to modify the problem that MPI injunctions seek to address, and thus their intended purpose and outcome.  Hence a crucial shift from restricting the dissemination of private information (maintaining secrecy) to the more modest objective of serving a useful purpose by limiting </w:t>
      </w:r>
      <w:r w:rsidR="00EA22DD" w:rsidRPr="00986606">
        <w:rPr>
          <w:rFonts w:ascii="Times New Roman" w:hAnsi="Times New Roman"/>
          <w:sz w:val="24"/>
          <w:szCs w:val="24"/>
        </w:rPr>
        <w:t xml:space="preserve">both press hounding and the </w:t>
      </w:r>
      <w:r w:rsidRPr="00986606">
        <w:rPr>
          <w:rFonts w:ascii="Times New Roman" w:hAnsi="Times New Roman"/>
          <w:sz w:val="24"/>
          <w:szCs w:val="24"/>
        </w:rPr>
        <w:t>dissemination of private information more than if no injunction was in place (limiting intrusion).  But even the achievement of this modest aim relies on a recently-constructed and tenuous distinction between press and Internet dissemination.  This distinction entails the courts marginalising the widespread online dissemination of private information, and ignoring its inevitable ‘off-line’ cross-over.   This underplaying of the immense quantitative reach of Internet media glosses over the essential failures of MPI orders, at least in relation to their ‘maintaining secrecy’ function</w:t>
      </w:r>
      <w:r w:rsidR="00970661" w:rsidRPr="00986606">
        <w:rPr>
          <w:rFonts w:ascii="Times New Roman" w:hAnsi="Times New Roman"/>
          <w:sz w:val="24"/>
          <w:szCs w:val="24"/>
        </w:rPr>
        <w:t xml:space="preserve">, </w:t>
      </w:r>
      <w:r w:rsidRPr="00986606">
        <w:rPr>
          <w:rFonts w:ascii="Times New Roman" w:hAnsi="Times New Roman"/>
          <w:sz w:val="24"/>
          <w:szCs w:val="24"/>
        </w:rPr>
        <w:t>but arguably</w:t>
      </w:r>
      <w:r w:rsidR="00EA22DD" w:rsidRPr="00986606">
        <w:rPr>
          <w:rFonts w:ascii="Times New Roman" w:hAnsi="Times New Roman"/>
          <w:sz w:val="24"/>
          <w:szCs w:val="24"/>
        </w:rPr>
        <w:t>,</w:t>
      </w:r>
      <w:r w:rsidRPr="00986606">
        <w:rPr>
          <w:rFonts w:ascii="Times New Roman" w:hAnsi="Times New Roman"/>
          <w:sz w:val="24"/>
          <w:szCs w:val="24"/>
        </w:rPr>
        <w:t xml:space="preserve"> their ‘li</w:t>
      </w:r>
      <w:r w:rsidR="00970661" w:rsidRPr="00986606">
        <w:rPr>
          <w:rFonts w:ascii="Times New Roman" w:hAnsi="Times New Roman"/>
          <w:sz w:val="24"/>
          <w:szCs w:val="24"/>
        </w:rPr>
        <w:t>miting intrusive repetition’ function also</w:t>
      </w:r>
      <w:r w:rsidRPr="00986606">
        <w:rPr>
          <w:rFonts w:ascii="Times New Roman" w:hAnsi="Times New Roman"/>
          <w:sz w:val="24"/>
          <w:szCs w:val="24"/>
        </w:rPr>
        <w:t xml:space="preserve">.  This approach enables the courts to justify the continuation of MPI injunctions in the face of widespread defiance.  Where an injunction faces unintended consequences such reactions now act to </w:t>
      </w:r>
      <w:r w:rsidRPr="00986606">
        <w:rPr>
          <w:rFonts w:ascii="Times New Roman" w:hAnsi="Times New Roman"/>
          <w:i/>
          <w:sz w:val="24"/>
          <w:szCs w:val="24"/>
        </w:rPr>
        <w:t xml:space="preserve">strengthen </w:t>
      </w:r>
      <w:r w:rsidRPr="00986606">
        <w:rPr>
          <w:rFonts w:ascii="Times New Roman" w:hAnsi="Times New Roman"/>
          <w:sz w:val="24"/>
          <w:szCs w:val="24"/>
        </w:rPr>
        <w:t xml:space="preserve">the arguments favouring the injunction, meaning they can remain in force even where private information is widely publicised.  But, as Browne-Wilkinson V-C, Lord </w:t>
      </w:r>
      <w:proofErr w:type="spellStart"/>
      <w:r w:rsidRPr="00986606">
        <w:rPr>
          <w:rFonts w:ascii="Times New Roman" w:hAnsi="Times New Roman"/>
          <w:sz w:val="24"/>
          <w:szCs w:val="24"/>
        </w:rPr>
        <w:t>Toulson</w:t>
      </w:r>
      <w:proofErr w:type="spellEnd"/>
      <w:r w:rsidRPr="00986606">
        <w:rPr>
          <w:rFonts w:asciiTheme="minorHAnsi" w:eastAsiaTheme="minorEastAsia" w:hAnsiTheme="minorHAnsi" w:cstheme="minorBidi"/>
          <w:vertAlign w:val="superscript"/>
        </w:rPr>
        <w:footnoteReference w:id="151"/>
      </w:r>
      <w:r w:rsidRPr="00986606">
        <w:rPr>
          <w:rFonts w:ascii="Times New Roman" w:hAnsi="Times New Roman"/>
          <w:sz w:val="24"/>
          <w:szCs w:val="24"/>
        </w:rPr>
        <w:t xml:space="preserve">  and the Court of Appeal in </w:t>
      </w:r>
      <w:r w:rsidRPr="00986606">
        <w:rPr>
          <w:rFonts w:ascii="Times New Roman" w:hAnsi="Times New Roman"/>
          <w:i/>
          <w:sz w:val="24"/>
          <w:szCs w:val="24"/>
        </w:rPr>
        <w:t>PJS</w:t>
      </w:r>
      <w:r w:rsidRPr="00986606">
        <w:rPr>
          <w:rFonts w:ascii="Times New Roman" w:hAnsi="Times New Roman"/>
          <w:sz w:val="24"/>
          <w:szCs w:val="24"/>
        </w:rPr>
        <w:t xml:space="preserve"> have warned, this arguably does risk sacrificing some of the law’s wider credibility in the process.</w:t>
      </w:r>
    </w:p>
    <w:p w:rsidR="004D7B08" w:rsidRPr="00986606" w:rsidRDefault="004D7B08" w:rsidP="004D7B08">
      <w:pPr>
        <w:spacing w:after="0" w:line="240" w:lineRule="auto"/>
        <w:jc w:val="both"/>
        <w:rPr>
          <w:rFonts w:ascii="Times New Roman" w:hAnsi="Times New Roman"/>
          <w:sz w:val="24"/>
          <w:szCs w:val="24"/>
        </w:rPr>
      </w:pPr>
    </w:p>
    <w:p w:rsidR="00D315E7" w:rsidRPr="001243EF" w:rsidRDefault="00D315E7" w:rsidP="00D06EC8">
      <w:pPr>
        <w:spacing w:after="0" w:line="240" w:lineRule="auto"/>
        <w:jc w:val="both"/>
        <w:rPr>
          <w:rFonts w:ascii="Times New Roman" w:hAnsi="Times New Roman"/>
          <w:sz w:val="24"/>
          <w:szCs w:val="24"/>
        </w:rPr>
      </w:pPr>
    </w:p>
    <w:sectPr w:rsidR="00D315E7" w:rsidRPr="001243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DA" w:rsidRDefault="001A16DA" w:rsidP="003B6561">
      <w:pPr>
        <w:spacing w:after="0" w:line="240" w:lineRule="auto"/>
      </w:pPr>
      <w:r>
        <w:separator/>
      </w:r>
    </w:p>
  </w:endnote>
  <w:endnote w:type="continuationSeparator" w:id="0">
    <w:p w:rsidR="001A16DA" w:rsidRDefault="001A16DA" w:rsidP="003B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9639"/>
      <w:docPartObj>
        <w:docPartGallery w:val="Page Numbers (Bottom of Page)"/>
        <w:docPartUnique/>
      </w:docPartObj>
    </w:sdtPr>
    <w:sdtEndPr>
      <w:rPr>
        <w:rFonts w:ascii="Times New Roman" w:hAnsi="Times New Roman"/>
        <w:b/>
        <w:noProof/>
      </w:rPr>
    </w:sdtEndPr>
    <w:sdtContent>
      <w:p w:rsidR="001A16DA" w:rsidRPr="007C0481" w:rsidRDefault="001A16DA">
        <w:pPr>
          <w:pStyle w:val="Footer"/>
          <w:jc w:val="right"/>
          <w:rPr>
            <w:rFonts w:ascii="Times New Roman" w:hAnsi="Times New Roman"/>
            <w:b/>
          </w:rPr>
        </w:pPr>
        <w:r w:rsidRPr="007C0481">
          <w:rPr>
            <w:rFonts w:ascii="Times New Roman" w:hAnsi="Times New Roman"/>
            <w:b/>
          </w:rPr>
          <w:fldChar w:fldCharType="begin"/>
        </w:r>
        <w:r w:rsidRPr="007C0481">
          <w:rPr>
            <w:rFonts w:ascii="Times New Roman" w:hAnsi="Times New Roman"/>
            <w:b/>
          </w:rPr>
          <w:instrText xml:space="preserve"> PAGE   \* MERGEFORMAT </w:instrText>
        </w:r>
        <w:r w:rsidRPr="007C0481">
          <w:rPr>
            <w:rFonts w:ascii="Times New Roman" w:hAnsi="Times New Roman"/>
            <w:b/>
          </w:rPr>
          <w:fldChar w:fldCharType="separate"/>
        </w:r>
        <w:r w:rsidR="0009180F">
          <w:rPr>
            <w:rFonts w:ascii="Times New Roman" w:hAnsi="Times New Roman"/>
            <w:b/>
            <w:noProof/>
          </w:rPr>
          <w:t>3</w:t>
        </w:r>
        <w:r w:rsidRPr="007C0481">
          <w:rPr>
            <w:rFonts w:ascii="Times New Roman" w:hAnsi="Times New Roman"/>
            <w:b/>
            <w:noProof/>
          </w:rPr>
          <w:fldChar w:fldCharType="end"/>
        </w:r>
      </w:p>
    </w:sdtContent>
  </w:sdt>
  <w:p w:rsidR="001A16DA" w:rsidRDefault="001A1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DA" w:rsidRDefault="001A16DA" w:rsidP="003B6561">
      <w:pPr>
        <w:spacing w:after="0" w:line="240" w:lineRule="auto"/>
      </w:pPr>
      <w:r>
        <w:separator/>
      </w:r>
    </w:p>
  </w:footnote>
  <w:footnote w:type="continuationSeparator" w:id="0">
    <w:p w:rsidR="001A16DA" w:rsidRDefault="001A16DA" w:rsidP="003B6561">
      <w:pPr>
        <w:spacing w:after="0" w:line="240" w:lineRule="auto"/>
      </w:pPr>
      <w:r>
        <w:continuationSeparator/>
      </w:r>
    </w:p>
  </w:footnote>
  <w:footnote w:id="1">
    <w:p w:rsidR="001A16DA" w:rsidRPr="00E43C78" w:rsidRDefault="001A16DA" w:rsidP="00AC265E">
      <w:pPr>
        <w:pStyle w:val="FootnoteText"/>
        <w:numPr>
          <w:ilvl w:val="0"/>
          <w:numId w:val="13"/>
        </w:numPr>
        <w:ind w:hanging="227"/>
        <w:jc w:val="both"/>
        <w:rPr>
          <w:rFonts w:ascii="Times New Roman" w:hAnsi="Times New Roman"/>
          <w:b/>
        </w:rPr>
      </w:pPr>
      <w:r w:rsidRPr="00E43C78">
        <w:rPr>
          <w:rFonts w:ascii="Times New Roman" w:hAnsi="Times New Roman"/>
          <w:b/>
        </w:rPr>
        <w:t>Special thanks to Richard Craven at Leicester University for co-</w:t>
      </w:r>
      <w:r w:rsidRPr="001B2246">
        <w:rPr>
          <w:rFonts w:ascii="Times New Roman" w:hAnsi="Times New Roman"/>
          <w:b/>
        </w:rPr>
        <w:t xml:space="preserve">convening </w:t>
      </w:r>
      <w:r w:rsidR="001B2246" w:rsidRPr="001B2246">
        <w:rPr>
          <w:rFonts w:ascii="Times New Roman" w:hAnsi="Times New Roman"/>
          <w:b/>
        </w:rPr>
        <w:t xml:space="preserve">with </w:t>
      </w:r>
      <w:r w:rsidR="0009180F">
        <w:rPr>
          <w:rFonts w:ascii="Times New Roman" w:hAnsi="Times New Roman"/>
          <w:b/>
        </w:rPr>
        <w:t xml:space="preserve">Prof </w:t>
      </w:r>
      <w:bookmarkStart w:id="0" w:name="_GoBack"/>
      <w:bookmarkEnd w:id="0"/>
      <w:r w:rsidR="001B2246" w:rsidRPr="001B2246">
        <w:rPr>
          <w:rFonts w:ascii="Times New Roman" w:hAnsi="Times New Roman"/>
          <w:b/>
        </w:rPr>
        <w:t xml:space="preserve">Phil Thomas </w:t>
      </w:r>
      <w:r w:rsidRPr="001B2246">
        <w:rPr>
          <w:rFonts w:ascii="Times New Roman" w:hAnsi="Times New Roman"/>
          <w:b/>
        </w:rPr>
        <w:t xml:space="preserve">the ‘law &amp; </w:t>
      </w:r>
      <w:r w:rsidRPr="00E43C78">
        <w:rPr>
          <w:rFonts w:ascii="Times New Roman" w:hAnsi="Times New Roman"/>
          <w:b/>
        </w:rPr>
        <w:t>unintended consequences’ stream of the Socio-Legal Scholars Association 2016 conference at which this paper was delivered.</w:t>
      </w:r>
    </w:p>
    <w:p w:rsidR="001A16DA" w:rsidRPr="00AC265E" w:rsidRDefault="001A16DA" w:rsidP="00B775FC">
      <w:pPr>
        <w:pStyle w:val="FootnoteText"/>
        <w:ind w:hanging="227"/>
        <w:jc w:val="both"/>
        <w:rPr>
          <w:rFonts w:ascii="Times New Roman" w:hAnsi="Times New Roman"/>
        </w:rPr>
      </w:pPr>
    </w:p>
    <w:p w:rsidR="001A16DA" w:rsidRPr="00AC265E" w:rsidRDefault="001A16DA" w:rsidP="00B775FC">
      <w:pPr>
        <w:pStyle w:val="FootnoteText"/>
        <w:ind w:hanging="113"/>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PJS v News Group Newspapers Ltd [2016] UKSC 26.</w:t>
      </w:r>
    </w:p>
  </w:footnote>
  <w:footnote w:id="2">
    <w:p w:rsidR="001A16DA" w:rsidRPr="00AC265E" w:rsidRDefault="001A16DA" w:rsidP="00B775FC">
      <w:pPr>
        <w:pStyle w:val="FootnoteText"/>
        <w:ind w:hanging="113"/>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Robert K. Merton, ‘The Unanticipated Consequences of Purposive Social Action’ American Sociological Review, Vol 1, No 6 (Dec 1936) 894-904.</w:t>
      </w:r>
    </w:p>
  </w:footnote>
  <w:footnote w:id="3">
    <w:p w:rsidR="001A16DA" w:rsidRPr="00AC265E" w:rsidRDefault="001A16DA" w:rsidP="00B775FC">
      <w:pPr>
        <w:pStyle w:val="FootnoteText"/>
        <w:ind w:hanging="113"/>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Ibid</w:t>
      </w:r>
      <w:r w:rsidRPr="00AC265E">
        <w:rPr>
          <w:rFonts w:ascii="Times New Roman" w:hAnsi="Times New Roman"/>
        </w:rPr>
        <w:t xml:space="preserve"> 896.</w:t>
      </w:r>
    </w:p>
  </w:footnote>
  <w:footnote w:id="4">
    <w:p w:rsidR="001A16DA" w:rsidRPr="00AC265E" w:rsidRDefault="001A16DA" w:rsidP="00B775FC">
      <w:pPr>
        <w:pStyle w:val="FootnoteText"/>
        <w:ind w:hanging="113"/>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proofErr w:type="spellStart"/>
      <w:r w:rsidRPr="00AC265E">
        <w:rPr>
          <w:rFonts w:ascii="Times New Roman" w:hAnsi="Times New Roman"/>
          <w:i/>
        </w:rPr>
        <w:t>Idid</w:t>
      </w:r>
      <w:proofErr w:type="spellEnd"/>
      <w:r w:rsidRPr="00AC265E">
        <w:rPr>
          <w:rFonts w:ascii="Times New Roman" w:hAnsi="Times New Roman"/>
          <w:i/>
        </w:rPr>
        <w:t xml:space="preserve"> </w:t>
      </w:r>
      <w:r w:rsidRPr="00AC265E">
        <w:rPr>
          <w:rFonts w:ascii="Times New Roman" w:hAnsi="Times New Roman"/>
        </w:rPr>
        <w:t>898-903.  Merton also lists values as a factor.</w:t>
      </w:r>
    </w:p>
  </w:footnote>
  <w:footnote w:id="5">
    <w:p w:rsidR="001A16DA" w:rsidRPr="00AC265E" w:rsidRDefault="001A16DA" w:rsidP="00B775FC">
      <w:pPr>
        <w:spacing w:after="0" w:line="240" w:lineRule="auto"/>
        <w:ind w:hanging="113"/>
        <w:jc w:val="both"/>
        <w:rPr>
          <w:rFonts w:ascii="Times New Roman" w:hAnsi="Times New Roman"/>
          <w:sz w:val="20"/>
          <w:szCs w:val="20"/>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Plato, </w:t>
      </w:r>
      <w:r w:rsidRPr="00AC265E">
        <w:rPr>
          <w:rFonts w:ascii="Times New Roman" w:hAnsi="Times New Roman"/>
          <w:i/>
          <w:sz w:val="20"/>
          <w:szCs w:val="20"/>
        </w:rPr>
        <w:t>The Republic</w:t>
      </w:r>
      <w:r w:rsidRPr="00AC265E">
        <w:rPr>
          <w:rFonts w:ascii="Times New Roman" w:hAnsi="Times New Roman"/>
          <w:sz w:val="20"/>
          <w:szCs w:val="20"/>
        </w:rPr>
        <w:t xml:space="preserve"> (Oxford 1998) [426e]. </w:t>
      </w:r>
    </w:p>
  </w:footnote>
  <w:footnote w:id="6">
    <w:p w:rsidR="001A16DA" w:rsidRPr="00AC265E" w:rsidRDefault="001A16DA" w:rsidP="00B775FC">
      <w:pPr>
        <w:pStyle w:val="FootnoteText"/>
        <w:ind w:hanging="113"/>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Confirmed in Vidal-Hall v Google [2015] EWCA </w:t>
      </w:r>
      <w:proofErr w:type="spellStart"/>
      <w:r w:rsidRPr="00AC265E">
        <w:rPr>
          <w:rFonts w:ascii="Times New Roman" w:hAnsi="Times New Roman"/>
        </w:rPr>
        <w:t>Civ</w:t>
      </w:r>
      <w:proofErr w:type="spellEnd"/>
      <w:r w:rsidRPr="00AC265E">
        <w:rPr>
          <w:rFonts w:ascii="Times New Roman" w:hAnsi="Times New Roman"/>
        </w:rPr>
        <w:t xml:space="preserve"> 311.</w:t>
      </w:r>
    </w:p>
  </w:footnote>
  <w:footnote w:id="7">
    <w:p w:rsidR="001A16DA" w:rsidRPr="00AC265E" w:rsidRDefault="001A16DA" w:rsidP="00B775FC">
      <w:pPr>
        <w:pStyle w:val="NoSpacing"/>
        <w:ind w:hanging="113"/>
        <w:jc w:val="both"/>
        <w:rPr>
          <w:rFonts w:ascii="Times New Roman" w:eastAsia="Times New Roman" w:hAnsi="Times New Roman"/>
          <w:sz w:val="20"/>
          <w:szCs w:val="20"/>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w:t>
      </w:r>
      <w:r w:rsidRPr="00AC265E">
        <w:rPr>
          <w:rFonts w:ascii="Times New Roman" w:eastAsia="Times New Roman" w:hAnsi="Times New Roman"/>
          <w:sz w:val="20"/>
          <w:szCs w:val="20"/>
        </w:rPr>
        <w:t>Rebecca Moosavian, ‘Charting the Journey from Confidence to the New Methodology’ (2012) 34(5) EIPR  324-335.</w:t>
      </w:r>
    </w:p>
  </w:footnote>
  <w:footnote w:id="8">
    <w:p w:rsidR="001A16DA" w:rsidRPr="00AC265E" w:rsidRDefault="001A16DA" w:rsidP="00B775FC">
      <w:pPr>
        <w:pStyle w:val="BlockText"/>
        <w:ind w:left="0" w:right="0" w:hanging="113"/>
        <w:rPr>
          <w:rFonts w:ascii="Times New Roman" w:hAnsi="Times New Roman"/>
          <w:sz w:val="20"/>
        </w:rPr>
      </w:pPr>
      <w:r w:rsidRPr="00AC265E">
        <w:rPr>
          <w:rStyle w:val="FootnoteReference"/>
          <w:rFonts w:ascii="Times New Roman" w:hAnsi="Times New Roman"/>
          <w:sz w:val="20"/>
        </w:rPr>
        <w:footnoteRef/>
      </w:r>
      <w:r w:rsidRPr="00AC265E">
        <w:rPr>
          <w:rFonts w:ascii="Times New Roman" w:hAnsi="Times New Roman"/>
          <w:sz w:val="20"/>
        </w:rPr>
        <w:t xml:space="preserve"> For an analysis of the metaphor of balancing in MPI case law see: ‘A Just Balance or Just Imbalance? The Role of Metaphor in Misuse of Private Information’ [2015] Journal of Media Law, Vol 7(2), 196-224.</w:t>
      </w:r>
    </w:p>
  </w:footnote>
  <w:footnote w:id="9">
    <w:p w:rsidR="001A16DA" w:rsidRPr="00AC265E" w:rsidRDefault="001A16DA" w:rsidP="00B775FC">
      <w:pPr>
        <w:pStyle w:val="FootnoteText"/>
        <w:ind w:hanging="113"/>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proofErr w:type="spellStart"/>
      <w:r w:rsidRPr="00AC265E">
        <w:rPr>
          <w:rFonts w:ascii="Times New Roman" w:hAnsi="Times New Roman"/>
        </w:rPr>
        <w:t>McKennitt</w:t>
      </w:r>
      <w:proofErr w:type="spellEnd"/>
      <w:r w:rsidRPr="00AC265E">
        <w:rPr>
          <w:rFonts w:ascii="Times New Roman" w:hAnsi="Times New Roman"/>
        </w:rPr>
        <w:t xml:space="preserve"> v Ash [2006] EWCA </w:t>
      </w:r>
      <w:proofErr w:type="spellStart"/>
      <w:r w:rsidRPr="00AC265E">
        <w:rPr>
          <w:rFonts w:ascii="Times New Roman" w:hAnsi="Times New Roman"/>
        </w:rPr>
        <w:t>Civ</w:t>
      </w:r>
      <w:proofErr w:type="spellEnd"/>
      <w:r w:rsidRPr="00AC265E">
        <w:rPr>
          <w:rFonts w:ascii="Times New Roman" w:hAnsi="Times New Roman"/>
        </w:rPr>
        <w:t xml:space="preserve"> 1714, [2008] QB 73; Murray v Express Newspapers Plc [2008] EWCA </w:t>
      </w:r>
      <w:proofErr w:type="spellStart"/>
      <w:r w:rsidRPr="00AC265E">
        <w:rPr>
          <w:rFonts w:ascii="Times New Roman" w:hAnsi="Times New Roman"/>
        </w:rPr>
        <w:t>Civ</w:t>
      </w:r>
      <w:proofErr w:type="spellEnd"/>
      <w:r w:rsidRPr="00AC265E">
        <w:rPr>
          <w:rFonts w:ascii="Times New Roman" w:hAnsi="Times New Roman"/>
        </w:rPr>
        <w:t xml:space="preserve"> 446.</w:t>
      </w:r>
    </w:p>
  </w:footnote>
  <w:footnote w:id="10">
    <w:p w:rsidR="001A16DA" w:rsidRPr="00AC265E" w:rsidRDefault="001A16DA" w:rsidP="00B775FC">
      <w:pPr>
        <w:pStyle w:val="FootnoteText"/>
        <w:ind w:hanging="113"/>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Raymond </w:t>
      </w:r>
      <w:proofErr w:type="spellStart"/>
      <w:r w:rsidRPr="00AC265E">
        <w:rPr>
          <w:rFonts w:ascii="Times New Roman" w:hAnsi="Times New Roman"/>
        </w:rPr>
        <w:t>Boudon</w:t>
      </w:r>
      <w:proofErr w:type="spellEnd"/>
      <w:r w:rsidRPr="00AC265E">
        <w:rPr>
          <w:rFonts w:ascii="Times New Roman" w:hAnsi="Times New Roman"/>
        </w:rPr>
        <w:t xml:space="preserve">, </w:t>
      </w:r>
      <w:r w:rsidRPr="00AC265E">
        <w:rPr>
          <w:rFonts w:ascii="Times New Roman" w:hAnsi="Times New Roman"/>
          <w:i/>
        </w:rPr>
        <w:t>The Unintended Consequences of Social Action</w:t>
      </w:r>
      <w:r w:rsidRPr="00AC265E">
        <w:rPr>
          <w:rFonts w:ascii="Times New Roman" w:hAnsi="Times New Roman"/>
        </w:rPr>
        <w:t xml:space="preserve"> (Macmillan Press, 1982, London) 14.</w:t>
      </w:r>
    </w:p>
  </w:footnote>
  <w:footnote w:id="11">
    <w:p w:rsidR="001A16DA" w:rsidRPr="00AC265E" w:rsidRDefault="001A16DA" w:rsidP="00B775FC">
      <w:pPr>
        <w:pStyle w:val="FootnoteText"/>
        <w:ind w:hanging="113"/>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PJS Supreme Court (n 1).</w:t>
      </w:r>
    </w:p>
  </w:footnote>
  <w:footnote w:id="12">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Lord Neuberger MR, ‘Report of the Committee on Super-Injunctions: Super-Injunctions, Anonymised Injunctions &amp; Open Justice’ 2011. &lt;</w:t>
      </w:r>
      <w:hyperlink r:id="rId1" w:history="1">
        <w:r w:rsidRPr="00AC265E">
          <w:rPr>
            <w:rStyle w:val="Hyperlink"/>
            <w:rFonts w:ascii="Times New Roman" w:hAnsi="Times New Roman"/>
          </w:rPr>
          <w:t>https://www.judiciary.gov.uk/wp-content/uploads/JCO/Documents/Reports/super-injunction-report-20052011.pdf</w:t>
        </w:r>
      </w:hyperlink>
      <w:r w:rsidRPr="00AC265E">
        <w:rPr>
          <w:rFonts w:ascii="Times New Roman" w:hAnsi="Times New Roman"/>
        </w:rPr>
        <w:t>&gt;  (accessed 16 Oct 2016)  [1.8]-[1.13].</w:t>
      </w:r>
    </w:p>
  </w:footnote>
  <w:footnote w:id="13">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Ibid</w:t>
      </w:r>
      <w:r w:rsidRPr="00AC265E">
        <w:rPr>
          <w:rFonts w:ascii="Times New Roman" w:hAnsi="Times New Roman"/>
        </w:rPr>
        <w:t xml:space="preserve"> p iv.</w:t>
      </w:r>
    </w:p>
  </w:footnote>
  <w:footnote w:id="14">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Section 12(3) Human Rights Act 1998.  Further detailed guidance on the terms of such injunctions is set out in Practice Direction (Interim Non-Disclosure Orders) [2012] 1 WLR 1003.  See also: JIH v News Group Newspapers Ltd [2011] EWCA </w:t>
      </w:r>
      <w:proofErr w:type="spellStart"/>
      <w:r w:rsidRPr="00AC265E">
        <w:rPr>
          <w:rFonts w:ascii="Times New Roman" w:hAnsi="Times New Roman"/>
        </w:rPr>
        <w:t>Civ</w:t>
      </w:r>
      <w:proofErr w:type="spellEnd"/>
      <w:r w:rsidRPr="00AC265E">
        <w:rPr>
          <w:rFonts w:ascii="Times New Roman" w:hAnsi="Times New Roman"/>
        </w:rPr>
        <w:t xml:space="preserve"> 42, [21]. </w:t>
      </w:r>
    </w:p>
  </w:footnote>
  <w:footnote w:id="15">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Section 12(4)(a)(</w:t>
      </w:r>
      <w:proofErr w:type="spellStart"/>
      <w:r w:rsidRPr="00AC265E">
        <w:rPr>
          <w:rFonts w:ascii="Times New Roman" w:hAnsi="Times New Roman"/>
        </w:rPr>
        <w:t>i</w:t>
      </w:r>
      <w:proofErr w:type="spellEnd"/>
      <w:r w:rsidRPr="00AC265E">
        <w:rPr>
          <w:rFonts w:ascii="Times New Roman" w:hAnsi="Times New Roman"/>
        </w:rPr>
        <w:t>) Human Rights Act 1998.</w:t>
      </w:r>
    </w:p>
  </w:footnote>
  <w:footnote w:id="16">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Rule 39.2(1) &amp; (3), Civil Procedure Rules 1998.</w:t>
      </w:r>
    </w:p>
  </w:footnote>
  <w:footnote w:id="17">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Rule 39(2)(4), Civil Procedure Rules 1998, states: ‘</w:t>
      </w:r>
      <w:r w:rsidRPr="00AC265E">
        <w:rPr>
          <w:rFonts w:ascii="Times New Roman" w:hAnsi="Times New Roman"/>
          <w:i/>
          <w:lang w:eastAsia="zh-CN"/>
        </w:rPr>
        <w:t>The court may order that the identity of any party or witness must not be disclosed if it considers non-disclosure necessary in order to protect the interests of that party or witness</w:t>
      </w:r>
      <w:r w:rsidRPr="00AC265E">
        <w:rPr>
          <w:rFonts w:ascii="Times New Roman" w:hAnsi="Times New Roman"/>
          <w:lang w:eastAsia="zh-CN"/>
        </w:rPr>
        <w:t xml:space="preserve">.’.  </w:t>
      </w:r>
      <w:r w:rsidRPr="00AC265E">
        <w:rPr>
          <w:rFonts w:ascii="Times New Roman" w:hAnsi="Times New Roman"/>
        </w:rPr>
        <w:t xml:space="preserve">The test for anonymization is whether there is there a general public interest in identifying the claimant that justifies curtailing his Article 8 right: Home Secretary of State for Home Department v AP (No 2) [2010] UKSC 26, [7] (Lord Rodger).  Applied in </w:t>
      </w:r>
      <w:r w:rsidRPr="00AC265E">
        <w:rPr>
          <w:rFonts w:ascii="Times New Roman" w:hAnsi="Times New Roman"/>
          <w:i/>
        </w:rPr>
        <w:t xml:space="preserve">Donald v </w:t>
      </w:r>
      <w:proofErr w:type="spellStart"/>
      <w:r w:rsidRPr="00AC265E">
        <w:rPr>
          <w:rFonts w:ascii="Times New Roman" w:hAnsi="Times New Roman"/>
          <w:i/>
        </w:rPr>
        <w:t>Ntuli</w:t>
      </w:r>
      <w:proofErr w:type="spellEnd"/>
      <w:r w:rsidRPr="00AC265E">
        <w:rPr>
          <w:rFonts w:ascii="Times New Roman" w:hAnsi="Times New Roman"/>
          <w:i/>
        </w:rPr>
        <w:t xml:space="preserve"> </w:t>
      </w:r>
      <w:r w:rsidRPr="00AC265E">
        <w:rPr>
          <w:rFonts w:ascii="Times New Roman" w:hAnsi="Times New Roman"/>
        </w:rPr>
        <w:t xml:space="preserve">[2010] EWCA </w:t>
      </w:r>
      <w:proofErr w:type="spellStart"/>
      <w:r w:rsidRPr="00AC265E">
        <w:rPr>
          <w:rFonts w:ascii="Times New Roman" w:hAnsi="Times New Roman"/>
        </w:rPr>
        <w:t>Civ</w:t>
      </w:r>
      <w:proofErr w:type="spellEnd"/>
      <w:r w:rsidRPr="00AC265E">
        <w:rPr>
          <w:rFonts w:ascii="Times New Roman" w:hAnsi="Times New Roman"/>
        </w:rPr>
        <w:t xml:space="preserve"> 1276 [52]; XJA v News Group [2010] EWHC 3174 [6].</w:t>
      </w:r>
    </w:p>
  </w:footnote>
  <w:footnote w:id="18">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See discussion of the principle of open justice: Lord Neuberger (n 12) [1.17]-[1.35].</w:t>
      </w:r>
    </w:p>
  </w:footnote>
  <w:footnote w:id="19">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Streisand v Adelman</w:t>
      </w:r>
      <w:r w:rsidRPr="00AC265E">
        <w:rPr>
          <w:rFonts w:ascii="Times New Roman" w:hAnsi="Times New Roman"/>
          <w:i/>
        </w:rPr>
        <w:t xml:space="preserve"> </w:t>
      </w:r>
      <w:r w:rsidRPr="00AC265E">
        <w:rPr>
          <w:rFonts w:ascii="Times New Roman" w:hAnsi="Times New Roman"/>
        </w:rPr>
        <w:t>(2003) Los Angeles Superior Court SC 077 257, p 37. &lt;</w:t>
      </w:r>
      <w:hyperlink r:id="rId2" w:history="1">
        <w:r w:rsidRPr="00AC265E">
          <w:rPr>
            <w:rStyle w:val="Hyperlink"/>
            <w:rFonts w:ascii="Times New Roman" w:hAnsi="Times New Roman"/>
          </w:rPr>
          <w:t>http://www.californiacoastline.org/streisand/slapp-ruling.pdf</w:t>
        </w:r>
      </w:hyperlink>
      <w:r w:rsidRPr="00AC265E">
        <w:rPr>
          <w:rFonts w:ascii="Times New Roman" w:hAnsi="Times New Roman"/>
        </w:rPr>
        <w:t>&gt; (accessed 16 Oct 2016)</w:t>
      </w:r>
    </w:p>
  </w:footnote>
  <w:footnote w:id="20">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The Economist Online, ‘What is the Streisand Effect ?’ (16 April 2013) &lt;</w:t>
      </w:r>
      <w:hyperlink r:id="rId3" w:history="1">
        <w:r w:rsidRPr="00AC265E">
          <w:rPr>
            <w:rStyle w:val="Hyperlink"/>
            <w:rFonts w:ascii="Times New Roman" w:hAnsi="Times New Roman"/>
          </w:rPr>
          <w:t>http://www.economist.com/blogs/economist-explains/2013/04/economist-explains-what-streisand-effect</w:t>
        </w:r>
      </w:hyperlink>
      <w:r w:rsidRPr="00AC265E">
        <w:rPr>
          <w:rFonts w:ascii="Times New Roman" w:hAnsi="Times New Roman"/>
        </w:rPr>
        <w:t xml:space="preserve">&gt; (last accessed 16 Oct 2016) </w:t>
      </w:r>
    </w:p>
  </w:footnote>
  <w:footnote w:id="21">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See, e.g.: D Doherty, ‘Downloading Infringement: Patent Law as a Roadblock to the 3D Printing Revolution’ (2012) Harvard Journal of Law &amp; Technology 26(1) 353-374, 363; S </w:t>
      </w:r>
      <w:proofErr w:type="spellStart"/>
      <w:r w:rsidRPr="00AC265E">
        <w:rPr>
          <w:rFonts w:ascii="Times New Roman" w:hAnsi="Times New Roman"/>
        </w:rPr>
        <w:t>LoCascio</w:t>
      </w:r>
      <w:proofErr w:type="spellEnd"/>
      <w:r w:rsidRPr="00AC265E">
        <w:rPr>
          <w:rFonts w:ascii="Times New Roman" w:hAnsi="Times New Roman"/>
        </w:rPr>
        <w:t>, ‘Forcing Europe to Wear the Rose-Coloured Google Glass: The Right to Be Forgotten and the Struggle to Manage Compliance Post Google Spain’ (2015) Columbia Journal of Transnational Law 54(1) 296-331, 308-309; E Rosenblatt, ‘Fear &amp; Loathing: Shame, Shaming and Intellectual Property’ (2013) De Paul Law Review, 63(1), 1-48, 26-27.</w:t>
      </w:r>
    </w:p>
  </w:footnote>
  <w:footnote w:id="22">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The Economist (n 20).  A range of further examples of the ‘Streisand effect’ are set out in:  BBC News, ‘The Perils of the Streisand Effect’ (31 July 2014) &lt;</w:t>
      </w:r>
      <w:hyperlink r:id="rId4" w:history="1">
        <w:r w:rsidRPr="00AC265E">
          <w:rPr>
            <w:rStyle w:val="Hyperlink"/>
            <w:rFonts w:ascii="Times New Roman" w:hAnsi="Times New Roman"/>
          </w:rPr>
          <w:t>http://www.bbc.co.uk/news/magazine-28562156</w:t>
        </w:r>
      </w:hyperlink>
      <w:r w:rsidRPr="00AC265E">
        <w:rPr>
          <w:rFonts w:ascii="Times New Roman" w:hAnsi="Times New Roman"/>
        </w:rPr>
        <w:t xml:space="preserve">&gt; (accessed 16 October 2016).  This article also indicates that the term was coined by Mike </w:t>
      </w:r>
      <w:proofErr w:type="spellStart"/>
      <w:r w:rsidRPr="00AC265E">
        <w:rPr>
          <w:rFonts w:ascii="Times New Roman" w:hAnsi="Times New Roman"/>
        </w:rPr>
        <w:t>Masnick</w:t>
      </w:r>
      <w:proofErr w:type="spellEnd"/>
      <w:r w:rsidRPr="00AC265E">
        <w:rPr>
          <w:rFonts w:ascii="Times New Roman" w:hAnsi="Times New Roman"/>
        </w:rPr>
        <w:t xml:space="preserve">, founder of the </w:t>
      </w:r>
      <w:proofErr w:type="spellStart"/>
      <w:r w:rsidRPr="00AC265E">
        <w:rPr>
          <w:rFonts w:ascii="Times New Roman" w:hAnsi="Times New Roman"/>
        </w:rPr>
        <w:t>Techdirt</w:t>
      </w:r>
      <w:proofErr w:type="spellEnd"/>
      <w:r w:rsidRPr="00AC265E">
        <w:rPr>
          <w:rFonts w:ascii="Times New Roman" w:hAnsi="Times New Roman"/>
        </w:rPr>
        <w:t xml:space="preserve"> website in 2005.</w:t>
      </w:r>
    </w:p>
  </w:footnote>
  <w:footnote w:id="23">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Attorney General v Observer Ltd &amp; Others [1990] 1 A.C. 109.</w:t>
      </w:r>
    </w:p>
  </w:footnote>
  <w:footnote w:id="24">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Attorney General v Guardian Ltd [1987] 1 WLR 1248, 1269H-1270A.</w:t>
      </w:r>
    </w:p>
  </w:footnote>
  <w:footnote w:id="25">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For additional details of this factual background see: </w:t>
      </w:r>
      <w:proofErr w:type="spellStart"/>
      <w:r w:rsidRPr="00AC265E">
        <w:rPr>
          <w:rFonts w:ascii="Times New Roman" w:hAnsi="Times New Roman"/>
        </w:rPr>
        <w:t>Spycatcher</w:t>
      </w:r>
      <w:proofErr w:type="spellEnd"/>
      <w:r w:rsidRPr="00AC265E">
        <w:rPr>
          <w:rFonts w:ascii="Times New Roman" w:hAnsi="Times New Roman"/>
        </w:rPr>
        <w:t xml:space="preserve"> (n 23) 126-128 (Scott J)</w:t>
      </w:r>
    </w:p>
  </w:footnote>
  <w:footnote w:id="26">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Ibid</w:t>
      </w:r>
      <w:r w:rsidRPr="00AC265E">
        <w:rPr>
          <w:rFonts w:ascii="Times New Roman" w:hAnsi="Times New Roman"/>
        </w:rPr>
        <w:t xml:space="preserve"> (Scott J) 117-174.  </w:t>
      </w:r>
      <w:r w:rsidRPr="00AC265E">
        <w:rPr>
          <w:rFonts w:ascii="Times New Roman" w:eastAsia="Times New Roman" w:hAnsi="Times New Roman"/>
        </w:rPr>
        <w:t>Scott J did order the Sunday Times to account for profits due to publication.</w:t>
      </w:r>
    </w:p>
  </w:footnote>
  <w:footnote w:id="27">
    <w:p w:rsidR="001A16DA" w:rsidRPr="00AC265E" w:rsidRDefault="001A16DA" w:rsidP="00B775FC">
      <w:pPr>
        <w:spacing w:after="0" w:line="240" w:lineRule="auto"/>
        <w:ind w:hanging="227"/>
        <w:jc w:val="both"/>
        <w:rPr>
          <w:rFonts w:ascii="Times New Roman" w:eastAsia="Times New Roman" w:hAnsi="Times New Roman"/>
          <w:sz w:val="20"/>
          <w:szCs w:val="20"/>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w:t>
      </w:r>
      <w:r w:rsidRPr="00AC265E">
        <w:rPr>
          <w:rFonts w:ascii="Times New Roman" w:hAnsi="Times New Roman"/>
          <w:i/>
          <w:sz w:val="20"/>
          <w:szCs w:val="20"/>
        </w:rPr>
        <w:t>Ibid</w:t>
      </w:r>
      <w:r w:rsidRPr="00AC265E">
        <w:rPr>
          <w:rFonts w:ascii="Times New Roman" w:hAnsi="Times New Roman"/>
          <w:sz w:val="20"/>
          <w:szCs w:val="20"/>
        </w:rPr>
        <w:t xml:space="preserve"> 258H-259H (Lord Keith); 267B-C (Lord Brightman); 282C, 283C (Lord Goff); 293E-F (Lord </w:t>
      </w:r>
      <w:proofErr w:type="spellStart"/>
      <w:r w:rsidRPr="00AC265E">
        <w:rPr>
          <w:rFonts w:ascii="Times New Roman" w:hAnsi="Times New Roman"/>
          <w:sz w:val="20"/>
          <w:szCs w:val="20"/>
        </w:rPr>
        <w:t>Jauncey</w:t>
      </w:r>
      <w:proofErr w:type="spellEnd"/>
      <w:r w:rsidRPr="00AC265E">
        <w:rPr>
          <w:rFonts w:ascii="Times New Roman" w:hAnsi="Times New Roman"/>
          <w:sz w:val="20"/>
          <w:szCs w:val="20"/>
        </w:rPr>
        <w:t xml:space="preserve">).  But see: 271B-C, 276A-G (Lord Griffith, dissenting).  </w:t>
      </w:r>
      <w:r w:rsidRPr="00AC265E">
        <w:rPr>
          <w:rFonts w:ascii="Times New Roman" w:eastAsia="Times New Roman" w:hAnsi="Times New Roman"/>
          <w:sz w:val="20"/>
          <w:szCs w:val="20"/>
        </w:rPr>
        <w:t xml:space="preserve">The Law Lords ordered the Sunday Times to account for profits accrued from its serialisation of </w:t>
      </w:r>
      <w:proofErr w:type="spellStart"/>
      <w:r w:rsidRPr="00AC265E">
        <w:rPr>
          <w:rFonts w:ascii="Times New Roman" w:eastAsia="Times New Roman" w:hAnsi="Times New Roman"/>
          <w:i/>
          <w:sz w:val="20"/>
          <w:szCs w:val="20"/>
        </w:rPr>
        <w:t>Spycatcher</w:t>
      </w:r>
      <w:proofErr w:type="spellEnd"/>
      <w:r w:rsidRPr="00AC265E">
        <w:rPr>
          <w:rFonts w:ascii="Times New Roman" w:eastAsia="Times New Roman" w:hAnsi="Times New Roman"/>
          <w:sz w:val="20"/>
          <w:szCs w:val="20"/>
        </w:rPr>
        <w:t>.</w:t>
      </w:r>
    </w:p>
  </w:footnote>
  <w:footnote w:id="28">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254 D-F (Lord Keith)</w:t>
      </w:r>
    </w:p>
  </w:footnote>
  <w:footnote w:id="29">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 xml:space="preserve">282C-D. </w:t>
      </w:r>
    </w:p>
  </w:footnote>
  <w:footnote w:id="30">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The 14</w:t>
      </w:r>
      <w:r w:rsidRPr="00AC265E">
        <w:rPr>
          <w:rFonts w:ascii="Times New Roman" w:hAnsi="Times New Roman"/>
          <w:vertAlign w:val="superscript"/>
        </w:rPr>
        <w:t>th</w:t>
      </w:r>
      <w:r w:rsidRPr="00AC265E">
        <w:rPr>
          <w:rFonts w:ascii="Times New Roman" w:hAnsi="Times New Roman"/>
        </w:rPr>
        <w:t xml:space="preserve"> April decision and reasons are outlined in </w:t>
      </w:r>
      <w:proofErr w:type="spellStart"/>
      <w:r w:rsidRPr="00AC265E">
        <w:rPr>
          <w:rFonts w:ascii="Times New Roman" w:hAnsi="Times New Roman"/>
        </w:rPr>
        <w:t>Giggs</w:t>
      </w:r>
      <w:proofErr w:type="spellEnd"/>
      <w:r w:rsidRPr="00AC265E">
        <w:rPr>
          <w:rFonts w:ascii="Times New Roman" w:hAnsi="Times New Roman"/>
        </w:rPr>
        <w:t xml:space="preserve"> (formerly CTB) v News Group Newspapers Ltd &amp; Another [2011] EWHC 1232 [1].   </w:t>
      </w:r>
    </w:p>
  </w:footnote>
  <w:footnote w:id="31">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A Murray, </w:t>
      </w:r>
      <w:r w:rsidRPr="00AC265E">
        <w:rPr>
          <w:rFonts w:ascii="Times New Roman" w:hAnsi="Times New Roman"/>
          <w:i/>
        </w:rPr>
        <w:t>Information Technology Law, The Law &amp; Society</w:t>
      </w:r>
      <w:r w:rsidRPr="00AC265E">
        <w:rPr>
          <w:rFonts w:ascii="Times New Roman" w:hAnsi="Times New Roman"/>
        </w:rPr>
        <w:t>,</w:t>
      </w:r>
      <w:r w:rsidRPr="00AC265E">
        <w:rPr>
          <w:rFonts w:ascii="Times New Roman" w:hAnsi="Times New Roman"/>
          <w:i/>
        </w:rPr>
        <w:t xml:space="preserve"> </w:t>
      </w:r>
      <w:r w:rsidRPr="00AC265E">
        <w:rPr>
          <w:rFonts w:ascii="Times New Roman" w:hAnsi="Times New Roman"/>
        </w:rPr>
        <w:t>2</w:t>
      </w:r>
      <w:r w:rsidRPr="00AC265E">
        <w:rPr>
          <w:rFonts w:ascii="Times New Roman" w:hAnsi="Times New Roman"/>
          <w:vertAlign w:val="superscript"/>
        </w:rPr>
        <w:t>nd</w:t>
      </w:r>
      <w:r w:rsidRPr="00AC265E">
        <w:rPr>
          <w:rFonts w:ascii="Times New Roman" w:hAnsi="Times New Roman"/>
        </w:rPr>
        <w:t xml:space="preserve"> </w:t>
      </w:r>
      <w:proofErr w:type="spellStart"/>
      <w:r w:rsidRPr="00AC265E">
        <w:rPr>
          <w:rFonts w:ascii="Times New Roman" w:hAnsi="Times New Roman"/>
        </w:rPr>
        <w:t>ed</w:t>
      </w:r>
      <w:proofErr w:type="spellEnd"/>
      <w:r w:rsidRPr="00AC265E">
        <w:rPr>
          <w:rFonts w:ascii="Times New Roman" w:hAnsi="Times New Roman"/>
        </w:rPr>
        <w:t xml:space="preserve"> (Oxford, OUP, 2013) 145.</w:t>
      </w:r>
    </w:p>
  </w:footnote>
  <w:footnote w:id="32">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proofErr w:type="spellStart"/>
      <w:r w:rsidRPr="00AC265E">
        <w:rPr>
          <w:rFonts w:ascii="Times New Roman" w:hAnsi="Times New Roman"/>
        </w:rPr>
        <w:t>Giggs</w:t>
      </w:r>
      <w:proofErr w:type="spellEnd"/>
      <w:r w:rsidRPr="00AC265E">
        <w:rPr>
          <w:rFonts w:ascii="Times New Roman" w:hAnsi="Times New Roman"/>
        </w:rPr>
        <w:t xml:space="preserve"> 14 April (n 30) [37]</w:t>
      </w:r>
    </w:p>
  </w:footnote>
  <w:footnote w:id="33">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Emphasis added.  </w:t>
      </w:r>
      <w:r w:rsidRPr="00AC265E">
        <w:rPr>
          <w:rFonts w:ascii="Times New Roman" w:hAnsi="Times New Roman"/>
          <w:i/>
        </w:rPr>
        <w:t xml:space="preserve">Ibid </w:t>
      </w:r>
      <w:r w:rsidRPr="00AC265E">
        <w:rPr>
          <w:rFonts w:ascii="Times New Roman" w:hAnsi="Times New Roman"/>
        </w:rPr>
        <w:t xml:space="preserve">[28].  </w:t>
      </w:r>
    </w:p>
  </w:footnote>
  <w:footnote w:id="34">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Norwich </w:t>
      </w:r>
      <w:proofErr w:type="spellStart"/>
      <w:r w:rsidRPr="00AC265E">
        <w:rPr>
          <w:rFonts w:ascii="Times New Roman" w:hAnsi="Times New Roman"/>
        </w:rPr>
        <w:t>Pharmacal</w:t>
      </w:r>
      <w:proofErr w:type="spellEnd"/>
      <w:r w:rsidRPr="00AC265E">
        <w:rPr>
          <w:rFonts w:ascii="Times New Roman" w:hAnsi="Times New Roman"/>
        </w:rPr>
        <w:t xml:space="preserve"> Company v Customs &amp; Excise [1974] AC 133 </w:t>
      </w:r>
    </w:p>
  </w:footnote>
  <w:footnote w:id="35">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BBC News Online, ‘Footballer Obtains Twitter Disclosure Order’ (21 May 2011) &lt;</w:t>
      </w:r>
      <w:hyperlink r:id="rId5" w:history="1">
        <w:r w:rsidRPr="00AC265E">
          <w:rPr>
            <w:rStyle w:val="Hyperlink"/>
            <w:rFonts w:ascii="Times New Roman" w:hAnsi="Times New Roman"/>
          </w:rPr>
          <w:t>http://www.bbc.co.uk/news/technology-13477811</w:t>
        </w:r>
      </w:hyperlink>
      <w:r w:rsidRPr="00AC265E">
        <w:rPr>
          <w:rStyle w:val="Hyperlink"/>
          <w:rFonts w:ascii="Times New Roman" w:hAnsi="Times New Roman"/>
          <w:color w:val="auto"/>
          <w:u w:val="none"/>
        </w:rPr>
        <w:t xml:space="preserve">&gt; (accessed 16 Oct 2016); </w:t>
      </w:r>
      <w:r w:rsidRPr="00AC265E">
        <w:rPr>
          <w:rFonts w:ascii="Times New Roman" w:hAnsi="Times New Roman"/>
        </w:rPr>
        <w:t>The Guardian Online, ’Twitter Faces Legal Action by Footballer over Privacy’ (20 May 2011) &lt;</w:t>
      </w:r>
      <w:hyperlink r:id="rId6" w:history="1">
        <w:r w:rsidRPr="00AC265E">
          <w:rPr>
            <w:rStyle w:val="Hyperlink"/>
            <w:rFonts w:ascii="Times New Roman" w:hAnsi="Times New Roman"/>
          </w:rPr>
          <w:t>https://www.theguardian.com/media/2011/may/20/twitter-sued-by-footballer-over-privacy</w:t>
        </w:r>
      </w:hyperlink>
      <w:r w:rsidRPr="00AC265E">
        <w:rPr>
          <w:rStyle w:val="Hyperlink"/>
          <w:rFonts w:ascii="Times New Roman" w:hAnsi="Times New Roman"/>
          <w:color w:val="auto"/>
          <w:u w:val="none"/>
        </w:rPr>
        <w:t>&gt; (accessed 16 Oct 2016).</w:t>
      </w:r>
    </w:p>
  </w:footnote>
  <w:footnote w:id="36">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The Guardian online, ‘Twitter Traffic Sees 22% Spike in Rush to Find Identity of Injunction Footballer’ (23 May 2011) &lt;</w:t>
      </w:r>
      <w:hyperlink r:id="rId7" w:history="1">
        <w:r w:rsidRPr="00AC265E">
          <w:rPr>
            <w:rStyle w:val="Hyperlink"/>
            <w:rFonts w:ascii="Times New Roman" w:hAnsi="Times New Roman"/>
          </w:rPr>
          <w:t>https://www.theguardian.com/technology/2011/may/23/twitter-traffic-injunction-footballer</w:t>
        </w:r>
      </w:hyperlink>
      <w:r w:rsidRPr="00AC265E">
        <w:rPr>
          <w:rFonts w:ascii="Times New Roman" w:hAnsi="Times New Roman"/>
        </w:rPr>
        <w:t xml:space="preserve">&gt; (accessed 16 Oct 2016).  </w:t>
      </w:r>
    </w:p>
  </w:footnote>
  <w:footnote w:id="37">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By threatening Twitter users, </w:t>
      </w:r>
      <w:proofErr w:type="spellStart"/>
      <w:r w:rsidRPr="00AC265E">
        <w:rPr>
          <w:rFonts w:ascii="Times New Roman" w:hAnsi="Times New Roman"/>
          <w:i/>
        </w:rPr>
        <w:t>Giggs</w:t>
      </w:r>
      <w:proofErr w:type="spellEnd"/>
      <w:r w:rsidRPr="00AC265E">
        <w:rPr>
          <w:rFonts w:ascii="Times New Roman" w:hAnsi="Times New Roman"/>
          <w:i/>
        </w:rPr>
        <w:t>’ legal team had inadvertently triggered Twitter’s autoimmune response known as #</w:t>
      </w:r>
      <w:proofErr w:type="spellStart"/>
      <w:r w:rsidRPr="00AC265E">
        <w:rPr>
          <w:rFonts w:ascii="Times New Roman" w:hAnsi="Times New Roman"/>
          <w:i/>
        </w:rPr>
        <w:t>IamSpartacus</w:t>
      </w:r>
      <w:proofErr w:type="spellEnd"/>
      <w:r w:rsidRPr="00AC265E">
        <w:rPr>
          <w:rFonts w:ascii="Times New Roman" w:hAnsi="Times New Roman"/>
          <w:i/>
        </w:rPr>
        <w:t>. … The idea is, as in the classic movie Spartacus, to form a single group meaning that an attack on one is an attack on all. … by banding together the group defend the users under threat.</w:t>
      </w:r>
      <w:r w:rsidRPr="00AC265E">
        <w:rPr>
          <w:rFonts w:ascii="Times New Roman" w:hAnsi="Times New Roman"/>
        </w:rPr>
        <w:t>’  Murray (n 31) 145.</w:t>
      </w:r>
    </w:p>
  </w:footnote>
  <w:footnote w:id="38">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The Herald Online, ‘Internet Storm as Injunction Footballer Identified’ (23 May 2011) &lt;</w:t>
      </w:r>
      <w:hyperlink r:id="rId8" w:history="1">
        <w:r w:rsidRPr="00AC265E">
          <w:rPr>
            <w:rStyle w:val="Hyperlink"/>
            <w:rFonts w:ascii="Times New Roman" w:hAnsi="Times New Roman"/>
          </w:rPr>
          <w:t>http://www.heraldscotland.com/news/13030446.Internet_storm_as_injunction_footballer_identified/</w:t>
        </w:r>
      </w:hyperlink>
      <w:r w:rsidRPr="00AC265E">
        <w:rPr>
          <w:rFonts w:ascii="Times New Roman" w:hAnsi="Times New Roman"/>
        </w:rPr>
        <w:t>&gt; (accessed 16 Oct 2016).</w:t>
      </w:r>
    </w:p>
  </w:footnote>
  <w:footnote w:id="39">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Emphasis added.  </w:t>
      </w:r>
      <w:proofErr w:type="spellStart"/>
      <w:r w:rsidRPr="00AC265E">
        <w:rPr>
          <w:rFonts w:ascii="Times New Roman" w:hAnsi="Times New Roman"/>
        </w:rPr>
        <w:t>Giggs</w:t>
      </w:r>
      <w:proofErr w:type="spellEnd"/>
      <w:r w:rsidRPr="00AC265E">
        <w:rPr>
          <w:rFonts w:ascii="Times New Roman" w:hAnsi="Times New Roman"/>
        </w:rPr>
        <w:t xml:space="preserve"> (formerly CTB) v News Group Newspapers Ltd [2011] EWHC 1326 [23].</w:t>
      </w:r>
    </w:p>
  </w:footnote>
  <w:footnote w:id="40">
    <w:p w:rsidR="001A16DA" w:rsidRPr="00AC265E" w:rsidRDefault="001A16DA" w:rsidP="00B775FC">
      <w:pPr>
        <w:spacing w:after="0" w:line="240" w:lineRule="auto"/>
        <w:ind w:hanging="227"/>
        <w:jc w:val="both"/>
        <w:rPr>
          <w:rFonts w:ascii="Times New Roman" w:hAnsi="Times New Roman"/>
          <w:sz w:val="20"/>
          <w:szCs w:val="20"/>
          <w:lang w:val="en"/>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Hemming started a question, stating: ‘</w:t>
      </w:r>
      <w:r w:rsidRPr="00AC265E">
        <w:rPr>
          <w:rFonts w:ascii="Times New Roman" w:hAnsi="Times New Roman"/>
          <w:sz w:val="20"/>
          <w:szCs w:val="20"/>
          <w:lang w:val="en"/>
        </w:rPr>
        <w:t xml:space="preserve">With about 75,000 people having named Ryan </w:t>
      </w:r>
      <w:proofErr w:type="spellStart"/>
      <w:r w:rsidRPr="00AC265E">
        <w:rPr>
          <w:rFonts w:ascii="Times New Roman" w:hAnsi="Times New Roman"/>
          <w:sz w:val="20"/>
          <w:szCs w:val="20"/>
          <w:lang w:val="en"/>
        </w:rPr>
        <w:t>Giggs</w:t>
      </w:r>
      <w:proofErr w:type="spellEnd"/>
      <w:r w:rsidRPr="00AC265E">
        <w:rPr>
          <w:rFonts w:ascii="Times New Roman" w:hAnsi="Times New Roman"/>
          <w:sz w:val="20"/>
          <w:szCs w:val="20"/>
          <w:lang w:val="en"/>
        </w:rPr>
        <w:t xml:space="preserve"> on Twitter, it is obviously impracticable to imprison them all, and with reports that Giles </w:t>
      </w:r>
      <w:proofErr w:type="spellStart"/>
      <w:r w:rsidRPr="00AC265E">
        <w:rPr>
          <w:rFonts w:ascii="Times New Roman" w:hAnsi="Times New Roman"/>
          <w:sz w:val="20"/>
          <w:szCs w:val="20"/>
          <w:lang w:val="en"/>
        </w:rPr>
        <w:t>Coren</w:t>
      </w:r>
      <w:proofErr w:type="spellEnd"/>
      <w:r w:rsidRPr="00AC265E">
        <w:rPr>
          <w:rFonts w:ascii="Times New Roman" w:hAnsi="Times New Roman"/>
          <w:sz w:val="20"/>
          <w:szCs w:val="20"/>
          <w:lang w:val="en"/>
        </w:rPr>
        <w:t xml:space="preserve"> also faces imprisonment’ before being interrupted and admonished by the Speaker.  A number of MPs who followed Hemming in the debate, including the Attorney General and </w:t>
      </w:r>
      <w:proofErr w:type="spellStart"/>
      <w:r w:rsidRPr="00AC265E">
        <w:rPr>
          <w:rFonts w:ascii="Times New Roman" w:hAnsi="Times New Roman"/>
          <w:sz w:val="20"/>
          <w:szCs w:val="20"/>
          <w:lang w:val="en"/>
        </w:rPr>
        <w:t>Chuka</w:t>
      </w:r>
      <w:proofErr w:type="spellEnd"/>
      <w:r w:rsidRPr="00AC265E">
        <w:rPr>
          <w:rFonts w:ascii="Times New Roman" w:hAnsi="Times New Roman"/>
          <w:sz w:val="20"/>
          <w:szCs w:val="20"/>
          <w:lang w:val="en"/>
        </w:rPr>
        <w:t xml:space="preserve"> Umunna, criticized his actions.  HC Hansard, </w:t>
      </w:r>
      <w:proofErr w:type="spellStart"/>
      <w:r w:rsidRPr="00AC265E">
        <w:rPr>
          <w:rFonts w:ascii="Times New Roman" w:hAnsi="Times New Roman"/>
          <w:sz w:val="20"/>
          <w:szCs w:val="20"/>
          <w:lang w:val="en"/>
        </w:rPr>
        <w:t>vol</w:t>
      </w:r>
      <w:proofErr w:type="spellEnd"/>
      <w:r w:rsidRPr="00AC265E">
        <w:rPr>
          <w:rFonts w:ascii="Times New Roman" w:hAnsi="Times New Roman"/>
          <w:sz w:val="20"/>
          <w:szCs w:val="20"/>
          <w:lang w:val="en"/>
        </w:rPr>
        <w:t xml:space="preserve"> 528, col 638 (23 May 2011).</w:t>
      </w:r>
    </w:p>
  </w:footnote>
  <w:footnote w:id="41">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proofErr w:type="spellStart"/>
      <w:r w:rsidRPr="00AC265E">
        <w:rPr>
          <w:rFonts w:ascii="Times New Roman" w:hAnsi="Times New Roman"/>
        </w:rPr>
        <w:t>Giggs</w:t>
      </w:r>
      <w:proofErr w:type="spellEnd"/>
      <w:r w:rsidRPr="00AC265E">
        <w:rPr>
          <w:rFonts w:ascii="Times New Roman" w:hAnsi="Times New Roman"/>
        </w:rPr>
        <w:t xml:space="preserve"> (formerly CTB) v News Group Newspapers Ltd [2011] EWHC 1334 [3]</w:t>
      </w:r>
    </w:p>
  </w:footnote>
  <w:footnote w:id="42">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Overview of ongoing events following this are set out at </w:t>
      </w:r>
      <w:proofErr w:type="spellStart"/>
      <w:r w:rsidRPr="00AC265E">
        <w:rPr>
          <w:rFonts w:ascii="Times New Roman" w:hAnsi="Times New Roman"/>
        </w:rPr>
        <w:t>Giggs</w:t>
      </w:r>
      <w:proofErr w:type="spellEnd"/>
      <w:r w:rsidRPr="00AC265E">
        <w:rPr>
          <w:rFonts w:ascii="Times New Roman" w:hAnsi="Times New Roman"/>
        </w:rPr>
        <w:t xml:space="preserve"> (previously known as CTB) v News Group Newspapers Ltd [2012] EWHC 431 [21]-[54].  Here the claimant’s application for relief from strike out was refused.</w:t>
      </w:r>
    </w:p>
  </w:footnote>
  <w:footnote w:id="43">
    <w:p w:rsidR="001A16DA" w:rsidRPr="00AC265E" w:rsidRDefault="001A16DA" w:rsidP="00B775FC">
      <w:pPr>
        <w:spacing w:after="0" w:line="240" w:lineRule="auto"/>
        <w:ind w:hanging="227"/>
        <w:jc w:val="both"/>
        <w:rPr>
          <w:rFonts w:ascii="Times New Roman" w:hAnsi="Times New Roman"/>
          <w:sz w:val="20"/>
          <w:szCs w:val="20"/>
          <w:highlight w:val="yellow"/>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[2010] EWHC 2457</w:t>
      </w:r>
    </w:p>
  </w:footnote>
  <w:footnote w:id="44">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The Guardian Online, ‘Jeremy Clarkson Lifts ‘pointless’ Injunction Against Ex-wife’ (27 October 2011) &lt;</w:t>
      </w:r>
      <w:hyperlink r:id="rId9" w:history="1">
        <w:r w:rsidRPr="00AC265E">
          <w:rPr>
            <w:rStyle w:val="Hyperlink"/>
            <w:rFonts w:ascii="Times New Roman" w:hAnsi="Times New Roman"/>
          </w:rPr>
          <w:t>https://www.theguardian.com/media/2011/oct/27/jeremy-clarkson-lifts-injunction</w:t>
        </w:r>
      </w:hyperlink>
      <w:r w:rsidRPr="00AC265E">
        <w:rPr>
          <w:rStyle w:val="Hyperlink"/>
          <w:rFonts w:ascii="Times New Roman" w:hAnsi="Times New Roman"/>
          <w:u w:val="none"/>
        </w:rPr>
        <w:t xml:space="preserve"> </w:t>
      </w:r>
      <w:r w:rsidRPr="00AC265E">
        <w:rPr>
          <w:rStyle w:val="Hyperlink"/>
          <w:rFonts w:ascii="Times New Roman" w:hAnsi="Times New Roman"/>
          <w:color w:val="auto"/>
          <w:u w:val="none"/>
        </w:rPr>
        <w:t>&gt; (accessed 16 Oct 2016)</w:t>
      </w:r>
      <w:r w:rsidRPr="00AC265E">
        <w:rPr>
          <w:rFonts w:ascii="Times New Roman" w:hAnsi="Times New Roman"/>
        </w:rPr>
        <w:t xml:space="preserve">.  See also: U Smartt, ‘Twitter Undermines </w:t>
      </w:r>
      <w:proofErr w:type="spellStart"/>
      <w:r w:rsidRPr="00AC265E">
        <w:rPr>
          <w:rFonts w:ascii="Times New Roman" w:hAnsi="Times New Roman"/>
        </w:rPr>
        <w:t>Superinjunctions</w:t>
      </w:r>
      <w:proofErr w:type="spellEnd"/>
      <w:r w:rsidRPr="00AC265E">
        <w:rPr>
          <w:rFonts w:ascii="Times New Roman" w:hAnsi="Times New Roman"/>
        </w:rPr>
        <w:t xml:space="preserve">’ (2011) </w:t>
      </w:r>
      <w:proofErr w:type="spellStart"/>
      <w:r w:rsidRPr="00AC265E">
        <w:rPr>
          <w:rFonts w:ascii="Times New Roman" w:hAnsi="Times New Roman"/>
        </w:rPr>
        <w:t>Comms</w:t>
      </w:r>
      <w:proofErr w:type="spellEnd"/>
      <w:r w:rsidRPr="00AC265E">
        <w:rPr>
          <w:rFonts w:ascii="Times New Roman" w:hAnsi="Times New Roman"/>
        </w:rPr>
        <w:t>. L. 16(4), 135-139, 136-137.</w:t>
      </w:r>
    </w:p>
  </w:footnote>
  <w:footnote w:id="45">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Outlined at Goodwin (formerly MNB) v News Group [2011] EWHC 528 [1]-[4]</w:t>
      </w:r>
    </w:p>
  </w:footnote>
  <w:footnote w:id="46">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bCs/>
        </w:rPr>
        <w:t>Lord Stoneham stated:</w:t>
      </w:r>
      <w:r w:rsidRPr="00AC265E">
        <w:rPr>
          <w:rFonts w:ascii="Times New Roman" w:hAnsi="Times New Roman"/>
        </w:rPr>
        <w:t xml:space="preserve"> ‘</w:t>
      </w:r>
      <w:r w:rsidRPr="00AC265E">
        <w:rPr>
          <w:rFonts w:ascii="Times New Roman" w:hAnsi="Times New Roman"/>
          <w:i/>
        </w:rPr>
        <w:t>Does [my noble friend] accept that every taxpayer has a direct public interest in the events leading up to the collapse of the Royal Bank of Scotland? So how can it be right for a super-injunction to hide the alleged relationship between Sir Fred Goodwin and a senior colleague? If true, it would be a serious breach of corporate governance and not even the Financial Services Authority would be allowed to know about it.</w:t>
      </w:r>
      <w:r w:rsidRPr="00AC265E">
        <w:rPr>
          <w:rFonts w:ascii="Times New Roman" w:hAnsi="Times New Roman"/>
        </w:rPr>
        <w:t xml:space="preserve"> Hansard HL </w:t>
      </w:r>
      <w:proofErr w:type="spellStart"/>
      <w:r w:rsidRPr="00AC265E">
        <w:rPr>
          <w:rFonts w:ascii="Times New Roman" w:hAnsi="Times New Roman"/>
        </w:rPr>
        <w:t>vol</w:t>
      </w:r>
      <w:proofErr w:type="spellEnd"/>
      <w:r w:rsidRPr="00AC265E">
        <w:rPr>
          <w:rFonts w:ascii="Times New Roman" w:hAnsi="Times New Roman"/>
        </w:rPr>
        <w:t xml:space="preserve"> 727, col 1490 (19 May 2011).</w:t>
      </w:r>
    </w:p>
  </w:footnote>
  <w:footnote w:id="47">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Goodwin (formerly MNB) v News Group Newspapers Ltd [2011] EWHC 1309 [29].  Goodwin did not oppose being named, but opposed discharge of injunction.</w:t>
      </w:r>
    </w:p>
  </w:footnote>
  <w:footnote w:id="48">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PJS v News Group Ltd [2016] EWCA </w:t>
      </w:r>
      <w:proofErr w:type="spellStart"/>
      <w:r w:rsidRPr="00AC265E">
        <w:rPr>
          <w:rFonts w:ascii="Times New Roman" w:hAnsi="Times New Roman"/>
        </w:rPr>
        <w:t>Civ</w:t>
      </w:r>
      <w:proofErr w:type="spellEnd"/>
      <w:r w:rsidRPr="00AC265E">
        <w:rPr>
          <w:rFonts w:ascii="Times New Roman" w:hAnsi="Times New Roman"/>
        </w:rPr>
        <w:t xml:space="preserve"> 100, [2016] All ER (D) 248 Jan.</w:t>
      </w:r>
    </w:p>
  </w:footnote>
  <w:footnote w:id="49">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Contrast the following: PJS v News Group Newspapers Ltd [2016] EWCA </w:t>
      </w:r>
      <w:proofErr w:type="spellStart"/>
      <w:r w:rsidRPr="00AC265E">
        <w:rPr>
          <w:rFonts w:ascii="Times New Roman" w:hAnsi="Times New Roman"/>
        </w:rPr>
        <w:t>Civ</w:t>
      </w:r>
      <w:proofErr w:type="spellEnd"/>
      <w:r w:rsidRPr="00AC265E">
        <w:rPr>
          <w:rFonts w:ascii="Times New Roman" w:hAnsi="Times New Roman"/>
        </w:rPr>
        <w:t xml:space="preserve"> 393, [15]-[17]; PJS Supreme Court (n 1) [7], [9] (Lord </w:t>
      </w:r>
      <w:proofErr w:type="spellStart"/>
      <w:r w:rsidRPr="00AC265E">
        <w:rPr>
          <w:rFonts w:ascii="Times New Roman" w:hAnsi="Times New Roman"/>
        </w:rPr>
        <w:t>Mance</w:t>
      </w:r>
      <w:proofErr w:type="spellEnd"/>
      <w:r w:rsidRPr="00AC265E">
        <w:rPr>
          <w:rFonts w:ascii="Times New Roman" w:hAnsi="Times New Roman"/>
        </w:rPr>
        <w:t>).</w:t>
      </w:r>
    </w:p>
  </w:footnote>
  <w:footnote w:id="50">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The Telegraph Online, ‘Celebrity ‘threesome’ injunction: MP plans to name mystery couple in House of Commons’ (11 April 2016) &lt;</w:t>
      </w:r>
      <w:hyperlink r:id="rId10" w:history="1">
        <w:r w:rsidRPr="00AC265E">
          <w:rPr>
            <w:rStyle w:val="Hyperlink"/>
            <w:rFonts w:ascii="Times New Roman" w:hAnsi="Times New Roman"/>
          </w:rPr>
          <w:t>http://www.telegraph.co.uk/news/2016/04/10/celebrity-threesome-injunction-mp-plans-to-name-mystery-couple-i/</w:t>
        </w:r>
      </w:hyperlink>
      <w:r w:rsidRPr="00AC265E">
        <w:rPr>
          <w:rFonts w:ascii="Times New Roman" w:hAnsi="Times New Roman"/>
        </w:rPr>
        <w:t>&gt;; The Telegraph Online, ‘Celebrity Injunction: John Bercow bans MPs from breaking high profile couple’s gagging order’ (11 April 2016) &lt;</w:t>
      </w:r>
      <w:hyperlink r:id="rId11" w:history="1">
        <w:r w:rsidRPr="00AC265E">
          <w:rPr>
            <w:rStyle w:val="Hyperlink"/>
            <w:rFonts w:ascii="Times New Roman" w:hAnsi="Times New Roman"/>
          </w:rPr>
          <w:t>http://www.telegraph.co.uk/news/2016/04/11/john-bercow-bans-mps-from-naming-celebrity-couple-in-threesome-i/</w:t>
        </w:r>
      </w:hyperlink>
      <w:r w:rsidRPr="00AC265E">
        <w:rPr>
          <w:rFonts w:ascii="Times New Roman" w:hAnsi="Times New Roman"/>
        </w:rPr>
        <w:t>&gt; (accessed 16 Oct 2016).</w:t>
      </w:r>
    </w:p>
  </w:footnote>
  <w:footnote w:id="51">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PJS Court of Appeal (n 49) [20]</w:t>
      </w:r>
    </w:p>
  </w:footnote>
  <w:footnote w:id="52">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[20], [24]</w:t>
      </w:r>
    </w:p>
  </w:footnote>
  <w:footnote w:id="53">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[21]-[22].  See also: PJS Supreme Court (n 1) [8].</w:t>
      </w:r>
    </w:p>
  </w:footnote>
  <w:footnote w:id="54">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PJS Court of Appeal (n 49) [35]-[39].</w:t>
      </w:r>
    </w:p>
  </w:footnote>
  <w:footnote w:id="55">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If the interim injunction stands, newspaper articles will continue to appear recycling the contents of the redacted judgment and calling upon PJS to identify himself.  Websites discussing the story will continue to pop up.  As one is taken down, another will appear.  The process will continue up to the trial date</w:t>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[47](iv)</w:t>
      </w:r>
    </w:p>
  </w:footnote>
  <w:footnote w:id="56">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[47](vii).</w:t>
      </w:r>
    </w:p>
  </w:footnote>
  <w:footnote w:id="57">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eastAsiaTheme="minorEastAsia" w:hAnsi="Times New Roman"/>
          <w:lang w:eastAsia="zh-CN"/>
        </w:rPr>
        <w:t>[2012] EWHC 850</w:t>
      </w:r>
    </w:p>
  </w:footnote>
  <w:footnote w:id="58">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Ibid</w:t>
      </w:r>
      <w:r w:rsidRPr="00AC265E">
        <w:rPr>
          <w:rFonts w:ascii="Times New Roman" w:hAnsi="Times New Roman"/>
        </w:rPr>
        <w:t xml:space="preserve"> [27].</w:t>
      </w:r>
    </w:p>
  </w:footnote>
  <w:footnote w:id="59">
    <w:p w:rsidR="001A16DA" w:rsidRPr="00AC265E" w:rsidRDefault="001A16DA" w:rsidP="00B775FC">
      <w:pPr>
        <w:spacing w:after="0" w:line="240" w:lineRule="auto"/>
        <w:ind w:hanging="227"/>
        <w:jc w:val="both"/>
        <w:rPr>
          <w:rFonts w:ascii="Times New Roman" w:hAnsi="Times New Roman"/>
          <w:sz w:val="20"/>
          <w:szCs w:val="20"/>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The defendant published its story on 30</w:t>
      </w:r>
      <w:r w:rsidRPr="00AC265E">
        <w:rPr>
          <w:rFonts w:ascii="Times New Roman" w:hAnsi="Times New Roman"/>
          <w:sz w:val="20"/>
          <w:szCs w:val="20"/>
          <w:vertAlign w:val="superscript"/>
        </w:rPr>
        <w:t>th</w:t>
      </w:r>
      <w:r w:rsidRPr="00AC265E">
        <w:rPr>
          <w:rFonts w:ascii="Times New Roman" w:hAnsi="Times New Roman"/>
          <w:sz w:val="20"/>
          <w:szCs w:val="20"/>
        </w:rPr>
        <w:t xml:space="preserve"> March and the claimant applied for an injunction on 4</w:t>
      </w:r>
      <w:r w:rsidRPr="00AC265E">
        <w:rPr>
          <w:rFonts w:ascii="Times New Roman" w:hAnsi="Times New Roman"/>
          <w:sz w:val="20"/>
          <w:szCs w:val="20"/>
          <w:vertAlign w:val="superscript"/>
        </w:rPr>
        <w:t>th</w:t>
      </w:r>
      <w:r w:rsidRPr="00AC265E">
        <w:rPr>
          <w:rFonts w:ascii="Times New Roman" w:hAnsi="Times New Roman"/>
          <w:sz w:val="20"/>
          <w:szCs w:val="20"/>
        </w:rPr>
        <w:t xml:space="preserve"> April: </w:t>
      </w:r>
      <w:r w:rsidRPr="00AC265E">
        <w:rPr>
          <w:rFonts w:ascii="Times New Roman" w:hAnsi="Times New Roman"/>
          <w:i/>
          <w:sz w:val="20"/>
          <w:szCs w:val="20"/>
        </w:rPr>
        <w:t>Mosley v News Group Newspapers Ltd</w:t>
      </w:r>
      <w:r w:rsidRPr="00AC265E">
        <w:rPr>
          <w:rFonts w:ascii="Times New Roman" w:hAnsi="Times New Roman"/>
          <w:sz w:val="20"/>
          <w:szCs w:val="20"/>
        </w:rPr>
        <w:t xml:space="preserve"> [2008] EWHC 687 [1], [3].</w:t>
      </w:r>
    </w:p>
  </w:footnote>
  <w:footnote w:id="60">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Evidence indicated that the online article was accessed approximately 435,000 times and the footage was accessed over 1,420,000 times: </w:t>
      </w:r>
      <w:r w:rsidRPr="00AC265E">
        <w:rPr>
          <w:rFonts w:ascii="Times New Roman" w:hAnsi="Times New Roman"/>
          <w:i/>
        </w:rPr>
        <w:t>ibid</w:t>
      </w:r>
      <w:r w:rsidRPr="00AC265E">
        <w:rPr>
          <w:rFonts w:ascii="Times New Roman" w:hAnsi="Times New Roman"/>
        </w:rPr>
        <w:t xml:space="preserve"> [7]-[8]. </w:t>
      </w:r>
    </w:p>
  </w:footnote>
  <w:footnote w:id="61">
    <w:p w:rsidR="001A16DA" w:rsidRPr="00AC265E" w:rsidRDefault="001A16DA" w:rsidP="00B775FC">
      <w:pPr>
        <w:spacing w:after="0" w:line="240" w:lineRule="auto"/>
        <w:ind w:hanging="227"/>
        <w:jc w:val="both"/>
        <w:rPr>
          <w:rFonts w:ascii="Times New Roman" w:hAnsi="Times New Roman"/>
          <w:sz w:val="20"/>
          <w:szCs w:val="20"/>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w:t>
      </w:r>
      <w:r w:rsidRPr="00AC265E">
        <w:rPr>
          <w:rFonts w:ascii="Times New Roman" w:hAnsi="Times New Roman"/>
          <w:i/>
          <w:sz w:val="20"/>
          <w:szCs w:val="20"/>
        </w:rPr>
        <w:t xml:space="preserve">Ibid </w:t>
      </w:r>
      <w:r w:rsidRPr="00AC265E">
        <w:rPr>
          <w:rFonts w:ascii="Times New Roman" w:hAnsi="Times New Roman"/>
          <w:sz w:val="20"/>
          <w:szCs w:val="20"/>
        </w:rPr>
        <w:t>[34].</w:t>
      </w:r>
      <w:r w:rsidRPr="00AC265E">
        <w:rPr>
          <w:rFonts w:ascii="Times New Roman" w:eastAsia="Times New Roman" w:hAnsi="Times New Roman"/>
          <w:color w:val="00B050"/>
          <w:sz w:val="20"/>
          <w:szCs w:val="20"/>
        </w:rPr>
        <w:t xml:space="preserve">  </w:t>
      </w:r>
    </w:p>
  </w:footnote>
  <w:footnote w:id="62">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Smartt (n 44) 137.</w:t>
      </w:r>
    </w:p>
  </w:footnote>
  <w:footnote w:id="63">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The use of the term ‘censorship’ in this article is not intended to imply condemnation of non-disclosure orders.  It simply refers to injunctions as ‘</w:t>
      </w:r>
      <w:r w:rsidRPr="00AC265E">
        <w:rPr>
          <w:rFonts w:ascii="Times New Roman" w:hAnsi="Times New Roman"/>
          <w:i/>
        </w:rPr>
        <w:t>a value-based attempt to control of interfere with the production and/or dissemination of verbal or pictorial information</w:t>
      </w:r>
      <w:r w:rsidRPr="00AC265E">
        <w:rPr>
          <w:rFonts w:ascii="Times New Roman" w:hAnsi="Times New Roman"/>
        </w:rPr>
        <w:t xml:space="preserve">’: J Olson &amp; V </w:t>
      </w:r>
      <w:proofErr w:type="spellStart"/>
      <w:r w:rsidRPr="00AC265E">
        <w:rPr>
          <w:rFonts w:ascii="Times New Roman" w:hAnsi="Times New Roman"/>
        </w:rPr>
        <w:t>Esses</w:t>
      </w:r>
      <w:proofErr w:type="spellEnd"/>
      <w:r w:rsidRPr="00AC265E">
        <w:rPr>
          <w:rFonts w:ascii="Times New Roman" w:hAnsi="Times New Roman"/>
        </w:rPr>
        <w:t xml:space="preserve">, ‘The Social Psychology of Censorship’ in </w:t>
      </w:r>
      <w:r w:rsidRPr="00AC265E">
        <w:rPr>
          <w:rFonts w:ascii="Times New Roman" w:hAnsi="Times New Roman"/>
          <w:i/>
        </w:rPr>
        <w:t>Interpreting Censorship in Canada</w:t>
      </w:r>
      <w:r w:rsidRPr="00AC265E">
        <w:rPr>
          <w:rFonts w:ascii="Times New Roman" w:hAnsi="Times New Roman"/>
        </w:rPr>
        <w:t xml:space="preserve"> (</w:t>
      </w:r>
      <w:proofErr w:type="spellStart"/>
      <w:r w:rsidRPr="00AC265E">
        <w:rPr>
          <w:rFonts w:ascii="Times New Roman" w:hAnsi="Times New Roman"/>
        </w:rPr>
        <w:t>eds</w:t>
      </w:r>
      <w:proofErr w:type="spellEnd"/>
      <w:r w:rsidRPr="00AC265E">
        <w:rPr>
          <w:rFonts w:ascii="Times New Roman" w:hAnsi="Times New Roman"/>
        </w:rPr>
        <w:t xml:space="preserve">: Klaus Petersen &amp; Allan C Hutchinson) (Toronto, University of Toronto Press, 1999) 268.  </w:t>
      </w:r>
    </w:p>
  </w:footnote>
  <w:footnote w:id="64">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The term was used by Sir David </w:t>
      </w:r>
      <w:proofErr w:type="spellStart"/>
      <w:r w:rsidRPr="00AC265E">
        <w:rPr>
          <w:rFonts w:ascii="Times New Roman" w:hAnsi="Times New Roman"/>
        </w:rPr>
        <w:t>Calcutt</w:t>
      </w:r>
      <w:proofErr w:type="spellEnd"/>
      <w:r w:rsidRPr="00AC265E">
        <w:rPr>
          <w:rFonts w:ascii="Times New Roman" w:hAnsi="Times New Roman"/>
        </w:rPr>
        <w:t xml:space="preserve"> QC, </w:t>
      </w:r>
      <w:r w:rsidRPr="00AC265E">
        <w:rPr>
          <w:rFonts w:ascii="Times New Roman" w:hAnsi="Times New Roman"/>
          <w:i/>
        </w:rPr>
        <w:t xml:space="preserve">Report of the Committee on Privacy &amp; Related Matters </w:t>
      </w:r>
      <w:r w:rsidRPr="00AC265E">
        <w:rPr>
          <w:rFonts w:ascii="Times New Roman" w:hAnsi="Times New Roman"/>
        </w:rPr>
        <w:t>(Cm 1102, HMSO, 1990), [7.49]; recommendation 8 (p 75).</w:t>
      </w:r>
    </w:p>
  </w:footnote>
  <w:footnote w:id="65">
    <w:p w:rsidR="001A16DA" w:rsidRPr="00AC265E" w:rsidRDefault="001A16DA" w:rsidP="00B775FC">
      <w:pPr>
        <w:spacing w:after="0" w:line="240" w:lineRule="auto"/>
        <w:ind w:hanging="227"/>
        <w:jc w:val="both"/>
        <w:rPr>
          <w:rFonts w:ascii="Times New Roman" w:hAnsi="Times New Roman"/>
          <w:sz w:val="20"/>
          <w:szCs w:val="20"/>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Emphasis added.  Donald v </w:t>
      </w:r>
      <w:proofErr w:type="spellStart"/>
      <w:r w:rsidRPr="00AC265E">
        <w:rPr>
          <w:rFonts w:ascii="Times New Roman" w:hAnsi="Times New Roman"/>
          <w:sz w:val="20"/>
          <w:szCs w:val="20"/>
        </w:rPr>
        <w:t>Ntuli</w:t>
      </w:r>
      <w:proofErr w:type="spellEnd"/>
      <w:r w:rsidRPr="00AC265E">
        <w:rPr>
          <w:rFonts w:ascii="Times New Roman" w:hAnsi="Times New Roman"/>
          <w:sz w:val="20"/>
          <w:szCs w:val="20"/>
        </w:rPr>
        <w:t xml:space="preserve"> (n 17) [55].  Similar points regarding anonymization and jigsaw identification were reiterated in: ZYT &amp; BWE v Associated Newspapers Ltd [2015] EWHC 1162, [15].  </w:t>
      </w:r>
    </w:p>
  </w:footnote>
  <w:footnote w:id="66">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Goodwin (n 45) [33].</w:t>
      </w:r>
    </w:p>
  </w:footnote>
  <w:footnote w:id="67">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eastAsia="Times New Roman" w:hAnsi="Times New Roman"/>
          <w:lang w:eastAsia="en-GB"/>
        </w:rPr>
        <w:t>P Schwartz &amp; D Solove, ‘The PII Problem: Privacy &amp; a New Concept of Personally Identifiable Information’ (2011) 86 NYUL Rev 1814, 1842-1845.</w:t>
      </w:r>
    </w:p>
  </w:footnote>
  <w:footnote w:id="68">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AMC &amp; KLJ v News Group Newspapers Ltd [2015] EWHC 2361 [4].  See also: Goodwin v News Group Newspapers Ltd [2011] EWHC 1437 [148] (Tugendhat J).</w:t>
      </w:r>
    </w:p>
  </w:footnote>
  <w:footnote w:id="69">
    <w:p w:rsidR="001A16DA" w:rsidRPr="00AC265E" w:rsidRDefault="001A16DA" w:rsidP="00B775FC">
      <w:pPr>
        <w:pStyle w:val="FootnoteText"/>
        <w:ind w:hanging="227"/>
        <w:jc w:val="both"/>
        <w:rPr>
          <w:rFonts w:ascii="Times New Roman" w:hAnsi="Times New Roman"/>
          <w:lang w:val="de-DE"/>
        </w:rPr>
      </w:pPr>
      <w:r w:rsidRPr="00AC265E">
        <w:rPr>
          <w:rStyle w:val="FootnoteReference"/>
          <w:rFonts w:ascii="Times New Roman" w:hAnsi="Times New Roman"/>
        </w:rPr>
        <w:footnoteRef/>
      </w:r>
      <w:r w:rsidRPr="00AC265E">
        <w:rPr>
          <w:rFonts w:ascii="Times New Roman" w:hAnsi="Times New Roman"/>
          <w:lang w:val="de-DE"/>
        </w:rPr>
        <w:t xml:space="preserve"> Lord Neuberger (n 12) iv.  </w:t>
      </w:r>
    </w:p>
  </w:footnote>
  <w:footnote w:id="70">
    <w:p w:rsidR="001A16DA" w:rsidRPr="00AC265E" w:rsidRDefault="001A16DA" w:rsidP="00B775FC">
      <w:pPr>
        <w:pStyle w:val="FootnoteText"/>
        <w:ind w:hanging="227"/>
        <w:jc w:val="both"/>
        <w:rPr>
          <w:rFonts w:ascii="Times New Roman" w:hAnsi="Times New Roman"/>
          <w:lang w:val="de-DE"/>
        </w:rPr>
      </w:pPr>
      <w:r w:rsidRPr="00AC265E">
        <w:rPr>
          <w:rStyle w:val="FootnoteReference"/>
          <w:rFonts w:ascii="Times New Roman" w:hAnsi="Times New Roman"/>
        </w:rPr>
        <w:footnoteRef/>
      </w:r>
      <w:r w:rsidRPr="00AC265E">
        <w:rPr>
          <w:rFonts w:ascii="Times New Roman" w:hAnsi="Times New Roman"/>
          <w:lang w:val="de-DE"/>
        </w:rPr>
        <w:t xml:space="preserve"> DFT v TDF [2010] EWHC 2335 </w:t>
      </w:r>
    </w:p>
  </w:footnote>
  <w:footnote w:id="71">
    <w:p w:rsidR="001A16DA" w:rsidRPr="00AC265E" w:rsidRDefault="001A16DA" w:rsidP="00B775FC">
      <w:pPr>
        <w:pStyle w:val="FootnoteText"/>
        <w:ind w:hanging="227"/>
        <w:jc w:val="both"/>
        <w:rPr>
          <w:rFonts w:ascii="Times New Roman" w:hAnsi="Times New Roman"/>
          <w:lang w:val="de-DE"/>
        </w:rPr>
      </w:pPr>
      <w:r w:rsidRPr="00AC265E">
        <w:rPr>
          <w:rStyle w:val="FootnoteReference"/>
          <w:rFonts w:ascii="Times New Roman" w:hAnsi="Times New Roman"/>
        </w:rPr>
        <w:footnoteRef/>
      </w:r>
      <w:r w:rsidRPr="00AC265E">
        <w:rPr>
          <w:rFonts w:ascii="Times New Roman" w:hAnsi="Times New Roman"/>
          <w:lang w:val="de-DE"/>
        </w:rPr>
        <w:t xml:space="preserve"> Donald v Ntuli (n 17).</w:t>
      </w:r>
    </w:p>
  </w:footnote>
  <w:footnote w:id="72">
    <w:p w:rsidR="001A16DA" w:rsidRPr="00AC265E" w:rsidRDefault="001A16DA" w:rsidP="00B775FC">
      <w:pPr>
        <w:pStyle w:val="FootnoteText"/>
        <w:ind w:hanging="227"/>
        <w:jc w:val="both"/>
        <w:rPr>
          <w:rFonts w:ascii="Times New Roman" w:hAnsi="Times New Roman"/>
          <w:lang w:val="de-DE"/>
        </w:rPr>
      </w:pPr>
      <w:r w:rsidRPr="00AC265E">
        <w:rPr>
          <w:rStyle w:val="FootnoteReference"/>
          <w:rFonts w:ascii="Times New Roman" w:hAnsi="Times New Roman"/>
        </w:rPr>
        <w:footnoteRef/>
      </w:r>
      <w:r w:rsidRPr="00AC265E">
        <w:rPr>
          <w:rFonts w:ascii="Times New Roman" w:hAnsi="Times New Roman"/>
          <w:lang w:val="de-DE"/>
        </w:rPr>
        <w:t xml:space="preserve"> DFT (n 70) [26]-[27].</w:t>
      </w:r>
    </w:p>
  </w:footnote>
  <w:footnote w:id="73">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Emphasis added.  </w:t>
      </w:r>
      <w:r w:rsidRPr="00AC265E">
        <w:rPr>
          <w:rFonts w:ascii="Times New Roman" w:hAnsi="Times New Roman"/>
          <w:i/>
        </w:rPr>
        <w:t xml:space="preserve">Ibid </w:t>
      </w:r>
      <w:r w:rsidRPr="00AC265E">
        <w:rPr>
          <w:rFonts w:ascii="Times New Roman" w:hAnsi="Times New Roman"/>
        </w:rPr>
        <w:t>[29].</w:t>
      </w:r>
    </w:p>
  </w:footnote>
  <w:footnote w:id="74">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[33], [39].</w:t>
      </w:r>
    </w:p>
  </w:footnote>
  <w:footnote w:id="75">
    <w:p w:rsidR="001A16DA" w:rsidRPr="00AC265E" w:rsidRDefault="001A16DA" w:rsidP="00B775FC">
      <w:pPr>
        <w:spacing w:after="0" w:line="240" w:lineRule="auto"/>
        <w:ind w:hanging="227"/>
        <w:jc w:val="both"/>
        <w:rPr>
          <w:rFonts w:ascii="Times New Roman" w:hAnsi="Times New Roman"/>
          <w:sz w:val="20"/>
          <w:szCs w:val="20"/>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Though the anonymity feature of the order was also ultimately discharged here.  Donald v </w:t>
      </w:r>
      <w:proofErr w:type="spellStart"/>
      <w:r w:rsidRPr="00AC265E">
        <w:rPr>
          <w:rFonts w:ascii="Times New Roman" w:hAnsi="Times New Roman"/>
          <w:sz w:val="20"/>
          <w:szCs w:val="20"/>
        </w:rPr>
        <w:t>Ntuli</w:t>
      </w:r>
      <w:proofErr w:type="spellEnd"/>
      <w:r w:rsidRPr="00AC265E">
        <w:rPr>
          <w:rFonts w:ascii="Times New Roman" w:hAnsi="Times New Roman"/>
          <w:sz w:val="20"/>
          <w:szCs w:val="20"/>
        </w:rPr>
        <w:t xml:space="preserve"> (n 17) [46], [1], [43]-[44]</w:t>
      </w:r>
    </w:p>
  </w:footnote>
  <w:footnote w:id="76">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See, e.g.: Theakston v MGN [2002] EWHC 137; </w:t>
      </w:r>
      <w:proofErr w:type="spellStart"/>
      <w:r w:rsidRPr="00AC265E">
        <w:rPr>
          <w:rFonts w:ascii="Times New Roman" w:hAnsi="Times New Roman"/>
        </w:rPr>
        <w:t>Rocknroll</w:t>
      </w:r>
      <w:proofErr w:type="spellEnd"/>
      <w:r w:rsidRPr="00AC265E">
        <w:rPr>
          <w:rFonts w:ascii="Times New Roman" w:hAnsi="Times New Roman"/>
        </w:rPr>
        <w:t xml:space="preserve"> v News Group Newspapers [2013] EWHC 24.</w:t>
      </w:r>
    </w:p>
  </w:footnote>
  <w:footnote w:id="77">
    <w:p w:rsidR="001A16DA" w:rsidRPr="00AC265E" w:rsidRDefault="001A16DA" w:rsidP="00B775FC">
      <w:pPr>
        <w:pStyle w:val="FootnoteText"/>
        <w:ind w:hanging="227"/>
        <w:jc w:val="both"/>
        <w:rPr>
          <w:rFonts w:ascii="Times New Roman" w:hAnsi="Times New Roman"/>
          <w:lang w:val="de-DE"/>
        </w:rPr>
      </w:pPr>
      <w:r w:rsidRPr="00AC265E">
        <w:rPr>
          <w:rStyle w:val="FootnoteReference"/>
          <w:rFonts w:ascii="Times New Roman" w:hAnsi="Times New Roman"/>
        </w:rPr>
        <w:footnoteRef/>
      </w:r>
      <w:r w:rsidRPr="00AC265E">
        <w:rPr>
          <w:rFonts w:ascii="Times New Roman" w:hAnsi="Times New Roman"/>
          <w:lang w:val="de-DE"/>
        </w:rPr>
        <w:t xml:space="preserve"> NEJ v Helen Wood [2011] All ER (D) 218 [11], [14], [23]-[24].</w:t>
      </w:r>
    </w:p>
  </w:footnote>
  <w:footnote w:id="78">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Goodwin (n 45) [15]-[16], [3], [18]-[19], [37], [42].  See also: Goodwin (n 68) [146], [120]-[121], [112].  </w:t>
      </w:r>
    </w:p>
  </w:footnote>
  <w:footnote w:id="79">
    <w:p w:rsidR="001A16DA" w:rsidRPr="00AC265E" w:rsidRDefault="001A16DA" w:rsidP="00B775FC">
      <w:pPr>
        <w:pStyle w:val="FootnoteText"/>
        <w:ind w:hanging="227"/>
        <w:jc w:val="both"/>
        <w:rPr>
          <w:rFonts w:ascii="Times New Roman" w:hAnsi="Times New Roman"/>
          <w:lang w:val="de-DE"/>
        </w:rPr>
      </w:pPr>
      <w:r w:rsidRPr="00AC265E">
        <w:rPr>
          <w:rStyle w:val="FootnoteReference"/>
          <w:rFonts w:ascii="Times New Roman" w:hAnsi="Times New Roman"/>
        </w:rPr>
        <w:footnoteRef/>
      </w:r>
      <w:r w:rsidRPr="00AC265E">
        <w:rPr>
          <w:rFonts w:ascii="Times New Roman" w:hAnsi="Times New Roman"/>
          <w:lang w:val="de-DE"/>
        </w:rPr>
        <w:t xml:space="preserve"> Donald v Ntuli (n 17) [54]-[55];  McKennitt v Ash (n 9).</w:t>
      </w:r>
    </w:p>
  </w:footnote>
  <w:footnote w:id="80">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JIH v News Group Newspapers Ltd [2010] EWHC 2818, [8], [9]; JIH v News Group Newspapers Ltd [2011] EWCA </w:t>
      </w:r>
      <w:proofErr w:type="spellStart"/>
      <w:r w:rsidRPr="00AC265E">
        <w:rPr>
          <w:rFonts w:ascii="Times New Roman" w:hAnsi="Times New Roman"/>
        </w:rPr>
        <w:t>Civ</w:t>
      </w:r>
      <w:proofErr w:type="spellEnd"/>
      <w:r w:rsidRPr="00AC265E">
        <w:rPr>
          <w:rFonts w:ascii="Times New Roman" w:hAnsi="Times New Roman"/>
        </w:rPr>
        <w:t xml:space="preserve"> 42 [24].</w:t>
      </w:r>
    </w:p>
  </w:footnote>
  <w:footnote w:id="81">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JIH Court of Appeal (n 80) [25].</w:t>
      </w:r>
    </w:p>
  </w:footnote>
  <w:footnote w:id="82">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[32]</w:t>
      </w:r>
    </w:p>
  </w:footnote>
  <w:footnote w:id="83">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[33]-[35]</w:t>
      </w:r>
    </w:p>
  </w:footnote>
  <w:footnote w:id="84">
    <w:p w:rsidR="001A16DA" w:rsidRPr="00AC265E" w:rsidRDefault="001A16DA" w:rsidP="00B775FC">
      <w:pPr>
        <w:spacing w:after="0" w:line="240" w:lineRule="auto"/>
        <w:ind w:hanging="227"/>
        <w:jc w:val="both"/>
        <w:rPr>
          <w:rFonts w:ascii="Times New Roman" w:hAnsi="Times New Roman"/>
          <w:color w:val="FF0000"/>
          <w:sz w:val="20"/>
          <w:szCs w:val="20"/>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Emphasis added.  </w:t>
      </w:r>
      <w:r w:rsidRPr="00AC265E">
        <w:rPr>
          <w:rFonts w:ascii="Times New Roman" w:hAnsi="Times New Roman"/>
          <w:i/>
          <w:sz w:val="20"/>
          <w:szCs w:val="20"/>
        </w:rPr>
        <w:t xml:space="preserve">Ibid </w:t>
      </w:r>
      <w:r w:rsidRPr="00AC265E">
        <w:rPr>
          <w:rFonts w:ascii="Times New Roman" w:hAnsi="Times New Roman"/>
          <w:sz w:val="20"/>
          <w:szCs w:val="20"/>
        </w:rPr>
        <w:t>[38].  The Court of Appeal also noted that because the claimant had previously been subject to a kiss-and-tell it would be ‘</w:t>
      </w:r>
      <w:r w:rsidRPr="00AC265E">
        <w:rPr>
          <w:rFonts w:ascii="Times New Roman" w:hAnsi="Times New Roman"/>
          <w:i/>
          <w:sz w:val="20"/>
          <w:szCs w:val="20"/>
        </w:rPr>
        <w:t>relatively easy for the media and members of the public to deduce the nature of that info: it would be a classic, if not very difficult, jigsaw exercise</w:t>
      </w:r>
      <w:r w:rsidRPr="00AC265E">
        <w:rPr>
          <w:rFonts w:ascii="Times New Roman" w:hAnsi="Times New Roman"/>
          <w:sz w:val="20"/>
          <w:szCs w:val="20"/>
        </w:rPr>
        <w:t>.’ [40].</w:t>
      </w:r>
    </w:p>
  </w:footnote>
  <w:footnote w:id="85">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N Miller, </w:t>
      </w:r>
      <w:proofErr w:type="spellStart"/>
      <w:r w:rsidRPr="00AC265E">
        <w:rPr>
          <w:rFonts w:ascii="Times New Roman" w:hAnsi="Times New Roman"/>
          <w:i/>
        </w:rPr>
        <w:t>Baned</w:t>
      </w:r>
      <w:proofErr w:type="spellEnd"/>
      <w:r w:rsidRPr="00AC265E">
        <w:rPr>
          <w:rFonts w:ascii="Times New Roman" w:hAnsi="Times New Roman"/>
          <w:i/>
        </w:rPr>
        <w:t xml:space="preserve"> in Boston, The Watch &amp; Ward Society’s Crusade against Books, Burlesque, and the Social Evil </w:t>
      </w:r>
      <w:r w:rsidRPr="00AC265E">
        <w:rPr>
          <w:rFonts w:ascii="Times New Roman" w:hAnsi="Times New Roman"/>
        </w:rPr>
        <w:t>(Boston, Beacon Press, 2010).</w:t>
      </w:r>
    </w:p>
  </w:footnote>
  <w:footnote w:id="86">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lang w:val="fr-FR"/>
        </w:rPr>
        <w:t xml:space="preserve"> R </w:t>
      </w:r>
      <w:proofErr w:type="spellStart"/>
      <w:r w:rsidRPr="00AC265E">
        <w:rPr>
          <w:rFonts w:ascii="Times New Roman" w:hAnsi="Times New Roman"/>
          <w:lang w:val="fr-FR"/>
        </w:rPr>
        <w:t>Ashmore</w:t>
      </w:r>
      <w:proofErr w:type="spellEnd"/>
      <w:r w:rsidRPr="00AC265E">
        <w:rPr>
          <w:rFonts w:ascii="Times New Roman" w:hAnsi="Times New Roman"/>
          <w:lang w:val="fr-FR"/>
        </w:rPr>
        <w:t xml:space="preserve">, V </w:t>
      </w:r>
      <w:proofErr w:type="spellStart"/>
      <w:r w:rsidRPr="00AC265E">
        <w:rPr>
          <w:rFonts w:ascii="Times New Roman" w:hAnsi="Times New Roman"/>
          <w:lang w:val="fr-FR"/>
        </w:rPr>
        <w:t>Ramchandra</w:t>
      </w:r>
      <w:proofErr w:type="spellEnd"/>
      <w:r w:rsidRPr="00AC265E">
        <w:rPr>
          <w:rFonts w:ascii="Times New Roman" w:hAnsi="Times New Roman"/>
          <w:lang w:val="fr-FR"/>
        </w:rPr>
        <w:t xml:space="preserve">, R Jones. </w:t>
      </w:r>
      <w:r w:rsidRPr="00AC265E">
        <w:rPr>
          <w:rFonts w:ascii="Times New Roman" w:hAnsi="Times New Roman"/>
        </w:rPr>
        <w:t xml:space="preserve">‘Censorship as an Attitude Change Induction’ Paper presented at Eastern </w:t>
      </w:r>
      <w:proofErr w:type="spellStart"/>
      <w:r w:rsidRPr="00AC265E">
        <w:rPr>
          <w:rFonts w:ascii="Times New Roman" w:hAnsi="Times New Roman"/>
        </w:rPr>
        <w:t>Psychologica</w:t>
      </w:r>
      <w:proofErr w:type="spellEnd"/>
      <w:r w:rsidRPr="00AC265E">
        <w:rPr>
          <w:rFonts w:ascii="Times New Roman" w:hAnsi="Times New Roman"/>
        </w:rPr>
        <w:t xml:space="preserve"> Association meeting, New York, April 1971, pp 2, 5.  &lt;</w:t>
      </w:r>
      <w:hyperlink r:id="rId12" w:history="1">
        <w:r w:rsidRPr="00AC265E">
          <w:rPr>
            <w:rStyle w:val="Hyperlink"/>
            <w:rFonts w:ascii="Times New Roman" w:hAnsi="Times New Roman"/>
          </w:rPr>
          <w:t>http://files.eric.ed.gov/fulltext/ED053411.pdf</w:t>
        </w:r>
      </w:hyperlink>
      <w:r w:rsidRPr="00AC265E">
        <w:rPr>
          <w:rFonts w:ascii="Times New Roman" w:hAnsi="Times New Roman"/>
        </w:rPr>
        <w:t>&gt; (accessed 16 Oct 2016).  It should be noted that many of the censorship studies discussed here involve tests using political communications rather than private information.</w:t>
      </w:r>
    </w:p>
  </w:footnote>
  <w:footnote w:id="87">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S </w:t>
      </w:r>
      <w:proofErr w:type="spellStart"/>
      <w:r w:rsidRPr="00AC265E">
        <w:rPr>
          <w:rFonts w:ascii="Times New Roman" w:hAnsi="Times New Roman"/>
        </w:rPr>
        <w:t>Worchell</w:t>
      </w:r>
      <w:proofErr w:type="spellEnd"/>
      <w:r w:rsidRPr="00AC265E">
        <w:rPr>
          <w:rFonts w:ascii="Times New Roman" w:hAnsi="Times New Roman"/>
        </w:rPr>
        <w:t xml:space="preserve">, S Arnold &amp; M Baker, ‘The Effects of Censorship on Attitude Change: The Influence of Censor &amp; Communication Characteristics’ Journal of Applied Social Psychology (1975) 5, 3, pp 227-239, 237.  See also: S </w:t>
      </w:r>
      <w:proofErr w:type="spellStart"/>
      <w:r w:rsidRPr="00AC265E">
        <w:rPr>
          <w:rFonts w:ascii="Times New Roman" w:hAnsi="Times New Roman"/>
        </w:rPr>
        <w:t>Worchell</w:t>
      </w:r>
      <w:proofErr w:type="spellEnd"/>
      <w:r w:rsidRPr="00AC265E">
        <w:rPr>
          <w:rFonts w:ascii="Times New Roman" w:hAnsi="Times New Roman"/>
        </w:rPr>
        <w:t xml:space="preserve"> &amp; S Arnold, ‘The Effects of Censorship &amp; Attractiveness of the Censor on Attitude Change’ Journal of Experimental Social Psychology 9, (1973) 365-377, 374.</w:t>
      </w:r>
    </w:p>
  </w:footnote>
  <w:footnote w:id="88">
    <w:p w:rsidR="001A16DA" w:rsidRPr="00AC265E" w:rsidRDefault="001A16DA" w:rsidP="00B775FC">
      <w:pPr>
        <w:pStyle w:val="FootnoteText"/>
        <w:ind w:hanging="227"/>
        <w:jc w:val="both"/>
        <w:rPr>
          <w:rFonts w:ascii="Times New Roman" w:hAnsi="Times New Roman"/>
          <w:lang w:val="fr-FR"/>
        </w:rPr>
      </w:pPr>
      <w:r w:rsidRPr="00AC265E">
        <w:rPr>
          <w:rStyle w:val="FootnoteReference"/>
          <w:rFonts w:ascii="Times New Roman" w:hAnsi="Times New Roman"/>
        </w:rPr>
        <w:footnoteRef/>
      </w:r>
      <w:r w:rsidRPr="00AC265E">
        <w:rPr>
          <w:rFonts w:ascii="Times New Roman" w:hAnsi="Times New Roman"/>
          <w:lang w:val="fr-FR"/>
        </w:rPr>
        <w:t xml:space="preserve"> </w:t>
      </w:r>
      <w:proofErr w:type="spellStart"/>
      <w:r w:rsidRPr="00AC265E">
        <w:rPr>
          <w:rFonts w:ascii="Times New Roman" w:hAnsi="Times New Roman"/>
          <w:lang w:val="fr-FR"/>
        </w:rPr>
        <w:t>Olson</w:t>
      </w:r>
      <w:proofErr w:type="spellEnd"/>
      <w:r w:rsidRPr="00AC265E">
        <w:rPr>
          <w:rFonts w:ascii="Times New Roman" w:hAnsi="Times New Roman"/>
          <w:lang w:val="fr-FR"/>
        </w:rPr>
        <w:t xml:space="preserve"> &amp; Esses (n 63) 280.</w:t>
      </w:r>
    </w:p>
  </w:footnote>
  <w:footnote w:id="89">
    <w:p w:rsidR="001A16DA" w:rsidRPr="00AC265E" w:rsidRDefault="001A16DA" w:rsidP="00B775FC">
      <w:pPr>
        <w:pStyle w:val="FootnoteText"/>
        <w:ind w:hanging="227"/>
        <w:jc w:val="both"/>
        <w:rPr>
          <w:rFonts w:ascii="Times New Roman" w:hAnsi="Times New Roman"/>
          <w:lang w:val="fr-FR"/>
        </w:rPr>
      </w:pPr>
      <w:r w:rsidRPr="00AC265E">
        <w:rPr>
          <w:rStyle w:val="FootnoteReference"/>
          <w:rFonts w:ascii="Times New Roman" w:hAnsi="Times New Roman"/>
        </w:rPr>
        <w:footnoteRef/>
      </w:r>
      <w:r w:rsidRPr="00AC265E">
        <w:rPr>
          <w:rFonts w:ascii="Times New Roman" w:hAnsi="Times New Roman"/>
          <w:lang w:val="fr-FR"/>
        </w:rPr>
        <w:t xml:space="preserve"> </w:t>
      </w:r>
      <w:proofErr w:type="spellStart"/>
      <w:r w:rsidRPr="00AC265E">
        <w:rPr>
          <w:rFonts w:ascii="Times New Roman" w:hAnsi="Times New Roman"/>
          <w:lang w:val="fr-FR"/>
        </w:rPr>
        <w:t>Ashmore</w:t>
      </w:r>
      <w:proofErr w:type="spellEnd"/>
      <w:r w:rsidRPr="00AC265E">
        <w:rPr>
          <w:rFonts w:ascii="Times New Roman" w:hAnsi="Times New Roman"/>
          <w:lang w:val="fr-FR"/>
        </w:rPr>
        <w:t xml:space="preserve"> et al (n 86) 2; </w:t>
      </w:r>
      <w:proofErr w:type="spellStart"/>
      <w:r w:rsidRPr="00AC265E">
        <w:rPr>
          <w:rFonts w:ascii="Times New Roman" w:hAnsi="Times New Roman"/>
          <w:lang w:val="fr-FR"/>
        </w:rPr>
        <w:t>Worchell</w:t>
      </w:r>
      <w:proofErr w:type="spellEnd"/>
      <w:r w:rsidRPr="00AC265E">
        <w:rPr>
          <w:rFonts w:ascii="Times New Roman" w:hAnsi="Times New Roman"/>
          <w:lang w:val="fr-FR"/>
        </w:rPr>
        <w:t xml:space="preserve"> et al, 1975 (n 87) 228, 233-234, 237.</w:t>
      </w:r>
    </w:p>
  </w:footnote>
  <w:footnote w:id="90">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proofErr w:type="spellStart"/>
      <w:r w:rsidRPr="00AC265E">
        <w:rPr>
          <w:rFonts w:ascii="Times New Roman" w:hAnsi="Times New Roman"/>
        </w:rPr>
        <w:t>Worchell</w:t>
      </w:r>
      <w:proofErr w:type="spellEnd"/>
      <w:r w:rsidRPr="00AC265E">
        <w:rPr>
          <w:rFonts w:ascii="Times New Roman" w:hAnsi="Times New Roman"/>
        </w:rPr>
        <w:t xml:space="preserve"> at </w:t>
      </w:r>
      <w:proofErr w:type="spellStart"/>
      <w:r w:rsidRPr="00AC265E">
        <w:rPr>
          <w:rFonts w:ascii="Times New Roman" w:hAnsi="Times New Roman"/>
        </w:rPr>
        <w:t>al</w:t>
      </w:r>
      <w:proofErr w:type="spellEnd"/>
      <w:r w:rsidRPr="00AC265E">
        <w:rPr>
          <w:rFonts w:ascii="Times New Roman" w:hAnsi="Times New Roman"/>
        </w:rPr>
        <w:t xml:space="preserve">, 1975 (n 87) 238; </w:t>
      </w:r>
      <w:proofErr w:type="spellStart"/>
      <w:r w:rsidRPr="00AC265E">
        <w:rPr>
          <w:rFonts w:ascii="Times New Roman" w:hAnsi="Times New Roman"/>
        </w:rPr>
        <w:t>Worchell</w:t>
      </w:r>
      <w:proofErr w:type="spellEnd"/>
      <w:r w:rsidRPr="00AC265E">
        <w:rPr>
          <w:rFonts w:ascii="Times New Roman" w:hAnsi="Times New Roman"/>
        </w:rPr>
        <w:t xml:space="preserve"> et al, 1973 (n 87) 375-376.</w:t>
      </w:r>
    </w:p>
  </w:footnote>
  <w:footnote w:id="91">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S </w:t>
      </w:r>
      <w:proofErr w:type="spellStart"/>
      <w:r w:rsidRPr="00AC265E">
        <w:rPr>
          <w:rFonts w:ascii="Times New Roman" w:hAnsi="Times New Roman"/>
        </w:rPr>
        <w:t>Worchell</w:t>
      </w:r>
      <w:proofErr w:type="spellEnd"/>
      <w:r w:rsidRPr="00AC265E">
        <w:rPr>
          <w:rFonts w:ascii="Times New Roman" w:hAnsi="Times New Roman"/>
        </w:rPr>
        <w:t xml:space="preserve"> et al, 1975 (n 87) 239.  See also: Olson &amp; </w:t>
      </w:r>
      <w:proofErr w:type="spellStart"/>
      <w:r w:rsidRPr="00AC265E">
        <w:rPr>
          <w:rFonts w:ascii="Times New Roman" w:hAnsi="Times New Roman"/>
        </w:rPr>
        <w:t>Esses</w:t>
      </w:r>
      <w:proofErr w:type="spellEnd"/>
      <w:r w:rsidRPr="00AC265E">
        <w:rPr>
          <w:rFonts w:ascii="Times New Roman" w:hAnsi="Times New Roman"/>
        </w:rPr>
        <w:t xml:space="preserve"> (n 63) 281.</w:t>
      </w:r>
    </w:p>
  </w:footnote>
  <w:footnote w:id="92">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I have elsewhere analysed judicial depictions of such material and the public that consumes it: Rebecca Moosavian, ‘Deconstructing “Public Interest” in the Article 8 vs Article 10 Balancing Exercise’</w:t>
      </w:r>
      <w:r w:rsidRPr="00AC265E">
        <w:rPr>
          <w:rFonts w:ascii="Times New Roman" w:hAnsi="Times New Roman"/>
          <w:i/>
        </w:rPr>
        <w:t xml:space="preserve"> </w:t>
      </w:r>
      <w:r w:rsidRPr="00AC265E">
        <w:rPr>
          <w:rFonts w:ascii="Times New Roman" w:hAnsi="Times New Roman"/>
        </w:rPr>
        <w:t xml:space="preserve">(2014) 6 </w:t>
      </w:r>
      <w:r w:rsidRPr="00AC265E">
        <w:rPr>
          <w:rFonts w:ascii="Times New Roman" w:hAnsi="Times New Roman"/>
          <w:i/>
        </w:rPr>
        <w:t>Journal of Media Law</w:t>
      </w:r>
      <w:r w:rsidRPr="00AC265E">
        <w:rPr>
          <w:rFonts w:ascii="Times New Roman" w:hAnsi="Times New Roman"/>
        </w:rPr>
        <w:t xml:space="preserve">234-268.  See also: J </w:t>
      </w:r>
      <w:proofErr w:type="spellStart"/>
      <w:r w:rsidRPr="00AC265E">
        <w:rPr>
          <w:rFonts w:ascii="Times New Roman" w:hAnsi="Times New Roman"/>
        </w:rPr>
        <w:t>Balkin</w:t>
      </w:r>
      <w:proofErr w:type="spellEnd"/>
      <w:r w:rsidRPr="00AC265E">
        <w:rPr>
          <w:rFonts w:ascii="Times New Roman" w:hAnsi="Times New Roman"/>
        </w:rPr>
        <w:t>, ‘The Future of Free Expression in a Digital age (2009) Pepperdine Law Review, Vol 36, 437.</w:t>
      </w:r>
    </w:p>
  </w:footnote>
  <w:footnote w:id="93">
    <w:p w:rsidR="001A16DA" w:rsidRPr="00AC265E" w:rsidRDefault="001A16DA" w:rsidP="00B775FC">
      <w:pPr>
        <w:spacing w:after="0" w:line="240" w:lineRule="auto"/>
        <w:ind w:hanging="227"/>
        <w:jc w:val="both"/>
        <w:rPr>
          <w:rFonts w:ascii="Times New Roman" w:hAnsi="Times New Roman"/>
          <w:sz w:val="20"/>
          <w:szCs w:val="20"/>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PJS Court of Appeal (n 49) [17].  It should be noted that this was not quoted with approval or disapproval, but as an example of press complaints about the ban.</w:t>
      </w:r>
    </w:p>
  </w:footnote>
  <w:footnote w:id="94">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GA Fine, ‘The Chaining of Social Problems: Solutions and Unintended Consequences in the Age of Betrayal’ 53 Social Problems 3 (2006) 6</w:t>
      </w:r>
    </w:p>
  </w:footnote>
  <w:footnote w:id="95">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Though, this is not necessarily to claim that the press always lives up to the lofty ideals to which it advocates: P Wragg, ‘Time to End Tyranny: </w:t>
      </w:r>
      <w:proofErr w:type="spellStart"/>
      <w:r w:rsidRPr="00AC265E">
        <w:rPr>
          <w:rFonts w:ascii="Times New Roman" w:hAnsi="Times New Roman"/>
        </w:rPr>
        <w:t>Leveson</w:t>
      </w:r>
      <w:proofErr w:type="spellEnd"/>
      <w:r w:rsidRPr="00AC265E">
        <w:rPr>
          <w:rFonts w:ascii="Times New Roman" w:hAnsi="Times New Roman"/>
        </w:rPr>
        <w:t xml:space="preserve"> and the Failure of the Fourth Estate’ </w:t>
      </w:r>
      <w:proofErr w:type="spellStart"/>
      <w:r w:rsidRPr="00AC265E">
        <w:rPr>
          <w:rFonts w:ascii="Times New Roman" w:hAnsi="Times New Roman"/>
        </w:rPr>
        <w:t>Comms</w:t>
      </w:r>
      <w:proofErr w:type="spellEnd"/>
      <w:r w:rsidRPr="00AC265E">
        <w:rPr>
          <w:rFonts w:ascii="Times New Roman" w:hAnsi="Times New Roman"/>
        </w:rPr>
        <w:t xml:space="preserve">. L. (2013), 18(1), 11-20; E Herman &amp; N Chomsky, </w:t>
      </w:r>
      <w:r w:rsidRPr="00AC265E">
        <w:rPr>
          <w:rFonts w:ascii="Times New Roman" w:hAnsi="Times New Roman"/>
          <w:i/>
        </w:rPr>
        <w:t xml:space="preserve">Manufacturing Consent, The Political Economy of the Mass Media </w:t>
      </w:r>
      <w:r w:rsidRPr="00AC265E">
        <w:rPr>
          <w:rFonts w:ascii="Times New Roman" w:hAnsi="Times New Roman"/>
        </w:rPr>
        <w:t>(London: Vintage, 1994).</w:t>
      </w:r>
    </w:p>
  </w:footnote>
  <w:footnote w:id="96">
    <w:p w:rsidR="001A16DA" w:rsidRPr="00AC265E" w:rsidRDefault="001A16DA" w:rsidP="00B775FC">
      <w:pPr>
        <w:pStyle w:val="FootnoteText"/>
        <w:ind w:hanging="227"/>
        <w:jc w:val="both"/>
        <w:rPr>
          <w:rFonts w:ascii="Times New Roman" w:hAnsi="Times New Roman"/>
        </w:rPr>
      </w:pPr>
      <w:r w:rsidRPr="00565E1E">
        <w:rPr>
          <w:rStyle w:val="FootnoteReference"/>
          <w:rFonts w:ascii="Times New Roman" w:hAnsi="Times New Roman"/>
        </w:rPr>
        <w:footnoteRef/>
      </w:r>
      <w:r w:rsidRPr="00565E1E">
        <w:rPr>
          <w:rFonts w:ascii="Times New Roman" w:hAnsi="Times New Roman"/>
        </w:rPr>
        <w:t xml:space="preserve"> </w:t>
      </w:r>
      <w:proofErr w:type="spellStart"/>
      <w:r w:rsidRPr="00565E1E">
        <w:rPr>
          <w:rFonts w:ascii="Times New Roman" w:hAnsi="Times New Roman"/>
        </w:rPr>
        <w:t>Spycatcher</w:t>
      </w:r>
      <w:proofErr w:type="spellEnd"/>
      <w:r w:rsidRPr="00565E1E">
        <w:rPr>
          <w:rFonts w:ascii="Times New Roman" w:hAnsi="Times New Roman"/>
        </w:rPr>
        <w:t xml:space="preserve"> (n 23) p123 (Scott J); p254 (Lord Keith).</w:t>
      </w:r>
    </w:p>
  </w:footnote>
  <w:footnote w:id="97">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See, e.g. The Telegraph Online (n 50).</w:t>
      </w:r>
    </w:p>
  </w:footnote>
  <w:footnote w:id="98">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It is also arguable that perceived conflicts regarding legislative-judicial separation of powers and sexual mores are arguably also influence M.P.s’ motivations.  </w:t>
      </w:r>
    </w:p>
  </w:footnote>
  <w:footnote w:id="99">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The Guardian Online, ‘</w:t>
      </w:r>
      <w:proofErr w:type="spellStart"/>
      <w:r w:rsidRPr="00AC265E">
        <w:rPr>
          <w:rFonts w:ascii="Times New Roman" w:hAnsi="Times New Roman"/>
        </w:rPr>
        <w:t>Superinjunctions</w:t>
      </w:r>
      <w:proofErr w:type="spellEnd"/>
      <w:r w:rsidRPr="00AC265E">
        <w:rPr>
          <w:rFonts w:ascii="Times New Roman" w:hAnsi="Times New Roman"/>
        </w:rPr>
        <w:t>: Modern Technology is out of Control, says Lord Chief Justice’ (20 May 2011)  &lt;</w:t>
      </w:r>
      <w:hyperlink r:id="rId13" w:history="1">
        <w:r w:rsidRPr="00AC265E">
          <w:rPr>
            <w:rStyle w:val="Hyperlink"/>
            <w:rFonts w:ascii="Times New Roman" w:hAnsi="Times New Roman"/>
          </w:rPr>
          <w:t>https://www.theguardian.com/law/2011/may/20/superinjunction-modern-technology-lord-judge</w:t>
        </w:r>
      </w:hyperlink>
      <w:r w:rsidRPr="00AC265E">
        <w:rPr>
          <w:rFonts w:ascii="Times New Roman" w:hAnsi="Times New Roman"/>
        </w:rPr>
        <w:t>&gt; (accessed 16 Oct 2016)</w:t>
      </w:r>
    </w:p>
  </w:footnote>
  <w:footnote w:id="100">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RJW &amp; SJW v Guardian News &amp; Media &amp; Others [2009] EWHC 2540.  </w:t>
      </w:r>
    </w:p>
  </w:footnote>
  <w:footnote w:id="101">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JS Mill, </w:t>
      </w:r>
      <w:r w:rsidRPr="00AC265E">
        <w:rPr>
          <w:rFonts w:ascii="Times New Roman" w:hAnsi="Times New Roman"/>
          <w:i/>
        </w:rPr>
        <w:t>On Liberty &amp; Other Essays</w:t>
      </w:r>
      <w:r w:rsidRPr="00AC265E">
        <w:rPr>
          <w:rFonts w:ascii="Times New Roman" w:hAnsi="Times New Roman"/>
        </w:rPr>
        <w:t xml:space="preserve">, (Oxford: Oxford, 1998) </w:t>
      </w:r>
      <w:proofErr w:type="spellStart"/>
      <w:r w:rsidRPr="00AC265E">
        <w:rPr>
          <w:rFonts w:ascii="Times New Roman" w:hAnsi="Times New Roman"/>
        </w:rPr>
        <w:t>Ch</w:t>
      </w:r>
      <w:proofErr w:type="spellEnd"/>
      <w:r w:rsidRPr="00AC265E">
        <w:rPr>
          <w:rFonts w:ascii="Times New Roman" w:hAnsi="Times New Roman"/>
        </w:rPr>
        <w:t xml:space="preserve"> II</w:t>
      </w:r>
    </w:p>
  </w:footnote>
  <w:footnote w:id="102">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S Lash, Critique of Information (London: Sage 2002).</w:t>
      </w:r>
    </w:p>
  </w:footnote>
  <w:footnote w:id="103">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Manuel Castells, The Rise of the Network Society (London: Wiley-Blackwell 2010).</w:t>
      </w:r>
    </w:p>
  </w:footnote>
  <w:footnote w:id="104">
    <w:p w:rsidR="001A16DA" w:rsidRPr="00AC265E" w:rsidRDefault="001A16DA" w:rsidP="00B775FC">
      <w:pPr>
        <w:pStyle w:val="BlockText"/>
        <w:ind w:left="0" w:right="0" w:hanging="227"/>
        <w:rPr>
          <w:rFonts w:ascii="Times New Roman" w:hAnsi="Times New Roman"/>
          <w:i/>
          <w:sz w:val="20"/>
        </w:rPr>
      </w:pPr>
      <w:r w:rsidRPr="00AC265E">
        <w:rPr>
          <w:rStyle w:val="FootnoteReference"/>
          <w:rFonts w:ascii="Times New Roman" w:hAnsi="Times New Roman"/>
          <w:sz w:val="20"/>
        </w:rPr>
        <w:footnoteRef/>
      </w:r>
      <w:r w:rsidRPr="00AC265E">
        <w:rPr>
          <w:rFonts w:ascii="Times New Roman" w:hAnsi="Times New Roman"/>
          <w:sz w:val="20"/>
        </w:rPr>
        <w:t xml:space="preserve"> R Moosavian, </w:t>
      </w:r>
      <w:r w:rsidRPr="00AC265E">
        <w:rPr>
          <w:rFonts w:ascii="Times New Roman" w:hAnsi="Times New Roman"/>
          <w:i/>
          <w:sz w:val="20"/>
        </w:rPr>
        <w:t>‘</w:t>
      </w:r>
      <w:r w:rsidRPr="00AC265E">
        <w:rPr>
          <w:rFonts w:ascii="Times New Roman" w:hAnsi="Times New Roman"/>
          <w:sz w:val="20"/>
        </w:rPr>
        <w:t>Keep Calm and Carry On’: Informing the Public under the Civil Contingencies Act 2004’</w:t>
      </w:r>
      <w:r w:rsidRPr="00AC265E">
        <w:rPr>
          <w:rFonts w:ascii="Times New Roman" w:hAnsi="Times New Roman"/>
          <w:i/>
          <w:sz w:val="20"/>
        </w:rPr>
        <w:t xml:space="preserve"> </w:t>
      </w:r>
      <w:r w:rsidRPr="00AC265E">
        <w:rPr>
          <w:rFonts w:ascii="Times New Roman" w:hAnsi="Times New Roman"/>
          <w:sz w:val="20"/>
        </w:rPr>
        <w:t xml:space="preserve">[2014] </w:t>
      </w:r>
      <w:r w:rsidRPr="00D80A70">
        <w:rPr>
          <w:rFonts w:ascii="Times New Roman" w:hAnsi="Times New Roman"/>
          <w:sz w:val="20"/>
        </w:rPr>
        <w:t>International Journal of Human Rights, Vol 18, No 2, 178.</w:t>
      </w:r>
      <w:r w:rsidRPr="00AC265E">
        <w:rPr>
          <w:rFonts w:ascii="Times New Roman" w:hAnsi="Times New Roman"/>
          <w:sz w:val="20"/>
        </w:rPr>
        <w:t xml:space="preserve">  </w:t>
      </w:r>
    </w:p>
  </w:footnote>
  <w:footnote w:id="105">
    <w:p w:rsidR="001A16DA" w:rsidRPr="00AC265E" w:rsidRDefault="001A16DA" w:rsidP="00B775FC">
      <w:pPr>
        <w:spacing w:after="0" w:line="240" w:lineRule="auto"/>
        <w:ind w:hanging="227"/>
        <w:jc w:val="both"/>
        <w:rPr>
          <w:rFonts w:ascii="Times New Roman" w:hAnsi="Times New Roman"/>
          <w:sz w:val="20"/>
          <w:szCs w:val="20"/>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The defendant had published its story on 30</w:t>
      </w:r>
      <w:r w:rsidRPr="00AC265E">
        <w:rPr>
          <w:rFonts w:ascii="Times New Roman" w:hAnsi="Times New Roman"/>
          <w:sz w:val="20"/>
          <w:szCs w:val="20"/>
          <w:vertAlign w:val="superscript"/>
        </w:rPr>
        <w:t>th</w:t>
      </w:r>
      <w:r w:rsidRPr="00AC265E">
        <w:rPr>
          <w:rFonts w:ascii="Times New Roman" w:hAnsi="Times New Roman"/>
          <w:sz w:val="20"/>
          <w:szCs w:val="20"/>
        </w:rPr>
        <w:t xml:space="preserve"> March and the claimant applied for an injunction on 4</w:t>
      </w:r>
      <w:r w:rsidRPr="00AC265E">
        <w:rPr>
          <w:rFonts w:ascii="Times New Roman" w:hAnsi="Times New Roman"/>
          <w:sz w:val="20"/>
          <w:szCs w:val="20"/>
          <w:vertAlign w:val="superscript"/>
        </w:rPr>
        <w:t>th</w:t>
      </w:r>
      <w:r w:rsidRPr="00AC265E">
        <w:rPr>
          <w:rFonts w:ascii="Times New Roman" w:hAnsi="Times New Roman"/>
          <w:sz w:val="20"/>
          <w:szCs w:val="20"/>
        </w:rPr>
        <w:t xml:space="preserve"> April: Mosley (n 59) [1], [3].</w:t>
      </w:r>
    </w:p>
  </w:footnote>
  <w:footnote w:id="106">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Specifically dissonance and self-perception: Olson &amp; </w:t>
      </w:r>
      <w:proofErr w:type="spellStart"/>
      <w:r w:rsidRPr="00AC265E">
        <w:rPr>
          <w:rFonts w:ascii="Times New Roman" w:hAnsi="Times New Roman"/>
        </w:rPr>
        <w:t>Esses</w:t>
      </w:r>
      <w:proofErr w:type="spellEnd"/>
      <w:r w:rsidRPr="00AC265E">
        <w:rPr>
          <w:rFonts w:ascii="Times New Roman" w:hAnsi="Times New Roman"/>
        </w:rPr>
        <w:t xml:space="preserve"> (n 63) 283.</w:t>
      </w:r>
    </w:p>
  </w:footnote>
  <w:footnote w:id="107">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Emphasis added.  </w:t>
      </w:r>
      <w:r w:rsidRPr="00AC265E">
        <w:rPr>
          <w:rFonts w:ascii="Times New Roman" w:hAnsi="Times New Roman"/>
          <w:i/>
        </w:rPr>
        <w:t xml:space="preserve">Ibid </w:t>
      </w:r>
      <w:r w:rsidRPr="00AC265E">
        <w:rPr>
          <w:rFonts w:ascii="Times New Roman" w:hAnsi="Times New Roman"/>
        </w:rPr>
        <w:t>283-4.</w:t>
      </w:r>
    </w:p>
  </w:footnote>
  <w:footnote w:id="108">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Martinez and another v MGN Limited c-161/10 [2011] ECR I – 10269, [2012] QB 654 [43]</w:t>
      </w:r>
    </w:p>
  </w:footnote>
  <w:footnote w:id="109">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Mosley (n 59) [36]; </w:t>
      </w:r>
      <w:proofErr w:type="spellStart"/>
      <w:r w:rsidRPr="00AC265E">
        <w:rPr>
          <w:rFonts w:ascii="Times New Roman" w:hAnsi="Times New Roman"/>
        </w:rPr>
        <w:t>Giggs</w:t>
      </w:r>
      <w:proofErr w:type="spellEnd"/>
      <w:r w:rsidRPr="00AC265E">
        <w:rPr>
          <w:rFonts w:ascii="Times New Roman" w:hAnsi="Times New Roman"/>
        </w:rPr>
        <w:t xml:space="preserve"> (n 39) [24]. </w:t>
      </w:r>
    </w:p>
  </w:footnote>
  <w:footnote w:id="110">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The 12</w:t>
      </w:r>
      <w:r w:rsidRPr="00AC265E">
        <w:rPr>
          <w:rFonts w:ascii="Times New Roman" w:hAnsi="Times New Roman"/>
          <w:vertAlign w:val="superscript"/>
        </w:rPr>
        <w:t>th</w:t>
      </w:r>
      <w:r w:rsidRPr="00AC265E">
        <w:rPr>
          <w:rFonts w:ascii="Times New Roman" w:hAnsi="Times New Roman"/>
        </w:rPr>
        <w:t xml:space="preserve"> Century tale of King Canute by Henry of Huntingdon depicted Canute’s act of sitting at the sea shore edge as an act of humility to show the limits of his powers, rather than a futile gesture to hold back the tide.  Lord </w:t>
      </w:r>
      <w:proofErr w:type="spellStart"/>
      <w:r w:rsidRPr="00AC265E">
        <w:rPr>
          <w:rFonts w:ascii="Times New Roman" w:hAnsi="Times New Roman"/>
        </w:rPr>
        <w:t>Mance</w:t>
      </w:r>
      <w:proofErr w:type="spellEnd"/>
      <w:r w:rsidRPr="00AC265E">
        <w:rPr>
          <w:rFonts w:ascii="Times New Roman" w:hAnsi="Times New Roman"/>
        </w:rPr>
        <w:t xml:space="preserve"> recently demonstrated a better grasp of the subtleties of the tale, claiming ‘</w:t>
      </w:r>
      <w:r w:rsidRPr="00AC265E">
        <w:rPr>
          <w:rFonts w:ascii="Times New Roman" w:hAnsi="Times New Roman"/>
          <w:i/>
        </w:rPr>
        <w:t>The Court is well aware of the lesson which King Canute gave his courtiers</w:t>
      </w:r>
      <w:r w:rsidRPr="00AC265E">
        <w:rPr>
          <w:rFonts w:ascii="Times New Roman" w:hAnsi="Times New Roman"/>
        </w:rPr>
        <w:t>’: PJS Supreme Court (n 1) [3].</w:t>
      </w:r>
    </w:p>
  </w:footnote>
  <w:footnote w:id="111">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Mosley (n 59) [34].  </w:t>
      </w:r>
    </w:p>
  </w:footnote>
  <w:footnote w:id="112">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Moosavian (n 104) 182.</w:t>
      </w:r>
    </w:p>
  </w:footnote>
  <w:footnote w:id="113">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Lord Neuberger, Lady Hale &amp; Lord Reed concurring.</w:t>
      </w:r>
    </w:p>
  </w:footnote>
  <w:footnote w:id="114">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P</w:t>
      </w:r>
      <w:r w:rsidR="008F1749">
        <w:rPr>
          <w:rFonts w:ascii="Times New Roman" w:hAnsi="Times New Roman"/>
        </w:rPr>
        <w:t>JS Supreme Court (n 1) [1]</w:t>
      </w:r>
      <w:r w:rsidRPr="00AC265E">
        <w:rPr>
          <w:rFonts w:ascii="Times New Roman" w:hAnsi="Times New Roman"/>
        </w:rPr>
        <w:t xml:space="preserve">, [35], [37].  See also [82] (Lord </w:t>
      </w:r>
      <w:proofErr w:type="spellStart"/>
      <w:r w:rsidRPr="00AC265E">
        <w:rPr>
          <w:rFonts w:ascii="Times New Roman" w:hAnsi="Times New Roman"/>
        </w:rPr>
        <w:t>Toulson</w:t>
      </w:r>
      <w:proofErr w:type="spellEnd"/>
      <w:r w:rsidRPr="00AC265E">
        <w:rPr>
          <w:rFonts w:ascii="Times New Roman" w:hAnsi="Times New Roman"/>
        </w:rPr>
        <w:t>)</w:t>
      </w:r>
    </w:p>
  </w:footnote>
  <w:footnote w:id="115">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[35], [45],</w:t>
      </w:r>
    </w:p>
  </w:footnote>
  <w:footnote w:id="116">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[68]</w:t>
      </w:r>
    </w:p>
  </w:footnote>
  <w:footnote w:id="117">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Emphasis added.  </w:t>
      </w:r>
      <w:r w:rsidRPr="00AC265E">
        <w:rPr>
          <w:rFonts w:ascii="Times New Roman" w:hAnsi="Times New Roman"/>
          <w:i/>
        </w:rPr>
        <w:t xml:space="preserve">Ibid </w:t>
      </w:r>
      <w:r w:rsidRPr="00AC265E">
        <w:rPr>
          <w:rFonts w:ascii="Times New Roman" w:hAnsi="Times New Roman"/>
        </w:rPr>
        <w:t>[45]</w:t>
      </w:r>
    </w:p>
  </w:footnote>
  <w:footnote w:id="118">
    <w:p w:rsidR="001A16DA" w:rsidRPr="005B443F" w:rsidRDefault="001A16DA" w:rsidP="00B775FC">
      <w:pPr>
        <w:pStyle w:val="FootnoteText"/>
        <w:ind w:hanging="227"/>
        <w:jc w:val="both"/>
        <w:rPr>
          <w:rFonts w:ascii="Times New Roman" w:hAnsi="Times New Roman"/>
          <w:lang w:val="es-ES"/>
        </w:rPr>
      </w:pPr>
      <w:r w:rsidRPr="00AC265E">
        <w:rPr>
          <w:rStyle w:val="FootnoteReference"/>
          <w:rFonts w:ascii="Times New Roman" w:hAnsi="Times New Roman"/>
        </w:rPr>
        <w:footnoteRef/>
      </w:r>
      <w:r w:rsidRPr="005B443F">
        <w:rPr>
          <w:rFonts w:ascii="Times New Roman" w:hAnsi="Times New Roman"/>
          <w:lang w:val="es-ES"/>
        </w:rPr>
        <w:t xml:space="preserve"> H v A (No 2) [2015] EWHC 2630 (</w:t>
      </w:r>
      <w:proofErr w:type="spellStart"/>
      <w:r w:rsidRPr="005B443F">
        <w:rPr>
          <w:rFonts w:ascii="Times New Roman" w:hAnsi="Times New Roman"/>
          <w:lang w:val="es-ES"/>
        </w:rPr>
        <w:t>Fam</w:t>
      </w:r>
      <w:proofErr w:type="spellEnd"/>
      <w:r w:rsidRPr="005B443F">
        <w:rPr>
          <w:rFonts w:ascii="Times New Roman" w:hAnsi="Times New Roman"/>
          <w:lang w:val="es-ES"/>
        </w:rPr>
        <w:t>).</w:t>
      </w:r>
    </w:p>
  </w:footnote>
  <w:footnote w:id="119">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Emphasis added.  PJS Supreme Court (n 1) [44].</w:t>
      </w:r>
      <w:r>
        <w:rPr>
          <w:rFonts w:ascii="Times New Roman" w:hAnsi="Times New Roman"/>
        </w:rPr>
        <w:t xml:space="preserve">  See also [61] (Neuberger).</w:t>
      </w:r>
    </w:p>
  </w:footnote>
  <w:footnote w:id="120">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[45].   See also: PJS Court of Appeal (n 49) [44].</w:t>
      </w:r>
    </w:p>
  </w:footnote>
  <w:footnote w:id="121">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PJS Supreme Court (n 1) [82].</w:t>
      </w:r>
    </w:p>
  </w:footnote>
  <w:footnote w:id="122">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[89]</w:t>
      </w:r>
    </w:p>
  </w:footnote>
  <w:footnote w:id="123">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Emphasis added.  The </w:t>
      </w:r>
      <w:proofErr w:type="spellStart"/>
      <w:r w:rsidRPr="00AC265E">
        <w:rPr>
          <w:rFonts w:ascii="Times New Roman" w:hAnsi="Times New Roman"/>
        </w:rPr>
        <w:t>Leveson</w:t>
      </w:r>
      <w:proofErr w:type="spellEnd"/>
      <w:r w:rsidRPr="00AC265E">
        <w:rPr>
          <w:rFonts w:ascii="Times New Roman" w:hAnsi="Times New Roman"/>
        </w:rPr>
        <w:t xml:space="preserve"> Report quoted </w:t>
      </w:r>
      <w:r w:rsidRPr="00AC265E">
        <w:rPr>
          <w:rFonts w:ascii="Times New Roman" w:hAnsi="Times New Roman"/>
          <w:i/>
        </w:rPr>
        <w:t>ibid</w:t>
      </w:r>
      <w:r w:rsidRPr="00AC265E">
        <w:rPr>
          <w:rFonts w:ascii="Times New Roman" w:hAnsi="Times New Roman"/>
        </w:rPr>
        <w:t xml:space="preserve"> [31].</w:t>
      </w:r>
    </w:p>
  </w:footnote>
  <w:footnote w:id="124">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Von Hannover v Germany (No 1)</w:t>
      </w:r>
      <w:r w:rsidRPr="00AC265E">
        <w:rPr>
          <w:rFonts w:ascii="Times New Roman" w:hAnsi="Times New Roman"/>
        </w:rPr>
        <w:t xml:space="preserve"> [2004] EMLR 21 ECtHR,</w:t>
      </w:r>
    </w:p>
  </w:footnote>
  <w:footnote w:id="125">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PJS Supreme Court (n 1) [57].  It should be noted that these claims are based on survey evidence held by the defendant’s Mail Online: [8].  But a poll by </w:t>
      </w:r>
      <w:proofErr w:type="spellStart"/>
      <w:r w:rsidRPr="00AC265E">
        <w:rPr>
          <w:rFonts w:ascii="Times New Roman" w:hAnsi="Times New Roman"/>
        </w:rPr>
        <w:t>Yougov</w:t>
      </w:r>
      <w:proofErr w:type="spellEnd"/>
      <w:r w:rsidRPr="00AC265E">
        <w:rPr>
          <w:rFonts w:ascii="Times New Roman" w:hAnsi="Times New Roman"/>
        </w:rPr>
        <w:t xml:space="preserve"> (18 April 2016) confirmed that 1 in 4 British people knew the identity of PJS: &lt;</w:t>
      </w:r>
      <w:hyperlink r:id="rId14" w:history="1">
        <w:r w:rsidRPr="00AC265E">
          <w:rPr>
            <w:rStyle w:val="Hyperlink"/>
            <w:rFonts w:ascii="Times New Roman" w:hAnsi="Times New Roman"/>
          </w:rPr>
          <w:t>https://yougov.co.uk/news/2016/04/19/1-4-british-people-know-celebrity-threesome-couple/</w:t>
        </w:r>
      </w:hyperlink>
      <w:r w:rsidRPr="00AC265E">
        <w:rPr>
          <w:rFonts w:ascii="Times New Roman" w:hAnsi="Times New Roman"/>
        </w:rPr>
        <w:t>&gt; (accessed 16 Oct 2016).</w:t>
      </w:r>
    </w:p>
  </w:footnote>
  <w:footnote w:id="126">
    <w:p w:rsidR="001A16DA" w:rsidRPr="00DC0B7C"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Rough calculations based upon 2014 population figures for England, Wales and Scotland (where the </w:t>
      </w:r>
      <w:proofErr w:type="spellStart"/>
      <w:r w:rsidRPr="00AC265E">
        <w:rPr>
          <w:rFonts w:ascii="Times New Roman" w:hAnsi="Times New Roman"/>
        </w:rPr>
        <w:t>Yougov</w:t>
      </w:r>
      <w:proofErr w:type="spellEnd"/>
      <w:r w:rsidRPr="00AC265E">
        <w:rPr>
          <w:rFonts w:ascii="Times New Roman" w:hAnsi="Times New Roman"/>
        </w:rPr>
        <w:t xml:space="preserve"> poll was held).  </w:t>
      </w:r>
      <w:r w:rsidRPr="00DC0B7C">
        <w:rPr>
          <w:rFonts w:ascii="Times New Roman" w:hAnsi="Times New Roman"/>
        </w:rPr>
        <w:t>Figures accessible via</w:t>
      </w:r>
    </w:p>
    <w:p w:rsidR="001A16DA" w:rsidRPr="00AC265E" w:rsidRDefault="001A16DA" w:rsidP="00B775FC">
      <w:pPr>
        <w:pStyle w:val="FootnoteText"/>
        <w:ind w:hanging="227"/>
        <w:jc w:val="both"/>
        <w:rPr>
          <w:rFonts w:ascii="Times New Roman" w:hAnsi="Times New Roman"/>
        </w:rPr>
      </w:pPr>
      <w:r w:rsidRPr="00AC265E">
        <w:rPr>
          <w:rFonts w:ascii="Times New Roman" w:hAnsi="Times New Roman"/>
        </w:rPr>
        <w:t>&lt;</w:t>
      </w:r>
      <w:hyperlink r:id="rId15" w:history="1">
        <w:r w:rsidRPr="00AC265E">
          <w:rPr>
            <w:rStyle w:val="Hyperlink"/>
            <w:rFonts w:ascii="Times New Roman" w:hAnsi="Times New Roman"/>
          </w:rPr>
          <w:t>http://webarchive.nationalarchives.gov.uk/20160105160709/http://www.ons.gov.uk/ons/dcp171778_406922.pdf</w:t>
        </w:r>
      </w:hyperlink>
      <w:r w:rsidRPr="00AC265E">
        <w:rPr>
          <w:rFonts w:ascii="Times New Roman" w:hAnsi="Times New Roman"/>
        </w:rPr>
        <w:t>&gt; (accessed 16 October 2016)  p 3.</w:t>
      </w:r>
    </w:p>
  </w:footnote>
  <w:footnote w:id="127">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The Press Gazette Online, ‘National Newspaper Circulations, May 2015: Mail on Sunday Overtakes Sun on Sunday, Times Remains Only Growing Title’ (5 June 2015) &lt;</w:t>
      </w:r>
      <w:hyperlink r:id="rId16" w:history="1">
        <w:r w:rsidRPr="00AC265E">
          <w:rPr>
            <w:rStyle w:val="Hyperlink"/>
            <w:rFonts w:ascii="Times New Roman" w:hAnsi="Times New Roman"/>
          </w:rPr>
          <w:t>http://www.pressgazette.co.uk/national-newspaper-circulations-may-2015-mail-sunday-overtakes-sun-sunday-times-remains-biggest-growing/</w:t>
        </w:r>
      </w:hyperlink>
      <w:r w:rsidRPr="00AC265E">
        <w:rPr>
          <w:rFonts w:ascii="Times New Roman" w:hAnsi="Times New Roman"/>
        </w:rPr>
        <w:t>&gt; (accessed 16 October 2016).</w:t>
      </w:r>
    </w:p>
  </w:footnote>
  <w:footnote w:id="128">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Fine (n 95).</w:t>
      </w:r>
    </w:p>
  </w:footnote>
  <w:footnote w:id="129">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Emphasis added.  </w:t>
      </w:r>
      <w:proofErr w:type="spellStart"/>
      <w:r w:rsidRPr="00AC265E">
        <w:rPr>
          <w:rFonts w:ascii="Times New Roman" w:hAnsi="Times New Roman"/>
        </w:rPr>
        <w:t>Giggs</w:t>
      </w:r>
      <w:proofErr w:type="spellEnd"/>
      <w:r w:rsidRPr="00AC265E">
        <w:rPr>
          <w:rFonts w:ascii="Times New Roman" w:hAnsi="Times New Roman"/>
        </w:rPr>
        <w:t xml:space="preserve"> (n 41) [3].  </w:t>
      </w:r>
    </w:p>
  </w:footnote>
  <w:footnote w:id="130">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Chambers defines secret thus: </w:t>
      </w:r>
      <w:r w:rsidRPr="00AC265E">
        <w:rPr>
          <w:rFonts w:ascii="Times New Roman" w:hAnsi="Times New Roman"/>
          <w:i/>
        </w:rPr>
        <w:t xml:space="preserve">‘(noun) a fact … that is kept </w:t>
      </w:r>
      <w:proofErr w:type="spellStart"/>
      <w:r w:rsidRPr="00AC265E">
        <w:rPr>
          <w:rFonts w:ascii="Times New Roman" w:hAnsi="Times New Roman"/>
          <w:i/>
        </w:rPr>
        <w:t>undivulged</w:t>
      </w:r>
      <w:proofErr w:type="spellEnd"/>
      <w:r w:rsidRPr="00AC265E">
        <w:rPr>
          <w:rFonts w:ascii="Times New Roman" w:hAnsi="Times New Roman"/>
          <w:i/>
        </w:rPr>
        <w:t>; … anything unrevealed or unknown’</w:t>
      </w:r>
      <w:r w:rsidRPr="00AC265E">
        <w:rPr>
          <w:rFonts w:ascii="Times New Roman" w:hAnsi="Times New Roman"/>
        </w:rPr>
        <w:t>.  The Chambers Dictionary, (10</w:t>
      </w:r>
      <w:r w:rsidRPr="00AC265E">
        <w:rPr>
          <w:rFonts w:ascii="Times New Roman" w:hAnsi="Times New Roman"/>
          <w:vertAlign w:val="superscript"/>
        </w:rPr>
        <w:t>th</w:t>
      </w:r>
      <w:r w:rsidRPr="00AC265E">
        <w:rPr>
          <w:rFonts w:ascii="Times New Roman" w:hAnsi="Times New Roman"/>
        </w:rPr>
        <w:t xml:space="preserve"> </w:t>
      </w:r>
      <w:proofErr w:type="spellStart"/>
      <w:r w:rsidRPr="00AC265E">
        <w:rPr>
          <w:rFonts w:ascii="Times New Roman" w:hAnsi="Times New Roman"/>
        </w:rPr>
        <w:t>ed</w:t>
      </w:r>
      <w:proofErr w:type="spellEnd"/>
      <w:r w:rsidRPr="00AC265E">
        <w:rPr>
          <w:rFonts w:ascii="Times New Roman" w:hAnsi="Times New Roman"/>
        </w:rPr>
        <w:t>, 2006, Edinburgh).</w:t>
      </w:r>
    </w:p>
  </w:footnote>
  <w:footnote w:id="131">
    <w:p w:rsidR="001A16DA" w:rsidRPr="00AC265E" w:rsidRDefault="001A16DA" w:rsidP="00B775FC">
      <w:pPr>
        <w:pStyle w:val="NoSpacing"/>
        <w:ind w:hanging="227"/>
        <w:jc w:val="both"/>
        <w:rPr>
          <w:rFonts w:ascii="Times New Roman" w:hAnsi="Times New Roman"/>
          <w:sz w:val="20"/>
          <w:szCs w:val="20"/>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See e.g.: J </w:t>
      </w:r>
      <w:proofErr w:type="spellStart"/>
      <w:r w:rsidRPr="00AC265E">
        <w:rPr>
          <w:rFonts w:ascii="Times New Roman" w:hAnsi="Times New Roman"/>
          <w:sz w:val="20"/>
          <w:szCs w:val="20"/>
        </w:rPr>
        <w:t>Rachels</w:t>
      </w:r>
      <w:proofErr w:type="spellEnd"/>
      <w:r w:rsidRPr="00AC265E">
        <w:rPr>
          <w:rFonts w:ascii="Times New Roman" w:hAnsi="Times New Roman"/>
          <w:sz w:val="20"/>
          <w:szCs w:val="20"/>
        </w:rPr>
        <w:t xml:space="preserve">, ‘Why Privacy is Important’ (1975)  Philosophy &amp; Public Affairs 4(4) 323-333; C Fried, ‘Privacy’ (1968) Yale LJ 77, 475-493; A Westin, ‘The Origins of Modern Claims to Privacy’ in </w:t>
      </w:r>
      <w:r w:rsidRPr="00AC265E">
        <w:rPr>
          <w:rFonts w:ascii="Times New Roman" w:hAnsi="Times New Roman"/>
          <w:i/>
          <w:sz w:val="20"/>
          <w:szCs w:val="20"/>
        </w:rPr>
        <w:t>Philosophical Dimensions of Privacy: An Anthology</w:t>
      </w:r>
      <w:r w:rsidRPr="00AC265E">
        <w:rPr>
          <w:rFonts w:ascii="Times New Roman" w:hAnsi="Times New Roman"/>
          <w:sz w:val="20"/>
          <w:szCs w:val="20"/>
        </w:rPr>
        <w:t xml:space="preserve"> (</w:t>
      </w:r>
      <w:proofErr w:type="spellStart"/>
      <w:r w:rsidRPr="00AC265E">
        <w:rPr>
          <w:rFonts w:ascii="Times New Roman" w:hAnsi="Times New Roman"/>
          <w:sz w:val="20"/>
          <w:szCs w:val="20"/>
        </w:rPr>
        <w:t>ed</w:t>
      </w:r>
      <w:proofErr w:type="spellEnd"/>
      <w:r w:rsidRPr="00AC265E">
        <w:rPr>
          <w:rFonts w:ascii="Times New Roman" w:hAnsi="Times New Roman"/>
          <w:sz w:val="20"/>
          <w:szCs w:val="20"/>
        </w:rPr>
        <w:t xml:space="preserve">: F </w:t>
      </w:r>
      <w:proofErr w:type="spellStart"/>
      <w:r w:rsidRPr="00AC265E">
        <w:rPr>
          <w:rFonts w:ascii="Times New Roman" w:hAnsi="Times New Roman"/>
          <w:sz w:val="20"/>
          <w:szCs w:val="20"/>
        </w:rPr>
        <w:t>Schoeman</w:t>
      </w:r>
      <w:proofErr w:type="spellEnd"/>
      <w:r w:rsidRPr="00AC265E">
        <w:rPr>
          <w:rFonts w:ascii="Times New Roman" w:hAnsi="Times New Roman"/>
          <w:sz w:val="20"/>
          <w:szCs w:val="20"/>
        </w:rPr>
        <w:t xml:space="preserve">) Cambridge, 1984, </w:t>
      </w:r>
      <w:proofErr w:type="spellStart"/>
      <w:r w:rsidRPr="00AC265E">
        <w:rPr>
          <w:rFonts w:ascii="Times New Roman" w:hAnsi="Times New Roman"/>
          <w:sz w:val="20"/>
          <w:szCs w:val="20"/>
        </w:rPr>
        <w:t>Ch</w:t>
      </w:r>
      <w:proofErr w:type="spellEnd"/>
      <w:r w:rsidRPr="00AC265E">
        <w:rPr>
          <w:rFonts w:ascii="Times New Roman" w:hAnsi="Times New Roman"/>
          <w:sz w:val="20"/>
          <w:szCs w:val="20"/>
        </w:rPr>
        <w:t xml:space="preserve"> 3; R Murphy, ‘Social Distance and the Veil’ in </w:t>
      </w:r>
      <w:r w:rsidRPr="00AC265E">
        <w:rPr>
          <w:rFonts w:ascii="Times New Roman" w:hAnsi="Times New Roman"/>
          <w:i/>
          <w:sz w:val="20"/>
          <w:szCs w:val="20"/>
        </w:rPr>
        <w:t>Philosophical Dimensions of Privacy: An Anthology</w:t>
      </w:r>
      <w:r w:rsidRPr="00AC265E">
        <w:rPr>
          <w:rFonts w:ascii="Times New Roman" w:hAnsi="Times New Roman"/>
          <w:sz w:val="20"/>
          <w:szCs w:val="20"/>
        </w:rPr>
        <w:t xml:space="preserve"> (</w:t>
      </w:r>
      <w:proofErr w:type="spellStart"/>
      <w:r w:rsidRPr="00AC265E">
        <w:rPr>
          <w:rFonts w:ascii="Times New Roman" w:hAnsi="Times New Roman"/>
          <w:sz w:val="20"/>
          <w:szCs w:val="20"/>
        </w:rPr>
        <w:t>ed</w:t>
      </w:r>
      <w:proofErr w:type="spellEnd"/>
      <w:r w:rsidRPr="00AC265E">
        <w:rPr>
          <w:rFonts w:ascii="Times New Roman" w:hAnsi="Times New Roman"/>
          <w:sz w:val="20"/>
          <w:szCs w:val="20"/>
        </w:rPr>
        <w:t xml:space="preserve">: F </w:t>
      </w:r>
      <w:proofErr w:type="spellStart"/>
      <w:r w:rsidRPr="00AC265E">
        <w:rPr>
          <w:rFonts w:ascii="Times New Roman" w:hAnsi="Times New Roman"/>
          <w:sz w:val="20"/>
          <w:szCs w:val="20"/>
        </w:rPr>
        <w:t>Schoeman</w:t>
      </w:r>
      <w:proofErr w:type="spellEnd"/>
      <w:r w:rsidRPr="00AC265E">
        <w:rPr>
          <w:rFonts w:ascii="Times New Roman" w:hAnsi="Times New Roman"/>
          <w:sz w:val="20"/>
          <w:szCs w:val="20"/>
        </w:rPr>
        <w:t xml:space="preserve">) Cambridge, 1984, 51; H </w:t>
      </w:r>
      <w:proofErr w:type="spellStart"/>
      <w:r w:rsidRPr="00AC265E">
        <w:rPr>
          <w:rFonts w:ascii="Times New Roman" w:hAnsi="Times New Roman"/>
          <w:sz w:val="20"/>
          <w:szCs w:val="20"/>
        </w:rPr>
        <w:t>Nissenbaum</w:t>
      </w:r>
      <w:proofErr w:type="spellEnd"/>
      <w:r w:rsidRPr="00AC265E">
        <w:rPr>
          <w:rFonts w:ascii="Times New Roman" w:hAnsi="Times New Roman"/>
          <w:sz w:val="20"/>
          <w:szCs w:val="20"/>
        </w:rPr>
        <w:t>, ‘Protecting Privacy in an Information Age: The Problem of Privacy in Public’ (1998) Law &amp; Philosophy 17, 559-596, 583-4; T Nagel, Concealment &amp; Exposure (1998) Philosophy &amp; Public Affairs 27(1), 3-30, 4, 17.</w:t>
      </w:r>
    </w:p>
  </w:footnote>
  <w:footnote w:id="132">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PJS Supreme Court (n 1) [27]-[29] (</w:t>
      </w:r>
      <w:proofErr w:type="spellStart"/>
      <w:r w:rsidRPr="00AC265E">
        <w:rPr>
          <w:rFonts w:ascii="Times New Roman" w:hAnsi="Times New Roman"/>
        </w:rPr>
        <w:t>Mance</w:t>
      </w:r>
      <w:proofErr w:type="spellEnd"/>
      <w:r w:rsidRPr="00AC265E">
        <w:rPr>
          <w:rFonts w:ascii="Times New Roman" w:hAnsi="Times New Roman"/>
        </w:rPr>
        <w:t>); [61]-[62] (Neuberger).</w:t>
      </w:r>
    </w:p>
  </w:footnote>
  <w:footnote w:id="133">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Ibid</w:t>
      </w:r>
      <w:r w:rsidRPr="00AC265E">
        <w:rPr>
          <w:rFonts w:ascii="Times New Roman" w:hAnsi="Times New Roman"/>
        </w:rPr>
        <w:t xml:space="preserve"> [58] (Neuberger, quoting </w:t>
      </w:r>
      <w:proofErr w:type="spellStart"/>
      <w:r w:rsidRPr="00AC265E">
        <w:rPr>
          <w:rFonts w:ascii="Times New Roman" w:hAnsi="Times New Roman"/>
        </w:rPr>
        <w:t>Moreham</w:t>
      </w:r>
      <w:proofErr w:type="spellEnd"/>
      <w:r w:rsidRPr="00AC265E">
        <w:rPr>
          <w:rFonts w:ascii="Times New Roman" w:hAnsi="Times New Roman"/>
        </w:rPr>
        <w:t>); [29] (</w:t>
      </w:r>
      <w:proofErr w:type="spellStart"/>
      <w:r w:rsidRPr="00AC265E">
        <w:rPr>
          <w:rFonts w:ascii="Times New Roman" w:hAnsi="Times New Roman"/>
        </w:rPr>
        <w:t>Mance</w:t>
      </w:r>
      <w:proofErr w:type="spellEnd"/>
      <w:r w:rsidRPr="00AC265E">
        <w:rPr>
          <w:rFonts w:ascii="Times New Roman" w:hAnsi="Times New Roman"/>
        </w:rPr>
        <w:t xml:space="preserve"> quoting </w:t>
      </w:r>
      <w:proofErr w:type="spellStart"/>
      <w:r w:rsidRPr="00AC265E">
        <w:rPr>
          <w:rFonts w:ascii="Times New Roman" w:hAnsi="Times New Roman"/>
        </w:rPr>
        <w:t>Eady</w:t>
      </w:r>
      <w:proofErr w:type="spellEnd"/>
      <w:r w:rsidRPr="00AC265E">
        <w:rPr>
          <w:rFonts w:ascii="Times New Roman" w:hAnsi="Times New Roman"/>
        </w:rPr>
        <w:t xml:space="preserve"> J).  See also:</w:t>
      </w:r>
      <w:r>
        <w:rPr>
          <w:rFonts w:ascii="Times New Roman" w:hAnsi="Times New Roman"/>
          <w:color w:val="FF0000"/>
        </w:rPr>
        <w:t xml:space="preserve">  </w:t>
      </w:r>
      <w:r w:rsidR="00B7609A" w:rsidRPr="0009223E">
        <w:rPr>
          <w:rFonts w:ascii="Times New Roman" w:hAnsi="Times New Roman"/>
        </w:rPr>
        <w:t xml:space="preserve">Tugendhat &amp; Christie, </w:t>
      </w:r>
      <w:r w:rsidR="00B7609A" w:rsidRPr="0009223E">
        <w:rPr>
          <w:rFonts w:ascii="Times New Roman" w:hAnsi="Times New Roman"/>
          <w:i/>
        </w:rPr>
        <w:t>The Law of Privacy and the Media</w:t>
      </w:r>
      <w:r w:rsidR="00B7609A" w:rsidRPr="0009223E">
        <w:rPr>
          <w:rFonts w:ascii="Times New Roman" w:hAnsi="Times New Roman"/>
        </w:rPr>
        <w:t xml:space="preserve"> (Oxford: Oxford, 2nd </w:t>
      </w:r>
      <w:proofErr w:type="spellStart"/>
      <w:r w:rsidR="00B7609A" w:rsidRPr="0009223E">
        <w:rPr>
          <w:rFonts w:ascii="Times New Roman" w:hAnsi="Times New Roman"/>
        </w:rPr>
        <w:t>ed</w:t>
      </w:r>
      <w:proofErr w:type="spellEnd"/>
      <w:r w:rsidR="00B7609A" w:rsidRPr="0009223E">
        <w:rPr>
          <w:rFonts w:ascii="Times New Roman" w:hAnsi="Times New Roman"/>
        </w:rPr>
        <w:t xml:space="preserve">, </w:t>
      </w:r>
      <w:r w:rsidR="00B7609A" w:rsidRPr="00B7609A">
        <w:rPr>
          <w:rFonts w:ascii="Times New Roman" w:hAnsi="Times New Roman"/>
        </w:rPr>
        <w:t>2011)</w:t>
      </w:r>
      <w:r w:rsidRPr="00B7609A">
        <w:rPr>
          <w:rFonts w:ascii="Times New Roman" w:hAnsi="Times New Roman"/>
        </w:rPr>
        <w:t xml:space="preserve"> 2.07-2.08, 2.16, 12.71; N </w:t>
      </w:r>
      <w:proofErr w:type="spellStart"/>
      <w:r w:rsidRPr="00B7609A">
        <w:rPr>
          <w:rFonts w:ascii="Times New Roman" w:hAnsi="Times New Roman"/>
        </w:rPr>
        <w:t>Moreham</w:t>
      </w:r>
      <w:proofErr w:type="spellEnd"/>
      <w:r w:rsidRPr="00AC265E">
        <w:rPr>
          <w:rFonts w:ascii="Times New Roman" w:hAnsi="Times New Roman"/>
        </w:rPr>
        <w:t>, ‘Privacy in the Common Law: A Doctrinal &amp; Theoretical Analysis’ LQR (2005) 121(Oct), 628-656, 648-652</w:t>
      </w:r>
    </w:p>
  </w:footnote>
  <w:footnote w:id="134">
    <w:p w:rsidR="001A16DA" w:rsidRPr="00AC265E" w:rsidRDefault="001A16DA" w:rsidP="00B775FC">
      <w:pPr>
        <w:spacing w:after="0" w:line="240" w:lineRule="auto"/>
        <w:ind w:hanging="227"/>
        <w:jc w:val="both"/>
        <w:rPr>
          <w:rFonts w:ascii="Times New Roman" w:hAnsi="Times New Roman"/>
          <w:color w:val="FF0000"/>
          <w:sz w:val="20"/>
          <w:szCs w:val="20"/>
        </w:rPr>
      </w:pPr>
      <w:r w:rsidRPr="00AC265E">
        <w:rPr>
          <w:rStyle w:val="FootnoteReference"/>
          <w:rFonts w:ascii="Times New Roman" w:hAnsi="Times New Roman"/>
          <w:sz w:val="20"/>
          <w:szCs w:val="20"/>
        </w:rPr>
        <w:footnoteRef/>
      </w:r>
      <w:r w:rsidRPr="00AC265E">
        <w:rPr>
          <w:rFonts w:ascii="Times New Roman" w:hAnsi="Times New Roman"/>
          <w:sz w:val="20"/>
          <w:szCs w:val="20"/>
        </w:rPr>
        <w:t xml:space="preserve"> PJS Supreme Court (n 1) [58] (Neuberger).</w:t>
      </w:r>
    </w:p>
  </w:footnote>
  <w:footnote w:id="135">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Emphasis added.  </w:t>
      </w:r>
      <w:r w:rsidRPr="00AC265E">
        <w:rPr>
          <w:rFonts w:ascii="Times New Roman" w:hAnsi="Times New Roman"/>
          <w:i/>
        </w:rPr>
        <w:t xml:space="preserve">Ibid </w:t>
      </w:r>
      <w:r w:rsidRPr="00AC265E">
        <w:rPr>
          <w:rFonts w:ascii="Times New Roman" w:hAnsi="Times New Roman"/>
        </w:rPr>
        <w:t>[57]; [65].</w:t>
      </w:r>
    </w:p>
  </w:footnote>
  <w:footnote w:id="136">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Quoting</w:t>
      </w:r>
      <w:r>
        <w:rPr>
          <w:rFonts w:ascii="Times New Roman" w:hAnsi="Times New Roman"/>
        </w:rPr>
        <w:t xml:space="preserve"> </w:t>
      </w:r>
      <w:r>
        <w:rPr>
          <w:rFonts w:ascii="Times New Roman" w:hAnsi="Times New Roman"/>
          <w:i/>
        </w:rPr>
        <w:t>Tugendhat &amp; Christie</w:t>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[58];</w:t>
      </w:r>
    </w:p>
  </w:footnote>
  <w:footnote w:id="137">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[29].</w:t>
      </w:r>
    </w:p>
  </w:footnote>
  <w:footnote w:id="138">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[26].</w:t>
      </w:r>
    </w:p>
  </w:footnote>
  <w:footnote w:id="139">
    <w:p w:rsidR="001A16DA" w:rsidRPr="007A18DF" w:rsidRDefault="001A16DA" w:rsidP="007A18DF">
      <w:pPr>
        <w:pStyle w:val="FootnoteText"/>
        <w:ind w:hanging="227"/>
        <w:rPr>
          <w:rFonts w:ascii="Times New Roman" w:hAnsi="Times New Roman"/>
        </w:rPr>
      </w:pPr>
      <w:r w:rsidRPr="007A18DF">
        <w:rPr>
          <w:rStyle w:val="FootnoteReference"/>
          <w:rFonts w:ascii="Times New Roman" w:hAnsi="Times New Roman"/>
        </w:rPr>
        <w:footnoteRef/>
      </w:r>
      <w:r w:rsidRPr="007A18DF">
        <w:rPr>
          <w:rFonts w:ascii="Times New Roman" w:hAnsi="Times New Roman"/>
        </w:rPr>
        <w:t xml:space="preserve"> </w:t>
      </w:r>
      <w:r w:rsidR="002241E8" w:rsidRPr="007A18DF">
        <w:rPr>
          <w:rFonts w:ascii="Times New Roman" w:hAnsi="Times New Roman"/>
          <w:i/>
        </w:rPr>
        <w:t>Tugendhat &amp; Christie</w:t>
      </w:r>
      <w:r w:rsidR="002241E8" w:rsidRPr="007A18DF">
        <w:rPr>
          <w:rFonts w:ascii="Times New Roman" w:hAnsi="Times New Roman"/>
        </w:rPr>
        <w:t xml:space="preserve"> (n 133)</w:t>
      </w:r>
      <w:r w:rsidRPr="007A18DF">
        <w:rPr>
          <w:rFonts w:ascii="Times New Roman" w:hAnsi="Times New Roman"/>
        </w:rPr>
        <w:t xml:space="preserve"> 2.16</w:t>
      </w:r>
      <w:r w:rsidR="00BD19A1">
        <w:rPr>
          <w:rFonts w:ascii="Times New Roman" w:hAnsi="Times New Roman"/>
        </w:rPr>
        <w:t>.</w:t>
      </w:r>
    </w:p>
  </w:footnote>
  <w:footnote w:id="140">
    <w:p w:rsidR="004E3105" w:rsidRPr="007A18DF" w:rsidRDefault="004E3105" w:rsidP="007A18DF">
      <w:pPr>
        <w:pStyle w:val="FootnoteText"/>
        <w:ind w:hanging="227"/>
        <w:rPr>
          <w:rFonts w:ascii="Times New Roman" w:hAnsi="Times New Roman"/>
        </w:rPr>
      </w:pPr>
      <w:r w:rsidRPr="007A18DF">
        <w:rPr>
          <w:rStyle w:val="FootnoteReference"/>
          <w:rFonts w:ascii="Times New Roman" w:hAnsi="Times New Roman"/>
        </w:rPr>
        <w:footnoteRef/>
      </w:r>
      <w:r w:rsidRPr="007A18DF">
        <w:rPr>
          <w:rFonts w:ascii="Times New Roman" w:hAnsi="Times New Roman"/>
        </w:rPr>
        <w:t xml:space="preserve"> Explicit references to pr</w:t>
      </w:r>
      <w:r w:rsidR="002F4F18" w:rsidRPr="007A18DF">
        <w:rPr>
          <w:rFonts w:ascii="Times New Roman" w:hAnsi="Times New Roman"/>
        </w:rPr>
        <w:t xml:space="preserve">ess hounding can be found in </w:t>
      </w:r>
      <w:r w:rsidR="002F4F18" w:rsidRPr="007A18DF">
        <w:rPr>
          <w:rFonts w:ascii="Times New Roman" w:hAnsi="Times New Roman"/>
          <w:i/>
        </w:rPr>
        <w:t>PJS Supreme Court</w:t>
      </w:r>
      <w:r w:rsidR="002F4F18" w:rsidRPr="007A18DF">
        <w:rPr>
          <w:rFonts w:ascii="Times New Roman" w:hAnsi="Times New Roman"/>
        </w:rPr>
        <w:t xml:space="preserve"> (n 1) at</w:t>
      </w:r>
      <w:r w:rsidRPr="007A18DF">
        <w:rPr>
          <w:rFonts w:ascii="Times New Roman" w:hAnsi="Times New Roman"/>
        </w:rPr>
        <w:t xml:space="preserve">: </w:t>
      </w:r>
      <w:r w:rsidR="002F4F18" w:rsidRPr="007A18DF">
        <w:rPr>
          <w:rFonts w:ascii="Times New Roman" w:hAnsi="Times New Roman"/>
        </w:rPr>
        <w:t xml:space="preserve">[29] </w:t>
      </w:r>
      <w:r w:rsidRPr="007A18DF">
        <w:rPr>
          <w:rFonts w:ascii="Times New Roman" w:hAnsi="Times New Roman"/>
        </w:rPr>
        <w:t>(quoting a ‘cruel and</w:t>
      </w:r>
      <w:r w:rsidR="002F4F18" w:rsidRPr="007A18DF">
        <w:rPr>
          <w:rFonts w:ascii="Times New Roman" w:hAnsi="Times New Roman"/>
        </w:rPr>
        <w:t xml:space="preserve"> destructive media frenzy’)</w:t>
      </w:r>
      <w:r w:rsidRPr="007A18DF">
        <w:rPr>
          <w:rFonts w:ascii="Times New Roman" w:hAnsi="Times New Roman"/>
        </w:rPr>
        <w:t>;</w:t>
      </w:r>
      <w:r w:rsidR="002F4F18" w:rsidRPr="007A18DF">
        <w:rPr>
          <w:rFonts w:ascii="Times New Roman" w:hAnsi="Times New Roman"/>
        </w:rPr>
        <w:t xml:space="preserve"> [35]</w:t>
      </w:r>
      <w:r w:rsidRPr="007A18DF">
        <w:rPr>
          <w:rFonts w:ascii="Times New Roman" w:hAnsi="Times New Roman"/>
        </w:rPr>
        <w:t xml:space="preserve"> </w:t>
      </w:r>
      <w:r w:rsidR="002669CB" w:rsidRPr="007A18DF">
        <w:rPr>
          <w:rFonts w:ascii="Times New Roman" w:hAnsi="Times New Roman"/>
        </w:rPr>
        <w:t>(reference to ‘media storm’ along w</w:t>
      </w:r>
      <w:r w:rsidR="002F4F18" w:rsidRPr="007A18DF">
        <w:rPr>
          <w:rFonts w:ascii="Times New Roman" w:hAnsi="Times New Roman"/>
        </w:rPr>
        <w:t>i</w:t>
      </w:r>
      <w:r w:rsidR="002669CB" w:rsidRPr="007A18DF">
        <w:rPr>
          <w:rFonts w:ascii="Times New Roman" w:hAnsi="Times New Roman"/>
        </w:rPr>
        <w:t>th</w:t>
      </w:r>
      <w:r w:rsidR="007825A4" w:rsidRPr="007A18DF">
        <w:rPr>
          <w:rFonts w:ascii="Times New Roman" w:hAnsi="Times New Roman"/>
        </w:rPr>
        <w:t xml:space="preserve"> ‘</w:t>
      </w:r>
      <w:r w:rsidR="002F4F18" w:rsidRPr="007A18DF">
        <w:rPr>
          <w:rFonts w:ascii="Times New Roman" w:hAnsi="Times New Roman"/>
        </w:rPr>
        <w:t>increased media attention’)</w:t>
      </w:r>
      <w:r w:rsidR="007825A4" w:rsidRPr="007A18DF">
        <w:rPr>
          <w:rFonts w:ascii="Times New Roman" w:hAnsi="Times New Roman"/>
        </w:rPr>
        <w:t>; [37] (reference to ‘harassment’).</w:t>
      </w:r>
    </w:p>
  </w:footnote>
  <w:footnote w:id="141">
    <w:p w:rsidR="001A16DA" w:rsidRPr="007A18DF" w:rsidRDefault="001A16DA" w:rsidP="007A18DF">
      <w:pPr>
        <w:pStyle w:val="FootnoteText"/>
        <w:ind w:hanging="227"/>
        <w:jc w:val="both"/>
        <w:rPr>
          <w:rFonts w:ascii="Times New Roman" w:hAnsi="Times New Roman"/>
        </w:rPr>
      </w:pPr>
      <w:r w:rsidRPr="007A18DF">
        <w:rPr>
          <w:rStyle w:val="FootnoteReference"/>
          <w:rFonts w:ascii="Times New Roman" w:hAnsi="Times New Roman"/>
        </w:rPr>
        <w:footnoteRef/>
      </w:r>
      <w:r w:rsidRPr="007A18DF">
        <w:rPr>
          <w:rFonts w:ascii="Times New Roman" w:hAnsi="Times New Roman"/>
        </w:rPr>
        <w:t xml:space="preserve"> </w:t>
      </w:r>
      <w:r w:rsidRPr="007A18DF">
        <w:rPr>
          <w:rFonts w:ascii="Times New Roman" w:hAnsi="Times New Roman"/>
          <w:i/>
        </w:rPr>
        <w:t xml:space="preserve">Ibid </w:t>
      </w:r>
      <w:r w:rsidRPr="007A18DF">
        <w:rPr>
          <w:rFonts w:ascii="Times New Roman" w:hAnsi="Times New Roman"/>
        </w:rPr>
        <w:t>[29], [32] (</w:t>
      </w:r>
      <w:proofErr w:type="spellStart"/>
      <w:r w:rsidRPr="007A18DF">
        <w:rPr>
          <w:rFonts w:ascii="Times New Roman" w:hAnsi="Times New Roman"/>
        </w:rPr>
        <w:t>Mance</w:t>
      </w:r>
      <w:proofErr w:type="spellEnd"/>
      <w:r w:rsidRPr="007A18DF">
        <w:rPr>
          <w:rFonts w:ascii="Times New Roman" w:hAnsi="Times New Roman"/>
        </w:rPr>
        <w:t>).</w:t>
      </w:r>
      <w:r w:rsidR="00F8637E" w:rsidRPr="007A18DF">
        <w:rPr>
          <w:rFonts w:ascii="Times New Roman" w:hAnsi="Times New Roman"/>
        </w:rPr>
        <w:t xml:space="preserve">  Note that no distinction is made between the original source of the information in each repetition.  There is no </w:t>
      </w:r>
      <w:r w:rsidR="002669CB" w:rsidRPr="007A18DF">
        <w:rPr>
          <w:rFonts w:ascii="Times New Roman" w:hAnsi="Times New Roman"/>
        </w:rPr>
        <w:t xml:space="preserve">explicit </w:t>
      </w:r>
      <w:r w:rsidR="00F8637E" w:rsidRPr="007A18DF">
        <w:rPr>
          <w:rFonts w:ascii="Times New Roman" w:hAnsi="Times New Roman"/>
        </w:rPr>
        <w:t>claim that only repetition of private information obtained via press hounding amounts to an intrusion.</w:t>
      </w:r>
    </w:p>
  </w:footnote>
  <w:footnote w:id="142">
    <w:p w:rsidR="001A16DA" w:rsidRPr="007A18DF" w:rsidRDefault="001A16DA" w:rsidP="007A18DF">
      <w:pPr>
        <w:pStyle w:val="FootnoteText"/>
        <w:ind w:hanging="227"/>
        <w:rPr>
          <w:rFonts w:ascii="Times New Roman" w:hAnsi="Times New Roman"/>
        </w:rPr>
      </w:pPr>
      <w:r w:rsidRPr="007A18DF">
        <w:rPr>
          <w:rStyle w:val="FootnoteReference"/>
          <w:rFonts w:ascii="Times New Roman" w:hAnsi="Times New Roman"/>
        </w:rPr>
        <w:footnoteRef/>
      </w:r>
      <w:r w:rsidR="00B45E32" w:rsidRPr="007A18DF">
        <w:rPr>
          <w:rFonts w:ascii="Times New Roman" w:hAnsi="Times New Roman"/>
          <w:i/>
        </w:rPr>
        <w:t xml:space="preserve"> Tugendhat &amp; Christie</w:t>
      </w:r>
      <w:r w:rsidR="00B45E32" w:rsidRPr="007A18DF">
        <w:rPr>
          <w:rFonts w:ascii="Times New Roman" w:hAnsi="Times New Roman"/>
        </w:rPr>
        <w:t xml:space="preserve"> (n 133) </w:t>
      </w:r>
      <w:r w:rsidRPr="007A18DF">
        <w:rPr>
          <w:rFonts w:ascii="Times New Roman" w:hAnsi="Times New Roman"/>
        </w:rPr>
        <w:t>2.06</w:t>
      </w:r>
      <w:r w:rsidR="00F8637E" w:rsidRPr="007A18DF">
        <w:rPr>
          <w:rFonts w:ascii="Times New Roman" w:hAnsi="Times New Roman"/>
        </w:rPr>
        <w:t>, 2.17-2.23</w:t>
      </w:r>
      <w:r w:rsidR="00B45E32" w:rsidRPr="007A18DF">
        <w:rPr>
          <w:rFonts w:ascii="Times New Roman" w:hAnsi="Times New Roman"/>
        </w:rPr>
        <w:t>.</w:t>
      </w:r>
    </w:p>
  </w:footnote>
  <w:footnote w:id="143">
    <w:p w:rsidR="00F8637E" w:rsidRPr="007A18DF" w:rsidRDefault="00F8637E" w:rsidP="007A18DF">
      <w:pPr>
        <w:pStyle w:val="FootnoteText"/>
        <w:ind w:hanging="227"/>
        <w:rPr>
          <w:rFonts w:ascii="Times New Roman" w:hAnsi="Times New Roman"/>
        </w:rPr>
      </w:pPr>
      <w:r w:rsidRPr="007A18DF">
        <w:rPr>
          <w:rStyle w:val="FootnoteReference"/>
          <w:rFonts w:ascii="Times New Roman" w:hAnsi="Times New Roman"/>
        </w:rPr>
        <w:footnoteRef/>
      </w:r>
      <w:r w:rsidRPr="007A18DF">
        <w:rPr>
          <w:rFonts w:ascii="Times New Roman" w:hAnsi="Times New Roman"/>
        </w:rPr>
        <w:t xml:space="preserve"> </w:t>
      </w:r>
      <w:r w:rsidR="00EB129D" w:rsidRPr="007A18DF">
        <w:rPr>
          <w:rFonts w:ascii="Times New Roman" w:hAnsi="Times New Roman"/>
        </w:rPr>
        <w:t>‘”Intrusion” involves invasions or incursions into one’s life.  It disturbs its victim’s daily activities, alters her routines, destroys her solitude</w:t>
      </w:r>
      <w:r w:rsidR="00BD11DB" w:rsidRPr="007A18DF">
        <w:rPr>
          <w:rFonts w:ascii="Times New Roman" w:hAnsi="Times New Roman"/>
        </w:rPr>
        <w:t>, and often makes her feel uncomfortable and uneasy. … Intrusion need not involve spatial incursions.</w:t>
      </w:r>
      <w:r w:rsidR="00EB129D" w:rsidRPr="007A18DF">
        <w:rPr>
          <w:rFonts w:ascii="Times New Roman" w:hAnsi="Times New Roman"/>
        </w:rPr>
        <w:t xml:space="preserve">’ </w:t>
      </w:r>
      <w:r w:rsidR="006F28AB" w:rsidRPr="007A18DF">
        <w:rPr>
          <w:rFonts w:ascii="Times New Roman" w:hAnsi="Times New Roman"/>
        </w:rPr>
        <w:t xml:space="preserve">Daniel </w:t>
      </w:r>
      <w:r w:rsidRPr="007A18DF">
        <w:rPr>
          <w:rFonts w:ascii="Times New Roman" w:hAnsi="Times New Roman"/>
        </w:rPr>
        <w:t>Solove</w:t>
      </w:r>
      <w:r w:rsidR="006F28AB" w:rsidRPr="007A18DF">
        <w:rPr>
          <w:rFonts w:ascii="Times New Roman" w:hAnsi="Times New Roman"/>
        </w:rPr>
        <w:t xml:space="preserve">, </w:t>
      </w:r>
      <w:r w:rsidR="006F28AB" w:rsidRPr="007A18DF">
        <w:rPr>
          <w:rFonts w:ascii="Times New Roman" w:hAnsi="Times New Roman"/>
          <w:i/>
        </w:rPr>
        <w:t>Understanding Privacy</w:t>
      </w:r>
      <w:r w:rsidR="006F28AB" w:rsidRPr="007A18DF">
        <w:rPr>
          <w:rFonts w:ascii="Times New Roman" w:hAnsi="Times New Roman"/>
        </w:rPr>
        <w:t xml:space="preserve"> (</w:t>
      </w:r>
      <w:r w:rsidR="00EB2E49" w:rsidRPr="007A18DF">
        <w:rPr>
          <w:rFonts w:ascii="Times New Roman" w:hAnsi="Times New Roman"/>
        </w:rPr>
        <w:t>Cambridge MA</w:t>
      </w:r>
      <w:r w:rsidR="006F28AB" w:rsidRPr="007A18DF">
        <w:rPr>
          <w:rFonts w:ascii="Times New Roman" w:hAnsi="Times New Roman"/>
        </w:rPr>
        <w:t>, Harvard University Press, 2008)</w:t>
      </w:r>
      <w:r w:rsidR="00BD11DB" w:rsidRPr="007A18DF">
        <w:rPr>
          <w:rFonts w:ascii="Times New Roman" w:hAnsi="Times New Roman"/>
        </w:rPr>
        <w:t xml:space="preserve"> 162-163, and</w:t>
      </w:r>
      <w:r w:rsidRPr="007A18DF">
        <w:rPr>
          <w:rFonts w:ascii="Times New Roman" w:hAnsi="Times New Roman"/>
        </w:rPr>
        <w:t xml:space="preserve"> 161-165</w:t>
      </w:r>
      <w:r w:rsidR="00BD11DB" w:rsidRPr="007A18DF">
        <w:rPr>
          <w:rFonts w:ascii="Times New Roman" w:hAnsi="Times New Roman"/>
        </w:rPr>
        <w:t>.</w:t>
      </w:r>
    </w:p>
  </w:footnote>
  <w:footnote w:id="144">
    <w:p w:rsidR="001A16DA" w:rsidRPr="007A18DF" w:rsidRDefault="001A16DA" w:rsidP="007A18DF">
      <w:pPr>
        <w:pStyle w:val="FootnoteText"/>
        <w:ind w:hanging="227"/>
        <w:jc w:val="both"/>
        <w:rPr>
          <w:rFonts w:ascii="Times New Roman" w:hAnsi="Times New Roman"/>
        </w:rPr>
      </w:pPr>
      <w:r w:rsidRPr="007A18DF">
        <w:rPr>
          <w:rStyle w:val="FootnoteReference"/>
          <w:rFonts w:ascii="Times New Roman" w:hAnsi="Times New Roman"/>
        </w:rPr>
        <w:footnoteRef/>
      </w:r>
      <w:r w:rsidRPr="007A18DF">
        <w:rPr>
          <w:rFonts w:ascii="Times New Roman" w:hAnsi="Times New Roman"/>
        </w:rPr>
        <w:t xml:space="preserve"> </w:t>
      </w:r>
      <w:r w:rsidR="00D03A65" w:rsidRPr="007A18DF">
        <w:rPr>
          <w:rFonts w:ascii="Times New Roman" w:hAnsi="Times New Roman"/>
          <w:i/>
        </w:rPr>
        <w:t>PJS Supreme Court</w:t>
      </w:r>
      <w:r w:rsidR="00D03A65" w:rsidRPr="007A18DF">
        <w:rPr>
          <w:rFonts w:ascii="Times New Roman" w:hAnsi="Times New Roman"/>
        </w:rPr>
        <w:t xml:space="preserve"> (n 1)</w:t>
      </w:r>
      <w:r w:rsidRPr="007A18DF">
        <w:rPr>
          <w:rFonts w:ascii="Times New Roman" w:hAnsi="Times New Roman"/>
          <w:i/>
        </w:rPr>
        <w:t xml:space="preserve"> </w:t>
      </w:r>
      <w:r w:rsidRPr="007A18DF">
        <w:rPr>
          <w:rFonts w:ascii="Times New Roman" w:hAnsi="Times New Roman"/>
        </w:rPr>
        <w:t>[65].  See also: H v A (n 118) [46]-[48] for a summary of the impact of this on understandings of ‘public domain’.</w:t>
      </w:r>
    </w:p>
  </w:footnote>
  <w:footnote w:id="145">
    <w:p w:rsidR="001A16DA" w:rsidRPr="007A18DF" w:rsidRDefault="001A16DA" w:rsidP="007A18DF">
      <w:pPr>
        <w:pStyle w:val="FootnoteText"/>
        <w:ind w:hanging="227"/>
        <w:jc w:val="both"/>
        <w:rPr>
          <w:rFonts w:ascii="Times New Roman" w:hAnsi="Times New Roman"/>
        </w:rPr>
      </w:pPr>
      <w:r w:rsidRPr="007A18DF">
        <w:rPr>
          <w:rStyle w:val="FootnoteReference"/>
          <w:rFonts w:ascii="Times New Roman" w:hAnsi="Times New Roman"/>
        </w:rPr>
        <w:footnoteRef/>
      </w:r>
      <w:r w:rsidRPr="007A18DF">
        <w:rPr>
          <w:rFonts w:ascii="Times New Roman" w:hAnsi="Times New Roman"/>
        </w:rPr>
        <w:t xml:space="preserve"> </w:t>
      </w:r>
      <w:r w:rsidR="00EE7741" w:rsidRPr="007A18DF">
        <w:rPr>
          <w:rFonts w:ascii="Times New Roman" w:hAnsi="Times New Roman"/>
        </w:rPr>
        <w:t xml:space="preserve">This point was approved in </w:t>
      </w:r>
      <w:r w:rsidRPr="007A18DF">
        <w:rPr>
          <w:rFonts w:ascii="Times New Roman" w:hAnsi="Times New Roman"/>
        </w:rPr>
        <w:t>PJS Supreme Court (n 1) [30] (</w:t>
      </w:r>
      <w:proofErr w:type="spellStart"/>
      <w:r w:rsidRPr="007A18DF">
        <w:rPr>
          <w:rFonts w:ascii="Times New Roman" w:hAnsi="Times New Roman"/>
        </w:rPr>
        <w:t>Mance</w:t>
      </w:r>
      <w:proofErr w:type="spellEnd"/>
      <w:r w:rsidRPr="007A18DF">
        <w:rPr>
          <w:rFonts w:ascii="Times New Roman" w:hAnsi="Times New Roman"/>
        </w:rPr>
        <w:t>); [62] (Neuberger).</w:t>
      </w:r>
    </w:p>
  </w:footnote>
  <w:footnote w:id="146">
    <w:p w:rsidR="001A16DA" w:rsidRPr="007A18DF" w:rsidRDefault="001A16DA" w:rsidP="007A18DF">
      <w:pPr>
        <w:pStyle w:val="FootnoteText"/>
        <w:ind w:hanging="227"/>
        <w:jc w:val="both"/>
        <w:rPr>
          <w:rFonts w:ascii="Times New Roman" w:hAnsi="Times New Roman"/>
        </w:rPr>
      </w:pPr>
      <w:r w:rsidRPr="007A18DF">
        <w:rPr>
          <w:rStyle w:val="FootnoteReference"/>
          <w:rFonts w:ascii="Times New Roman" w:hAnsi="Times New Roman"/>
        </w:rPr>
        <w:footnoteRef/>
      </w:r>
      <w:r w:rsidRPr="007A18DF">
        <w:rPr>
          <w:rFonts w:ascii="Times New Roman" w:hAnsi="Times New Roman"/>
        </w:rPr>
        <w:t xml:space="preserve"> </w:t>
      </w:r>
      <w:r w:rsidRPr="007A18DF">
        <w:rPr>
          <w:rFonts w:ascii="Times New Roman" w:hAnsi="Times New Roman"/>
          <w:i/>
        </w:rPr>
        <w:t>Ibid</w:t>
      </w:r>
      <w:r w:rsidRPr="007A18DF">
        <w:rPr>
          <w:rFonts w:ascii="Times New Roman" w:hAnsi="Times New Roman"/>
        </w:rPr>
        <w:t>.</w:t>
      </w:r>
    </w:p>
  </w:footnote>
  <w:footnote w:id="147">
    <w:p w:rsidR="001A16DA" w:rsidRPr="007A18DF" w:rsidRDefault="001A16DA" w:rsidP="007A18DF">
      <w:pPr>
        <w:pStyle w:val="FootnoteText"/>
        <w:ind w:hanging="227"/>
        <w:jc w:val="both"/>
        <w:rPr>
          <w:rFonts w:ascii="Times New Roman" w:hAnsi="Times New Roman"/>
        </w:rPr>
      </w:pPr>
      <w:r w:rsidRPr="007A18DF">
        <w:rPr>
          <w:rStyle w:val="FootnoteReference"/>
          <w:rFonts w:ascii="Times New Roman" w:hAnsi="Times New Roman"/>
        </w:rPr>
        <w:footnoteRef/>
      </w:r>
      <w:r w:rsidRPr="007A18DF">
        <w:rPr>
          <w:rFonts w:ascii="Times New Roman" w:hAnsi="Times New Roman"/>
        </w:rPr>
        <w:t xml:space="preserve"> </w:t>
      </w:r>
      <w:r w:rsidRPr="007A18DF">
        <w:rPr>
          <w:rFonts w:ascii="Times New Roman" w:hAnsi="Times New Roman"/>
          <w:i/>
        </w:rPr>
        <w:t xml:space="preserve">Ibid </w:t>
      </w:r>
      <w:r w:rsidRPr="007A18DF">
        <w:rPr>
          <w:rFonts w:ascii="Times New Roman" w:hAnsi="Times New Roman"/>
        </w:rPr>
        <w:t>[</w:t>
      </w:r>
      <w:r w:rsidR="005E54B2" w:rsidRPr="007A18DF">
        <w:rPr>
          <w:rFonts w:ascii="Times New Roman" w:hAnsi="Times New Roman"/>
        </w:rPr>
        <w:t>61]-[</w:t>
      </w:r>
      <w:r w:rsidRPr="007A18DF">
        <w:rPr>
          <w:rFonts w:ascii="Times New Roman" w:hAnsi="Times New Roman"/>
        </w:rPr>
        <w:t xml:space="preserve">63].  </w:t>
      </w:r>
    </w:p>
  </w:footnote>
  <w:footnote w:id="148">
    <w:p w:rsidR="001A16DA" w:rsidRPr="007A18DF" w:rsidRDefault="001A16DA" w:rsidP="007A18DF">
      <w:pPr>
        <w:pStyle w:val="FootnoteText"/>
        <w:ind w:hanging="227"/>
        <w:jc w:val="both"/>
        <w:rPr>
          <w:rFonts w:ascii="Times New Roman" w:hAnsi="Times New Roman"/>
        </w:rPr>
      </w:pPr>
      <w:r w:rsidRPr="007A18DF">
        <w:rPr>
          <w:rStyle w:val="FootnoteReference"/>
          <w:rFonts w:ascii="Times New Roman" w:hAnsi="Times New Roman"/>
        </w:rPr>
        <w:footnoteRef/>
      </w:r>
      <w:r w:rsidRPr="007A18DF">
        <w:rPr>
          <w:rFonts w:ascii="Times New Roman" w:hAnsi="Times New Roman"/>
        </w:rPr>
        <w:t xml:space="preserve"> </w:t>
      </w:r>
      <w:r w:rsidRPr="007A18DF">
        <w:rPr>
          <w:rFonts w:ascii="Times New Roman" w:hAnsi="Times New Roman"/>
          <w:i/>
        </w:rPr>
        <w:t xml:space="preserve">Ibid </w:t>
      </w:r>
      <w:r w:rsidRPr="007A18DF">
        <w:rPr>
          <w:rFonts w:ascii="Times New Roman" w:hAnsi="Times New Roman"/>
        </w:rPr>
        <w:t>[26], [28].</w:t>
      </w:r>
    </w:p>
  </w:footnote>
  <w:footnote w:id="149">
    <w:p w:rsidR="002B198E" w:rsidRPr="007A18DF" w:rsidRDefault="002B198E" w:rsidP="007A18DF">
      <w:pPr>
        <w:pStyle w:val="FootnoteText"/>
        <w:ind w:hanging="227"/>
        <w:rPr>
          <w:rFonts w:ascii="Times New Roman" w:hAnsi="Times New Roman"/>
        </w:rPr>
      </w:pPr>
      <w:r w:rsidRPr="007A18DF">
        <w:rPr>
          <w:rStyle w:val="FootnoteReference"/>
          <w:rFonts w:ascii="Times New Roman" w:hAnsi="Times New Roman"/>
        </w:rPr>
        <w:footnoteRef/>
      </w:r>
      <w:r w:rsidRPr="007A18DF">
        <w:rPr>
          <w:rFonts w:ascii="Times New Roman" w:hAnsi="Times New Roman"/>
        </w:rPr>
        <w:t xml:space="preserve"> </w:t>
      </w:r>
      <w:r w:rsidRPr="007A18DF">
        <w:rPr>
          <w:rFonts w:ascii="Times New Roman" w:hAnsi="Times New Roman"/>
          <w:i/>
        </w:rPr>
        <w:t>Hong &amp; Another v XYZ &amp; Another</w:t>
      </w:r>
      <w:r w:rsidRPr="007A18DF">
        <w:rPr>
          <w:rFonts w:ascii="Times New Roman" w:hAnsi="Times New Roman"/>
        </w:rPr>
        <w:t xml:space="preserve"> [2011] EWHC 2995</w:t>
      </w:r>
    </w:p>
  </w:footnote>
  <w:footnote w:id="150">
    <w:p w:rsidR="001A16DA" w:rsidRPr="007A18DF" w:rsidRDefault="001A16DA" w:rsidP="007A18DF">
      <w:pPr>
        <w:pStyle w:val="FootnoteText"/>
        <w:ind w:hanging="227"/>
        <w:jc w:val="both"/>
        <w:rPr>
          <w:rFonts w:ascii="Times New Roman" w:hAnsi="Times New Roman"/>
          <w:i/>
        </w:rPr>
      </w:pPr>
      <w:r w:rsidRPr="007A18DF">
        <w:rPr>
          <w:rStyle w:val="FootnoteReference"/>
          <w:rFonts w:ascii="Times New Roman" w:hAnsi="Times New Roman"/>
        </w:rPr>
        <w:footnoteRef/>
      </w:r>
      <w:r w:rsidRPr="007A18DF">
        <w:rPr>
          <w:rFonts w:ascii="Times New Roman" w:hAnsi="Times New Roman"/>
        </w:rPr>
        <w:t xml:space="preserve"> </w:t>
      </w:r>
      <w:r w:rsidRPr="007A18DF">
        <w:rPr>
          <w:rFonts w:ascii="Times New Roman" w:hAnsi="Times New Roman"/>
          <w:i/>
        </w:rPr>
        <w:t xml:space="preserve">Ibid </w:t>
      </w:r>
      <w:r w:rsidRPr="007A18DF">
        <w:rPr>
          <w:rFonts w:ascii="Times New Roman" w:hAnsi="Times New Roman"/>
        </w:rPr>
        <w:t xml:space="preserve">[86]; [87]. </w:t>
      </w:r>
    </w:p>
  </w:footnote>
  <w:footnote w:id="151">
    <w:p w:rsidR="001A16DA" w:rsidRPr="00AC265E" w:rsidRDefault="001A16DA" w:rsidP="00B775FC">
      <w:pPr>
        <w:pStyle w:val="FootnoteText"/>
        <w:ind w:hanging="227"/>
        <w:jc w:val="both"/>
        <w:rPr>
          <w:rFonts w:ascii="Times New Roman" w:hAnsi="Times New Roman"/>
        </w:rPr>
      </w:pPr>
      <w:r w:rsidRPr="00AC265E">
        <w:rPr>
          <w:rStyle w:val="FootnoteReference"/>
          <w:rFonts w:ascii="Times New Roman" w:hAnsi="Times New Roman"/>
        </w:rPr>
        <w:footnoteRef/>
      </w:r>
      <w:r w:rsidRPr="00AC265E">
        <w:rPr>
          <w:rFonts w:ascii="Times New Roman" w:hAnsi="Times New Roman"/>
        </w:rPr>
        <w:t xml:space="preserve"> </w:t>
      </w:r>
      <w:r w:rsidRPr="00AC265E">
        <w:rPr>
          <w:rFonts w:ascii="Times New Roman" w:hAnsi="Times New Roman"/>
          <w:i/>
        </w:rPr>
        <w:t xml:space="preserve">Ibid </w:t>
      </w:r>
      <w:r w:rsidRPr="00AC265E">
        <w:rPr>
          <w:rFonts w:ascii="Times New Roman" w:hAnsi="Times New Roman"/>
        </w:rPr>
        <w:t>[88].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FC6"/>
    <w:multiLevelType w:val="hybridMultilevel"/>
    <w:tmpl w:val="8F984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61831"/>
    <w:multiLevelType w:val="hybridMultilevel"/>
    <w:tmpl w:val="F828E03A"/>
    <w:lvl w:ilvl="0" w:tplc="FAAAD9B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F667F"/>
    <w:multiLevelType w:val="hybridMultilevel"/>
    <w:tmpl w:val="1286DF7E"/>
    <w:lvl w:ilvl="0" w:tplc="72C2F2CC">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09147D"/>
    <w:multiLevelType w:val="hybridMultilevel"/>
    <w:tmpl w:val="94564E80"/>
    <w:lvl w:ilvl="0" w:tplc="A8FE82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52574"/>
    <w:multiLevelType w:val="hybridMultilevel"/>
    <w:tmpl w:val="5A5CEC84"/>
    <w:lvl w:ilvl="0" w:tplc="7BC49952">
      <w:numFmt w:val="bullet"/>
      <w:lvlText w:val=""/>
      <w:lvlJc w:val="left"/>
      <w:pPr>
        <w:ind w:left="133" w:hanging="360"/>
      </w:pPr>
      <w:rPr>
        <w:rFonts w:ascii="Symbol" w:eastAsia="Calibri" w:hAnsi="Symbol" w:cs="Times New Roman" w:hint="default"/>
      </w:rPr>
    </w:lvl>
    <w:lvl w:ilvl="1" w:tplc="08090003" w:tentative="1">
      <w:start w:val="1"/>
      <w:numFmt w:val="bullet"/>
      <w:lvlText w:val="o"/>
      <w:lvlJc w:val="left"/>
      <w:pPr>
        <w:ind w:left="853" w:hanging="360"/>
      </w:pPr>
      <w:rPr>
        <w:rFonts w:ascii="Courier New" w:hAnsi="Courier New" w:cs="Courier New" w:hint="default"/>
      </w:rPr>
    </w:lvl>
    <w:lvl w:ilvl="2" w:tplc="08090005" w:tentative="1">
      <w:start w:val="1"/>
      <w:numFmt w:val="bullet"/>
      <w:lvlText w:val=""/>
      <w:lvlJc w:val="left"/>
      <w:pPr>
        <w:ind w:left="1573" w:hanging="360"/>
      </w:pPr>
      <w:rPr>
        <w:rFonts w:ascii="Wingdings" w:hAnsi="Wingdings" w:hint="default"/>
      </w:rPr>
    </w:lvl>
    <w:lvl w:ilvl="3" w:tplc="08090001" w:tentative="1">
      <w:start w:val="1"/>
      <w:numFmt w:val="bullet"/>
      <w:lvlText w:val=""/>
      <w:lvlJc w:val="left"/>
      <w:pPr>
        <w:ind w:left="2293" w:hanging="360"/>
      </w:pPr>
      <w:rPr>
        <w:rFonts w:ascii="Symbol" w:hAnsi="Symbol" w:hint="default"/>
      </w:rPr>
    </w:lvl>
    <w:lvl w:ilvl="4" w:tplc="08090003" w:tentative="1">
      <w:start w:val="1"/>
      <w:numFmt w:val="bullet"/>
      <w:lvlText w:val="o"/>
      <w:lvlJc w:val="left"/>
      <w:pPr>
        <w:ind w:left="3013" w:hanging="360"/>
      </w:pPr>
      <w:rPr>
        <w:rFonts w:ascii="Courier New" w:hAnsi="Courier New" w:cs="Courier New" w:hint="default"/>
      </w:rPr>
    </w:lvl>
    <w:lvl w:ilvl="5" w:tplc="08090005" w:tentative="1">
      <w:start w:val="1"/>
      <w:numFmt w:val="bullet"/>
      <w:lvlText w:val=""/>
      <w:lvlJc w:val="left"/>
      <w:pPr>
        <w:ind w:left="3733" w:hanging="360"/>
      </w:pPr>
      <w:rPr>
        <w:rFonts w:ascii="Wingdings" w:hAnsi="Wingdings" w:hint="default"/>
      </w:rPr>
    </w:lvl>
    <w:lvl w:ilvl="6" w:tplc="08090001" w:tentative="1">
      <w:start w:val="1"/>
      <w:numFmt w:val="bullet"/>
      <w:lvlText w:val=""/>
      <w:lvlJc w:val="left"/>
      <w:pPr>
        <w:ind w:left="4453" w:hanging="360"/>
      </w:pPr>
      <w:rPr>
        <w:rFonts w:ascii="Symbol" w:hAnsi="Symbol" w:hint="default"/>
      </w:rPr>
    </w:lvl>
    <w:lvl w:ilvl="7" w:tplc="08090003" w:tentative="1">
      <w:start w:val="1"/>
      <w:numFmt w:val="bullet"/>
      <w:lvlText w:val="o"/>
      <w:lvlJc w:val="left"/>
      <w:pPr>
        <w:ind w:left="5173" w:hanging="360"/>
      </w:pPr>
      <w:rPr>
        <w:rFonts w:ascii="Courier New" w:hAnsi="Courier New" w:cs="Courier New" w:hint="default"/>
      </w:rPr>
    </w:lvl>
    <w:lvl w:ilvl="8" w:tplc="08090005" w:tentative="1">
      <w:start w:val="1"/>
      <w:numFmt w:val="bullet"/>
      <w:lvlText w:val=""/>
      <w:lvlJc w:val="left"/>
      <w:pPr>
        <w:ind w:left="5893" w:hanging="360"/>
      </w:pPr>
      <w:rPr>
        <w:rFonts w:ascii="Wingdings" w:hAnsi="Wingdings" w:hint="default"/>
      </w:rPr>
    </w:lvl>
  </w:abstractNum>
  <w:abstractNum w:abstractNumId="5">
    <w:nsid w:val="374810A0"/>
    <w:multiLevelType w:val="hybridMultilevel"/>
    <w:tmpl w:val="F04AE346"/>
    <w:lvl w:ilvl="0" w:tplc="063EDC8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40D6A"/>
    <w:multiLevelType w:val="hybridMultilevel"/>
    <w:tmpl w:val="B8562BCA"/>
    <w:lvl w:ilvl="0" w:tplc="610431C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E45021"/>
    <w:multiLevelType w:val="hybridMultilevel"/>
    <w:tmpl w:val="851C2A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560543"/>
    <w:multiLevelType w:val="hybridMultilevel"/>
    <w:tmpl w:val="BEB80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FF3311"/>
    <w:multiLevelType w:val="hybridMultilevel"/>
    <w:tmpl w:val="581C8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D86A2A"/>
    <w:multiLevelType w:val="hybridMultilevel"/>
    <w:tmpl w:val="A42248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F52400"/>
    <w:multiLevelType w:val="hybridMultilevel"/>
    <w:tmpl w:val="7BC0DA3E"/>
    <w:lvl w:ilvl="0" w:tplc="74E60E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231408"/>
    <w:multiLevelType w:val="hybridMultilevel"/>
    <w:tmpl w:val="B6487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966A79"/>
    <w:multiLevelType w:val="hybridMultilevel"/>
    <w:tmpl w:val="7C544A74"/>
    <w:lvl w:ilvl="0" w:tplc="420ACBB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280F7A"/>
    <w:multiLevelType w:val="hybridMultilevel"/>
    <w:tmpl w:val="F286A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E92D92"/>
    <w:multiLevelType w:val="hybridMultilevel"/>
    <w:tmpl w:val="02303DE4"/>
    <w:lvl w:ilvl="0" w:tplc="3208DF46">
      <w:numFmt w:val="bullet"/>
      <w:lvlText w:val=""/>
      <w:lvlJc w:val="left"/>
      <w:pPr>
        <w:ind w:left="644"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7"/>
  </w:num>
  <w:num w:numId="5">
    <w:abstractNumId w:val="1"/>
  </w:num>
  <w:num w:numId="6">
    <w:abstractNumId w:val="10"/>
  </w:num>
  <w:num w:numId="7">
    <w:abstractNumId w:val="15"/>
  </w:num>
  <w:num w:numId="8">
    <w:abstractNumId w:val="9"/>
  </w:num>
  <w:num w:numId="9">
    <w:abstractNumId w:val="13"/>
  </w:num>
  <w:num w:numId="10">
    <w:abstractNumId w:val="3"/>
  </w:num>
  <w:num w:numId="11">
    <w:abstractNumId w:val="6"/>
  </w:num>
  <w:num w:numId="12">
    <w:abstractNumId w:val="8"/>
  </w:num>
  <w:num w:numId="13">
    <w:abstractNumId w:val="4"/>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05"/>
    <w:rsid w:val="0000051A"/>
    <w:rsid w:val="00000BB4"/>
    <w:rsid w:val="00001AA3"/>
    <w:rsid w:val="00002AF4"/>
    <w:rsid w:val="000037CB"/>
    <w:rsid w:val="000039D3"/>
    <w:rsid w:val="00005FC3"/>
    <w:rsid w:val="00007B14"/>
    <w:rsid w:val="00010EB3"/>
    <w:rsid w:val="00010F0B"/>
    <w:rsid w:val="00014802"/>
    <w:rsid w:val="00014B78"/>
    <w:rsid w:val="000157EA"/>
    <w:rsid w:val="0001695C"/>
    <w:rsid w:val="00016ADD"/>
    <w:rsid w:val="00016DA3"/>
    <w:rsid w:val="00021CEF"/>
    <w:rsid w:val="000223B8"/>
    <w:rsid w:val="000225C2"/>
    <w:rsid w:val="000249CB"/>
    <w:rsid w:val="00025D42"/>
    <w:rsid w:val="000277C6"/>
    <w:rsid w:val="00027C86"/>
    <w:rsid w:val="00027E36"/>
    <w:rsid w:val="00030250"/>
    <w:rsid w:val="00030375"/>
    <w:rsid w:val="00031C48"/>
    <w:rsid w:val="00031F76"/>
    <w:rsid w:val="000335C1"/>
    <w:rsid w:val="0003394A"/>
    <w:rsid w:val="000356AF"/>
    <w:rsid w:val="00035860"/>
    <w:rsid w:val="000358EC"/>
    <w:rsid w:val="0003661F"/>
    <w:rsid w:val="000404DF"/>
    <w:rsid w:val="00040FE1"/>
    <w:rsid w:val="000413CB"/>
    <w:rsid w:val="00042748"/>
    <w:rsid w:val="00042990"/>
    <w:rsid w:val="0004422E"/>
    <w:rsid w:val="000445E0"/>
    <w:rsid w:val="00046C2D"/>
    <w:rsid w:val="00047A41"/>
    <w:rsid w:val="000520F7"/>
    <w:rsid w:val="00052333"/>
    <w:rsid w:val="00053019"/>
    <w:rsid w:val="00053650"/>
    <w:rsid w:val="000539E5"/>
    <w:rsid w:val="00053ABF"/>
    <w:rsid w:val="00055CD3"/>
    <w:rsid w:val="0005669E"/>
    <w:rsid w:val="000607AB"/>
    <w:rsid w:val="00062396"/>
    <w:rsid w:val="00062E6D"/>
    <w:rsid w:val="00063788"/>
    <w:rsid w:val="00063C79"/>
    <w:rsid w:val="0006647C"/>
    <w:rsid w:val="00066DD8"/>
    <w:rsid w:val="00067F00"/>
    <w:rsid w:val="00070828"/>
    <w:rsid w:val="0007298E"/>
    <w:rsid w:val="00073DFD"/>
    <w:rsid w:val="00074C89"/>
    <w:rsid w:val="000753F8"/>
    <w:rsid w:val="00075F50"/>
    <w:rsid w:val="0007638E"/>
    <w:rsid w:val="00077E3E"/>
    <w:rsid w:val="00080012"/>
    <w:rsid w:val="000806CA"/>
    <w:rsid w:val="000808F5"/>
    <w:rsid w:val="00081565"/>
    <w:rsid w:val="00081E03"/>
    <w:rsid w:val="0008244C"/>
    <w:rsid w:val="0008318D"/>
    <w:rsid w:val="00083387"/>
    <w:rsid w:val="00083814"/>
    <w:rsid w:val="00083B72"/>
    <w:rsid w:val="00084B65"/>
    <w:rsid w:val="00086296"/>
    <w:rsid w:val="00087A28"/>
    <w:rsid w:val="0009180F"/>
    <w:rsid w:val="00093B88"/>
    <w:rsid w:val="00095795"/>
    <w:rsid w:val="00096E1C"/>
    <w:rsid w:val="000A16E2"/>
    <w:rsid w:val="000A214C"/>
    <w:rsid w:val="000A383A"/>
    <w:rsid w:val="000A426E"/>
    <w:rsid w:val="000A4755"/>
    <w:rsid w:val="000A4DD2"/>
    <w:rsid w:val="000A4FBF"/>
    <w:rsid w:val="000A52EB"/>
    <w:rsid w:val="000A5B8B"/>
    <w:rsid w:val="000A67C0"/>
    <w:rsid w:val="000B23D1"/>
    <w:rsid w:val="000B5914"/>
    <w:rsid w:val="000B6159"/>
    <w:rsid w:val="000B64A1"/>
    <w:rsid w:val="000B6750"/>
    <w:rsid w:val="000B73CA"/>
    <w:rsid w:val="000C07BE"/>
    <w:rsid w:val="000C2C8B"/>
    <w:rsid w:val="000C49C7"/>
    <w:rsid w:val="000C50A4"/>
    <w:rsid w:val="000C52F0"/>
    <w:rsid w:val="000C5A14"/>
    <w:rsid w:val="000C5BF5"/>
    <w:rsid w:val="000D0266"/>
    <w:rsid w:val="000D0973"/>
    <w:rsid w:val="000D2D16"/>
    <w:rsid w:val="000D4B2A"/>
    <w:rsid w:val="000D544D"/>
    <w:rsid w:val="000D659E"/>
    <w:rsid w:val="000D7E9B"/>
    <w:rsid w:val="000E0275"/>
    <w:rsid w:val="000E1845"/>
    <w:rsid w:val="000E1970"/>
    <w:rsid w:val="000E27F6"/>
    <w:rsid w:val="000E3368"/>
    <w:rsid w:val="000E43B6"/>
    <w:rsid w:val="000E43E7"/>
    <w:rsid w:val="000E6186"/>
    <w:rsid w:val="000E65B4"/>
    <w:rsid w:val="000E7D45"/>
    <w:rsid w:val="000E7F80"/>
    <w:rsid w:val="000F18C5"/>
    <w:rsid w:val="000F2113"/>
    <w:rsid w:val="000F2806"/>
    <w:rsid w:val="000F668B"/>
    <w:rsid w:val="000F6837"/>
    <w:rsid w:val="000F757B"/>
    <w:rsid w:val="000F7B9E"/>
    <w:rsid w:val="00100954"/>
    <w:rsid w:val="00100D96"/>
    <w:rsid w:val="00100E14"/>
    <w:rsid w:val="001010A2"/>
    <w:rsid w:val="00101261"/>
    <w:rsid w:val="00102AF1"/>
    <w:rsid w:val="00103216"/>
    <w:rsid w:val="00103C28"/>
    <w:rsid w:val="00103D3D"/>
    <w:rsid w:val="0010570E"/>
    <w:rsid w:val="0010580C"/>
    <w:rsid w:val="00105FA5"/>
    <w:rsid w:val="00106690"/>
    <w:rsid w:val="001068F6"/>
    <w:rsid w:val="00106EBD"/>
    <w:rsid w:val="0011112F"/>
    <w:rsid w:val="00111654"/>
    <w:rsid w:val="001125E5"/>
    <w:rsid w:val="00112BA2"/>
    <w:rsid w:val="001134E1"/>
    <w:rsid w:val="00113EA6"/>
    <w:rsid w:val="00115535"/>
    <w:rsid w:val="00115764"/>
    <w:rsid w:val="0011644F"/>
    <w:rsid w:val="00120382"/>
    <w:rsid w:val="001214D4"/>
    <w:rsid w:val="001217E9"/>
    <w:rsid w:val="001225C1"/>
    <w:rsid w:val="001243EF"/>
    <w:rsid w:val="001244CE"/>
    <w:rsid w:val="00125780"/>
    <w:rsid w:val="00127F5C"/>
    <w:rsid w:val="0013001B"/>
    <w:rsid w:val="00130EE9"/>
    <w:rsid w:val="00134A12"/>
    <w:rsid w:val="001358F2"/>
    <w:rsid w:val="00140D37"/>
    <w:rsid w:val="0014160D"/>
    <w:rsid w:val="00142A83"/>
    <w:rsid w:val="00144C6E"/>
    <w:rsid w:val="00147724"/>
    <w:rsid w:val="00147DF2"/>
    <w:rsid w:val="00151384"/>
    <w:rsid w:val="0015138C"/>
    <w:rsid w:val="00151698"/>
    <w:rsid w:val="001523F8"/>
    <w:rsid w:val="00153EEF"/>
    <w:rsid w:val="00154813"/>
    <w:rsid w:val="00154A2E"/>
    <w:rsid w:val="00154EA5"/>
    <w:rsid w:val="00160C4F"/>
    <w:rsid w:val="0016113B"/>
    <w:rsid w:val="00161F5D"/>
    <w:rsid w:val="00162903"/>
    <w:rsid w:val="00164810"/>
    <w:rsid w:val="00165C4E"/>
    <w:rsid w:val="00166007"/>
    <w:rsid w:val="00166123"/>
    <w:rsid w:val="001668CA"/>
    <w:rsid w:val="001673B4"/>
    <w:rsid w:val="001701BE"/>
    <w:rsid w:val="00170FF6"/>
    <w:rsid w:val="00173E44"/>
    <w:rsid w:val="00174943"/>
    <w:rsid w:val="00175488"/>
    <w:rsid w:val="00175CE6"/>
    <w:rsid w:val="0017663C"/>
    <w:rsid w:val="00176C3E"/>
    <w:rsid w:val="00180904"/>
    <w:rsid w:val="00182357"/>
    <w:rsid w:val="00182BF5"/>
    <w:rsid w:val="00184A97"/>
    <w:rsid w:val="00184C89"/>
    <w:rsid w:val="001856A6"/>
    <w:rsid w:val="00185709"/>
    <w:rsid w:val="0018572F"/>
    <w:rsid w:val="00186910"/>
    <w:rsid w:val="00191B02"/>
    <w:rsid w:val="00193127"/>
    <w:rsid w:val="00193C5D"/>
    <w:rsid w:val="00195513"/>
    <w:rsid w:val="001A037C"/>
    <w:rsid w:val="001A1309"/>
    <w:rsid w:val="001A16DA"/>
    <w:rsid w:val="001A2B3D"/>
    <w:rsid w:val="001A386F"/>
    <w:rsid w:val="001A5299"/>
    <w:rsid w:val="001A52A1"/>
    <w:rsid w:val="001A5BF8"/>
    <w:rsid w:val="001A69BF"/>
    <w:rsid w:val="001A7B7A"/>
    <w:rsid w:val="001B031A"/>
    <w:rsid w:val="001B2246"/>
    <w:rsid w:val="001B3C67"/>
    <w:rsid w:val="001B53AF"/>
    <w:rsid w:val="001B6019"/>
    <w:rsid w:val="001B7050"/>
    <w:rsid w:val="001B7A39"/>
    <w:rsid w:val="001C15B4"/>
    <w:rsid w:val="001C22FF"/>
    <w:rsid w:val="001C2438"/>
    <w:rsid w:val="001C2B3B"/>
    <w:rsid w:val="001C6770"/>
    <w:rsid w:val="001C6815"/>
    <w:rsid w:val="001D018F"/>
    <w:rsid w:val="001D1553"/>
    <w:rsid w:val="001D2D50"/>
    <w:rsid w:val="001D42A4"/>
    <w:rsid w:val="001D42C1"/>
    <w:rsid w:val="001D4326"/>
    <w:rsid w:val="001D4549"/>
    <w:rsid w:val="001D7222"/>
    <w:rsid w:val="001D74E6"/>
    <w:rsid w:val="001D7DC6"/>
    <w:rsid w:val="001E06C8"/>
    <w:rsid w:val="001E1317"/>
    <w:rsid w:val="001E1BC1"/>
    <w:rsid w:val="001E29F4"/>
    <w:rsid w:val="001E4DF0"/>
    <w:rsid w:val="001E5FD6"/>
    <w:rsid w:val="001E617C"/>
    <w:rsid w:val="001E69CB"/>
    <w:rsid w:val="001E74BF"/>
    <w:rsid w:val="001F009D"/>
    <w:rsid w:val="001F06FF"/>
    <w:rsid w:val="001F23CD"/>
    <w:rsid w:val="001F6752"/>
    <w:rsid w:val="001F6C2A"/>
    <w:rsid w:val="001F738B"/>
    <w:rsid w:val="001F7417"/>
    <w:rsid w:val="00200233"/>
    <w:rsid w:val="00200549"/>
    <w:rsid w:val="00200765"/>
    <w:rsid w:val="002008C5"/>
    <w:rsid w:val="00200CE6"/>
    <w:rsid w:val="00201BED"/>
    <w:rsid w:val="00202630"/>
    <w:rsid w:val="00202648"/>
    <w:rsid w:val="00203C39"/>
    <w:rsid w:val="00203CE2"/>
    <w:rsid w:val="00204096"/>
    <w:rsid w:val="00204215"/>
    <w:rsid w:val="00204C15"/>
    <w:rsid w:val="00205BBA"/>
    <w:rsid w:val="00206126"/>
    <w:rsid w:val="002062B1"/>
    <w:rsid w:val="0021118D"/>
    <w:rsid w:val="00212F07"/>
    <w:rsid w:val="0021328B"/>
    <w:rsid w:val="002155C2"/>
    <w:rsid w:val="00215767"/>
    <w:rsid w:val="00217B9A"/>
    <w:rsid w:val="002241E8"/>
    <w:rsid w:val="0022661B"/>
    <w:rsid w:val="0022698B"/>
    <w:rsid w:val="00227DD4"/>
    <w:rsid w:val="00231515"/>
    <w:rsid w:val="00233249"/>
    <w:rsid w:val="00233348"/>
    <w:rsid w:val="002342BB"/>
    <w:rsid w:val="00234370"/>
    <w:rsid w:val="002346B4"/>
    <w:rsid w:val="00234E8F"/>
    <w:rsid w:val="00235853"/>
    <w:rsid w:val="00235AEC"/>
    <w:rsid w:val="00235C8F"/>
    <w:rsid w:val="0023618D"/>
    <w:rsid w:val="002365F1"/>
    <w:rsid w:val="00237375"/>
    <w:rsid w:val="00240097"/>
    <w:rsid w:val="00240205"/>
    <w:rsid w:val="00241942"/>
    <w:rsid w:val="002433D5"/>
    <w:rsid w:val="002461F7"/>
    <w:rsid w:val="00246D5F"/>
    <w:rsid w:val="0024753D"/>
    <w:rsid w:val="002475D2"/>
    <w:rsid w:val="00251653"/>
    <w:rsid w:val="00252460"/>
    <w:rsid w:val="00253014"/>
    <w:rsid w:val="0025386B"/>
    <w:rsid w:val="00253A7D"/>
    <w:rsid w:val="00253D92"/>
    <w:rsid w:val="00254AD9"/>
    <w:rsid w:val="00254CC0"/>
    <w:rsid w:val="002553FE"/>
    <w:rsid w:val="002565A9"/>
    <w:rsid w:val="0025757F"/>
    <w:rsid w:val="0025768D"/>
    <w:rsid w:val="00262545"/>
    <w:rsid w:val="00262F81"/>
    <w:rsid w:val="002669CB"/>
    <w:rsid w:val="00266AE2"/>
    <w:rsid w:val="00266EEB"/>
    <w:rsid w:val="00266F88"/>
    <w:rsid w:val="00267391"/>
    <w:rsid w:val="0027039C"/>
    <w:rsid w:val="00271EDF"/>
    <w:rsid w:val="002727C1"/>
    <w:rsid w:val="00274978"/>
    <w:rsid w:val="002749D6"/>
    <w:rsid w:val="00276358"/>
    <w:rsid w:val="002800D5"/>
    <w:rsid w:val="00283F32"/>
    <w:rsid w:val="00284040"/>
    <w:rsid w:val="00286687"/>
    <w:rsid w:val="0028758D"/>
    <w:rsid w:val="00290CA0"/>
    <w:rsid w:val="002933C1"/>
    <w:rsid w:val="00293FC7"/>
    <w:rsid w:val="002942BB"/>
    <w:rsid w:val="00294D57"/>
    <w:rsid w:val="0029535F"/>
    <w:rsid w:val="00296A38"/>
    <w:rsid w:val="00297653"/>
    <w:rsid w:val="00297871"/>
    <w:rsid w:val="002A09EC"/>
    <w:rsid w:val="002A14D5"/>
    <w:rsid w:val="002A1907"/>
    <w:rsid w:val="002A1AB2"/>
    <w:rsid w:val="002A1D10"/>
    <w:rsid w:val="002A35EE"/>
    <w:rsid w:val="002A3D81"/>
    <w:rsid w:val="002A4305"/>
    <w:rsid w:val="002A5483"/>
    <w:rsid w:val="002A55C6"/>
    <w:rsid w:val="002A564F"/>
    <w:rsid w:val="002B018E"/>
    <w:rsid w:val="002B0539"/>
    <w:rsid w:val="002B0628"/>
    <w:rsid w:val="002B0E2B"/>
    <w:rsid w:val="002B198E"/>
    <w:rsid w:val="002B294F"/>
    <w:rsid w:val="002B303E"/>
    <w:rsid w:val="002B6BC9"/>
    <w:rsid w:val="002B6D15"/>
    <w:rsid w:val="002B7BAF"/>
    <w:rsid w:val="002C13BE"/>
    <w:rsid w:val="002C63D5"/>
    <w:rsid w:val="002C695D"/>
    <w:rsid w:val="002C69E2"/>
    <w:rsid w:val="002C6BDA"/>
    <w:rsid w:val="002D0630"/>
    <w:rsid w:val="002D0FC8"/>
    <w:rsid w:val="002D1387"/>
    <w:rsid w:val="002D264E"/>
    <w:rsid w:val="002D349C"/>
    <w:rsid w:val="002D4CA6"/>
    <w:rsid w:val="002D6A4F"/>
    <w:rsid w:val="002D6EE4"/>
    <w:rsid w:val="002D7B17"/>
    <w:rsid w:val="002E4532"/>
    <w:rsid w:val="002E60A4"/>
    <w:rsid w:val="002F1049"/>
    <w:rsid w:val="002F3068"/>
    <w:rsid w:val="002F4506"/>
    <w:rsid w:val="002F4B6A"/>
    <w:rsid w:val="002F4F18"/>
    <w:rsid w:val="002F532B"/>
    <w:rsid w:val="002F5D6C"/>
    <w:rsid w:val="002F5F55"/>
    <w:rsid w:val="002F65F9"/>
    <w:rsid w:val="003022F0"/>
    <w:rsid w:val="003034C8"/>
    <w:rsid w:val="00303C1B"/>
    <w:rsid w:val="00305063"/>
    <w:rsid w:val="003075C3"/>
    <w:rsid w:val="00307A27"/>
    <w:rsid w:val="003107F6"/>
    <w:rsid w:val="00312A25"/>
    <w:rsid w:val="003132A3"/>
    <w:rsid w:val="00313E08"/>
    <w:rsid w:val="00313F3A"/>
    <w:rsid w:val="003154E5"/>
    <w:rsid w:val="00316CFC"/>
    <w:rsid w:val="003172EB"/>
    <w:rsid w:val="00317470"/>
    <w:rsid w:val="003178F9"/>
    <w:rsid w:val="00317BB7"/>
    <w:rsid w:val="003213AE"/>
    <w:rsid w:val="00322182"/>
    <w:rsid w:val="003222B4"/>
    <w:rsid w:val="003224B9"/>
    <w:rsid w:val="003231EC"/>
    <w:rsid w:val="00324AFE"/>
    <w:rsid w:val="00325B19"/>
    <w:rsid w:val="0032635B"/>
    <w:rsid w:val="00326F3F"/>
    <w:rsid w:val="003271A5"/>
    <w:rsid w:val="0032753D"/>
    <w:rsid w:val="0033361C"/>
    <w:rsid w:val="00333656"/>
    <w:rsid w:val="00333760"/>
    <w:rsid w:val="00333855"/>
    <w:rsid w:val="00333E86"/>
    <w:rsid w:val="00335ED5"/>
    <w:rsid w:val="003360FA"/>
    <w:rsid w:val="00341005"/>
    <w:rsid w:val="00342C52"/>
    <w:rsid w:val="0034333D"/>
    <w:rsid w:val="00343567"/>
    <w:rsid w:val="003444C4"/>
    <w:rsid w:val="00344764"/>
    <w:rsid w:val="00344EEB"/>
    <w:rsid w:val="00345127"/>
    <w:rsid w:val="003463BD"/>
    <w:rsid w:val="00346856"/>
    <w:rsid w:val="0034789B"/>
    <w:rsid w:val="003500B9"/>
    <w:rsid w:val="003507F7"/>
    <w:rsid w:val="0035171D"/>
    <w:rsid w:val="003523D0"/>
    <w:rsid w:val="00356A01"/>
    <w:rsid w:val="00356C1D"/>
    <w:rsid w:val="00356E33"/>
    <w:rsid w:val="00357167"/>
    <w:rsid w:val="003571EF"/>
    <w:rsid w:val="0036003C"/>
    <w:rsid w:val="003618EC"/>
    <w:rsid w:val="00361C8F"/>
    <w:rsid w:val="00365849"/>
    <w:rsid w:val="00373099"/>
    <w:rsid w:val="00373F49"/>
    <w:rsid w:val="00373F86"/>
    <w:rsid w:val="00375754"/>
    <w:rsid w:val="003761C9"/>
    <w:rsid w:val="003810EB"/>
    <w:rsid w:val="0038112C"/>
    <w:rsid w:val="00381D48"/>
    <w:rsid w:val="003837D9"/>
    <w:rsid w:val="00383E57"/>
    <w:rsid w:val="0038475E"/>
    <w:rsid w:val="0038551F"/>
    <w:rsid w:val="0039045F"/>
    <w:rsid w:val="0039048A"/>
    <w:rsid w:val="00391D2B"/>
    <w:rsid w:val="00396883"/>
    <w:rsid w:val="00397396"/>
    <w:rsid w:val="003976F7"/>
    <w:rsid w:val="00397C75"/>
    <w:rsid w:val="003A085D"/>
    <w:rsid w:val="003A1249"/>
    <w:rsid w:val="003A348A"/>
    <w:rsid w:val="003A3B90"/>
    <w:rsid w:val="003A4D28"/>
    <w:rsid w:val="003A4E71"/>
    <w:rsid w:val="003A5AD9"/>
    <w:rsid w:val="003A638E"/>
    <w:rsid w:val="003B2AC4"/>
    <w:rsid w:val="003B4A70"/>
    <w:rsid w:val="003B4C16"/>
    <w:rsid w:val="003B6561"/>
    <w:rsid w:val="003B65A5"/>
    <w:rsid w:val="003C0A5C"/>
    <w:rsid w:val="003C0D40"/>
    <w:rsid w:val="003C1673"/>
    <w:rsid w:val="003C3134"/>
    <w:rsid w:val="003C3AA5"/>
    <w:rsid w:val="003C43CF"/>
    <w:rsid w:val="003C4DEE"/>
    <w:rsid w:val="003C70D2"/>
    <w:rsid w:val="003D0E3A"/>
    <w:rsid w:val="003D1313"/>
    <w:rsid w:val="003D29F6"/>
    <w:rsid w:val="003D3C3B"/>
    <w:rsid w:val="003D4554"/>
    <w:rsid w:val="003D48B2"/>
    <w:rsid w:val="003D4E1E"/>
    <w:rsid w:val="003D6A33"/>
    <w:rsid w:val="003D703C"/>
    <w:rsid w:val="003D7CDC"/>
    <w:rsid w:val="003E1BC6"/>
    <w:rsid w:val="003E2725"/>
    <w:rsid w:val="003E27E6"/>
    <w:rsid w:val="003E3604"/>
    <w:rsid w:val="003E43BA"/>
    <w:rsid w:val="003E595C"/>
    <w:rsid w:val="003F0D5C"/>
    <w:rsid w:val="003F10A8"/>
    <w:rsid w:val="003F1DCC"/>
    <w:rsid w:val="003F2BED"/>
    <w:rsid w:val="003F2FE9"/>
    <w:rsid w:val="003F5646"/>
    <w:rsid w:val="003F64BB"/>
    <w:rsid w:val="003F737A"/>
    <w:rsid w:val="003F7CC8"/>
    <w:rsid w:val="00401481"/>
    <w:rsid w:val="0040347C"/>
    <w:rsid w:val="00404E79"/>
    <w:rsid w:val="00407507"/>
    <w:rsid w:val="00407B9E"/>
    <w:rsid w:val="00407CA9"/>
    <w:rsid w:val="00410515"/>
    <w:rsid w:val="00410576"/>
    <w:rsid w:val="00410D77"/>
    <w:rsid w:val="00412808"/>
    <w:rsid w:val="004128BD"/>
    <w:rsid w:val="0041365F"/>
    <w:rsid w:val="004141DA"/>
    <w:rsid w:val="00415005"/>
    <w:rsid w:val="004150FD"/>
    <w:rsid w:val="0041575A"/>
    <w:rsid w:val="004160C2"/>
    <w:rsid w:val="00417F5A"/>
    <w:rsid w:val="00420566"/>
    <w:rsid w:val="00420718"/>
    <w:rsid w:val="00421F68"/>
    <w:rsid w:val="00422576"/>
    <w:rsid w:val="00422AE0"/>
    <w:rsid w:val="00423150"/>
    <w:rsid w:val="004236F7"/>
    <w:rsid w:val="00425A7A"/>
    <w:rsid w:val="004265FF"/>
    <w:rsid w:val="004300C2"/>
    <w:rsid w:val="00430C88"/>
    <w:rsid w:val="004316F0"/>
    <w:rsid w:val="00431E2B"/>
    <w:rsid w:val="004323A3"/>
    <w:rsid w:val="00432F5C"/>
    <w:rsid w:val="0043304A"/>
    <w:rsid w:val="004337F1"/>
    <w:rsid w:val="00434A36"/>
    <w:rsid w:val="00436291"/>
    <w:rsid w:val="004362E9"/>
    <w:rsid w:val="00436597"/>
    <w:rsid w:val="00436881"/>
    <w:rsid w:val="00437796"/>
    <w:rsid w:val="00437FD8"/>
    <w:rsid w:val="0044053D"/>
    <w:rsid w:val="0044137F"/>
    <w:rsid w:val="00441CA5"/>
    <w:rsid w:val="00442EEC"/>
    <w:rsid w:val="00445370"/>
    <w:rsid w:val="0044620B"/>
    <w:rsid w:val="00446806"/>
    <w:rsid w:val="00446E61"/>
    <w:rsid w:val="004474B9"/>
    <w:rsid w:val="004504B0"/>
    <w:rsid w:val="004513DF"/>
    <w:rsid w:val="00451543"/>
    <w:rsid w:val="004526A4"/>
    <w:rsid w:val="00453E72"/>
    <w:rsid w:val="00454491"/>
    <w:rsid w:val="0045475C"/>
    <w:rsid w:val="00454E8D"/>
    <w:rsid w:val="00455869"/>
    <w:rsid w:val="00456051"/>
    <w:rsid w:val="0045616A"/>
    <w:rsid w:val="0045685A"/>
    <w:rsid w:val="0046016F"/>
    <w:rsid w:val="00461587"/>
    <w:rsid w:val="00461B2A"/>
    <w:rsid w:val="00462D22"/>
    <w:rsid w:val="00463536"/>
    <w:rsid w:val="00463639"/>
    <w:rsid w:val="00463C33"/>
    <w:rsid w:val="00463CCA"/>
    <w:rsid w:val="004642F4"/>
    <w:rsid w:val="004674D9"/>
    <w:rsid w:val="00467C86"/>
    <w:rsid w:val="00471626"/>
    <w:rsid w:val="004740FA"/>
    <w:rsid w:val="00474632"/>
    <w:rsid w:val="00475376"/>
    <w:rsid w:val="00477A16"/>
    <w:rsid w:val="00477B50"/>
    <w:rsid w:val="00480257"/>
    <w:rsid w:val="004874AF"/>
    <w:rsid w:val="00490554"/>
    <w:rsid w:val="00490562"/>
    <w:rsid w:val="00490B21"/>
    <w:rsid w:val="00490BFC"/>
    <w:rsid w:val="004923FB"/>
    <w:rsid w:val="004939C7"/>
    <w:rsid w:val="00494F52"/>
    <w:rsid w:val="004962FD"/>
    <w:rsid w:val="00496EE8"/>
    <w:rsid w:val="00497871"/>
    <w:rsid w:val="004A12D5"/>
    <w:rsid w:val="004A2628"/>
    <w:rsid w:val="004A31DC"/>
    <w:rsid w:val="004A375B"/>
    <w:rsid w:val="004A417D"/>
    <w:rsid w:val="004A5BDA"/>
    <w:rsid w:val="004A6975"/>
    <w:rsid w:val="004A7AB8"/>
    <w:rsid w:val="004A7BDC"/>
    <w:rsid w:val="004B0578"/>
    <w:rsid w:val="004B169E"/>
    <w:rsid w:val="004B229D"/>
    <w:rsid w:val="004B3EBC"/>
    <w:rsid w:val="004B4D7A"/>
    <w:rsid w:val="004B6396"/>
    <w:rsid w:val="004B76FC"/>
    <w:rsid w:val="004C1A47"/>
    <w:rsid w:val="004C2611"/>
    <w:rsid w:val="004C3621"/>
    <w:rsid w:val="004C38EB"/>
    <w:rsid w:val="004C542A"/>
    <w:rsid w:val="004C545C"/>
    <w:rsid w:val="004C5DD7"/>
    <w:rsid w:val="004C6118"/>
    <w:rsid w:val="004D0895"/>
    <w:rsid w:val="004D0BC3"/>
    <w:rsid w:val="004D1782"/>
    <w:rsid w:val="004D1FD9"/>
    <w:rsid w:val="004D2F4A"/>
    <w:rsid w:val="004D4337"/>
    <w:rsid w:val="004D451C"/>
    <w:rsid w:val="004D453D"/>
    <w:rsid w:val="004D48A7"/>
    <w:rsid w:val="004D49ED"/>
    <w:rsid w:val="004D5F3F"/>
    <w:rsid w:val="004D7B08"/>
    <w:rsid w:val="004E1294"/>
    <w:rsid w:val="004E2B8A"/>
    <w:rsid w:val="004E3105"/>
    <w:rsid w:val="004E3C41"/>
    <w:rsid w:val="004E4F5B"/>
    <w:rsid w:val="004E5C6B"/>
    <w:rsid w:val="004F0A79"/>
    <w:rsid w:val="004F1588"/>
    <w:rsid w:val="004F164A"/>
    <w:rsid w:val="004F274E"/>
    <w:rsid w:val="004F3BCE"/>
    <w:rsid w:val="004F4A7C"/>
    <w:rsid w:val="004F4E6F"/>
    <w:rsid w:val="004F53F4"/>
    <w:rsid w:val="004F5A63"/>
    <w:rsid w:val="004F5B07"/>
    <w:rsid w:val="004F6144"/>
    <w:rsid w:val="004F616E"/>
    <w:rsid w:val="004F78F3"/>
    <w:rsid w:val="00501936"/>
    <w:rsid w:val="005020F9"/>
    <w:rsid w:val="00503774"/>
    <w:rsid w:val="00503792"/>
    <w:rsid w:val="00503B27"/>
    <w:rsid w:val="00503EB6"/>
    <w:rsid w:val="005045D3"/>
    <w:rsid w:val="005048BB"/>
    <w:rsid w:val="005057A3"/>
    <w:rsid w:val="00507CD3"/>
    <w:rsid w:val="005111CF"/>
    <w:rsid w:val="00512D23"/>
    <w:rsid w:val="00513955"/>
    <w:rsid w:val="00516B8B"/>
    <w:rsid w:val="005172E0"/>
    <w:rsid w:val="005207A5"/>
    <w:rsid w:val="005264B2"/>
    <w:rsid w:val="00526930"/>
    <w:rsid w:val="00526AEB"/>
    <w:rsid w:val="005274DA"/>
    <w:rsid w:val="00527B6B"/>
    <w:rsid w:val="00530580"/>
    <w:rsid w:val="005313ED"/>
    <w:rsid w:val="00531999"/>
    <w:rsid w:val="00531BEE"/>
    <w:rsid w:val="00531C02"/>
    <w:rsid w:val="00532206"/>
    <w:rsid w:val="00532A8D"/>
    <w:rsid w:val="00533779"/>
    <w:rsid w:val="00533C28"/>
    <w:rsid w:val="0053453A"/>
    <w:rsid w:val="0053722E"/>
    <w:rsid w:val="005420CE"/>
    <w:rsid w:val="005449EF"/>
    <w:rsid w:val="00544E16"/>
    <w:rsid w:val="00544F88"/>
    <w:rsid w:val="00546713"/>
    <w:rsid w:val="00547713"/>
    <w:rsid w:val="005523FC"/>
    <w:rsid w:val="00552F09"/>
    <w:rsid w:val="00553B95"/>
    <w:rsid w:val="00554711"/>
    <w:rsid w:val="00554C00"/>
    <w:rsid w:val="00561538"/>
    <w:rsid w:val="005621DA"/>
    <w:rsid w:val="00563623"/>
    <w:rsid w:val="00563B64"/>
    <w:rsid w:val="00565641"/>
    <w:rsid w:val="005658D4"/>
    <w:rsid w:val="00565E1E"/>
    <w:rsid w:val="00567163"/>
    <w:rsid w:val="005675D5"/>
    <w:rsid w:val="0057017D"/>
    <w:rsid w:val="00570955"/>
    <w:rsid w:val="00572481"/>
    <w:rsid w:val="00572C5C"/>
    <w:rsid w:val="00573CFE"/>
    <w:rsid w:val="00575822"/>
    <w:rsid w:val="00576214"/>
    <w:rsid w:val="00576271"/>
    <w:rsid w:val="00576922"/>
    <w:rsid w:val="005804B6"/>
    <w:rsid w:val="005805DF"/>
    <w:rsid w:val="00582082"/>
    <w:rsid w:val="00582A25"/>
    <w:rsid w:val="005864C1"/>
    <w:rsid w:val="005864E4"/>
    <w:rsid w:val="00590B05"/>
    <w:rsid w:val="0059278B"/>
    <w:rsid w:val="00593A34"/>
    <w:rsid w:val="00593A93"/>
    <w:rsid w:val="005A0003"/>
    <w:rsid w:val="005A0BBA"/>
    <w:rsid w:val="005A0F9E"/>
    <w:rsid w:val="005A1918"/>
    <w:rsid w:val="005A2FE4"/>
    <w:rsid w:val="005A6311"/>
    <w:rsid w:val="005A6F36"/>
    <w:rsid w:val="005A7829"/>
    <w:rsid w:val="005A7DBB"/>
    <w:rsid w:val="005A7E78"/>
    <w:rsid w:val="005B0668"/>
    <w:rsid w:val="005B0703"/>
    <w:rsid w:val="005B07ED"/>
    <w:rsid w:val="005B20ED"/>
    <w:rsid w:val="005B215B"/>
    <w:rsid w:val="005B3E90"/>
    <w:rsid w:val="005B443F"/>
    <w:rsid w:val="005B7252"/>
    <w:rsid w:val="005B754B"/>
    <w:rsid w:val="005C067E"/>
    <w:rsid w:val="005C0B5B"/>
    <w:rsid w:val="005C118A"/>
    <w:rsid w:val="005C145F"/>
    <w:rsid w:val="005C2179"/>
    <w:rsid w:val="005C52C2"/>
    <w:rsid w:val="005C6194"/>
    <w:rsid w:val="005C70B4"/>
    <w:rsid w:val="005C7FD2"/>
    <w:rsid w:val="005D0137"/>
    <w:rsid w:val="005D193E"/>
    <w:rsid w:val="005D2D0B"/>
    <w:rsid w:val="005D34C1"/>
    <w:rsid w:val="005D39D9"/>
    <w:rsid w:val="005D5304"/>
    <w:rsid w:val="005D5D31"/>
    <w:rsid w:val="005D7663"/>
    <w:rsid w:val="005E0473"/>
    <w:rsid w:val="005E06A9"/>
    <w:rsid w:val="005E0BBF"/>
    <w:rsid w:val="005E3C71"/>
    <w:rsid w:val="005E3F88"/>
    <w:rsid w:val="005E4CDA"/>
    <w:rsid w:val="005E54B2"/>
    <w:rsid w:val="005E580D"/>
    <w:rsid w:val="005E6373"/>
    <w:rsid w:val="005E63A5"/>
    <w:rsid w:val="005F02E8"/>
    <w:rsid w:val="005F0322"/>
    <w:rsid w:val="005F0F78"/>
    <w:rsid w:val="005F241D"/>
    <w:rsid w:val="005F3246"/>
    <w:rsid w:val="005F36EB"/>
    <w:rsid w:val="005F4B9C"/>
    <w:rsid w:val="005F6359"/>
    <w:rsid w:val="005F6DBE"/>
    <w:rsid w:val="005F71C6"/>
    <w:rsid w:val="005F7497"/>
    <w:rsid w:val="005F7680"/>
    <w:rsid w:val="005F7E58"/>
    <w:rsid w:val="005F7F1F"/>
    <w:rsid w:val="00600483"/>
    <w:rsid w:val="00603616"/>
    <w:rsid w:val="00603CA3"/>
    <w:rsid w:val="0060490C"/>
    <w:rsid w:val="00604A7B"/>
    <w:rsid w:val="00605990"/>
    <w:rsid w:val="00607874"/>
    <w:rsid w:val="00607E66"/>
    <w:rsid w:val="006103C9"/>
    <w:rsid w:val="00611341"/>
    <w:rsid w:val="006113FF"/>
    <w:rsid w:val="006122F5"/>
    <w:rsid w:val="00612740"/>
    <w:rsid w:val="006128BC"/>
    <w:rsid w:val="00612D8F"/>
    <w:rsid w:val="0061422C"/>
    <w:rsid w:val="0061430A"/>
    <w:rsid w:val="00614720"/>
    <w:rsid w:val="006161C8"/>
    <w:rsid w:val="006162AF"/>
    <w:rsid w:val="00616498"/>
    <w:rsid w:val="006170A1"/>
    <w:rsid w:val="00617CC2"/>
    <w:rsid w:val="006210A6"/>
    <w:rsid w:val="00621B1B"/>
    <w:rsid w:val="00623006"/>
    <w:rsid w:val="006237C1"/>
    <w:rsid w:val="00623A3A"/>
    <w:rsid w:val="00623D5C"/>
    <w:rsid w:val="00626441"/>
    <w:rsid w:val="00627421"/>
    <w:rsid w:val="00630B5C"/>
    <w:rsid w:val="00631750"/>
    <w:rsid w:val="006339F3"/>
    <w:rsid w:val="00634AF0"/>
    <w:rsid w:val="00641634"/>
    <w:rsid w:val="00641A0C"/>
    <w:rsid w:val="00642C2C"/>
    <w:rsid w:val="00644598"/>
    <w:rsid w:val="00644F6D"/>
    <w:rsid w:val="00645B8E"/>
    <w:rsid w:val="00645D5F"/>
    <w:rsid w:val="00646988"/>
    <w:rsid w:val="00647C51"/>
    <w:rsid w:val="00651B8A"/>
    <w:rsid w:val="006528C2"/>
    <w:rsid w:val="006535BA"/>
    <w:rsid w:val="00653C91"/>
    <w:rsid w:val="00654AFE"/>
    <w:rsid w:val="0065574D"/>
    <w:rsid w:val="00655A76"/>
    <w:rsid w:val="006574B9"/>
    <w:rsid w:val="00663309"/>
    <w:rsid w:val="006633A2"/>
    <w:rsid w:val="00664247"/>
    <w:rsid w:val="0066439C"/>
    <w:rsid w:val="00664FBD"/>
    <w:rsid w:val="006663D9"/>
    <w:rsid w:val="0066656C"/>
    <w:rsid w:val="0066765C"/>
    <w:rsid w:val="0067049D"/>
    <w:rsid w:val="00670BBE"/>
    <w:rsid w:val="00671DA6"/>
    <w:rsid w:val="0067232D"/>
    <w:rsid w:val="006739A2"/>
    <w:rsid w:val="0068110A"/>
    <w:rsid w:val="00682681"/>
    <w:rsid w:val="00682B1C"/>
    <w:rsid w:val="00682CBB"/>
    <w:rsid w:val="00683200"/>
    <w:rsid w:val="00683570"/>
    <w:rsid w:val="00683D11"/>
    <w:rsid w:val="00683F7B"/>
    <w:rsid w:val="006840F5"/>
    <w:rsid w:val="00684E71"/>
    <w:rsid w:val="00686296"/>
    <w:rsid w:val="006867F9"/>
    <w:rsid w:val="006876E7"/>
    <w:rsid w:val="00687D53"/>
    <w:rsid w:val="00690451"/>
    <w:rsid w:val="00694A76"/>
    <w:rsid w:val="00696EE1"/>
    <w:rsid w:val="006A019E"/>
    <w:rsid w:val="006A01DB"/>
    <w:rsid w:val="006A2889"/>
    <w:rsid w:val="006A4217"/>
    <w:rsid w:val="006A47B3"/>
    <w:rsid w:val="006A6D90"/>
    <w:rsid w:val="006A7451"/>
    <w:rsid w:val="006B075E"/>
    <w:rsid w:val="006B112E"/>
    <w:rsid w:val="006B1188"/>
    <w:rsid w:val="006B1775"/>
    <w:rsid w:val="006B1D74"/>
    <w:rsid w:val="006B307C"/>
    <w:rsid w:val="006B30DA"/>
    <w:rsid w:val="006C15D5"/>
    <w:rsid w:val="006C2087"/>
    <w:rsid w:val="006C2921"/>
    <w:rsid w:val="006C2FF7"/>
    <w:rsid w:val="006C39BB"/>
    <w:rsid w:val="006C4374"/>
    <w:rsid w:val="006C5360"/>
    <w:rsid w:val="006C56A7"/>
    <w:rsid w:val="006C5DFA"/>
    <w:rsid w:val="006C6AF2"/>
    <w:rsid w:val="006C7189"/>
    <w:rsid w:val="006C7242"/>
    <w:rsid w:val="006C7EEE"/>
    <w:rsid w:val="006D2891"/>
    <w:rsid w:val="006D3567"/>
    <w:rsid w:val="006D4823"/>
    <w:rsid w:val="006E0E5C"/>
    <w:rsid w:val="006E224D"/>
    <w:rsid w:val="006E5DEB"/>
    <w:rsid w:val="006E6C46"/>
    <w:rsid w:val="006F0223"/>
    <w:rsid w:val="006F029C"/>
    <w:rsid w:val="006F0D19"/>
    <w:rsid w:val="006F1B81"/>
    <w:rsid w:val="006F28AB"/>
    <w:rsid w:val="006F2BBF"/>
    <w:rsid w:val="006F4707"/>
    <w:rsid w:val="00702908"/>
    <w:rsid w:val="00702AC1"/>
    <w:rsid w:val="007037C8"/>
    <w:rsid w:val="007047FD"/>
    <w:rsid w:val="00706A55"/>
    <w:rsid w:val="00707344"/>
    <w:rsid w:val="00707C66"/>
    <w:rsid w:val="00710A46"/>
    <w:rsid w:val="00712023"/>
    <w:rsid w:val="00712051"/>
    <w:rsid w:val="00712976"/>
    <w:rsid w:val="007202A6"/>
    <w:rsid w:val="00720D9B"/>
    <w:rsid w:val="00721263"/>
    <w:rsid w:val="00722DF7"/>
    <w:rsid w:val="007236DB"/>
    <w:rsid w:val="00724346"/>
    <w:rsid w:val="00724B41"/>
    <w:rsid w:val="00724C58"/>
    <w:rsid w:val="0072586D"/>
    <w:rsid w:val="00726B19"/>
    <w:rsid w:val="0072707D"/>
    <w:rsid w:val="00730655"/>
    <w:rsid w:val="0073247E"/>
    <w:rsid w:val="00733CD4"/>
    <w:rsid w:val="00734C22"/>
    <w:rsid w:val="0073528B"/>
    <w:rsid w:val="00736746"/>
    <w:rsid w:val="00736DC1"/>
    <w:rsid w:val="00740016"/>
    <w:rsid w:val="007403BE"/>
    <w:rsid w:val="007410E0"/>
    <w:rsid w:val="00741E5E"/>
    <w:rsid w:val="0074211B"/>
    <w:rsid w:val="0074304E"/>
    <w:rsid w:val="00743A0B"/>
    <w:rsid w:val="00743FD9"/>
    <w:rsid w:val="00744A9A"/>
    <w:rsid w:val="00744B5C"/>
    <w:rsid w:val="007469E5"/>
    <w:rsid w:val="00746B9F"/>
    <w:rsid w:val="00747CA5"/>
    <w:rsid w:val="00752979"/>
    <w:rsid w:val="00752BA4"/>
    <w:rsid w:val="007535EC"/>
    <w:rsid w:val="007546C1"/>
    <w:rsid w:val="007547BD"/>
    <w:rsid w:val="00760AD3"/>
    <w:rsid w:val="0076107E"/>
    <w:rsid w:val="0076141E"/>
    <w:rsid w:val="00762694"/>
    <w:rsid w:val="00763E6E"/>
    <w:rsid w:val="007640B7"/>
    <w:rsid w:val="00767231"/>
    <w:rsid w:val="0077005A"/>
    <w:rsid w:val="007703DF"/>
    <w:rsid w:val="0077166C"/>
    <w:rsid w:val="00771B8D"/>
    <w:rsid w:val="007720F5"/>
    <w:rsid w:val="0077318C"/>
    <w:rsid w:val="00774A35"/>
    <w:rsid w:val="00775731"/>
    <w:rsid w:val="007757F7"/>
    <w:rsid w:val="0077768D"/>
    <w:rsid w:val="00780945"/>
    <w:rsid w:val="007809E1"/>
    <w:rsid w:val="007825A4"/>
    <w:rsid w:val="007848FC"/>
    <w:rsid w:val="007866A0"/>
    <w:rsid w:val="00786854"/>
    <w:rsid w:val="0078724D"/>
    <w:rsid w:val="00787DF9"/>
    <w:rsid w:val="007904E9"/>
    <w:rsid w:val="00790C86"/>
    <w:rsid w:val="00791045"/>
    <w:rsid w:val="00791542"/>
    <w:rsid w:val="007915F3"/>
    <w:rsid w:val="007916D4"/>
    <w:rsid w:val="007931DD"/>
    <w:rsid w:val="00793920"/>
    <w:rsid w:val="00793B4B"/>
    <w:rsid w:val="00793BD2"/>
    <w:rsid w:val="00794524"/>
    <w:rsid w:val="00795D56"/>
    <w:rsid w:val="007A0BA3"/>
    <w:rsid w:val="007A18DF"/>
    <w:rsid w:val="007A2A13"/>
    <w:rsid w:val="007A3A40"/>
    <w:rsid w:val="007A5D4E"/>
    <w:rsid w:val="007A6B2A"/>
    <w:rsid w:val="007A7973"/>
    <w:rsid w:val="007B1DA2"/>
    <w:rsid w:val="007B21B8"/>
    <w:rsid w:val="007B5D1E"/>
    <w:rsid w:val="007B6BA5"/>
    <w:rsid w:val="007B6E1B"/>
    <w:rsid w:val="007C0481"/>
    <w:rsid w:val="007C3B8D"/>
    <w:rsid w:val="007C3CE8"/>
    <w:rsid w:val="007C5633"/>
    <w:rsid w:val="007C6649"/>
    <w:rsid w:val="007D2A9C"/>
    <w:rsid w:val="007D3D4A"/>
    <w:rsid w:val="007D50F9"/>
    <w:rsid w:val="007D62E8"/>
    <w:rsid w:val="007D6E3D"/>
    <w:rsid w:val="007D7C3B"/>
    <w:rsid w:val="007E2195"/>
    <w:rsid w:val="007E2A02"/>
    <w:rsid w:val="007E4402"/>
    <w:rsid w:val="007E45A8"/>
    <w:rsid w:val="007E6224"/>
    <w:rsid w:val="007E70BC"/>
    <w:rsid w:val="007E7645"/>
    <w:rsid w:val="007F01E8"/>
    <w:rsid w:val="007F1A67"/>
    <w:rsid w:val="007F1D40"/>
    <w:rsid w:val="007F7003"/>
    <w:rsid w:val="00803073"/>
    <w:rsid w:val="0080382C"/>
    <w:rsid w:val="00804849"/>
    <w:rsid w:val="00805370"/>
    <w:rsid w:val="0080543F"/>
    <w:rsid w:val="0080590F"/>
    <w:rsid w:val="00805CD2"/>
    <w:rsid w:val="00806497"/>
    <w:rsid w:val="008065F8"/>
    <w:rsid w:val="0080779C"/>
    <w:rsid w:val="0081212F"/>
    <w:rsid w:val="008129D8"/>
    <w:rsid w:val="00812BCB"/>
    <w:rsid w:val="0081510C"/>
    <w:rsid w:val="00815AF8"/>
    <w:rsid w:val="00815CF7"/>
    <w:rsid w:val="00820AC4"/>
    <w:rsid w:val="00820B36"/>
    <w:rsid w:val="008227AC"/>
    <w:rsid w:val="008241C4"/>
    <w:rsid w:val="0082423F"/>
    <w:rsid w:val="008255B7"/>
    <w:rsid w:val="00825C3B"/>
    <w:rsid w:val="00825E4F"/>
    <w:rsid w:val="008260E2"/>
    <w:rsid w:val="00827E50"/>
    <w:rsid w:val="00830ADA"/>
    <w:rsid w:val="00830E2F"/>
    <w:rsid w:val="008312A7"/>
    <w:rsid w:val="00831AD8"/>
    <w:rsid w:val="00832974"/>
    <w:rsid w:val="00832DC9"/>
    <w:rsid w:val="00832E21"/>
    <w:rsid w:val="00833292"/>
    <w:rsid w:val="0083376A"/>
    <w:rsid w:val="00833C32"/>
    <w:rsid w:val="00835ED2"/>
    <w:rsid w:val="00836A25"/>
    <w:rsid w:val="00837046"/>
    <w:rsid w:val="0083718E"/>
    <w:rsid w:val="0083797D"/>
    <w:rsid w:val="00840D86"/>
    <w:rsid w:val="00840D8F"/>
    <w:rsid w:val="00841B28"/>
    <w:rsid w:val="00841DE6"/>
    <w:rsid w:val="008421C8"/>
    <w:rsid w:val="00843B7F"/>
    <w:rsid w:val="0084406A"/>
    <w:rsid w:val="00844D36"/>
    <w:rsid w:val="00845514"/>
    <w:rsid w:val="0085096F"/>
    <w:rsid w:val="008511D1"/>
    <w:rsid w:val="0085127B"/>
    <w:rsid w:val="00851D7A"/>
    <w:rsid w:val="00852852"/>
    <w:rsid w:val="0085297B"/>
    <w:rsid w:val="0085392F"/>
    <w:rsid w:val="00855651"/>
    <w:rsid w:val="00860D82"/>
    <w:rsid w:val="008624D4"/>
    <w:rsid w:val="00862880"/>
    <w:rsid w:val="008631B9"/>
    <w:rsid w:val="00866577"/>
    <w:rsid w:val="00866617"/>
    <w:rsid w:val="008677A2"/>
    <w:rsid w:val="00867CAF"/>
    <w:rsid w:val="00870AE3"/>
    <w:rsid w:val="008710BA"/>
    <w:rsid w:val="00872EA5"/>
    <w:rsid w:val="008742A5"/>
    <w:rsid w:val="00874D55"/>
    <w:rsid w:val="00874E79"/>
    <w:rsid w:val="00875139"/>
    <w:rsid w:val="008758B1"/>
    <w:rsid w:val="00876790"/>
    <w:rsid w:val="00877238"/>
    <w:rsid w:val="00877483"/>
    <w:rsid w:val="00877B65"/>
    <w:rsid w:val="00880A70"/>
    <w:rsid w:val="008811E0"/>
    <w:rsid w:val="00882B2E"/>
    <w:rsid w:val="00884471"/>
    <w:rsid w:val="0088553E"/>
    <w:rsid w:val="00885FFA"/>
    <w:rsid w:val="00890DAE"/>
    <w:rsid w:val="00891E51"/>
    <w:rsid w:val="008934CC"/>
    <w:rsid w:val="008951B9"/>
    <w:rsid w:val="008954E0"/>
    <w:rsid w:val="00895888"/>
    <w:rsid w:val="0089631B"/>
    <w:rsid w:val="008A037F"/>
    <w:rsid w:val="008A13FE"/>
    <w:rsid w:val="008A2BA1"/>
    <w:rsid w:val="008A5473"/>
    <w:rsid w:val="008A5652"/>
    <w:rsid w:val="008A6018"/>
    <w:rsid w:val="008A6955"/>
    <w:rsid w:val="008B138E"/>
    <w:rsid w:val="008B28EE"/>
    <w:rsid w:val="008B33EA"/>
    <w:rsid w:val="008B4412"/>
    <w:rsid w:val="008B4DE1"/>
    <w:rsid w:val="008B66B3"/>
    <w:rsid w:val="008B678A"/>
    <w:rsid w:val="008B7782"/>
    <w:rsid w:val="008C172B"/>
    <w:rsid w:val="008C6C00"/>
    <w:rsid w:val="008D0410"/>
    <w:rsid w:val="008D1BE6"/>
    <w:rsid w:val="008D2884"/>
    <w:rsid w:val="008D3A9A"/>
    <w:rsid w:val="008D4128"/>
    <w:rsid w:val="008D47F2"/>
    <w:rsid w:val="008D6530"/>
    <w:rsid w:val="008D6C92"/>
    <w:rsid w:val="008E0DE4"/>
    <w:rsid w:val="008E1408"/>
    <w:rsid w:val="008E4CC8"/>
    <w:rsid w:val="008E7664"/>
    <w:rsid w:val="008E7869"/>
    <w:rsid w:val="008E7D0D"/>
    <w:rsid w:val="008E7EDA"/>
    <w:rsid w:val="008F0A29"/>
    <w:rsid w:val="008F10AD"/>
    <w:rsid w:val="008F1749"/>
    <w:rsid w:val="008F296F"/>
    <w:rsid w:val="008F6EA2"/>
    <w:rsid w:val="008F75C0"/>
    <w:rsid w:val="008F788B"/>
    <w:rsid w:val="009001F9"/>
    <w:rsid w:val="00900754"/>
    <w:rsid w:val="00903BA2"/>
    <w:rsid w:val="00905BF3"/>
    <w:rsid w:val="00907381"/>
    <w:rsid w:val="00907C81"/>
    <w:rsid w:val="009115DF"/>
    <w:rsid w:val="009117BF"/>
    <w:rsid w:val="0091210F"/>
    <w:rsid w:val="00912974"/>
    <w:rsid w:val="00913481"/>
    <w:rsid w:val="00914C4E"/>
    <w:rsid w:val="009150F9"/>
    <w:rsid w:val="009152A6"/>
    <w:rsid w:val="00921B1F"/>
    <w:rsid w:val="00930184"/>
    <w:rsid w:val="00932B88"/>
    <w:rsid w:val="00934FCC"/>
    <w:rsid w:val="00935A51"/>
    <w:rsid w:val="00940405"/>
    <w:rsid w:val="00940E4E"/>
    <w:rsid w:val="00941E69"/>
    <w:rsid w:val="00942F06"/>
    <w:rsid w:val="009439A0"/>
    <w:rsid w:val="00943C8E"/>
    <w:rsid w:val="0094435B"/>
    <w:rsid w:val="00946E2B"/>
    <w:rsid w:val="00947931"/>
    <w:rsid w:val="00947A87"/>
    <w:rsid w:val="00951068"/>
    <w:rsid w:val="009529C8"/>
    <w:rsid w:val="00954325"/>
    <w:rsid w:val="009547D0"/>
    <w:rsid w:val="00955272"/>
    <w:rsid w:val="00955581"/>
    <w:rsid w:val="00956BD0"/>
    <w:rsid w:val="00956E1F"/>
    <w:rsid w:val="00961E80"/>
    <w:rsid w:val="009644E3"/>
    <w:rsid w:val="00964777"/>
    <w:rsid w:val="009655CE"/>
    <w:rsid w:val="0096796E"/>
    <w:rsid w:val="0097009D"/>
    <w:rsid w:val="00970661"/>
    <w:rsid w:val="0097341A"/>
    <w:rsid w:val="00973E28"/>
    <w:rsid w:val="009755AC"/>
    <w:rsid w:val="00975D87"/>
    <w:rsid w:val="00976986"/>
    <w:rsid w:val="00976BA9"/>
    <w:rsid w:val="00980D02"/>
    <w:rsid w:val="00980ECE"/>
    <w:rsid w:val="009810CD"/>
    <w:rsid w:val="0098182D"/>
    <w:rsid w:val="00981CC8"/>
    <w:rsid w:val="009821FB"/>
    <w:rsid w:val="0098331F"/>
    <w:rsid w:val="00983DDB"/>
    <w:rsid w:val="009850BE"/>
    <w:rsid w:val="00986606"/>
    <w:rsid w:val="00987610"/>
    <w:rsid w:val="009877FA"/>
    <w:rsid w:val="00990918"/>
    <w:rsid w:val="00990D43"/>
    <w:rsid w:val="0099203D"/>
    <w:rsid w:val="009923CA"/>
    <w:rsid w:val="00995656"/>
    <w:rsid w:val="00995699"/>
    <w:rsid w:val="00996794"/>
    <w:rsid w:val="00996E6F"/>
    <w:rsid w:val="00997623"/>
    <w:rsid w:val="009A0FBF"/>
    <w:rsid w:val="009A1623"/>
    <w:rsid w:val="009A1B7C"/>
    <w:rsid w:val="009A248D"/>
    <w:rsid w:val="009A2AA1"/>
    <w:rsid w:val="009A3DEA"/>
    <w:rsid w:val="009A3F03"/>
    <w:rsid w:val="009A41C7"/>
    <w:rsid w:val="009A5B21"/>
    <w:rsid w:val="009B05DF"/>
    <w:rsid w:val="009B13A0"/>
    <w:rsid w:val="009C2817"/>
    <w:rsid w:val="009C3362"/>
    <w:rsid w:val="009C3E42"/>
    <w:rsid w:val="009C5335"/>
    <w:rsid w:val="009C5372"/>
    <w:rsid w:val="009C544C"/>
    <w:rsid w:val="009C7EA3"/>
    <w:rsid w:val="009D1481"/>
    <w:rsid w:val="009D182B"/>
    <w:rsid w:val="009D1C33"/>
    <w:rsid w:val="009D2889"/>
    <w:rsid w:val="009D2DF8"/>
    <w:rsid w:val="009D2FB3"/>
    <w:rsid w:val="009D52F4"/>
    <w:rsid w:val="009D63CE"/>
    <w:rsid w:val="009E11F4"/>
    <w:rsid w:val="009E16CF"/>
    <w:rsid w:val="009E2350"/>
    <w:rsid w:val="009E31F1"/>
    <w:rsid w:val="009E3454"/>
    <w:rsid w:val="009E3617"/>
    <w:rsid w:val="009E778F"/>
    <w:rsid w:val="009E7A42"/>
    <w:rsid w:val="009E7D1D"/>
    <w:rsid w:val="009E7EB6"/>
    <w:rsid w:val="009F0F28"/>
    <w:rsid w:val="009F150A"/>
    <w:rsid w:val="009F2314"/>
    <w:rsid w:val="009F2908"/>
    <w:rsid w:val="009F3C86"/>
    <w:rsid w:val="009F4835"/>
    <w:rsid w:val="009F5488"/>
    <w:rsid w:val="009F5A2A"/>
    <w:rsid w:val="00A036DC"/>
    <w:rsid w:val="00A041DE"/>
    <w:rsid w:val="00A045A2"/>
    <w:rsid w:val="00A05F86"/>
    <w:rsid w:val="00A10249"/>
    <w:rsid w:val="00A10B49"/>
    <w:rsid w:val="00A112DD"/>
    <w:rsid w:val="00A116CE"/>
    <w:rsid w:val="00A1177F"/>
    <w:rsid w:val="00A11C2D"/>
    <w:rsid w:val="00A1289B"/>
    <w:rsid w:val="00A1564F"/>
    <w:rsid w:val="00A16577"/>
    <w:rsid w:val="00A1708B"/>
    <w:rsid w:val="00A17706"/>
    <w:rsid w:val="00A202E8"/>
    <w:rsid w:val="00A205D9"/>
    <w:rsid w:val="00A2074A"/>
    <w:rsid w:val="00A20869"/>
    <w:rsid w:val="00A245C7"/>
    <w:rsid w:val="00A24633"/>
    <w:rsid w:val="00A252B9"/>
    <w:rsid w:val="00A25FDA"/>
    <w:rsid w:val="00A26595"/>
    <w:rsid w:val="00A27983"/>
    <w:rsid w:val="00A30A66"/>
    <w:rsid w:val="00A30B7B"/>
    <w:rsid w:val="00A31B66"/>
    <w:rsid w:val="00A3223B"/>
    <w:rsid w:val="00A348E8"/>
    <w:rsid w:val="00A34E5E"/>
    <w:rsid w:val="00A34FB2"/>
    <w:rsid w:val="00A3651B"/>
    <w:rsid w:val="00A367EF"/>
    <w:rsid w:val="00A37488"/>
    <w:rsid w:val="00A3789F"/>
    <w:rsid w:val="00A406C8"/>
    <w:rsid w:val="00A410CA"/>
    <w:rsid w:val="00A416F0"/>
    <w:rsid w:val="00A41E7D"/>
    <w:rsid w:val="00A42A9C"/>
    <w:rsid w:val="00A4456D"/>
    <w:rsid w:val="00A45879"/>
    <w:rsid w:val="00A46D5D"/>
    <w:rsid w:val="00A47565"/>
    <w:rsid w:val="00A50BC5"/>
    <w:rsid w:val="00A50D1E"/>
    <w:rsid w:val="00A5124F"/>
    <w:rsid w:val="00A5239D"/>
    <w:rsid w:val="00A5279F"/>
    <w:rsid w:val="00A52A1E"/>
    <w:rsid w:val="00A53052"/>
    <w:rsid w:val="00A53EC7"/>
    <w:rsid w:val="00A55124"/>
    <w:rsid w:val="00A5792F"/>
    <w:rsid w:val="00A57A2C"/>
    <w:rsid w:val="00A626BC"/>
    <w:rsid w:val="00A67DFA"/>
    <w:rsid w:val="00A7059B"/>
    <w:rsid w:val="00A711B5"/>
    <w:rsid w:val="00A718F3"/>
    <w:rsid w:val="00A71CCF"/>
    <w:rsid w:val="00A725E4"/>
    <w:rsid w:val="00A72737"/>
    <w:rsid w:val="00A73B29"/>
    <w:rsid w:val="00A74F40"/>
    <w:rsid w:val="00A7570A"/>
    <w:rsid w:val="00A77B8A"/>
    <w:rsid w:val="00A81023"/>
    <w:rsid w:val="00A81569"/>
    <w:rsid w:val="00A82893"/>
    <w:rsid w:val="00A828D7"/>
    <w:rsid w:val="00A853EB"/>
    <w:rsid w:val="00A8576F"/>
    <w:rsid w:val="00A861A1"/>
    <w:rsid w:val="00A870E6"/>
    <w:rsid w:val="00A90D40"/>
    <w:rsid w:val="00A91D6A"/>
    <w:rsid w:val="00A93A10"/>
    <w:rsid w:val="00A94F73"/>
    <w:rsid w:val="00A96DA3"/>
    <w:rsid w:val="00A97631"/>
    <w:rsid w:val="00AA2B76"/>
    <w:rsid w:val="00AA324A"/>
    <w:rsid w:val="00AA32D9"/>
    <w:rsid w:val="00AA3380"/>
    <w:rsid w:val="00AA5BD1"/>
    <w:rsid w:val="00AA7DF6"/>
    <w:rsid w:val="00AB03FC"/>
    <w:rsid w:val="00AB0642"/>
    <w:rsid w:val="00AB1FC2"/>
    <w:rsid w:val="00AB2AB3"/>
    <w:rsid w:val="00AB4AC7"/>
    <w:rsid w:val="00AB5160"/>
    <w:rsid w:val="00AB53B2"/>
    <w:rsid w:val="00AC008A"/>
    <w:rsid w:val="00AC0A7D"/>
    <w:rsid w:val="00AC158D"/>
    <w:rsid w:val="00AC265E"/>
    <w:rsid w:val="00AC2B12"/>
    <w:rsid w:val="00AC325B"/>
    <w:rsid w:val="00AC38B8"/>
    <w:rsid w:val="00AC422B"/>
    <w:rsid w:val="00AC4EB2"/>
    <w:rsid w:val="00AC4F1C"/>
    <w:rsid w:val="00AC6962"/>
    <w:rsid w:val="00AC7D6D"/>
    <w:rsid w:val="00AD090F"/>
    <w:rsid w:val="00AD2969"/>
    <w:rsid w:val="00AD36DD"/>
    <w:rsid w:val="00AD5C9A"/>
    <w:rsid w:val="00AD6C4F"/>
    <w:rsid w:val="00AD703F"/>
    <w:rsid w:val="00AE0835"/>
    <w:rsid w:val="00AE1222"/>
    <w:rsid w:val="00AE127D"/>
    <w:rsid w:val="00AE1664"/>
    <w:rsid w:val="00AE2092"/>
    <w:rsid w:val="00AE26F8"/>
    <w:rsid w:val="00AE281B"/>
    <w:rsid w:val="00AE29D2"/>
    <w:rsid w:val="00AE2C95"/>
    <w:rsid w:val="00AE373B"/>
    <w:rsid w:val="00AE386B"/>
    <w:rsid w:val="00AE54BE"/>
    <w:rsid w:val="00AE703D"/>
    <w:rsid w:val="00AE7692"/>
    <w:rsid w:val="00AF2555"/>
    <w:rsid w:val="00AF715F"/>
    <w:rsid w:val="00B02652"/>
    <w:rsid w:val="00B026CC"/>
    <w:rsid w:val="00B030BB"/>
    <w:rsid w:val="00B0349B"/>
    <w:rsid w:val="00B0407A"/>
    <w:rsid w:val="00B06C96"/>
    <w:rsid w:val="00B07ABD"/>
    <w:rsid w:val="00B07BC0"/>
    <w:rsid w:val="00B10B65"/>
    <w:rsid w:val="00B1289A"/>
    <w:rsid w:val="00B1447B"/>
    <w:rsid w:val="00B15A67"/>
    <w:rsid w:val="00B176DF"/>
    <w:rsid w:val="00B207A4"/>
    <w:rsid w:val="00B216F0"/>
    <w:rsid w:val="00B22443"/>
    <w:rsid w:val="00B226D6"/>
    <w:rsid w:val="00B24F7E"/>
    <w:rsid w:val="00B26323"/>
    <w:rsid w:val="00B26AA7"/>
    <w:rsid w:val="00B26AD4"/>
    <w:rsid w:val="00B27A08"/>
    <w:rsid w:val="00B27CF1"/>
    <w:rsid w:val="00B3038B"/>
    <w:rsid w:val="00B3061E"/>
    <w:rsid w:val="00B3369A"/>
    <w:rsid w:val="00B35306"/>
    <w:rsid w:val="00B35C14"/>
    <w:rsid w:val="00B37322"/>
    <w:rsid w:val="00B42F94"/>
    <w:rsid w:val="00B4469F"/>
    <w:rsid w:val="00B45067"/>
    <w:rsid w:val="00B45E32"/>
    <w:rsid w:val="00B4618A"/>
    <w:rsid w:val="00B46DAF"/>
    <w:rsid w:val="00B50181"/>
    <w:rsid w:val="00B54252"/>
    <w:rsid w:val="00B54839"/>
    <w:rsid w:val="00B57387"/>
    <w:rsid w:val="00B61677"/>
    <w:rsid w:val="00B621BE"/>
    <w:rsid w:val="00B64251"/>
    <w:rsid w:val="00B66831"/>
    <w:rsid w:val="00B700DA"/>
    <w:rsid w:val="00B7038C"/>
    <w:rsid w:val="00B70955"/>
    <w:rsid w:val="00B735C4"/>
    <w:rsid w:val="00B735FC"/>
    <w:rsid w:val="00B73E94"/>
    <w:rsid w:val="00B759A2"/>
    <w:rsid w:val="00B75D1E"/>
    <w:rsid w:val="00B7609A"/>
    <w:rsid w:val="00B775FC"/>
    <w:rsid w:val="00B7782D"/>
    <w:rsid w:val="00B81071"/>
    <w:rsid w:val="00B83493"/>
    <w:rsid w:val="00B85E50"/>
    <w:rsid w:val="00B873D4"/>
    <w:rsid w:val="00B90993"/>
    <w:rsid w:val="00B9576F"/>
    <w:rsid w:val="00B977B0"/>
    <w:rsid w:val="00BA05D1"/>
    <w:rsid w:val="00BA066D"/>
    <w:rsid w:val="00BA1F97"/>
    <w:rsid w:val="00BA322F"/>
    <w:rsid w:val="00BA4428"/>
    <w:rsid w:val="00BA4ADE"/>
    <w:rsid w:val="00BB14BD"/>
    <w:rsid w:val="00BB1E43"/>
    <w:rsid w:val="00BB224F"/>
    <w:rsid w:val="00BB2A40"/>
    <w:rsid w:val="00BB4408"/>
    <w:rsid w:val="00BB73AA"/>
    <w:rsid w:val="00BC273D"/>
    <w:rsid w:val="00BC3CBF"/>
    <w:rsid w:val="00BC4C45"/>
    <w:rsid w:val="00BC5A11"/>
    <w:rsid w:val="00BC5F90"/>
    <w:rsid w:val="00BC6D8F"/>
    <w:rsid w:val="00BD0D7B"/>
    <w:rsid w:val="00BD11DB"/>
    <w:rsid w:val="00BD19A1"/>
    <w:rsid w:val="00BD1E59"/>
    <w:rsid w:val="00BD4461"/>
    <w:rsid w:val="00BD448B"/>
    <w:rsid w:val="00BD4F18"/>
    <w:rsid w:val="00BD7F13"/>
    <w:rsid w:val="00BE1426"/>
    <w:rsid w:val="00BE2376"/>
    <w:rsid w:val="00BE4F4A"/>
    <w:rsid w:val="00BE6332"/>
    <w:rsid w:val="00BE65E4"/>
    <w:rsid w:val="00BE7675"/>
    <w:rsid w:val="00BE7A75"/>
    <w:rsid w:val="00BF04D5"/>
    <w:rsid w:val="00BF1A22"/>
    <w:rsid w:val="00BF29C5"/>
    <w:rsid w:val="00BF3CFD"/>
    <w:rsid w:val="00BF41AF"/>
    <w:rsid w:val="00BF4A89"/>
    <w:rsid w:val="00BF4DC9"/>
    <w:rsid w:val="00BF55B2"/>
    <w:rsid w:val="00BF6146"/>
    <w:rsid w:val="00BF6180"/>
    <w:rsid w:val="00BF6813"/>
    <w:rsid w:val="00BF7039"/>
    <w:rsid w:val="00BF7A70"/>
    <w:rsid w:val="00BF7E77"/>
    <w:rsid w:val="00C016B8"/>
    <w:rsid w:val="00C01DF4"/>
    <w:rsid w:val="00C01E42"/>
    <w:rsid w:val="00C02508"/>
    <w:rsid w:val="00C029A9"/>
    <w:rsid w:val="00C031A0"/>
    <w:rsid w:val="00C03F81"/>
    <w:rsid w:val="00C05DBB"/>
    <w:rsid w:val="00C07C86"/>
    <w:rsid w:val="00C103BC"/>
    <w:rsid w:val="00C10695"/>
    <w:rsid w:val="00C13411"/>
    <w:rsid w:val="00C13B60"/>
    <w:rsid w:val="00C14DF2"/>
    <w:rsid w:val="00C15C4C"/>
    <w:rsid w:val="00C17F15"/>
    <w:rsid w:val="00C22744"/>
    <w:rsid w:val="00C227D6"/>
    <w:rsid w:val="00C22AE5"/>
    <w:rsid w:val="00C22FA4"/>
    <w:rsid w:val="00C25485"/>
    <w:rsid w:val="00C25664"/>
    <w:rsid w:val="00C2605C"/>
    <w:rsid w:val="00C30487"/>
    <w:rsid w:val="00C31264"/>
    <w:rsid w:val="00C31C8F"/>
    <w:rsid w:val="00C32BB5"/>
    <w:rsid w:val="00C33C85"/>
    <w:rsid w:val="00C342D8"/>
    <w:rsid w:val="00C35BD6"/>
    <w:rsid w:val="00C3613D"/>
    <w:rsid w:val="00C36819"/>
    <w:rsid w:val="00C36947"/>
    <w:rsid w:val="00C37169"/>
    <w:rsid w:val="00C3738E"/>
    <w:rsid w:val="00C37681"/>
    <w:rsid w:val="00C40E1A"/>
    <w:rsid w:val="00C418F8"/>
    <w:rsid w:val="00C42AC5"/>
    <w:rsid w:val="00C43484"/>
    <w:rsid w:val="00C43C85"/>
    <w:rsid w:val="00C45C03"/>
    <w:rsid w:val="00C4699C"/>
    <w:rsid w:val="00C478FD"/>
    <w:rsid w:val="00C503AA"/>
    <w:rsid w:val="00C522C0"/>
    <w:rsid w:val="00C53B53"/>
    <w:rsid w:val="00C553C7"/>
    <w:rsid w:val="00C5746F"/>
    <w:rsid w:val="00C60566"/>
    <w:rsid w:val="00C6108B"/>
    <w:rsid w:val="00C61AE7"/>
    <w:rsid w:val="00C62E78"/>
    <w:rsid w:val="00C63500"/>
    <w:rsid w:val="00C644E5"/>
    <w:rsid w:val="00C64563"/>
    <w:rsid w:val="00C65E4C"/>
    <w:rsid w:val="00C661C5"/>
    <w:rsid w:val="00C66262"/>
    <w:rsid w:val="00C6713B"/>
    <w:rsid w:val="00C67E28"/>
    <w:rsid w:val="00C70278"/>
    <w:rsid w:val="00C714B7"/>
    <w:rsid w:val="00C726DA"/>
    <w:rsid w:val="00C74C82"/>
    <w:rsid w:val="00C7547F"/>
    <w:rsid w:val="00C75F9A"/>
    <w:rsid w:val="00C765F5"/>
    <w:rsid w:val="00C77CB8"/>
    <w:rsid w:val="00C80002"/>
    <w:rsid w:val="00C80905"/>
    <w:rsid w:val="00C81BD3"/>
    <w:rsid w:val="00C82C72"/>
    <w:rsid w:val="00C82D30"/>
    <w:rsid w:val="00C82EC9"/>
    <w:rsid w:val="00C82F2F"/>
    <w:rsid w:val="00C84B0D"/>
    <w:rsid w:val="00C85B6A"/>
    <w:rsid w:val="00C8620C"/>
    <w:rsid w:val="00C8691A"/>
    <w:rsid w:val="00C8784B"/>
    <w:rsid w:val="00C87DE1"/>
    <w:rsid w:val="00C917E1"/>
    <w:rsid w:val="00C91DF3"/>
    <w:rsid w:val="00C92D6A"/>
    <w:rsid w:val="00C93652"/>
    <w:rsid w:val="00C937AF"/>
    <w:rsid w:val="00C939C3"/>
    <w:rsid w:val="00C95085"/>
    <w:rsid w:val="00CA05E3"/>
    <w:rsid w:val="00CA0978"/>
    <w:rsid w:val="00CA0D1D"/>
    <w:rsid w:val="00CA3625"/>
    <w:rsid w:val="00CA39E5"/>
    <w:rsid w:val="00CA4BDE"/>
    <w:rsid w:val="00CA6FAE"/>
    <w:rsid w:val="00CA7EEA"/>
    <w:rsid w:val="00CB0023"/>
    <w:rsid w:val="00CB1523"/>
    <w:rsid w:val="00CB2266"/>
    <w:rsid w:val="00CB2B78"/>
    <w:rsid w:val="00CB2ECA"/>
    <w:rsid w:val="00CB3BF2"/>
    <w:rsid w:val="00CB3C8D"/>
    <w:rsid w:val="00CB3EA2"/>
    <w:rsid w:val="00CB3F2F"/>
    <w:rsid w:val="00CB52B3"/>
    <w:rsid w:val="00CB6D76"/>
    <w:rsid w:val="00CB705C"/>
    <w:rsid w:val="00CC0041"/>
    <w:rsid w:val="00CC0A72"/>
    <w:rsid w:val="00CC197F"/>
    <w:rsid w:val="00CC2F2E"/>
    <w:rsid w:val="00CC3269"/>
    <w:rsid w:val="00CC3A20"/>
    <w:rsid w:val="00CC6355"/>
    <w:rsid w:val="00CC6BA3"/>
    <w:rsid w:val="00CD12B1"/>
    <w:rsid w:val="00CD4066"/>
    <w:rsid w:val="00CD471B"/>
    <w:rsid w:val="00CD4AEE"/>
    <w:rsid w:val="00CD4B99"/>
    <w:rsid w:val="00CD54E1"/>
    <w:rsid w:val="00CD54F6"/>
    <w:rsid w:val="00CD5FE6"/>
    <w:rsid w:val="00CD705C"/>
    <w:rsid w:val="00CD72AF"/>
    <w:rsid w:val="00CD771A"/>
    <w:rsid w:val="00CE1B88"/>
    <w:rsid w:val="00CE28A0"/>
    <w:rsid w:val="00CE3AA2"/>
    <w:rsid w:val="00CE3BCE"/>
    <w:rsid w:val="00CE3F9D"/>
    <w:rsid w:val="00CE42A7"/>
    <w:rsid w:val="00CE4EC0"/>
    <w:rsid w:val="00CE5574"/>
    <w:rsid w:val="00CE55F5"/>
    <w:rsid w:val="00CF12B7"/>
    <w:rsid w:val="00CF1457"/>
    <w:rsid w:val="00CF7A4C"/>
    <w:rsid w:val="00D00426"/>
    <w:rsid w:val="00D0200D"/>
    <w:rsid w:val="00D0209F"/>
    <w:rsid w:val="00D0326E"/>
    <w:rsid w:val="00D0341B"/>
    <w:rsid w:val="00D0377B"/>
    <w:rsid w:val="00D03A65"/>
    <w:rsid w:val="00D06927"/>
    <w:rsid w:val="00D06EC8"/>
    <w:rsid w:val="00D0776F"/>
    <w:rsid w:val="00D10291"/>
    <w:rsid w:val="00D10E5E"/>
    <w:rsid w:val="00D10F48"/>
    <w:rsid w:val="00D12732"/>
    <w:rsid w:val="00D12E3D"/>
    <w:rsid w:val="00D14D99"/>
    <w:rsid w:val="00D16509"/>
    <w:rsid w:val="00D206E0"/>
    <w:rsid w:val="00D209FF"/>
    <w:rsid w:val="00D22ABB"/>
    <w:rsid w:val="00D234A8"/>
    <w:rsid w:val="00D244B5"/>
    <w:rsid w:val="00D25255"/>
    <w:rsid w:val="00D30890"/>
    <w:rsid w:val="00D315E7"/>
    <w:rsid w:val="00D347E1"/>
    <w:rsid w:val="00D354CB"/>
    <w:rsid w:val="00D35E88"/>
    <w:rsid w:val="00D36B89"/>
    <w:rsid w:val="00D370B5"/>
    <w:rsid w:val="00D42531"/>
    <w:rsid w:val="00D428C0"/>
    <w:rsid w:val="00D43627"/>
    <w:rsid w:val="00D44538"/>
    <w:rsid w:val="00D47B70"/>
    <w:rsid w:val="00D51D16"/>
    <w:rsid w:val="00D522E9"/>
    <w:rsid w:val="00D52E2F"/>
    <w:rsid w:val="00D549C0"/>
    <w:rsid w:val="00D54CCE"/>
    <w:rsid w:val="00D557D8"/>
    <w:rsid w:val="00D56B14"/>
    <w:rsid w:val="00D56E9F"/>
    <w:rsid w:val="00D60EC7"/>
    <w:rsid w:val="00D621C8"/>
    <w:rsid w:val="00D6299B"/>
    <w:rsid w:val="00D62A7F"/>
    <w:rsid w:val="00D63330"/>
    <w:rsid w:val="00D63BBF"/>
    <w:rsid w:val="00D6452C"/>
    <w:rsid w:val="00D64EBC"/>
    <w:rsid w:val="00D665F9"/>
    <w:rsid w:val="00D6685C"/>
    <w:rsid w:val="00D713AF"/>
    <w:rsid w:val="00D72CBD"/>
    <w:rsid w:val="00D7349D"/>
    <w:rsid w:val="00D755DB"/>
    <w:rsid w:val="00D75966"/>
    <w:rsid w:val="00D75B76"/>
    <w:rsid w:val="00D8027F"/>
    <w:rsid w:val="00D80A43"/>
    <w:rsid w:val="00D80A70"/>
    <w:rsid w:val="00D819C5"/>
    <w:rsid w:val="00D81C08"/>
    <w:rsid w:val="00D829A6"/>
    <w:rsid w:val="00D840AF"/>
    <w:rsid w:val="00D84EE9"/>
    <w:rsid w:val="00D86494"/>
    <w:rsid w:val="00D91ACB"/>
    <w:rsid w:val="00D92119"/>
    <w:rsid w:val="00D927CA"/>
    <w:rsid w:val="00D92F7B"/>
    <w:rsid w:val="00D933B9"/>
    <w:rsid w:val="00D93A5C"/>
    <w:rsid w:val="00D9443B"/>
    <w:rsid w:val="00D954F7"/>
    <w:rsid w:val="00D95650"/>
    <w:rsid w:val="00D969D9"/>
    <w:rsid w:val="00DA1F91"/>
    <w:rsid w:val="00DA2326"/>
    <w:rsid w:val="00DA2569"/>
    <w:rsid w:val="00DA272F"/>
    <w:rsid w:val="00DA36DD"/>
    <w:rsid w:val="00DA44B0"/>
    <w:rsid w:val="00DA50B8"/>
    <w:rsid w:val="00DA59B1"/>
    <w:rsid w:val="00DA6B22"/>
    <w:rsid w:val="00DA7042"/>
    <w:rsid w:val="00DA70B1"/>
    <w:rsid w:val="00DA7518"/>
    <w:rsid w:val="00DA76DA"/>
    <w:rsid w:val="00DA7703"/>
    <w:rsid w:val="00DB1F44"/>
    <w:rsid w:val="00DB42D7"/>
    <w:rsid w:val="00DB4A61"/>
    <w:rsid w:val="00DB57E6"/>
    <w:rsid w:val="00DB7003"/>
    <w:rsid w:val="00DB776E"/>
    <w:rsid w:val="00DC0502"/>
    <w:rsid w:val="00DC0B7C"/>
    <w:rsid w:val="00DC0D30"/>
    <w:rsid w:val="00DC21E4"/>
    <w:rsid w:val="00DC3D5A"/>
    <w:rsid w:val="00DC46DE"/>
    <w:rsid w:val="00DC4D59"/>
    <w:rsid w:val="00DC4DCC"/>
    <w:rsid w:val="00DC57F0"/>
    <w:rsid w:val="00DC7832"/>
    <w:rsid w:val="00DC7B43"/>
    <w:rsid w:val="00DC7BAF"/>
    <w:rsid w:val="00DD06D6"/>
    <w:rsid w:val="00DD1B3C"/>
    <w:rsid w:val="00DD1F5E"/>
    <w:rsid w:val="00DD2577"/>
    <w:rsid w:val="00DD2D19"/>
    <w:rsid w:val="00DD49C4"/>
    <w:rsid w:val="00DD5E49"/>
    <w:rsid w:val="00DD7843"/>
    <w:rsid w:val="00DE0A0C"/>
    <w:rsid w:val="00DE16F1"/>
    <w:rsid w:val="00DE2F3B"/>
    <w:rsid w:val="00DE3F4D"/>
    <w:rsid w:val="00DE627E"/>
    <w:rsid w:val="00DE76CB"/>
    <w:rsid w:val="00DF3637"/>
    <w:rsid w:val="00DF482C"/>
    <w:rsid w:val="00DF4B91"/>
    <w:rsid w:val="00DF7ACE"/>
    <w:rsid w:val="00DF7D83"/>
    <w:rsid w:val="00E02591"/>
    <w:rsid w:val="00E040B9"/>
    <w:rsid w:val="00E04C6E"/>
    <w:rsid w:val="00E06247"/>
    <w:rsid w:val="00E10398"/>
    <w:rsid w:val="00E111BB"/>
    <w:rsid w:val="00E13CA0"/>
    <w:rsid w:val="00E13E10"/>
    <w:rsid w:val="00E1493C"/>
    <w:rsid w:val="00E14BEF"/>
    <w:rsid w:val="00E15D0C"/>
    <w:rsid w:val="00E20D50"/>
    <w:rsid w:val="00E21029"/>
    <w:rsid w:val="00E22076"/>
    <w:rsid w:val="00E224F5"/>
    <w:rsid w:val="00E226DE"/>
    <w:rsid w:val="00E23486"/>
    <w:rsid w:val="00E25160"/>
    <w:rsid w:val="00E254B0"/>
    <w:rsid w:val="00E257D2"/>
    <w:rsid w:val="00E27595"/>
    <w:rsid w:val="00E27D2E"/>
    <w:rsid w:val="00E31D47"/>
    <w:rsid w:val="00E3468C"/>
    <w:rsid w:val="00E35581"/>
    <w:rsid w:val="00E36FFE"/>
    <w:rsid w:val="00E37A7F"/>
    <w:rsid w:val="00E4261A"/>
    <w:rsid w:val="00E4296B"/>
    <w:rsid w:val="00E42A2F"/>
    <w:rsid w:val="00E43C78"/>
    <w:rsid w:val="00E4551A"/>
    <w:rsid w:val="00E456BA"/>
    <w:rsid w:val="00E46458"/>
    <w:rsid w:val="00E5154E"/>
    <w:rsid w:val="00E54623"/>
    <w:rsid w:val="00E546D7"/>
    <w:rsid w:val="00E54729"/>
    <w:rsid w:val="00E54E6B"/>
    <w:rsid w:val="00E55729"/>
    <w:rsid w:val="00E56E2F"/>
    <w:rsid w:val="00E5758F"/>
    <w:rsid w:val="00E601F5"/>
    <w:rsid w:val="00E607C2"/>
    <w:rsid w:val="00E608F3"/>
    <w:rsid w:val="00E611D6"/>
    <w:rsid w:val="00E61F8E"/>
    <w:rsid w:val="00E62004"/>
    <w:rsid w:val="00E62876"/>
    <w:rsid w:val="00E63698"/>
    <w:rsid w:val="00E63960"/>
    <w:rsid w:val="00E63CA7"/>
    <w:rsid w:val="00E652C3"/>
    <w:rsid w:val="00E70758"/>
    <w:rsid w:val="00E74F35"/>
    <w:rsid w:val="00E7576C"/>
    <w:rsid w:val="00E811C9"/>
    <w:rsid w:val="00E8219A"/>
    <w:rsid w:val="00E835D6"/>
    <w:rsid w:val="00E860DC"/>
    <w:rsid w:val="00E8639B"/>
    <w:rsid w:val="00E87716"/>
    <w:rsid w:val="00E877E1"/>
    <w:rsid w:val="00E87C4F"/>
    <w:rsid w:val="00E91A99"/>
    <w:rsid w:val="00E91DCF"/>
    <w:rsid w:val="00E927B3"/>
    <w:rsid w:val="00E94743"/>
    <w:rsid w:val="00E97998"/>
    <w:rsid w:val="00E97DCE"/>
    <w:rsid w:val="00EA03B5"/>
    <w:rsid w:val="00EA06C7"/>
    <w:rsid w:val="00EA175E"/>
    <w:rsid w:val="00EA22DD"/>
    <w:rsid w:val="00EA3BA1"/>
    <w:rsid w:val="00EA4B05"/>
    <w:rsid w:val="00EA551E"/>
    <w:rsid w:val="00EA7909"/>
    <w:rsid w:val="00EA7B27"/>
    <w:rsid w:val="00EB02B5"/>
    <w:rsid w:val="00EB129D"/>
    <w:rsid w:val="00EB2E49"/>
    <w:rsid w:val="00EB4B7A"/>
    <w:rsid w:val="00EB53BB"/>
    <w:rsid w:val="00EB5977"/>
    <w:rsid w:val="00EB64C9"/>
    <w:rsid w:val="00EB6EE6"/>
    <w:rsid w:val="00EC05DB"/>
    <w:rsid w:val="00EC0A65"/>
    <w:rsid w:val="00EC0C0C"/>
    <w:rsid w:val="00EC0FFC"/>
    <w:rsid w:val="00EC173E"/>
    <w:rsid w:val="00EC25E7"/>
    <w:rsid w:val="00EC273A"/>
    <w:rsid w:val="00EC44A3"/>
    <w:rsid w:val="00EC4A9C"/>
    <w:rsid w:val="00EC4FFA"/>
    <w:rsid w:val="00EC7877"/>
    <w:rsid w:val="00EC7D1B"/>
    <w:rsid w:val="00ED0FFF"/>
    <w:rsid w:val="00ED15BE"/>
    <w:rsid w:val="00ED173C"/>
    <w:rsid w:val="00ED2054"/>
    <w:rsid w:val="00ED2306"/>
    <w:rsid w:val="00ED27AE"/>
    <w:rsid w:val="00ED332F"/>
    <w:rsid w:val="00ED36E6"/>
    <w:rsid w:val="00ED5554"/>
    <w:rsid w:val="00ED5E98"/>
    <w:rsid w:val="00ED74DA"/>
    <w:rsid w:val="00ED7727"/>
    <w:rsid w:val="00ED783B"/>
    <w:rsid w:val="00EE0353"/>
    <w:rsid w:val="00EE0BF7"/>
    <w:rsid w:val="00EE231C"/>
    <w:rsid w:val="00EE2A46"/>
    <w:rsid w:val="00EE4106"/>
    <w:rsid w:val="00EE4236"/>
    <w:rsid w:val="00EE4900"/>
    <w:rsid w:val="00EE7741"/>
    <w:rsid w:val="00EF0668"/>
    <w:rsid w:val="00EF07BB"/>
    <w:rsid w:val="00EF2B74"/>
    <w:rsid w:val="00EF3510"/>
    <w:rsid w:val="00EF3F30"/>
    <w:rsid w:val="00EF44AC"/>
    <w:rsid w:val="00EF496D"/>
    <w:rsid w:val="00EF4CF0"/>
    <w:rsid w:val="00EF7C6C"/>
    <w:rsid w:val="00F0003D"/>
    <w:rsid w:val="00F00083"/>
    <w:rsid w:val="00F0039E"/>
    <w:rsid w:val="00F01943"/>
    <w:rsid w:val="00F02A8D"/>
    <w:rsid w:val="00F02EA4"/>
    <w:rsid w:val="00F10610"/>
    <w:rsid w:val="00F10815"/>
    <w:rsid w:val="00F10EB7"/>
    <w:rsid w:val="00F1148F"/>
    <w:rsid w:val="00F11AE3"/>
    <w:rsid w:val="00F16766"/>
    <w:rsid w:val="00F16FEA"/>
    <w:rsid w:val="00F20415"/>
    <w:rsid w:val="00F21374"/>
    <w:rsid w:val="00F27036"/>
    <w:rsid w:val="00F27C72"/>
    <w:rsid w:val="00F30084"/>
    <w:rsid w:val="00F31A6E"/>
    <w:rsid w:val="00F31E42"/>
    <w:rsid w:val="00F336B1"/>
    <w:rsid w:val="00F35793"/>
    <w:rsid w:val="00F40532"/>
    <w:rsid w:val="00F41FE4"/>
    <w:rsid w:val="00F424EF"/>
    <w:rsid w:val="00F42BD3"/>
    <w:rsid w:val="00F42CEF"/>
    <w:rsid w:val="00F43D77"/>
    <w:rsid w:val="00F4587F"/>
    <w:rsid w:val="00F4708E"/>
    <w:rsid w:val="00F47945"/>
    <w:rsid w:val="00F47B32"/>
    <w:rsid w:val="00F50830"/>
    <w:rsid w:val="00F54E35"/>
    <w:rsid w:val="00F55155"/>
    <w:rsid w:val="00F5597C"/>
    <w:rsid w:val="00F56D4B"/>
    <w:rsid w:val="00F60915"/>
    <w:rsid w:val="00F60E1A"/>
    <w:rsid w:val="00F61389"/>
    <w:rsid w:val="00F62D85"/>
    <w:rsid w:val="00F62DF5"/>
    <w:rsid w:val="00F65903"/>
    <w:rsid w:val="00F65E43"/>
    <w:rsid w:val="00F66BEA"/>
    <w:rsid w:val="00F70699"/>
    <w:rsid w:val="00F70821"/>
    <w:rsid w:val="00F72768"/>
    <w:rsid w:val="00F75622"/>
    <w:rsid w:val="00F76A24"/>
    <w:rsid w:val="00F83314"/>
    <w:rsid w:val="00F8463F"/>
    <w:rsid w:val="00F84693"/>
    <w:rsid w:val="00F84A4C"/>
    <w:rsid w:val="00F84C35"/>
    <w:rsid w:val="00F85089"/>
    <w:rsid w:val="00F860E3"/>
    <w:rsid w:val="00F8637E"/>
    <w:rsid w:val="00F86A37"/>
    <w:rsid w:val="00F86D4B"/>
    <w:rsid w:val="00F86FB2"/>
    <w:rsid w:val="00F875E1"/>
    <w:rsid w:val="00F90343"/>
    <w:rsid w:val="00F915A3"/>
    <w:rsid w:val="00F93A6A"/>
    <w:rsid w:val="00F96090"/>
    <w:rsid w:val="00F96B69"/>
    <w:rsid w:val="00F96F9C"/>
    <w:rsid w:val="00F9777D"/>
    <w:rsid w:val="00F9790B"/>
    <w:rsid w:val="00FA35A1"/>
    <w:rsid w:val="00FA53A8"/>
    <w:rsid w:val="00FA54DB"/>
    <w:rsid w:val="00FA62E7"/>
    <w:rsid w:val="00FA7212"/>
    <w:rsid w:val="00FB00CA"/>
    <w:rsid w:val="00FB2192"/>
    <w:rsid w:val="00FB2979"/>
    <w:rsid w:val="00FB366E"/>
    <w:rsid w:val="00FB43A9"/>
    <w:rsid w:val="00FB5E3B"/>
    <w:rsid w:val="00FB6879"/>
    <w:rsid w:val="00FB7777"/>
    <w:rsid w:val="00FB78A6"/>
    <w:rsid w:val="00FB7A4B"/>
    <w:rsid w:val="00FC0718"/>
    <w:rsid w:val="00FC13AB"/>
    <w:rsid w:val="00FC1CE5"/>
    <w:rsid w:val="00FC215E"/>
    <w:rsid w:val="00FC2E54"/>
    <w:rsid w:val="00FC4038"/>
    <w:rsid w:val="00FC418A"/>
    <w:rsid w:val="00FC57F9"/>
    <w:rsid w:val="00FC5AB5"/>
    <w:rsid w:val="00FC6BAD"/>
    <w:rsid w:val="00FC7885"/>
    <w:rsid w:val="00FD001C"/>
    <w:rsid w:val="00FD0B8E"/>
    <w:rsid w:val="00FD101E"/>
    <w:rsid w:val="00FD1865"/>
    <w:rsid w:val="00FD1D3A"/>
    <w:rsid w:val="00FD2152"/>
    <w:rsid w:val="00FD2FF9"/>
    <w:rsid w:val="00FD325F"/>
    <w:rsid w:val="00FD55B1"/>
    <w:rsid w:val="00FD6653"/>
    <w:rsid w:val="00FE02F1"/>
    <w:rsid w:val="00FE1CFE"/>
    <w:rsid w:val="00FE3758"/>
    <w:rsid w:val="00FE4343"/>
    <w:rsid w:val="00FE4E97"/>
    <w:rsid w:val="00FE5C95"/>
    <w:rsid w:val="00FE72EC"/>
    <w:rsid w:val="00FF225A"/>
    <w:rsid w:val="00FF266F"/>
    <w:rsid w:val="00FF2E7E"/>
    <w:rsid w:val="00FF62F6"/>
    <w:rsid w:val="00FF7C02"/>
    <w:rsid w:val="00FF7C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05"/>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005"/>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134A12"/>
    <w:pPr>
      <w:ind w:left="720"/>
      <w:contextualSpacing/>
    </w:pPr>
  </w:style>
  <w:style w:type="paragraph" w:styleId="FootnoteText">
    <w:name w:val="footnote text"/>
    <w:basedOn w:val="Normal"/>
    <w:link w:val="FootnoteTextChar"/>
    <w:uiPriority w:val="99"/>
    <w:unhideWhenUsed/>
    <w:rsid w:val="003B6561"/>
    <w:pPr>
      <w:spacing w:after="0" w:line="240" w:lineRule="auto"/>
    </w:pPr>
    <w:rPr>
      <w:sz w:val="20"/>
      <w:szCs w:val="20"/>
    </w:rPr>
  </w:style>
  <w:style w:type="character" w:customStyle="1" w:styleId="FootnoteTextChar">
    <w:name w:val="Footnote Text Char"/>
    <w:basedOn w:val="DefaultParagraphFont"/>
    <w:link w:val="FootnoteText"/>
    <w:uiPriority w:val="99"/>
    <w:rsid w:val="003B6561"/>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3B6561"/>
    <w:rPr>
      <w:vertAlign w:val="superscript"/>
    </w:rPr>
  </w:style>
  <w:style w:type="paragraph" w:styleId="NormalWeb">
    <w:name w:val="Normal (Web)"/>
    <w:basedOn w:val="Normal"/>
    <w:uiPriority w:val="99"/>
    <w:semiHidden/>
    <w:unhideWhenUsed/>
    <w:rsid w:val="00AA324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C0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81"/>
    <w:rPr>
      <w:rFonts w:ascii="Calibri" w:eastAsia="Calibri" w:hAnsi="Calibri" w:cs="Times New Roman"/>
      <w:lang w:eastAsia="en-US"/>
    </w:rPr>
  </w:style>
  <w:style w:type="paragraph" w:styleId="Footer">
    <w:name w:val="footer"/>
    <w:basedOn w:val="Normal"/>
    <w:link w:val="FooterChar"/>
    <w:uiPriority w:val="99"/>
    <w:unhideWhenUsed/>
    <w:rsid w:val="007C0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81"/>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78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A0"/>
    <w:rPr>
      <w:rFonts w:ascii="Tahoma" w:eastAsia="Calibri" w:hAnsi="Tahoma" w:cs="Tahoma"/>
      <w:sz w:val="16"/>
      <w:szCs w:val="16"/>
      <w:lang w:eastAsia="en-US"/>
    </w:rPr>
  </w:style>
  <w:style w:type="character" w:styleId="Hyperlink">
    <w:name w:val="Hyperlink"/>
    <w:basedOn w:val="DefaultParagraphFont"/>
    <w:uiPriority w:val="99"/>
    <w:unhideWhenUsed/>
    <w:rsid w:val="00FB366E"/>
    <w:rPr>
      <w:color w:val="0000FF" w:themeColor="hyperlink"/>
      <w:u w:val="single"/>
    </w:rPr>
  </w:style>
  <w:style w:type="character" w:styleId="FollowedHyperlink">
    <w:name w:val="FollowedHyperlink"/>
    <w:basedOn w:val="DefaultParagraphFont"/>
    <w:uiPriority w:val="99"/>
    <w:semiHidden/>
    <w:unhideWhenUsed/>
    <w:rsid w:val="00D7349D"/>
    <w:rPr>
      <w:color w:val="800080" w:themeColor="followedHyperlink"/>
      <w:u w:val="single"/>
    </w:rPr>
  </w:style>
  <w:style w:type="paragraph" w:styleId="BlockText">
    <w:name w:val="Block Text"/>
    <w:basedOn w:val="Normal"/>
    <w:semiHidden/>
    <w:rsid w:val="003271A5"/>
    <w:pPr>
      <w:spacing w:after="0" w:line="240" w:lineRule="auto"/>
      <w:ind w:left="2880" w:right="-766"/>
      <w:jc w:val="both"/>
    </w:pPr>
    <w:rPr>
      <w:rFonts w:ascii="Arial" w:eastAsia="Times New Roman"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05"/>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005"/>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134A12"/>
    <w:pPr>
      <w:ind w:left="720"/>
      <w:contextualSpacing/>
    </w:pPr>
  </w:style>
  <w:style w:type="paragraph" w:styleId="FootnoteText">
    <w:name w:val="footnote text"/>
    <w:basedOn w:val="Normal"/>
    <w:link w:val="FootnoteTextChar"/>
    <w:uiPriority w:val="99"/>
    <w:unhideWhenUsed/>
    <w:rsid w:val="003B6561"/>
    <w:pPr>
      <w:spacing w:after="0" w:line="240" w:lineRule="auto"/>
    </w:pPr>
    <w:rPr>
      <w:sz w:val="20"/>
      <w:szCs w:val="20"/>
    </w:rPr>
  </w:style>
  <w:style w:type="character" w:customStyle="1" w:styleId="FootnoteTextChar">
    <w:name w:val="Footnote Text Char"/>
    <w:basedOn w:val="DefaultParagraphFont"/>
    <w:link w:val="FootnoteText"/>
    <w:uiPriority w:val="99"/>
    <w:rsid w:val="003B6561"/>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3B6561"/>
    <w:rPr>
      <w:vertAlign w:val="superscript"/>
    </w:rPr>
  </w:style>
  <w:style w:type="paragraph" w:styleId="NormalWeb">
    <w:name w:val="Normal (Web)"/>
    <w:basedOn w:val="Normal"/>
    <w:uiPriority w:val="99"/>
    <w:semiHidden/>
    <w:unhideWhenUsed/>
    <w:rsid w:val="00AA324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C0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81"/>
    <w:rPr>
      <w:rFonts w:ascii="Calibri" w:eastAsia="Calibri" w:hAnsi="Calibri" w:cs="Times New Roman"/>
      <w:lang w:eastAsia="en-US"/>
    </w:rPr>
  </w:style>
  <w:style w:type="paragraph" w:styleId="Footer">
    <w:name w:val="footer"/>
    <w:basedOn w:val="Normal"/>
    <w:link w:val="FooterChar"/>
    <w:uiPriority w:val="99"/>
    <w:unhideWhenUsed/>
    <w:rsid w:val="007C0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81"/>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78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A0"/>
    <w:rPr>
      <w:rFonts w:ascii="Tahoma" w:eastAsia="Calibri" w:hAnsi="Tahoma" w:cs="Tahoma"/>
      <w:sz w:val="16"/>
      <w:szCs w:val="16"/>
      <w:lang w:eastAsia="en-US"/>
    </w:rPr>
  </w:style>
  <w:style w:type="character" w:styleId="Hyperlink">
    <w:name w:val="Hyperlink"/>
    <w:basedOn w:val="DefaultParagraphFont"/>
    <w:uiPriority w:val="99"/>
    <w:unhideWhenUsed/>
    <w:rsid w:val="00FB366E"/>
    <w:rPr>
      <w:color w:val="0000FF" w:themeColor="hyperlink"/>
      <w:u w:val="single"/>
    </w:rPr>
  </w:style>
  <w:style w:type="character" w:styleId="FollowedHyperlink">
    <w:name w:val="FollowedHyperlink"/>
    <w:basedOn w:val="DefaultParagraphFont"/>
    <w:uiPriority w:val="99"/>
    <w:semiHidden/>
    <w:unhideWhenUsed/>
    <w:rsid w:val="00D7349D"/>
    <w:rPr>
      <w:color w:val="800080" w:themeColor="followedHyperlink"/>
      <w:u w:val="single"/>
    </w:rPr>
  </w:style>
  <w:style w:type="paragraph" w:styleId="BlockText">
    <w:name w:val="Block Text"/>
    <w:basedOn w:val="Normal"/>
    <w:semiHidden/>
    <w:rsid w:val="003271A5"/>
    <w:pPr>
      <w:spacing w:after="0" w:line="240" w:lineRule="auto"/>
      <w:ind w:left="2880" w:right="-766"/>
      <w:jc w:val="both"/>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53279">
      <w:bodyDiv w:val="1"/>
      <w:marLeft w:val="0"/>
      <w:marRight w:val="0"/>
      <w:marTop w:val="0"/>
      <w:marBottom w:val="0"/>
      <w:divBdr>
        <w:top w:val="none" w:sz="0" w:space="0" w:color="auto"/>
        <w:left w:val="none" w:sz="0" w:space="0" w:color="auto"/>
        <w:bottom w:val="none" w:sz="0" w:space="0" w:color="auto"/>
        <w:right w:val="none" w:sz="0" w:space="0" w:color="auto"/>
      </w:divBdr>
      <w:divsChild>
        <w:div w:id="1442871319">
          <w:marLeft w:val="0"/>
          <w:marRight w:val="0"/>
          <w:marTop w:val="0"/>
          <w:marBottom w:val="0"/>
          <w:divBdr>
            <w:top w:val="none" w:sz="0" w:space="0" w:color="auto"/>
            <w:left w:val="none" w:sz="0" w:space="0" w:color="auto"/>
            <w:bottom w:val="none" w:sz="0" w:space="0" w:color="auto"/>
            <w:right w:val="none" w:sz="0" w:space="0" w:color="auto"/>
          </w:divBdr>
          <w:divsChild>
            <w:div w:id="242834958">
              <w:marLeft w:val="0"/>
              <w:marRight w:val="0"/>
              <w:marTop w:val="0"/>
              <w:marBottom w:val="0"/>
              <w:divBdr>
                <w:top w:val="none" w:sz="0" w:space="0" w:color="auto"/>
                <w:left w:val="none" w:sz="0" w:space="0" w:color="auto"/>
                <w:bottom w:val="none" w:sz="0" w:space="0" w:color="auto"/>
                <w:right w:val="none" w:sz="0" w:space="0" w:color="auto"/>
              </w:divBdr>
              <w:divsChild>
                <w:div w:id="559219706">
                  <w:marLeft w:val="0"/>
                  <w:marRight w:val="0"/>
                  <w:marTop w:val="0"/>
                  <w:marBottom w:val="0"/>
                  <w:divBdr>
                    <w:top w:val="none" w:sz="0" w:space="0" w:color="auto"/>
                    <w:left w:val="none" w:sz="0" w:space="0" w:color="auto"/>
                    <w:bottom w:val="none" w:sz="0" w:space="0" w:color="auto"/>
                    <w:right w:val="none" w:sz="0" w:space="0" w:color="auto"/>
                  </w:divBdr>
                  <w:divsChild>
                    <w:div w:id="2137527952">
                      <w:marLeft w:val="0"/>
                      <w:marRight w:val="0"/>
                      <w:marTop w:val="0"/>
                      <w:marBottom w:val="0"/>
                      <w:divBdr>
                        <w:top w:val="none" w:sz="0" w:space="0" w:color="auto"/>
                        <w:left w:val="none" w:sz="0" w:space="0" w:color="auto"/>
                        <w:bottom w:val="none" w:sz="0" w:space="0" w:color="auto"/>
                        <w:right w:val="none" w:sz="0" w:space="0" w:color="auto"/>
                      </w:divBdr>
                      <w:divsChild>
                        <w:div w:id="1199851865">
                          <w:marLeft w:val="0"/>
                          <w:marRight w:val="0"/>
                          <w:marTop w:val="0"/>
                          <w:marBottom w:val="0"/>
                          <w:divBdr>
                            <w:top w:val="none" w:sz="0" w:space="0" w:color="auto"/>
                            <w:left w:val="none" w:sz="0" w:space="0" w:color="auto"/>
                            <w:bottom w:val="none" w:sz="0" w:space="0" w:color="auto"/>
                            <w:right w:val="none" w:sz="0" w:space="0" w:color="auto"/>
                          </w:divBdr>
                          <w:divsChild>
                            <w:div w:id="1240169886">
                              <w:marLeft w:val="0"/>
                              <w:marRight w:val="0"/>
                              <w:marTop w:val="0"/>
                              <w:marBottom w:val="0"/>
                              <w:divBdr>
                                <w:top w:val="none" w:sz="0" w:space="0" w:color="auto"/>
                                <w:left w:val="none" w:sz="0" w:space="0" w:color="auto"/>
                                <w:bottom w:val="none" w:sz="0" w:space="0" w:color="auto"/>
                                <w:right w:val="none" w:sz="0" w:space="0" w:color="auto"/>
                              </w:divBdr>
                              <w:divsChild>
                                <w:div w:id="387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14491">
      <w:bodyDiv w:val="1"/>
      <w:marLeft w:val="0"/>
      <w:marRight w:val="0"/>
      <w:marTop w:val="0"/>
      <w:marBottom w:val="0"/>
      <w:divBdr>
        <w:top w:val="none" w:sz="0" w:space="0" w:color="auto"/>
        <w:left w:val="none" w:sz="0" w:space="0" w:color="auto"/>
        <w:bottom w:val="none" w:sz="0" w:space="0" w:color="auto"/>
        <w:right w:val="none" w:sz="0" w:space="0" w:color="auto"/>
      </w:divBdr>
      <w:divsChild>
        <w:div w:id="169413384">
          <w:marLeft w:val="0"/>
          <w:marRight w:val="0"/>
          <w:marTop w:val="0"/>
          <w:marBottom w:val="0"/>
          <w:divBdr>
            <w:top w:val="none" w:sz="0" w:space="0" w:color="auto"/>
            <w:left w:val="none" w:sz="0" w:space="0" w:color="auto"/>
            <w:bottom w:val="none" w:sz="0" w:space="0" w:color="auto"/>
            <w:right w:val="none" w:sz="0" w:space="0" w:color="auto"/>
          </w:divBdr>
          <w:divsChild>
            <w:div w:id="240601620">
              <w:marLeft w:val="0"/>
              <w:marRight w:val="0"/>
              <w:marTop w:val="0"/>
              <w:marBottom w:val="0"/>
              <w:divBdr>
                <w:top w:val="none" w:sz="0" w:space="0" w:color="auto"/>
                <w:left w:val="none" w:sz="0" w:space="0" w:color="auto"/>
                <w:bottom w:val="none" w:sz="0" w:space="0" w:color="auto"/>
                <w:right w:val="none" w:sz="0" w:space="0" w:color="auto"/>
              </w:divBdr>
              <w:divsChild>
                <w:div w:id="278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0388">
      <w:bodyDiv w:val="1"/>
      <w:marLeft w:val="0"/>
      <w:marRight w:val="0"/>
      <w:marTop w:val="0"/>
      <w:marBottom w:val="0"/>
      <w:divBdr>
        <w:top w:val="none" w:sz="0" w:space="0" w:color="auto"/>
        <w:left w:val="none" w:sz="0" w:space="0" w:color="auto"/>
        <w:bottom w:val="none" w:sz="0" w:space="0" w:color="auto"/>
        <w:right w:val="none" w:sz="0" w:space="0" w:color="auto"/>
      </w:divBdr>
      <w:divsChild>
        <w:div w:id="1930653889">
          <w:marLeft w:val="0"/>
          <w:marRight w:val="0"/>
          <w:marTop w:val="0"/>
          <w:marBottom w:val="0"/>
          <w:divBdr>
            <w:top w:val="none" w:sz="0" w:space="0" w:color="auto"/>
            <w:left w:val="none" w:sz="0" w:space="0" w:color="auto"/>
            <w:bottom w:val="none" w:sz="0" w:space="0" w:color="auto"/>
            <w:right w:val="none" w:sz="0" w:space="0" w:color="auto"/>
          </w:divBdr>
          <w:divsChild>
            <w:div w:id="1346900913">
              <w:marLeft w:val="0"/>
              <w:marRight w:val="0"/>
              <w:marTop w:val="0"/>
              <w:marBottom w:val="0"/>
              <w:divBdr>
                <w:top w:val="none" w:sz="0" w:space="0" w:color="auto"/>
                <w:left w:val="none" w:sz="0" w:space="0" w:color="auto"/>
                <w:bottom w:val="none" w:sz="0" w:space="0" w:color="auto"/>
                <w:right w:val="none" w:sz="0" w:space="0" w:color="auto"/>
              </w:divBdr>
              <w:divsChild>
                <w:div w:id="514465192">
                  <w:marLeft w:val="0"/>
                  <w:marRight w:val="0"/>
                  <w:marTop w:val="0"/>
                  <w:marBottom w:val="0"/>
                  <w:divBdr>
                    <w:top w:val="none" w:sz="0" w:space="0" w:color="auto"/>
                    <w:left w:val="none" w:sz="0" w:space="0" w:color="auto"/>
                    <w:bottom w:val="none" w:sz="0" w:space="0" w:color="auto"/>
                    <w:right w:val="none" w:sz="0" w:space="0" w:color="auto"/>
                  </w:divBdr>
                  <w:divsChild>
                    <w:div w:id="285548934">
                      <w:marLeft w:val="0"/>
                      <w:marRight w:val="0"/>
                      <w:marTop w:val="0"/>
                      <w:marBottom w:val="0"/>
                      <w:divBdr>
                        <w:top w:val="none" w:sz="0" w:space="0" w:color="auto"/>
                        <w:left w:val="none" w:sz="0" w:space="0" w:color="auto"/>
                        <w:bottom w:val="none" w:sz="0" w:space="0" w:color="auto"/>
                        <w:right w:val="none" w:sz="0" w:space="0" w:color="auto"/>
                      </w:divBdr>
                      <w:divsChild>
                        <w:div w:id="952323345">
                          <w:marLeft w:val="0"/>
                          <w:marRight w:val="0"/>
                          <w:marTop w:val="0"/>
                          <w:marBottom w:val="0"/>
                          <w:divBdr>
                            <w:top w:val="none" w:sz="0" w:space="0" w:color="auto"/>
                            <w:left w:val="none" w:sz="0" w:space="0" w:color="auto"/>
                            <w:bottom w:val="none" w:sz="0" w:space="0" w:color="auto"/>
                            <w:right w:val="none" w:sz="0" w:space="0" w:color="auto"/>
                          </w:divBdr>
                          <w:divsChild>
                            <w:div w:id="911309273">
                              <w:marLeft w:val="0"/>
                              <w:marRight w:val="0"/>
                              <w:marTop w:val="0"/>
                              <w:marBottom w:val="0"/>
                              <w:divBdr>
                                <w:top w:val="none" w:sz="0" w:space="0" w:color="auto"/>
                                <w:left w:val="none" w:sz="0" w:space="0" w:color="auto"/>
                                <w:bottom w:val="none" w:sz="0" w:space="0" w:color="auto"/>
                                <w:right w:val="none" w:sz="0" w:space="0" w:color="auto"/>
                              </w:divBdr>
                              <w:divsChild>
                                <w:div w:id="2135244619">
                                  <w:marLeft w:val="0"/>
                                  <w:marRight w:val="0"/>
                                  <w:marTop w:val="0"/>
                                  <w:marBottom w:val="0"/>
                                  <w:divBdr>
                                    <w:top w:val="none" w:sz="0" w:space="0" w:color="auto"/>
                                    <w:left w:val="none" w:sz="0" w:space="0" w:color="auto"/>
                                    <w:bottom w:val="none" w:sz="0" w:space="0" w:color="auto"/>
                                    <w:right w:val="none" w:sz="0" w:space="0" w:color="auto"/>
                                  </w:divBdr>
                                  <w:divsChild>
                                    <w:div w:id="720128479">
                                      <w:marLeft w:val="0"/>
                                      <w:marRight w:val="0"/>
                                      <w:marTop w:val="0"/>
                                      <w:marBottom w:val="0"/>
                                      <w:divBdr>
                                        <w:top w:val="none" w:sz="0" w:space="0" w:color="auto"/>
                                        <w:left w:val="none" w:sz="0" w:space="0" w:color="auto"/>
                                        <w:bottom w:val="none" w:sz="0" w:space="0" w:color="auto"/>
                                        <w:right w:val="none" w:sz="0" w:space="0" w:color="auto"/>
                                      </w:divBdr>
                                      <w:divsChild>
                                        <w:div w:id="1250651235">
                                          <w:marLeft w:val="0"/>
                                          <w:marRight w:val="0"/>
                                          <w:marTop w:val="0"/>
                                          <w:marBottom w:val="0"/>
                                          <w:divBdr>
                                            <w:top w:val="none" w:sz="0" w:space="0" w:color="auto"/>
                                            <w:left w:val="none" w:sz="0" w:space="0" w:color="auto"/>
                                            <w:bottom w:val="none" w:sz="0" w:space="0" w:color="auto"/>
                                            <w:right w:val="none" w:sz="0" w:space="0" w:color="auto"/>
                                          </w:divBdr>
                                          <w:divsChild>
                                            <w:div w:id="1628656481">
                                              <w:marLeft w:val="0"/>
                                              <w:marRight w:val="0"/>
                                              <w:marTop w:val="0"/>
                                              <w:marBottom w:val="0"/>
                                              <w:divBdr>
                                                <w:top w:val="none" w:sz="0" w:space="0" w:color="auto"/>
                                                <w:left w:val="none" w:sz="0" w:space="0" w:color="auto"/>
                                                <w:bottom w:val="none" w:sz="0" w:space="0" w:color="auto"/>
                                                <w:right w:val="none" w:sz="0" w:space="0" w:color="auto"/>
                                              </w:divBdr>
                                              <w:divsChild>
                                                <w:div w:id="4965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orthumbria.ac.uk/about-us/our-staff/m/rebecca-moosavi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eraldscotland.com/news/13030446.Internet_storm_as_injunction_footballer_identified/" TargetMode="External"/><Relationship Id="rId13" Type="http://schemas.openxmlformats.org/officeDocument/2006/relationships/hyperlink" Target="https://www.theguardian.com/law/2011/may/20/superinjunction-modern-technology-lord-judge" TargetMode="External"/><Relationship Id="rId3" Type="http://schemas.openxmlformats.org/officeDocument/2006/relationships/hyperlink" Target="http://www.economist.com/blogs/economist-explains/2013/04/economist-explains-what-streisand-effect" TargetMode="External"/><Relationship Id="rId7" Type="http://schemas.openxmlformats.org/officeDocument/2006/relationships/hyperlink" Target="https://www.theguardian.com/technology/2011/may/23/twitter-traffic-injunction-footballer" TargetMode="External"/><Relationship Id="rId12" Type="http://schemas.openxmlformats.org/officeDocument/2006/relationships/hyperlink" Target="http://files.eric.ed.gov/fulltext/ED053411.pdf" TargetMode="External"/><Relationship Id="rId2" Type="http://schemas.openxmlformats.org/officeDocument/2006/relationships/hyperlink" Target="http://www.californiacoastline.org/streisand/slapp-ruling.pdf" TargetMode="External"/><Relationship Id="rId16" Type="http://schemas.openxmlformats.org/officeDocument/2006/relationships/hyperlink" Target="http://www.pressgazette.co.uk/national-newspaper-circulations-may-2015-mail-sunday-overtakes-sun-sunday-times-remains-biggest-growing/" TargetMode="External"/><Relationship Id="rId1" Type="http://schemas.openxmlformats.org/officeDocument/2006/relationships/hyperlink" Target="https://www.judiciary.gov.uk/wp-content/uploads/JCO/Documents/Reports/super-injunction-report-20052011.pdf" TargetMode="External"/><Relationship Id="rId6" Type="http://schemas.openxmlformats.org/officeDocument/2006/relationships/hyperlink" Target="https://www.theguardian.com/media/2011/may/20/twitter-sued-by-footballer-over-privacy" TargetMode="External"/><Relationship Id="rId11" Type="http://schemas.openxmlformats.org/officeDocument/2006/relationships/hyperlink" Target="http://www.telegraph.co.uk/news/2016/04/11/john-bercow-bans-mps-from-naming-celebrity-couple-in-threesome-i/" TargetMode="External"/><Relationship Id="rId5" Type="http://schemas.openxmlformats.org/officeDocument/2006/relationships/hyperlink" Target="http://www.bbc.co.uk/news/technology-13477811" TargetMode="External"/><Relationship Id="rId15" Type="http://schemas.openxmlformats.org/officeDocument/2006/relationships/hyperlink" Target="http://webarchive.nationalarchives.gov.uk/20160105160709/http://www.ons.gov.uk/ons/dcp171778_406922.pdf" TargetMode="External"/><Relationship Id="rId10" Type="http://schemas.openxmlformats.org/officeDocument/2006/relationships/hyperlink" Target="http://www.telegraph.co.uk/news/2016/04/10/celebrity-threesome-injunction-mp-plans-to-name-mystery-couple-i/" TargetMode="External"/><Relationship Id="rId4" Type="http://schemas.openxmlformats.org/officeDocument/2006/relationships/hyperlink" Target="http://www.bbc.co.uk/news/magazine-28562156" TargetMode="External"/><Relationship Id="rId9" Type="http://schemas.openxmlformats.org/officeDocument/2006/relationships/hyperlink" Target="https://www.theguardian.com/media/2011/oct/27/jeremy-clarkson-lifts-injunction" TargetMode="External"/><Relationship Id="rId14" Type="http://schemas.openxmlformats.org/officeDocument/2006/relationships/hyperlink" Target="https://yougov.co.uk/news/2016/04/19/1-4-british-people-know-celebrity-threesome-cou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5062-26BF-49ED-ACA9-785F071D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25</Pages>
  <Words>10190</Words>
  <Characters>57306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96</cp:revision>
  <cp:lastPrinted>2016-10-16T11:37:00Z</cp:lastPrinted>
  <dcterms:created xsi:type="dcterms:W3CDTF">2016-11-12T11:32:00Z</dcterms:created>
  <dcterms:modified xsi:type="dcterms:W3CDTF">2016-11-15T10:53:00Z</dcterms:modified>
</cp:coreProperties>
</file>