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8C64" w14:textId="77777777" w:rsidR="00340570" w:rsidRDefault="00340570" w:rsidP="00EE1BD2">
      <w:pPr>
        <w:pStyle w:val="Body"/>
        <w:spacing w:line="480" w:lineRule="auto"/>
        <w:jc w:val="center"/>
        <w:rPr>
          <w:rFonts w:ascii="Arial" w:hAnsi="Arial" w:cs="Arial"/>
          <w:b/>
        </w:rPr>
      </w:pPr>
      <w:bookmarkStart w:id="0" w:name="_GoBack"/>
      <w:bookmarkEnd w:id="0"/>
      <w:r>
        <w:rPr>
          <w:rFonts w:ascii="Arial" w:hAnsi="Arial" w:cs="Arial"/>
          <w:b/>
        </w:rPr>
        <w:t>The crime-fraud exception in Anglo-American jurisprudence:</w:t>
      </w:r>
      <w:r w:rsidR="0041473E">
        <w:rPr>
          <w:rFonts w:ascii="Arial" w:hAnsi="Arial" w:cs="Arial"/>
          <w:b/>
        </w:rPr>
        <w:t xml:space="preserve"> </w:t>
      </w:r>
      <w:r>
        <w:rPr>
          <w:rFonts w:ascii="Arial" w:hAnsi="Arial" w:cs="Arial"/>
          <w:b/>
        </w:rPr>
        <w:t>comparative dimensions and optimal reform proposals in the taxation context.</w:t>
      </w:r>
    </w:p>
    <w:p w14:paraId="4EC480B7" w14:textId="77777777" w:rsidR="00C71CEC" w:rsidRDefault="00C71CEC" w:rsidP="00EE1BD2">
      <w:pPr>
        <w:pStyle w:val="Body"/>
        <w:spacing w:line="480" w:lineRule="auto"/>
        <w:rPr>
          <w:rFonts w:ascii="Arial" w:hAnsi="Arial" w:cs="Arial"/>
          <w:b/>
        </w:rPr>
      </w:pPr>
    </w:p>
    <w:p w14:paraId="638AC2A5" w14:textId="77777777" w:rsidR="00C71CEC" w:rsidRDefault="00C71CEC" w:rsidP="00EE1BD2">
      <w:pPr>
        <w:pStyle w:val="Body"/>
        <w:spacing w:line="480" w:lineRule="auto"/>
        <w:jc w:val="center"/>
        <w:rPr>
          <w:rFonts w:ascii="Arial" w:hAnsi="Arial" w:cs="Arial"/>
          <w:sz w:val="18"/>
          <w:szCs w:val="18"/>
        </w:rPr>
      </w:pPr>
      <w:r w:rsidRPr="00C71CEC">
        <w:rPr>
          <w:rFonts w:ascii="Arial" w:hAnsi="Arial" w:cs="Arial"/>
          <w:sz w:val="18"/>
          <w:szCs w:val="18"/>
        </w:rPr>
        <w:t>Rebecca Mitchell</w:t>
      </w:r>
      <w:r w:rsidRPr="00C71CEC">
        <w:rPr>
          <w:rStyle w:val="FootnoteReference"/>
          <w:rFonts w:ascii="Arial" w:hAnsi="Arial" w:cs="Arial"/>
          <w:sz w:val="18"/>
          <w:szCs w:val="18"/>
        </w:rPr>
        <w:footnoteReference w:customMarkFollows="1" w:id="1"/>
        <w:sym w:font="Symbol" w:char="F02A"/>
      </w:r>
      <w:r w:rsidRPr="00C71CEC">
        <w:rPr>
          <w:rFonts w:ascii="Arial" w:hAnsi="Arial" w:cs="Arial"/>
          <w:sz w:val="18"/>
          <w:szCs w:val="18"/>
        </w:rPr>
        <w:t xml:space="preserve"> and Dr Michael Stockdale</w:t>
      </w:r>
      <w:r w:rsidRPr="00C71CEC">
        <w:rPr>
          <w:rStyle w:val="FootnoteReference"/>
          <w:rFonts w:ascii="Arial" w:hAnsi="Arial" w:cs="Arial"/>
          <w:sz w:val="18"/>
          <w:szCs w:val="18"/>
        </w:rPr>
        <w:footnoteReference w:customMarkFollows="1" w:id="2"/>
        <w:sym w:font="Symbol" w:char="F02A"/>
      </w:r>
    </w:p>
    <w:p w14:paraId="5D5A2FCC" w14:textId="77777777" w:rsidR="00C71CEC" w:rsidRDefault="00C71CEC" w:rsidP="00EE1BD2">
      <w:pPr>
        <w:pStyle w:val="Body"/>
        <w:spacing w:line="480" w:lineRule="auto"/>
        <w:jc w:val="center"/>
        <w:rPr>
          <w:rFonts w:ascii="Arial" w:hAnsi="Arial" w:cs="Arial"/>
          <w:sz w:val="18"/>
          <w:szCs w:val="18"/>
        </w:rPr>
      </w:pPr>
    </w:p>
    <w:p w14:paraId="67E8889D" w14:textId="77777777" w:rsidR="00C71CEC" w:rsidRPr="00C71CEC" w:rsidRDefault="00C71CEC" w:rsidP="00EE1BD2">
      <w:pPr>
        <w:pStyle w:val="Body"/>
        <w:spacing w:line="480" w:lineRule="auto"/>
        <w:rPr>
          <w:rFonts w:ascii="Arial" w:hAnsi="Arial" w:cs="Arial"/>
        </w:rPr>
      </w:pPr>
      <w:r w:rsidRPr="00C71CEC">
        <w:rPr>
          <w:rFonts w:ascii="Arial" w:hAnsi="Arial" w:cs="Arial"/>
          <w:b/>
        </w:rPr>
        <w:t>Subject</w:t>
      </w:r>
      <w:r w:rsidRPr="00C71CEC">
        <w:rPr>
          <w:rFonts w:ascii="Arial" w:hAnsi="Arial" w:cs="Arial"/>
        </w:rPr>
        <w:t xml:space="preserve">: legal professional privilege   </w:t>
      </w:r>
      <w:proofErr w:type="gramStart"/>
      <w:r w:rsidRPr="00C71CEC">
        <w:rPr>
          <w:rFonts w:ascii="Arial" w:hAnsi="Arial" w:cs="Arial"/>
          <w:b/>
        </w:rPr>
        <w:t>Other</w:t>
      </w:r>
      <w:proofErr w:type="gramEnd"/>
      <w:r w:rsidRPr="00C71CEC">
        <w:rPr>
          <w:rFonts w:ascii="Arial" w:hAnsi="Arial" w:cs="Arial"/>
          <w:b/>
        </w:rPr>
        <w:t xml:space="preserve"> related subjects</w:t>
      </w:r>
      <w:r w:rsidRPr="00C71CEC">
        <w:rPr>
          <w:rFonts w:ascii="Arial" w:hAnsi="Arial" w:cs="Arial"/>
        </w:rPr>
        <w:t>: Tax</w:t>
      </w:r>
    </w:p>
    <w:p w14:paraId="5ECDD144" w14:textId="77777777" w:rsidR="00C71CEC" w:rsidRPr="00C71CEC" w:rsidRDefault="00C71CEC" w:rsidP="00EE1BD2">
      <w:pPr>
        <w:pStyle w:val="Body"/>
        <w:spacing w:line="480" w:lineRule="auto"/>
        <w:jc w:val="center"/>
        <w:rPr>
          <w:rFonts w:ascii="Arial" w:hAnsi="Arial" w:cs="Arial"/>
          <w:sz w:val="18"/>
          <w:szCs w:val="18"/>
        </w:rPr>
      </w:pPr>
    </w:p>
    <w:p w14:paraId="18E1FC91" w14:textId="77777777" w:rsidR="002A25B7" w:rsidRDefault="00C71CEC" w:rsidP="00EE1BD2">
      <w:pPr>
        <w:pStyle w:val="Body"/>
        <w:spacing w:line="480" w:lineRule="auto"/>
        <w:rPr>
          <w:rFonts w:ascii="Arial" w:hAnsi="Arial" w:cs="Arial"/>
        </w:rPr>
      </w:pPr>
      <w:r w:rsidRPr="00C71CEC">
        <w:rPr>
          <w:rFonts w:ascii="Arial" w:hAnsi="Arial" w:cs="Arial"/>
          <w:b/>
        </w:rPr>
        <w:t>Keywords</w:t>
      </w:r>
      <w:r>
        <w:rPr>
          <w:rFonts w:ascii="Arial" w:hAnsi="Arial" w:cs="Arial"/>
        </w:rPr>
        <w:t>: Legal Professional Privilege; Attorney-Client privilege; Tax Practitioner Privilege; Crime-Fraud Exception; Anglo-American; Tax Avoidance; Tax Evasion</w:t>
      </w:r>
    </w:p>
    <w:p w14:paraId="30A2F881" w14:textId="77777777" w:rsidR="00C71CEC" w:rsidRPr="00611F48" w:rsidRDefault="00C71CEC" w:rsidP="00EE1BD2">
      <w:pPr>
        <w:pStyle w:val="Body"/>
        <w:spacing w:line="480" w:lineRule="auto"/>
        <w:rPr>
          <w:rFonts w:ascii="Arial" w:hAnsi="Arial" w:cs="Arial"/>
        </w:rPr>
      </w:pPr>
    </w:p>
    <w:p w14:paraId="77243EAF" w14:textId="77777777" w:rsidR="002A25B7" w:rsidRPr="00C604AF" w:rsidRDefault="002A25B7" w:rsidP="00EE1BD2">
      <w:pPr>
        <w:pStyle w:val="Body"/>
        <w:spacing w:line="480" w:lineRule="auto"/>
        <w:rPr>
          <w:rFonts w:ascii="Arial" w:hAnsi="Arial" w:cs="Arial"/>
          <w:b/>
        </w:rPr>
      </w:pPr>
      <w:r w:rsidRPr="00C604AF">
        <w:rPr>
          <w:rFonts w:ascii="Arial" w:hAnsi="Arial" w:cs="Arial"/>
          <w:b/>
          <w:bCs/>
        </w:rPr>
        <w:t>Abstract</w:t>
      </w:r>
      <w:r w:rsidRPr="00C604AF">
        <w:rPr>
          <w:rFonts w:ascii="Arial" w:hAnsi="Arial" w:cs="Arial"/>
          <w:b/>
        </w:rPr>
        <w:t xml:space="preserve"> </w:t>
      </w:r>
    </w:p>
    <w:p w14:paraId="4485A6E6" w14:textId="77777777" w:rsidR="00B070AF" w:rsidRDefault="00B070AF" w:rsidP="00EE1BD2">
      <w:pPr>
        <w:pStyle w:val="Body"/>
        <w:spacing w:line="480" w:lineRule="auto"/>
        <w:rPr>
          <w:rFonts w:ascii="Arial" w:hAnsi="Arial" w:cs="Arial"/>
        </w:rPr>
      </w:pPr>
    </w:p>
    <w:p w14:paraId="5660B1FA" w14:textId="69AAFD72" w:rsidR="00B070AF" w:rsidRDefault="00045A24" w:rsidP="00EE1BD2">
      <w:pPr>
        <w:pStyle w:val="Body"/>
        <w:spacing w:line="480" w:lineRule="auto"/>
        <w:rPr>
          <w:rFonts w:ascii="Arial" w:hAnsi="Arial" w:cs="Arial"/>
        </w:rPr>
      </w:pPr>
      <w:r>
        <w:rPr>
          <w:rFonts w:ascii="Arial" w:hAnsi="Arial" w:cs="Arial"/>
        </w:rPr>
        <w:t>The crime-</w:t>
      </w:r>
      <w:r w:rsidR="00B070AF" w:rsidRPr="00611F48">
        <w:rPr>
          <w:rFonts w:ascii="Arial" w:hAnsi="Arial" w:cs="Arial"/>
        </w:rPr>
        <w:t>fraud exception to legal professional privilege is both well established and widespread in common law jurisdictions. The exception generally arises in circumstances where the client consults a lawyer for legal advice in connection with the perpetration of a criminal or fraudulent act before or during the commission of that act</w:t>
      </w:r>
      <w:r w:rsidR="00B070AF">
        <w:rPr>
          <w:rFonts w:ascii="Arial" w:hAnsi="Arial" w:cs="Arial"/>
        </w:rPr>
        <w:t xml:space="preserve">. </w:t>
      </w:r>
      <w:r w:rsidR="00883474">
        <w:rPr>
          <w:rFonts w:ascii="Arial" w:hAnsi="Arial" w:cs="Arial"/>
        </w:rPr>
        <w:t>This article analyses</w:t>
      </w:r>
      <w:r>
        <w:rPr>
          <w:rFonts w:ascii="Arial" w:hAnsi="Arial" w:cs="Arial"/>
        </w:rPr>
        <w:t xml:space="preserve"> the crime-</w:t>
      </w:r>
      <w:r w:rsidR="00B070AF" w:rsidRPr="00B070AF">
        <w:rPr>
          <w:rFonts w:ascii="Arial" w:hAnsi="Arial" w:cs="Arial"/>
        </w:rPr>
        <w:t>fraud exception to</w:t>
      </w:r>
      <w:r w:rsidR="00B070AF">
        <w:rPr>
          <w:rFonts w:ascii="Arial" w:hAnsi="Arial" w:cs="Arial"/>
        </w:rPr>
        <w:t xml:space="preserve"> claims of</w:t>
      </w:r>
      <w:r w:rsidR="00B070AF" w:rsidRPr="00B070AF">
        <w:rPr>
          <w:rFonts w:ascii="Arial" w:hAnsi="Arial" w:cs="Arial"/>
        </w:rPr>
        <w:t xml:space="preserve"> privilege </w:t>
      </w:r>
      <w:r w:rsidR="00792EDD">
        <w:rPr>
          <w:rFonts w:ascii="Arial" w:hAnsi="Arial" w:cs="Arial"/>
        </w:rPr>
        <w:t>by</w:t>
      </w:r>
      <w:r w:rsidR="00B070AF">
        <w:rPr>
          <w:rFonts w:ascii="Arial" w:hAnsi="Arial" w:cs="Arial"/>
        </w:rPr>
        <w:t xml:space="preserve"> lawyers </w:t>
      </w:r>
      <w:r w:rsidR="002217A8">
        <w:rPr>
          <w:rFonts w:ascii="Arial" w:hAnsi="Arial" w:cs="Arial"/>
        </w:rPr>
        <w:t>in England</w:t>
      </w:r>
      <w:r w:rsidR="007B52A3">
        <w:rPr>
          <w:rFonts w:ascii="Arial" w:hAnsi="Arial" w:cs="Arial"/>
        </w:rPr>
        <w:t>,</w:t>
      </w:r>
      <w:r w:rsidR="002217A8">
        <w:rPr>
          <w:rFonts w:ascii="Arial" w:hAnsi="Arial" w:cs="Arial"/>
        </w:rPr>
        <w:t xml:space="preserve"> and </w:t>
      </w:r>
      <w:r w:rsidR="00792EDD">
        <w:rPr>
          <w:rFonts w:ascii="Arial" w:hAnsi="Arial" w:cs="Arial"/>
        </w:rPr>
        <w:t xml:space="preserve">by </w:t>
      </w:r>
      <w:r w:rsidR="002217A8">
        <w:rPr>
          <w:rFonts w:ascii="Arial" w:hAnsi="Arial" w:cs="Arial"/>
        </w:rPr>
        <w:t xml:space="preserve">lawyers </w:t>
      </w:r>
      <w:r w:rsidR="00B070AF">
        <w:rPr>
          <w:rFonts w:ascii="Arial" w:hAnsi="Arial" w:cs="Arial"/>
        </w:rPr>
        <w:t>and tax practitioners</w:t>
      </w:r>
      <w:r w:rsidR="002217A8">
        <w:rPr>
          <w:rFonts w:ascii="Arial" w:hAnsi="Arial" w:cs="Arial"/>
        </w:rPr>
        <w:t xml:space="preserve"> in</w:t>
      </w:r>
      <w:r w:rsidR="00B070AF">
        <w:rPr>
          <w:rFonts w:ascii="Arial" w:hAnsi="Arial" w:cs="Arial"/>
        </w:rPr>
        <w:t xml:space="preserve"> the US</w:t>
      </w:r>
      <w:r w:rsidR="00883474">
        <w:rPr>
          <w:rFonts w:ascii="Arial" w:hAnsi="Arial" w:cs="Arial"/>
        </w:rPr>
        <w:t xml:space="preserve">. It </w:t>
      </w:r>
      <w:r w:rsidR="00B070AF">
        <w:rPr>
          <w:rFonts w:ascii="Arial" w:hAnsi="Arial" w:cs="Arial"/>
        </w:rPr>
        <w:t>considers the</w:t>
      </w:r>
      <w:r w:rsidR="00B070AF" w:rsidRPr="00B070AF">
        <w:rPr>
          <w:rFonts w:ascii="Arial" w:hAnsi="Arial" w:cs="Arial"/>
        </w:rPr>
        <w:t xml:space="preserve"> </w:t>
      </w:r>
      <w:r w:rsidR="004C62A6">
        <w:rPr>
          <w:rFonts w:ascii="Arial" w:hAnsi="Arial" w:cs="Arial"/>
        </w:rPr>
        <w:t xml:space="preserve">significance of the </w:t>
      </w:r>
      <w:r w:rsidR="00883474">
        <w:rPr>
          <w:rFonts w:ascii="Arial" w:hAnsi="Arial" w:cs="Arial"/>
        </w:rPr>
        <w:t xml:space="preserve">exception in the taxation context, </w:t>
      </w:r>
      <w:r w:rsidR="004F67C9">
        <w:rPr>
          <w:rFonts w:ascii="Arial" w:hAnsi="Arial" w:cs="Arial"/>
        </w:rPr>
        <w:t xml:space="preserve">contrasts </w:t>
      </w:r>
      <w:r w:rsidR="00883474">
        <w:rPr>
          <w:rFonts w:ascii="Arial" w:hAnsi="Arial" w:cs="Arial"/>
        </w:rPr>
        <w:t xml:space="preserve">its limited </w:t>
      </w:r>
      <w:r>
        <w:rPr>
          <w:rFonts w:ascii="Arial" w:hAnsi="Arial" w:cs="Arial"/>
        </w:rPr>
        <w:t xml:space="preserve">use </w:t>
      </w:r>
      <w:r w:rsidR="00883474">
        <w:rPr>
          <w:rFonts w:ascii="Arial" w:hAnsi="Arial" w:cs="Arial"/>
        </w:rPr>
        <w:t xml:space="preserve">in this context in England and Wales compared to the US and </w:t>
      </w:r>
      <w:r w:rsidR="009D3285">
        <w:rPr>
          <w:rFonts w:ascii="Arial" w:hAnsi="Arial" w:cs="Arial"/>
        </w:rPr>
        <w:t xml:space="preserve">discusses </w:t>
      </w:r>
      <w:r w:rsidR="00883474">
        <w:rPr>
          <w:rFonts w:ascii="Arial" w:hAnsi="Arial" w:cs="Arial"/>
        </w:rPr>
        <w:t>the markedly</w:t>
      </w:r>
      <w:r w:rsidR="006C1988">
        <w:rPr>
          <w:rFonts w:ascii="Arial" w:hAnsi="Arial" w:cs="Arial"/>
        </w:rPr>
        <w:t xml:space="preserve"> different approach</w:t>
      </w:r>
      <w:r w:rsidR="00883474">
        <w:rPr>
          <w:rFonts w:ascii="Arial" w:hAnsi="Arial" w:cs="Arial"/>
        </w:rPr>
        <w:t xml:space="preserve"> </w:t>
      </w:r>
      <w:r w:rsidR="004F67C9">
        <w:rPr>
          <w:rFonts w:ascii="Arial" w:hAnsi="Arial" w:cs="Arial"/>
        </w:rPr>
        <w:t xml:space="preserve">in the English and Welsh </w:t>
      </w:r>
      <w:r w:rsidR="009D3285">
        <w:rPr>
          <w:rFonts w:ascii="Arial" w:hAnsi="Arial" w:cs="Arial"/>
        </w:rPr>
        <w:t>First-tier Tribunal (Tax) in relation to information notices</w:t>
      </w:r>
      <w:r w:rsidR="004F67C9">
        <w:rPr>
          <w:rFonts w:ascii="Arial" w:hAnsi="Arial" w:cs="Arial"/>
        </w:rPr>
        <w:t xml:space="preserve"> when compared to appeals to the tribunal and other judicial proceedings</w:t>
      </w:r>
      <w:r w:rsidR="00883474">
        <w:rPr>
          <w:rFonts w:ascii="Arial" w:hAnsi="Arial" w:cs="Arial"/>
        </w:rPr>
        <w:t xml:space="preserve">. Following </w:t>
      </w:r>
      <w:r w:rsidR="009D3285">
        <w:rPr>
          <w:rFonts w:ascii="Arial" w:hAnsi="Arial" w:cs="Arial"/>
        </w:rPr>
        <w:t xml:space="preserve">comparative </w:t>
      </w:r>
      <w:r w:rsidR="00883474">
        <w:rPr>
          <w:rFonts w:ascii="Arial" w:hAnsi="Arial" w:cs="Arial"/>
        </w:rPr>
        <w:t xml:space="preserve">analysis </w:t>
      </w:r>
      <w:r w:rsidR="009D3285">
        <w:rPr>
          <w:rFonts w:ascii="Arial" w:hAnsi="Arial" w:cs="Arial"/>
        </w:rPr>
        <w:t xml:space="preserve">and consideration of the barriers to </w:t>
      </w:r>
      <w:proofErr w:type="gramStart"/>
      <w:r w:rsidR="009D3285">
        <w:rPr>
          <w:rFonts w:ascii="Arial" w:hAnsi="Arial" w:cs="Arial"/>
        </w:rPr>
        <w:t>greater</w:t>
      </w:r>
      <w:proofErr w:type="gramEnd"/>
      <w:r w:rsidR="009D3285">
        <w:rPr>
          <w:rFonts w:ascii="Arial" w:hAnsi="Arial" w:cs="Arial"/>
        </w:rPr>
        <w:t xml:space="preserve"> use of the exception in the tax</w:t>
      </w:r>
      <w:r w:rsidR="007832DA">
        <w:rPr>
          <w:rFonts w:ascii="Arial" w:hAnsi="Arial" w:cs="Arial"/>
        </w:rPr>
        <w:t xml:space="preserve">ation context in England, </w:t>
      </w:r>
      <w:r w:rsidR="009D3285">
        <w:rPr>
          <w:rFonts w:ascii="Arial" w:hAnsi="Arial" w:cs="Arial"/>
        </w:rPr>
        <w:t>proposals are made</w:t>
      </w:r>
      <w:r w:rsidR="007832DA">
        <w:rPr>
          <w:rFonts w:ascii="Arial" w:hAnsi="Arial" w:cs="Arial"/>
        </w:rPr>
        <w:t xml:space="preserve"> for a revised </w:t>
      </w:r>
      <w:r w:rsidR="004F2438">
        <w:rPr>
          <w:rFonts w:ascii="Arial" w:hAnsi="Arial" w:cs="Arial"/>
        </w:rPr>
        <w:t>approach</w:t>
      </w:r>
      <w:r w:rsidR="007832DA">
        <w:rPr>
          <w:rFonts w:ascii="Arial" w:hAnsi="Arial" w:cs="Arial"/>
        </w:rPr>
        <w:t xml:space="preserve"> in English law</w:t>
      </w:r>
      <w:r>
        <w:rPr>
          <w:rFonts w:ascii="Arial" w:hAnsi="Arial" w:cs="Arial"/>
        </w:rPr>
        <w:t>.</w:t>
      </w:r>
    </w:p>
    <w:p w14:paraId="5698974A" w14:textId="77777777" w:rsidR="00B070AF" w:rsidRDefault="00B070AF" w:rsidP="00EE1BD2">
      <w:pPr>
        <w:pStyle w:val="Body"/>
        <w:spacing w:line="480" w:lineRule="auto"/>
        <w:rPr>
          <w:rFonts w:ascii="Arial" w:hAnsi="Arial" w:cs="Arial"/>
        </w:rPr>
      </w:pPr>
    </w:p>
    <w:p w14:paraId="36F0D90F" w14:textId="77777777" w:rsidR="00B070AF" w:rsidRDefault="00B070AF" w:rsidP="00EE1BD2">
      <w:pPr>
        <w:pStyle w:val="Body"/>
        <w:spacing w:line="480" w:lineRule="auto"/>
        <w:rPr>
          <w:rFonts w:ascii="Arial" w:hAnsi="Arial" w:cs="Arial"/>
        </w:rPr>
      </w:pPr>
    </w:p>
    <w:p w14:paraId="50C3F2DC" w14:textId="77777777" w:rsidR="002A25B7" w:rsidRPr="00C604AF" w:rsidRDefault="00B070AF" w:rsidP="00EE1BD2">
      <w:pPr>
        <w:pStyle w:val="Body"/>
        <w:spacing w:line="480" w:lineRule="auto"/>
        <w:rPr>
          <w:rFonts w:ascii="Arial" w:hAnsi="Arial" w:cs="Arial"/>
          <w:b/>
        </w:rPr>
      </w:pPr>
      <w:r w:rsidRPr="00C604AF">
        <w:rPr>
          <w:rFonts w:ascii="Arial" w:hAnsi="Arial" w:cs="Arial"/>
          <w:b/>
        </w:rPr>
        <w:lastRenderedPageBreak/>
        <w:t>Introduction</w:t>
      </w:r>
    </w:p>
    <w:p w14:paraId="0848B6AB" w14:textId="77777777" w:rsidR="00B070AF" w:rsidRDefault="00B070AF" w:rsidP="00EE1BD2">
      <w:pPr>
        <w:pStyle w:val="Body"/>
        <w:spacing w:line="480" w:lineRule="auto"/>
        <w:rPr>
          <w:rFonts w:ascii="Arial" w:hAnsi="Arial" w:cs="Arial"/>
        </w:rPr>
      </w:pPr>
    </w:p>
    <w:p w14:paraId="6894824E" w14:textId="49AB0498" w:rsidR="00875035" w:rsidRPr="00611F48" w:rsidRDefault="00045A24" w:rsidP="00EE1BD2">
      <w:pPr>
        <w:pStyle w:val="Body"/>
        <w:spacing w:line="480" w:lineRule="auto"/>
        <w:rPr>
          <w:rFonts w:ascii="Arial" w:hAnsi="Arial" w:cs="Arial"/>
        </w:rPr>
      </w:pPr>
      <w:r>
        <w:rPr>
          <w:rFonts w:ascii="Arial" w:hAnsi="Arial" w:cs="Arial"/>
        </w:rPr>
        <w:t>The crime-</w:t>
      </w:r>
      <w:r w:rsidR="002A25B7" w:rsidRPr="00611F48">
        <w:rPr>
          <w:rFonts w:ascii="Arial" w:hAnsi="Arial" w:cs="Arial"/>
        </w:rPr>
        <w:t>fraud exception to claims of lega</w:t>
      </w:r>
      <w:r>
        <w:rPr>
          <w:rFonts w:ascii="Arial" w:hAnsi="Arial" w:cs="Arial"/>
        </w:rPr>
        <w:t>l professional privilege is</w:t>
      </w:r>
      <w:r w:rsidR="002A25B7" w:rsidRPr="00611F48">
        <w:rPr>
          <w:rFonts w:ascii="Arial" w:hAnsi="Arial" w:cs="Arial"/>
        </w:rPr>
        <w:t xml:space="preserve"> well established and </w:t>
      </w:r>
      <w:r>
        <w:rPr>
          <w:rFonts w:ascii="Arial" w:hAnsi="Arial" w:cs="Arial"/>
        </w:rPr>
        <w:t>is found in many</w:t>
      </w:r>
      <w:r w:rsidR="002A25B7" w:rsidRPr="00611F48">
        <w:rPr>
          <w:rFonts w:ascii="Arial" w:hAnsi="Arial" w:cs="Arial"/>
        </w:rPr>
        <w:t xml:space="preserve"> common law jurisdictions. The exception generally arises in circumstances where the client consults a lawyer for legal advice in connection with the perpetration of a criminal or fraudulent act </w:t>
      </w:r>
      <w:r w:rsidR="00805E00">
        <w:rPr>
          <w:rFonts w:ascii="Arial" w:hAnsi="Arial" w:cs="Arial"/>
        </w:rPr>
        <w:t xml:space="preserve">either </w:t>
      </w:r>
      <w:r w:rsidR="002A25B7" w:rsidRPr="00611F48">
        <w:rPr>
          <w:rFonts w:ascii="Arial" w:hAnsi="Arial" w:cs="Arial"/>
        </w:rPr>
        <w:t>before</w:t>
      </w:r>
      <w:r>
        <w:rPr>
          <w:rFonts w:ascii="Arial" w:hAnsi="Arial" w:cs="Arial"/>
        </w:rPr>
        <w:t xml:space="preserve"> the commission of that act</w:t>
      </w:r>
      <w:r w:rsidR="002A25B7" w:rsidRPr="00611F48">
        <w:rPr>
          <w:rFonts w:ascii="Arial" w:hAnsi="Arial" w:cs="Arial"/>
        </w:rPr>
        <w:t xml:space="preserve"> or during</w:t>
      </w:r>
      <w:r>
        <w:rPr>
          <w:rFonts w:ascii="Arial" w:hAnsi="Arial" w:cs="Arial"/>
        </w:rPr>
        <w:t xml:space="preserve"> </w:t>
      </w:r>
      <w:r w:rsidR="00805E00">
        <w:rPr>
          <w:rFonts w:ascii="Arial" w:hAnsi="Arial" w:cs="Arial"/>
        </w:rPr>
        <w:t xml:space="preserve">its </w:t>
      </w:r>
      <w:r>
        <w:rPr>
          <w:rFonts w:ascii="Arial" w:hAnsi="Arial" w:cs="Arial"/>
        </w:rPr>
        <w:t>commission</w:t>
      </w:r>
      <w:r w:rsidR="00805E00">
        <w:rPr>
          <w:rFonts w:ascii="Arial" w:hAnsi="Arial" w:cs="Arial"/>
        </w:rPr>
        <w:t xml:space="preserve">. </w:t>
      </w:r>
      <w:r>
        <w:rPr>
          <w:rFonts w:ascii="Arial" w:hAnsi="Arial" w:cs="Arial"/>
        </w:rPr>
        <w:t xml:space="preserve"> </w:t>
      </w:r>
      <w:r w:rsidR="00FA1B49">
        <w:rPr>
          <w:rFonts w:ascii="Arial" w:hAnsi="Arial" w:cs="Arial"/>
        </w:rPr>
        <w:t xml:space="preserve">For the exception to </w:t>
      </w:r>
      <w:proofErr w:type="gramStart"/>
      <w:r w:rsidR="00FA1B49">
        <w:rPr>
          <w:rFonts w:ascii="Arial" w:hAnsi="Arial" w:cs="Arial"/>
        </w:rPr>
        <w:t>apply</w:t>
      </w:r>
      <w:r w:rsidR="002A25B7" w:rsidRPr="00611F48">
        <w:rPr>
          <w:rFonts w:ascii="Arial" w:hAnsi="Arial" w:cs="Arial"/>
        </w:rPr>
        <w:t>,</w:t>
      </w:r>
      <w:proofErr w:type="gramEnd"/>
      <w:r w:rsidR="002A25B7" w:rsidRPr="00611F48">
        <w:rPr>
          <w:rFonts w:ascii="Arial" w:hAnsi="Arial" w:cs="Arial"/>
        </w:rPr>
        <w:t xml:space="preserve"> the lawyer need not be complicit in the crime or fraud </w:t>
      </w:r>
      <w:r w:rsidR="008C6105" w:rsidRPr="00611F48">
        <w:rPr>
          <w:rFonts w:ascii="Arial" w:hAnsi="Arial" w:cs="Arial"/>
        </w:rPr>
        <w:t>- the key issue is the clients'</w:t>
      </w:r>
      <w:r w:rsidR="002A25B7" w:rsidRPr="00611F48">
        <w:rPr>
          <w:rFonts w:ascii="Arial" w:hAnsi="Arial" w:cs="Arial"/>
        </w:rPr>
        <w:t xml:space="preserve"> be</w:t>
      </w:r>
      <w:r>
        <w:rPr>
          <w:rFonts w:ascii="Arial" w:hAnsi="Arial" w:cs="Arial"/>
        </w:rPr>
        <w:t>haviour and knowledge</w:t>
      </w:r>
      <w:r w:rsidR="00792EDD">
        <w:rPr>
          <w:rFonts w:ascii="Arial" w:hAnsi="Arial" w:cs="Arial"/>
        </w:rPr>
        <w:t xml:space="preserve"> (or sometimes that of a third party on whose behalf the client has instructed the lawyer)</w:t>
      </w:r>
      <w:r w:rsidR="002A25B7" w:rsidRPr="00611F48">
        <w:rPr>
          <w:rFonts w:ascii="Arial" w:hAnsi="Arial" w:cs="Arial"/>
        </w:rPr>
        <w:t>.</w:t>
      </w:r>
      <w:r>
        <w:rPr>
          <w:rFonts w:ascii="Arial" w:hAnsi="Arial" w:cs="Arial"/>
        </w:rPr>
        <w:t xml:space="preserve"> In the taxation context, the crime-fraud exception can be used by tax collection agencies to try and defeat claims of privilege</w:t>
      </w:r>
      <w:r w:rsidR="007B52A3">
        <w:rPr>
          <w:rFonts w:ascii="Arial" w:hAnsi="Arial" w:cs="Arial"/>
        </w:rPr>
        <w:t>,</w:t>
      </w:r>
      <w:r>
        <w:rPr>
          <w:rFonts w:ascii="Arial" w:hAnsi="Arial" w:cs="Arial"/>
        </w:rPr>
        <w:t xml:space="preserve"> and </w:t>
      </w:r>
      <w:r w:rsidR="00A6772B">
        <w:rPr>
          <w:rFonts w:ascii="Arial" w:hAnsi="Arial" w:cs="Arial"/>
        </w:rPr>
        <w:t xml:space="preserve">can </w:t>
      </w:r>
      <w:r>
        <w:rPr>
          <w:rFonts w:ascii="Arial" w:hAnsi="Arial" w:cs="Arial"/>
        </w:rPr>
        <w:t>therefore</w:t>
      </w:r>
      <w:r w:rsidR="00A6772B">
        <w:rPr>
          <w:rFonts w:ascii="Arial" w:hAnsi="Arial" w:cs="Arial"/>
        </w:rPr>
        <w:t xml:space="preserve"> be regarded as an</w:t>
      </w:r>
      <w:r>
        <w:rPr>
          <w:rFonts w:ascii="Arial" w:hAnsi="Arial" w:cs="Arial"/>
        </w:rPr>
        <w:t xml:space="preserve"> aid</w:t>
      </w:r>
      <w:r w:rsidR="00A6772B">
        <w:rPr>
          <w:rFonts w:ascii="Arial" w:hAnsi="Arial" w:cs="Arial"/>
        </w:rPr>
        <w:t xml:space="preserve"> to</w:t>
      </w:r>
      <w:r>
        <w:rPr>
          <w:rFonts w:ascii="Arial" w:hAnsi="Arial" w:cs="Arial"/>
        </w:rPr>
        <w:t xml:space="preserve"> the relevant agency in uncovering activity characterised as tax evasion</w:t>
      </w:r>
      <w:r w:rsidR="007B52A3">
        <w:rPr>
          <w:rFonts w:ascii="Arial" w:hAnsi="Arial" w:cs="Arial"/>
        </w:rPr>
        <w:t>,</w:t>
      </w:r>
      <w:r w:rsidR="002217A8">
        <w:rPr>
          <w:rFonts w:ascii="Arial" w:hAnsi="Arial" w:cs="Arial"/>
        </w:rPr>
        <w:t xml:space="preserve"> or </w:t>
      </w:r>
      <w:r w:rsidR="0041253C">
        <w:rPr>
          <w:rFonts w:ascii="Arial" w:hAnsi="Arial" w:cs="Arial"/>
        </w:rPr>
        <w:t xml:space="preserve">iniquitous forms of tax </w:t>
      </w:r>
      <w:r w:rsidR="002217A8">
        <w:rPr>
          <w:rFonts w:ascii="Arial" w:hAnsi="Arial" w:cs="Arial"/>
        </w:rPr>
        <w:t>avoidance</w:t>
      </w:r>
      <w:r>
        <w:rPr>
          <w:rFonts w:ascii="Arial" w:hAnsi="Arial" w:cs="Arial"/>
        </w:rPr>
        <w:t xml:space="preserve">. In the US, the Internal Revenue Service </w:t>
      </w:r>
      <w:r w:rsidR="009427C0">
        <w:rPr>
          <w:rFonts w:ascii="Arial" w:hAnsi="Arial" w:cs="Arial"/>
        </w:rPr>
        <w:t xml:space="preserve">(IRS) </w:t>
      </w:r>
      <w:r>
        <w:rPr>
          <w:rFonts w:ascii="Arial" w:hAnsi="Arial" w:cs="Arial"/>
        </w:rPr>
        <w:t xml:space="preserve">has </w:t>
      </w:r>
      <w:r w:rsidR="002217A8">
        <w:rPr>
          <w:rFonts w:ascii="Arial" w:hAnsi="Arial" w:cs="Arial"/>
        </w:rPr>
        <w:t>adopted</w:t>
      </w:r>
      <w:r>
        <w:rPr>
          <w:rFonts w:ascii="Arial" w:hAnsi="Arial" w:cs="Arial"/>
        </w:rPr>
        <w:t xml:space="preserve"> this approach </w:t>
      </w:r>
      <w:r w:rsidR="002217A8">
        <w:rPr>
          <w:rFonts w:ascii="Arial" w:hAnsi="Arial" w:cs="Arial"/>
        </w:rPr>
        <w:t>in the context of both attorney/client privilege and tax practitio</w:t>
      </w:r>
      <w:r w:rsidR="007B52A3">
        <w:rPr>
          <w:rFonts w:ascii="Arial" w:hAnsi="Arial" w:cs="Arial"/>
        </w:rPr>
        <w:t>ner/client privilege.</w:t>
      </w:r>
      <w:r w:rsidR="009D3285">
        <w:rPr>
          <w:rFonts w:ascii="Arial" w:hAnsi="Arial" w:cs="Arial"/>
        </w:rPr>
        <w:t xml:space="preserve"> </w:t>
      </w:r>
      <w:r w:rsidR="0041253C">
        <w:rPr>
          <w:rFonts w:ascii="Arial" w:hAnsi="Arial" w:cs="Arial"/>
        </w:rPr>
        <w:t xml:space="preserve">The authors believe that </w:t>
      </w:r>
      <w:r w:rsidR="002C7F22">
        <w:rPr>
          <w:rFonts w:ascii="Arial" w:hAnsi="Arial" w:cs="Arial"/>
        </w:rPr>
        <w:t xml:space="preserve">the process by which the </w:t>
      </w:r>
      <w:r w:rsidR="0041253C">
        <w:rPr>
          <w:rFonts w:ascii="Arial" w:hAnsi="Arial" w:cs="Arial"/>
        </w:rPr>
        <w:t xml:space="preserve">English and Welsh </w:t>
      </w:r>
      <w:r w:rsidR="002C7F22">
        <w:rPr>
          <w:rFonts w:ascii="Arial" w:hAnsi="Arial" w:cs="Arial"/>
        </w:rPr>
        <w:t xml:space="preserve">courts </w:t>
      </w:r>
      <w:r w:rsidR="0041253C">
        <w:rPr>
          <w:rFonts w:ascii="Arial" w:hAnsi="Arial" w:cs="Arial"/>
        </w:rPr>
        <w:t xml:space="preserve">currently </w:t>
      </w:r>
      <w:r w:rsidR="002C7F22">
        <w:rPr>
          <w:rFonts w:ascii="Arial" w:hAnsi="Arial" w:cs="Arial"/>
        </w:rPr>
        <w:t xml:space="preserve">consider challenges to legal professional privilege makes </w:t>
      </w:r>
      <w:r w:rsidR="007B52A3">
        <w:rPr>
          <w:rFonts w:ascii="Arial" w:hAnsi="Arial" w:cs="Arial"/>
        </w:rPr>
        <w:t>a similar approach</w:t>
      </w:r>
      <w:r w:rsidR="002C7F22">
        <w:rPr>
          <w:rFonts w:ascii="Arial" w:hAnsi="Arial" w:cs="Arial"/>
        </w:rPr>
        <w:t xml:space="preserve"> by </w:t>
      </w:r>
      <w:r w:rsidR="002217A8">
        <w:rPr>
          <w:rFonts w:ascii="Arial" w:hAnsi="Arial" w:cs="Arial"/>
        </w:rPr>
        <w:t xml:space="preserve">HMRC </w:t>
      </w:r>
      <w:r w:rsidR="009427C0">
        <w:rPr>
          <w:rFonts w:ascii="Arial" w:hAnsi="Arial" w:cs="Arial"/>
        </w:rPr>
        <w:t xml:space="preserve">much </w:t>
      </w:r>
      <w:r w:rsidR="002C7F22">
        <w:rPr>
          <w:rFonts w:ascii="Arial" w:hAnsi="Arial" w:cs="Arial"/>
        </w:rPr>
        <w:t>less viable</w:t>
      </w:r>
      <w:r w:rsidR="004F2438">
        <w:rPr>
          <w:rFonts w:ascii="Arial" w:hAnsi="Arial" w:cs="Arial"/>
        </w:rPr>
        <w:t>, other than in relation to information notices</w:t>
      </w:r>
      <w:r w:rsidR="002217A8">
        <w:rPr>
          <w:rFonts w:ascii="Arial" w:hAnsi="Arial" w:cs="Arial"/>
        </w:rPr>
        <w:t xml:space="preserve">. </w:t>
      </w:r>
      <w:r>
        <w:rPr>
          <w:rFonts w:ascii="Arial" w:hAnsi="Arial" w:cs="Arial"/>
        </w:rPr>
        <w:t xml:space="preserve"> </w:t>
      </w:r>
      <w:r w:rsidR="002A25B7" w:rsidRPr="00611F48">
        <w:rPr>
          <w:rFonts w:ascii="Arial" w:hAnsi="Arial" w:cs="Arial"/>
        </w:rPr>
        <w:t xml:space="preserve"> </w:t>
      </w:r>
    </w:p>
    <w:p w14:paraId="2457CF6B" w14:textId="77777777" w:rsidR="002C7F22" w:rsidRDefault="002C7F22" w:rsidP="00EE1BD2">
      <w:pPr>
        <w:pStyle w:val="Body"/>
        <w:spacing w:line="480" w:lineRule="auto"/>
        <w:rPr>
          <w:rFonts w:ascii="Arial" w:hAnsi="Arial" w:cs="Arial"/>
          <w:i/>
          <w:lang w:val="en-US"/>
        </w:rPr>
      </w:pPr>
    </w:p>
    <w:p w14:paraId="57BCF09F" w14:textId="1AF9F266" w:rsidR="00A525A9" w:rsidRDefault="00A525A9" w:rsidP="00EE1BD2">
      <w:pPr>
        <w:pStyle w:val="Body"/>
        <w:spacing w:line="480" w:lineRule="auto"/>
        <w:rPr>
          <w:rFonts w:ascii="Arial" w:hAnsi="Arial" w:cs="Arial"/>
          <w:lang w:val="en-US"/>
        </w:rPr>
      </w:pPr>
      <w:r>
        <w:rPr>
          <w:rFonts w:ascii="Arial" w:hAnsi="Arial" w:cs="Arial"/>
          <w:lang w:val="en-US"/>
        </w:rPr>
        <w:t>The article begins by discussing</w:t>
      </w:r>
      <w:r w:rsidR="00A6772B">
        <w:rPr>
          <w:rFonts w:ascii="Arial" w:hAnsi="Arial" w:cs="Arial"/>
          <w:lang w:val="en-US"/>
        </w:rPr>
        <w:t xml:space="preserve"> the </w:t>
      </w:r>
      <w:r w:rsidR="000B4783">
        <w:rPr>
          <w:rFonts w:ascii="Arial" w:hAnsi="Arial" w:cs="Arial"/>
          <w:lang w:val="en-US"/>
        </w:rPr>
        <w:t>nature of the</w:t>
      </w:r>
      <w:r w:rsidR="009D3285">
        <w:rPr>
          <w:rFonts w:ascii="Arial" w:hAnsi="Arial" w:cs="Arial"/>
          <w:lang w:val="en-US"/>
        </w:rPr>
        <w:t xml:space="preserve"> crime-fraud exception</w:t>
      </w:r>
      <w:r w:rsidR="000B4783">
        <w:rPr>
          <w:rFonts w:ascii="Arial" w:hAnsi="Arial" w:cs="Arial"/>
          <w:lang w:val="en-US"/>
        </w:rPr>
        <w:t xml:space="preserve"> </w:t>
      </w:r>
      <w:r w:rsidR="009D3285">
        <w:rPr>
          <w:rFonts w:ascii="Arial" w:hAnsi="Arial" w:cs="Arial"/>
          <w:lang w:val="en-US"/>
        </w:rPr>
        <w:t xml:space="preserve">(now </w:t>
      </w:r>
      <w:r w:rsidR="00D92671">
        <w:rPr>
          <w:rFonts w:ascii="Arial" w:hAnsi="Arial" w:cs="Arial"/>
          <w:lang w:val="en-US"/>
        </w:rPr>
        <w:t xml:space="preserve">often </w:t>
      </w:r>
      <w:r w:rsidR="009D3285">
        <w:rPr>
          <w:rFonts w:ascii="Arial" w:hAnsi="Arial" w:cs="Arial"/>
          <w:lang w:val="en-US"/>
        </w:rPr>
        <w:t xml:space="preserve">referred to as the </w:t>
      </w:r>
      <w:r w:rsidR="00A6772B">
        <w:rPr>
          <w:rFonts w:ascii="Arial" w:hAnsi="Arial" w:cs="Arial"/>
          <w:lang w:val="en-US"/>
        </w:rPr>
        <w:t>iniquity exception</w:t>
      </w:r>
      <w:r w:rsidR="009D3285">
        <w:rPr>
          <w:rFonts w:ascii="Arial" w:hAnsi="Arial" w:cs="Arial"/>
          <w:lang w:val="en-US"/>
        </w:rPr>
        <w:t>)</w:t>
      </w:r>
      <w:r w:rsidR="00A6772B">
        <w:rPr>
          <w:rFonts w:ascii="Arial" w:hAnsi="Arial" w:cs="Arial"/>
          <w:lang w:val="en-US"/>
        </w:rPr>
        <w:t xml:space="preserve"> in England and Wales</w:t>
      </w:r>
      <w:r w:rsidR="00B471A3">
        <w:rPr>
          <w:rFonts w:ascii="Arial" w:hAnsi="Arial" w:cs="Arial"/>
          <w:lang w:val="en-US"/>
        </w:rPr>
        <w:t>.</w:t>
      </w:r>
      <w:r w:rsidR="00A6772B">
        <w:rPr>
          <w:rFonts w:ascii="Arial" w:hAnsi="Arial" w:cs="Arial"/>
          <w:lang w:val="en-US"/>
        </w:rPr>
        <w:t xml:space="preserve"> </w:t>
      </w:r>
      <w:r w:rsidR="000B4783">
        <w:rPr>
          <w:rFonts w:ascii="Arial" w:hAnsi="Arial" w:cs="Arial"/>
          <w:lang w:val="en-US"/>
        </w:rPr>
        <w:t>The</w:t>
      </w:r>
      <w:r w:rsidR="00B471A3">
        <w:rPr>
          <w:rFonts w:ascii="Arial" w:hAnsi="Arial" w:cs="Arial"/>
          <w:lang w:val="en-US"/>
        </w:rPr>
        <w:t xml:space="preserve"> operation of the exception in the taxati</w:t>
      </w:r>
      <w:r w:rsidR="006C1988">
        <w:rPr>
          <w:rFonts w:ascii="Arial" w:hAnsi="Arial" w:cs="Arial"/>
          <w:lang w:val="en-US"/>
        </w:rPr>
        <w:t>on context and</w:t>
      </w:r>
      <w:r>
        <w:rPr>
          <w:rFonts w:ascii="Arial" w:hAnsi="Arial" w:cs="Arial"/>
          <w:lang w:val="en-US"/>
        </w:rPr>
        <w:t xml:space="preserve"> the barriers to its use </w:t>
      </w:r>
      <w:r w:rsidR="00D92671">
        <w:rPr>
          <w:rFonts w:ascii="Arial" w:hAnsi="Arial" w:cs="Arial"/>
          <w:lang w:val="en-US"/>
        </w:rPr>
        <w:t xml:space="preserve">potentially imposed by </w:t>
      </w:r>
      <w:r w:rsidR="00B471A3">
        <w:rPr>
          <w:rFonts w:ascii="Arial" w:hAnsi="Arial" w:cs="Arial"/>
          <w:lang w:val="en-US"/>
        </w:rPr>
        <w:t xml:space="preserve">article 8 of the </w:t>
      </w:r>
      <w:r w:rsidR="00A6772B">
        <w:rPr>
          <w:rFonts w:ascii="Arial" w:hAnsi="Arial" w:cs="Arial"/>
          <w:lang w:val="en-US"/>
        </w:rPr>
        <w:t>European Convention on Human Rights</w:t>
      </w:r>
      <w:r w:rsidR="00340570">
        <w:rPr>
          <w:rFonts w:ascii="Arial" w:hAnsi="Arial" w:cs="Arial"/>
          <w:lang w:val="en-US"/>
        </w:rPr>
        <w:t xml:space="preserve"> are</w:t>
      </w:r>
      <w:r w:rsidR="006C1988">
        <w:rPr>
          <w:rFonts w:ascii="Arial" w:hAnsi="Arial" w:cs="Arial"/>
          <w:lang w:val="en-US"/>
        </w:rPr>
        <w:t xml:space="preserve"> then considered. T</w:t>
      </w:r>
      <w:r w:rsidR="00B471A3">
        <w:rPr>
          <w:rFonts w:ascii="Arial" w:hAnsi="Arial" w:cs="Arial"/>
          <w:lang w:val="en-US"/>
        </w:rPr>
        <w:t>he nature of those circumstances in which the courts</w:t>
      </w:r>
      <w:r w:rsidR="00D92671">
        <w:rPr>
          <w:rFonts w:ascii="Arial" w:hAnsi="Arial" w:cs="Arial"/>
          <w:lang w:val="en-US"/>
        </w:rPr>
        <w:t xml:space="preserve"> and </w:t>
      </w:r>
      <w:r w:rsidR="006C1988">
        <w:rPr>
          <w:rFonts w:ascii="Arial" w:hAnsi="Arial" w:cs="Arial"/>
          <w:lang w:val="en-US"/>
        </w:rPr>
        <w:t>the Tax Tribunal</w:t>
      </w:r>
      <w:r w:rsidR="00B471A3">
        <w:rPr>
          <w:rFonts w:ascii="Arial" w:hAnsi="Arial" w:cs="Arial"/>
          <w:lang w:val="en-US"/>
        </w:rPr>
        <w:t xml:space="preserve"> will be prepared to order inspection </w:t>
      </w:r>
      <w:r>
        <w:rPr>
          <w:rFonts w:ascii="Arial" w:hAnsi="Arial" w:cs="Arial"/>
          <w:lang w:val="en-US"/>
        </w:rPr>
        <w:t xml:space="preserve">of allegedly privileged material </w:t>
      </w:r>
      <w:r w:rsidR="00B471A3">
        <w:rPr>
          <w:rFonts w:ascii="Arial" w:hAnsi="Arial" w:cs="Arial"/>
          <w:lang w:val="en-US"/>
        </w:rPr>
        <w:t xml:space="preserve">under the exception </w:t>
      </w:r>
      <w:r w:rsidR="00C16873">
        <w:rPr>
          <w:rFonts w:ascii="Arial" w:hAnsi="Arial" w:cs="Arial"/>
          <w:lang w:val="en-US"/>
        </w:rPr>
        <w:t>and the limited extent to which they will be prepared to conduct in camera review of allegedly privileged documents are</w:t>
      </w:r>
      <w:r w:rsidR="000B4783">
        <w:rPr>
          <w:rFonts w:ascii="Arial" w:hAnsi="Arial" w:cs="Arial"/>
          <w:lang w:val="en-US"/>
        </w:rPr>
        <w:t xml:space="preserve"> </w:t>
      </w:r>
      <w:r w:rsidR="006C1988">
        <w:rPr>
          <w:rFonts w:ascii="Arial" w:hAnsi="Arial" w:cs="Arial"/>
          <w:lang w:val="en-US"/>
        </w:rPr>
        <w:t>reviewed</w:t>
      </w:r>
      <w:r w:rsidR="000B4783">
        <w:rPr>
          <w:rFonts w:ascii="Arial" w:hAnsi="Arial" w:cs="Arial"/>
          <w:lang w:val="en-US"/>
        </w:rPr>
        <w:t>.</w:t>
      </w:r>
      <w:r w:rsidR="00B471A3">
        <w:rPr>
          <w:rFonts w:ascii="Arial" w:hAnsi="Arial" w:cs="Arial"/>
          <w:lang w:val="en-US"/>
        </w:rPr>
        <w:t xml:space="preserve"> </w:t>
      </w:r>
    </w:p>
    <w:p w14:paraId="0667D8CF" w14:textId="77777777" w:rsidR="00A525A9" w:rsidRDefault="00A525A9" w:rsidP="00EE1BD2">
      <w:pPr>
        <w:pStyle w:val="Body"/>
        <w:spacing w:line="480" w:lineRule="auto"/>
        <w:rPr>
          <w:rFonts w:ascii="Arial" w:hAnsi="Arial" w:cs="Arial"/>
          <w:lang w:val="en-US"/>
        </w:rPr>
      </w:pPr>
    </w:p>
    <w:p w14:paraId="58F536E5" w14:textId="5FC9F2DA" w:rsidR="000B4783" w:rsidRDefault="00A525A9" w:rsidP="00EE1BD2">
      <w:pPr>
        <w:pStyle w:val="Body"/>
        <w:spacing w:line="480" w:lineRule="auto"/>
        <w:rPr>
          <w:rFonts w:ascii="Arial" w:hAnsi="Arial" w:cs="Arial"/>
          <w:lang w:val="en-US"/>
        </w:rPr>
      </w:pPr>
      <w:r>
        <w:rPr>
          <w:rFonts w:ascii="Arial" w:hAnsi="Arial" w:cs="Arial"/>
          <w:lang w:val="en-US"/>
        </w:rPr>
        <w:t>T</w:t>
      </w:r>
      <w:r w:rsidR="00423405">
        <w:rPr>
          <w:rFonts w:ascii="Arial" w:hAnsi="Arial" w:cs="Arial"/>
          <w:lang w:val="en-US"/>
        </w:rPr>
        <w:t xml:space="preserve">he </w:t>
      </w:r>
      <w:r w:rsidR="00B2737F">
        <w:rPr>
          <w:rFonts w:ascii="Arial" w:hAnsi="Arial" w:cs="Arial"/>
          <w:lang w:val="en-US"/>
        </w:rPr>
        <w:t xml:space="preserve">nature of the </w:t>
      </w:r>
      <w:r w:rsidR="00423405">
        <w:rPr>
          <w:rFonts w:ascii="Arial" w:hAnsi="Arial" w:cs="Arial"/>
          <w:lang w:val="en-US"/>
        </w:rPr>
        <w:t>crime-fraud exception in the US</w:t>
      </w:r>
      <w:r w:rsidR="00B2737F">
        <w:rPr>
          <w:rFonts w:ascii="Arial" w:hAnsi="Arial" w:cs="Arial"/>
          <w:lang w:val="en-US"/>
        </w:rPr>
        <w:t>,</w:t>
      </w:r>
      <w:r w:rsidR="00423405">
        <w:rPr>
          <w:rFonts w:ascii="Arial" w:hAnsi="Arial" w:cs="Arial"/>
          <w:lang w:val="en-US"/>
        </w:rPr>
        <w:t xml:space="preserve"> where arguably greater development has taken place and where the exception </w:t>
      </w:r>
      <w:r w:rsidR="00B2737F">
        <w:rPr>
          <w:rFonts w:ascii="Arial" w:hAnsi="Arial" w:cs="Arial"/>
          <w:lang w:val="en-US"/>
        </w:rPr>
        <w:t xml:space="preserve">seems to be </w:t>
      </w:r>
      <w:r w:rsidR="00423405">
        <w:rPr>
          <w:rFonts w:ascii="Arial" w:hAnsi="Arial" w:cs="Arial"/>
          <w:lang w:val="en-US"/>
        </w:rPr>
        <w:t>used more frequently in the taxation context</w:t>
      </w:r>
      <w:r>
        <w:rPr>
          <w:rFonts w:ascii="Arial" w:hAnsi="Arial" w:cs="Arial"/>
          <w:lang w:val="en-US"/>
        </w:rPr>
        <w:t>, is then discussed</w:t>
      </w:r>
      <w:r w:rsidR="002D293F">
        <w:rPr>
          <w:rFonts w:ascii="Arial" w:hAnsi="Arial" w:cs="Arial"/>
          <w:lang w:val="en-US"/>
        </w:rPr>
        <w:t xml:space="preserve">. </w:t>
      </w:r>
      <w:r w:rsidR="000B4783">
        <w:rPr>
          <w:rFonts w:ascii="Arial" w:hAnsi="Arial" w:cs="Arial"/>
          <w:lang w:val="en-US"/>
        </w:rPr>
        <w:t>T</w:t>
      </w:r>
      <w:r w:rsidR="002D293F">
        <w:rPr>
          <w:rFonts w:ascii="Arial" w:hAnsi="Arial" w:cs="Arial"/>
          <w:lang w:val="en-US"/>
        </w:rPr>
        <w:t xml:space="preserve">he exception </w:t>
      </w:r>
      <w:r w:rsidR="00B2737F">
        <w:rPr>
          <w:rFonts w:ascii="Arial" w:hAnsi="Arial" w:cs="Arial"/>
          <w:lang w:val="en-US"/>
        </w:rPr>
        <w:t>is considered in relation to both</w:t>
      </w:r>
      <w:r w:rsidR="007B52A3">
        <w:rPr>
          <w:rFonts w:ascii="Arial" w:hAnsi="Arial" w:cs="Arial"/>
          <w:lang w:val="en-US"/>
        </w:rPr>
        <w:t xml:space="preserve"> lawyers and tax </w:t>
      </w:r>
      <w:r w:rsidR="007B52A3">
        <w:rPr>
          <w:rFonts w:ascii="Arial" w:hAnsi="Arial" w:cs="Arial"/>
          <w:lang w:val="en-US"/>
        </w:rPr>
        <w:lastRenderedPageBreak/>
        <w:t xml:space="preserve">practitioners </w:t>
      </w:r>
      <w:r w:rsidR="0018142B">
        <w:rPr>
          <w:rFonts w:ascii="Arial" w:hAnsi="Arial" w:cs="Arial"/>
          <w:lang w:val="en-US"/>
        </w:rPr>
        <w:t>and in circum</w:t>
      </w:r>
      <w:r w:rsidR="00B2737F">
        <w:rPr>
          <w:rFonts w:ascii="Arial" w:hAnsi="Arial" w:cs="Arial"/>
          <w:lang w:val="en-US"/>
        </w:rPr>
        <w:t xml:space="preserve">stances involving IRS summons. </w:t>
      </w:r>
      <w:r w:rsidR="002D293F">
        <w:rPr>
          <w:rFonts w:ascii="Arial" w:hAnsi="Arial" w:cs="Arial"/>
          <w:lang w:val="en-US"/>
        </w:rPr>
        <w:t xml:space="preserve"> </w:t>
      </w:r>
      <w:r w:rsidR="00340570">
        <w:rPr>
          <w:rFonts w:ascii="Arial" w:hAnsi="Arial" w:cs="Arial"/>
          <w:lang w:val="en-US"/>
        </w:rPr>
        <w:t>F</w:t>
      </w:r>
      <w:r w:rsidR="000B4783">
        <w:rPr>
          <w:rFonts w:ascii="Arial" w:hAnsi="Arial" w:cs="Arial"/>
          <w:lang w:val="en-US"/>
        </w:rPr>
        <w:t xml:space="preserve">inally </w:t>
      </w:r>
      <w:r w:rsidR="002D293F">
        <w:rPr>
          <w:rFonts w:ascii="Arial" w:hAnsi="Arial" w:cs="Arial"/>
          <w:lang w:val="en-US"/>
        </w:rPr>
        <w:t>the circumstances and threshold tests for in camera review</w:t>
      </w:r>
      <w:r w:rsidR="000B4783">
        <w:rPr>
          <w:rFonts w:ascii="Arial" w:hAnsi="Arial" w:cs="Arial"/>
          <w:lang w:val="en-US"/>
        </w:rPr>
        <w:t xml:space="preserve"> of material </w:t>
      </w:r>
      <w:r w:rsidR="0018142B">
        <w:rPr>
          <w:rFonts w:ascii="Arial" w:hAnsi="Arial" w:cs="Arial"/>
          <w:lang w:val="en-US"/>
        </w:rPr>
        <w:t xml:space="preserve">under the exception </w:t>
      </w:r>
      <w:r w:rsidR="004F2438">
        <w:rPr>
          <w:rFonts w:ascii="Arial" w:hAnsi="Arial" w:cs="Arial"/>
          <w:lang w:val="en-US"/>
        </w:rPr>
        <w:t>are</w:t>
      </w:r>
      <w:r w:rsidR="000B4783">
        <w:rPr>
          <w:rFonts w:ascii="Arial" w:hAnsi="Arial" w:cs="Arial"/>
          <w:lang w:val="en-US"/>
        </w:rPr>
        <w:t xml:space="preserve"> considered</w:t>
      </w:r>
      <w:r w:rsidR="00423405">
        <w:rPr>
          <w:rFonts w:ascii="Arial" w:hAnsi="Arial" w:cs="Arial"/>
          <w:lang w:val="en-US"/>
        </w:rPr>
        <w:t xml:space="preserve">. </w:t>
      </w:r>
    </w:p>
    <w:p w14:paraId="5247C3C9" w14:textId="77777777" w:rsidR="000B4783" w:rsidRDefault="000B4783" w:rsidP="00EE1BD2">
      <w:pPr>
        <w:pStyle w:val="Body"/>
        <w:spacing w:line="480" w:lineRule="auto"/>
        <w:rPr>
          <w:rFonts w:ascii="Arial" w:hAnsi="Arial" w:cs="Arial"/>
          <w:lang w:val="en-US"/>
        </w:rPr>
      </w:pPr>
    </w:p>
    <w:p w14:paraId="262ED2A2" w14:textId="2620819C" w:rsidR="002A25B7" w:rsidRPr="00611F48" w:rsidRDefault="00A525A9" w:rsidP="00EE1BD2">
      <w:pPr>
        <w:pStyle w:val="Body"/>
        <w:spacing w:line="480" w:lineRule="auto"/>
        <w:rPr>
          <w:rFonts w:ascii="Arial" w:hAnsi="Arial" w:cs="Arial"/>
        </w:rPr>
      </w:pPr>
      <w:r>
        <w:rPr>
          <w:rFonts w:ascii="Arial" w:hAnsi="Arial" w:cs="Arial"/>
          <w:lang w:val="en-US"/>
        </w:rPr>
        <w:t xml:space="preserve">The article concludes with </w:t>
      </w:r>
      <w:r w:rsidR="00C16873">
        <w:rPr>
          <w:rFonts w:ascii="Arial" w:hAnsi="Arial" w:cs="Arial"/>
          <w:lang w:val="en-US"/>
        </w:rPr>
        <w:t xml:space="preserve">comparison of the position in England and Wales with that in the US, identifying reasons why the exception </w:t>
      </w:r>
      <w:r w:rsidR="00A01411">
        <w:rPr>
          <w:rFonts w:ascii="Arial" w:hAnsi="Arial" w:cs="Arial"/>
          <w:lang w:val="en-US"/>
        </w:rPr>
        <w:t>is less likely to be relied on by HMRC</w:t>
      </w:r>
      <w:r w:rsidR="007F316F">
        <w:rPr>
          <w:rFonts w:ascii="Arial" w:hAnsi="Arial" w:cs="Arial"/>
          <w:lang w:val="en-US"/>
        </w:rPr>
        <w:t>.</w:t>
      </w:r>
      <w:r w:rsidR="00A01411">
        <w:rPr>
          <w:rFonts w:ascii="Arial" w:hAnsi="Arial" w:cs="Arial"/>
          <w:lang w:val="en-US"/>
        </w:rPr>
        <w:t xml:space="preserve"> </w:t>
      </w:r>
      <w:r w:rsidR="007F316F">
        <w:rPr>
          <w:rFonts w:ascii="Arial" w:hAnsi="Arial" w:cs="Arial"/>
          <w:lang w:val="en-US"/>
        </w:rPr>
        <w:t>P</w:t>
      </w:r>
      <w:r>
        <w:rPr>
          <w:rFonts w:ascii="Arial" w:hAnsi="Arial" w:cs="Arial"/>
          <w:lang w:val="en-US"/>
        </w:rPr>
        <w:t xml:space="preserve">roposals that would potentially </w:t>
      </w:r>
      <w:r w:rsidR="00385BC3">
        <w:rPr>
          <w:rFonts w:ascii="Arial" w:hAnsi="Arial" w:cs="Arial"/>
          <w:lang w:val="en-US"/>
        </w:rPr>
        <w:t>allow wider</w:t>
      </w:r>
      <w:r>
        <w:rPr>
          <w:rFonts w:ascii="Arial" w:hAnsi="Arial" w:cs="Arial"/>
          <w:lang w:val="en-US"/>
        </w:rPr>
        <w:t xml:space="preserve"> use of the exception in the taxation context in England and Wales</w:t>
      </w:r>
      <w:r w:rsidR="007F316F">
        <w:rPr>
          <w:rFonts w:ascii="Arial" w:hAnsi="Arial" w:cs="Arial"/>
          <w:lang w:val="en-US"/>
        </w:rPr>
        <w:t xml:space="preserve"> are made</w:t>
      </w:r>
      <w:r>
        <w:rPr>
          <w:rFonts w:ascii="Arial" w:hAnsi="Arial" w:cs="Arial"/>
          <w:lang w:val="en-US"/>
        </w:rPr>
        <w:t>, including suitable safeguards</w:t>
      </w:r>
      <w:r w:rsidR="004F2438">
        <w:rPr>
          <w:rFonts w:ascii="Arial" w:hAnsi="Arial" w:cs="Arial"/>
          <w:lang w:val="en-US"/>
        </w:rPr>
        <w:t xml:space="preserve"> </w:t>
      </w:r>
      <w:r w:rsidR="007F316F">
        <w:rPr>
          <w:rFonts w:ascii="Arial" w:hAnsi="Arial" w:cs="Arial"/>
          <w:lang w:val="en-US"/>
        </w:rPr>
        <w:t>derived from US practice,</w:t>
      </w:r>
      <w:r>
        <w:rPr>
          <w:rFonts w:ascii="Arial" w:hAnsi="Arial" w:cs="Arial"/>
          <w:lang w:val="en-US"/>
        </w:rPr>
        <w:t xml:space="preserve"> to strike the appropriate balance between the information gathering powers of tax enforcement bodies and the rights of taxpayers. </w:t>
      </w:r>
    </w:p>
    <w:p w14:paraId="6D5357CE" w14:textId="77777777" w:rsidR="007B52A3" w:rsidRDefault="007B52A3" w:rsidP="00EE1BD2">
      <w:pPr>
        <w:numPr>
          <w:ilvl w:val="12"/>
          <w:numId w:val="0"/>
        </w:numPr>
        <w:spacing w:line="480" w:lineRule="auto"/>
        <w:jc w:val="both"/>
        <w:rPr>
          <w:rFonts w:ascii="Arial" w:hAnsi="Arial" w:cs="Arial"/>
          <w:b/>
        </w:rPr>
      </w:pPr>
    </w:p>
    <w:p w14:paraId="315C7A90" w14:textId="77777777" w:rsidR="00CB2CF4" w:rsidRPr="00C604AF" w:rsidRDefault="00CB2CF4" w:rsidP="00EE1BD2">
      <w:pPr>
        <w:numPr>
          <w:ilvl w:val="12"/>
          <w:numId w:val="0"/>
        </w:numPr>
        <w:spacing w:line="480" w:lineRule="auto"/>
        <w:jc w:val="both"/>
        <w:rPr>
          <w:rFonts w:ascii="Arial" w:hAnsi="Arial" w:cs="Arial"/>
          <w:b/>
        </w:rPr>
      </w:pPr>
      <w:proofErr w:type="gramStart"/>
      <w:r w:rsidRPr="00C604AF">
        <w:rPr>
          <w:rFonts w:ascii="Arial" w:hAnsi="Arial" w:cs="Arial"/>
          <w:b/>
        </w:rPr>
        <w:t>The Crime-Fraud Exception in England and Wales (The Iniquity Exception).</w:t>
      </w:r>
      <w:proofErr w:type="gramEnd"/>
      <w:r w:rsidRPr="00C604AF">
        <w:rPr>
          <w:rFonts w:ascii="Arial" w:hAnsi="Arial" w:cs="Arial"/>
          <w:b/>
        </w:rPr>
        <w:t xml:space="preserve"> </w:t>
      </w:r>
    </w:p>
    <w:p w14:paraId="43D6C28D" w14:textId="77777777" w:rsidR="004F3383" w:rsidRPr="00611F48" w:rsidRDefault="00D10F15" w:rsidP="00EE1BD2">
      <w:pPr>
        <w:numPr>
          <w:ilvl w:val="12"/>
          <w:numId w:val="0"/>
        </w:numPr>
        <w:spacing w:line="480" w:lineRule="auto"/>
        <w:jc w:val="both"/>
        <w:rPr>
          <w:rFonts w:ascii="Arial" w:hAnsi="Arial" w:cs="Arial"/>
        </w:rPr>
      </w:pPr>
      <w:r w:rsidRPr="00611F48">
        <w:rPr>
          <w:rFonts w:ascii="Arial" w:hAnsi="Arial" w:cs="Arial"/>
        </w:rPr>
        <w:t>The crime</w:t>
      </w:r>
      <w:r w:rsidR="00F75D97" w:rsidRPr="00611F48">
        <w:rPr>
          <w:rFonts w:ascii="Arial" w:hAnsi="Arial" w:cs="Arial"/>
        </w:rPr>
        <w:t>-</w:t>
      </w:r>
      <w:r w:rsidRPr="00611F48">
        <w:rPr>
          <w:rFonts w:ascii="Arial" w:hAnsi="Arial" w:cs="Arial"/>
        </w:rPr>
        <w:t xml:space="preserve">fraud exception </w:t>
      </w:r>
      <w:r w:rsidR="00834854" w:rsidRPr="00611F48">
        <w:rPr>
          <w:rFonts w:ascii="Arial" w:hAnsi="Arial" w:cs="Arial"/>
        </w:rPr>
        <w:t xml:space="preserve">to legal professional privilege </w:t>
      </w:r>
      <w:r w:rsidR="001809BA" w:rsidRPr="00611F48">
        <w:rPr>
          <w:rFonts w:ascii="Arial" w:hAnsi="Arial" w:cs="Arial"/>
        </w:rPr>
        <w:t>(</w:t>
      </w:r>
      <w:r w:rsidR="0043065F" w:rsidRPr="00611F48">
        <w:rPr>
          <w:rFonts w:ascii="Arial" w:hAnsi="Arial" w:cs="Arial"/>
        </w:rPr>
        <w:t xml:space="preserve">now commonly </w:t>
      </w:r>
      <w:r w:rsidR="001809BA" w:rsidRPr="00611F48">
        <w:rPr>
          <w:rFonts w:ascii="Arial" w:hAnsi="Arial" w:cs="Arial"/>
        </w:rPr>
        <w:t xml:space="preserve">referred to </w:t>
      </w:r>
      <w:r w:rsidR="0043065F" w:rsidRPr="00611F48">
        <w:rPr>
          <w:rFonts w:ascii="Arial" w:hAnsi="Arial" w:cs="Arial"/>
        </w:rPr>
        <w:t xml:space="preserve">in both civil and criminal proceedings </w:t>
      </w:r>
      <w:r w:rsidR="001809BA" w:rsidRPr="00611F48">
        <w:rPr>
          <w:rFonts w:ascii="Arial" w:hAnsi="Arial" w:cs="Arial"/>
        </w:rPr>
        <w:t>as the iniquity exception</w:t>
      </w:r>
      <w:r w:rsidR="001809BA" w:rsidRPr="00611F48">
        <w:rPr>
          <w:rStyle w:val="FootnoteReference"/>
          <w:rFonts w:ascii="Arial" w:hAnsi="Arial" w:cs="Arial"/>
        </w:rPr>
        <w:footnoteReference w:id="3"/>
      </w:r>
      <w:r w:rsidR="001809BA" w:rsidRPr="00611F48">
        <w:rPr>
          <w:rFonts w:ascii="Arial" w:hAnsi="Arial" w:cs="Arial"/>
        </w:rPr>
        <w:t xml:space="preserve">) </w:t>
      </w:r>
      <w:r w:rsidRPr="00611F48">
        <w:rPr>
          <w:rFonts w:ascii="Arial" w:hAnsi="Arial" w:cs="Arial"/>
        </w:rPr>
        <w:t xml:space="preserve">encompasses both communications that </w:t>
      </w:r>
      <w:r w:rsidR="000C1001" w:rsidRPr="00611F48">
        <w:rPr>
          <w:rFonts w:ascii="Arial" w:hAnsi="Arial" w:cs="Arial"/>
        </w:rPr>
        <w:t xml:space="preserve">are </w:t>
      </w:r>
      <w:r w:rsidRPr="00611F48">
        <w:rPr>
          <w:rFonts w:ascii="Arial" w:hAnsi="Arial" w:cs="Arial"/>
        </w:rPr>
        <w:t>themselves criminal</w:t>
      </w:r>
      <w:r w:rsidR="005E53B4" w:rsidRPr="00611F48">
        <w:rPr>
          <w:rFonts w:ascii="Arial" w:hAnsi="Arial" w:cs="Arial"/>
        </w:rPr>
        <w:t xml:space="preserve"> </w:t>
      </w:r>
      <w:r w:rsidRPr="00611F48">
        <w:rPr>
          <w:rFonts w:ascii="Arial" w:hAnsi="Arial" w:cs="Arial"/>
        </w:rPr>
        <w:t>and communications that a</w:t>
      </w:r>
      <w:r w:rsidR="005E53B4" w:rsidRPr="00611F48">
        <w:rPr>
          <w:rFonts w:ascii="Arial" w:hAnsi="Arial" w:cs="Arial"/>
        </w:rPr>
        <w:t>re</w:t>
      </w:r>
      <w:r w:rsidRPr="00611F48">
        <w:rPr>
          <w:rFonts w:ascii="Arial" w:hAnsi="Arial" w:cs="Arial"/>
        </w:rPr>
        <w:t xml:space="preserve"> intended to further a criminal or fraudulent purpose.</w:t>
      </w:r>
      <w:r w:rsidRPr="00611F48">
        <w:rPr>
          <w:rStyle w:val="FootnoteReference"/>
          <w:rFonts w:ascii="Arial" w:hAnsi="Arial" w:cs="Arial"/>
        </w:rPr>
        <w:footnoteReference w:id="4"/>
      </w:r>
      <w:r w:rsidRPr="00611F48">
        <w:rPr>
          <w:rFonts w:ascii="Arial" w:hAnsi="Arial" w:cs="Arial"/>
          <w:color w:val="FF0000"/>
        </w:rPr>
        <w:t xml:space="preserve"> </w:t>
      </w:r>
      <w:r w:rsidRPr="00611F48">
        <w:rPr>
          <w:rFonts w:ascii="Arial" w:hAnsi="Arial" w:cs="Arial"/>
        </w:rPr>
        <w:t>A</w:t>
      </w:r>
      <w:r w:rsidR="001809BA" w:rsidRPr="00611F48">
        <w:rPr>
          <w:rFonts w:ascii="Arial" w:hAnsi="Arial" w:cs="Arial"/>
        </w:rPr>
        <w:t xml:space="preserve"> rare</w:t>
      </w:r>
      <w:r w:rsidRPr="00611F48">
        <w:rPr>
          <w:rFonts w:ascii="Arial" w:hAnsi="Arial" w:cs="Arial"/>
        </w:rPr>
        <w:t xml:space="preserve"> example of a communication falling in</w:t>
      </w:r>
      <w:r w:rsidR="00AA3078" w:rsidRPr="00611F48">
        <w:rPr>
          <w:rFonts w:ascii="Arial" w:hAnsi="Arial" w:cs="Arial"/>
        </w:rPr>
        <w:t xml:space="preserve">to </w:t>
      </w:r>
      <w:r w:rsidR="002752E3" w:rsidRPr="00611F48">
        <w:rPr>
          <w:rFonts w:ascii="Arial" w:hAnsi="Arial" w:cs="Arial"/>
        </w:rPr>
        <w:t xml:space="preserve">the </w:t>
      </w:r>
      <w:r w:rsidRPr="00611F48">
        <w:rPr>
          <w:rFonts w:ascii="Arial" w:hAnsi="Arial" w:cs="Arial"/>
        </w:rPr>
        <w:t>f</w:t>
      </w:r>
      <w:r w:rsidR="00AA3078" w:rsidRPr="00611F48">
        <w:rPr>
          <w:rFonts w:ascii="Arial" w:hAnsi="Arial" w:cs="Arial"/>
        </w:rPr>
        <w:t>orme</w:t>
      </w:r>
      <w:r w:rsidRPr="00611F48">
        <w:rPr>
          <w:rFonts w:ascii="Arial" w:hAnsi="Arial" w:cs="Arial"/>
        </w:rPr>
        <w:t xml:space="preserve">r category is provided by a threat </w:t>
      </w:r>
      <w:r w:rsidR="00AA3078" w:rsidRPr="00611F48">
        <w:rPr>
          <w:rFonts w:ascii="Arial" w:hAnsi="Arial" w:cs="Arial"/>
        </w:rPr>
        <w:t xml:space="preserve">to “rip someone’s throat out” made during a telephone conversation to his solicitors </w:t>
      </w:r>
      <w:r w:rsidRPr="00611F48">
        <w:rPr>
          <w:rFonts w:ascii="Arial" w:hAnsi="Arial" w:cs="Arial"/>
        </w:rPr>
        <w:t xml:space="preserve">by a client </w:t>
      </w:r>
      <w:r w:rsidR="00AA3078" w:rsidRPr="00611F48">
        <w:rPr>
          <w:rFonts w:ascii="Arial" w:hAnsi="Arial" w:cs="Arial"/>
        </w:rPr>
        <w:t>dissatisfied with a quotation for conveyancing who sought the identity of the conveyancer who had given the quotation</w:t>
      </w:r>
      <w:r w:rsidRPr="00611F48">
        <w:rPr>
          <w:rFonts w:ascii="Arial" w:hAnsi="Arial" w:cs="Arial"/>
        </w:rPr>
        <w:t>.</w:t>
      </w:r>
      <w:r w:rsidR="00AA3078" w:rsidRPr="00611F48">
        <w:rPr>
          <w:rStyle w:val="FootnoteReference"/>
          <w:rFonts w:ascii="Arial" w:hAnsi="Arial" w:cs="Arial"/>
        </w:rPr>
        <w:footnoteReference w:id="5"/>
      </w:r>
      <w:r w:rsidR="000C1F3F" w:rsidRPr="00611F48">
        <w:rPr>
          <w:rFonts w:ascii="Arial" w:hAnsi="Arial" w:cs="Arial"/>
        </w:rPr>
        <w:t xml:space="preserve"> An example of communication</w:t>
      </w:r>
      <w:r w:rsidR="000A4053" w:rsidRPr="00611F48">
        <w:rPr>
          <w:rFonts w:ascii="Arial" w:hAnsi="Arial" w:cs="Arial"/>
        </w:rPr>
        <w:t>s</w:t>
      </w:r>
      <w:r w:rsidR="000C1F3F" w:rsidRPr="00611F48">
        <w:rPr>
          <w:rFonts w:ascii="Arial" w:hAnsi="Arial" w:cs="Arial"/>
        </w:rPr>
        <w:t xml:space="preserve"> falling into the much more commonly encountered latter category is provided by </w:t>
      </w:r>
      <w:r w:rsidR="000A4053" w:rsidRPr="00611F48">
        <w:rPr>
          <w:rFonts w:ascii="Arial" w:hAnsi="Arial" w:cs="Arial"/>
        </w:rPr>
        <w:t xml:space="preserve">communications between a client and his solicitor for the purpose of </w:t>
      </w:r>
      <w:proofErr w:type="gramStart"/>
      <w:r w:rsidR="000A4053" w:rsidRPr="00611F48">
        <w:rPr>
          <w:rFonts w:ascii="Arial" w:hAnsi="Arial" w:cs="Arial"/>
        </w:rPr>
        <w:t>effecting</w:t>
      </w:r>
      <w:proofErr w:type="gramEnd"/>
      <w:r w:rsidR="000A4053" w:rsidRPr="00611F48">
        <w:rPr>
          <w:rFonts w:ascii="Arial" w:hAnsi="Arial" w:cs="Arial"/>
        </w:rPr>
        <w:t xml:space="preserve"> a share purchase which </w:t>
      </w:r>
      <w:r w:rsidR="000A4208" w:rsidRPr="00611F48">
        <w:rPr>
          <w:rFonts w:ascii="Arial" w:hAnsi="Arial" w:cs="Arial"/>
        </w:rPr>
        <w:t xml:space="preserve">to </w:t>
      </w:r>
      <w:r w:rsidR="000A4053" w:rsidRPr="00611F48">
        <w:rPr>
          <w:rFonts w:ascii="Arial" w:hAnsi="Arial" w:cs="Arial"/>
        </w:rPr>
        <w:t>the client</w:t>
      </w:r>
      <w:r w:rsidR="000A4208" w:rsidRPr="00611F48">
        <w:rPr>
          <w:rFonts w:ascii="Arial" w:hAnsi="Arial" w:cs="Arial"/>
        </w:rPr>
        <w:t xml:space="preserve">’s knowledge </w:t>
      </w:r>
      <w:r w:rsidR="000A4053" w:rsidRPr="00611F48">
        <w:rPr>
          <w:rFonts w:ascii="Arial" w:hAnsi="Arial" w:cs="Arial"/>
        </w:rPr>
        <w:t xml:space="preserve">was intended to </w:t>
      </w:r>
      <w:r w:rsidR="001409C8" w:rsidRPr="00611F48">
        <w:rPr>
          <w:rFonts w:ascii="Arial" w:hAnsi="Arial" w:cs="Arial"/>
        </w:rPr>
        <w:t xml:space="preserve">defraud the Revenue by </w:t>
      </w:r>
      <w:r w:rsidR="000A4053" w:rsidRPr="00611F48">
        <w:rPr>
          <w:rFonts w:ascii="Arial" w:hAnsi="Arial" w:cs="Arial"/>
        </w:rPr>
        <w:t>result</w:t>
      </w:r>
      <w:r w:rsidR="001409C8" w:rsidRPr="00611F48">
        <w:rPr>
          <w:rFonts w:ascii="Arial" w:hAnsi="Arial" w:cs="Arial"/>
        </w:rPr>
        <w:t>ing</w:t>
      </w:r>
      <w:r w:rsidR="000A4053" w:rsidRPr="00611F48">
        <w:rPr>
          <w:rFonts w:ascii="Arial" w:hAnsi="Arial" w:cs="Arial"/>
        </w:rPr>
        <w:t xml:space="preserve"> in the evasion of capital transfer tax.</w:t>
      </w:r>
      <w:r w:rsidR="000A4053" w:rsidRPr="00611F48">
        <w:rPr>
          <w:rStyle w:val="FootnoteReference"/>
          <w:rFonts w:ascii="Arial" w:hAnsi="Arial" w:cs="Arial"/>
        </w:rPr>
        <w:footnoteReference w:id="6"/>
      </w:r>
      <w:r w:rsidR="000A4053" w:rsidRPr="00611F48">
        <w:rPr>
          <w:rFonts w:ascii="Arial" w:hAnsi="Arial" w:cs="Arial"/>
        </w:rPr>
        <w:t xml:space="preserve"> </w:t>
      </w:r>
    </w:p>
    <w:p w14:paraId="20F265B4" w14:textId="4A5BBD6E" w:rsidR="00834854" w:rsidRDefault="002F087D" w:rsidP="00EE1BD2">
      <w:pPr>
        <w:numPr>
          <w:ilvl w:val="12"/>
          <w:numId w:val="0"/>
        </w:numPr>
        <w:spacing w:line="480" w:lineRule="auto"/>
        <w:jc w:val="both"/>
        <w:rPr>
          <w:rFonts w:ascii="Arial" w:hAnsi="Arial" w:cs="Arial"/>
        </w:rPr>
      </w:pPr>
      <w:r w:rsidRPr="00611F48">
        <w:rPr>
          <w:rFonts w:ascii="Arial" w:hAnsi="Arial" w:cs="Arial"/>
        </w:rPr>
        <w:lastRenderedPageBreak/>
        <w:t>Under the crime-fraud exception, c</w:t>
      </w:r>
      <w:r w:rsidR="00527854" w:rsidRPr="00611F48">
        <w:rPr>
          <w:rFonts w:ascii="Arial" w:hAnsi="Arial" w:cs="Arial"/>
        </w:rPr>
        <w:t xml:space="preserve">ommunications </w:t>
      </w:r>
      <w:r w:rsidR="00020600" w:rsidRPr="00611F48">
        <w:rPr>
          <w:rFonts w:ascii="Arial" w:hAnsi="Arial" w:cs="Arial"/>
        </w:rPr>
        <w:t xml:space="preserve">which are intended to further a criminal or fraudulent purpose </w:t>
      </w:r>
      <w:r w:rsidR="00527854" w:rsidRPr="00611F48">
        <w:rPr>
          <w:rFonts w:ascii="Arial" w:hAnsi="Arial" w:cs="Arial"/>
        </w:rPr>
        <w:t xml:space="preserve">are not privileged even though the legal adviser </w:t>
      </w:r>
      <w:r w:rsidR="00590167" w:rsidRPr="00611F48">
        <w:rPr>
          <w:rFonts w:ascii="Arial" w:hAnsi="Arial" w:cs="Arial"/>
        </w:rPr>
        <w:t>is</w:t>
      </w:r>
      <w:r w:rsidR="00527854" w:rsidRPr="00611F48">
        <w:rPr>
          <w:rFonts w:ascii="Arial" w:hAnsi="Arial" w:cs="Arial"/>
        </w:rPr>
        <w:t xml:space="preserve"> not aware that the client ha</w:t>
      </w:r>
      <w:r w:rsidR="00590167" w:rsidRPr="00611F48">
        <w:rPr>
          <w:rFonts w:ascii="Arial" w:hAnsi="Arial" w:cs="Arial"/>
        </w:rPr>
        <w:t>s</w:t>
      </w:r>
      <w:r w:rsidR="00527854" w:rsidRPr="00611F48">
        <w:rPr>
          <w:rFonts w:ascii="Arial" w:hAnsi="Arial" w:cs="Arial"/>
        </w:rPr>
        <w:t xml:space="preserve"> </w:t>
      </w:r>
      <w:r w:rsidR="008354EB">
        <w:rPr>
          <w:rFonts w:ascii="Arial" w:hAnsi="Arial" w:cs="Arial"/>
        </w:rPr>
        <w:t xml:space="preserve">such a </w:t>
      </w:r>
      <w:r w:rsidR="00527854" w:rsidRPr="00611F48">
        <w:rPr>
          <w:rFonts w:ascii="Arial" w:hAnsi="Arial" w:cs="Arial"/>
        </w:rPr>
        <w:t>purpose.</w:t>
      </w:r>
      <w:r w:rsidR="00527854" w:rsidRPr="00611F48">
        <w:rPr>
          <w:rStyle w:val="FootnoteReference"/>
          <w:rFonts w:ascii="Arial" w:hAnsi="Arial" w:cs="Arial"/>
        </w:rPr>
        <w:footnoteReference w:id="7"/>
      </w:r>
      <w:r w:rsidR="00527854" w:rsidRPr="00611F48">
        <w:rPr>
          <w:rFonts w:ascii="Arial" w:hAnsi="Arial" w:cs="Arial"/>
        </w:rPr>
        <w:t xml:space="preserve"> </w:t>
      </w:r>
      <w:r w:rsidR="00590167" w:rsidRPr="00611F48">
        <w:rPr>
          <w:rFonts w:ascii="Arial" w:hAnsi="Arial" w:cs="Arial"/>
        </w:rPr>
        <w:t xml:space="preserve">Similarly, </w:t>
      </w:r>
      <w:r w:rsidR="00020600" w:rsidRPr="00611F48">
        <w:rPr>
          <w:rFonts w:ascii="Arial" w:hAnsi="Arial" w:cs="Arial"/>
        </w:rPr>
        <w:t xml:space="preserve">such communications </w:t>
      </w:r>
      <w:r w:rsidR="00BB4EC8" w:rsidRPr="00611F48">
        <w:rPr>
          <w:rFonts w:ascii="Arial" w:hAnsi="Arial" w:cs="Arial"/>
        </w:rPr>
        <w:t xml:space="preserve">will </w:t>
      </w:r>
      <w:r w:rsidR="00020600" w:rsidRPr="00611F48">
        <w:rPr>
          <w:rFonts w:ascii="Arial" w:hAnsi="Arial" w:cs="Arial"/>
        </w:rPr>
        <w:t xml:space="preserve">not </w:t>
      </w:r>
      <w:r w:rsidR="00D0614C" w:rsidRPr="00611F48">
        <w:rPr>
          <w:rFonts w:ascii="Arial" w:hAnsi="Arial" w:cs="Arial"/>
        </w:rPr>
        <w:t xml:space="preserve">be </w:t>
      </w:r>
      <w:r w:rsidR="00020600" w:rsidRPr="00611F48">
        <w:rPr>
          <w:rFonts w:ascii="Arial" w:hAnsi="Arial" w:cs="Arial"/>
        </w:rPr>
        <w:t xml:space="preserve">privileged </w:t>
      </w:r>
      <w:r w:rsidR="00BB4EC8" w:rsidRPr="00611F48">
        <w:rPr>
          <w:rFonts w:ascii="Arial" w:hAnsi="Arial" w:cs="Arial"/>
        </w:rPr>
        <w:t>even though</w:t>
      </w:r>
      <w:r w:rsidR="00ED687A" w:rsidRPr="00611F48">
        <w:rPr>
          <w:rFonts w:ascii="Arial" w:hAnsi="Arial" w:cs="Arial"/>
        </w:rPr>
        <w:t xml:space="preserve"> the client </w:t>
      </w:r>
      <w:r w:rsidR="00590167" w:rsidRPr="00611F48">
        <w:rPr>
          <w:rFonts w:ascii="Arial" w:hAnsi="Arial" w:cs="Arial"/>
        </w:rPr>
        <w:t>is</w:t>
      </w:r>
      <w:r w:rsidR="00ED687A" w:rsidRPr="00611F48">
        <w:rPr>
          <w:rFonts w:ascii="Arial" w:hAnsi="Arial" w:cs="Arial"/>
        </w:rPr>
        <w:t xml:space="preserve"> unaware of the criminal or fraudulent purpose and </w:t>
      </w:r>
      <w:r w:rsidR="00590167" w:rsidRPr="00611F48">
        <w:rPr>
          <w:rFonts w:ascii="Arial" w:hAnsi="Arial" w:cs="Arial"/>
        </w:rPr>
        <w:t>is</w:t>
      </w:r>
      <w:r w:rsidR="00ED687A" w:rsidRPr="00611F48">
        <w:rPr>
          <w:rFonts w:ascii="Arial" w:hAnsi="Arial" w:cs="Arial"/>
        </w:rPr>
        <w:t xml:space="preserve"> merely the innocent </w:t>
      </w:r>
      <w:r w:rsidR="00E72896" w:rsidRPr="00611F48">
        <w:rPr>
          <w:rFonts w:ascii="Arial" w:hAnsi="Arial" w:cs="Arial"/>
        </w:rPr>
        <w:t xml:space="preserve">tool of </w:t>
      </w:r>
      <w:r w:rsidR="00ED687A" w:rsidRPr="00611F48">
        <w:rPr>
          <w:rFonts w:ascii="Arial" w:hAnsi="Arial" w:cs="Arial"/>
        </w:rPr>
        <w:t xml:space="preserve">a third party </w:t>
      </w:r>
      <w:r w:rsidR="00E72896" w:rsidRPr="00611F48">
        <w:rPr>
          <w:rFonts w:ascii="Arial" w:hAnsi="Arial" w:cs="Arial"/>
        </w:rPr>
        <w:t xml:space="preserve">who </w:t>
      </w:r>
      <w:r w:rsidR="00ED687A" w:rsidRPr="00611F48">
        <w:rPr>
          <w:rFonts w:ascii="Arial" w:hAnsi="Arial" w:cs="Arial"/>
        </w:rPr>
        <w:t xml:space="preserve">intends to achieve </w:t>
      </w:r>
      <w:r w:rsidR="00E72896" w:rsidRPr="00611F48">
        <w:rPr>
          <w:rFonts w:ascii="Arial" w:hAnsi="Arial" w:cs="Arial"/>
        </w:rPr>
        <w:t>it</w:t>
      </w:r>
      <w:r w:rsidR="00ED687A" w:rsidRPr="00611F48">
        <w:rPr>
          <w:rFonts w:ascii="Arial" w:hAnsi="Arial" w:cs="Arial"/>
        </w:rPr>
        <w:t>.</w:t>
      </w:r>
      <w:r w:rsidR="00E72896" w:rsidRPr="00611F48">
        <w:rPr>
          <w:rStyle w:val="FootnoteReference"/>
          <w:rFonts w:ascii="Arial" w:hAnsi="Arial" w:cs="Arial"/>
        </w:rPr>
        <w:footnoteReference w:id="8"/>
      </w:r>
      <w:r w:rsidR="00ED687A" w:rsidRPr="00611F48">
        <w:rPr>
          <w:rFonts w:ascii="Arial" w:hAnsi="Arial" w:cs="Arial"/>
        </w:rPr>
        <w:t xml:space="preserve"> </w:t>
      </w:r>
      <w:r w:rsidRPr="00611F48">
        <w:rPr>
          <w:rFonts w:ascii="Arial" w:hAnsi="Arial" w:cs="Arial"/>
        </w:rPr>
        <w:t>Indeed,</w:t>
      </w:r>
      <w:r w:rsidR="00590167" w:rsidRPr="00611F48">
        <w:rPr>
          <w:rFonts w:ascii="Arial" w:hAnsi="Arial" w:cs="Arial"/>
        </w:rPr>
        <w:t xml:space="preserve"> it is possible for the operation of the crime</w:t>
      </w:r>
      <w:r w:rsidRPr="00611F48">
        <w:rPr>
          <w:rFonts w:ascii="Arial" w:hAnsi="Arial" w:cs="Arial"/>
        </w:rPr>
        <w:t>-</w:t>
      </w:r>
      <w:r w:rsidR="00590167" w:rsidRPr="00611F48">
        <w:rPr>
          <w:rFonts w:ascii="Arial" w:hAnsi="Arial" w:cs="Arial"/>
        </w:rPr>
        <w:t xml:space="preserve">fraud exception to prevent legal professional privilege attaching to communications between legal adviser and client even though neither </w:t>
      </w:r>
      <w:r w:rsidR="00776F9A" w:rsidRPr="00611F48">
        <w:rPr>
          <w:rFonts w:ascii="Arial" w:hAnsi="Arial" w:cs="Arial"/>
        </w:rPr>
        <w:t>of them</w:t>
      </w:r>
      <w:r w:rsidR="00590167" w:rsidRPr="00611F48">
        <w:rPr>
          <w:rFonts w:ascii="Arial" w:hAnsi="Arial" w:cs="Arial"/>
        </w:rPr>
        <w:t xml:space="preserve"> </w:t>
      </w:r>
      <w:r w:rsidR="00D0614C" w:rsidRPr="00611F48">
        <w:rPr>
          <w:rFonts w:ascii="Arial" w:hAnsi="Arial" w:cs="Arial"/>
        </w:rPr>
        <w:t>is</w:t>
      </w:r>
      <w:r w:rsidR="00590167" w:rsidRPr="00611F48">
        <w:rPr>
          <w:rFonts w:ascii="Arial" w:hAnsi="Arial" w:cs="Arial"/>
        </w:rPr>
        <w:t xml:space="preserve"> aware that they are being used to </w:t>
      </w:r>
      <w:r w:rsidR="00593F98" w:rsidRPr="00611F48">
        <w:rPr>
          <w:rFonts w:ascii="Arial" w:hAnsi="Arial" w:cs="Arial"/>
        </w:rPr>
        <w:t xml:space="preserve">further </w:t>
      </w:r>
      <w:r w:rsidR="00590167" w:rsidRPr="00611F48">
        <w:rPr>
          <w:rFonts w:ascii="Arial" w:hAnsi="Arial" w:cs="Arial"/>
        </w:rPr>
        <w:t>the criminal or fraudulent purpose of a third party.</w:t>
      </w:r>
      <w:r w:rsidR="004960BB" w:rsidRPr="00611F48">
        <w:rPr>
          <w:rStyle w:val="FootnoteReference"/>
          <w:rFonts w:ascii="Arial" w:hAnsi="Arial" w:cs="Arial"/>
        </w:rPr>
        <w:footnoteReference w:id="9"/>
      </w:r>
      <w:r w:rsidR="004960BB" w:rsidRPr="00611F48">
        <w:rPr>
          <w:rFonts w:ascii="Arial" w:hAnsi="Arial" w:cs="Arial"/>
        </w:rPr>
        <w:t xml:space="preserve"> </w:t>
      </w:r>
    </w:p>
    <w:p w14:paraId="3C7F0325" w14:textId="77777777" w:rsidR="0077594D" w:rsidRPr="00611F48" w:rsidRDefault="0077594D" w:rsidP="00EE1BD2">
      <w:pPr>
        <w:numPr>
          <w:ilvl w:val="12"/>
          <w:numId w:val="0"/>
        </w:numPr>
        <w:spacing w:line="480" w:lineRule="auto"/>
        <w:jc w:val="both"/>
        <w:rPr>
          <w:rFonts w:ascii="Arial" w:hAnsi="Arial" w:cs="Arial"/>
        </w:rPr>
      </w:pPr>
    </w:p>
    <w:p w14:paraId="0E347300" w14:textId="5545CFE9" w:rsidR="008F0668" w:rsidRPr="00611F48" w:rsidRDefault="00F75D97" w:rsidP="00EE1BD2">
      <w:pPr>
        <w:numPr>
          <w:ilvl w:val="12"/>
          <w:numId w:val="0"/>
        </w:numPr>
        <w:spacing w:line="480" w:lineRule="auto"/>
        <w:jc w:val="both"/>
        <w:rPr>
          <w:rFonts w:ascii="Arial" w:hAnsi="Arial" w:cs="Arial"/>
        </w:rPr>
      </w:pPr>
      <w:r w:rsidRPr="00611F48">
        <w:rPr>
          <w:rFonts w:ascii="Arial" w:hAnsi="Arial" w:cs="Arial"/>
        </w:rPr>
        <w:t>The crime-fraud exception may apply to communications whether or not litigatio</w:t>
      </w:r>
      <w:r w:rsidR="00ED56A6">
        <w:rPr>
          <w:rFonts w:ascii="Arial" w:hAnsi="Arial" w:cs="Arial"/>
        </w:rPr>
        <w:t>n had commenced by the time</w:t>
      </w:r>
      <w:r w:rsidRPr="00611F48">
        <w:rPr>
          <w:rFonts w:ascii="Arial" w:hAnsi="Arial" w:cs="Arial"/>
        </w:rPr>
        <w:t xml:space="preserve"> they were made. </w:t>
      </w:r>
      <w:r w:rsidR="004F2D0E">
        <w:rPr>
          <w:rFonts w:ascii="Arial" w:hAnsi="Arial" w:cs="Arial"/>
        </w:rPr>
        <w:t>T</w:t>
      </w:r>
      <w:r w:rsidR="00EB0EC4" w:rsidRPr="00611F48">
        <w:rPr>
          <w:rFonts w:ascii="Arial" w:hAnsi="Arial" w:cs="Arial"/>
        </w:rPr>
        <w:t>he exception</w:t>
      </w:r>
      <w:r w:rsidRPr="00611F48">
        <w:rPr>
          <w:rFonts w:ascii="Arial" w:hAnsi="Arial" w:cs="Arial"/>
        </w:rPr>
        <w:t xml:space="preserve"> may apply whether the form of legal professional </w:t>
      </w:r>
      <w:r w:rsidR="008A163F" w:rsidRPr="00611F48">
        <w:rPr>
          <w:rFonts w:ascii="Arial" w:hAnsi="Arial" w:cs="Arial"/>
        </w:rPr>
        <w:t>privilege that is relied upon is</w:t>
      </w:r>
      <w:r w:rsidRPr="00611F48">
        <w:rPr>
          <w:rFonts w:ascii="Arial" w:hAnsi="Arial" w:cs="Arial"/>
        </w:rPr>
        <w:t xml:space="preserve"> legal advice privilege or is litigation privilege</w:t>
      </w:r>
      <w:r w:rsidR="00EB0EC4" w:rsidRPr="00611F48">
        <w:rPr>
          <w:rFonts w:ascii="Arial" w:hAnsi="Arial" w:cs="Arial"/>
        </w:rPr>
        <w:t>.</w:t>
      </w:r>
      <w:r w:rsidRPr="00611F48">
        <w:rPr>
          <w:rStyle w:val="FootnoteReference"/>
          <w:rFonts w:ascii="Arial" w:hAnsi="Arial" w:cs="Arial"/>
        </w:rPr>
        <w:footnoteReference w:id="10"/>
      </w:r>
      <w:r w:rsidR="009A6AD7" w:rsidRPr="00611F48">
        <w:rPr>
          <w:rFonts w:ascii="Arial" w:hAnsi="Arial" w:cs="Arial"/>
        </w:rPr>
        <w:t xml:space="preserve"> </w:t>
      </w:r>
      <w:r w:rsidR="00EB0EC4" w:rsidRPr="00611F48">
        <w:rPr>
          <w:rFonts w:ascii="Arial" w:hAnsi="Arial" w:cs="Arial"/>
        </w:rPr>
        <w:t xml:space="preserve">The exception </w:t>
      </w:r>
      <w:r w:rsidR="009A6AD7" w:rsidRPr="00611F48">
        <w:rPr>
          <w:rFonts w:ascii="Arial" w:hAnsi="Arial" w:cs="Arial"/>
        </w:rPr>
        <w:t xml:space="preserve">will not apply </w:t>
      </w:r>
      <w:r w:rsidR="00EB0EC4" w:rsidRPr="00611F48">
        <w:rPr>
          <w:rFonts w:ascii="Arial" w:hAnsi="Arial" w:cs="Arial"/>
        </w:rPr>
        <w:t xml:space="preserve">so as to prevent </w:t>
      </w:r>
      <w:r w:rsidR="009A6AD7" w:rsidRPr="00611F48">
        <w:rPr>
          <w:rFonts w:ascii="Arial" w:hAnsi="Arial" w:cs="Arial"/>
        </w:rPr>
        <w:t>a client</w:t>
      </w:r>
      <w:r w:rsidR="00EB0EC4" w:rsidRPr="00611F48">
        <w:rPr>
          <w:rFonts w:ascii="Arial" w:hAnsi="Arial" w:cs="Arial"/>
        </w:rPr>
        <w:t xml:space="preserve"> from obtaining legal advice</w:t>
      </w:r>
      <w:r w:rsidR="00ED56A6">
        <w:rPr>
          <w:rFonts w:ascii="Arial" w:hAnsi="Arial" w:cs="Arial"/>
        </w:rPr>
        <w:t>,</w:t>
      </w:r>
      <w:r w:rsidR="00EB0EC4" w:rsidRPr="00611F48">
        <w:rPr>
          <w:rFonts w:ascii="Arial" w:hAnsi="Arial" w:cs="Arial"/>
        </w:rPr>
        <w:t xml:space="preserve"> </w:t>
      </w:r>
      <w:r w:rsidR="00267016" w:rsidRPr="00611F48">
        <w:rPr>
          <w:rFonts w:ascii="Arial" w:hAnsi="Arial" w:cs="Arial"/>
        </w:rPr>
        <w:t xml:space="preserve">either to determine the legitimacy of an intended course of conduct or to determine how best to defend pending or contemplated </w:t>
      </w:r>
      <w:r w:rsidR="00EB0EC4" w:rsidRPr="00611F48">
        <w:rPr>
          <w:rFonts w:ascii="Arial" w:hAnsi="Arial" w:cs="Arial"/>
        </w:rPr>
        <w:t>allegations of fraud or criminality</w:t>
      </w:r>
      <w:r w:rsidR="00ED56A6">
        <w:rPr>
          <w:rFonts w:ascii="Arial" w:hAnsi="Arial" w:cs="Arial"/>
        </w:rPr>
        <w:t xml:space="preserve">. It </w:t>
      </w:r>
      <w:r w:rsidR="00EB0EC4" w:rsidRPr="00611F48">
        <w:rPr>
          <w:rFonts w:ascii="Arial" w:hAnsi="Arial" w:cs="Arial"/>
        </w:rPr>
        <w:t>will not apply merely because the client intends t</w:t>
      </w:r>
      <w:r w:rsidR="00CD2633">
        <w:rPr>
          <w:rFonts w:ascii="Arial" w:hAnsi="Arial" w:cs="Arial"/>
        </w:rPr>
        <w:t>o put forward a defence to</w:t>
      </w:r>
      <w:r w:rsidR="00EB0EC4" w:rsidRPr="00611F48">
        <w:rPr>
          <w:rFonts w:ascii="Arial" w:hAnsi="Arial" w:cs="Arial"/>
        </w:rPr>
        <w:t xml:space="preserve"> allegations which the client knows to be untrue.</w:t>
      </w:r>
      <w:r w:rsidR="00EB0EC4" w:rsidRPr="00611F48">
        <w:rPr>
          <w:rStyle w:val="FootnoteReference"/>
          <w:rFonts w:ascii="Arial" w:hAnsi="Arial" w:cs="Arial"/>
        </w:rPr>
        <w:footnoteReference w:id="11"/>
      </w:r>
      <w:r w:rsidR="000536D3" w:rsidRPr="00611F48">
        <w:rPr>
          <w:rFonts w:ascii="Arial" w:hAnsi="Arial" w:cs="Arial"/>
        </w:rPr>
        <w:t xml:space="preserve"> </w:t>
      </w:r>
      <w:r w:rsidR="000536D3" w:rsidRPr="00C604AF">
        <w:rPr>
          <w:rFonts w:ascii="Arial" w:hAnsi="Arial" w:cs="Arial"/>
        </w:rPr>
        <w:t>It may</w:t>
      </w:r>
      <w:r w:rsidR="0019446C" w:rsidRPr="00C604AF">
        <w:rPr>
          <w:rFonts w:ascii="Arial" w:hAnsi="Arial" w:cs="Arial"/>
        </w:rPr>
        <w:t xml:space="preserve"> </w:t>
      </w:r>
      <w:r w:rsidR="00F13B72">
        <w:rPr>
          <w:rFonts w:ascii="Arial" w:hAnsi="Arial" w:cs="Arial"/>
        </w:rPr>
        <w:t xml:space="preserve">apply </w:t>
      </w:r>
      <w:r w:rsidR="00F13B72" w:rsidRPr="00C604AF">
        <w:rPr>
          <w:rFonts w:ascii="Arial" w:hAnsi="Arial" w:cs="Arial"/>
        </w:rPr>
        <w:t>to communications made during the commission of criminal or fraudulent activity</w:t>
      </w:r>
      <w:r w:rsidR="00F13B72">
        <w:rPr>
          <w:rFonts w:ascii="Arial" w:hAnsi="Arial" w:cs="Arial"/>
        </w:rPr>
        <w:t xml:space="preserve"> </w:t>
      </w:r>
      <w:r w:rsidR="0019446C" w:rsidRPr="00C604AF">
        <w:rPr>
          <w:rFonts w:ascii="Arial" w:hAnsi="Arial" w:cs="Arial"/>
        </w:rPr>
        <w:t>(if made, for example, for the purpose of covering up or stifling criminal or fraudulent activity)</w:t>
      </w:r>
      <w:r w:rsidR="00CD2633">
        <w:rPr>
          <w:rFonts w:ascii="Arial" w:hAnsi="Arial" w:cs="Arial"/>
        </w:rPr>
        <w:t>. It may also apply</w:t>
      </w:r>
      <w:r w:rsidR="00C209E9" w:rsidRPr="00C604AF">
        <w:rPr>
          <w:rFonts w:ascii="Arial" w:hAnsi="Arial" w:cs="Arial"/>
        </w:rPr>
        <w:t xml:space="preserve"> </w:t>
      </w:r>
      <w:r w:rsidR="000536D3" w:rsidRPr="00C604AF">
        <w:rPr>
          <w:rFonts w:ascii="Arial" w:hAnsi="Arial" w:cs="Arial"/>
        </w:rPr>
        <w:t xml:space="preserve">to communications made after </w:t>
      </w:r>
      <w:r w:rsidR="0019446C" w:rsidRPr="00C604AF">
        <w:rPr>
          <w:rFonts w:ascii="Arial" w:hAnsi="Arial" w:cs="Arial"/>
        </w:rPr>
        <w:t xml:space="preserve">such activity </w:t>
      </w:r>
      <w:r w:rsidR="00C209E9" w:rsidRPr="00C604AF">
        <w:rPr>
          <w:rFonts w:ascii="Arial" w:hAnsi="Arial" w:cs="Arial"/>
        </w:rPr>
        <w:t>h</w:t>
      </w:r>
      <w:r w:rsidR="0019446C" w:rsidRPr="00C604AF">
        <w:rPr>
          <w:rFonts w:ascii="Arial" w:hAnsi="Arial" w:cs="Arial"/>
        </w:rPr>
        <w:t>as taken place</w:t>
      </w:r>
      <w:r w:rsidR="00F13B72">
        <w:rPr>
          <w:rFonts w:ascii="Arial" w:hAnsi="Arial" w:cs="Arial"/>
        </w:rPr>
        <w:t xml:space="preserve"> </w:t>
      </w:r>
      <w:r w:rsidR="00F13B72" w:rsidRPr="00F13B72">
        <w:rPr>
          <w:rFonts w:ascii="Arial" w:hAnsi="Arial" w:cs="Arial"/>
        </w:rPr>
        <w:t>(if made, for example, for the purpose of “salting away” the proceeds such activity)</w:t>
      </w:r>
      <w:r w:rsidR="00F13B72">
        <w:rPr>
          <w:rFonts w:ascii="Arial" w:hAnsi="Arial" w:cs="Arial"/>
        </w:rPr>
        <w:t>.</w:t>
      </w:r>
      <w:r w:rsidR="000536D3" w:rsidRPr="00C604AF">
        <w:rPr>
          <w:rStyle w:val="FootnoteReference"/>
          <w:rFonts w:ascii="Arial" w:hAnsi="Arial" w:cs="Arial"/>
        </w:rPr>
        <w:footnoteReference w:id="12"/>
      </w:r>
      <w:r w:rsidR="00C209E9" w:rsidRPr="00C604AF">
        <w:rPr>
          <w:rFonts w:ascii="Arial" w:hAnsi="Arial" w:cs="Arial"/>
        </w:rPr>
        <w:t xml:space="preserve"> </w:t>
      </w:r>
      <w:r w:rsidR="00C209E9" w:rsidRPr="00611F48">
        <w:rPr>
          <w:rFonts w:ascii="Arial" w:hAnsi="Arial" w:cs="Arial"/>
          <w:color w:val="FF0000"/>
        </w:rPr>
        <w:t xml:space="preserve"> </w:t>
      </w:r>
    </w:p>
    <w:p w14:paraId="0D2C7ADB" w14:textId="0E5FAA90" w:rsidR="00D15569" w:rsidRPr="00611F48" w:rsidRDefault="009F58D2" w:rsidP="00EE1BD2">
      <w:pPr>
        <w:numPr>
          <w:ilvl w:val="12"/>
          <w:numId w:val="0"/>
        </w:numPr>
        <w:spacing w:line="480" w:lineRule="auto"/>
        <w:jc w:val="both"/>
        <w:rPr>
          <w:rFonts w:ascii="Arial" w:hAnsi="Arial" w:cs="Arial"/>
        </w:rPr>
      </w:pPr>
      <w:r w:rsidRPr="00611F48">
        <w:rPr>
          <w:rFonts w:ascii="Arial" w:hAnsi="Arial" w:cs="Arial"/>
        </w:rPr>
        <w:lastRenderedPageBreak/>
        <w:t xml:space="preserve">Arguably, </w:t>
      </w:r>
      <w:r w:rsidR="00D06AD5" w:rsidRPr="00611F48">
        <w:rPr>
          <w:rFonts w:ascii="Arial" w:hAnsi="Arial" w:cs="Arial"/>
        </w:rPr>
        <w:t>t</w:t>
      </w:r>
      <w:r w:rsidR="00284CAE" w:rsidRPr="00611F48">
        <w:rPr>
          <w:rFonts w:ascii="Arial" w:hAnsi="Arial" w:cs="Arial"/>
        </w:rPr>
        <w:t xml:space="preserve">he crime-fraud exception </w:t>
      </w:r>
      <w:r w:rsidR="00FD0758" w:rsidRPr="00611F48">
        <w:rPr>
          <w:rFonts w:ascii="Arial" w:hAnsi="Arial" w:cs="Arial"/>
        </w:rPr>
        <w:t>should not be regarded as an</w:t>
      </w:r>
      <w:r w:rsidR="003F09CA" w:rsidRPr="00611F48">
        <w:rPr>
          <w:rFonts w:ascii="Arial" w:hAnsi="Arial" w:cs="Arial"/>
        </w:rPr>
        <w:t xml:space="preserve"> exception to legal professional privilege</w:t>
      </w:r>
      <w:r w:rsidR="00FD0758" w:rsidRPr="00611F48">
        <w:rPr>
          <w:rFonts w:ascii="Arial" w:hAnsi="Arial" w:cs="Arial"/>
        </w:rPr>
        <w:t>.</w:t>
      </w:r>
      <w:r w:rsidR="00FD0758" w:rsidRPr="00611F48">
        <w:rPr>
          <w:rStyle w:val="FootnoteReference"/>
          <w:rFonts w:ascii="Arial" w:hAnsi="Arial" w:cs="Arial"/>
        </w:rPr>
        <w:footnoteReference w:id="13"/>
      </w:r>
      <w:r w:rsidR="00FD0758" w:rsidRPr="00611F48">
        <w:rPr>
          <w:rFonts w:ascii="Arial" w:hAnsi="Arial" w:cs="Arial"/>
        </w:rPr>
        <w:t xml:space="preserve"> </w:t>
      </w:r>
      <w:r w:rsidR="00DF1C17">
        <w:rPr>
          <w:rFonts w:ascii="Arial" w:hAnsi="Arial" w:cs="Arial"/>
        </w:rPr>
        <w:t xml:space="preserve">The basis of this argument is </w:t>
      </w:r>
      <w:proofErr w:type="gramStart"/>
      <w:r w:rsidR="00DF1C17">
        <w:rPr>
          <w:rFonts w:ascii="Arial" w:hAnsi="Arial" w:cs="Arial"/>
        </w:rPr>
        <w:t xml:space="preserve">that </w:t>
      </w:r>
      <w:r w:rsidR="00FD0758" w:rsidRPr="00611F48">
        <w:rPr>
          <w:rFonts w:ascii="Arial" w:hAnsi="Arial" w:cs="Arial"/>
        </w:rPr>
        <w:t xml:space="preserve"> </w:t>
      </w:r>
      <w:r w:rsidR="003F09CA" w:rsidRPr="00611F48">
        <w:rPr>
          <w:rFonts w:ascii="Arial" w:hAnsi="Arial" w:cs="Arial"/>
        </w:rPr>
        <w:t>when</w:t>
      </w:r>
      <w:proofErr w:type="gramEnd"/>
      <w:r w:rsidR="003F09CA" w:rsidRPr="00611F48">
        <w:rPr>
          <w:rFonts w:ascii="Arial" w:hAnsi="Arial" w:cs="Arial"/>
        </w:rPr>
        <w:t xml:space="preserve"> it operates</w:t>
      </w:r>
      <w:r w:rsidR="00DF1C17">
        <w:rPr>
          <w:rFonts w:ascii="Arial" w:hAnsi="Arial" w:cs="Arial"/>
        </w:rPr>
        <w:t>,</w:t>
      </w:r>
      <w:r w:rsidR="003F09CA" w:rsidRPr="00611F48">
        <w:rPr>
          <w:rFonts w:ascii="Arial" w:hAnsi="Arial" w:cs="Arial"/>
        </w:rPr>
        <w:t xml:space="preserve"> </w:t>
      </w:r>
      <w:r w:rsidR="00DF1C17">
        <w:rPr>
          <w:rFonts w:ascii="Arial" w:hAnsi="Arial" w:cs="Arial"/>
        </w:rPr>
        <w:t>the</w:t>
      </w:r>
      <w:r w:rsidRPr="00611F48">
        <w:rPr>
          <w:rFonts w:ascii="Arial" w:hAnsi="Arial" w:cs="Arial"/>
        </w:rPr>
        <w:t xml:space="preserve"> effect </w:t>
      </w:r>
      <w:r w:rsidR="00DF1C17">
        <w:rPr>
          <w:rFonts w:ascii="Arial" w:hAnsi="Arial" w:cs="Arial"/>
        </w:rPr>
        <w:t xml:space="preserve">of the “exception” </w:t>
      </w:r>
      <w:r w:rsidRPr="00611F48">
        <w:rPr>
          <w:rFonts w:ascii="Arial" w:hAnsi="Arial" w:cs="Arial"/>
        </w:rPr>
        <w:t xml:space="preserve">is </w:t>
      </w:r>
      <w:r w:rsidR="003F09CA" w:rsidRPr="00611F48">
        <w:rPr>
          <w:rFonts w:ascii="Arial" w:hAnsi="Arial" w:cs="Arial"/>
        </w:rPr>
        <w:t>th</w:t>
      </w:r>
      <w:r w:rsidR="00DF1C17">
        <w:rPr>
          <w:rFonts w:ascii="Arial" w:hAnsi="Arial" w:cs="Arial"/>
        </w:rPr>
        <w:t>at</w:t>
      </w:r>
      <w:r w:rsidR="003F09CA" w:rsidRPr="00611F48">
        <w:rPr>
          <w:rFonts w:ascii="Arial" w:hAnsi="Arial" w:cs="Arial"/>
        </w:rPr>
        <w:t xml:space="preserve"> privilege do</w:t>
      </w:r>
      <w:r w:rsidR="001B1FC3" w:rsidRPr="00611F48">
        <w:rPr>
          <w:rFonts w:ascii="Arial" w:hAnsi="Arial" w:cs="Arial"/>
        </w:rPr>
        <w:t>es not arise</w:t>
      </w:r>
      <w:r w:rsidR="00D0614C" w:rsidRPr="00611F48">
        <w:rPr>
          <w:rFonts w:ascii="Arial" w:hAnsi="Arial" w:cs="Arial"/>
        </w:rPr>
        <w:t xml:space="preserve"> in the first place</w:t>
      </w:r>
      <w:r w:rsidR="001B1FC3" w:rsidRPr="00611F48">
        <w:rPr>
          <w:rFonts w:ascii="Arial" w:hAnsi="Arial" w:cs="Arial"/>
        </w:rPr>
        <w:t>.</w:t>
      </w:r>
      <w:r w:rsidR="001B1FC3" w:rsidRPr="00611F48">
        <w:rPr>
          <w:rStyle w:val="FootnoteReference"/>
          <w:rFonts w:ascii="Arial" w:hAnsi="Arial" w:cs="Arial"/>
        </w:rPr>
        <w:footnoteReference w:id="14"/>
      </w:r>
      <w:r w:rsidR="00B34C33" w:rsidRPr="00611F48">
        <w:rPr>
          <w:rFonts w:ascii="Arial" w:hAnsi="Arial" w:cs="Arial"/>
        </w:rPr>
        <w:t xml:space="preserve"> </w:t>
      </w:r>
      <w:r w:rsidR="00DF1C17">
        <w:rPr>
          <w:rFonts w:ascii="Arial" w:hAnsi="Arial" w:cs="Arial"/>
        </w:rPr>
        <w:t xml:space="preserve">This is so </w:t>
      </w:r>
      <w:r w:rsidR="001B1FC3" w:rsidRPr="00611F48">
        <w:rPr>
          <w:rFonts w:ascii="Arial" w:hAnsi="Arial" w:cs="Arial"/>
        </w:rPr>
        <w:t xml:space="preserve">because communications in furtherance of crime or fraud do not fall within the </w:t>
      </w:r>
      <w:r w:rsidR="00284CAE" w:rsidRPr="00611F48">
        <w:rPr>
          <w:rFonts w:ascii="Arial" w:hAnsi="Arial" w:cs="Arial"/>
        </w:rPr>
        <w:t>normal</w:t>
      </w:r>
      <w:r w:rsidR="001B1FC3" w:rsidRPr="00611F48">
        <w:rPr>
          <w:rFonts w:ascii="Arial" w:hAnsi="Arial" w:cs="Arial"/>
        </w:rPr>
        <w:t xml:space="preserve"> ambit of a legal adviser’s professional employment</w:t>
      </w:r>
      <w:r w:rsidR="00284CAE" w:rsidRPr="00611F48">
        <w:rPr>
          <w:rFonts w:ascii="Arial" w:hAnsi="Arial" w:cs="Arial"/>
        </w:rPr>
        <w:t xml:space="preserve"> </w:t>
      </w:r>
      <w:r w:rsidRPr="00611F48">
        <w:rPr>
          <w:rFonts w:ascii="Arial" w:hAnsi="Arial" w:cs="Arial"/>
        </w:rPr>
        <w:t>as</w:t>
      </w:r>
      <w:r w:rsidR="009164F2" w:rsidRPr="00611F48">
        <w:rPr>
          <w:rFonts w:ascii="Arial" w:hAnsi="Arial" w:cs="Arial"/>
        </w:rPr>
        <w:t xml:space="preserve"> </w:t>
      </w:r>
      <w:r w:rsidR="00284CAE" w:rsidRPr="00611F48">
        <w:rPr>
          <w:rFonts w:ascii="Arial" w:hAnsi="Arial" w:cs="Arial"/>
        </w:rPr>
        <w:t>the legal adviser must either have conspired to further the criminal or fraudulent purpose or must have been deceived</w:t>
      </w:r>
      <w:r w:rsidR="00211287" w:rsidRPr="00611F48">
        <w:rPr>
          <w:rFonts w:ascii="Arial" w:hAnsi="Arial" w:cs="Arial"/>
        </w:rPr>
        <w:t xml:space="preserve"> into so doing</w:t>
      </w:r>
      <w:r w:rsidR="001B1FC3" w:rsidRPr="00611F48">
        <w:rPr>
          <w:rFonts w:ascii="Arial" w:hAnsi="Arial" w:cs="Arial"/>
        </w:rPr>
        <w:t>.</w:t>
      </w:r>
      <w:r w:rsidR="001B1FC3" w:rsidRPr="00611F48">
        <w:rPr>
          <w:rStyle w:val="FootnoteReference"/>
          <w:rFonts w:ascii="Arial" w:hAnsi="Arial" w:cs="Arial"/>
        </w:rPr>
        <w:footnoteReference w:id="15"/>
      </w:r>
      <w:r w:rsidR="00284CAE" w:rsidRPr="00611F48">
        <w:rPr>
          <w:rFonts w:ascii="Arial" w:hAnsi="Arial" w:cs="Arial"/>
        </w:rPr>
        <w:t xml:space="preserve"> </w:t>
      </w:r>
      <w:r w:rsidR="00BA7E1A" w:rsidRPr="00611F48">
        <w:rPr>
          <w:rFonts w:ascii="Arial" w:hAnsi="Arial" w:cs="Arial"/>
        </w:rPr>
        <w:t>The operation of the crime-fraud exception is based on a provisional finding of criminality or fraud</w:t>
      </w:r>
      <w:r w:rsidR="00F13B72">
        <w:rPr>
          <w:rFonts w:ascii="Arial" w:hAnsi="Arial" w:cs="Arial"/>
        </w:rPr>
        <w:t>,</w:t>
      </w:r>
      <w:r w:rsidR="00BA7E1A" w:rsidRPr="00611F48">
        <w:rPr>
          <w:rFonts w:ascii="Arial" w:hAnsi="Arial" w:cs="Arial"/>
        </w:rPr>
        <w:t xml:space="preserve"> and where disclosure takes place under the exception privilege will </w:t>
      </w:r>
      <w:r w:rsidR="00DF1C17">
        <w:rPr>
          <w:rFonts w:ascii="Arial" w:hAnsi="Arial" w:cs="Arial"/>
        </w:rPr>
        <w:t xml:space="preserve">effectively </w:t>
      </w:r>
      <w:r w:rsidR="00BA7E1A" w:rsidRPr="00611F48">
        <w:rPr>
          <w:rFonts w:ascii="Arial" w:hAnsi="Arial" w:cs="Arial"/>
        </w:rPr>
        <w:t>be lost</w:t>
      </w:r>
      <w:r w:rsidR="00F13B72">
        <w:rPr>
          <w:rFonts w:ascii="Arial" w:hAnsi="Arial" w:cs="Arial"/>
        </w:rPr>
        <w:t>,</w:t>
      </w:r>
      <w:r w:rsidR="00BA7E1A" w:rsidRPr="00611F48">
        <w:rPr>
          <w:rFonts w:ascii="Arial" w:hAnsi="Arial" w:cs="Arial"/>
        </w:rPr>
        <w:t xml:space="preserve"> even though it subsequently transpires that the allegations of criminality</w:t>
      </w:r>
      <w:r w:rsidR="00F13B72">
        <w:rPr>
          <w:rFonts w:ascii="Arial" w:hAnsi="Arial" w:cs="Arial"/>
        </w:rPr>
        <w:t>,</w:t>
      </w:r>
      <w:r w:rsidR="00BA7E1A" w:rsidRPr="00611F48">
        <w:rPr>
          <w:rFonts w:ascii="Arial" w:hAnsi="Arial" w:cs="Arial"/>
        </w:rPr>
        <w:t xml:space="preserve"> or fraud</w:t>
      </w:r>
      <w:r w:rsidR="00F13B72">
        <w:rPr>
          <w:rFonts w:ascii="Arial" w:hAnsi="Arial" w:cs="Arial"/>
        </w:rPr>
        <w:t>,</w:t>
      </w:r>
      <w:r w:rsidR="00BA7E1A" w:rsidRPr="00611F48">
        <w:rPr>
          <w:rFonts w:ascii="Arial" w:hAnsi="Arial" w:cs="Arial"/>
        </w:rPr>
        <w:t xml:space="preserve"> were unfounded.</w:t>
      </w:r>
      <w:r w:rsidR="00BA7E1A" w:rsidRPr="00611F48">
        <w:rPr>
          <w:rStyle w:val="FootnoteReference"/>
          <w:rFonts w:ascii="Arial" w:hAnsi="Arial" w:cs="Arial"/>
        </w:rPr>
        <w:footnoteReference w:id="16"/>
      </w:r>
      <w:r w:rsidR="00F13B72">
        <w:rPr>
          <w:rFonts w:ascii="Arial" w:hAnsi="Arial" w:cs="Arial"/>
        </w:rPr>
        <w:t xml:space="preserve"> </w:t>
      </w:r>
      <w:r w:rsidR="00DF1C17">
        <w:rPr>
          <w:rFonts w:ascii="Arial" w:hAnsi="Arial" w:cs="Arial"/>
        </w:rPr>
        <w:t xml:space="preserve">Thus, </w:t>
      </w:r>
      <w:proofErr w:type="spellStart"/>
      <w:r w:rsidR="00D06AD5" w:rsidRPr="00611F48">
        <w:rPr>
          <w:rFonts w:ascii="Arial" w:hAnsi="Arial" w:cs="Arial"/>
        </w:rPr>
        <w:t>Thanki</w:t>
      </w:r>
      <w:proofErr w:type="spellEnd"/>
      <w:r w:rsidR="008E201D" w:rsidRPr="00611F48">
        <w:rPr>
          <w:rStyle w:val="FootnoteReference"/>
          <w:rFonts w:ascii="Arial" w:hAnsi="Arial" w:cs="Arial"/>
        </w:rPr>
        <w:footnoteReference w:id="17"/>
      </w:r>
      <w:r w:rsidR="006F4D47" w:rsidRPr="00611F48">
        <w:rPr>
          <w:rFonts w:ascii="Arial" w:hAnsi="Arial" w:cs="Arial"/>
        </w:rPr>
        <w:t xml:space="preserve"> </w:t>
      </w:r>
      <w:r w:rsidR="00F13B72">
        <w:rPr>
          <w:rFonts w:ascii="Arial" w:hAnsi="Arial" w:cs="Arial"/>
        </w:rPr>
        <w:t>has propounded</w:t>
      </w:r>
      <w:r w:rsidR="00D06AD5" w:rsidRPr="00611F48">
        <w:rPr>
          <w:rFonts w:ascii="Arial" w:hAnsi="Arial" w:cs="Arial"/>
        </w:rPr>
        <w:t xml:space="preserve"> the attractive </w:t>
      </w:r>
      <w:r w:rsidR="00B34C33" w:rsidRPr="00611F48">
        <w:rPr>
          <w:rFonts w:ascii="Arial" w:hAnsi="Arial" w:cs="Arial"/>
        </w:rPr>
        <w:t>proposition</w:t>
      </w:r>
      <w:r w:rsidR="00D06AD5" w:rsidRPr="00611F48">
        <w:rPr>
          <w:rFonts w:ascii="Arial" w:hAnsi="Arial" w:cs="Arial"/>
        </w:rPr>
        <w:t xml:space="preserve"> that the crime-fraud exception </w:t>
      </w:r>
      <w:r w:rsidRPr="00611F48">
        <w:rPr>
          <w:rFonts w:ascii="Arial" w:hAnsi="Arial" w:cs="Arial"/>
        </w:rPr>
        <w:t>should be regarded as</w:t>
      </w:r>
      <w:r w:rsidR="00D06AD5" w:rsidRPr="00611F48">
        <w:rPr>
          <w:rFonts w:ascii="Arial" w:hAnsi="Arial" w:cs="Arial"/>
        </w:rPr>
        <w:t xml:space="preserve"> a “procedural exception” to the privilege</w:t>
      </w:r>
      <w:r w:rsidR="00B34C33" w:rsidRPr="00611F48">
        <w:rPr>
          <w:rFonts w:ascii="Arial" w:hAnsi="Arial" w:cs="Arial"/>
        </w:rPr>
        <w:t>. The basis of this proposition is that</w:t>
      </w:r>
      <w:r w:rsidR="00F13B72">
        <w:rPr>
          <w:rFonts w:ascii="Arial" w:hAnsi="Arial" w:cs="Arial"/>
        </w:rPr>
        <w:t>,</w:t>
      </w:r>
      <w:r w:rsidR="00B34C33" w:rsidRPr="00611F48">
        <w:rPr>
          <w:rFonts w:ascii="Arial" w:hAnsi="Arial" w:cs="Arial"/>
        </w:rPr>
        <w:t xml:space="preserve"> </w:t>
      </w:r>
      <w:r w:rsidR="00D06AD5" w:rsidRPr="00611F48">
        <w:rPr>
          <w:rFonts w:ascii="Arial" w:hAnsi="Arial" w:cs="Arial"/>
        </w:rPr>
        <w:t xml:space="preserve">if the allegations of criminality or fraud are </w:t>
      </w:r>
      <w:r w:rsidRPr="00611F48">
        <w:rPr>
          <w:rFonts w:ascii="Arial" w:hAnsi="Arial" w:cs="Arial"/>
        </w:rPr>
        <w:t xml:space="preserve">subsequently shown </w:t>
      </w:r>
      <w:r w:rsidR="00D06AD5" w:rsidRPr="00611F48">
        <w:rPr>
          <w:rFonts w:ascii="Arial" w:hAnsi="Arial" w:cs="Arial"/>
        </w:rPr>
        <w:t xml:space="preserve">to </w:t>
      </w:r>
      <w:r w:rsidRPr="00611F48">
        <w:rPr>
          <w:rFonts w:ascii="Arial" w:hAnsi="Arial" w:cs="Arial"/>
        </w:rPr>
        <w:t xml:space="preserve">have </w:t>
      </w:r>
      <w:r w:rsidR="00D06AD5" w:rsidRPr="00611F48">
        <w:rPr>
          <w:rFonts w:ascii="Arial" w:hAnsi="Arial" w:cs="Arial"/>
        </w:rPr>
        <w:t>be</w:t>
      </w:r>
      <w:r w:rsidRPr="00611F48">
        <w:rPr>
          <w:rFonts w:ascii="Arial" w:hAnsi="Arial" w:cs="Arial"/>
        </w:rPr>
        <w:t>en</w:t>
      </w:r>
      <w:r w:rsidR="00D06AD5" w:rsidRPr="00611F48">
        <w:rPr>
          <w:rFonts w:ascii="Arial" w:hAnsi="Arial" w:cs="Arial"/>
        </w:rPr>
        <w:t xml:space="preserve"> </w:t>
      </w:r>
      <w:r w:rsidRPr="00611F48">
        <w:rPr>
          <w:rFonts w:ascii="Arial" w:hAnsi="Arial" w:cs="Arial"/>
        </w:rPr>
        <w:t xml:space="preserve">unfounded </w:t>
      </w:r>
      <w:r w:rsidR="00B34C33" w:rsidRPr="00611F48">
        <w:rPr>
          <w:rFonts w:ascii="Arial" w:hAnsi="Arial" w:cs="Arial"/>
        </w:rPr>
        <w:t>after disclosure has been ordered under the crime-fraud exception</w:t>
      </w:r>
      <w:r w:rsidR="00F13B72">
        <w:rPr>
          <w:rFonts w:ascii="Arial" w:hAnsi="Arial" w:cs="Arial"/>
        </w:rPr>
        <w:t>,</w:t>
      </w:r>
      <w:r w:rsidR="00B34C33" w:rsidRPr="00611F48">
        <w:rPr>
          <w:rFonts w:ascii="Arial" w:hAnsi="Arial" w:cs="Arial"/>
        </w:rPr>
        <w:t xml:space="preserve"> </w:t>
      </w:r>
      <w:r w:rsidR="00D06AD5" w:rsidRPr="00611F48">
        <w:rPr>
          <w:rFonts w:ascii="Arial" w:hAnsi="Arial" w:cs="Arial"/>
        </w:rPr>
        <w:t xml:space="preserve">it is inaccurate to say that privilege never attached to </w:t>
      </w:r>
      <w:r w:rsidR="00BA7E1A" w:rsidRPr="00611F48">
        <w:rPr>
          <w:rFonts w:ascii="Arial" w:hAnsi="Arial" w:cs="Arial"/>
        </w:rPr>
        <w:t>the communications</w:t>
      </w:r>
      <w:r w:rsidR="0074653E">
        <w:rPr>
          <w:rFonts w:ascii="Arial" w:hAnsi="Arial" w:cs="Arial"/>
        </w:rPr>
        <w:t xml:space="preserve"> even though </w:t>
      </w:r>
      <w:r w:rsidR="00511D91" w:rsidRPr="00611F48">
        <w:rPr>
          <w:rFonts w:ascii="Arial" w:hAnsi="Arial" w:cs="Arial"/>
        </w:rPr>
        <w:t xml:space="preserve">the operation of the </w:t>
      </w:r>
      <w:r w:rsidR="00B34C33" w:rsidRPr="00611F48">
        <w:rPr>
          <w:rFonts w:ascii="Arial" w:hAnsi="Arial" w:cs="Arial"/>
        </w:rPr>
        <w:t>exception</w:t>
      </w:r>
      <w:r w:rsidR="00511D91" w:rsidRPr="00611F48">
        <w:rPr>
          <w:rFonts w:ascii="Arial" w:hAnsi="Arial" w:cs="Arial"/>
        </w:rPr>
        <w:t xml:space="preserve"> </w:t>
      </w:r>
      <w:r w:rsidR="00B34C33" w:rsidRPr="00611F48">
        <w:rPr>
          <w:rFonts w:ascii="Arial" w:hAnsi="Arial" w:cs="Arial"/>
        </w:rPr>
        <w:t xml:space="preserve">resulted in the frustration of the privilege. </w:t>
      </w:r>
    </w:p>
    <w:p w14:paraId="7E71CB58" w14:textId="77777777" w:rsidR="00834854" w:rsidRPr="00C604AF" w:rsidRDefault="00094AA0" w:rsidP="00EE1BD2">
      <w:pPr>
        <w:numPr>
          <w:ilvl w:val="12"/>
          <w:numId w:val="0"/>
        </w:numPr>
        <w:spacing w:line="480" w:lineRule="auto"/>
        <w:jc w:val="both"/>
        <w:rPr>
          <w:rFonts w:ascii="Arial" w:hAnsi="Arial" w:cs="Arial"/>
          <w:i/>
        </w:rPr>
      </w:pPr>
      <w:r w:rsidRPr="00C604AF">
        <w:rPr>
          <w:rFonts w:ascii="Arial" w:hAnsi="Arial" w:cs="Arial"/>
          <w:i/>
        </w:rPr>
        <w:t>The i</w:t>
      </w:r>
      <w:r w:rsidR="00834854" w:rsidRPr="00C604AF">
        <w:rPr>
          <w:rFonts w:ascii="Arial" w:hAnsi="Arial" w:cs="Arial"/>
          <w:i/>
        </w:rPr>
        <w:t>niquity</w:t>
      </w:r>
      <w:r w:rsidRPr="00C604AF">
        <w:rPr>
          <w:rFonts w:ascii="Arial" w:hAnsi="Arial" w:cs="Arial"/>
          <w:i/>
        </w:rPr>
        <w:t xml:space="preserve"> exception</w:t>
      </w:r>
    </w:p>
    <w:p w14:paraId="7A6D8A40" w14:textId="31FE6458" w:rsidR="004F2438" w:rsidRDefault="0023160D" w:rsidP="00EE1BD2">
      <w:pPr>
        <w:numPr>
          <w:ilvl w:val="12"/>
          <w:numId w:val="0"/>
        </w:numPr>
        <w:spacing w:line="480" w:lineRule="auto"/>
        <w:jc w:val="both"/>
        <w:rPr>
          <w:rFonts w:ascii="Arial" w:hAnsi="Arial" w:cs="Arial"/>
        </w:rPr>
      </w:pPr>
      <w:r w:rsidRPr="00611F48">
        <w:rPr>
          <w:rFonts w:ascii="Arial" w:hAnsi="Arial" w:cs="Arial"/>
        </w:rPr>
        <w:t>The operation of the crime-fraud exception is not restricted to fraud in the criminal sense</w:t>
      </w:r>
      <w:r w:rsidR="00F13B72">
        <w:rPr>
          <w:rFonts w:ascii="Arial" w:hAnsi="Arial" w:cs="Arial"/>
        </w:rPr>
        <w:t>,</w:t>
      </w:r>
      <w:r w:rsidRPr="00611F48">
        <w:rPr>
          <w:rFonts w:ascii="Arial" w:hAnsi="Arial" w:cs="Arial"/>
        </w:rPr>
        <w:t xml:space="preserve"> but is applicable whether the fraud </w:t>
      </w:r>
      <w:r w:rsidR="00D0614C" w:rsidRPr="00611F48">
        <w:rPr>
          <w:rFonts w:ascii="Arial" w:hAnsi="Arial" w:cs="Arial"/>
        </w:rPr>
        <w:t xml:space="preserve">is </w:t>
      </w:r>
      <w:r w:rsidRPr="00611F48">
        <w:rPr>
          <w:rFonts w:ascii="Arial" w:hAnsi="Arial" w:cs="Arial"/>
        </w:rPr>
        <w:t>criminal or civil in nature.</w:t>
      </w:r>
      <w:r w:rsidRPr="00611F48">
        <w:rPr>
          <w:rStyle w:val="FootnoteReference"/>
          <w:rFonts w:ascii="Arial" w:hAnsi="Arial" w:cs="Arial"/>
        </w:rPr>
        <w:footnoteReference w:id="18"/>
      </w:r>
      <w:r w:rsidRPr="00611F48">
        <w:rPr>
          <w:rFonts w:ascii="Arial" w:hAnsi="Arial" w:cs="Arial"/>
        </w:rPr>
        <w:t xml:space="preserve"> </w:t>
      </w:r>
      <w:r w:rsidR="0056055A" w:rsidRPr="00611F48">
        <w:rPr>
          <w:rFonts w:ascii="Arial" w:hAnsi="Arial" w:cs="Arial"/>
        </w:rPr>
        <w:t>Indeed</w:t>
      </w:r>
      <w:r w:rsidR="00A002FB" w:rsidRPr="00611F48">
        <w:rPr>
          <w:rFonts w:ascii="Arial" w:hAnsi="Arial" w:cs="Arial"/>
        </w:rPr>
        <w:t xml:space="preserve">, whilst </w:t>
      </w:r>
      <w:r w:rsidR="00AF269F" w:rsidRPr="00611F48">
        <w:rPr>
          <w:rFonts w:ascii="Arial" w:hAnsi="Arial" w:cs="Arial"/>
        </w:rPr>
        <w:t xml:space="preserve">it has been held that the </w:t>
      </w:r>
      <w:r w:rsidR="00C043CD" w:rsidRPr="00611F48">
        <w:rPr>
          <w:rFonts w:ascii="Arial" w:hAnsi="Arial" w:cs="Arial"/>
        </w:rPr>
        <w:t xml:space="preserve">ambit of the </w:t>
      </w:r>
      <w:r w:rsidR="00A002FB" w:rsidRPr="00611F48">
        <w:rPr>
          <w:rFonts w:ascii="Arial" w:hAnsi="Arial" w:cs="Arial"/>
        </w:rPr>
        <w:t xml:space="preserve">exception </w:t>
      </w:r>
      <w:r w:rsidR="00C043CD" w:rsidRPr="00611F48">
        <w:rPr>
          <w:rFonts w:ascii="Arial" w:hAnsi="Arial" w:cs="Arial"/>
        </w:rPr>
        <w:t>is</w:t>
      </w:r>
      <w:r w:rsidR="00A002FB" w:rsidRPr="00611F48">
        <w:rPr>
          <w:rFonts w:ascii="Arial" w:hAnsi="Arial" w:cs="Arial"/>
        </w:rPr>
        <w:t xml:space="preserve"> not </w:t>
      </w:r>
      <w:r w:rsidR="00C043CD" w:rsidRPr="00611F48">
        <w:rPr>
          <w:rFonts w:ascii="Arial" w:hAnsi="Arial" w:cs="Arial"/>
        </w:rPr>
        <w:t xml:space="preserve">so wide as to </w:t>
      </w:r>
      <w:r w:rsidR="009E7A5F" w:rsidRPr="00611F48">
        <w:rPr>
          <w:rFonts w:ascii="Arial" w:hAnsi="Arial" w:cs="Arial"/>
        </w:rPr>
        <w:t>encompass</w:t>
      </w:r>
      <w:r w:rsidR="00F13B72">
        <w:rPr>
          <w:rFonts w:ascii="Arial" w:hAnsi="Arial" w:cs="Arial"/>
        </w:rPr>
        <w:t>,</w:t>
      </w:r>
      <w:r w:rsidR="009E7A5F" w:rsidRPr="00611F48">
        <w:rPr>
          <w:rFonts w:ascii="Arial" w:hAnsi="Arial" w:cs="Arial"/>
        </w:rPr>
        <w:t xml:space="preserve"> “any act or scheme which is unlawful in the sense of giving rise to a civil claim”</w:t>
      </w:r>
      <w:r w:rsidR="009E7A5F" w:rsidRPr="00611F48">
        <w:rPr>
          <w:rStyle w:val="FootnoteReference"/>
          <w:rFonts w:ascii="Arial" w:hAnsi="Arial" w:cs="Arial"/>
        </w:rPr>
        <w:footnoteReference w:id="19"/>
      </w:r>
      <w:r w:rsidR="00F13B72">
        <w:rPr>
          <w:rFonts w:ascii="Arial" w:hAnsi="Arial" w:cs="Arial"/>
        </w:rPr>
        <w:t>,</w:t>
      </w:r>
      <w:r w:rsidR="00AF269F" w:rsidRPr="00611F48">
        <w:rPr>
          <w:rFonts w:ascii="Arial" w:hAnsi="Arial" w:cs="Arial"/>
        </w:rPr>
        <w:t xml:space="preserve"> </w:t>
      </w:r>
      <w:r w:rsidR="004667C8" w:rsidRPr="00611F48">
        <w:rPr>
          <w:rFonts w:ascii="Arial" w:hAnsi="Arial" w:cs="Arial"/>
        </w:rPr>
        <w:t>and that fraud for this purpose must involve dishonesty</w:t>
      </w:r>
      <w:r w:rsidR="00084B87" w:rsidRPr="00611F48">
        <w:rPr>
          <w:rFonts w:ascii="Arial" w:hAnsi="Arial" w:cs="Arial"/>
        </w:rPr>
        <w:t xml:space="preserve"> and not merely disreputability or poor ethical standards</w:t>
      </w:r>
      <w:r w:rsidR="004667C8" w:rsidRPr="00611F48">
        <w:rPr>
          <w:rStyle w:val="FootnoteReference"/>
          <w:rFonts w:ascii="Arial" w:hAnsi="Arial" w:cs="Arial"/>
        </w:rPr>
        <w:footnoteReference w:id="20"/>
      </w:r>
      <w:r w:rsidR="004667C8" w:rsidRPr="00611F48">
        <w:rPr>
          <w:rFonts w:ascii="Arial" w:hAnsi="Arial" w:cs="Arial"/>
        </w:rPr>
        <w:t>,</w:t>
      </w:r>
      <w:r w:rsidR="00084B87" w:rsidRPr="00611F48">
        <w:rPr>
          <w:rFonts w:ascii="Arial" w:hAnsi="Arial" w:cs="Arial"/>
        </w:rPr>
        <w:t xml:space="preserve"> </w:t>
      </w:r>
      <w:r w:rsidR="00A002FB" w:rsidRPr="00611F48">
        <w:rPr>
          <w:rFonts w:ascii="Arial" w:hAnsi="Arial" w:cs="Arial"/>
        </w:rPr>
        <w:t xml:space="preserve">“fraud” is </w:t>
      </w:r>
      <w:r w:rsidR="00A002FB" w:rsidRPr="00611F48">
        <w:rPr>
          <w:rFonts w:ascii="Arial" w:hAnsi="Arial" w:cs="Arial"/>
        </w:rPr>
        <w:lastRenderedPageBreak/>
        <w:t>currently given a relatively broad meaning in this context.</w:t>
      </w:r>
      <w:r w:rsidR="00A002FB" w:rsidRPr="00611F48">
        <w:rPr>
          <w:rStyle w:val="FootnoteReference"/>
          <w:rFonts w:ascii="Arial" w:hAnsi="Arial" w:cs="Arial"/>
        </w:rPr>
        <w:footnoteReference w:id="21"/>
      </w:r>
      <w:r w:rsidR="00A002FB" w:rsidRPr="00611F48">
        <w:rPr>
          <w:rFonts w:ascii="Arial" w:hAnsi="Arial" w:cs="Arial"/>
          <w:i/>
          <w:color w:val="FF0000"/>
        </w:rPr>
        <w:t xml:space="preserve"> </w:t>
      </w:r>
      <w:r w:rsidR="004B670C" w:rsidRPr="00611F48">
        <w:rPr>
          <w:rFonts w:ascii="Arial" w:hAnsi="Arial" w:cs="Arial"/>
        </w:rPr>
        <w:t>A</w:t>
      </w:r>
      <w:r w:rsidR="00A6701B" w:rsidRPr="00611F48">
        <w:rPr>
          <w:rFonts w:ascii="Arial" w:hAnsi="Arial" w:cs="Arial"/>
        </w:rPr>
        <w:t>dopting</w:t>
      </w:r>
      <w:r w:rsidR="004B670C" w:rsidRPr="00611F48">
        <w:rPr>
          <w:rFonts w:ascii="Arial" w:hAnsi="Arial" w:cs="Arial"/>
        </w:rPr>
        <w:t xml:space="preserve"> this broad approach, the Court of Appeal </w:t>
      </w:r>
      <w:r w:rsidR="00834854" w:rsidRPr="00611F48">
        <w:rPr>
          <w:rFonts w:ascii="Arial" w:hAnsi="Arial" w:cs="Arial"/>
        </w:rPr>
        <w:t xml:space="preserve">in </w:t>
      </w:r>
      <w:r w:rsidR="00834854" w:rsidRPr="00611F48">
        <w:rPr>
          <w:rFonts w:ascii="Arial" w:hAnsi="Arial" w:cs="Arial"/>
          <w:i/>
        </w:rPr>
        <w:t>Barclays Bank plc v Eustice</w:t>
      </w:r>
      <w:r w:rsidR="00834854" w:rsidRPr="00611F48">
        <w:rPr>
          <w:rStyle w:val="FootnoteReference"/>
          <w:rFonts w:ascii="Arial" w:hAnsi="Arial" w:cs="Arial"/>
        </w:rPr>
        <w:footnoteReference w:id="22"/>
      </w:r>
      <w:r w:rsidR="00834854" w:rsidRPr="00611F48">
        <w:rPr>
          <w:rFonts w:ascii="Arial" w:hAnsi="Arial" w:cs="Arial"/>
        </w:rPr>
        <w:t xml:space="preserve">  </w:t>
      </w:r>
      <w:r w:rsidR="004B670C" w:rsidRPr="00611F48">
        <w:rPr>
          <w:rFonts w:ascii="Arial" w:hAnsi="Arial" w:cs="Arial"/>
        </w:rPr>
        <w:t xml:space="preserve">held that </w:t>
      </w:r>
      <w:r w:rsidRPr="00611F48">
        <w:rPr>
          <w:rFonts w:ascii="Arial" w:hAnsi="Arial" w:cs="Arial"/>
        </w:rPr>
        <w:t xml:space="preserve">“iniquity” </w:t>
      </w:r>
      <w:r w:rsidR="004B670C" w:rsidRPr="00611F48">
        <w:rPr>
          <w:rFonts w:ascii="Arial" w:hAnsi="Arial" w:cs="Arial"/>
        </w:rPr>
        <w:t>in the form of</w:t>
      </w:r>
      <w:r w:rsidRPr="00611F48">
        <w:rPr>
          <w:rFonts w:ascii="Arial" w:hAnsi="Arial" w:cs="Arial"/>
        </w:rPr>
        <w:t xml:space="preserve"> entering into transactions at an undervalue for the purpose of prejudicing the interests of a creditor </w:t>
      </w:r>
      <w:r w:rsidR="004B670C" w:rsidRPr="00611F48">
        <w:rPr>
          <w:rFonts w:ascii="Arial" w:hAnsi="Arial" w:cs="Arial"/>
        </w:rPr>
        <w:t>was</w:t>
      </w:r>
      <w:r w:rsidRPr="00611F48">
        <w:rPr>
          <w:rFonts w:ascii="Arial" w:hAnsi="Arial" w:cs="Arial"/>
        </w:rPr>
        <w:t xml:space="preserve"> sufficient to bring the exception into operation</w:t>
      </w:r>
      <w:r w:rsidR="00340570">
        <w:rPr>
          <w:rFonts w:ascii="Arial" w:hAnsi="Arial" w:cs="Arial"/>
        </w:rPr>
        <w:t>.</w:t>
      </w:r>
      <w:r w:rsidR="00397903">
        <w:rPr>
          <w:rFonts w:ascii="Arial" w:hAnsi="Arial" w:cs="Arial"/>
        </w:rPr>
        <w:t xml:space="preserve"> </w:t>
      </w:r>
      <w:r w:rsidR="00340570">
        <w:rPr>
          <w:rFonts w:ascii="Arial" w:hAnsi="Arial" w:cs="Arial"/>
        </w:rPr>
        <w:t>Th</w:t>
      </w:r>
      <w:r w:rsidR="006332EC">
        <w:rPr>
          <w:rFonts w:ascii="Arial" w:hAnsi="Arial" w:cs="Arial"/>
        </w:rPr>
        <w:t>is was so</w:t>
      </w:r>
      <w:r w:rsidR="00A002FB" w:rsidRPr="00611F48">
        <w:rPr>
          <w:rFonts w:ascii="Arial" w:hAnsi="Arial" w:cs="Arial"/>
        </w:rPr>
        <w:t xml:space="preserve"> even </w:t>
      </w:r>
      <w:r w:rsidR="005E360E" w:rsidRPr="00611F48">
        <w:rPr>
          <w:rFonts w:ascii="Arial" w:hAnsi="Arial" w:cs="Arial"/>
        </w:rPr>
        <w:t xml:space="preserve">if </w:t>
      </w:r>
      <w:r w:rsidR="004B670C" w:rsidRPr="00611F48">
        <w:rPr>
          <w:rFonts w:ascii="Arial" w:hAnsi="Arial" w:cs="Arial"/>
        </w:rPr>
        <w:t>t</w:t>
      </w:r>
      <w:r w:rsidR="00A002FB" w:rsidRPr="00611F48">
        <w:rPr>
          <w:rFonts w:ascii="Arial" w:hAnsi="Arial" w:cs="Arial"/>
        </w:rPr>
        <w:t xml:space="preserve">here </w:t>
      </w:r>
      <w:r w:rsidR="002C14DA" w:rsidRPr="00611F48">
        <w:rPr>
          <w:rFonts w:ascii="Arial" w:hAnsi="Arial" w:cs="Arial"/>
        </w:rPr>
        <w:t>was</w:t>
      </w:r>
      <w:r w:rsidR="00A002FB" w:rsidRPr="00611F48">
        <w:rPr>
          <w:rFonts w:ascii="Arial" w:hAnsi="Arial" w:cs="Arial"/>
        </w:rPr>
        <w:t xml:space="preserve"> no dishonesty and </w:t>
      </w:r>
      <w:r w:rsidR="000A6BA8" w:rsidRPr="00611F48">
        <w:rPr>
          <w:rFonts w:ascii="Arial" w:hAnsi="Arial" w:cs="Arial"/>
        </w:rPr>
        <w:t xml:space="preserve">even if </w:t>
      </w:r>
      <w:r w:rsidR="004B670C" w:rsidRPr="00611F48">
        <w:rPr>
          <w:rFonts w:ascii="Arial" w:hAnsi="Arial" w:cs="Arial"/>
        </w:rPr>
        <w:t xml:space="preserve">the </w:t>
      </w:r>
      <w:r w:rsidR="00A002FB" w:rsidRPr="00611F48">
        <w:rPr>
          <w:rFonts w:ascii="Arial" w:hAnsi="Arial" w:cs="Arial"/>
        </w:rPr>
        <w:t xml:space="preserve">client </w:t>
      </w:r>
      <w:r w:rsidR="00502F68" w:rsidRPr="00611F48">
        <w:rPr>
          <w:rFonts w:ascii="Arial" w:hAnsi="Arial" w:cs="Arial"/>
        </w:rPr>
        <w:t>and</w:t>
      </w:r>
      <w:r w:rsidR="00A002FB" w:rsidRPr="00611F48">
        <w:rPr>
          <w:rFonts w:ascii="Arial" w:hAnsi="Arial" w:cs="Arial"/>
        </w:rPr>
        <w:t xml:space="preserve"> </w:t>
      </w:r>
      <w:r w:rsidR="004B670C" w:rsidRPr="00611F48">
        <w:rPr>
          <w:rFonts w:ascii="Arial" w:hAnsi="Arial" w:cs="Arial"/>
        </w:rPr>
        <w:t xml:space="preserve">the </w:t>
      </w:r>
      <w:r w:rsidR="00A002FB" w:rsidRPr="00611F48">
        <w:rPr>
          <w:rFonts w:ascii="Arial" w:hAnsi="Arial" w:cs="Arial"/>
        </w:rPr>
        <w:t xml:space="preserve">legal adviser </w:t>
      </w:r>
      <w:r w:rsidR="00502F68" w:rsidRPr="00611F48">
        <w:rPr>
          <w:rFonts w:ascii="Arial" w:hAnsi="Arial" w:cs="Arial"/>
        </w:rPr>
        <w:t xml:space="preserve">had misunderstood the law such that they </w:t>
      </w:r>
      <w:r w:rsidR="000A6BA8" w:rsidRPr="00611F48">
        <w:rPr>
          <w:rFonts w:ascii="Arial" w:hAnsi="Arial" w:cs="Arial"/>
        </w:rPr>
        <w:t xml:space="preserve">did not </w:t>
      </w:r>
      <w:r w:rsidR="005E360E" w:rsidRPr="00611F48">
        <w:rPr>
          <w:rFonts w:ascii="Arial" w:hAnsi="Arial" w:cs="Arial"/>
        </w:rPr>
        <w:t>believe that the transactions were at an undervalue</w:t>
      </w:r>
      <w:r w:rsidR="00F13B72">
        <w:rPr>
          <w:rFonts w:ascii="Arial" w:hAnsi="Arial" w:cs="Arial"/>
        </w:rPr>
        <w:t>,</w:t>
      </w:r>
      <w:r w:rsidR="005E360E" w:rsidRPr="00611F48">
        <w:rPr>
          <w:rFonts w:ascii="Arial" w:hAnsi="Arial" w:cs="Arial"/>
        </w:rPr>
        <w:t xml:space="preserve"> and/or </w:t>
      </w:r>
      <w:r w:rsidR="000A6BA8" w:rsidRPr="00611F48">
        <w:rPr>
          <w:rFonts w:ascii="Arial" w:hAnsi="Arial" w:cs="Arial"/>
        </w:rPr>
        <w:t xml:space="preserve">did not believe that a court </w:t>
      </w:r>
      <w:r w:rsidR="005E360E" w:rsidRPr="00611F48">
        <w:rPr>
          <w:rFonts w:ascii="Arial" w:hAnsi="Arial" w:cs="Arial"/>
        </w:rPr>
        <w:t xml:space="preserve"> </w:t>
      </w:r>
      <w:r w:rsidR="000A6BA8" w:rsidRPr="00611F48">
        <w:rPr>
          <w:rFonts w:ascii="Arial" w:hAnsi="Arial" w:cs="Arial"/>
        </w:rPr>
        <w:t>would find that the purpose of the transactions had been to prejudice the creditor’s interests.</w:t>
      </w:r>
      <w:r w:rsidR="004B670C" w:rsidRPr="00611F48">
        <w:rPr>
          <w:rStyle w:val="FootnoteReference"/>
          <w:rFonts w:ascii="Arial" w:hAnsi="Arial" w:cs="Arial"/>
        </w:rPr>
        <w:footnoteReference w:id="23"/>
      </w:r>
      <w:r w:rsidR="002C14DA" w:rsidRPr="00611F48">
        <w:rPr>
          <w:rFonts w:ascii="Arial" w:hAnsi="Arial" w:cs="Arial"/>
        </w:rPr>
        <w:t xml:space="preserve"> </w:t>
      </w:r>
    </w:p>
    <w:p w14:paraId="075C4F80" w14:textId="77777777" w:rsidR="0077594D" w:rsidRDefault="0077594D" w:rsidP="00EE1BD2">
      <w:pPr>
        <w:numPr>
          <w:ilvl w:val="12"/>
          <w:numId w:val="0"/>
        </w:numPr>
        <w:spacing w:line="480" w:lineRule="auto"/>
        <w:jc w:val="both"/>
        <w:rPr>
          <w:rFonts w:ascii="Arial" w:hAnsi="Arial" w:cs="Arial"/>
        </w:rPr>
      </w:pPr>
    </w:p>
    <w:p w14:paraId="6E92DA1D" w14:textId="1E0E26AC" w:rsidR="00834854" w:rsidRDefault="00A6701B" w:rsidP="00EE1BD2">
      <w:pPr>
        <w:numPr>
          <w:ilvl w:val="12"/>
          <w:numId w:val="0"/>
        </w:numPr>
        <w:spacing w:line="480" w:lineRule="auto"/>
        <w:jc w:val="both"/>
        <w:rPr>
          <w:rFonts w:ascii="Arial" w:hAnsi="Arial" w:cs="Arial"/>
        </w:rPr>
      </w:pPr>
      <w:r w:rsidRPr="00611F48">
        <w:rPr>
          <w:rFonts w:ascii="Arial" w:hAnsi="Arial" w:cs="Arial"/>
        </w:rPr>
        <w:t>In reaching its decision, t</w:t>
      </w:r>
      <w:r w:rsidR="004B670C" w:rsidRPr="00611F48">
        <w:rPr>
          <w:rFonts w:ascii="Arial" w:hAnsi="Arial" w:cs="Arial"/>
        </w:rPr>
        <w:t xml:space="preserve">he Court of Appeal </w:t>
      </w:r>
      <w:r w:rsidR="000139F1" w:rsidRPr="00611F48">
        <w:rPr>
          <w:rFonts w:ascii="Arial" w:hAnsi="Arial" w:cs="Arial"/>
        </w:rPr>
        <w:t xml:space="preserve">considered whether public policy required that the </w:t>
      </w:r>
      <w:r w:rsidRPr="00611F48">
        <w:rPr>
          <w:rFonts w:ascii="Arial" w:hAnsi="Arial" w:cs="Arial"/>
        </w:rPr>
        <w:t xml:space="preserve">allegedly privileged </w:t>
      </w:r>
      <w:r w:rsidR="000139F1" w:rsidRPr="00611F48">
        <w:rPr>
          <w:rFonts w:ascii="Arial" w:hAnsi="Arial" w:cs="Arial"/>
        </w:rPr>
        <w:t xml:space="preserve">documents </w:t>
      </w:r>
      <w:r w:rsidR="008B26EC" w:rsidRPr="00611F48">
        <w:rPr>
          <w:rFonts w:ascii="Arial" w:hAnsi="Arial" w:cs="Arial"/>
        </w:rPr>
        <w:t>should</w:t>
      </w:r>
      <w:r w:rsidR="000139F1" w:rsidRPr="00611F48">
        <w:rPr>
          <w:rFonts w:ascii="Arial" w:hAnsi="Arial" w:cs="Arial"/>
        </w:rPr>
        <w:t xml:space="preserve"> not </w:t>
      </w:r>
      <w:r w:rsidR="008B26EC" w:rsidRPr="00611F48">
        <w:rPr>
          <w:rFonts w:ascii="Arial" w:hAnsi="Arial" w:cs="Arial"/>
        </w:rPr>
        <w:t xml:space="preserve">be </w:t>
      </w:r>
      <w:r w:rsidR="003152B5" w:rsidRPr="00611F48">
        <w:rPr>
          <w:rFonts w:ascii="Arial" w:hAnsi="Arial" w:cs="Arial"/>
        </w:rPr>
        <w:t>disclosed</w:t>
      </w:r>
      <w:r w:rsidR="00F13B72">
        <w:rPr>
          <w:rFonts w:ascii="Arial" w:hAnsi="Arial" w:cs="Arial"/>
        </w:rPr>
        <w:t>,</w:t>
      </w:r>
      <w:r w:rsidR="003152B5" w:rsidRPr="00611F48">
        <w:rPr>
          <w:rFonts w:ascii="Arial" w:hAnsi="Arial" w:cs="Arial"/>
        </w:rPr>
        <w:t xml:space="preserve"> </w:t>
      </w:r>
      <w:r w:rsidR="000139F1" w:rsidRPr="00611F48">
        <w:rPr>
          <w:rFonts w:ascii="Arial" w:hAnsi="Arial" w:cs="Arial"/>
        </w:rPr>
        <w:t xml:space="preserve">or whether the purpose of </w:t>
      </w:r>
      <w:r w:rsidR="008B26EC" w:rsidRPr="00611F48">
        <w:rPr>
          <w:rFonts w:ascii="Arial" w:hAnsi="Arial" w:cs="Arial"/>
        </w:rPr>
        <w:t>the defendants in</w:t>
      </w:r>
      <w:r w:rsidR="000139F1" w:rsidRPr="00611F48">
        <w:rPr>
          <w:rFonts w:ascii="Arial" w:hAnsi="Arial" w:cs="Arial"/>
        </w:rPr>
        <w:t xml:space="preserve"> entering into the transactions was sufficiently iniquitous that public policy required </w:t>
      </w:r>
      <w:r w:rsidR="003152B5" w:rsidRPr="00611F48">
        <w:rPr>
          <w:rFonts w:ascii="Arial" w:hAnsi="Arial" w:cs="Arial"/>
        </w:rPr>
        <w:t>disclosure</w:t>
      </w:r>
      <w:r w:rsidR="00A63AA6" w:rsidRPr="00611F48">
        <w:rPr>
          <w:rFonts w:ascii="Arial" w:hAnsi="Arial" w:cs="Arial"/>
        </w:rPr>
        <w:t xml:space="preserve">. It </w:t>
      </w:r>
      <w:r w:rsidR="008B26EC" w:rsidRPr="00611F48">
        <w:rPr>
          <w:rFonts w:ascii="Arial" w:hAnsi="Arial" w:cs="Arial"/>
        </w:rPr>
        <w:t>conclud</w:t>
      </w:r>
      <w:r w:rsidR="003152B5" w:rsidRPr="00611F48">
        <w:rPr>
          <w:rFonts w:ascii="Arial" w:hAnsi="Arial" w:cs="Arial"/>
        </w:rPr>
        <w:t>ed</w:t>
      </w:r>
      <w:r w:rsidR="008B26EC" w:rsidRPr="00611F48">
        <w:rPr>
          <w:rFonts w:ascii="Arial" w:hAnsi="Arial" w:cs="Arial"/>
        </w:rPr>
        <w:t xml:space="preserve"> that the defendants</w:t>
      </w:r>
      <w:r w:rsidR="007C6ADD">
        <w:rPr>
          <w:rFonts w:ascii="Arial" w:hAnsi="Arial" w:cs="Arial"/>
        </w:rPr>
        <w:t>’</w:t>
      </w:r>
      <w:r w:rsidR="008B26EC" w:rsidRPr="00611F48">
        <w:rPr>
          <w:rFonts w:ascii="Arial" w:hAnsi="Arial" w:cs="Arial"/>
        </w:rPr>
        <w:t xml:space="preserve"> purpose had been sufficiently iniquitous to </w:t>
      </w:r>
      <w:r w:rsidR="003152B5" w:rsidRPr="00611F48">
        <w:rPr>
          <w:rFonts w:ascii="Arial" w:hAnsi="Arial" w:cs="Arial"/>
        </w:rPr>
        <w:t>require disclosure</w:t>
      </w:r>
      <w:r w:rsidR="00A63AA6" w:rsidRPr="00611F48">
        <w:rPr>
          <w:rFonts w:ascii="Arial" w:hAnsi="Arial" w:cs="Arial"/>
        </w:rPr>
        <w:t>.</w:t>
      </w:r>
      <w:r w:rsidR="00A63AA6" w:rsidRPr="00611F48">
        <w:rPr>
          <w:rStyle w:val="FootnoteReference"/>
          <w:rFonts w:ascii="Arial" w:hAnsi="Arial" w:cs="Arial"/>
        </w:rPr>
        <w:footnoteReference w:id="24"/>
      </w:r>
      <w:r w:rsidR="00A63AA6" w:rsidRPr="00611F48">
        <w:rPr>
          <w:rFonts w:ascii="Arial" w:hAnsi="Arial" w:cs="Arial"/>
        </w:rPr>
        <w:t xml:space="preserve"> </w:t>
      </w:r>
      <w:r w:rsidR="00834854" w:rsidRPr="00611F48">
        <w:rPr>
          <w:rFonts w:ascii="Arial" w:hAnsi="Arial" w:cs="Arial"/>
        </w:rPr>
        <w:t>A</w:t>
      </w:r>
      <w:r w:rsidR="00A63AA6" w:rsidRPr="00611F48">
        <w:rPr>
          <w:rFonts w:ascii="Arial" w:hAnsi="Arial" w:cs="Arial"/>
        </w:rPr>
        <w:t>ccepting that its decision might discourage persons considering engaging in sharp practice from consulting legal advisers who might have dissuaded them from adopting an iniquitous course of conduct</w:t>
      </w:r>
      <w:r w:rsidR="00834854" w:rsidRPr="00611F48">
        <w:rPr>
          <w:rFonts w:ascii="Arial" w:hAnsi="Arial" w:cs="Arial"/>
        </w:rPr>
        <w:t>, the Court of Appeal</w:t>
      </w:r>
      <w:r w:rsidR="00A63AA6" w:rsidRPr="00611F48">
        <w:rPr>
          <w:rFonts w:ascii="Arial" w:hAnsi="Arial" w:cs="Arial"/>
        </w:rPr>
        <w:t xml:space="preserve"> believed that the absence of legal assistance would make it more difficult for such persons to implement their iniquitous schemes</w:t>
      </w:r>
      <w:r w:rsidR="00F13B72">
        <w:rPr>
          <w:rFonts w:ascii="Arial" w:hAnsi="Arial" w:cs="Arial"/>
        </w:rPr>
        <w:t>,</w:t>
      </w:r>
      <w:r w:rsidR="00A63AA6" w:rsidRPr="00611F48">
        <w:rPr>
          <w:rFonts w:ascii="Arial" w:hAnsi="Arial" w:cs="Arial"/>
        </w:rPr>
        <w:t xml:space="preserve"> and</w:t>
      </w:r>
      <w:r w:rsidR="00A21E33" w:rsidRPr="00611F48">
        <w:rPr>
          <w:rFonts w:ascii="Arial" w:hAnsi="Arial" w:cs="Arial"/>
        </w:rPr>
        <w:t xml:space="preserve"> that </w:t>
      </w:r>
      <w:r w:rsidR="00A63AA6" w:rsidRPr="00611F48">
        <w:rPr>
          <w:rFonts w:ascii="Arial" w:hAnsi="Arial" w:cs="Arial"/>
        </w:rPr>
        <w:t>its</w:t>
      </w:r>
      <w:r w:rsidR="00A21E33" w:rsidRPr="00611F48">
        <w:rPr>
          <w:rFonts w:ascii="Arial" w:hAnsi="Arial" w:cs="Arial"/>
        </w:rPr>
        <w:t xml:space="preserve"> decision would not discourage “straightforward citizens” from consulting their legal advisers.</w:t>
      </w:r>
      <w:r w:rsidR="00A21E33" w:rsidRPr="00611F48">
        <w:rPr>
          <w:rStyle w:val="FootnoteReference"/>
          <w:rFonts w:ascii="Arial" w:hAnsi="Arial" w:cs="Arial"/>
        </w:rPr>
        <w:footnoteReference w:id="25"/>
      </w:r>
      <w:r w:rsidR="00A21E33" w:rsidRPr="00611F48">
        <w:rPr>
          <w:rFonts w:ascii="Arial" w:hAnsi="Arial" w:cs="Arial"/>
        </w:rPr>
        <w:t xml:space="preserve"> </w:t>
      </w:r>
      <w:r w:rsidR="00B25000" w:rsidRPr="00611F48">
        <w:rPr>
          <w:rFonts w:ascii="Arial" w:hAnsi="Arial" w:cs="Arial"/>
        </w:rPr>
        <w:t>The iniquity exception is applicable both to legal advice privilege and to litigation privilege.</w:t>
      </w:r>
      <w:r w:rsidR="00B25000" w:rsidRPr="00611F48">
        <w:rPr>
          <w:rStyle w:val="FootnoteReference"/>
          <w:rFonts w:ascii="Arial" w:hAnsi="Arial" w:cs="Arial"/>
        </w:rPr>
        <w:footnoteReference w:id="26"/>
      </w:r>
      <w:r w:rsidR="00B25000" w:rsidRPr="00611F48">
        <w:rPr>
          <w:rFonts w:ascii="Arial" w:hAnsi="Arial" w:cs="Arial"/>
        </w:rPr>
        <w:t xml:space="preserve"> </w:t>
      </w:r>
    </w:p>
    <w:p w14:paraId="1FEE5B5E" w14:textId="77777777" w:rsidR="0077594D" w:rsidRPr="00611F48" w:rsidRDefault="0077594D" w:rsidP="00EE1BD2">
      <w:pPr>
        <w:numPr>
          <w:ilvl w:val="12"/>
          <w:numId w:val="0"/>
        </w:numPr>
        <w:spacing w:line="480" w:lineRule="auto"/>
        <w:jc w:val="both"/>
        <w:rPr>
          <w:rFonts w:ascii="Arial" w:hAnsi="Arial" w:cs="Arial"/>
        </w:rPr>
      </w:pPr>
    </w:p>
    <w:p w14:paraId="12C68126" w14:textId="52E63A6D" w:rsidR="002665D5" w:rsidRDefault="003E1795" w:rsidP="00EE1BD2">
      <w:pPr>
        <w:numPr>
          <w:ilvl w:val="12"/>
          <w:numId w:val="0"/>
        </w:numPr>
        <w:spacing w:line="480" w:lineRule="auto"/>
        <w:jc w:val="both"/>
        <w:rPr>
          <w:rFonts w:ascii="Arial" w:hAnsi="Arial" w:cs="Arial"/>
        </w:rPr>
      </w:pPr>
      <w:r>
        <w:rPr>
          <w:rFonts w:ascii="Arial" w:hAnsi="Arial" w:cs="Arial"/>
        </w:rPr>
        <w:lastRenderedPageBreak/>
        <w:t>T</w:t>
      </w:r>
      <w:r w:rsidR="002665D5">
        <w:rPr>
          <w:rFonts w:ascii="Arial" w:hAnsi="Arial" w:cs="Arial"/>
        </w:rPr>
        <w:t xml:space="preserve">he breadth of the approach adopted by the Court of Appeal in </w:t>
      </w:r>
      <w:r w:rsidR="002665D5" w:rsidRPr="002665D5">
        <w:rPr>
          <w:rFonts w:ascii="Arial" w:hAnsi="Arial" w:cs="Arial"/>
          <w:i/>
        </w:rPr>
        <w:t xml:space="preserve">Eustice </w:t>
      </w:r>
      <w:r w:rsidR="002665D5">
        <w:rPr>
          <w:rFonts w:ascii="Arial" w:hAnsi="Arial" w:cs="Arial"/>
        </w:rPr>
        <w:t xml:space="preserve">has </w:t>
      </w:r>
      <w:r>
        <w:rPr>
          <w:rFonts w:ascii="Arial" w:hAnsi="Arial" w:cs="Arial"/>
        </w:rPr>
        <w:t xml:space="preserve">a number of </w:t>
      </w:r>
      <w:r w:rsidR="002D50B9">
        <w:rPr>
          <w:rFonts w:ascii="Arial" w:hAnsi="Arial" w:cs="Arial"/>
        </w:rPr>
        <w:t>possible</w:t>
      </w:r>
      <w:r>
        <w:rPr>
          <w:rFonts w:ascii="Arial" w:hAnsi="Arial" w:cs="Arial"/>
        </w:rPr>
        <w:t xml:space="preserve"> consequences, which are explored further below</w:t>
      </w:r>
      <w:r w:rsidR="00AF57B4">
        <w:rPr>
          <w:rFonts w:ascii="Arial" w:hAnsi="Arial" w:cs="Arial"/>
        </w:rPr>
        <w:t>. These include both its potential</w:t>
      </w:r>
      <w:r w:rsidR="002665D5">
        <w:rPr>
          <w:rFonts w:ascii="Arial" w:hAnsi="Arial" w:cs="Arial"/>
        </w:rPr>
        <w:t xml:space="preserve"> to encompass not only tax evasion</w:t>
      </w:r>
      <w:r w:rsidR="00340570">
        <w:rPr>
          <w:rFonts w:ascii="Arial" w:hAnsi="Arial" w:cs="Arial"/>
        </w:rPr>
        <w:t>,</w:t>
      </w:r>
      <w:r w:rsidR="002665D5">
        <w:rPr>
          <w:rFonts w:ascii="Arial" w:hAnsi="Arial" w:cs="Arial"/>
        </w:rPr>
        <w:t xml:space="preserve"> b</w:t>
      </w:r>
      <w:r>
        <w:rPr>
          <w:rFonts w:ascii="Arial" w:hAnsi="Arial" w:cs="Arial"/>
        </w:rPr>
        <w:t>ut also forms of tax avoidance</w:t>
      </w:r>
      <w:r w:rsidR="00340570">
        <w:rPr>
          <w:rFonts w:ascii="Arial" w:hAnsi="Arial" w:cs="Arial"/>
        </w:rPr>
        <w:t>,</w:t>
      </w:r>
      <w:r w:rsidR="00AF57B4">
        <w:rPr>
          <w:rFonts w:ascii="Arial" w:hAnsi="Arial" w:cs="Arial"/>
        </w:rPr>
        <w:t xml:space="preserve"> and the possibility that its uncertain ambit could result in </w:t>
      </w:r>
      <w:r w:rsidR="00D547B5">
        <w:rPr>
          <w:rFonts w:ascii="Arial" w:hAnsi="Arial" w:cs="Arial"/>
        </w:rPr>
        <w:t>violation of article 8 of the European Convention on Human Rights</w:t>
      </w:r>
      <w:r w:rsidR="00AF57B4">
        <w:rPr>
          <w:rFonts w:ascii="Arial" w:hAnsi="Arial" w:cs="Arial"/>
        </w:rPr>
        <w:t xml:space="preserve"> in </w:t>
      </w:r>
      <w:r w:rsidR="0098092C">
        <w:rPr>
          <w:rFonts w:ascii="Arial" w:hAnsi="Arial" w:cs="Arial"/>
        </w:rPr>
        <w:t xml:space="preserve">circumstances in </w:t>
      </w:r>
      <w:r w:rsidR="00AF57B4">
        <w:rPr>
          <w:rFonts w:ascii="Arial" w:hAnsi="Arial" w:cs="Arial"/>
        </w:rPr>
        <w:t xml:space="preserve">which its application </w:t>
      </w:r>
      <w:r w:rsidR="0098092C">
        <w:rPr>
          <w:rFonts w:ascii="Arial" w:hAnsi="Arial" w:cs="Arial"/>
        </w:rPr>
        <w:t xml:space="preserve">would require the </w:t>
      </w:r>
      <w:r w:rsidR="00AF57B4">
        <w:rPr>
          <w:rFonts w:ascii="Arial" w:hAnsi="Arial" w:cs="Arial"/>
        </w:rPr>
        <w:t>disclos</w:t>
      </w:r>
      <w:r w:rsidR="0098092C">
        <w:rPr>
          <w:rFonts w:ascii="Arial" w:hAnsi="Arial" w:cs="Arial"/>
        </w:rPr>
        <w:t>ur</w:t>
      </w:r>
      <w:r w:rsidR="00AF57B4">
        <w:rPr>
          <w:rFonts w:ascii="Arial" w:hAnsi="Arial" w:cs="Arial"/>
        </w:rPr>
        <w:t xml:space="preserve">e </w:t>
      </w:r>
      <w:r w:rsidR="0098092C">
        <w:rPr>
          <w:rFonts w:ascii="Arial" w:hAnsi="Arial" w:cs="Arial"/>
        </w:rPr>
        <w:t>of otherwise</w:t>
      </w:r>
      <w:r w:rsidR="00AF57B4">
        <w:rPr>
          <w:rFonts w:ascii="Arial" w:hAnsi="Arial" w:cs="Arial"/>
        </w:rPr>
        <w:t xml:space="preserve"> privileged material. </w:t>
      </w:r>
      <w:r w:rsidR="00D547B5">
        <w:rPr>
          <w:rFonts w:ascii="Arial" w:hAnsi="Arial" w:cs="Arial"/>
        </w:rPr>
        <w:t xml:space="preserve"> </w:t>
      </w:r>
      <w:r w:rsidR="00AF57B4">
        <w:rPr>
          <w:rFonts w:ascii="Arial" w:hAnsi="Arial" w:cs="Arial"/>
        </w:rPr>
        <w:t>It is also suggested below</w:t>
      </w:r>
      <w:r w:rsidR="00E86E2D">
        <w:rPr>
          <w:rFonts w:ascii="Arial" w:hAnsi="Arial" w:cs="Arial"/>
        </w:rPr>
        <w:t xml:space="preserve"> </w:t>
      </w:r>
      <w:r w:rsidR="00EF29A5">
        <w:rPr>
          <w:rFonts w:ascii="Arial" w:hAnsi="Arial" w:cs="Arial"/>
        </w:rPr>
        <w:t>that</w:t>
      </w:r>
      <w:r w:rsidR="00AF57B4">
        <w:rPr>
          <w:rFonts w:ascii="Arial" w:hAnsi="Arial" w:cs="Arial"/>
        </w:rPr>
        <w:t xml:space="preserve"> </w:t>
      </w:r>
      <w:r w:rsidR="002665D5">
        <w:rPr>
          <w:rFonts w:ascii="Arial" w:hAnsi="Arial" w:cs="Arial"/>
        </w:rPr>
        <w:t xml:space="preserve">the breadth of the </w:t>
      </w:r>
      <w:r w:rsidR="002665D5" w:rsidRPr="00920F06">
        <w:rPr>
          <w:rFonts w:ascii="Arial" w:hAnsi="Arial" w:cs="Arial"/>
          <w:i/>
        </w:rPr>
        <w:t>Eustice</w:t>
      </w:r>
      <w:r w:rsidR="002665D5">
        <w:rPr>
          <w:rFonts w:ascii="Arial" w:hAnsi="Arial" w:cs="Arial"/>
        </w:rPr>
        <w:t xml:space="preserve"> approach </w:t>
      </w:r>
      <w:r w:rsidR="00920F06">
        <w:rPr>
          <w:rFonts w:ascii="Arial" w:hAnsi="Arial" w:cs="Arial"/>
        </w:rPr>
        <w:t xml:space="preserve">may be nullified </w:t>
      </w:r>
      <w:r w:rsidR="006F2185">
        <w:rPr>
          <w:rFonts w:ascii="Arial" w:hAnsi="Arial" w:cs="Arial"/>
        </w:rPr>
        <w:t xml:space="preserve">in practice </w:t>
      </w:r>
      <w:r w:rsidR="00920F06">
        <w:rPr>
          <w:rFonts w:ascii="Arial" w:hAnsi="Arial" w:cs="Arial"/>
        </w:rPr>
        <w:t>by the reluctance of the courts</w:t>
      </w:r>
      <w:r w:rsidR="0086269E">
        <w:rPr>
          <w:rFonts w:ascii="Arial" w:hAnsi="Arial" w:cs="Arial"/>
        </w:rPr>
        <w:t>’</w:t>
      </w:r>
      <w:r w:rsidR="00920F06">
        <w:rPr>
          <w:rFonts w:ascii="Arial" w:hAnsi="Arial" w:cs="Arial"/>
        </w:rPr>
        <w:t xml:space="preserve"> to engage in in camera review of privileged material.</w:t>
      </w:r>
    </w:p>
    <w:p w14:paraId="6A77F49C" w14:textId="77777777" w:rsidR="0077594D" w:rsidRDefault="0077594D" w:rsidP="00EE1BD2">
      <w:pPr>
        <w:numPr>
          <w:ilvl w:val="12"/>
          <w:numId w:val="0"/>
        </w:numPr>
        <w:spacing w:line="480" w:lineRule="auto"/>
        <w:jc w:val="both"/>
        <w:rPr>
          <w:rFonts w:ascii="Arial" w:hAnsi="Arial" w:cs="Arial"/>
        </w:rPr>
      </w:pPr>
    </w:p>
    <w:p w14:paraId="00523E23" w14:textId="43E168CF" w:rsidR="00F85FA3" w:rsidRDefault="006F4B7D" w:rsidP="00EE1BD2">
      <w:pPr>
        <w:numPr>
          <w:ilvl w:val="12"/>
          <w:numId w:val="0"/>
        </w:numPr>
        <w:spacing w:line="480" w:lineRule="auto"/>
        <w:jc w:val="both"/>
        <w:rPr>
          <w:rFonts w:ascii="Arial" w:hAnsi="Arial" w:cs="Arial"/>
        </w:rPr>
      </w:pPr>
      <w:r>
        <w:rPr>
          <w:rFonts w:ascii="Arial" w:hAnsi="Arial" w:cs="Arial"/>
        </w:rPr>
        <w:t xml:space="preserve">The Court of Appeal in </w:t>
      </w:r>
      <w:r w:rsidRPr="00F54CC5">
        <w:rPr>
          <w:rFonts w:ascii="Arial" w:hAnsi="Arial" w:cs="Arial"/>
          <w:i/>
        </w:rPr>
        <w:t>Eustice</w:t>
      </w:r>
      <w:r>
        <w:rPr>
          <w:rFonts w:ascii="Arial" w:hAnsi="Arial" w:cs="Arial"/>
        </w:rPr>
        <w:t xml:space="preserve"> identified the existence of a conflict between the desirability of the court having access to all relevant documents prior to reaching its decision and the rationale underlying the existence of legal professional privilege</w:t>
      </w:r>
      <w:r>
        <w:rPr>
          <w:rStyle w:val="FootnoteReference"/>
          <w:rFonts w:ascii="Arial" w:hAnsi="Arial" w:cs="Arial"/>
        </w:rPr>
        <w:footnoteReference w:id="27"/>
      </w:r>
      <w:r>
        <w:rPr>
          <w:rFonts w:ascii="Arial" w:hAnsi="Arial" w:cs="Arial"/>
        </w:rPr>
        <w:t xml:space="preserve">. </w:t>
      </w:r>
      <w:r w:rsidR="00AE4517">
        <w:rPr>
          <w:rFonts w:ascii="Arial" w:hAnsi="Arial" w:cs="Arial"/>
        </w:rPr>
        <w:t>This rationale is essentially that legal advisor/client confidentiality “must be protected if proper legal advice is to be obtained”.</w:t>
      </w:r>
      <w:r w:rsidR="00AE4517">
        <w:rPr>
          <w:rStyle w:val="FootnoteReference"/>
          <w:rFonts w:ascii="Arial" w:hAnsi="Arial" w:cs="Arial"/>
        </w:rPr>
        <w:footnoteReference w:id="28"/>
      </w:r>
      <w:r w:rsidR="00AE4517">
        <w:rPr>
          <w:rFonts w:ascii="Arial" w:hAnsi="Arial" w:cs="Arial"/>
        </w:rPr>
        <w:t xml:space="preserve"> Its decision that the defendant’s purpose was sufficiently iniquitous to require disclosure, to the extent to which it broadened the ambit of the crime</w:t>
      </w:r>
      <w:r w:rsidR="00F85FA3">
        <w:rPr>
          <w:rFonts w:ascii="Arial" w:hAnsi="Arial" w:cs="Arial"/>
        </w:rPr>
        <w:t>-</w:t>
      </w:r>
      <w:r w:rsidR="00AE4517">
        <w:rPr>
          <w:rFonts w:ascii="Arial" w:hAnsi="Arial" w:cs="Arial"/>
        </w:rPr>
        <w:t>fraud exception</w:t>
      </w:r>
      <w:r w:rsidR="00F85FA3">
        <w:rPr>
          <w:rFonts w:ascii="Arial" w:hAnsi="Arial" w:cs="Arial"/>
        </w:rPr>
        <w:t>, has potential to erode this rationale.</w:t>
      </w:r>
      <w:r w:rsidR="00AE4517">
        <w:rPr>
          <w:rFonts w:ascii="Arial" w:hAnsi="Arial" w:cs="Arial"/>
        </w:rPr>
        <w:t xml:space="preserve"> </w:t>
      </w:r>
      <w:r w:rsidR="00F85FA3">
        <w:rPr>
          <w:rFonts w:ascii="Arial" w:hAnsi="Arial" w:cs="Arial"/>
        </w:rPr>
        <w:t xml:space="preserve">It is arguable that this </w:t>
      </w:r>
      <w:r w:rsidR="00E86E2D">
        <w:rPr>
          <w:rFonts w:ascii="Arial" w:hAnsi="Arial" w:cs="Arial"/>
        </w:rPr>
        <w:t xml:space="preserve">rationale </w:t>
      </w:r>
      <w:r w:rsidR="00F85FA3">
        <w:rPr>
          <w:rFonts w:ascii="Arial" w:hAnsi="Arial" w:cs="Arial"/>
        </w:rPr>
        <w:t xml:space="preserve">is less </w:t>
      </w:r>
      <w:r w:rsidR="00E86E2D">
        <w:rPr>
          <w:rFonts w:ascii="Arial" w:hAnsi="Arial" w:cs="Arial"/>
        </w:rPr>
        <w:t>easy to justify in cases where</w:t>
      </w:r>
      <w:r w:rsidR="00F85FA3">
        <w:rPr>
          <w:rFonts w:ascii="Arial" w:hAnsi="Arial" w:cs="Arial"/>
        </w:rPr>
        <w:t xml:space="preserve"> the litigation privilege form of legal professional privilege is relied upon, </w:t>
      </w:r>
      <w:r w:rsidR="00E86E2D">
        <w:rPr>
          <w:rFonts w:ascii="Arial" w:hAnsi="Arial" w:cs="Arial"/>
        </w:rPr>
        <w:t>because not all communications to which litigation privilege attaches would “disclose the seeking or giving of legal advice”</w:t>
      </w:r>
      <w:r w:rsidR="00E86E2D" w:rsidRPr="00E86E2D">
        <w:rPr>
          <w:rStyle w:val="FootnoteReference"/>
          <w:rFonts w:ascii="Arial" w:hAnsi="Arial" w:cs="Arial"/>
        </w:rPr>
        <w:t xml:space="preserve"> </w:t>
      </w:r>
      <w:r w:rsidR="00E86E2D">
        <w:rPr>
          <w:rStyle w:val="FootnoteReference"/>
          <w:rFonts w:ascii="Arial" w:hAnsi="Arial" w:cs="Arial"/>
        </w:rPr>
        <w:footnoteReference w:id="29"/>
      </w:r>
      <w:r w:rsidR="00E86E2D">
        <w:rPr>
          <w:rFonts w:ascii="Arial" w:hAnsi="Arial" w:cs="Arial"/>
        </w:rPr>
        <w:t xml:space="preserve">.  </w:t>
      </w:r>
      <w:r w:rsidR="00F85FA3" w:rsidRPr="00F54CC5">
        <w:rPr>
          <w:rFonts w:ascii="Arial" w:hAnsi="Arial" w:cs="Arial"/>
          <w:i/>
        </w:rPr>
        <w:t xml:space="preserve">Eustice </w:t>
      </w:r>
      <w:r w:rsidR="00E86E2D" w:rsidRPr="00E86E2D">
        <w:rPr>
          <w:rFonts w:ascii="Arial" w:hAnsi="Arial" w:cs="Arial"/>
        </w:rPr>
        <w:t xml:space="preserve">itself </w:t>
      </w:r>
      <w:r w:rsidR="00F85FA3">
        <w:rPr>
          <w:rFonts w:ascii="Arial" w:hAnsi="Arial" w:cs="Arial"/>
        </w:rPr>
        <w:t>concerned legal advice privilege</w:t>
      </w:r>
      <w:r w:rsidR="00E86E2D">
        <w:rPr>
          <w:rFonts w:ascii="Arial" w:hAnsi="Arial" w:cs="Arial"/>
        </w:rPr>
        <w:t xml:space="preserve"> to which the rationale is inherently applicable</w:t>
      </w:r>
      <w:r w:rsidR="00F85FA3">
        <w:rPr>
          <w:rFonts w:ascii="Arial" w:hAnsi="Arial" w:cs="Arial"/>
        </w:rPr>
        <w:t xml:space="preserve">. </w:t>
      </w:r>
    </w:p>
    <w:p w14:paraId="3F299C3E" w14:textId="77777777" w:rsidR="0077594D" w:rsidRDefault="0077594D" w:rsidP="00EE1BD2">
      <w:pPr>
        <w:numPr>
          <w:ilvl w:val="12"/>
          <w:numId w:val="0"/>
        </w:numPr>
        <w:spacing w:line="480" w:lineRule="auto"/>
        <w:jc w:val="both"/>
        <w:rPr>
          <w:rFonts w:ascii="Arial" w:hAnsi="Arial" w:cs="Arial"/>
        </w:rPr>
      </w:pPr>
    </w:p>
    <w:p w14:paraId="26087413" w14:textId="4F5D8622" w:rsidR="004F2438" w:rsidRDefault="002A313E" w:rsidP="00EE1BD2">
      <w:pPr>
        <w:numPr>
          <w:ilvl w:val="12"/>
          <w:numId w:val="0"/>
        </w:numPr>
        <w:spacing w:line="480" w:lineRule="auto"/>
        <w:jc w:val="both"/>
        <w:rPr>
          <w:rFonts w:ascii="Arial" w:hAnsi="Arial" w:cs="Arial"/>
        </w:rPr>
      </w:pPr>
      <w:r w:rsidRPr="00611F48">
        <w:rPr>
          <w:rFonts w:ascii="Arial" w:hAnsi="Arial" w:cs="Arial"/>
        </w:rPr>
        <w:lastRenderedPageBreak/>
        <w:t>Whi</w:t>
      </w:r>
      <w:r w:rsidR="00F13B72">
        <w:rPr>
          <w:rFonts w:ascii="Arial" w:hAnsi="Arial" w:cs="Arial"/>
        </w:rPr>
        <w:t>l</w:t>
      </w:r>
      <w:r w:rsidRPr="00611F48">
        <w:rPr>
          <w:rFonts w:ascii="Arial" w:hAnsi="Arial" w:cs="Arial"/>
        </w:rPr>
        <w:t xml:space="preserve">st it has been suggested that </w:t>
      </w:r>
      <w:r w:rsidR="00834854" w:rsidRPr="00611F48">
        <w:rPr>
          <w:rFonts w:ascii="Arial" w:hAnsi="Arial" w:cs="Arial"/>
        </w:rPr>
        <w:t>the</w:t>
      </w:r>
      <w:r w:rsidR="000148CA" w:rsidRPr="00611F48">
        <w:rPr>
          <w:rFonts w:ascii="Arial" w:hAnsi="Arial" w:cs="Arial"/>
        </w:rPr>
        <w:t xml:space="preserve"> </w:t>
      </w:r>
      <w:r w:rsidR="00F53CF7" w:rsidRPr="00611F48">
        <w:rPr>
          <w:rFonts w:ascii="Arial" w:hAnsi="Arial" w:cs="Arial"/>
        </w:rPr>
        <w:t xml:space="preserve">decision </w:t>
      </w:r>
      <w:r w:rsidR="00834854" w:rsidRPr="00611F48">
        <w:rPr>
          <w:rFonts w:ascii="Arial" w:hAnsi="Arial" w:cs="Arial"/>
        </w:rPr>
        <w:t xml:space="preserve">in </w:t>
      </w:r>
      <w:r w:rsidR="00834854" w:rsidRPr="00611F48">
        <w:rPr>
          <w:rFonts w:ascii="Arial" w:hAnsi="Arial" w:cs="Arial"/>
          <w:i/>
        </w:rPr>
        <w:t>Eustice</w:t>
      </w:r>
      <w:r w:rsidR="00834854" w:rsidRPr="00611F48">
        <w:rPr>
          <w:rFonts w:ascii="Arial" w:hAnsi="Arial" w:cs="Arial"/>
        </w:rPr>
        <w:t xml:space="preserve"> </w:t>
      </w:r>
      <w:r w:rsidR="00F53CF7" w:rsidRPr="00611F48">
        <w:rPr>
          <w:rFonts w:ascii="Arial" w:hAnsi="Arial" w:cs="Arial"/>
        </w:rPr>
        <w:t>may not have been correct</w:t>
      </w:r>
      <w:r w:rsidRPr="00611F48">
        <w:rPr>
          <w:rStyle w:val="FootnoteReference"/>
          <w:rFonts w:ascii="Arial" w:hAnsi="Arial" w:cs="Arial"/>
        </w:rPr>
        <w:footnoteReference w:id="30"/>
      </w:r>
      <w:r w:rsidR="00834854" w:rsidRPr="00611F48">
        <w:rPr>
          <w:rFonts w:ascii="Arial" w:hAnsi="Arial" w:cs="Arial"/>
        </w:rPr>
        <w:t>, it</w:t>
      </w:r>
      <w:r w:rsidRPr="00611F48">
        <w:rPr>
          <w:rFonts w:ascii="Arial" w:hAnsi="Arial" w:cs="Arial"/>
        </w:rPr>
        <w:t xml:space="preserve"> </w:t>
      </w:r>
      <w:r w:rsidR="00A21E33" w:rsidRPr="00611F48">
        <w:rPr>
          <w:rFonts w:ascii="Arial" w:hAnsi="Arial" w:cs="Arial"/>
        </w:rPr>
        <w:t xml:space="preserve">has been </w:t>
      </w:r>
      <w:r w:rsidR="00B743CD" w:rsidRPr="00611F48">
        <w:rPr>
          <w:rFonts w:ascii="Arial" w:hAnsi="Arial" w:cs="Arial"/>
        </w:rPr>
        <w:t>relied upon</w:t>
      </w:r>
      <w:r w:rsidR="00A21E33" w:rsidRPr="00611F48">
        <w:rPr>
          <w:rFonts w:ascii="Arial" w:hAnsi="Arial" w:cs="Arial"/>
        </w:rPr>
        <w:t xml:space="preserve"> on a number of occasions</w:t>
      </w:r>
      <w:r w:rsidR="005A76CB" w:rsidRPr="00611F48">
        <w:rPr>
          <w:rFonts w:ascii="Arial" w:hAnsi="Arial" w:cs="Arial"/>
        </w:rPr>
        <w:t>.</w:t>
      </w:r>
      <w:r w:rsidR="00A21E33" w:rsidRPr="00611F48">
        <w:rPr>
          <w:rStyle w:val="FootnoteReference"/>
          <w:rFonts w:ascii="Arial" w:hAnsi="Arial" w:cs="Arial"/>
        </w:rPr>
        <w:footnoteReference w:id="31"/>
      </w:r>
      <w:r w:rsidR="00F13B72">
        <w:rPr>
          <w:rFonts w:ascii="Arial" w:hAnsi="Arial" w:cs="Arial"/>
        </w:rPr>
        <w:t xml:space="preserve"> T</w:t>
      </w:r>
      <w:r w:rsidR="008976AA" w:rsidRPr="00611F48">
        <w:rPr>
          <w:rFonts w:ascii="Arial" w:hAnsi="Arial" w:cs="Arial"/>
        </w:rPr>
        <w:t>he crime-fraud exception in its modern</w:t>
      </w:r>
      <w:r w:rsidR="00920F06">
        <w:rPr>
          <w:rFonts w:ascii="Arial" w:hAnsi="Arial" w:cs="Arial"/>
        </w:rPr>
        <w:t xml:space="preserve"> post </w:t>
      </w:r>
      <w:r w:rsidR="00920F06" w:rsidRPr="00920F06">
        <w:rPr>
          <w:rFonts w:ascii="Arial" w:hAnsi="Arial" w:cs="Arial"/>
          <w:i/>
        </w:rPr>
        <w:t>Eustice</w:t>
      </w:r>
      <w:r w:rsidR="00920F06">
        <w:rPr>
          <w:rFonts w:ascii="Arial" w:hAnsi="Arial" w:cs="Arial"/>
        </w:rPr>
        <w:t xml:space="preserve"> </w:t>
      </w:r>
      <w:r w:rsidR="008976AA" w:rsidRPr="00611F48">
        <w:rPr>
          <w:rFonts w:ascii="Arial" w:hAnsi="Arial" w:cs="Arial"/>
        </w:rPr>
        <w:t xml:space="preserve">guise as the </w:t>
      </w:r>
      <w:r w:rsidR="00834854" w:rsidRPr="00611F48">
        <w:rPr>
          <w:rFonts w:ascii="Arial" w:hAnsi="Arial" w:cs="Arial"/>
        </w:rPr>
        <w:t>“</w:t>
      </w:r>
      <w:r w:rsidR="008976AA" w:rsidRPr="00611F48">
        <w:rPr>
          <w:rFonts w:ascii="Arial" w:hAnsi="Arial" w:cs="Arial"/>
        </w:rPr>
        <w:t>iniquity exception</w:t>
      </w:r>
      <w:r w:rsidR="00834854" w:rsidRPr="00611F48">
        <w:rPr>
          <w:rFonts w:ascii="Arial" w:hAnsi="Arial" w:cs="Arial"/>
        </w:rPr>
        <w:t>”</w:t>
      </w:r>
      <w:r w:rsidR="008976AA" w:rsidRPr="00611F48">
        <w:rPr>
          <w:rFonts w:ascii="Arial" w:hAnsi="Arial" w:cs="Arial"/>
        </w:rPr>
        <w:t xml:space="preserve"> </w:t>
      </w:r>
      <w:r w:rsidR="00920F06">
        <w:rPr>
          <w:rFonts w:ascii="Arial" w:hAnsi="Arial" w:cs="Arial"/>
        </w:rPr>
        <w:t>applies not just where communications are made in furtherance of</w:t>
      </w:r>
      <w:r w:rsidR="00C633E8" w:rsidRPr="00611F48">
        <w:rPr>
          <w:rFonts w:ascii="Arial" w:hAnsi="Arial" w:cs="Arial"/>
        </w:rPr>
        <w:t xml:space="preserve"> a criminal purpose but also where there is a purpose which breaches a duty of good faith, is contrary to public policy or is contrary to the interests of justice.</w:t>
      </w:r>
      <w:r w:rsidR="00C633E8" w:rsidRPr="00611F48">
        <w:rPr>
          <w:rStyle w:val="FootnoteReference"/>
          <w:rFonts w:ascii="Arial" w:hAnsi="Arial" w:cs="Arial"/>
        </w:rPr>
        <w:footnoteReference w:id="32"/>
      </w:r>
      <w:r w:rsidR="00C633E8" w:rsidRPr="00611F48">
        <w:rPr>
          <w:rFonts w:ascii="Arial" w:hAnsi="Arial" w:cs="Arial"/>
        </w:rPr>
        <w:t xml:space="preserve"> </w:t>
      </w:r>
      <w:r w:rsidR="005A76CB" w:rsidRPr="00611F48">
        <w:rPr>
          <w:rFonts w:ascii="Arial" w:hAnsi="Arial" w:cs="Arial"/>
        </w:rPr>
        <w:t>C</w:t>
      </w:r>
      <w:r w:rsidR="00A723FF" w:rsidRPr="00611F48">
        <w:rPr>
          <w:rFonts w:ascii="Arial" w:hAnsi="Arial" w:cs="Arial"/>
        </w:rPr>
        <w:t xml:space="preserve">onduct </w:t>
      </w:r>
      <w:r w:rsidR="00057C4D" w:rsidRPr="00611F48">
        <w:rPr>
          <w:rFonts w:ascii="Arial" w:hAnsi="Arial" w:cs="Arial"/>
        </w:rPr>
        <w:t xml:space="preserve">capable of amounting to iniquity for the purpose of the crime-fraud exception </w:t>
      </w:r>
      <w:r w:rsidR="00A723FF" w:rsidRPr="00611F48">
        <w:rPr>
          <w:rFonts w:ascii="Arial" w:hAnsi="Arial" w:cs="Arial"/>
        </w:rPr>
        <w:t>includes, for example, “sharp practice, something of an underhand nature where the circumstances required good faith</w:t>
      </w:r>
      <w:r w:rsidR="00C633E8" w:rsidRPr="00611F48">
        <w:rPr>
          <w:rFonts w:ascii="Arial" w:hAnsi="Arial" w:cs="Arial"/>
        </w:rPr>
        <w:t xml:space="preserve"> [and]</w:t>
      </w:r>
      <w:r w:rsidR="00A723FF" w:rsidRPr="00611F48">
        <w:rPr>
          <w:rFonts w:ascii="Arial" w:hAnsi="Arial" w:cs="Arial"/>
        </w:rPr>
        <w:t xml:space="preserve"> something which commercial men would say was a fraud or which the law treats as entirely contrary to public policy”.</w:t>
      </w:r>
      <w:r w:rsidR="00A723FF" w:rsidRPr="00611F48">
        <w:rPr>
          <w:rStyle w:val="FootnoteReference"/>
          <w:rFonts w:ascii="Arial" w:hAnsi="Arial" w:cs="Arial"/>
        </w:rPr>
        <w:footnoteReference w:id="33"/>
      </w:r>
      <w:r w:rsidR="00A723FF" w:rsidRPr="00611F48">
        <w:rPr>
          <w:rFonts w:ascii="Arial" w:hAnsi="Arial" w:cs="Arial"/>
        </w:rPr>
        <w:t xml:space="preserve"> </w:t>
      </w:r>
      <w:r w:rsidR="00B32C93" w:rsidRPr="00611F48">
        <w:rPr>
          <w:rFonts w:ascii="Arial" w:hAnsi="Arial" w:cs="Arial"/>
        </w:rPr>
        <w:t>A</w:t>
      </w:r>
      <w:r w:rsidR="008D2CD3" w:rsidRPr="00611F48">
        <w:rPr>
          <w:rFonts w:ascii="Arial" w:hAnsi="Arial" w:cs="Arial"/>
        </w:rPr>
        <w:t xml:space="preserve">n </w:t>
      </w:r>
      <w:r w:rsidR="00751E2E" w:rsidRPr="00611F48">
        <w:rPr>
          <w:rFonts w:ascii="Arial" w:hAnsi="Arial" w:cs="Arial"/>
        </w:rPr>
        <w:t>example</w:t>
      </w:r>
      <w:r w:rsidR="00B32C93" w:rsidRPr="00611F48">
        <w:rPr>
          <w:rFonts w:ascii="Arial" w:hAnsi="Arial" w:cs="Arial"/>
        </w:rPr>
        <w:t xml:space="preserve"> is provided by circumstances in which</w:t>
      </w:r>
      <w:r w:rsidR="00751E2E" w:rsidRPr="00611F48">
        <w:rPr>
          <w:rFonts w:ascii="Arial" w:hAnsi="Arial" w:cs="Arial"/>
        </w:rPr>
        <w:t xml:space="preserve"> legal advice </w:t>
      </w:r>
      <w:r w:rsidR="00B32C93" w:rsidRPr="00611F48">
        <w:rPr>
          <w:rFonts w:ascii="Arial" w:hAnsi="Arial" w:cs="Arial"/>
        </w:rPr>
        <w:t xml:space="preserve">relating to plans which favoured the interests of limited partners in a group of companies to </w:t>
      </w:r>
      <w:r w:rsidR="0075417E">
        <w:rPr>
          <w:rFonts w:ascii="Arial" w:hAnsi="Arial" w:cs="Arial"/>
        </w:rPr>
        <w:t xml:space="preserve">those </w:t>
      </w:r>
      <w:r w:rsidR="00B32C93" w:rsidRPr="00611F48">
        <w:rPr>
          <w:rFonts w:ascii="Arial" w:hAnsi="Arial" w:cs="Arial"/>
        </w:rPr>
        <w:t xml:space="preserve">of the managing partner (also a company) was obtained </w:t>
      </w:r>
      <w:r w:rsidR="00751E2E" w:rsidRPr="00611F48">
        <w:rPr>
          <w:rFonts w:ascii="Arial" w:hAnsi="Arial" w:cs="Arial"/>
        </w:rPr>
        <w:t xml:space="preserve">via a breach of </w:t>
      </w:r>
      <w:r w:rsidR="00B32C93" w:rsidRPr="00611F48">
        <w:rPr>
          <w:rFonts w:ascii="Arial" w:hAnsi="Arial" w:cs="Arial"/>
        </w:rPr>
        <w:t>a duty of fidelity (honesty and good faith)</w:t>
      </w:r>
      <w:r w:rsidR="0093676E">
        <w:rPr>
          <w:rFonts w:ascii="Arial" w:hAnsi="Arial" w:cs="Arial"/>
        </w:rPr>
        <w:t>. The advice came</w:t>
      </w:r>
      <w:r w:rsidR="00B32C93" w:rsidRPr="00611F48">
        <w:rPr>
          <w:rFonts w:ascii="Arial" w:hAnsi="Arial" w:cs="Arial"/>
        </w:rPr>
        <w:t xml:space="preserve"> </w:t>
      </w:r>
      <w:r w:rsidR="00751E2E" w:rsidRPr="00611F48">
        <w:rPr>
          <w:rFonts w:ascii="Arial" w:hAnsi="Arial" w:cs="Arial"/>
        </w:rPr>
        <w:t>via a director of the managing partner</w:t>
      </w:r>
      <w:r w:rsidR="0093676E">
        <w:rPr>
          <w:rFonts w:ascii="Arial" w:hAnsi="Arial" w:cs="Arial"/>
        </w:rPr>
        <w:t>,</w:t>
      </w:r>
      <w:r w:rsidR="00751E2E" w:rsidRPr="00611F48">
        <w:rPr>
          <w:rFonts w:ascii="Arial" w:hAnsi="Arial" w:cs="Arial"/>
        </w:rPr>
        <w:t xml:space="preserve"> who was also a director of other companies in the group</w:t>
      </w:r>
      <w:r w:rsidR="0093676E">
        <w:rPr>
          <w:rFonts w:ascii="Arial" w:hAnsi="Arial" w:cs="Arial"/>
        </w:rPr>
        <w:t>,</w:t>
      </w:r>
      <w:r w:rsidR="00B32C93" w:rsidRPr="00611F48">
        <w:rPr>
          <w:rFonts w:ascii="Arial" w:hAnsi="Arial" w:cs="Arial"/>
        </w:rPr>
        <w:t xml:space="preserve"> and had failed to disclose the various plans to the managing partner.</w:t>
      </w:r>
      <w:r w:rsidR="00EA1447" w:rsidRPr="00611F48">
        <w:rPr>
          <w:rStyle w:val="FootnoteReference"/>
          <w:rFonts w:ascii="Arial" w:hAnsi="Arial" w:cs="Arial"/>
        </w:rPr>
        <w:footnoteReference w:id="34"/>
      </w:r>
      <w:r w:rsidR="00EA1447" w:rsidRPr="00611F48">
        <w:rPr>
          <w:rFonts w:ascii="Arial" w:hAnsi="Arial" w:cs="Arial"/>
        </w:rPr>
        <w:t xml:space="preserve"> </w:t>
      </w:r>
    </w:p>
    <w:p w14:paraId="0D82AEEB" w14:textId="77777777" w:rsidR="0077594D" w:rsidRDefault="0077594D" w:rsidP="00EE1BD2">
      <w:pPr>
        <w:numPr>
          <w:ilvl w:val="12"/>
          <w:numId w:val="0"/>
        </w:numPr>
        <w:spacing w:line="480" w:lineRule="auto"/>
        <w:jc w:val="both"/>
        <w:rPr>
          <w:rFonts w:ascii="Arial" w:hAnsi="Arial" w:cs="Arial"/>
        </w:rPr>
      </w:pPr>
    </w:p>
    <w:p w14:paraId="645556F5" w14:textId="4F509723" w:rsidR="0023733B" w:rsidRDefault="00B32C93" w:rsidP="00EE1BD2">
      <w:pPr>
        <w:numPr>
          <w:ilvl w:val="12"/>
          <w:numId w:val="0"/>
        </w:numPr>
        <w:spacing w:line="480" w:lineRule="auto"/>
        <w:jc w:val="both"/>
        <w:rPr>
          <w:rFonts w:ascii="Arial" w:hAnsi="Arial" w:cs="Arial"/>
        </w:rPr>
      </w:pPr>
      <w:r w:rsidRPr="00611F48">
        <w:rPr>
          <w:rFonts w:ascii="Arial" w:hAnsi="Arial" w:cs="Arial"/>
        </w:rPr>
        <w:t>In determining whether the crime-fraud exception is applicable, t</w:t>
      </w:r>
      <w:r w:rsidR="00DE0453" w:rsidRPr="00611F48">
        <w:rPr>
          <w:rFonts w:ascii="Arial" w:hAnsi="Arial" w:cs="Arial"/>
        </w:rPr>
        <w:t xml:space="preserve">he fundamental question </w:t>
      </w:r>
      <w:r w:rsidR="00057C4D" w:rsidRPr="00611F48">
        <w:rPr>
          <w:rFonts w:ascii="Arial" w:hAnsi="Arial" w:cs="Arial"/>
        </w:rPr>
        <w:t>is</w:t>
      </w:r>
      <w:r w:rsidR="00DE0453" w:rsidRPr="00611F48">
        <w:rPr>
          <w:rFonts w:ascii="Arial" w:hAnsi="Arial" w:cs="Arial"/>
        </w:rPr>
        <w:t xml:space="preserve"> whether </w:t>
      </w:r>
      <w:r w:rsidR="00F63883" w:rsidRPr="00611F48">
        <w:rPr>
          <w:rFonts w:ascii="Arial" w:hAnsi="Arial" w:cs="Arial"/>
        </w:rPr>
        <w:t xml:space="preserve">in the context of </w:t>
      </w:r>
      <w:r w:rsidR="00DE0453" w:rsidRPr="00611F48">
        <w:rPr>
          <w:rFonts w:ascii="Arial" w:hAnsi="Arial" w:cs="Arial"/>
        </w:rPr>
        <w:t>the in</w:t>
      </w:r>
      <w:r w:rsidR="007C6ADD">
        <w:rPr>
          <w:rFonts w:ascii="Arial" w:hAnsi="Arial" w:cs="Arial"/>
        </w:rPr>
        <w:t>i</w:t>
      </w:r>
      <w:r w:rsidR="00DE0453" w:rsidRPr="00611F48">
        <w:rPr>
          <w:rFonts w:ascii="Arial" w:hAnsi="Arial" w:cs="Arial"/>
        </w:rPr>
        <w:t xml:space="preserve">quity the communications fall outside the normal ambit of </w:t>
      </w:r>
      <w:r w:rsidR="00F63883" w:rsidRPr="00611F48">
        <w:rPr>
          <w:rFonts w:ascii="Arial" w:hAnsi="Arial" w:cs="Arial"/>
        </w:rPr>
        <w:t>a</w:t>
      </w:r>
      <w:r w:rsidR="00DE0453" w:rsidRPr="00611F48">
        <w:rPr>
          <w:rFonts w:ascii="Arial" w:hAnsi="Arial" w:cs="Arial"/>
        </w:rPr>
        <w:t xml:space="preserve"> legal adviser’s professional e</w:t>
      </w:r>
      <w:r w:rsidR="00F63883" w:rsidRPr="00611F48">
        <w:rPr>
          <w:rFonts w:ascii="Arial" w:hAnsi="Arial" w:cs="Arial"/>
        </w:rPr>
        <w:t>ngagement</w:t>
      </w:r>
      <w:r w:rsidR="00DE0453" w:rsidRPr="00611F48">
        <w:rPr>
          <w:rFonts w:ascii="Arial" w:hAnsi="Arial" w:cs="Arial"/>
        </w:rPr>
        <w:t xml:space="preserve"> or amount to an abuse </w:t>
      </w:r>
      <w:r w:rsidR="00F63883" w:rsidRPr="00611F48">
        <w:rPr>
          <w:rFonts w:ascii="Arial" w:hAnsi="Arial" w:cs="Arial"/>
        </w:rPr>
        <w:t>thereof</w:t>
      </w:r>
      <w:r w:rsidR="00CE2BF4" w:rsidRPr="00611F48">
        <w:rPr>
          <w:rFonts w:ascii="Arial" w:hAnsi="Arial" w:cs="Arial"/>
        </w:rPr>
        <w:t>.</w:t>
      </w:r>
      <w:r w:rsidR="00A45675" w:rsidRPr="00611F48">
        <w:rPr>
          <w:rStyle w:val="FootnoteReference"/>
          <w:rFonts w:ascii="Arial" w:hAnsi="Arial" w:cs="Arial"/>
        </w:rPr>
        <w:footnoteReference w:id="35"/>
      </w:r>
      <w:r w:rsidR="00A45675" w:rsidRPr="00611F48">
        <w:rPr>
          <w:rFonts w:ascii="Arial" w:hAnsi="Arial" w:cs="Arial"/>
        </w:rPr>
        <w:t xml:space="preserve"> </w:t>
      </w:r>
    </w:p>
    <w:p w14:paraId="61C30BE7" w14:textId="23630D5C" w:rsidR="0077594D" w:rsidRDefault="0077594D" w:rsidP="00EE1BD2">
      <w:pPr>
        <w:numPr>
          <w:ilvl w:val="12"/>
          <w:numId w:val="0"/>
        </w:numPr>
        <w:spacing w:line="480" w:lineRule="auto"/>
        <w:jc w:val="both"/>
        <w:rPr>
          <w:rFonts w:ascii="Arial" w:hAnsi="Arial" w:cs="Arial"/>
        </w:rPr>
      </w:pPr>
    </w:p>
    <w:p w14:paraId="2A044DCD" w14:textId="77777777" w:rsidR="0077594D" w:rsidRPr="009225E4" w:rsidRDefault="0077594D" w:rsidP="00EE1BD2">
      <w:pPr>
        <w:numPr>
          <w:ilvl w:val="12"/>
          <w:numId w:val="0"/>
        </w:numPr>
        <w:spacing w:line="480" w:lineRule="auto"/>
        <w:jc w:val="both"/>
        <w:rPr>
          <w:rFonts w:ascii="Arial" w:hAnsi="Arial" w:cs="Arial"/>
        </w:rPr>
      </w:pPr>
    </w:p>
    <w:p w14:paraId="38F5F223" w14:textId="77777777" w:rsidR="00094AA0" w:rsidRPr="00C604AF" w:rsidRDefault="0023733B" w:rsidP="00EE1BD2">
      <w:pPr>
        <w:numPr>
          <w:ilvl w:val="12"/>
          <w:numId w:val="0"/>
        </w:numPr>
        <w:spacing w:line="480" w:lineRule="auto"/>
        <w:jc w:val="both"/>
        <w:rPr>
          <w:rFonts w:ascii="Arial" w:hAnsi="Arial" w:cs="Arial"/>
          <w:i/>
        </w:rPr>
      </w:pPr>
      <w:r w:rsidRPr="00C604AF">
        <w:rPr>
          <w:rFonts w:ascii="Arial" w:hAnsi="Arial" w:cs="Arial"/>
          <w:i/>
        </w:rPr>
        <w:t>T</w:t>
      </w:r>
      <w:r w:rsidR="00163D9E" w:rsidRPr="00C604AF">
        <w:rPr>
          <w:rFonts w:ascii="Arial" w:hAnsi="Arial" w:cs="Arial"/>
          <w:i/>
        </w:rPr>
        <w:t>he crime-fraud exception</w:t>
      </w:r>
      <w:r w:rsidRPr="00C604AF">
        <w:rPr>
          <w:rFonts w:ascii="Arial" w:hAnsi="Arial" w:cs="Arial"/>
          <w:i/>
        </w:rPr>
        <w:t xml:space="preserve"> in the taxation context</w:t>
      </w:r>
    </w:p>
    <w:p w14:paraId="7259764E" w14:textId="64F988BA" w:rsidR="004F2438" w:rsidRDefault="00A451B9" w:rsidP="00EE1BD2">
      <w:pPr>
        <w:numPr>
          <w:ilvl w:val="12"/>
          <w:numId w:val="0"/>
        </w:numPr>
        <w:spacing w:line="480" w:lineRule="auto"/>
        <w:jc w:val="both"/>
        <w:rPr>
          <w:rFonts w:ascii="Arial" w:hAnsi="Arial" w:cs="Arial"/>
        </w:rPr>
      </w:pPr>
      <w:r w:rsidRPr="00611F48">
        <w:rPr>
          <w:rFonts w:ascii="Arial" w:hAnsi="Arial" w:cs="Arial"/>
        </w:rPr>
        <w:t>I</w:t>
      </w:r>
      <w:r w:rsidR="007B5362" w:rsidRPr="00611F48">
        <w:rPr>
          <w:rFonts w:ascii="Arial" w:hAnsi="Arial" w:cs="Arial"/>
        </w:rPr>
        <w:t>t has long been recognised that the court will exercise considerable care before ordering the disclosure of allegedly privileged communications under the crime-fraud exception and will only do so in highly exceptional circumstances</w:t>
      </w:r>
      <w:r w:rsidRPr="00611F48">
        <w:rPr>
          <w:rFonts w:ascii="Arial" w:hAnsi="Arial" w:cs="Arial"/>
        </w:rPr>
        <w:t>.</w:t>
      </w:r>
      <w:r w:rsidR="007B5362" w:rsidRPr="00611F48">
        <w:rPr>
          <w:rStyle w:val="FootnoteReference"/>
          <w:rFonts w:ascii="Arial" w:hAnsi="Arial" w:cs="Arial"/>
        </w:rPr>
        <w:footnoteReference w:id="36"/>
      </w:r>
      <w:r w:rsidRPr="00611F48">
        <w:rPr>
          <w:rFonts w:ascii="Arial" w:hAnsi="Arial" w:cs="Arial"/>
        </w:rPr>
        <w:t xml:space="preserve"> </w:t>
      </w:r>
      <w:r w:rsidR="007B5362" w:rsidRPr="00611F48">
        <w:rPr>
          <w:rFonts w:ascii="Arial" w:hAnsi="Arial" w:cs="Arial"/>
        </w:rPr>
        <w:t>Passmore</w:t>
      </w:r>
      <w:r w:rsidR="007B5362" w:rsidRPr="00611F48">
        <w:rPr>
          <w:rStyle w:val="FootnoteReference"/>
          <w:rFonts w:ascii="Arial" w:hAnsi="Arial" w:cs="Arial"/>
        </w:rPr>
        <w:footnoteReference w:id="37"/>
      </w:r>
      <w:r w:rsidR="007B5362" w:rsidRPr="00611F48">
        <w:rPr>
          <w:rFonts w:ascii="Arial" w:hAnsi="Arial" w:cs="Arial"/>
        </w:rPr>
        <w:t xml:space="preserve"> believes that the increased ambit of the crime-fraud exception</w:t>
      </w:r>
      <w:r w:rsidR="0093676E">
        <w:rPr>
          <w:rFonts w:ascii="Arial" w:hAnsi="Arial" w:cs="Arial"/>
        </w:rPr>
        <w:t>,</w:t>
      </w:r>
      <w:r w:rsidR="007B5362" w:rsidRPr="00611F48">
        <w:rPr>
          <w:rFonts w:ascii="Arial" w:hAnsi="Arial" w:cs="Arial"/>
        </w:rPr>
        <w:t xml:space="preserve"> via the iniquity case law referred to above</w:t>
      </w:r>
      <w:r w:rsidR="0093676E">
        <w:rPr>
          <w:rFonts w:ascii="Arial" w:hAnsi="Arial" w:cs="Arial"/>
        </w:rPr>
        <w:t>,</w:t>
      </w:r>
      <w:r w:rsidR="007B5362" w:rsidRPr="00611F48">
        <w:rPr>
          <w:rFonts w:ascii="Arial" w:hAnsi="Arial" w:cs="Arial"/>
        </w:rPr>
        <w:t xml:space="preserve"> has the potential to make examples of its successful invocation “much less exceptional.” </w:t>
      </w:r>
      <w:r w:rsidRPr="00611F48">
        <w:rPr>
          <w:rFonts w:ascii="Arial" w:hAnsi="Arial" w:cs="Arial"/>
        </w:rPr>
        <w:t>Indeed, w</w:t>
      </w:r>
      <w:r w:rsidR="00EE38E1" w:rsidRPr="00611F48">
        <w:rPr>
          <w:rFonts w:ascii="Arial" w:hAnsi="Arial" w:cs="Arial"/>
        </w:rPr>
        <w:t>hilst it is clear that legal advice privilege can encompass legal advice concerning the efficacy of a tax avoidance scheme</w:t>
      </w:r>
      <w:r w:rsidR="00EE38E1" w:rsidRPr="00611F48">
        <w:rPr>
          <w:rStyle w:val="FootnoteReference"/>
          <w:rFonts w:ascii="Arial" w:hAnsi="Arial" w:cs="Arial"/>
        </w:rPr>
        <w:footnoteReference w:id="38"/>
      </w:r>
      <w:r w:rsidR="00EE38E1" w:rsidRPr="00611F48">
        <w:rPr>
          <w:rFonts w:ascii="Arial" w:hAnsi="Arial" w:cs="Arial"/>
        </w:rPr>
        <w:t>, Higgins and Zuckerman have suggested that it is “reasonably arguable” that the iniquity exception is sufficiently broad to encompass “very many cases” of legal advice concerning such schemes.</w:t>
      </w:r>
      <w:r w:rsidR="00EE38E1" w:rsidRPr="00611F48">
        <w:rPr>
          <w:rStyle w:val="FootnoteReference"/>
          <w:rFonts w:ascii="Arial" w:hAnsi="Arial" w:cs="Arial"/>
        </w:rPr>
        <w:footnoteReference w:id="39"/>
      </w:r>
      <w:r w:rsidR="00EE38E1" w:rsidRPr="00611F48">
        <w:rPr>
          <w:rFonts w:ascii="Arial" w:hAnsi="Arial" w:cs="Arial"/>
        </w:rPr>
        <w:t xml:space="preserve"> </w:t>
      </w:r>
      <w:r w:rsidR="007C2C11" w:rsidRPr="00611F48">
        <w:rPr>
          <w:rFonts w:ascii="Arial" w:hAnsi="Arial" w:cs="Arial"/>
          <w:color w:val="FF0000"/>
        </w:rPr>
        <w:t xml:space="preserve"> </w:t>
      </w:r>
      <w:r w:rsidR="00E86E2D">
        <w:rPr>
          <w:rFonts w:ascii="Arial" w:hAnsi="Arial" w:cs="Arial"/>
        </w:rPr>
        <w:t>It is also clear</w:t>
      </w:r>
      <w:r w:rsidR="005157AB" w:rsidRPr="00611F48">
        <w:rPr>
          <w:rFonts w:ascii="Arial" w:hAnsi="Arial" w:cs="Arial"/>
        </w:rPr>
        <w:t xml:space="preserve"> that the concept of tax avoidance is a “grey area”, subject to ambiguity, which encompasses a spectrum of activity from normal, sensible, and acceptable tax planning at one end</w:t>
      </w:r>
      <w:r w:rsidR="0093676E">
        <w:rPr>
          <w:rFonts w:ascii="Arial" w:hAnsi="Arial" w:cs="Arial"/>
        </w:rPr>
        <w:t>,</w:t>
      </w:r>
      <w:r w:rsidR="005157AB" w:rsidRPr="00611F48">
        <w:rPr>
          <w:rFonts w:ascii="Arial" w:hAnsi="Arial" w:cs="Arial"/>
        </w:rPr>
        <w:t xml:space="preserve"> to conduct with no genuine commercial purpose</w:t>
      </w:r>
      <w:r w:rsidR="0093676E">
        <w:rPr>
          <w:rFonts w:ascii="Arial" w:hAnsi="Arial" w:cs="Arial"/>
        </w:rPr>
        <w:t>,</w:t>
      </w:r>
      <w:r w:rsidR="005157AB" w:rsidRPr="00611F48">
        <w:rPr>
          <w:rFonts w:ascii="Arial" w:hAnsi="Arial" w:cs="Arial"/>
        </w:rPr>
        <w:t xml:space="preserve"> which the public regard as being “unacceptable or illegitimate and unfair”</w:t>
      </w:r>
      <w:r w:rsidR="00DB0E98">
        <w:rPr>
          <w:rFonts w:ascii="Arial" w:hAnsi="Arial" w:cs="Arial"/>
        </w:rPr>
        <w:t>,</w:t>
      </w:r>
      <w:r w:rsidR="005157AB" w:rsidRPr="00611F48">
        <w:rPr>
          <w:rFonts w:ascii="Arial" w:hAnsi="Arial" w:cs="Arial"/>
        </w:rPr>
        <w:t xml:space="preserve"> at the other</w:t>
      </w:r>
      <w:r w:rsidR="00751D8D" w:rsidRPr="00611F48">
        <w:rPr>
          <w:rFonts w:ascii="Arial" w:hAnsi="Arial" w:cs="Arial"/>
        </w:rPr>
        <w:t>.</w:t>
      </w:r>
      <w:r w:rsidR="00751D8D" w:rsidRPr="00611F48">
        <w:rPr>
          <w:rStyle w:val="FootnoteReference"/>
          <w:rFonts w:ascii="Arial" w:hAnsi="Arial" w:cs="Arial"/>
        </w:rPr>
        <w:footnoteReference w:id="40"/>
      </w:r>
      <w:r w:rsidR="00751D8D" w:rsidRPr="00611F48">
        <w:rPr>
          <w:rFonts w:ascii="Arial" w:hAnsi="Arial" w:cs="Arial"/>
        </w:rPr>
        <w:t xml:space="preserve"> </w:t>
      </w:r>
    </w:p>
    <w:p w14:paraId="2C82B23F" w14:textId="77777777" w:rsidR="0077594D" w:rsidRDefault="0077594D" w:rsidP="00EE1BD2">
      <w:pPr>
        <w:numPr>
          <w:ilvl w:val="12"/>
          <w:numId w:val="0"/>
        </w:numPr>
        <w:spacing w:line="480" w:lineRule="auto"/>
        <w:jc w:val="both"/>
        <w:rPr>
          <w:rFonts w:ascii="Arial" w:hAnsi="Arial" w:cs="Arial"/>
        </w:rPr>
      </w:pPr>
    </w:p>
    <w:p w14:paraId="4E56E93A" w14:textId="232261D4" w:rsidR="00900129" w:rsidRDefault="0093676E" w:rsidP="00EE1BD2">
      <w:pPr>
        <w:numPr>
          <w:ilvl w:val="12"/>
          <w:numId w:val="0"/>
        </w:numPr>
        <w:spacing w:line="480" w:lineRule="auto"/>
        <w:jc w:val="both"/>
        <w:rPr>
          <w:rFonts w:ascii="Arial" w:hAnsi="Arial" w:cs="Arial"/>
        </w:rPr>
      </w:pPr>
      <w:r>
        <w:rPr>
          <w:rFonts w:ascii="Arial" w:hAnsi="Arial" w:cs="Arial"/>
        </w:rPr>
        <w:t>T</w:t>
      </w:r>
      <w:r w:rsidR="00900129" w:rsidRPr="00611F48">
        <w:rPr>
          <w:rFonts w:ascii="Arial" w:hAnsi="Arial" w:cs="Arial"/>
        </w:rPr>
        <w:t xml:space="preserve">he question </w:t>
      </w:r>
      <w:r w:rsidR="00B04EC3" w:rsidRPr="00611F48">
        <w:rPr>
          <w:rFonts w:ascii="Arial" w:hAnsi="Arial" w:cs="Arial"/>
        </w:rPr>
        <w:t>to which there does not currently appear to be a clear</w:t>
      </w:r>
      <w:r w:rsidR="00900129" w:rsidRPr="00611F48">
        <w:rPr>
          <w:rFonts w:ascii="Arial" w:hAnsi="Arial" w:cs="Arial"/>
        </w:rPr>
        <w:t xml:space="preserve"> answer is to what extent conduct which does not amount to tax evasion</w:t>
      </w:r>
      <w:r>
        <w:rPr>
          <w:rFonts w:ascii="Arial" w:hAnsi="Arial" w:cs="Arial"/>
        </w:rPr>
        <w:t>,</w:t>
      </w:r>
      <w:r w:rsidR="00900129" w:rsidRPr="00611F48">
        <w:rPr>
          <w:rFonts w:ascii="Arial" w:hAnsi="Arial" w:cs="Arial"/>
        </w:rPr>
        <w:t xml:space="preserve"> but falls towards the latter end of the </w:t>
      </w:r>
      <w:r w:rsidR="00900129" w:rsidRPr="00611F48">
        <w:rPr>
          <w:rFonts w:ascii="Arial" w:hAnsi="Arial" w:cs="Arial"/>
        </w:rPr>
        <w:lastRenderedPageBreak/>
        <w:t>spectrum of tax avoidance</w:t>
      </w:r>
      <w:r>
        <w:rPr>
          <w:rFonts w:ascii="Arial" w:hAnsi="Arial" w:cs="Arial"/>
        </w:rPr>
        <w:t>,</w:t>
      </w:r>
      <w:r w:rsidR="00900129" w:rsidRPr="00611F48">
        <w:rPr>
          <w:rFonts w:ascii="Arial" w:hAnsi="Arial" w:cs="Arial"/>
        </w:rPr>
        <w:t xml:space="preserve"> may </w:t>
      </w:r>
      <w:r w:rsidR="00B04EC3" w:rsidRPr="00611F48">
        <w:rPr>
          <w:rFonts w:ascii="Arial" w:hAnsi="Arial" w:cs="Arial"/>
        </w:rPr>
        <w:t>potentially amount to iniquity</w:t>
      </w:r>
      <w:r w:rsidR="00900129" w:rsidRPr="00611F48">
        <w:rPr>
          <w:rFonts w:ascii="Arial" w:hAnsi="Arial" w:cs="Arial"/>
        </w:rPr>
        <w:t xml:space="preserve"> for the purposes of the crime-fraud exception. </w:t>
      </w:r>
      <w:r w:rsidR="00292165" w:rsidRPr="00611F48">
        <w:rPr>
          <w:rFonts w:ascii="Arial" w:hAnsi="Arial" w:cs="Arial"/>
        </w:rPr>
        <w:t>Moreover, whilst it has been said that the border between tax avoidance and tax evasion is crossed when false statements are deliberately and dishonestly made to the Revenue</w:t>
      </w:r>
      <w:r w:rsidR="00292165" w:rsidRPr="00611F48">
        <w:rPr>
          <w:rStyle w:val="FootnoteReference"/>
          <w:rFonts w:ascii="Arial" w:hAnsi="Arial" w:cs="Arial"/>
        </w:rPr>
        <w:footnoteReference w:id="41"/>
      </w:r>
      <w:r w:rsidR="007C6ADD">
        <w:rPr>
          <w:rFonts w:ascii="Arial" w:hAnsi="Arial" w:cs="Arial"/>
        </w:rPr>
        <w:t>,</w:t>
      </w:r>
      <w:r w:rsidR="00292165" w:rsidRPr="00611F48">
        <w:rPr>
          <w:rFonts w:ascii="Arial" w:hAnsi="Arial" w:cs="Arial"/>
        </w:rPr>
        <w:t xml:space="preserve"> it is important to note that statutor</w:t>
      </w:r>
      <w:r w:rsidR="004F614D" w:rsidRPr="00611F48">
        <w:rPr>
          <w:rFonts w:ascii="Arial" w:hAnsi="Arial" w:cs="Arial"/>
        </w:rPr>
        <w:t xml:space="preserve">y intervention may result in adjustments to the positioning of this borderline. </w:t>
      </w:r>
      <w:r w:rsidR="00340570">
        <w:rPr>
          <w:rFonts w:ascii="Arial" w:hAnsi="Arial" w:cs="Arial"/>
        </w:rPr>
        <w:t xml:space="preserve">This means that </w:t>
      </w:r>
      <w:r w:rsidR="004F614D" w:rsidRPr="00611F48">
        <w:rPr>
          <w:rFonts w:ascii="Arial" w:hAnsi="Arial" w:cs="Arial"/>
        </w:rPr>
        <w:t xml:space="preserve">conduct which previously did not fall within the remit of the criminal justice system may do so as new </w:t>
      </w:r>
      <w:r w:rsidR="00201527" w:rsidRPr="00611F48">
        <w:rPr>
          <w:rFonts w:ascii="Arial" w:hAnsi="Arial" w:cs="Arial"/>
        </w:rPr>
        <w:t xml:space="preserve">or modified </w:t>
      </w:r>
      <w:r w:rsidR="004F614D" w:rsidRPr="00611F48">
        <w:rPr>
          <w:rFonts w:ascii="Arial" w:hAnsi="Arial" w:cs="Arial"/>
        </w:rPr>
        <w:t xml:space="preserve">criminal offences are created </w:t>
      </w:r>
      <w:r w:rsidR="00201527" w:rsidRPr="00611F48">
        <w:rPr>
          <w:rFonts w:ascii="Arial" w:hAnsi="Arial" w:cs="Arial"/>
        </w:rPr>
        <w:t xml:space="preserve">(such as the </w:t>
      </w:r>
      <w:r w:rsidR="00610242" w:rsidRPr="00611F48">
        <w:rPr>
          <w:rFonts w:ascii="Arial" w:hAnsi="Arial" w:cs="Arial"/>
        </w:rPr>
        <w:t>proposed introduction by the Government in the Finance Act 2016 of a new offence which will remove the need to prove intent in the context of serious examples of failure to declare offshore income and offshore gains</w:t>
      </w:r>
      <w:r w:rsidR="00610242" w:rsidRPr="00611F48">
        <w:rPr>
          <w:rStyle w:val="FootnoteReference"/>
          <w:rFonts w:ascii="Arial" w:hAnsi="Arial" w:cs="Arial"/>
        </w:rPr>
        <w:footnoteReference w:id="42"/>
      </w:r>
      <w:r w:rsidR="00201527" w:rsidRPr="00611F48">
        <w:rPr>
          <w:rFonts w:ascii="Arial" w:hAnsi="Arial" w:cs="Arial"/>
        </w:rPr>
        <w:t>)</w:t>
      </w:r>
      <w:r w:rsidR="00610242" w:rsidRPr="00611F48">
        <w:rPr>
          <w:rFonts w:ascii="Arial" w:hAnsi="Arial" w:cs="Arial"/>
        </w:rPr>
        <w:t>.</w:t>
      </w:r>
      <w:r w:rsidR="00201527" w:rsidRPr="00611F48">
        <w:rPr>
          <w:rFonts w:ascii="Arial" w:hAnsi="Arial" w:cs="Arial"/>
        </w:rPr>
        <w:t xml:space="preserve"> The consequence of such statutory intervention</w:t>
      </w:r>
      <w:r>
        <w:rPr>
          <w:rFonts w:ascii="Arial" w:hAnsi="Arial" w:cs="Arial"/>
        </w:rPr>
        <w:t>,</w:t>
      </w:r>
      <w:r w:rsidR="00201527" w:rsidRPr="00611F48">
        <w:rPr>
          <w:rFonts w:ascii="Arial" w:hAnsi="Arial" w:cs="Arial"/>
        </w:rPr>
        <w:t xml:space="preserve"> </w:t>
      </w:r>
      <w:r w:rsidR="004F614D" w:rsidRPr="00611F48">
        <w:rPr>
          <w:rFonts w:ascii="Arial" w:hAnsi="Arial" w:cs="Arial"/>
        </w:rPr>
        <w:t>so far as the crime-fraud exception is concerned</w:t>
      </w:r>
      <w:r>
        <w:rPr>
          <w:rFonts w:ascii="Arial" w:hAnsi="Arial" w:cs="Arial"/>
        </w:rPr>
        <w:t>,</w:t>
      </w:r>
      <w:r w:rsidR="004F614D" w:rsidRPr="00611F48">
        <w:rPr>
          <w:rFonts w:ascii="Arial" w:hAnsi="Arial" w:cs="Arial"/>
        </w:rPr>
        <w:t xml:space="preserve"> </w:t>
      </w:r>
      <w:r w:rsidR="00AD3176" w:rsidRPr="00611F48">
        <w:rPr>
          <w:rFonts w:ascii="Arial" w:hAnsi="Arial" w:cs="Arial"/>
        </w:rPr>
        <w:t xml:space="preserve">is </w:t>
      </w:r>
      <w:r w:rsidR="004F614D" w:rsidRPr="00611F48">
        <w:rPr>
          <w:rFonts w:ascii="Arial" w:hAnsi="Arial" w:cs="Arial"/>
        </w:rPr>
        <w:t xml:space="preserve">that legal adviser/client communications concerning such conduct </w:t>
      </w:r>
      <w:r w:rsidR="00340570">
        <w:rPr>
          <w:rFonts w:ascii="Arial" w:hAnsi="Arial" w:cs="Arial"/>
        </w:rPr>
        <w:t>will</w:t>
      </w:r>
      <w:r w:rsidR="004F614D" w:rsidRPr="00611F48">
        <w:rPr>
          <w:rFonts w:ascii="Arial" w:hAnsi="Arial" w:cs="Arial"/>
        </w:rPr>
        <w:t xml:space="preserve"> be brought within the ambit of the exception </w:t>
      </w:r>
      <w:r w:rsidR="00814C3C">
        <w:rPr>
          <w:rFonts w:ascii="Arial" w:hAnsi="Arial" w:cs="Arial"/>
        </w:rPr>
        <w:t xml:space="preserve">via its criminality element </w:t>
      </w:r>
      <w:r w:rsidR="004F614D" w:rsidRPr="00611F48">
        <w:rPr>
          <w:rFonts w:ascii="Arial" w:hAnsi="Arial" w:cs="Arial"/>
        </w:rPr>
        <w:t xml:space="preserve">whether or not they would previously have been regarded as iniquitous for the purposes of the exception. </w:t>
      </w:r>
    </w:p>
    <w:p w14:paraId="790FD170" w14:textId="77777777" w:rsidR="0077594D" w:rsidRPr="00611F48" w:rsidRDefault="0077594D" w:rsidP="00EE1BD2">
      <w:pPr>
        <w:numPr>
          <w:ilvl w:val="12"/>
          <w:numId w:val="0"/>
        </w:numPr>
        <w:spacing w:line="480" w:lineRule="auto"/>
        <w:jc w:val="both"/>
        <w:rPr>
          <w:rFonts w:ascii="Arial" w:hAnsi="Arial" w:cs="Arial"/>
        </w:rPr>
      </w:pPr>
    </w:p>
    <w:p w14:paraId="773E3EF8" w14:textId="77777777" w:rsidR="00163D9E" w:rsidRPr="00611F48" w:rsidRDefault="001500EE" w:rsidP="00EE1BD2">
      <w:pPr>
        <w:numPr>
          <w:ilvl w:val="12"/>
          <w:numId w:val="0"/>
        </w:numPr>
        <w:spacing w:line="480" w:lineRule="auto"/>
        <w:jc w:val="both"/>
        <w:rPr>
          <w:rFonts w:ascii="Arial" w:hAnsi="Arial" w:cs="Arial"/>
        </w:rPr>
      </w:pPr>
      <w:r w:rsidRPr="00611F48">
        <w:rPr>
          <w:rFonts w:ascii="Arial" w:hAnsi="Arial" w:cs="Arial"/>
        </w:rPr>
        <w:t>A problem arising from the uncertain ambit of the crime-fraud exception in its iniquity guise</w:t>
      </w:r>
      <w:r w:rsidR="0093676E">
        <w:rPr>
          <w:rFonts w:ascii="Arial" w:hAnsi="Arial" w:cs="Arial"/>
        </w:rPr>
        <w:t>,</w:t>
      </w:r>
      <w:r w:rsidRPr="00611F48">
        <w:rPr>
          <w:rFonts w:ascii="Arial" w:hAnsi="Arial" w:cs="Arial"/>
        </w:rPr>
        <w:t xml:space="preserve"> identified by </w:t>
      </w:r>
      <w:proofErr w:type="spellStart"/>
      <w:r w:rsidR="000329EB" w:rsidRPr="00611F48">
        <w:rPr>
          <w:rFonts w:ascii="Arial" w:hAnsi="Arial" w:cs="Arial"/>
        </w:rPr>
        <w:t>Thanki</w:t>
      </w:r>
      <w:proofErr w:type="spellEnd"/>
      <w:r w:rsidR="008E201D" w:rsidRPr="00611F48">
        <w:rPr>
          <w:rStyle w:val="FootnoteReference"/>
          <w:rFonts w:ascii="Arial" w:hAnsi="Arial" w:cs="Arial"/>
        </w:rPr>
        <w:footnoteReference w:id="43"/>
      </w:r>
      <w:r w:rsidR="0093676E">
        <w:rPr>
          <w:rFonts w:ascii="Arial" w:hAnsi="Arial" w:cs="Arial"/>
        </w:rPr>
        <w:t>,</w:t>
      </w:r>
      <w:r w:rsidR="000329EB" w:rsidRPr="00611F48">
        <w:rPr>
          <w:rFonts w:ascii="Arial" w:hAnsi="Arial" w:cs="Arial"/>
        </w:rPr>
        <w:t xml:space="preserve"> </w:t>
      </w:r>
      <w:r w:rsidRPr="00611F48">
        <w:rPr>
          <w:rFonts w:ascii="Arial" w:hAnsi="Arial" w:cs="Arial"/>
        </w:rPr>
        <w:t>is that</w:t>
      </w:r>
      <w:r w:rsidR="000329EB" w:rsidRPr="00611F48">
        <w:rPr>
          <w:rFonts w:ascii="Arial" w:hAnsi="Arial" w:cs="Arial"/>
        </w:rPr>
        <w:t xml:space="preserve"> whi</w:t>
      </w:r>
      <w:r w:rsidR="008E201D" w:rsidRPr="00611F48">
        <w:rPr>
          <w:rFonts w:ascii="Arial" w:hAnsi="Arial" w:cs="Arial"/>
        </w:rPr>
        <w:t>l</w:t>
      </w:r>
      <w:r w:rsidR="000329EB" w:rsidRPr="00611F48">
        <w:rPr>
          <w:rFonts w:ascii="Arial" w:hAnsi="Arial" w:cs="Arial"/>
        </w:rPr>
        <w:t xml:space="preserve">st it may not be difficult for legal advisers to determine whether the conduct in which a client seeks to engage is criminal or fraudulent, it may be more difficult for them </w:t>
      </w:r>
      <w:r w:rsidR="00A36209" w:rsidRPr="00611F48">
        <w:rPr>
          <w:rFonts w:ascii="Arial" w:hAnsi="Arial" w:cs="Arial"/>
        </w:rPr>
        <w:t xml:space="preserve">to </w:t>
      </w:r>
      <w:r w:rsidR="000329EB" w:rsidRPr="00611F48">
        <w:rPr>
          <w:rFonts w:ascii="Arial" w:hAnsi="Arial" w:cs="Arial"/>
        </w:rPr>
        <w:t xml:space="preserve">determine whether a client’s proposed course of conduct is iniquitous, as this may depend upon </w:t>
      </w:r>
      <w:r w:rsidR="00A36209" w:rsidRPr="00611F48">
        <w:rPr>
          <w:rFonts w:ascii="Arial" w:hAnsi="Arial" w:cs="Arial"/>
        </w:rPr>
        <w:t xml:space="preserve">whether </w:t>
      </w:r>
      <w:r w:rsidR="000329EB" w:rsidRPr="00611F48">
        <w:rPr>
          <w:rFonts w:ascii="Arial" w:hAnsi="Arial" w:cs="Arial"/>
        </w:rPr>
        <w:t xml:space="preserve">the </w:t>
      </w:r>
      <w:r w:rsidR="00A36209" w:rsidRPr="00611F48">
        <w:rPr>
          <w:rFonts w:ascii="Arial" w:hAnsi="Arial" w:cs="Arial"/>
        </w:rPr>
        <w:t>legal adviser’</w:t>
      </w:r>
      <w:r w:rsidR="007C6ADD">
        <w:rPr>
          <w:rFonts w:ascii="Arial" w:hAnsi="Arial" w:cs="Arial"/>
        </w:rPr>
        <w:t>s</w:t>
      </w:r>
      <w:r w:rsidR="00A36209" w:rsidRPr="00611F48">
        <w:rPr>
          <w:rFonts w:ascii="Arial" w:hAnsi="Arial" w:cs="Arial"/>
        </w:rPr>
        <w:t xml:space="preserve"> </w:t>
      </w:r>
      <w:r w:rsidR="000329EB" w:rsidRPr="00611F48">
        <w:rPr>
          <w:rFonts w:ascii="Arial" w:hAnsi="Arial" w:cs="Arial"/>
        </w:rPr>
        <w:t xml:space="preserve">view of the law </w:t>
      </w:r>
      <w:r w:rsidR="00A36209" w:rsidRPr="00611F48">
        <w:rPr>
          <w:rFonts w:ascii="Arial" w:hAnsi="Arial" w:cs="Arial"/>
        </w:rPr>
        <w:t xml:space="preserve">at the time when the advice is given </w:t>
      </w:r>
      <w:r w:rsidR="000329EB" w:rsidRPr="00611F48">
        <w:rPr>
          <w:rFonts w:ascii="Arial" w:hAnsi="Arial" w:cs="Arial"/>
        </w:rPr>
        <w:t>differs from that</w:t>
      </w:r>
      <w:r w:rsidR="00A36209" w:rsidRPr="00611F48">
        <w:rPr>
          <w:rFonts w:ascii="Arial" w:hAnsi="Arial" w:cs="Arial"/>
        </w:rPr>
        <w:t xml:space="preserve"> which is subsequently taken by the court</w:t>
      </w:r>
      <w:r w:rsidR="000329EB" w:rsidRPr="00611F48">
        <w:rPr>
          <w:rFonts w:ascii="Arial" w:hAnsi="Arial" w:cs="Arial"/>
        </w:rPr>
        <w:t>.</w:t>
      </w:r>
      <w:r w:rsidR="004A5E68" w:rsidRPr="00611F48">
        <w:rPr>
          <w:rFonts w:ascii="Arial" w:hAnsi="Arial" w:cs="Arial"/>
        </w:rPr>
        <w:t xml:space="preserve"> </w:t>
      </w:r>
      <w:r w:rsidR="0093676E">
        <w:rPr>
          <w:rFonts w:ascii="Arial" w:hAnsi="Arial" w:cs="Arial"/>
        </w:rPr>
        <w:t>L</w:t>
      </w:r>
      <w:r w:rsidR="004A5E68" w:rsidRPr="00611F48">
        <w:rPr>
          <w:rFonts w:ascii="Arial" w:hAnsi="Arial" w:cs="Arial"/>
        </w:rPr>
        <w:t>egal advice requested</w:t>
      </w:r>
      <w:r w:rsidR="0093676E">
        <w:rPr>
          <w:rFonts w:ascii="Arial" w:hAnsi="Arial" w:cs="Arial"/>
        </w:rPr>
        <w:t>,</w:t>
      </w:r>
      <w:r w:rsidR="004A5E68" w:rsidRPr="00611F48">
        <w:rPr>
          <w:rFonts w:ascii="Arial" w:hAnsi="Arial" w:cs="Arial"/>
        </w:rPr>
        <w:t xml:space="preserve"> and given to keep the client’s conduct within the ambit of the law</w:t>
      </w:r>
      <w:r w:rsidR="0093676E">
        <w:rPr>
          <w:rFonts w:ascii="Arial" w:hAnsi="Arial" w:cs="Arial"/>
        </w:rPr>
        <w:t>,</w:t>
      </w:r>
      <w:r w:rsidR="004A5E68" w:rsidRPr="00611F48">
        <w:rPr>
          <w:rFonts w:ascii="Arial" w:hAnsi="Arial" w:cs="Arial"/>
        </w:rPr>
        <w:t xml:space="preserve"> may not be sufficient to prevent the successful invocation of the </w:t>
      </w:r>
      <w:r w:rsidR="00A36209" w:rsidRPr="00611F48">
        <w:rPr>
          <w:rFonts w:ascii="Arial" w:hAnsi="Arial" w:cs="Arial"/>
        </w:rPr>
        <w:t xml:space="preserve">crime-fraud </w:t>
      </w:r>
      <w:r w:rsidR="004A5E68" w:rsidRPr="00611F48">
        <w:rPr>
          <w:rFonts w:ascii="Arial" w:hAnsi="Arial" w:cs="Arial"/>
        </w:rPr>
        <w:t>exception</w:t>
      </w:r>
      <w:r w:rsidR="00A06214" w:rsidRPr="00611F48">
        <w:rPr>
          <w:rFonts w:ascii="Arial" w:hAnsi="Arial" w:cs="Arial"/>
        </w:rPr>
        <w:t xml:space="preserve"> if the court </w:t>
      </w:r>
      <w:r w:rsidR="00A36209" w:rsidRPr="00611F48">
        <w:rPr>
          <w:rFonts w:ascii="Arial" w:hAnsi="Arial" w:cs="Arial"/>
        </w:rPr>
        <w:lastRenderedPageBreak/>
        <w:t xml:space="preserve">subsequently </w:t>
      </w:r>
      <w:r w:rsidR="00A06214" w:rsidRPr="00611F48">
        <w:rPr>
          <w:rFonts w:ascii="Arial" w:hAnsi="Arial" w:cs="Arial"/>
        </w:rPr>
        <w:t>regard’s the client’s conduct as iniquitous</w:t>
      </w:r>
      <w:r w:rsidR="004A5E68" w:rsidRPr="00611F48">
        <w:rPr>
          <w:rFonts w:ascii="Arial" w:hAnsi="Arial" w:cs="Arial"/>
        </w:rPr>
        <w:t>.</w:t>
      </w:r>
      <w:r w:rsidR="00EF1D52" w:rsidRPr="00611F48">
        <w:rPr>
          <w:rStyle w:val="FootnoteReference"/>
          <w:rFonts w:ascii="Arial" w:hAnsi="Arial" w:cs="Arial"/>
        </w:rPr>
        <w:footnoteReference w:id="44"/>
      </w:r>
      <w:r w:rsidR="004A5E68" w:rsidRPr="00611F48">
        <w:rPr>
          <w:rFonts w:ascii="Arial" w:hAnsi="Arial" w:cs="Arial"/>
        </w:rPr>
        <w:t xml:space="preserve"> </w:t>
      </w:r>
      <w:r w:rsidRPr="00611F48">
        <w:rPr>
          <w:rFonts w:ascii="Arial" w:hAnsi="Arial" w:cs="Arial"/>
        </w:rPr>
        <w:t>Consequently, if communications concerning certain forms of tax avoidance do potentially fall within the ambit of the crime-fraud exception it may be difficult</w:t>
      </w:r>
      <w:r w:rsidR="0093676E">
        <w:rPr>
          <w:rFonts w:ascii="Arial" w:hAnsi="Arial" w:cs="Arial"/>
        </w:rPr>
        <w:t>,</w:t>
      </w:r>
      <w:r w:rsidRPr="00611F48">
        <w:rPr>
          <w:rFonts w:ascii="Arial" w:hAnsi="Arial" w:cs="Arial"/>
        </w:rPr>
        <w:t xml:space="preserve"> or impossible</w:t>
      </w:r>
      <w:r w:rsidR="0093676E">
        <w:rPr>
          <w:rFonts w:ascii="Arial" w:hAnsi="Arial" w:cs="Arial"/>
        </w:rPr>
        <w:t>,</w:t>
      </w:r>
      <w:r w:rsidRPr="00611F48">
        <w:rPr>
          <w:rFonts w:ascii="Arial" w:hAnsi="Arial" w:cs="Arial"/>
        </w:rPr>
        <w:t xml:space="preserve"> for legal advisors and their clients to determine in advance of legal proceedings seeking disclosure whether communications between them for the purpose of achieving tax avoidance are subject to legal professional privilege.</w:t>
      </w:r>
    </w:p>
    <w:p w14:paraId="2A029553" w14:textId="77777777" w:rsidR="00163D9E" w:rsidRPr="00C604AF" w:rsidRDefault="00163D9E" w:rsidP="00EE1BD2">
      <w:pPr>
        <w:numPr>
          <w:ilvl w:val="12"/>
          <w:numId w:val="0"/>
        </w:numPr>
        <w:spacing w:line="480" w:lineRule="auto"/>
        <w:jc w:val="both"/>
        <w:rPr>
          <w:rFonts w:ascii="Arial" w:hAnsi="Arial" w:cs="Arial"/>
          <w:i/>
        </w:rPr>
      </w:pPr>
      <w:r w:rsidRPr="00C604AF">
        <w:rPr>
          <w:rFonts w:ascii="Arial" w:hAnsi="Arial" w:cs="Arial"/>
          <w:i/>
        </w:rPr>
        <w:t>The crim</w:t>
      </w:r>
      <w:r w:rsidR="0023733B" w:rsidRPr="00C604AF">
        <w:rPr>
          <w:rFonts w:ascii="Arial" w:hAnsi="Arial" w:cs="Arial"/>
          <w:i/>
        </w:rPr>
        <w:t>e-fraud exception, taxation</w:t>
      </w:r>
      <w:r w:rsidRPr="00C604AF">
        <w:rPr>
          <w:rFonts w:ascii="Arial" w:hAnsi="Arial" w:cs="Arial"/>
          <w:i/>
        </w:rPr>
        <w:t xml:space="preserve"> and article </w:t>
      </w:r>
      <w:r w:rsidR="00154451" w:rsidRPr="00C604AF">
        <w:rPr>
          <w:rFonts w:ascii="Arial" w:hAnsi="Arial" w:cs="Arial"/>
          <w:i/>
        </w:rPr>
        <w:t>8</w:t>
      </w:r>
      <w:r w:rsidRPr="00C604AF">
        <w:rPr>
          <w:rFonts w:ascii="Arial" w:hAnsi="Arial" w:cs="Arial"/>
          <w:i/>
        </w:rPr>
        <w:t xml:space="preserve"> of the European Convention on Human Rights</w:t>
      </w:r>
    </w:p>
    <w:p w14:paraId="402753EA" w14:textId="47CADCBC" w:rsidR="00163D9E" w:rsidRDefault="00CF4B5D" w:rsidP="00EE1BD2">
      <w:pPr>
        <w:numPr>
          <w:ilvl w:val="12"/>
          <w:numId w:val="0"/>
        </w:numPr>
        <w:spacing w:line="480" w:lineRule="auto"/>
        <w:jc w:val="both"/>
        <w:rPr>
          <w:rFonts w:ascii="Arial" w:hAnsi="Arial" w:cs="Arial"/>
        </w:rPr>
      </w:pPr>
      <w:r>
        <w:rPr>
          <w:rFonts w:ascii="Arial" w:hAnsi="Arial" w:cs="Arial"/>
        </w:rPr>
        <w:t>I</w:t>
      </w:r>
      <w:r w:rsidR="000E7331" w:rsidRPr="00611F48">
        <w:rPr>
          <w:rFonts w:ascii="Arial" w:hAnsi="Arial" w:cs="Arial"/>
        </w:rPr>
        <w:t>t has been suggested that</w:t>
      </w:r>
      <w:r>
        <w:rPr>
          <w:rFonts w:ascii="Arial" w:hAnsi="Arial" w:cs="Arial"/>
        </w:rPr>
        <w:t>,</w:t>
      </w:r>
      <w:r w:rsidR="000E7331" w:rsidRPr="00611F48">
        <w:rPr>
          <w:rFonts w:ascii="Arial" w:hAnsi="Arial" w:cs="Arial"/>
        </w:rPr>
        <w:t xml:space="preserve"> to the extent to which the exception now encompasses imprecisely defined </w:t>
      </w:r>
      <w:r w:rsidR="00701FCB" w:rsidRPr="00611F48">
        <w:rPr>
          <w:rFonts w:ascii="Arial" w:hAnsi="Arial" w:cs="Arial"/>
        </w:rPr>
        <w:t>iniquity</w:t>
      </w:r>
      <w:r w:rsidR="00C02C12">
        <w:rPr>
          <w:rFonts w:ascii="Arial" w:hAnsi="Arial" w:cs="Arial"/>
        </w:rPr>
        <w:t>,</w:t>
      </w:r>
      <w:r w:rsidR="00701FCB" w:rsidRPr="00611F48">
        <w:rPr>
          <w:rFonts w:ascii="Arial" w:hAnsi="Arial" w:cs="Arial"/>
        </w:rPr>
        <w:t xml:space="preserve"> its operation may have the potential to result in violation of article </w:t>
      </w:r>
      <w:r w:rsidR="000E7331" w:rsidRPr="00611F48">
        <w:rPr>
          <w:rFonts w:ascii="Arial" w:hAnsi="Arial" w:cs="Arial"/>
        </w:rPr>
        <w:t xml:space="preserve">8 </w:t>
      </w:r>
      <w:r w:rsidR="00E55BC3" w:rsidRPr="00611F48">
        <w:rPr>
          <w:rFonts w:ascii="Arial" w:hAnsi="Arial" w:cs="Arial"/>
        </w:rPr>
        <w:t xml:space="preserve">(right to privacy) </w:t>
      </w:r>
      <w:r w:rsidR="000E7331" w:rsidRPr="00611F48">
        <w:rPr>
          <w:rFonts w:ascii="Arial" w:hAnsi="Arial" w:cs="Arial"/>
        </w:rPr>
        <w:t>of the European Convention on Human Rights.</w:t>
      </w:r>
      <w:r w:rsidR="000E7331" w:rsidRPr="00611F48">
        <w:rPr>
          <w:rStyle w:val="FootnoteReference"/>
          <w:rFonts w:ascii="Arial" w:hAnsi="Arial" w:cs="Arial"/>
        </w:rPr>
        <w:footnoteReference w:id="45"/>
      </w:r>
      <w:r w:rsidR="00E55BC3" w:rsidRPr="00611F48">
        <w:rPr>
          <w:rFonts w:ascii="Arial" w:hAnsi="Arial" w:cs="Arial"/>
        </w:rPr>
        <w:t xml:space="preserve"> </w:t>
      </w:r>
      <w:r w:rsidR="00920F06">
        <w:rPr>
          <w:rFonts w:ascii="Arial" w:hAnsi="Arial" w:cs="Arial"/>
        </w:rPr>
        <w:t>This suggestion relies upon</w:t>
      </w:r>
      <w:r w:rsidRPr="00CF4B5D">
        <w:rPr>
          <w:rFonts w:ascii="Arial" w:hAnsi="Arial" w:cs="Arial"/>
        </w:rPr>
        <w:t xml:space="preserve"> jurisprudence of the House of Lords concerning proceedings in which disclosure was sought in the context of tax avoidance </w:t>
      </w:r>
      <w:r>
        <w:rPr>
          <w:rFonts w:ascii="Arial" w:hAnsi="Arial" w:cs="Arial"/>
        </w:rPr>
        <w:t>(although</w:t>
      </w:r>
      <w:r w:rsidRPr="00CF4B5D">
        <w:rPr>
          <w:rFonts w:ascii="Arial" w:hAnsi="Arial" w:cs="Arial"/>
        </w:rPr>
        <w:t xml:space="preserve"> the crime fraud exception was not invoked</w:t>
      </w:r>
      <w:r>
        <w:rPr>
          <w:rFonts w:ascii="Arial" w:hAnsi="Arial" w:cs="Arial"/>
        </w:rPr>
        <w:t>)</w:t>
      </w:r>
      <w:r w:rsidR="00920F06">
        <w:rPr>
          <w:rFonts w:ascii="Arial" w:hAnsi="Arial" w:cs="Arial"/>
        </w:rPr>
        <w:t>.</w:t>
      </w:r>
      <w:r>
        <w:rPr>
          <w:rStyle w:val="FootnoteReference"/>
          <w:rFonts w:ascii="Arial" w:hAnsi="Arial" w:cs="Arial"/>
        </w:rPr>
        <w:footnoteReference w:id="46"/>
      </w:r>
      <w:r w:rsidR="00920F06">
        <w:rPr>
          <w:rFonts w:ascii="Arial" w:hAnsi="Arial" w:cs="Arial"/>
        </w:rPr>
        <w:t xml:space="preserve"> </w:t>
      </w:r>
    </w:p>
    <w:p w14:paraId="4C82FD13" w14:textId="77777777" w:rsidR="0077594D" w:rsidRPr="00611F48" w:rsidRDefault="0077594D" w:rsidP="00EE1BD2">
      <w:pPr>
        <w:numPr>
          <w:ilvl w:val="12"/>
          <w:numId w:val="0"/>
        </w:numPr>
        <w:spacing w:line="480" w:lineRule="auto"/>
        <w:jc w:val="both"/>
        <w:rPr>
          <w:rFonts w:ascii="Arial" w:hAnsi="Arial" w:cs="Arial"/>
        </w:rPr>
      </w:pPr>
    </w:p>
    <w:p w14:paraId="692F9E30" w14:textId="77777777" w:rsidR="00B97074" w:rsidRDefault="00885CB0" w:rsidP="00EE1BD2">
      <w:pPr>
        <w:numPr>
          <w:ilvl w:val="12"/>
          <w:numId w:val="0"/>
        </w:numPr>
        <w:spacing w:line="480" w:lineRule="auto"/>
        <w:jc w:val="both"/>
        <w:rPr>
          <w:rFonts w:ascii="Arial" w:hAnsi="Arial" w:cs="Arial"/>
        </w:rPr>
      </w:pPr>
      <w:r w:rsidRPr="00611F48">
        <w:rPr>
          <w:rFonts w:ascii="Arial" w:hAnsi="Arial" w:cs="Arial"/>
        </w:rPr>
        <w:t>It is clear that article 8 gives “strengthened protection” to legal adviser/client communications</w:t>
      </w:r>
      <w:r w:rsidRPr="00611F48">
        <w:rPr>
          <w:rStyle w:val="FootnoteReference"/>
          <w:rFonts w:ascii="Arial" w:hAnsi="Arial" w:cs="Arial"/>
        </w:rPr>
        <w:footnoteReference w:id="47"/>
      </w:r>
      <w:r w:rsidR="00230408">
        <w:rPr>
          <w:rFonts w:ascii="Arial" w:hAnsi="Arial" w:cs="Arial"/>
        </w:rPr>
        <w:t>,</w:t>
      </w:r>
      <w:r w:rsidRPr="00611F48">
        <w:rPr>
          <w:rFonts w:ascii="Arial" w:hAnsi="Arial" w:cs="Arial"/>
        </w:rPr>
        <w:t xml:space="preserve"> and that </w:t>
      </w:r>
      <w:r w:rsidR="00DA4EF2" w:rsidRPr="00611F48">
        <w:rPr>
          <w:rFonts w:ascii="Arial" w:hAnsi="Arial" w:cs="Arial"/>
        </w:rPr>
        <w:t>any interference with this right may only be justified if, in the words of article 8(2), it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00730530" w:rsidRPr="00611F48">
        <w:rPr>
          <w:rFonts w:ascii="Arial" w:hAnsi="Arial" w:cs="Arial"/>
        </w:rPr>
        <w:t xml:space="preserve"> In order to be in accordance with the </w:t>
      </w:r>
      <w:r w:rsidR="00730530" w:rsidRPr="00611F48">
        <w:rPr>
          <w:rFonts w:ascii="Arial" w:hAnsi="Arial" w:cs="Arial"/>
        </w:rPr>
        <w:lastRenderedPageBreak/>
        <w:t xml:space="preserve">law, the existence of a legal basis for interfering with the article 8 right is not </w:t>
      </w:r>
      <w:r w:rsidR="007E3651" w:rsidRPr="00611F48">
        <w:rPr>
          <w:rFonts w:ascii="Arial" w:hAnsi="Arial" w:cs="Arial"/>
        </w:rPr>
        <w:t xml:space="preserve">in itself </w:t>
      </w:r>
      <w:r w:rsidR="00730530" w:rsidRPr="00611F48">
        <w:rPr>
          <w:rFonts w:ascii="Arial" w:hAnsi="Arial" w:cs="Arial"/>
        </w:rPr>
        <w:t xml:space="preserve">sufficient, rather, </w:t>
      </w:r>
      <w:r w:rsidR="007E3651" w:rsidRPr="00611F48">
        <w:rPr>
          <w:rFonts w:ascii="Arial" w:hAnsi="Arial" w:cs="Arial"/>
        </w:rPr>
        <w:t>the legal basis for interfering must be both “accessible” and “foreseeable”.</w:t>
      </w:r>
      <w:r w:rsidR="007E3651" w:rsidRPr="00611F48">
        <w:rPr>
          <w:rStyle w:val="FootnoteReference"/>
          <w:rFonts w:ascii="Arial" w:hAnsi="Arial" w:cs="Arial"/>
        </w:rPr>
        <w:footnoteReference w:id="48"/>
      </w:r>
      <w:r w:rsidR="00340570">
        <w:rPr>
          <w:rFonts w:ascii="Arial" w:hAnsi="Arial" w:cs="Arial"/>
        </w:rPr>
        <w:t xml:space="preserve"> </w:t>
      </w:r>
    </w:p>
    <w:p w14:paraId="3FCB0BC7" w14:textId="3F3F29FE" w:rsidR="00163D9E" w:rsidRDefault="00340570" w:rsidP="00EE1BD2">
      <w:pPr>
        <w:numPr>
          <w:ilvl w:val="12"/>
          <w:numId w:val="0"/>
        </w:numPr>
        <w:spacing w:line="480" w:lineRule="auto"/>
        <w:jc w:val="both"/>
        <w:rPr>
          <w:rFonts w:ascii="Arial" w:hAnsi="Arial" w:cs="Arial"/>
        </w:rPr>
      </w:pPr>
      <w:r>
        <w:rPr>
          <w:rFonts w:ascii="Arial" w:hAnsi="Arial" w:cs="Arial"/>
        </w:rPr>
        <w:t>A</w:t>
      </w:r>
      <w:r w:rsidR="00FD189B" w:rsidRPr="00611F48">
        <w:rPr>
          <w:rFonts w:ascii="Arial" w:hAnsi="Arial" w:cs="Arial"/>
        </w:rPr>
        <w:t xml:space="preserve">s </w:t>
      </w:r>
      <w:r w:rsidR="00701FCB" w:rsidRPr="00611F48">
        <w:rPr>
          <w:rFonts w:ascii="Arial" w:hAnsi="Arial" w:cs="Arial"/>
        </w:rPr>
        <w:t>was recognised above</w:t>
      </w:r>
      <w:r w:rsidR="00FD189B" w:rsidRPr="00611F48">
        <w:rPr>
          <w:rFonts w:ascii="Arial" w:hAnsi="Arial" w:cs="Arial"/>
        </w:rPr>
        <w:t xml:space="preserve">, </w:t>
      </w:r>
      <w:r w:rsidR="00701FCB" w:rsidRPr="00611F48">
        <w:rPr>
          <w:rFonts w:ascii="Arial" w:hAnsi="Arial" w:cs="Arial"/>
        </w:rPr>
        <w:t>a consequence of the uncertain ambit of the exception is that l</w:t>
      </w:r>
      <w:r w:rsidR="00101054" w:rsidRPr="00611F48">
        <w:rPr>
          <w:rFonts w:ascii="Arial" w:hAnsi="Arial" w:cs="Arial"/>
        </w:rPr>
        <w:t xml:space="preserve">egal adviser and client </w:t>
      </w:r>
      <w:r w:rsidR="00701FCB" w:rsidRPr="00611F48">
        <w:rPr>
          <w:rFonts w:ascii="Arial" w:hAnsi="Arial" w:cs="Arial"/>
        </w:rPr>
        <w:t xml:space="preserve">may well face difficulty </w:t>
      </w:r>
      <w:r w:rsidR="00124CA2" w:rsidRPr="00611F48">
        <w:rPr>
          <w:rFonts w:ascii="Arial" w:hAnsi="Arial" w:cs="Arial"/>
        </w:rPr>
        <w:t xml:space="preserve">in attempting </w:t>
      </w:r>
      <w:r w:rsidR="00101054" w:rsidRPr="00611F48">
        <w:rPr>
          <w:rFonts w:ascii="Arial" w:hAnsi="Arial" w:cs="Arial"/>
        </w:rPr>
        <w:t>to work out whether a proposed course of conduct is iniquitous</w:t>
      </w:r>
      <w:r w:rsidR="0027186E" w:rsidRPr="00611F48">
        <w:rPr>
          <w:rFonts w:ascii="Arial" w:hAnsi="Arial" w:cs="Arial"/>
        </w:rPr>
        <w:t xml:space="preserve"> in advance of the invocation of th</w:t>
      </w:r>
      <w:r w:rsidR="00C02C12">
        <w:rPr>
          <w:rFonts w:ascii="Arial" w:hAnsi="Arial" w:cs="Arial"/>
        </w:rPr>
        <w:t>e</w:t>
      </w:r>
      <w:r w:rsidR="0027186E" w:rsidRPr="00611F48">
        <w:rPr>
          <w:rFonts w:ascii="Arial" w:hAnsi="Arial" w:cs="Arial"/>
        </w:rPr>
        <w:t xml:space="preserve"> exception in subsequent legal proceedings</w:t>
      </w:r>
      <w:r>
        <w:rPr>
          <w:rFonts w:ascii="Arial" w:hAnsi="Arial" w:cs="Arial"/>
        </w:rPr>
        <w:t>. T</w:t>
      </w:r>
      <w:r w:rsidR="00101054" w:rsidRPr="00611F48">
        <w:rPr>
          <w:rFonts w:ascii="Arial" w:hAnsi="Arial" w:cs="Arial"/>
        </w:rPr>
        <w:t xml:space="preserve">here would appear to be a cogent argument that the operation of the crime-fraud exception </w:t>
      </w:r>
      <w:r w:rsidR="00C533E8" w:rsidRPr="00611F48">
        <w:rPr>
          <w:rFonts w:ascii="Arial" w:hAnsi="Arial" w:cs="Arial"/>
        </w:rPr>
        <w:t xml:space="preserve">upon the basis of iniquity </w:t>
      </w:r>
      <w:r w:rsidR="00101054" w:rsidRPr="00611F48">
        <w:rPr>
          <w:rFonts w:ascii="Arial" w:hAnsi="Arial" w:cs="Arial"/>
        </w:rPr>
        <w:t xml:space="preserve">in the context of tax avoidance could give rise to a violation of article 8. </w:t>
      </w:r>
      <w:r w:rsidR="00230408">
        <w:rPr>
          <w:rFonts w:ascii="Arial" w:hAnsi="Arial" w:cs="Arial"/>
        </w:rPr>
        <w:t>T</w:t>
      </w:r>
      <w:r w:rsidR="000C2BB4" w:rsidRPr="00611F48">
        <w:rPr>
          <w:rFonts w:ascii="Arial" w:hAnsi="Arial" w:cs="Arial"/>
        </w:rPr>
        <w:t>he court amounts to a public authority for the purposes of s.6 of the Human Rights Act 1998</w:t>
      </w:r>
      <w:r w:rsidR="000C2BB4" w:rsidRPr="00611F48">
        <w:rPr>
          <w:rStyle w:val="FootnoteReference"/>
          <w:rFonts w:ascii="Arial" w:hAnsi="Arial" w:cs="Arial"/>
        </w:rPr>
        <w:footnoteReference w:id="49"/>
      </w:r>
      <w:r w:rsidR="00230408">
        <w:rPr>
          <w:rFonts w:ascii="Arial" w:hAnsi="Arial" w:cs="Arial"/>
        </w:rPr>
        <w:t>,</w:t>
      </w:r>
      <w:r w:rsidR="000C2BB4" w:rsidRPr="00611F48">
        <w:rPr>
          <w:rFonts w:ascii="Arial" w:hAnsi="Arial" w:cs="Arial"/>
        </w:rPr>
        <w:t xml:space="preserve"> and </w:t>
      </w:r>
      <w:r w:rsidR="006D2AD0" w:rsidRPr="00611F48">
        <w:rPr>
          <w:rFonts w:ascii="Arial" w:hAnsi="Arial" w:cs="Arial"/>
        </w:rPr>
        <w:t>it is</w:t>
      </w:r>
      <w:r w:rsidR="000C2BB4" w:rsidRPr="00611F48">
        <w:rPr>
          <w:rFonts w:ascii="Arial" w:hAnsi="Arial" w:cs="Arial"/>
        </w:rPr>
        <w:t xml:space="preserve"> thus unlawful for </w:t>
      </w:r>
      <w:r w:rsidR="0027186E" w:rsidRPr="00611F48">
        <w:rPr>
          <w:rFonts w:ascii="Arial" w:hAnsi="Arial" w:cs="Arial"/>
        </w:rPr>
        <w:t>it</w:t>
      </w:r>
      <w:r w:rsidR="000C2BB4" w:rsidRPr="00611F48">
        <w:rPr>
          <w:rFonts w:ascii="Arial" w:hAnsi="Arial" w:cs="Arial"/>
        </w:rPr>
        <w:t xml:space="preserve"> to act incompatibly with a Convention right</w:t>
      </w:r>
      <w:r w:rsidR="000C2BB4" w:rsidRPr="00611F48">
        <w:rPr>
          <w:rStyle w:val="FootnoteReference"/>
          <w:rFonts w:ascii="Arial" w:hAnsi="Arial" w:cs="Arial"/>
        </w:rPr>
        <w:footnoteReference w:id="50"/>
      </w:r>
      <w:r w:rsidR="00230408">
        <w:rPr>
          <w:rFonts w:ascii="Arial" w:hAnsi="Arial" w:cs="Arial"/>
        </w:rPr>
        <w:t xml:space="preserve">. Therefore, </w:t>
      </w:r>
      <w:r w:rsidR="00701FCB" w:rsidRPr="00611F48">
        <w:rPr>
          <w:rFonts w:ascii="Arial" w:hAnsi="Arial" w:cs="Arial"/>
        </w:rPr>
        <w:t>the legality of the operation of the crime-fraud exception must be in doubt</w:t>
      </w:r>
      <w:r w:rsidR="00230408">
        <w:rPr>
          <w:rFonts w:ascii="Arial" w:hAnsi="Arial" w:cs="Arial"/>
        </w:rPr>
        <w:t xml:space="preserve"> </w:t>
      </w:r>
      <w:r w:rsidR="00701FCB" w:rsidRPr="00611F48">
        <w:rPr>
          <w:rFonts w:ascii="Arial" w:hAnsi="Arial" w:cs="Arial"/>
        </w:rPr>
        <w:t>in circumstances in which</w:t>
      </w:r>
      <w:r w:rsidR="00230408">
        <w:rPr>
          <w:rFonts w:ascii="Arial" w:hAnsi="Arial" w:cs="Arial"/>
        </w:rPr>
        <w:t>, when communications took place,</w:t>
      </w:r>
      <w:r w:rsidR="00701FCB" w:rsidRPr="00611F48">
        <w:rPr>
          <w:rFonts w:ascii="Arial" w:hAnsi="Arial" w:cs="Arial"/>
        </w:rPr>
        <w:t xml:space="preserve"> legal adviser and client would not have been able to </w:t>
      </w:r>
      <w:r w:rsidR="00230408">
        <w:rPr>
          <w:rFonts w:ascii="Arial" w:hAnsi="Arial" w:cs="Arial"/>
        </w:rPr>
        <w:t>predict with accuracy</w:t>
      </w:r>
      <w:r w:rsidR="00701FCB" w:rsidRPr="00611F48">
        <w:rPr>
          <w:rFonts w:ascii="Arial" w:hAnsi="Arial" w:cs="Arial"/>
        </w:rPr>
        <w:t xml:space="preserve"> whether or not </w:t>
      </w:r>
      <w:r w:rsidR="00C02C12">
        <w:rPr>
          <w:rFonts w:ascii="Arial" w:hAnsi="Arial" w:cs="Arial"/>
        </w:rPr>
        <w:t xml:space="preserve">communications between them </w:t>
      </w:r>
      <w:r w:rsidR="0027186E" w:rsidRPr="00611F48">
        <w:rPr>
          <w:rFonts w:ascii="Arial" w:hAnsi="Arial" w:cs="Arial"/>
        </w:rPr>
        <w:t xml:space="preserve">would fall within </w:t>
      </w:r>
      <w:r w:rsidR="00701FCB" w:rsidRPr="00611F48">
        <w:rPr>
          <w:rFonts w:ascii="Arial" w:hAnsi="Arial" w:cs="Arial"/>
        </w:rPr>
        <w:t xml:space="preserve">the ambit of </w:t>
      </w:r>
      <w:r w:rsidR="00174FE4" w:rsidRPr="00611F48">
        <w:rPr>
          <w:rFonts w:ascii="Arial" w:hAnsi="Arial" w:cs="Arial"/>
        </w:rPr>
        <w:t>legal professional privilege</w:t>
      </w:r>
      <w:r w:rsidR="00230408">
        <w:rPr>
          <w:rFonts w:ascii="Arial" w:hAnsi="Arial" w:cs="Arial"/>
        </w:rPr>
        <w:t>,</w:t>
      </w:r>
      <w:r w:rsidR="00174FE4" w:rsidRPr="00611F48">
        <w:rPr>
          <w:rFonts w:ascii="Arial" w:hAnsi="Arial" w:cs="Arial"/>
        </w:rPr>
        <w:t xml:space="preserve"> due to the uncertain ambit of the exception.</w:t>
      </w:r>
      <w:r w:rsidR="0027186E" w:rsidRPr="00611F48">
        <w:rPr>
          <w:rFonts w:ascii="Arial" w:hAnsi="Arial" w:cs="Arial"/>
        </w:rPr>
        <w:t xml:space="preserve"> </w:t>
      </w:r>
    </w:p>
    <w:p w14:paraId="055E6A54" w14:textId="77777777" w:rsidR="0077594D" w:rsidRPr="00611F48" w:rsidRDefault="0077594D" w:rsidP="00EE1BD2">
      <w:pPr>
        <w:numPr>
          <w:ilvl w:val="12"/>
          <w:numId w:val="0"/>
        </w:numPr>
        <w:spacing w:line="480" w:lineRule="auto"/>
        <w:jc w:val="both"/>
        <w:rPr>
          <w:rFonts w:ascii="Arial" w:hAnsi="Arial" w:cs="Arial"/>
        </w:rPr>
      </w:pPr>
    </w:p>
    <w:p w14:paraId="16729683" w14:textId="0A15E4B5" w:rsidR="004F2438" w:rsidRDefault="005E2230" w:rsidP="00EE1BD2">
      <w:pPr>
        <w:numPr>
          <w:ilvl w:val="12"/>
          <w:numId w:val="0"/>
        </w:numPr>
        <w:spacing w:line="480" w:lineRule="auto"/>
        <w:jc w:val="both"/>
        <w:rPr>
          <w:rFonts w:ascii="Arial" w:hAnsi="Arial" w:cs="Arial"/>
        </w:rPr>
      </w:pPr>
      <w:r>
        <w:rPr>
          <w:rFonts w:ascii="Arial" w:hAnsi="Arial" w:cs="Arial"/>
        </w:rPr>
        <w:t xml:space="preserve">Even if </w:t>
      </w:r>
      <w:r w:rsidR="00920F06">
        <w:rPr>
          <w:rFonts w:ascii="Arial" w:hAnsi="Arial" w:cs="Arial"/>
        </w:rPr>
        <w:t>the definition of the crime-fraud exception is sufficiently precise to avoid article 8 violation</w:t>
      </w:r>
      <w:r w:rsidR="00B42119">
        <w:rPr>
          <w:rFonts w:ascii="Arial" w:hAnsi="Arial" w:cs="Arial"/>
        </w:rPr>
        <w:t>s</w:t>
      </w:r>
      <w:r w:rsidR="00920F06">
        <w:rPr>
          <w:rFonts w:ascii="Arial" w:hAnsi="Arial" w:cs="Arial"/>
        </w:rPr>
        <w:t>,</w:t>
      </w:r>
      <w:r>
        <w:rPr>
          <w:rFonts w:ascii="Arial" w:hAnsi="Arial" w:cs="Arial"/>
        </w:rPr>
        <w:t xml:space="preserve"> a</w:t>
      </w:r>
      <w:r w:rsidR="00B42119">
        <w:rPr>
          <w:rFonts w:ascii="Arial" w:hAnsi="Arial" w:cs="Arial"/>
        </w:rPr>
        <w:t>nother article 8 issue falls to be considered in this context</w:t>
      </w:r>
      <w:r>
        <w:rPr>
          <w:rFonts w:ascii="Arial" w:hAnsi="Arial" w:cs="Arial"/>
        </w:rPr>
        <w:t xml:space="preserve">. </w:t>
      </w:r>
      <w:r w:rsidR="00B42119">
        <w:rPr>
          <w:rFonts w:ascii="Arial" w:hAnsi="Arial" w:cs="Arial"/>
        </w:rPr>
        <w:t>The question is t</w:t>
      </w:r>
      <w:r w:rsidR="00470B1C" w:rsidRPr="00611F48">
        <w:rPr>
          <w:rFonts w:ascii="Arial" w:hAnsi="Arial" w:cs="Arial"/>
        </w:rPr>
        <w:t xml:space="preserve">o what extent </w:t>
      </w:r>
      <w:r>
        <w:rPr>
          <w:rFonts w:ascii="Arial" w:hAnsi="Arial" w:cs="Arial"/>
        </w:rPr>
        <w:t xml:space="preserve">could it be said that </w:t>
      </w:r>
      <w:r w:rsidR="000A4B0B" w:rsidRPr="00611F48">
        <w:rPr>
          <w:rFonts w:ascii="Arial" w:hAnsi="Arial" w:cs="Arial"/>
        </w:rPr>
        <w:t xml:space="preserve">requiring </w:t>
      </w:r>
      <w:r w:rsidR="00695487" w:rsidRPr="00611F48">
        <w:rPr>
          <w:rFonts w:ascii="Arial" w:hAnsi="Arial" w:cs="Arial"/>
        </w:rPr>
        <w:t xml:space="preserve">the disclosure of </w:t>
      </w:r>
      <w:r w:rsidR="00470B1C" w:rsidRPr="00611F48">
        <w:rPr>
          <w:rFonts w:ascii="Arial" w:hAnsi="Arial" w:cs="Arial"/>
        </w:rPr>
        <w:t xml:space="preserve">communications </w:t>
      </w:r>
      <w:r w:rsidR="00A00DB2" w:rsidRPr="00611F48">
        <w:rPr>
          <w:rFonts w:ascii="Arial" w:hAnsi="Arial" w:cs="Arial"/>
        </w:rPr>
        <w:t xml:space="preserve">relating to different forms of </w:t>
      </w:r>
      <w:r w:rsidR="000A4B0B" w:rsidRPr="00611F48">
        <w:rPr>
          <w:rFonts w:ascii="Arial" w:hAnsi="Arial" w:cs="Arial"/>
        </w:rPr>
        <w:t xml:space="preserve">non-criminal </w:t>
      </w:r>
      <w:r w:rsidR="00A00DB2" w:rsidRPr="00611F48">
        <w:rPr>
          <w:rFonts w:ascii="Arial" w:hAnsi="Arial" w:cs="Arial"/>
        </w:rPr>
        <w:t>tax avoidance</w:t>
      </w:r>
      <w:r>
        <w:rPr>
          <w:rFonts w:ascii="Arial" w:hAnsi="Arial" w:cs="Arial"/>
        </w:rPr>
        <w:t>,</w:t>
      </w:r>
      <w:r w:rsidR="00A00DB2" w:rsidRPr="00611F48">
        <w:rPr>
          <w:rFonts w:ascii="Arial" w:hAnsi="Arial" w:cs="Arial"/>
        </w:rPr>
        <w:t xml:space="preserve"> </w:t>
      </w:r>
      <w:r w:rsidR="00470B1C" w:rsidRPr="00611F48">
        <w:rPr>
          <w:rFonts w:ascii="Arial" w:hAnsi="Arial" w:cs="Arial"/>
        </w:rPr>
        <w:t>which fall at diff</w:t>
      </w:r>
      <w:r>
        <w:rPr>
          <w:rFonts w:ascii="Arial" w:hAnsi="Arial" w:cs="Arial"/>
        </w:rPr>
        <w:t>erent points along the spectrum</w:t>
      </w:r>
      <w:r w:rsidR="00695487" w:rsidRPr="00611F48">
        <w:rPr>
          <w:rFonts w:ascii="Arial" w:hAnsi="Arial" w:cs="Arial"/>
        </w:rPr>
        <w:t xml:space="preserve"> referred to above</w:t>
      </w:r>
      <w:r>
        <w:rPr>
          <w:rFonts w:ascii="Arial" w:hAnsi="Arial" w:cs="Arial"/>
        </w:rPr>
        <w:t>,</w:t>
      </w:r>
      <w:r w:rsidR="00695487" w:rsidRPr="00611F48">
        <w:rPr>
          <w:rFonts w:ascii="Arial" w:hAnsi="Arial" w:cs="Arial"/>
        </w:rPr>
        <w:t xml:space="preserve"> </w:t>
      </w:r>
      <w:r w:rsidR="00920F06">
        <w:rPr>
          <w:rFonts w:ascii="Arial" w:hAnsi="Arial" w:cs="Arial"/>
        </w:rPr>
        <w:t xml:space="preserve">is </w:t>
      </w:r>
      <w:r w:rsidR="00695487" w:rsidRPr="00611F48">
        <w:rPr>
          <w:rFonts w:ascii="Arial" w:hAnsi="Arial" w:cs="Arial"/>
        </w:rPr>
        <w:t>“necessary in a democratic society</w:t>
      </w:r>
      <w:r w:rsidR="008B0905" w:rsidRPr="00611F48">
        <w:rPr>
          <w:rFonts w:ascii="Arial" w:hAnsi="Arial" w:cs="Arial"/>
        </w:rPr>
        <w:t xml:space="preserve"> in the interests of…the economic well-being of the country”</w:t>
      </w:r>
      <w:r>
        <w:rPr>
          <w:rFonts w:ascii="Arial" w:hAnsi="Arial" w:cs="Arial"/>
        </w:rPr>
        <w:t>?</w:t>
      </w:r>
      <w:r w:rsidR="00695487" w:rsidRPr="00611F48">
        <w:rPr>
          <w:rFonts w:ascii="Arial" w:hAnsi="Arial" w:cs="Arial"/>
        </w:rPr>
        <w:t xml:space="preserve"> </w:t>
      </w:r>
      <w:r w:rsidR="00251701" w:rsidRPr="00611F48">
        <w:rPr>
          <w:rFonts w:ascii="Arial" w:hAnsi="Arial" w:cs="Arial"/>
        </w:rPr>
        <w:t>In order for</w:t>
      </w:r>
      <w:r w:rsidR="00D11F42" w:rsidRPr="00611F48">
        <w:rPr>
          <w:rFonts w:ascii="Arial" w:hAnsi="Arial" w:cs="Arial"/>
        </w:rPr>
        <w:t xml:space="preserve"> interference with the article 8 right </w:t>
      </w:r>
      <w:r w:rsidR="00251701" w:rsidRPr="00611F48">
        <w:rPr>
          <w:rFonts w:ascii="Arial" w:hAnsi="Arial" w:cs="Arial"/>
        </w:rPr>
        <w:t>to be necessary</w:t>
      </w:r>
      <w:r w:rsidR="00FD189B" w:rsidRPr="00611F48">
        <w:rPr>
          <w:rFonts w:ascii="Arial" w:hAnsi="Arial" w:cs="Arial"/>
        </w:rPr>
        <w:t>,</w:t>
      </w:r>
      <w:r w:rsidR="00251701" w:rsidRPr="00611F48">
        <w:rPr>
          <w:rFonts w:ascii="Arial" w:hAnsi="Arial" w:cs="Arial"/>
        </w:rPr>
        <w:t xml:space="preserve"> it </w:t>
      </w:r>
      <w:r w:rsidR="00D11F42" w:rsidRPr="00611F48">
        <w:rPr>
          <w:rFonts w:ascii="Arial" w:hAnsi="Arial" w:cs="Arial"/>
        </w:rPr>
        <w:t>must correspond to a pressing social need and must be proportionate to the legitimate aim that is being pursued.</w:t>
      </w:r>
      <w:r w:rsidR="00D11F42" w:rsidRPr="00611F48">
        <w:rPr>
          <w:rStyle w:val="FootnoteReference"/>
          <w:rFonts w:ascii="Arial" w:hAnsi="Arial" w:cs="Arial"/>
        </w:rPr>
        <w:footnoteReference w:id="51"/>
      </w:r>
      <w:r w:rsidR="00D11F42" w:rsidRPr="00611F48">
        <w:rPr>
          <w:rFonts w:ascii="Arial" w:hAnsi="Arial" w:cs="Arial"/>
        </w:rPr>
        <w:t xml:space="preserve"> </w:t>
      </w:r>
    </w:p>
    <w:p w14:paraId="04F3B672" w14:textId="77777777" w:rsidR="0077594D" w:rsidRDefault="0077594D" w:rsidP="00EE1BD2">
      <w:pPr>
        <w:numPr>
          <w:ilvl w:val="12"/>
          <w:numId w:val="0"/>
        </w:numPr>
        <w:spacing w:line="480" w:lineRule="auto"/>
        <w:jc w:val="both"/>
        <w:rPr>
          <w:rFonts w:ascii="Arial" w:hAnsi="Arial" w:cs="Arial"/>
        </w:rPr>
      </w:pPr>
    </w:p>
    <w:p w14:paraId="6E8287F1" w14:textId="3FF8D840" w:rsidR="004F2438" w:rsidRDefault="0069071D" w:rsidP="00EE1BD2">
      <w:pPr>
        <w:numPr>
          <w:ilvl w:val="12"/>
          <w:numId w:val="0"/>
        </w:numPr>
        <w:spacing w:line="480" w:lineRule="auto"/>
        <w:jc w:val="both"/>
        <w:rPr>
          <w:rFonts w:ascii="Arial" w:hAnsi="Arial" w:cs="Arial"/>
        </w:rPr>
      </w:pPr>
      <w:r w:rsidRPr="00611F48">
        <w:rPr>
          <w:rFonts w:ascii="Arial" w:hAnsi="Arial" w:cs="Arial"/>
        </w:rPr>
        <w:t>When the crime-fraud exception in its iniquity guise was recently considered judicially, the court recognised</w:t>
      </w:r>
      <w:r w:rsidRPr="00611F48">
        <w:rPr>
          <w:rStyle w:val="FootnoteReference"/>
          <w:rFonts w:ascii="Arial" w:hAnsi="Arial" w:cs="Arial"/>
        </w:rPr>
        <w:footnoteReference w:id="52"/>
      </w:r>
      <w:r w:rsidRPr="00611F48">
        <w:rPr>
          <w:rFonts w:ascii="Arial" w:hAnsi="Arial" w:cs="Arial"/>
        </w:rPr>
        <w:t xml:space="preserve"> that proportionate interference with the article 8 right may be justified in circumstances in which there has been an abuse of the legal adviser/client relationship</w:t>
      </w:r>
      <w:r w:rsidRPr="00611F48">
        <w:rPr>
          <w:rStyle w:val="FootnoteReference"/>
          <w:rFonts w:ascii="Arial" w:hAnsi="Arial" w:cs="Arial"/>
        </w:rPr>
        <w:footnoteReference w:id="53"/>
      </w:r>
      <w:r w:rsidRPr="00611F48">
        <w:rPr>
          <w:rFonts w:ascii="Arial" w:hAnsi="Arial" w:cs="Arial"/>
        </w:rPr>
        <w:t xml:space="preserve"> and held that the interference on the facts of the case could be justified both on the basis of protecting the private law rights of the applicant for disclosure and upon that of “upholding the efficacy of the administration of justice and the rule of law”.</w:t>
      </w:r>
      <w:r w:rsidRPr="00611F48">
        <w:rPr>
          <w:rStyle w:val="FootnoteReference"/>
          <w:rFonts w:ascii="Arial" w:hAnsi="Arial" w:cs="Arial"/>
        </w:rPr>
        <w:footnoteReference w:id="54"/>
      </w:r>
      <w:r w:rsidRPr="00611F48">
        <w:rPr>
          <w:rFonts w:ascii="Arial" w:hAnsi="Arial" w:cs="Arial"/>
        </w:rPr>
        <w:t xml:space="preserve"> The </w:t>
      </w:r>
      <w:r w:rsidR="00E86E2D">
        <w:rPr>
          <w:rFonts w:ascii="Arial" w:hAnsi="Arial" w:cs="Arial"/>
        </w:rPr>
        <w:t xml:space="preserve">case was not </w:t>
      </w:r>
      <w:r>
        <w:rPr>
          <w:rFonts w:ascii="Arial" w:hAnsi="Arial" w:cs="Arial"/>
        </w:rPr>
        <w:t>one which concerned tax avoidance but, rather,</w:t>
      </w:r>
      <w:r w:rsidR="00C90367">
        <w:rPr>
          <w:rFonts w:ascii="Arial" w:hAnsi="Arial" w:cs="Arial"/>
        </w:rPr>
        <w:t xml:space="preserve"> concerned </w:t>
      </w:r>
      <w:r w:rsidR="00987EB7">
        <w:rPr>
          <w:rFonts w:ascii="Arial" w:hAnsi="Arial" w:cs="Arial"/>
        </w:rPr>
        <w:t>an application by a bank for disclosure of documents relating to the assets of its former chairman who it alleged had fraudulently misappropriated its funds.</w:t>
      </w:r>
      <w:r>
        <w:rPr>
          <w:rFonts w:ascii="Arial" w:hAnsi="Arial" w:cs="Arial"/>
        </w:rPr>
        <w:t xml:space="preserve"> </w:t>
      </w:r>
    </w:p>
    <w:p w14:paraId="01055EBD" w14:textId="77777777" w:rsidR="0077594D" w:rsidRDefault="0077594D" w:rsidP="00EE1BD2">
      <w:pPr>
        <w:numPr>
          <w:ilvl w:val="12"/>
          <w:numId w:val="0"/>
        </w:numPr>
        <w:spacing w:line="480" w:lineRule="auto"/>
        <w:jc w:val="both"/>
        <w:rPr>
          <w:rFonts w:ascii="Arial" w:hAnsi="Arial" w:cs="Arial"/>
        </w:rPr>
      </w:pPr>
    </w:p>
    <w:p w14:paraId="6B8FADFA" w14:textId="2309206A" w:rsidR="0031166B" w:rsidRDefault="00162D57" w:rsidP="00EE1BD2">
      <w:pPr>
        <w:numPr>
          <w:ilvl w:val="12"/>
          <w:numId w:val="0"/>
        </w:numPr>
        <w:spacing w:line="480" w:lineRule="auto"/>
        <w:jc w:val="both"/>
        <w:rPr>
          <w:rFonts w:ascii="Arial" w:hAnsi="Arial" w:cs="Arial"/>
        </w:rPr>
      </w:pPr>
      <w:r w:rsidRPr="00611F48">
        <w:rPr>
          <w:rFonts w:ascii="Arial" w:hAnsi="Arial" w:cs="Arial"/>
        </w:rPr>
        <w:t>It</w:t>
      </w:r>
      <w:r w:rsidR="00A00DB2" w:rsidRPr="00611F48">
        <w:rPr>
          <w:rFonts w:ascii="Arial" w:hAnsi="Arial" w:cs="Arial"/>
        </w:rPr>
        <w:t xml:space="preserve"> would presumably </w:t>
      </w:r>
      <w:r w:rsidRPr="00611F48">
        <w:rPr>
          <w:rFonts w:ascii="Arial" w:hAnsi="Arial" w:cs="Arial"/>
        </w:rPr>
        <w:t xml:space="preserve">be </w:t>
      </w:r>
      <w:r w:rsidR="00251701" w:rsidRPr="00611F48">
        <w:rPr>
          <w:rFonts w:ascii="Arial" w:hAnsi="Arial" w:cs="Arial"/>
        </w:rPr>
        <w:t>considerably more</w:t>
      </w:r>
      <w:r w:rsidR="00A00DB2" w:rsidRPr="00611F48">
        <w:rPr>
          <w:rFonts w:ascii="Arial" w:hAnsi="Arial" w:cs="Arial"/>
        </w:rPr>
        <w:t xml:space="preserve"> difficult to establish that it was necessary to interfere with article 8 rights in the context of tax avoidance that fell towards the tax planning end of the spectrum</w:t>
      </w:r>
      <w:r w:rsidRPr="00611F48">
        <w:rPr>
          <w:rFonts w:ascii="Arial" w:hAnsi="Arial" w:cs="Arial"/>
        </w:rPr>
        <w:t xml:space="preserve"> as opposed to </w:t>
      </w:r>
      <w:r w:rsidR="00251701" w:rsidRPr="00611F48">
        <w:rPr>
          <w:rFonts w:ascii="Arial" w:hAnsi="Arial" w:cs="Arial"/>
        </w:rPr>
        <w:t xml:space="preserve">that of </w:t>
      </w:r>
      <w:r w:rsidRPr="00611F48">
        <w:rPr>
          <w:rFonts w:ascii="Arial" w:hAnsi="Arial" w:cs="Arial"/>
        </w:rPr>
        <w:t>tax avoidance that fell at the tax evasion end of that spectru</w:t>
      </w:r>
      <w:r w:rsidR="005E2230">
        <w:rPr>
          <w:rFonts w:ascii="Arial" w:hAnsi="Arial" w:cs="Arial"/>
        </w:rPr>
        <w:t xml:space="preserve">m. </w:t>
      </w:r>
      <w:r w:rsidR="004F2438">
        <w:rPr>
          <w:rFonts w:ascii="Arial" w:hAnsi="Arial" w:cs="Arial"/>
        </w:rPr>
        <w:t>I</w:t>
      </w:r>
      <w:r w:rsidR="007B5F29" w:rsidRPr="00611F48">
        <w:rPr>
          <w:rFonts w:ascii="Arial" w:hAnsi="Arial" w:cs="Arial"/>
        </w:rPr>
        <w:t>nterference with the article 8 right may potentially</w:t>
      </w:r>
      <w:r w:rsidR="004F2438">
        <w:rPr>
          <w:rFonts w:ascii="Arial" w:hAnsi="Arial" w:cs="Arial"/>
        </w:rPr>
        <w:t>, however,</w:t>
      </w:r>
      <w:r w:rsidR="007B5F29" w:rsidRPr="00611F48">
        <w:rPr>
          <w:rFonts w:ascii="Arial" w:hAnsi="Arial" w:cs="Arial"/>
        </w:rPr>
        <w:t xml:space="preserve"> be justified where there is reasonable cause to believe that legal professional privilege is being abused (i.e. in the context of facts or information that would satisfy a reasonable observer that this was so)</w:t>
      </w:r>
      <w:r w:rsidR="004B03A5" w:rsidRPr="00611F48">
        <w:rPr>
          <w:rStyle w:val="FootnoteReference"/>
          <w:rFonts w:ascii="Arial" w:hAnsi="Arial" w:cs="Arial"/>
        </w:rPr>
        <w:footnoteReference w:id="55"/>
      </w:r>
      <w:r w:rsidR="005E2230">
        <w:rPr>
          <w:rFonts w:ascii="Arial" w:hAnsi="Arial" w:cs="Arial"/>
        </w:rPr>
        <w:t xml:space="preserve">. </w:t>
      </w:r>
      <w:r w:rsidR="004F2438">
        <w:rPr>
          <w:rFonts w:ascii="Arial" w:hAnsi="Arial" w:cs="Arial"/>
        </w:rPr>
        <w:t>Moreover there may be f</w:t>
      </w:r>
      <w:r w:rsidR="00251701" w:rsidRPr="00611F48">
        <w:rPr>
          <w:rFonts w:ascii="Arial" w:hAnsi="Arial" w:cs="Arial"/>
        </w:rPr>
        <w:t xml:space="preserve">orms of tax avoidance which </w:t>
      </w:r>
      <w:r w:rsidR="000A4B0B" w:rsidRPr="00611F48">
        <w:rPr>
          <w:rFonts w:ascii="Arial" w:hAnsi="Arial" w:cs="Arial"/>
        </w:rPr>
        <w:t>would otherwise</w:t>
      </w:r>
      <w:r w:rsidR="00251701" w:rsidRPr="00611F48">
        <w:rPr>
          <w:rFonts w:ascii="Arial" w:hAnsi="Arial" w:cs="Arial"/>
        </w:rPr>
        <w:t xml:space="preserve"> appear sufficient to amount to iniquity for the purposes of the crime-fraud exception </w:t>
      </w:r>
      <w:r w:rsidR="000A4B0B" w:rsidRPr="00611F48">
        <w:rPr>
          <w:rFonts w:ascii="Arial" w:hAnsi="Arial" w:cs="Arial"/>
        </w:rPr>
        <w:t xml:space="preserve">but </w:t>
      </w:r>
      <w:r w:rsidR="00251701" w:rsidRPr="00611F48">
        <w:rPr>
          <w:rFonts w:ascii="Arial" w:hAnsi="Arial" w:cs="Arial"/>
        </w:rPr>
        <w:t xml:space="preserve">would not justify classification </w:t>
      </w:r>
      <w:r w:rsidR="00FD189B" w:rsidRPr="00611F48">
        <w:rPr>
          <w:rFonts w:ascii="Arial" w:hAnsi="Arial" w:cs="Arial"/>
        </w:rPr>
        <w:t xml:space="preserve">as an abuse of the legal adviser-client relationship </w:t>
      </w:r>
      <w:r w:rsidR="0069071D">
        <w:rPr>
          <w:rFonts w:ascii="Arial" w:hAnsi="Arial" w:cs="Arial"/>
        </w:rPr>
        <w:t xml:space="preserve">for the purposes of </w:t>
      </w:r>
      <w:r w:rsidR="00251701" w:rsidRPr="00611F48">
        <w:rPr>
          <w:rFonts w:ascii="Arial" w:hAnsi="Arial" w:cs="Arial"/>
        </w:rPr>
        <w:t>article 8</w:t>
      </w:r>
      <w:r w:rsidR="0069071D">
        <w:rPr>
          <w:rFonts w:ascii="Arial" w:hAnsi="Arial" w:cs="Arial"/>
        </w:rPr>
        <w:t>.</w:t>
      </w:r>
      <w:r w:rsidR="000A4B0B" w:rsidRPr="00611F48">
        <w:rPr>
          <w:rFonts w:ascii="Arial" w:hAnsi="Arial" w:cs="Arial"/>
        </w:rPr>
        <w:t xml:space="preserve"> </w:t>
      </w:r>
      <w:r w:rsidR="00251701" w:rsidRPr="00611F48">
        <w:rPr>
          <w:rFonts w:ascii="Arial" w:hAnsi="Arial" w:cs="Arial"/>
        </w:rPr>
        <w:t xml:space="preserve"> </w:t>
      </w:r>
    </w:p>
    <w:p w14:paraId="506DB0B4" w14:textId="77777777" w:rsidR="0077594D" w:rsidRDefault="0077594D" w:rsidP="00EE1BD2">
      <w:pPr>
        <w:numPr>
          <w:ilvl w:val="12"/>
          <w:numId w:val="0"/>
        </w:numPr>
        <w:spacing w:line="480" w:lineRule="auto"/>
        <w:jc w:val="both"/>
        <w:rPr>
          <w:rFonts w:ascii="Arial" w:hAnsi="Arial" w:cs="Arial"/>
        </w:rPr>
      </w:pPr>
    </w:p>
    <w:p w14:paraId="0212441D" w14:textId="22FF3655" w:rsidR="0031166B" w:rsidRDefault="005E2230" w:rsidP="00EE1BD2">
      <w:pPr>
        <w:numPr>
          <w:ilvl w:val="12"/>
          <w:numId w:val="0"/>
        </w:numPr>
        <w:spacing w:line="480" w:lineRule="auto"/>
        <w:jc w:val="both"/>
        <w:rPr>
          <w:rFonts w:ascii="Arial" w:hAnsi="Arial" w:cs="Arial"/>
        </w:rPr>
      </w:pPr>
      <w:r>
        <w:rPr>
          <w:rFonts w:ascii="Arial" w:hAnsi="Arial" w:cs="Arial"/>
        </w:rPr>
        <w:lastRenderedPageBreak/>
        <w:t>W</w:t>
      </w:r>
      <w:r w:rsidR="00A00DB2" w:rsidRPr="00611F48">
        <w:rPr>
          <w:rFonts w:ascii="Arial" w:hAnsi="Arial" w:cs="Arial"/>
        </w:rPr>
        <w:t xml:space="preserve">hilst the </w:t>
      </w:r>
      <w:r w:rsidR="00F21A6F">
        <w:rPr>
          <w:rFonts w:ascii="Arial" w:hAnsi="Arial" w:cs="Arial"/>
        </w:rPr>
        <w:t xml:space="preserve">arguably vague and </w:t>
      </w:r>
      <w:r w:rsidR="00A00DB2" w:rsidRPr="00611F48">
        <w:rPr>
          <w:rFonts w:ascii="Arial" w:hAnsi="Arial" w:cs="Arial"/>
        </w:rPr>
        <w:t xml:space="preserve">apparently increasing ambit of the crime-fraud exception </w:t>
      </w:r>
      <w:r w:rsidR="00F21A6F">
        <w:rPr>
          <w:rFonts w:ascii="Arial" w:hAnsi="Arial" w:cs="Arial"/>
        </w:rPr>
        <w:t xml:space="preserve">may </w:t>
      </w:r>
      <w:r w:rsidR="00A00DB2" w:rsidRPr="00611F48">
        <w:rPr>
          <w:rFonts w:ascii="Arial" w:hAnsi="Arial" w:cs="Arial"/>
        </w:rPr>
        <w:t>have the scope to encompass forms of tax avoid</w:t>
      </w:r>
      <w:r w:rsidR="004435C7">
        <w:rPr>
          <w:rFonts w:ascii="Arial" w:hAnsi="Arial" w:cs="Arial"/>
        </w:rPr>
        <w:t>ance as well as tax evasion,</w:t>
      </w:r>
      <w:r w:rsidR="00A00DB2" w:rsidRPr="00611F48">
        <w:rPr>
          <w:rFonts w:ascii="Arial" w:hAnsi="Arial" w:cs="Arial"/>
        </w:rPr>
        <w:t xml:space="preserve"> the operation of article 8</w:t>
      </w:r>
      <w:r>
        <w:rPr>
          <w:rFonts w:ascii="Arial" w:hAnsi="Arial" w:cs="Arial"/>
        </w:rPr>
        <w:t>,</w:t>
      </w:r>
      <w:r w:rsidR="00A00DB2" w:rsidRPr="00611F48">
        <w:rPr>
          <w:rFonts w:ascii="Arial" w:hAnsi="Arial" w:cs="Arial"/>
        </w:rPr>
        <w:t xml:space="preserve"> in</w:t>
      </w:r>
      <w:r w:rsidR="0031166B">
        <w:rPr>
          <w:rFonts w:ascii="Arial" w:hAnsi="Arial" w:cs="Arial"/>
        </w:rPr>
        <w:t xml:space="preserve"> conjunction with s.6 of the 199</w:t>
      </w:r>
      <w:r w:rsidR="00A00DB2" w:rsidRPr="00611F48">
        <w:rPr>
          <w:rFonts w:ascii="Arial" w:hAnsi="Arial" w:cs="Arial"/>
        </w:rPr>
        <w:t>8 Act</w:t>
      </w:r>
      <w:r>
        <w:rPr>
          <w:rFonts w:ascii="Arial" w:hAnsi="Arial" w:cs="Arial"/>
        </w:rPr>
        <w:t>,</w:t>
      </w:r>
      <w:r w:rsidR="00A00DB2" w:rsidRPr="00611F48">
        <w:rPr>
          <w:rFonts w:ascii="Arial" w:hAnsi="Arial" w:cs="Arial"/>
        </w:rPr>
        <w:t xml:space="preserve"> </w:t>
      </w:r>
      <w:r w:rsidR="004435C7">
        <w:rPr>
          <w:rFonts w:ascii="Arial" w:hAnsi="Arial" w:cs="Arial"/>
        </w:rPr>
        <w:t>would appear to limit</w:t>
      </w:r>
      <w:r w:rsidR="00A00DB2" w:rsidRPr="00611F48">
        <w:rPr>
          <w:rFonts w:ascii="Arial" w:hAnsi="Arial" w:cs="Arial"/>
        </w:rPr>
        <w:t xml:space="preserve"> the extent to which judicial extension of the ambit of the common law exception to encompass forms of tax avoidance would be lawful. </w:t>
      </w:r>
      <w:r w:rsidR="0031166B">
        <w:rPr>
          <w:rFonts w:ascii="Arial" w:hAnsi="Arial" w:cs="Arial"/>
        </w:rPr>
        <w:t>This is one reason why the authors assert that Passmore’s view that successful invocation of the crime-fraud exception may become much less exceptional is unrealistic. The other reason, considered below, is the reluctance of the courts to conduct in camera review of privileged material.</w:t>
      </w:r>
    </w:p>
    <w:p w14:paraId="6EE4BE1F" w14:textId="77777777" w:rsidR="0077594D" w:rsidRPr="0031166B" w:rsidRDefault="0077594D" w:rsidP="00EE1BD2">
      <w:pPr>
        <w:numPr>
          <w:ilvl w:val="12"/>
          <w:numId w:val="0"/>
        </w:numPr>
        <w:spacing w:line="480" w:lineRule="auto"/>
        <w:jc w:val="both"/>
        <w:rPr>
          <w:rFonts w:ascii="Arial" w:hAnsi="Arial" w:cs="Arial"/>
        </w:rPr>
      </w:pPr>
    </w:p>
    <w:p w14:paraId="11CBBC6B" w14:textId="77777777" w:rsidR="007C6D90" w:rsidRPr="00C604AF" w:rsidRDefault="007C6D90" w:rsidP="00EE1BD2">
      <w:pPr>
        <w:numPr>
          <w:ilvl w:val="12"/>
          <w:numId w:val="0"/>
        </w:numPr>
        <w:spacing w:line="480" w:lineRule="auto"/>
        <w:jc w:val="both"/>
        <w:rPr>
          <w:rFonts w:ascii="Arial" w:hAnsi="Arial" w:cs="Arial"/>
          <w:i/>
        </w:rPr>
      </w:pPr>
      <w:r w:rsidRPr="00C604AF">
        <w:rPr>
          <w:rFonts w:ascii="Arial" w:hAnsi="Arial" w:cs="Arial"/>
          <w:i/>
        </w:rPr>
        <w:t>What is required in order to invoke the crime-fraud exception</w:t>
      </w:r>
      <w:r w:rsidR="0093785A" w:rsidRPr="00C604AF">
        <w:rPr>
          <w:rFonts w:ascii="Arial" w:hAnsi="Arial" w:cs="Arial"/>
          <w:i/>
        </w:rPr>
        <w:t xml:space="preserve"> and what material </w:t>
      </w:r>
      <w:r w:rsidR="00454C3C" w:rsidRPr="00C604AF">
        <w:rPr>
          <w:rFonts w:ascii="Arial" w:hAnsi="Arial" w:cs="Arial"/>
          <w:i/>
        </w:rPr>
        <w:t xml:space="preserve">will the </w:t>
      </w:r>
      <w:r w:rsidR="0093785A" w:rsidRPr="00C604AF">
        <w:rPr>
          <w:rFonts w:ascii="Arial" w:hAnsi="Arial" w:cs="Arial"/>
          <w:i/>
        </w:rPr>
        <w:t xml:space="preserve">court </w:t>
      </w:r>
      <w:r w:rsidR="00454C3C" w:rsidRPr="00C604AF">
        <w:rPr>
          <w:rFonts w:ascii="Arial" w:hAnsi="Arial" w:cs="Arial"/>
          <w:i/>
        </w:rPr>
        <w:t>be prepared</w:t>
      </w:r>
      <w:r w:rsidR="0093785A" w:rsidRPr="00C604AF">
        <w:rPr>
          <w:rFonts w:ascii="Arial" w:hAnsi="Arial" w:cs="Arial"/>
          <w:i/>
        </w:rPr>
        <w:t xml:space="preserve"> to consider</w:t>
      </w:r>
      <w:r w:rsidR="00454C3C" w:rsidRPr="00C604AF">
        <w:rPr>
          <w:rFonts w:ascii="Arial" w:hAnsi="Arial" w:cs="Arial"/>
          <w:i/>
        </w:rPr>
        <w:t xml:space="preserve"> in reaching its decision</w:t>
      </w:r>
      <w:r w:rsidRPr="00C604AF">
        <w:rPr>
          <w:rFonts w:ascii="Arial" w:hAnsi="Arial" w:cs="Arial"/>
          <w:i/>
        </w:rPr>
        <w:t>?</w:t>
      </w:r>
    </w:p>
    <w:p w14:paraId="50080AF9" w14:textId="302D4ABD" w:rsidR="00053870" w:rsidRPr="00611F48" w:rsidRDefault="00540934" w:rsidP="00EE1BD2">
      <w:pPr>
        <w:numPr>
          <w:ilvl w:val="12"/>
          <w:numId w:val="0"/>
        </w:numPr>
        <w:spacing w:line="480" w:lineRule="auto"/>
        <w:jc w:val="both"/>
        <w:rPr>
          <w:rFonts w:ascii="Arial" w:hAnsi="Arial" w:cs="Arial"/>
        </w:rPr>
      </w:pPr>
      <w:r w:rsidRPr="00611F48">
        <w:rPr>
          <w:rFonts w:ascii="Arial" w:hAnsi="Arial" w:cs="Arial"/>
        </w:rPr>
        <w:t>In order to invoke the crime-fraud exception it is not necessary to persuade the court either to the criminal or to the civil standard of proof that the exception is applicable.</w:t>
      </w:r>
      <w:r w:rsidRPr="00611F48">
        <w:rPr>
          <w:rStyle w:val="FootnoteReference"/>
          <w:rFonts w:ascii="Arial" w:hAnsi="Arial" w:cs="Arial"/>
        </w:rPr>
        <w:footnoteReference w:id="56"/>
      </w:r>
      <w:r w:rsidRPr="00611F48">
        <w:rPr>
          <w:rFonts w:ascii="Arial" w:hAnsi="Arial" w:cs="Arial"/>
        </w:rPr>
        <w:t xml:space="preserve"> Rather, in order to obtain inspection of documents under the crime-fraud exception</w:t>
      </w:r>
      <w:r w:rsidR="0094539C">
        <w:rPr>
          <w:rFonts w:ascii="Arial" w:hAnsi="Arial" w:cs="Arial"/>
        </w:rPr>
        <w:t>,</w:t>
      </w:r>
      <w:r w:rsidRPr="00611F48">
        <w:rPr>
          <w:rFonts w:ascii="Arial" w:hAnsi="Arial" w:cs="Arial"/>
        </w:rPr>
        <w:t xml:space="preserve"> the party seeking inspection must make out a prima facie case of the truth of the party’s allegations which “has some foundation in fact” and which rests “on solid grounds”.</w:t>
      </w:r>
      <w:r w:rsidR="007B5362" w:rsidRPr="00611F48">
        <w:rPr>
          <w:rStyle w:val="FootnoteReference"/>
          <w:rFonts w:ascii="Arial" w:hAnsi="Arial" w:cs="Arial"/>
        </w:rPr>
        <w:footnoteReference w:id="57"/>
      </w:r>
      <w:r w:rsidR="007B5362" w:rsidRPr="00611F48">
        <w:rPr>
          <w:rFonts w:ascii="Arial" w:hAnsi="Arial" w:cs="Arial"/>
        </w:rPr>
        <w:t xml:space="preserve"> </w:t>
      </w:r>
      <w:r w:rsidR="000E2A9D" w:rsidRPr="00611F48">
        <w:rPr>
          <w:rFonts w:ascii="Arial" w:hAnsi="Arial" w:cs="Arial"/>
        </w:rPr>
        <w:t xml:space="preserve">It has been suggested on a number of occasions that what is required </w:t>
      </w:r>
      <w:r w:rsidR="00977B0E" w:rsidRPr="00611F48">
        <w:rPr>
          <w:rFonts w:ascii="Arial" w:hAnsi="Arial" w:cs="Arial"/>
        </w:rPr>
        <w:t>in order to obtain inspection under the crime-fraud exception</w:t>
      </w:r>
      <w:r w:rsidR="000E2A9D" w:rsidRPr="00611F48">
        <w:rPr>
          <w:rFonts w:ascii="Arial" w:hAnsi="Arial" w:cs="Arial"/>
        </w:rPr>
        <w:t xml:space="preserve"> is</w:t>
      </w:r>
      <w:r w:rsidR="00977B0E" w:rsidRPr="00611F48">
        <w:rPr>
          <w:rFonts w:ascii="Arial" w:hAnsi="Arial" w:cs="Arial"/>
        </w:rPr>
        <w:t xml:space="preserve"> evidence which discloses “a strong prima facie case of iniquity</w:t>
      </w:r>
      <w:r w:rsidR="007F35C1" w:rsidRPr="00611F48">
        <w:rPr>
          <w:rFonts w:ascii="Arial" w:hAnsi="Arial" w:cs="Arial"/>
        </w:rPr>
        <w:t>”.</w:t>
      </w:r>
      <w:r w:rsidR="00977B0E" w:rsidRPr="00611F48">
        <w:rPr>
          <w:rStyle w:val="FootnoteReference"/>
          <w:rFonts w:ascii="Arial" w:hAnsi="Arial" w:cs="Arial"/>
        </w:rPr>
        <w:footnoteReference w:id="58"/>
      </w:r>
      <w:r w:rsidR="007F35C1" w:rsidRPr="00611F48">
        <w:rPr>
          <w:rFonts w:ascii="Arial" w:hAnsi="Arial" w:cs="Arial"/>
        </w:rPr>
        <w:t xml:space="preserve"> It </w:t>
      </w:r>
      <w:r w:rsidR="007B5362" w:rsidRPr="00611F48">
        <w:rPr>
          <w:rFonts w:ascii="Arial" w:hAnsi="Arial" w:cs="Arial"/>
        </w:rPr>
        <w:t>appears,</w:t>
      </w:r>
      <w:r w:rsidR="007F35C1" w:rsidRPr="00611F48">
        <w:rPr>
          <w:rFonts w:ascii="Arial" w:hAnsi="Arial" w:cs="Arial"/>
        </w:rPr>
        <w:t xml:space="preserve"> however, that </w:t>
      </w:r>
      <w:r w:rsidR="00347ECE" w:rsidRPr="00611F48">
        <w:rPr>
          <w:rFonts w:ascii="Arial" w:hAnsi="Arial" w:cs="Arial"/>
        </w:rPr>
        <w:t>the strength of the prima facie case that is required may vary with the ci</w:t>
      </w:r>
      <w:r w:rsidR="0094539C">
        <w:rPr>
          <w:rFonts w:ascii="Arial" w:hAnsi="Arial" w:cs="Arial"/>
        </w:rPr>
        <w:t>rcumstances of the case. I</w:t>
      </w:r>
      <w:r w:rsidR="00347ECE" w:rsidRPr="00611F48">
        <w:rPr>
          <w:rFonts w:ascii="Arial" w:hAnsi="Arial" w:cs="Arial"/>
        </w:rPr>
        <w:t xml:space="preserve">t </w:t>
      </w:r>
      <w:r w:rsidR="000E2A9D" w:rsidRPr="00611F48">
        <w:rPr>
          <w:rFonts w:ascii="Arial" w:hAnsi="Arial" w:cs="Arial"/>
        </w:rPr>
        <w:t xml:space="preserve">seems </w:t>
      </w:r>
      <w:r w:rsidR="00347ECE" w:rsidRPr="00611F48">
        <w:rPr>
          <w:rFonts w:ascii="Arial" w:hAnsi="Arial" w:cs="Arial"/>
        </w:rPr>
        <w:t xml:space="preserve">that if the alleged fraud </w:t>
      </w:r>
      <w:r w:rsidR="000E2A9D" w:rsidRPr="00611F48">
        <w:rPr>
          <w:rFonts w:ascii="Arial" w:hAnsi="Arial" w:cs="Arial"/>
        </w:rPr>
        <w:t xml:space="preserve">is itself </w:t>
      </w:r>
      <w:r w:rsidR="00347ECE" w:rsidRPr="00611F48">
        <w:rPr>
          <w:rFonts w:ascii="Arial" w:hAnsi="Arial" w:cs="Arial"/>
        </w:rPr>
        <w:t xml:space="preserve">an issue in the proceedings </w:t>
      </w:r>
      <w:r w:rsidR="00171293" w:rsidRPr="00611F48">
        <w:rPr>
          <w:rFonts w:ascii="Arial" w:hAnsi="Arial" w:cs="Arial"/>
        </w:rPr>
        <w:t>a strong or very strong prima facie c</w:t>
      </w:r>
      <w:r w:rsidR="005B41B0" w:rsidRPr="00611F48">
        <w:rPr>
          <w:rFonts w:ascii="Arial" w:hAnsi="Arial" w:cs="Arial"/>
        </w:rPr>
        <w:t>ase will be required</w:t>
      </w:r>
      <w:r w:rsidR="0094539C">
        <w:rPr>
          <w:rFonts w:ascii="Arial" w:hAnsi="Arial" w:cs="Arial"/>
        </w:rPr>
        <w:t>,</w:t>
      </w:r>
      <w:r w:rsidR="005B41B0" w:rsidRPr="00611F48">
        <w:rPr>
          <w:rFonts w:ascii="Arial" w:hAnsi="Arial" w:cs="Arial"/>
        </w:rPr>
        <w:t xml:space="preserve"> whereas </w:t>
      </w:r>
      <w:r w:rsidR="00CD7D53">
        <w:rPr>
          <w:rFonts w:ascii="Arial" w:hAnsi="Arial" w:cs="Arial"/>
        </w:rPr>
        <w:t xml:space="preserve">if </w:t>
      </w:r>
      <w:r w:rsidR="005B41B0" w:rsidRPr="00611F48">
        <w:rPr>
          <w:rFonts w:ascii="Arial" w:hAnsi="Arial" w:cs="Arial"/>
        </w:rPr>
        <w:t>there is</w:t>
      </w:r>
      <w:r w:rsidR="00171293" w:rsidRPr="00611F48">
        <w:rPr>
          <w:rFonts w:ascii="Arial" w:hAnsi="Arial" w:cs="Arial"/>
        </w:rPr>
        <w:t xml:space="preserve"> freestanding evidence of fraud the evaluation of which does not require the court to reach a </w:t>
      </w:r>
      <w:r w:rsidR="00171293" w:rsidRPr="00611F48">
        <w:rPr>
          <w:rFonts w:ascii="Arial" w:hAnsi="Arial" w:cs="Arial"/>
        </w:rPr>
        <w:lastRenderedPageBreak/>
        <w:t>judgment in relation to an issue in the proceedings</w:t>
      </w:r>
      <w:r w:rsidR="0094539C">
        <w:rPr>
          <w:rFonts w:ascii="Arial" w:hAnsi="Arial" w:cs="Arial"/>
        </w:rPr>
        <w:t>,</w:t>
      </w:r>
      <w:r w:rsidR="00171293" w:rsidRPr="00611F48">
        <w:rPr>
          <w:rFonts w:ascii="Arial" w:hAnsi="Arial" w:cs="Arial"/>
        </w:rPr>
        <w:t xml:space="preserve"> a prima facie case may be sufficient to enable the court to determine whether the crime-fraud exception is applicable.</w:t>
      </w:r>
      <w:r w:rsidR="00171293" w:rsidRPr="00611F48">
        <w:rPr>
          <w:rStyle w:val="FootnoteReference"/>
          <w:rFonts w:ascii="Arial" w:hAnsi="Arial" w:cs="Arial"/>
        </w:rPr>
        <w:footnoteReference w:id="59"/>
      </w:r>
      <w:r w:rsidR="00BA2324" w:rsidRPr="00611F48">
        <w:rPr>
          <w:rFonts w:ascii="Arial" w:hAnsi="Arial" w:cs="Arial"/>
        </w:rPr>
        <w:t xml:space="preserve"> </w:t>
      </w:r>
    </w:p>
    <w:p w14:paraId="5F99C27B" w14:textId="720C4052" w:rsidR="00154451" w:rsidRDefault="004655A2" w:rsidP="00EE1BD2">
      <w:pPr>
        <w:spacing w:line="480" w:lineRule="auto"/>
        <w:rPr>
          <w:rFonts w:ascii="Arial" w:hAnsi="Arial" w:cs="Arial"/>
        </w:rPr>
      </w:pPr>
      <w:r w:rsidRPr="00611F48">
        <w:rPr>
          <w:rFonts w:ascii="Arial" w:hAnsi="Arial" w:cs="Arial"/>
        </w:rPr>
        <w:t>T</w:t>
      </w:r>
      <w:r w:rsidR="00F277D8" w:rsidRPr="00611F48">
        <w:rPr>
          <w:rFonts w:ascii="Arial" w:hAnsi="Arial" w:cs="Arial"/>
        </w:rPr>
        <w:t xml:space="preserve">here does not appear to be a </w:t>
      </w:r>
      <w:r w:rsidR="00794FB9" w:rsidRPr="00611F48">
        <w:rPr>
          <w:rFonts w:ascii="Arial" w:hAnsi="Arial" w:cs="Arial"/>
        </w:rPr>
        <w:t xml:space="preserve">defined </w:t>
      </w:r>
      <w:r w:rsidR="00F277D8" w:rsidRPr="00611F48">
        <w:rPr>
          <w:rFonts w:ascii="Arial" w:hAnsi="Arial" w:cs="Arial"/>
        </w:rPr>
        <w:t>list of the material which may be relied upon to support the existence of a prima facie case</w:t>
      </w:r>
      <w:r w:rsidR="00053870" w:rsidRPr="00611F48">
        <w:rPr>
          <w:rFonts w:ascii="Arial" w:hAnsi="Arial" w:cs="Arial"/>
        </w:rPr>
        <w:t xml:space="preserve"> for the purposes of the crime-fraud exception</w:t>
      </w:r>
      <w:r w:rsidR="00F277D8" w:rsidRPr="00611F48">
        <w:rPr>
          <w:rFonts w:ascii="Arial" w:hAnsi="Arial" w:cs="Arial"/>
        </w:rPr>
        <w:t>.</w:t>
      </w:r>
      <w:r w:rsidR="00F277D8" w:rsidRPr="00611F48">
        <w:rPr>
          <w:rStyle w:val="FootnoteReference"/>
          <w:rFonts w:ascii="Arial" w:hAnsi="Arial" w:cs="Arial"/>
        </w:rPr>
        <w:footnoteReference w:id="60"/>
      </w:r>
      <w:r w:rsidR="00F277D8" w:rsidRPr="00611F48">
        <w:rPr>
          <w:rFonts w:ascii="Arial" w:hAnsi="Arial" w:cs="Arial"/>
        </w:rPr>
        <w:t xml:space="preserve"> </w:t>
      </w:r>
      <w:r w:rsidR="00CD7D53">
        <w:rPr>
          <w:rFonts w:ascii="Arial" w:hAnsi="Arial" w:cs="Arial"/>
        </w:rPr>
        <w:t>The authorities do, however, provi</w:t>
      </w:r>
      <w:r w:rsidR="006C1988">
        <w:rPr>
          <w:rFonts w:ascii="Arial" w:hAnsi="Arial" w:cs="Arial"/>
        </w:rPr>
        <w:t>de a degree of guidance. T</w:t>
      </w:r>
      <w:r w:rsidR="00CD7D53">
        <w:rPr>
          <w:rFonts w:ascii="Arial" w:hAnsi="Arial" w:cs="Arial"/>
        </w:rPr>
        <w:t xml:space="preserve">hey demonstrate that such </w:t>
      </w:r>
      <w:r w:rsidR="00874192" w:rsidRPr="00611F48">
        <w:rPr>
          <w:rFonts w:ascii="Arial" w:hAnsi="Arial" w:cs="Arial"/>
        </w:rPr>
        <w:t>material might include, for example, “[e]</w:t>
      </w:r>
      <w:proofErr w:type="spellStart"/>
      <w:r w:rsidR="00874192" w:rsidRPr="00611F48">
        <w:rPr>
          <w:rFonts w:ascii="Arial" w:hAnsi="Arial" w:cs="Arial"/>
        </w:rPr>
        <w:t>vidence</w:t>
      </w:r>
      <w:proofErr w:type="spellEnd"/>
      <w:r w:rsidR="00874192" w:rsidRPr="00611F48">
        <w:rPr>
          <w:rFonts w:ascii="Arial" w:hAnsi="Arial" w:cs="Arial"/>
        </w:rPr>
        <w:t>, admission, inference from circumstances which are common ground, or "what not</w:t>
      </w:r>
      <w:r w:rsidR="009072B9">
        <w:rPr>
          <w:rFonts w:ascii="Arial" w:hAnsi="Arial" w:cs="Arial"/>
        </w:rPr>
        <w:t>”</w:t>
      </w:r>
      <w:r w:rsidR="00874192" w:rsidRPr="00611F48">
        <w:rPr>
          <w:rFonts w:ascii="Arial" w:hAnsi="Arial" w:cs="Arial"/>
        </w:rPr>
        <w:t>."</w:t>
      </w:r>
      <w:r w:rsidR="00874192" w:rsidRPr="00611F48">
        <w:rPr>
          <w:rStyle w:val="FootnoteReference"/>
          <w:rFonts w:ascii="Arial" w:hAnsi="Arial" w:cs="Arial"/>
        </w:rPr>
        <w:t xml:space="preserve"> </w:t>
      </w:r>
      <w:r w:rsidR="00874192" w:rsidRPr="00611F48">
        <w:rPr>
          <w:rStyle w:val="FootnoteReference"/>
          <w:rFonts w:ascii="Arial" w:hAnsi="Arial" w:cs="Arial"/>
        </w:rPr>
        <w:footnoteReference w:id="61"/>
      </w:r>
      <w:r w:rsidR="00874192" w:rsidRPr="00611F48">
        <w:rPr>
          <w:rFonts w:ascii="Arial" w:hAnsi="Arial" w:cs="Arial"/>
        </w:rPr>
        <w:t xml:space="preserve"> Indeed</w:t>
      </w:r>
      <w:r w:rsidR="00794FB9" w:rsidRPr="00611F48">
        <w:rPr>
          <w:rFonts w:ascii="Arial" w:hAnsi="Arial" w:cs="Arial"/>
        </w:rPr>
        <w:t>, in determining whether a prima facie case has been established it</w:t>
      </w:r>
      <w:r w:rsidR="00913E6E" w:rsidRPr="00611F48">
        <w:rPr>
          <w:rFonts w:ascii="Arial" w:hAnsi="Arial" w:cs="Arial"/>
        </w:rPr>
        <w:t xml:space="preserve"> </w:t>
      </w:r>
      <w:r w:rsidRPr="00611F48">
        <w:rPr>
          <w:rFonts w:ascii="Arial" w:hAnsi="Arial" w:cs="Arial"/>
        </w:rPr>
        <w:t xml:space="preserve">seems that </w:t>
      </w:r>
      <w:r w:rsidR="00913E6E" w:rsidRPr="00611F48">
        <w:rPr>
          <w:rFonts w:ascii="Arial" w:hAnsi="Arial" w:cs="Arial"/>
        </w:rPr>
        <w:t xml:space="preserve">the court </w:t>
      </w:r>
      <w:r w:rsidRPr="00611F48">
        <w:rPr>
          <w:rFonts w:ascii="Arial" w:hAnsi="Arial" w:cs="Arial"/>
        </w:rPr>
        <w:t xml:space="preserve">is entitled to </w:t>
      </w:r>
      <w:r w:rsidR="00913E6E" w:rsidRPr="00611F48">
        <w:rPr>
          <w:rFonts w:ascii="Arial" w:hAnsi="Arial" w:cs="Arial"/>
        </w:rPr>
        <w:t>consider “the whole chronology of events”.</w:t>
      </w:r>
      <w:r w:rsidRPr="00611F48">
        <w:rPr>
          <w:rStyle w:val="FootnoteReference"/>
          <w:rFonts w:ascii="Arial" w:hAnsi="Arial" w:cs="Arial"/>
        </w:rPr>
        <w:footnoteReference w:id="62"/>
      </w:r>
      <w:r w:rsidRPr="00611F48">
        <w:rPr>
          <w:rFonts w:ascii="Arial" w:hAnsi="Arial" w:cs="Arial"/>
        </w:rPr>
        <w:t xml:space="preserve"> </w:t>
      </w:r>
      <w:r w:rsidR="00913E6E" w:rsidRPr="00611F48">
        <w:rPr>
          <w:rStyle w:val="FootnoteReference"/>
          <w:rFonts w:ascii="Arial" w:hAnsi="Arial" w:cs="Arial"/>
        </w:rPr>
        <w:t xml:space="preserve"> </w:t>
      </w:r>
      <w:r w:rsidR="000D6C1F" w:rsidRPr="00611F48">
        <w:rPr>
          <w:rFonts w:ascii="Arial" w:hAnsi="Arial" w:cs="Arial"/>
        </w:rPr>
        <w:t>T</w:t>
      </w:r>
      <w:r w:rsidR="00874192" w:rsidRPr="00611F48">
        <w:rPr>
          <w:rFonts w:ascii="Arial" w:hAnsi="Arial" w:cs="Arial"/>
        </w:rPr>
        <w:t xml:space="preserve">he material may </w:t>
      </w:r>
      <w:r w:rsidR="00CD7D53">
        <w:rPr>
          <w:rFonts w:ascii="Arial" w:hAnsi="Arial" w:cs="Arial"/>
        </w:rPr>
        <w:t xml:space="preserve">also, </w:t>
      </w:r>
      <w:r w:rsidR="00E93443" w:rsidRPr="00611F48">
        <w:rPr>
          <w:rFonts w:ascii="Arial" w:hAnsi="Arial" w:cs="Arial"/>
        </w:rPr>
        <w:t>potentially</w:t>
      </w:r>
      <w:r w:rsidR="00CD7D53">
        <w:rPr>
          <w:rFonts w:ascii="Arial" w:hAnsi="Arial" w:cs="Arial"/>
        </w:rPr>
        <w:t>,</w:t>
      </w:r>
      <w:r w:rsidR="00E93443" w:rsidRPr="00611F48">
        <w:rPr>
          <w:rFonts w:ascii="Arial" w:hAnsi="Arial" w:cs="Arial"/>
        </w:rPr>
        <w:t xml:space="preserve"> </w:t>
      </w:r>
      <w:r w:rsidR="006E3053" w:rsidRPr="00611F48">
        <w:rPr>
          <w:rFonts w:ascii="Arial" w:hAnsi="Arial" w:cs="Arial"/>
        </w:rPr>
        <w:t>include the allegedly privileged communications themselves</w:t>
      </w:r>
      <w:r w:rsidR="00E93443" w:rsidRPr="00611F48">
        <w:rPr>
          <w:rFonts w:ascii="Arial" w:hAnsi="Arial" w:cs="Arial"/>
        </w:rPr>
        <w:t>.</w:t>
      </w:r>
      <w:r w:rsidR="003F19E8" w:rsidRPr="00611F48">
        <w:rPr>
          <w:rStyle w:val="FootnoteReference"/>
          <w:rFonts w:ascii="Arial" w:hAnsi="Arial" w:cs="Arial"/>
        </w:rPr>
        <w:footnoteReference w:id="63"/>
      </w:r>
      <w:r w:rsidR="0092421B" w:rsidRPr="00611F48">
        <w:rPr>
          <w:rFonts w:ascii="Arial" w:hAnsi="Arial" w:cs="Arial"/>
        </w:rPr>
        <w:t xml:space="preserve"> </w:t>
      </w:r>
      <w:r w:rsidR="00C76542">
        <w:rPr>
          <w:rFonts w:ascii="Arial" w:hAnsi="Arial" w:cs="Arial"/>
        </w:rPr>
        <w:t>T</w:t>
      </w:r>
      <w:r w:rsidR="00412D5B" w:rsidRPr="00611F48">
        <w:rPr>
          <w:rFonts w:ascii="Arial" w:hAnsi="Arial" w:cs="Arial"/>
        </w:rPr>
        <w:t>here is authority for the proposition that the court can examine the documents where this is necessary in order to determine whether the crime-fraud exception applies</w:t>
      </w:r>
      <w:r w:rsidR="00412D5B" w:rsidRPr="00611F48">
        <w:rPr>
          <w:rStyle w:val="FootnoteReference"/>
          <w:rFonts w:ascii="Arial" w:hAnsi="Arial" w:cs="Arial"/>
        </w:rPr>
        <w:footnoteReference w:id="64"/>
      </w:r>
      <w:r w:rsidR="00056D94" w:rsidRPr="00611F48">
        <w:rPr>
          <w:rFonts w:ascii="Arial" w:hAnsi="Arial" w:cs="Arial"/>
        </w:rPr>
        <w:t xml:space="preserve"> and, consequently, that “</w:t>
      </w:r>
      <w:r w:rsidR="005B4AD1" w:rsidRPr="00611F48">
        <w:rPr>
          <w:rFonts w:ascii="Arial" w:hAnsi="Arial" w:cs="Arial"/>
        </w:rPr>
        <w:t>the court may look at the position in the round including the contents of the document(s) of which disclosure is sought</w:t>
      </w:r>
      <w:r w:rsidR="00056D94" w:rsidRPr="00611F48">
        <w:rPr>
          <w:rFonts w:ascii="Arial" w:hAnsi="Arial" w:cs="Arial"/>
        </w:rPr>
        <w:t>”</w:t>
      </w:r>
      <w:r w:rsidR="00210E77" w:rsidRPr="00611F48">
        <w:rPr>
          <w:rFonts w:ascii="Arial" w:hAnsi="Arial" w:cs="Arial"/>
        </w:rPr>
        <w:t>.</w:t>
      </w:r>
      <w:r w:rsidR="00056D94" w:rsidRPr="00611F48">
        <w:rPr>
          <w:rStyle w:val="FootnoteReference"/>
          <w:rFonts w:ascii="Arial" w:hAnsi="Arial" w:cs="Arial"/>
        </w:rPr>
        <w:footnoteReference w:id="65"/>
      </w:r>
      <w:r w:rsidR="00210E77" w:rsidRPr="00611F48">
        <w:rPr>
          <w:rFonts w:ascii="Arial" w:hAnsi="Arial" w:cs="Arial"/>
        </w:rPr>
        <w:t xml:space="preserve"> </w:t>
      </w:r>
    </w:p>
    <w:p w14:paraId="5B0C827F" w14:textId="77777777" w:rsidR="0077594D" w:rsidRPr="00611F48" w:rsidRDefault="0077594D" w:rsidP="00EE1BD2">
      <w:pPr>
        <w:spacing w:line="480" w:lineRule="auto"/>
        <w:rPr>
          <w:rFonts w:ascii="Arial" w:hAnsi="Arial" w:cs="Arial"/>
        </w:rPr>
      </w:pPr>
    </w:p>
    <w:p w14:paraId="15FF8E4C" w14:textId="54991265" w:rsidR="00DF0965" w:rsidRDefault="00210E77" w:rsidP="00EE1BD2">
      <w:pPr>
        <w:spacing w:line="480" w:lineRule="auto"/>
        <w:rPr>
          <w:rFonts w:ascii="Arial" w:hAnsi="Arial" w:cs="Arial"/>
        </w:rPr>
      </w:pPr>
      <w:r w:rsidRPr="00611F48">
        <w:rPr>
          <w:rFonts w:ascii="Arial" w:hAnsi="Arial" w:cs="Arial"/>
        </w:rPr>
        <w:t>T</w:t>
      </w:r>
      <w:r w:rsidR="00056D94" w:rsidRPr="00611F48">
        <w:rPr>
          <w:rFonts w:ascii="Arial" w:hAnsi="Arial" w:cs="Arial"/>
        </w:rPr>
        <w:t xml:space="preserve">he most recent authorities </w:t>
      </w:r>
      <w:r w:rsidRPr="00611F48">
        <w:rPr>
          <w:rFonts w:ascii="Arial" w:hAnsi="Arial" w:cs="Arial"/>
        </w:rPr>
        <w:t xml:space="preserve">suggest </w:t>
      </w:r>
      <w:r w:rsidR="00412D5B" w:rsidRPr="00611F48">
        <w:rPr>
          <w:rFonts w:ascii="Arial" w:hAnsi="Arial" w:cs="Arial"/>
        </w:rPr>
        <w:t xml:space="preserve">that the </w:t>
      </w:r>
      <w:r w:rsidR="00064002" w:rsidRPr="00611F48">
        <w:rPr>
          <w:rFonts w:ascii="Arial" w:hAnsi="Arial" w:cs="Arial"/>
        </w:rPr>
        <w:t xml:space="preserve">court </w:t>
      </w:r>
      <w:r w:rsidR="00412D5B" w:rsidRPr="00611F48">
        <w:rPr>
          <w:rFonts w:ascii="Arial" w:hAnsi="Arial" w:cs="Arial"/>
        </w:rPr>
        <w:t>will</w:t>
      </w:r>
      <w:r w:rsidR="00064002" w:rsidRPr="00611F48">
        <w:rPr>
          <w:rFonts w:ascii="Arial" w:hAnsi="Arial" w:cs="Arial"/>
        </w:rPr>
        <w:t xml:space="preserve"> only exercise its power to </w:t>
      </w:r>
      <w:r w:rsidR="00585F29" w:rsidRPr="00611F48">
        <w:rPr>
          <w:rFonts w:ascii="Arial" w:hAnsi="Arial" w:cs="Arial"/>
        </w:rPr>
        <w:t>examine</w:t>
      </w:r>
      <w:r w:rsidR="00064002" w:rsidRPr="00611F48">
        <w:rPr>
          <w:rFonts w:ascii="Arial" w:hAnsi="Arial" w:cs="Arial"/>
        </w:rPr>
        <w:t xml:space="preserve"> the </w:t>
      </w:r>
      <w:r w:rsidR="00BA22DF" w:rsidRPr="00611F48">
        <w:rPr>
          <w:rFonts w:ascii="Arial" w:hAnsi="Arial" w:cs="Arial"/>
        </w:rPr>
        <w:t xml:space="preserve">allegedly </w:t>
      </w:r>
      <w:r w:rsidR="00064002" w:rsidRPr="00611F48">
        <w:rPr>
          <w:rFonts w:ascii="Arial" w:hAnsi="Arial" w:cs="Arial"/>
        </w:rPr>
        <w:t>privileged documents “very sparingly”</w:t>
      </w:r>
      <w:r w:rsidR="00064002" w:rsidRPr="00611F48">
        <w:rPr>
          <w:rStyle w:val="FootnoteReference"/>
          <w:rFonts w:ascii="Arial" w:hAnsi="Arial" w:cs="Arial"/>
        </w:rPr>
        <w:footnoteReference w:id="66"/>
      </w:r>
      <w:r w:rsidR="00276BB5" w:rsidRPr="00611F48">
        <w:rPr>
          <w:rFonts w:ascii="Arial" w:hAnsi="Arial" w:cs="Arial"/>
        </w:rPr>
        <w:t xml:space="preserve"> and</w:t>
      </w:r>
      <w:r w:rsidR="00064002" w:rsidRPr="00611F48">
        <w:rPr>
          <w:rFonts w:ascii="Arial" w:hAnsi="Arial" w:cs="Arial"/>
        </w:rPr>
        <w:t xml:space="preserve"> that it </w:t>
      </w:r>
      <w:r w:rsidR="007D5EC4" w:rsidRPr="00611F48">
        <w:rPr>
          <w:rFonts w:ascii="Arial" w:hAnsi="Arial" w:cs="Arial"/>
        </w:rPr>
        <w:t xml:space="preserve">will </w:t>
      </w:r>
      <w:r w:rsidR="006E3053" w:rsidRPr="00611F48">
        <w:rPr>
          <w:rFonts w:ascii="Arial" w:hAnsi="Arial" w:cs="Arial"/>
        </w:rPr>
        <w:t xml:space="preserve">only do so if this is justified by an </w:t>
      </w:r>
      <w:r w:rsidR="0034679B" w:rsidRPr="00611F48">
        <w:rPr>
          <w:rFonts w:ascii="Arial" w:hAnsi="Arial" w:cs="Arial"/>
        </w:rPr>
        <w:t>“</w:t>
      </w:r>
      <w:r w:rsidR="006E3053" w:rsidRPr="00611F48">
        <w:rPr>
          <w:rFonts w:ascii="Arial" w:hAnsi="Arial" w:cs="Arial"/>
        </w:rPr>
        <w:t>exceptional factor of real weight”</w:t>
      </w:r>
      <w:r w:rsidR="00276BB5" w:rsidRPr="00611F48">
        <w:rPr>
          <w:rFonts w:ascii="Arial" w:hAnsi="Arial" w:cs="Arial"/>
        </w:rPr>
        <w:t>.</w:t>
      </w:r>
      <w:r w:rsidR="0034679B" w:rsidRPr="00611F48">
        <w:rPr>
          <w:rStyle w:val="FootnoteReference"/>
          <w:rFonts w:ascii="Arial" w:hAnsi="Arial" w:cs="Arial"/>
        </w:rPr>
        <w:footnoteReference w:id="67"/>
      </w:r>
      <w:r w:rsidR="002A0541" w:rsidRPr="00611F48">
        <w:rPr>
          <w:rFonts w:ascii="Arial" w:hAnsi="Arial" w:cs="Arial"/>
        </w:rPr>
        <w:t xml:space="preserve"> </w:t>
      </w:r>
      <w:r w:rsidR="00DF0965">
        <w:rPr>
          <w:rFonts w:ascii="Arial" w:hAnsi="Arial" w:cs="Arial"/>
        </w:rPr>
        <w:t xml:space="preserve">The justification for </w:t>
      </w:r>
      <w:r w:rsidR="004F2438">
        <w:rPr>
          <w:rFonts w:ascii="Arial" w:hAnsi="Arial" w:cs="Arial"/>
        </w:rPr>
        <w:t xml:space="preserve">the court’s unwillingness to examine privileged documents where the existence of privilege is disputed </w:t>
      </w:r>
      <w:r w:rsidR="00DF0965">
        <w:rPr>
          <w:rFonts w:ascii="Arial" w:hAnsi="Arial" w:cs="Arial"/>
        </w:rPr>
        <w:t xml:space="preserve">is that when the court exercises its power, a judge other than the trial judge will be required to examine the relevant documents out of context and to receive submissions from one party in the absence </w:t>
      </w:r>
      <w:r w:rsidR="00DF0965">
        <w:rPr>
          <w:rFonts w:ascii="Arial" w:hAnsi="Arial" w:cs="Arial"/>
        </w:rPr>
        <w:lastRenderedPageBreak/>
        <w:t>of the other. Consequently, the court  will be reluctant to inspect the documents in the absence of “credible evidence” that the legal advisers of the party claiming privilege have either misunderstood their duty to the court, or that they cannot be trusted</w:t>
      </w:r>
      <w:r w:rsidR="00DF0965">
        <w:rPr>
          <w:rStyle w:val="FootnoteReference"/>
          <w:rFonts w:ascii="Arial" w:hAnsi="Arial" w:cs="Arial"/>
        </w:rPr>
        <w:footnoteReference w:id="68"/>
      </w:r>
      <w:r w:rsidR="00DF0965">
        <w:rPr>
          <w:rFonts w:ascii="Arial" w:hAnsi="Arial" w:cs="Arial"/>
        </w:rPr>
        <w:t xml:space="preserve">. </w:t>
      </w:r>
    </w:p>
    <w:p w14:paraId="13A19647" w14:textId="77777777" w:rsidR="0077594D" w:rsidRDefault="0077594D" w:rsidP="00EE1BD2">
      <w:pPr>
        <w:spacing w:line="480" w:lineRule="auto"/>
        <w:rPr>
          <w:rFonts w:ascii="Arial" w:hAnsi="Arial" w:cs="Arial"/>
        </w:rPr>
      </w:pPr>
    </w:p>
    <w:p w14:paraId="28C6C23A" w14:textId="7982F1AF" w:rsidR="00154451" w:rsidRDefault="00DF0965" w:rsidP="00EE1BD2">
      <w:pPr>
        <w:spacing w:line="480" w:lineRule="auto"/>
        <w:rPr>
          <w:rFonts w:ascii="Arial" w:hAnsi="Arial" w:cs="Arial"/>
        </w:rPr>
      </w:pPr>
      <w:r>
        <w:rPr>
          <w:rFonts w:ascii="Arial" w:hAnsi="Arial" w:cs="Arial"/>
        </w:rPr>
        <w:t>I</w:t>
      </w:r>
      <w:r w:rsidR="00276BB5" w:rsidRPr="00611F48">
        <w:rPr>
          <w:rFonts w:ascii="Arial" w:hAnsi="Arial" w:cs="Arial"/>
        </w:rPr>
        <w:t>t seems that the fact that the other material before the court does not establish a prima facie case does not in itself amount to an exceptional factor of real weight.</w:t>
      </w:r>
      <w:r w:rsidR="00276BB5" w:rsidRPr="00611F48">
        <w:rPr>
          <w:rStyle w:val="FootnoteReference"/>
          <w:rFonts w:ascii="Arial" w:hAnsi="Arial" w:cs="Arial"/>
        </w:rPr>
        <w:footnoteReference w:id="69"/>
      </w:r>
      <w:r w:rsidR="00276BB5" w:rsidRPr="00611F48">
        <w:rPr>
          <w:rFonts w:ascii="Arial" w:hAnsi="Arial" w:cs="Arial"/>
        </w:rPr>
        <w:t xml:space="preserve"> </w:t>
      </w:r>
      <w:r w:rsidR="00EA1D41" w:rsidRPr="00611F48">
        <w:rPr>
          <w:rFonts w:ascii="Arial" w:hAnsi="Arial" w:cs="Arial"/>
        </w:rPr>
        <w:t xml:space="preserve">The </w:t>
      </w:r>
      <w:r w:rsidR="00850DAC" w:rsidRPr="00611F48">
        <w:rPr>
          <w:rFonts w:ascii="Arial" w:hAnsi="Arial" w:cs="Arial"/>
        </w:rPr>
        <w:t xml:space="preserve">requirement for </w:t>
      </w:r>
      <w:r w:rsidR="00BA22DF" w:rsidRPr="00611F48">
        <w:rPr>
          <w:rFonts w:ascii="Arial" w:hAnsi="Arial" w:cs="Arial"/>
        </w:rPr>
        <w:t xml:space="preserve">such an exceptional factor </w:t>
      </w:r>
      <w:r w:rsidR="00850DAC" w:rsidRPr="00611F48">
        <w:rPr>
          <w:rFonts w:ascii="Arial" w:hAnsi="Arial" w:cs="Arial"/>
        </w:rPr>
        <w:t xml:space="preserve">in the context of the crime-fraud exception </w:t>
      </w:r>
      <w:r w:rsidR="00BA22DF" w:rsidRPr="00611F48">
        <w:rPr>
          <w:rFonts w:ascii="Arial" w:hAnsi="Arial" w:cs="Arial"/>
        </w:rPr>
        <w:t>is derived from c</w:t>
      </w:r>
      <w:r w:rsidR="00793E47" w:rsidRPr="00611F48">
        <w:rPr>
          <w:rFonts w:ascii="Arial" w:hAnsi="Arial" w:cs="Arial"/>
        </w:rPr>
        <w:t xml:space="preserve">ase law </w:t>
      </w:r>
      <w:r w:rsidR="004C467C">
        <w:rPr>
          <w:rFonts w:ascii="Arial" w:hAnsi="Arial" w:cs="Arial"/>
        </w:rPr>
        <w:t xml:space="preserve">which does not relate to the operation </w:t>
      </w:r>
      <w:r w:rsidR="00C76542">
        <w:rPr>
          <w:rFonts w:ascii="Arial" w:hAnsi="Arial" w:cs="Arial"/>
        </w:rPr>
        <w:t xml:space="preserve">of the </w:t>
      </w:r>
      <w:r w:rsidR="004C467C">
        <w:rPr>
          <w:rFonts w:ascii="Arial" w:hAnsi="Arial" w:cs="Arial"/>
        </w:rPr>
        <w:t xml:space="preserve">crime-fraud exception but, rather, concerns </w:t>
      </w:r>
      <w:r w:rsidR="00EA1D41" w:rsidRPr="00611F48">
        <w:rPr>
          <w:rFonts w:ascii="Arial" w:hAnsi="Arial" w:cs="Arial"/>
        </w:rPr>
        <w:t xml:space="preserve">those circumstances in which the court is determining whether a claim of privilege has been </w:t>
      </w:r>
      <w:r w:rsidR="00DC04FB">
        <w:rPr>
          <w:rFonts w:ascii="Arial" w:hAnsi="Arial" w:cs="Arial"/>
        </w:rPr>
        <w:t>made out</w:t>
      </w:r>
      <w:r w:rsidR="004C467C">
        <w:rPr>
          <w:rFonts w:ascii="Arial" w:hAnsi="Arial" w:cs="Arial"/>
        </w:rPr>
        <w:t>.</w:t>
      </w:r>
      <w:r w:rsidR="00EA1D41" w:rsidRPr="00611F48">
        <w:rPr>
          <w:rStyle w:val="FootnoteReference"/>
          <w:rFonts w:ascii="Arial" w:hAnsi="Arial" w:cs="Arial"/>
        </w:rPr>
        <w:footnoteReference w:id="70"/>
      </w:r>
      <w:r w:rsidR="00BA22DF" w:rsidRPr="00611F48">
        <w:rPr>
          <w:rFonts w:ascii="Arial" w:hAnsi="Arial" w:cs="Arial"/>
        </w:rPr>
        <w:t xml:space="preserve"> Current practice when the court is considering whether a claim of privilege has been established</w:t>
      </w:r>
      <w:r w:rsidR="00CE58CD" w:rsidRPr="00611F48">
        <w:rPr>
          <w:rFonts w:ascii="Arial" w:hAnsi="Arial" w:cs="Arial"/>
        </w:rPr>
        <w:t xml:space="preserve"> in such circumstances</w:t>
      </w:r>
      <w:r w:rsidR="00BA22DF" w:rsidRPr="00611F48">
        <w:rPr>
          <w:rFonts w:ascii="Arial" w:hAnsi="Arial" w:cs="Arial"/>
        </w:rPr>
        <w:t xml:space="preserve"> is that </w:t>
      </w:r>
      <w:r w:rsidR="004F2438">
        <w:rPr>
          <w:rFonts w:ascii="Arial" w:hAnsi="Arial" w:cs="Arial"/>
        </w:rPr>
        <w:t>it</w:t>
      </w:r>
      <w:r w:rsidR="00BA22DF" w:rsidRPr="00611F48">
        <w:rPr>
          <w:rFonts w:ascii="Arial" w:hAnsi="Arial" w:cs="Arial"/>
        </w:rPr>
        <w:t xml:space="preserve"> will only </w:t>
      </w:r>
      <w:r w:rsidR="00585F29" w:rsidRPr="00611F48">
        <w:rPr>
          <w:rFonts w:ascii="Arial" w:hAnsi="Arial" w:cs="Arial"/>
        </w:rPr>
        <w:t>examine</w:t>
      </w:r>
      <w:r w:rsidR="00BA22DF" w:rsidRPr="00611F48">
        <w:rPr>
          <w:rFonts w:ascii="Arial" w:hAnsi="Arial" w:cs="Arial"/>
        </w:rPr>
        <w:t xml:space="preserve"> the allegedly privileged documents as “a solution of last resort” and only if there is credible evidence that the lawyers claiming privilege have not understood their duty to the court</w:t>
      </w:r>
      <w:r w:rsidR="0094539C">
        <w:rPr>
          <w:rFonts w:ascii="Arial" w:hAnsi="Arial" w:cs="Arial"/>
        </w:rPr>
        <w:t>,</w:t>
      </w:r>
      <w:r w:rsidR="00BA22DF" w:rsidRPr="00611F48">
        <w:rPr>
          <w:rFonts w:ascii="Arial" w:hAnsi="Arial" w:cs="Arial"/>
        </w:rPr>
        <w:t xml:space="preserve"> or cannot be trusted or in the absence of a reasonably credible alternative.</w:t>
      </w:r>
      <w:r w:rsidR="00BA22DF" w:rsidRPr="00611F48">
        <w:rPr>
          <w:rStyle w:val="FootnoteReference"/>
          <w:rFonts w:ascii="Arial" w:hAnsi="Arial" w:cs="Arial"/>
        </w:rPr>
        <w:footnoteReference w:id="71"/>
      </w:r>
      <w:r w:rsidR="00BA22DF" w:rsidRPr="00611F48">
        <w:rPr>
          <w:rFonts w:ascii="Arial" w:hAnsi="Arial" w:cs="Arial"/>
        </w:rPr>
        <w:t xml:space="preserve">  </w:t>
      </w:r>
    </w:p>
    <w:p w14:paraId="4F1F084A" w14:textId="77777777" w:rsidR="0077594D" w:rsidRPr="00611F48" w:rsidRDefault="0077594D" w:rsidP="00EE1BD2">
      <w:pPr>
        <w:spacing w:line="480" w:lineRule="auto"/>
        <w:rPr>
          <w:rFonts w:ascii="Arial" w:hAnsi="Arial" w:cs="Arial"/>
        </w:rPr>
      </w:pPr>
    </w:p>
    <w:p w14:paraId="6C15E0DE" w14:textId="644E0294" w:rsidR="00F1438A" w:rsidRDefault="007D5EC4" w:rsidP="00EE1BD2">
      <w:pPr>
        <w:spacing w:line="480" w:lineRule="auto"/>
        <w:rPr>
          <w:rFonts w:ascii="Arial" w:hAnsi="Arial" w:cs="Arial"/>
        </w:rPr>
      </w:pPr>
      <w:proofErr w:type="spellStart"/>
      <w:r w:rsidRPr="00611F48">
        <w:rPr>
          <w:rFonts w:ascii="Arial" w:hAnsi="Arial" w:cs="Arial"/>
        </w:rPr>
        <w:t>Thanki</w:t>
      </w:r>
      <w:proofErr w:type="spellEnd"/>
      <w:r w:rsidRPr="00611F48">
        <w:rPr>
          <w:rFonts w:ascii="Arial" w:hAnsi="Arial" w:cs="Arial"/>
        </w:rPr>
        <w:t xml:space="preserve"> et al</w:t>
      </w:r>
      <w:r w:rsidR="00850DAC" w:rsidRPr="00611F48">
        <w:rPr>
          <w:rStyle w:val="FootnoteReference"/>
          <w:rFonts w:ascii="Arial" w:hAnsi="Arial" w:cs="Arial"/>
        </w:rPr>
        <w:footnoteReference w:id="72"/>
      </w:r>
      <w:r w:rsidR="00850DAC" w:rsidRPr="00611F48">
        <w:rPr>
          <w:rFonts w:ascii="Arial" w:hAnsi="Arial" w:cs="Arial"/>
        </w:rPr>
        <w:t xml:space="preserve"> </w:t>
      </w:r>
      <w:r w:rsidR="00D45757" w:rsidRPr="00611F48">
        <w:rPr>
          <w:rFonts w:ascii="Arial" w:hAnsi="Arial" w:cs="Arial"/>
        </w:rPr>
        <w:t>assert</w:t>
      </w:r>
      <w:r w:rsidRPr="00611F48">
        <w:rPr>
          <w:rFonts w:ascii="Arial" w:hAnsi="Arial" w:cs="Arial"/>
        </w:rPr>
        <w:t xml:space="preserve"> that </w:t>
      </w:r>
      <w:r w:rsidR="00064002" w:rsidRPr="00611F48">
        <w:rPr>
          <w:rFonts w:ascii="Arial" w:hAnsi="Arial" w:cs="Arial"/>
        </w:rPr>
        <w:t>requiring the existence of a</w:t>
      </w:r>
      <w:r w:rsidR="00210E77" w:rsidRPr="00611F48">
        <w:rPr>
          <w:rFonts w:ascii="Arial" w:hAnsi="Arial" w:cs="Arial"/>
        </w:rPr>
        <w:t xml:space="preserve">n exceptional </w:t>
      </w:r>
      <w:r w:rsidR="00064002" w:rsidRPr="00611F48">
        <w:rPr>
          <w:rFonts w:ascii="Arial" w:hAnsi="Arial" w:cs="Arial"/>
        </w:rPr>
        <w:t>factor</w:t>
      </w:r>
      <w:r w:rsidR="00276BB5" w:rsidRPr="00611F48">
        <w:rPr>
          <w:rFonts w:ascii="Arial" w:hAnsi="Arial" w:cs="Arial"/>
        </w:rPr>
        <w:t xml:space="preserve"> of real weight</w:t>
      </w:r>
      <w:r w:rsidR="00D45757" w:rsidRPr="00611F48">
        <w:rPr>
          <w:rFonts w:ascii="Arial" w:hAnsi="Arial" w:cs="Arial"/>
        </w:rPr>
        <w:t xml:space="preserve"> </w:t>
      </w:r>
      <w:r w:rsidR="00BA22DF" w:rsidRPr="00611F48">
        <w:rPr>
          <w:rFonts w:ascii="Arial" w:hAnsi="Arial" w:cs="Arial"/>
        </w:rPr>
        <w:t>in the context of the crime-fraud exception</w:t>
      </w:r>
      <w:r w:rsidR="00D547B5">
        <w:rPr>
          <w:rFonts w:ascii="Arial" w:hAnsi="Arial" w:cs="Arial"/>
        </w:rPr>
        <w:t>,</w:t>
      </w:r>
      <w:r w:rsidR="00BA22DF" w:rsidRPr="00611F48">
        <w:rPr>
          <w:rFonts w:ascii="Arial" w:hAnsi="Arial" w:cs="Arial"/>
        </w:rPr>
        <w:t xml:space="preserve"> </w:t>
      </w:r>
      <w:r w:rsidR="00850DAC" w:rsidRPr="00611F48">
        <w:rPr>
          <w:rFonts w:ascii="Arial" w:hAnsi="Arial" w:cs="Arial"/>
        </w:rPr>
        <w:t xml:space="preserve">based upon case law </w:t>
      </w:r>
      <w:r w:rsidR="0092421B" w:rsidRPr="00611F48">
        <w:rPr>
          <w:rFonts w:ascii="Arial" w:hAnsi="Arial" w:cs="Arial"/>
        </w:rPr>
        <w:t xml:space="preserve">drawn </w:t>
      </w:r>
      <w:r w:rsidR="00850DAC" w:rsidRPr="00611F48">
        <w:rPr>
          <w:rFonts w:ascii="Arial" w:hAnsi="Arial" w:cs="Arial"/>
        </w:rPr>
        <w:t>from a different context</w:t>
      </w:r>
      <w:r w:rsidR="0094539C">
        <w:rPr>
          <w:rFonts w:ascii="Arial" w:hAnsi="Arial" w:cs="Arial"/>
        </w:rPr>
        <w:t>,</w:t>
      </w:r>
      <w:r w:rsidR="00850DAC" w:rsidRPr="00611F48">
        <w:rPr>
          <w:rFonts w:ascii="Arial" w:hAnsi="Arial" w:cs="Arial"/>
        </w:rPr>
        <w:t xml:space="preserve"> is “controversial” and </w:t>
      </w:r>
      <w:r w:rsidR="00CE58CD" w:rsidRPr="00611F48">
        <w:rPr>
          <w:rFonts w:ascii="Arial" w:hAnsi="Arial" w:cs="Arial"/>
        </w:rPr>
        <w:t>“puts the test too high</w:t>
      </w:r>
      <w:r w:rsidR="00850DAC" w:rsidRPr="00611F48">
        <w:rPr>
          <w:rFonts w:ascii="Arial" w:hAnsi="Arial" w:cs="Arial"/>
        </w:rPr>
        <w:t>”</w:t>
      </w:r>
      <w:r w:rsidR="00CE58CD" w:rsidRPr="00611F48">
        <w:rPr>
          <w:rFonts w:ascii="Arial" w:hAnsi="Arial" w:cs="Arial"/>
        </w:rPr>
        <w:t xml:space="preserve">. </w:t>
      </w:r>
      <w:r w:rsidR="00F1438A" w:rsidRPr="00611F48">
        <w:rPr>
          <w:rFonts w:ascii="Arial" w:hAnsi="Arial" w:cs="Arial"/>
        </w:rPr>
        <w:t xml:space="preserve">Similarly, Hollander </w:t>
      </w:r>
      <w:r w:rsidR="00F1438A" w:rsidRPr="00611F48">
        <w:rPr>
          <w:rStyle w:val="FootnoteReference"/>
          <w:rFonts w:ascii="Arial" w:hAnsi="Arial" w:cs="Arial"/>
        </w:rPr>
        <w:footnoteReference w:id="73"/>
      </w:r>
      <w:r w:rsidR="00F1438A" w:rsidRPr="00611F48">
        <w:rPr>
          <w:rFonts w:ascii="Arial" w:hAnsi="Arial" w:cs="Arial"/>
        </w:rPr>
        <w:t xml:space="preserve"> asserts that it is wrong to suggest that the existence of an exceptional factor of real weight forms a condition precedent to the ability of the court to examine the privileged documents in camera in the context of an allegation of iniquity. In particular, he questions why the court should not view the allegedly privileged documents in circumstances in which, in consequence of mistaken </w:t>
      </w:r>
      <w:r w:rsidR="00F1438A" w:rsidRPr="00611F48">
        <w:rPr>
          <w:rFonts w:ascii="Arial" w:hAnsi="Arial" w:cs="Arial"/>
        </w:rPr>
        <w:lastRenderedPageBreak/>
        <w:t>disclosure by legal advisers acting for the party claiming privilege, legal advisers who have specially been instructed by the party relying on the crime-fraud exception to make submissions under the exception have also seen them.</w:t>
      </w:r>
      <w:r w:rsidR="00F1438A" w:rsidRPr="00611F48">
        <w:rPr>
          <w:rStyle w:val="FootnoteReference"/>
          <w:rFonts w:ascii="Arial" w:hAnsi="Arial" w:cs="Arial"/>
        </w:rPr>
        <w:footnoteReference w:id="74"/>
      </w:r>
      <w:r w:rsidR="00F1438A" w:rsidRPr="00611F48">
        <w:rPr>
          <w:rFonts w:ascii="Arial" w:hAnsi="Arial" w:cs="Arial"/>
        </w:rPr>
        <w:t xml:space="preserve"> </w:t>
      </w:r>
      <w:r w:rsidR="004435C7">
        <w:rPr>
          <w:rFonts w:ascii="Arial" w:hAnsi="Arial" w:cs="Arial"/>
        </w:rPr>
        <w:t>Even in this situation,</w:t>
      </w:r>
      <w:r w:rsidR="00F1438A" w:rsidRPr="00611F48">
        <w:rPr>
          <w:rFonts w:ascii="Arial" w:hAnsi="Arial" w:cs="Arial"/>
        </w:rPr>
        <w:t xml:space="preserve"> the current judicial approach is that it would be exceptional for the court to view the communications.</w:t>
      </w:r>
      <w:r w:rsidR="00F1438A" w:rsidRPr="00611F48">
        <w:rPr>
          <w:rStyle w:val="FootnoteReference"/>
          <w:rFonts w:ascii="Arial" w:hAnsi="Arial" w:cs="Arial"/>
        </w:rPr>
        <w:footnoteReference w:id="75"/>
      </w:r>
      <w:r w:rsidR="00B95DD5">
        <w:rPr>
          <w:rFonts w:ascii="Arial" w:hAnsi="Arial" w:cs="Arial"/>
        </w:rPr>
        <w:t xml:space="preserve"> The fact that the courts impose such a high bar before conducting in camera </w:t>
      </w:r>
      <w:proofErr w:type="gramStart"/>
      <w:r w:rsidR="00B95DD5">
        <w:rPr>
          <w:rFonts w:ascii="Arial" w:hAnsi="Arial" w:cs="Arial"/>
        </w:rPr>
        <w:t>review  provides</w:t>
      </w:r>
      <w:proofErr w:type="gramEnd"/>
      <w:r w:rsidR="00B95DD5">
        <w:rPr>
          <w:rFonts w:ascii="Arial" w:hAnsi="Arial" w:cs="Arial"/>
        </w:rPr>
        <w:t xml:space="preserve"> the second justification for the authors’ view that </w:t>
      </w:r>
      <w:r w:rsidR="008E27A2">
        <w:rPr>
          <w:rFonts w:ascii="Arial" w:hAnsi="Arial" w:cs="Arial"/>
        </w:rPr>
        <w:t xml:space="preserve">successful invocations of the crime-fraud exception </w:t>
      </w:r>
      <w:r w:rsidR="004C467C">
        <w:rPr>
          <w:rFonts w:ascii="Arial" w:hAnsi="Arial" w:cs="Arial"/>
        </w:rPr>
        <w:t xml:space="preserve">in England and Wales </w:t>
      </w:r>
      <w:r w:rsidR="008E27A2">
        <w:rPr>
          <w:rFonts w:ascii="Arial" w:hAnsi="Arial" w:cs="Arial"/>
        </w:rPr>
        <w:t>are unlikely to become less exceptional in the near future.</w:t>
      </w:r>
      <w:r w:rsidR="00B95DD5">
        <w:rPr>
          <w:rFonts w:ascii="Arial" w:hAnsi="Arial" w:cs="Arial"/>
        </w:rPr>
        <w:t xml:space="preserve"> </w:t>
      </w:r>
    </w:p>
    <w:p w14:paraId="0DDDA9AF" w14:textId="77777777" w:rsidR="0077594D" w:rsidRPr="00611F48" w:rsidRDefault="0077594D" w:rsidP="00EE1BD2">
      <w:pPr>
        <w:spacing w:line="480" w:lineRule="auto"/>
        <w:rPr>
          <w:rFonts w:ascii="Arial" w:hAnsi="Arial" w:cs="Arial"/>
        </w:rPr>
      </w:pPr>
    </w:p>
    <w:p w14:paraId="1E608E86" w14:textId="1401980D" w:rsidR="00F84216" w:rsidRDefault="0095185E" w:rsidP="00EE1BD2">
      <w:pPr>
        <w:spacing w:line="480" w:lineRule="auto"/>
        <w:rPr>
          <w:rFonts w:ascii="Arial" w:hAnsi="Arial" w:cs="Arial"/>
        </w:rPr>
      </w:pPr>
      <w:r w:rsidRPr="00611F48">
        <w:rPr>
          <w:rFonts w:ascii="Arial" w:hAnsi="Arial" w:cs="Arial"/>
        </w:rPr>
        <w:t>Hollander</w:t>
      </w:r>
      <w:r w:rsidRPr="00611F48">
        <w:rPr>
          <w:rStyle w:val="FootnoteReference"/>
          <w:rFonts w:ascii="Arial" w:hAnsi="Arial" w:cs="Arial"/>
        </w:rPr>
        <w:footnoteReference w:id="76"/>
      </w:r>
      <w:r w:rsidRPr="00611F48">
        <w:rPr>
          <w:rStyle w:val="FootnoteReference"/>
          <w:rFonts w:ascii="Arial" w:hAnsi="Arial" w:cs="Arial"/>
        </w:rPr>
        <w:t xml:space="preserve"> </w:t>
      </w:r>
      <w:r w:rsidRPr="00611F48">
        <w:rPr>
          <w:rFonts w:ascii="Arial" w:hAnsi="Arial" w:cs="Arial"/>
        </w:rPr>
        <w:t>suggests that where the court is prepared to examine al</w:t>
      </w:r>
      <w:r w:rsidR="0094539C">
        <w:rPr>
          <w:rFonts w:ascii="Arial" w:hAnsi="Arial" w:cs="Arial"/>
        </w:rPr>
        <w:t>legedly privileged documents</w:t>
      </w:r>
      <w:r w:rsidRPr="00611F48">
        <w:rPr>
          <w:rFonts w:ascii="Arial" w:hAnsi="Arial" w:cs="Arial"/>
        </w:rPr>
        <w:t xml:space="preserve"> to determine whether the crime-fraud exception </w:t>
      </w:r>
      <w:r w:rsidR="0094539C">
        <w:rPr>
          <w:rFonts w:ascii="Arial" w:hAnsi="Arial" w:cs="Arial"/>
        </w:rPr>
        <w:t>applies, and</w:t>
      </w:r>
      <w:r w:rsidRPr="00611F48">
        <w:rPr>
          <w:rFonts w:ascii="Arial" w:hAnsi="Arial" w:cs="Arial"/>
        </w:rPr>
        <w:t xml:space="preserve"> rules that the documents are privileged</w:t>
      </w:r>
      <w:r w:rsidR="0094539C">
        <w:rPr>
          <w:rFonts w:ascii="Arial" w:hAnsi="Arial" w:cs="Arial"/>
        </w:rPr>
        <w:t>,</w:t>
      </w:r>
      <w:r w:rsidRPr="00611F48">
        <w:rPr>
          <w:rFonts w:ascii="Arial" w:hAnsi="Arial" w:cs="Arial"/>
        </w:rPr>
        <w:t xml:space="preserve"> the judge will normally be able to put the material out of his or her mind</w:t>
      </w:r>
      <w:r w:rsidR="0094539C">
        <w:rPr>
          <w:rFonts w:ascii="Arial" w:hAnsi="Arial" w:cs="Arial"/>
        </w:rPr>
        <w:t>. He</w:t>
      </w:r>
      <w:r w:rsidR="00154F9D" w:rsidRPr="00611F48">
        <w:rPr>
          <w:rFonts w:ascii="Arial" w:hAnsi="Arial" w:cs="Arial"/>
        </w:rPr>
        <w:t xml:space="preserve"> accepts that there may be circumstances in which such an application should be heard by a different </w:t>
      </w:r>
      <w:r w:rsidR="0094539C">
        <w:rPr>
          <w:rFonts w:ascii="Arial" w:hAnsi="Arial" w:cs="Arial"/>
        </w:rPr>
        <w:t xml:space="preserve">judge. </w:t>
      </w:r>
      <w:r w:rsidR="00283F4A">
        <w:rPr>
          <w:rFonts w:ascii="Arial" w:hAnsi="Arial" w:cs="Arial"/>
        </w:rPr>
        <w:t>I</w:t>
      </w:r>
      <w:r w:rsidR="0094539C">
        <w:rPr>
          <w:rFonts w:ascii="Arial" w:hAnsi="Arial" w:cs="Arial"/>
        </w:rPr>
        <w:t xml:space="preserve">n a recent case </w:t>
      </w:r>
      <w:r w:rsidR="00283F4A">
        <w:rPr>
          <w:rFonts w:ascii="Arial" w:hAnsi="Arial" w:cs="Arial"/>
        </w:rPr>
        <w:t xml:space="preserve">which did not concern the crime-fraud exception in which </w:t>
      </w:r>
      <w:r w:rsidR="00154F9D" w:rsidRPr="00611F48">
        <w:rPr>
          <w:rFonts w:ascii="Arial" w:hAnsi="Arial" w:cs="Arial"/>
        </w:rPr>
        <w:t>the court ordered that allegedly privileged do</w:t>
      </w:r>
      <w:r w:rsidR="005A00E5">
        <w:rPr>
          <w:rFonts w:ascii="Arial" w:hAnsi="Arial" w:cs="Arial"/>
        </w:rPr>
        <w:t>cuments be produced</w:t>
      </w:r>
      <w:r w:rsidR="00154F9D" w:rsidRPr="00611F48">
        <w:rPr>
          <w:rFonts w:ascii="Arial" w:hAnsi="Arial" w:cs="Arial"/>
        </w:rPr>
        <w:t xml:space="preserve"> under CPR 31.19(6)</w:t>
      </w:r>
      <w:r w:rsidR="0064097F" w:rsidRPr="00611F48">
        <w:rPr>
          <w:rStyle w:val="FootnoteReference"/>
          <w:rFonts w:ascii="Arial" w:hAnsi="Arial" w:cs="Arial"/>
        </w:rPr>
        <w:footnoteReference w:id="77"/>
      </w:r>
      <w:r w:rsidR="0094539C">
        <w:rPr>
          <w:rFonts w:ascii="Arial" w:hAnsi="Arial" w:cs="Arial"/>
        </w:rPr>
        <w:t xml:space="preserve"> </w:t>
      </w:r>
      <w:r w:rsidR="00283F4A">
        <w:rPr>
          <w:rFonts w:ascii="Arial" w:hAnsi="Arial" w:cs="Arial"/>
        </w:rPr>
        <w:t xml:space="preserve">in order to enable the court </w:t>
      </w:r>
      <w:r w:rsidR="005A00E5">
        <w:rPr>
          <w:rFonts w:ascii="Arial" w:hAnsi="Arial" w:cs="Arial"/>
        </w:rPr>
        <w:t>to determine</w:t>
      </w:r>
      <w:r w:rsidR="00154F9D" w:rsidRPr="00611F48">
        <w:rPr>
          <w:rFonts w:ascii="Arial" w:hAnsi="Arial" w:cs="Arial"/>
        </w:rPr>
        <w:t xml:space="preserve"> </w:t>
      </w:r>
      <w:r w:rsidR="00283F4A">
        <w:rPr>
          <w:rFonts w:ascii="Arial" w:hAnsi="Arial" w:cs="Arial"/>
        </w:rPr>
        <w:t xml:space="preserve">whether they were </w:t>
      </w:r>
      <w:r w:rsidR="00154F9D" w:rsidRPr="00611F48">
        <w:rPr>
          <w:rFonts w:ascii="Arial" w:hAnsi="Arial" w:cs="Arial"/>
        </w:rPr>
        <w:t>pri</w:t>
      </w:r>
      <w:r w:rsidR="005A00E5">
        <w:rPr>
          <w:rFonts w:ascii="Arial" w:hAnsi="Arial" w:cs="Arial"/>
        </w:rPr>
        <w:t>vilege</w:t>
      </w:r>
      <w:r w:rsidR="00283F4A">
        <w:rPr>
          <w:rFonts w:ascii="Arial" w:hAnsi="Arial" w:cs="Arial"/>
        </w:rPr>
        <w:t>d</w:t>
      </w:r>
      <w:r w:rsidR="005A00E5">
        <w:rPr>
          <w:rFonts w:ascii="Arial" w:hAnsi="Arial" w:cs="Arial"/>
        </w:rPr>
        <w:t xml:space="preserve">, </w:t>
      </w:r>
      <w:r w:rsidR="00154F9D" w:rsidRPr="00611F48">
        <w:rPr>
          <w:rFonts w:ascii="Arial" w:hAnsi="Arial" w:cs="Arial"/>
        </w:rPr>
        <w:t>counsel suggested that a different judge should inspect the documents</w:t>
      </w:r>
      <w:r w:rsidR="005A00E5">
        <w:rPr>
          <w:rFonts w:ascii="Arial" w:hAnsi="Arial" w:cs="Arial"/>
        </w:rPr>
        <w:t>. T</w:t>
      </w:r>
      <w:r w:rsidR="00154F9D" w:rsidRPr="00611F48">
        <w:rPr>
          <w:rFonts w:ascii="Arial" w:hAnsi="Arial" w:cs="Arial"/>
        </w:rPr>
        <w:t xml:space="preserve">he </w:t>
      </w:r>
      <w:r w:rsidR="00283F4A">
        <w:rPr>
          <w:rFonts w:ascii="Arial" w:hAnsi="Arial" w:cs="Arial"/>
        </w:rPr>
        <w:t xml:space="preserve">original </w:t>
      </w:r>
      <w:r w:rsidR="007048E7" w:rsidRPr="00611F48">
        <w:rPr>
          <w:rFonts w:ascii="Arial" w:hAnsi="Arial" w:cs="Arial"/>
        </w:rPr>
        <w:t>judge</w:t>
      </w:r>
      <w:r w:rsidR="00154F9D" w:rsidRPr="00611F48">
        <w:rPr>
          <w:rFonts w:ascii="Arial" w:hAnsi="Arial" w:cs="Arial"/>
        </w:rPr>
        <w:t xml:space="preserve"> indicated that </w:t>
      </w:r>
      <w:r w:rsidR="007048E7" w:rsidRPr="00611F48">
        <w:rPr>
          <w:rFonts w:ascii="Arial" w:hAnsi="Arial" w:cs="Arial"/>
        </w:rPr>
        <w:t>he</w:t>
      </w:r>
      <w:r w:rsidR="00154F9D" w:rsidRPr="00611F48">
        <w:rPr>
          <w:rFonts w:ascii="Arial" w:hAnsi="Arial" w:cs="Arial"/>
        </w:rPr>
        <w:t xml:space="preserve"> would hear submissions from the parties as to whether the task of inspecting the documents should be undertaken by a different judge.</w:t>
      </w:r>
      <w:r w:rsidR="00154F9D" w:rsidRPr="00611F48">
        <w:rPr>
          <w:rStyle w:val="FootnoteReference"/>
          <w:rFonts w:ascii="Arial" w:hAnsi="Arial" w:cs="Arial"/>
        </w:rPr>
        <w:footnoteReference w:id="78"/>
      </w:r>
      <w:r w:rsidR="00154F9D" w:rsidRPr="00611F48">
        <w:rPr>
          <w:rStyle w:val="FootnoteReference"/>
          <w:rFonts w:ascii="Arial" w:hAnsi="Arial" w:cs="Arial"/>
        </w:rPr>
        <w:t xml:space="preserve"> </w:t>
      </w:r>
      <w:r w:rsidR="00154F9D" w:rsidRPr="00611F48">
        <w:rPr>
          <w:rFonts w:ascii="Arial" w:hAnsi="Arial" w:cs="Arial"/>
        </w:rPr>
        <w:t xml:space="preserve"> </w:t>
      </w:r>
      <w:r w:rsidR="005A00E5">
        <w:rPr>
          <w:rFonts w:ascii="Arial" w:hAnsi="Arial" w:cs="Arial"/>
        </w:rPr>
        <w:t>S</w:t>
      </w:r>
      <w:r w:rsidR="007048E7" w:rsidRPr="00611F48">
        <w:rPr>
          <w:rFonts w:ascii="Arial" w:hAnsi="Arial" w:cs="Arial"/>
        </w:rPr>
        <w:t>ubsequently</w:t>
      </w:r>
      <w:r w:rsidR="005A00E5">
        <w:rPr>
          <w:rFonts w:ascii="Arial" w:hAnsi="Arial" w:cs="Arial"/>
        </w:rPr>
        <w:t xml:space="preserve">, </w:t>
      </w:r>
      <w:r w:rsidR="00283F4A">
        <w:rPr>
          <w:rFonts w:ascii="Arial" w:hAnsi="Arial" w:cs="Arial"/>
        </w:rPr>
        <w:t xml:space="preserve">the original judge </w:t>
      </w:r>
      <w:r w:rsidR="005A00E5">
        <w:rPr>
          <w:rFonts w:ascii="Arial" w:hAnsi="Arial" w:cs="Arial"/>
        </w:rPr>
        <w:t>directed</w:t>
      </w:r>
      <w:r w:rsidR="007048E7" w:rsidRPr="00611F48">
        <w:rPr>
          <w:rFonts w:ascii="Arial" w:hAnsi="Arial" w:cs="Arial"/>
        </w:rPr>
        <w:t xml:space="preserve"> that the task should be undertaken by a different judge who, having inspected the </w:t>
      </w:r>
      <w:proofErr w:type="gramStart"/>
      <w:r w:rsidR="007048E7" w:rsidRPr="00611F48">
        <w:rPr>
          <w:rFonts w:ascii="Arial" w:hAnsi="Arial" w:cs="Arial"/>
        </w:rPr>
        <w:lastRenderedPageBreak/>
        <w:t>documents,</w:t>
      </w:r>
      <w:proofErr w:type="gramEnd"/>
      <w:r w:rsidR="007048E7" w:rsidRPr="00611F48">
        <w:rPr>
          <w:rFonts w:ascii="Arial" w:hAnsi="Arial" w:cs="Arial"/>
        </w:rPr>
        <w:t xml:space="preserve"> held that they were privileged.</w:t>
      </w:r>
      <w:r w:rsidR="007048E7" w:rsidRPr="00611F48">
        <w:rPr>
          <w:rStyle w:val="FootnoteReference"/>
          <w:rFonts w:ascii="Arial" w:hAnsi="Arial" w:cs="Arial"/>
        </w:rPr>
        <w:footnoteReference w:id="79"/>
      </w:r>
      <w:r w:rsidR="005A00E5">
        <w:rPr>
          <w:rFonts w:ascii="Arial" w:hAnsi="Arial" w:cs="Arial"/>
        </w:rPr>
        <w:t xml:space="preserve"> The second judge noted that his ability</w:t>
      </w:r>
      <w:r w:rsidR="00F84216" w:rsidRPr="00611F48">
        <w:rPr>
          <w:rFonts w:ascii="Arial" w:hAnsi="Arial" w:cs="Arial"/>
        </w:rPr>
        <w:t xml:space="preserve"> to review the documents was a “marked distinction” to </w:t>
      </w:r>
      <w:r w:rsidR="005A00E5">
        <w:rPr>
          <w:rFonts w:ascii="Arial" w:hAnsi="Arial" w:cs="Arial"/>
        </w:rPr>
        <w:t>the difficulties that the first</w:t>
      </w:r>
      <w:r w:rsidR="00F84216" w:rsidRPr="00611F48">
        <w:rPr>
          <w:rFonts w:ascii="Arial" w:hAnsi="Arial" w:cs="Arial"/>
        </w:rPr>
        <w:t xml:space="preserve"> judge had faced when attempting to determine whether the documents were privilege</w:t>
      </w:r>
      <w:r w:rsidR="005A00E5">
        <w:rPr>
          <w:rFonts w:ascii="Arial" w:hAnsi="Arial" w:cs="Arial"/>
        </w:rPr>
        <w:t>d, in the absence of the ability to inspect</w:t>
      </w:r>
      <w:r w:rsidR="00C9581F">
        <w:rPr>
          <w:rFonts w:ascii="Arial" w:hAnsi="Arial" w:cs="Arial"/>
        </w:rPr>
        <w:t xml:space="preserve"> them</w:t>
      </w:r>
      <w:r w:rsidR="00F84216" w:rsidRPr="00611F48">
        <w:rPr>
          <w:rFonts w:ascii="Arial" w:hAnsi="Arial" w:cs="Arial"/>
        </w:rPr>
        <w:t>.</w:t>
      </w:r>
      <w:r w:rsidR="00F84216" w:rsidRPr="00611F48">
        <w:rPr>
          <w:rStyle w:val="FootnoteReference"/>
          <w:rFonts w:ascii="Arial" w:hAnsi="Arial" w:cs="Arial"/>
        </w:rPr>
        <w:footnoteReference w:id="80"/>
      </w:r>
    </w:p>
    <w:p w14:paraId="1C32EE03" w14:textId="77777777" w:rsidR="0077594D" w:rsidRPr="00611F48" w:rsidRDefault="0077594D" w:rsidP="00EE1BD2">
      <w:pPr>
        <w:spacing w:line="480" w:lineRule="auto"/>
        <w:rPr>
          <w:rFonts w:ascii="Arial" w:hAnsi="Arial" w:cs="Arial"/>
        </w:rPr>
      </w:pPr>
    </w:p>
    <w:p w14:paraId="7948777A" w14:textId="1A646B6D" w:rsidR="00931115" w:rsidRDefault="009D21A8" w:rsidP="00EE1BD2">
      <w:pPr>
        <w:spacing w:line="480" w:lineRule="auto"/>
        <w:rPr>
          <w:rFonts w:ascii="Arial" w:hAnsi="Arial" w:cs="Arial"/>
        </w:rPr>
      </w:pPr>
      <w:r w:rsidRPr="00611F48">
        <w:rPr>
          <w:rFonts w:ascii="Arial" w:hAnsi="Arial" w:cs="Arial"/>
        </w:rPr>
        <w:t>T</w:t>
      </w:r>
      <w:r w:rsidR="000953A6" w:rsidRPr="00611F48">
        <w:rPr>
          <w:rFonts w:ascii="Arial" w:hAnsi="Arial" w:cs="Arial"/>
        </w:rPr>
        <w:t xml:space="preserve">he current judicial reluctance to </w:t>
      </w:r>
      <w:r w:rsidRPr="00611F48">
        <w:rPr>
          <w:rFonts w:ascii="Arial" w:hAnsi="Arial" w:cs="Arial"/>
        </w:rPr>
        <w:t>examine allegedly privileged documents in camera</w:t>
      </w:r>
      <w:r w:rsidR="00DC04FB">
        <w:rPr>
          <w:rFonts w:ascii="Arial" w:hAnsi="Arial" w:cs="Arial"/>
        </w:rPr>
        <w:t xml:space="preserve">, both </w:t>
      </w:r>
      <w:r w:rsidRPr="00611F48">
        <w:rPr>
          <w:rFonts w:ascii="Arial" w:hAnsi="Arial" w:cs="Arial"/>
        </w:rPr>
        <w:t>when the crime-fraud exception is relied upon</w:t>
      </w:r>
      <w:r w:rsidR="00DC04FB">
        <w:rPr>
          <w:rFonts w:ascii="Arial" w:hAnsi="Arial" w:cs="Arial"/>
        </w:rPr>
        <w:t xml:space="preserve"> and more generally when objections to the status of allegedly privileged communications is challenged for other reasons,</w:t>
      </w:r>
      <w:r w:rsidRPr="00611F48">
        <w:rPr>
          <w:rFonts w:ascii="Arial" w:hAnsi="Arial" w:cs="Arial"/>
        </w:rPr>
        <w:t xml:space="preserve"> </w:t>
      </w:r>
      <w:r w:rsidR="00147553" w:rsidRPr="00611F48">
        <w:rPr>
          <w:rFonts w:ascii="Arial" w:hAnsi="Arial" w:cs="Arial"/>
        </w:rPr>
        <w:t>clearly make</w:t>
      </w:r>
      <w:r w:rsidR="00DC04FB">
        <w:rPr>
          <w:rFonts w:ascii="Arial" w:hAnsi="Arial" w:cs="Arial"/>
        </w:rPr>
        <w:t>s</w:t>
      </w:r>
      <w:r w:rsidR="00147553" w:rsidRPr="00611F48">
        <w:rPr>
          <w:rFonts w:ascii="Arial" w:hAnsi="Arial" w:cs="Arial"/>
        </w:rPr>
        <w:t xml:space="preserve"> it much more difficult for parties seeking to rely upon the exception to establish a prima facie case of iniquity. </w:t>
      </w:r>
      <w:r w:rsidR="000953A6" w:rsidRPr="00611F48">
        <w:rPr>
          <w:rFonts w:ascii="Arial" w:hAnsi="Arial" w:cs="Arial"/>
        </w:rPr>
        <w:t>Higgins and Zuckerman, with reference both to the reluctance of the courts to examine privileged documents in camera</w:t>
      </w:r>
      <w:r w:rsidR="005A00E5">
        <w:rPr>
          <w:rFonts w:ascii="Arial" w:hAnsi="Arial" w:cs="Arial"/>
        </w:rPr>
        <w:t>,</w:t>
      </w:r>
      <w:r w:rsidR="000953A6" w:rsidRPr="00611F48">
        <w:rPr>
          <w:rFonts w:ascii="Arial" w:hAnsi="Arial" w:cs="Arial"/>
        </w:rPr>
        <w:t xml:space="preserve"> and </w:t>
      </w:r>
      <w:r w:rsidR="00147553" w:rsidRPr="00611F48">
        <w:rPr>
          <w:rFonts w:ascii="Arial" w:hAnsi="Arial" w:cs="Arial"/>
        </w:rPr>
        <w:t xml:space="preserve">also to </w:t>
      </w:r>
      <w:r w:rsidR="000953A6" w:rsidRPr="00611F48">
        <w:rPr>
          <w:rFonts w:ascii="Arial" w:hAnsi="Arial" w:cs="Arial"/>
        </w:rPr>
        <w:t xml:space="preserve">the difficulties faced by tax authorities in identifying privilege claims that have not been properly made out if they are not aware of the contents of the </w:t>
      </w:r>
      <w:r w:rsidR="00147553" w:rsidRPr="00611F48">
        <w:rPr>
          <w:rFonts w:ascii="Arial" w:hAnsi="Arial" w:cs="Arial"/>
        </w:rPr>
        <w:t xml:space="preserve">allegedly privileged </w:t>
      </w:r>
      <w:r w:rsidR="000953A6" w:rsidRPr="00611F48">
        <w:rPr>
          <w:rFonts w:ascii="Arial" w:hAnsi="Arial" w:cs="Arial"/>
        </w:rPr>
        <w:t>communications, believe that judicial scrutiny of claims of legal professional privilege is unlikely to be effective in tax cases.</w:t>
      </w:r>
      <w:r w:rsidR="000953A6" w:rsidRPr="00611F48">
        <w:rPr>
          <w:rStyle w:val="FootnoteReference"/>
          <w:rFonts w:ascii="Arial" w:hAnsi="Arial" w:cs="Arial"/>
        </w:rPr>
        <w:footnoteReference w:id="81"/>
      </w:r>
      <w:r w:rsidR="000953A6" w:rsidRPr="00611F48">
        <w:rPr>
          <w:rFonts w:ascii="Arial" w:hAnsi="Arial" w:cs="Arial"/>
        </w:rPr>
        <w:t xml:space="preserve"> </w:t>
      </w:r>
      <w:r w:rsidR="00D37DED">
        <w:rPr>
          <w:rFonts w:ascii="Arial" w:hAnsi="Arial" w:cs="Arial"/>
        </w:rPr>
        <w:t xml:space="preserve">The authors’ agree with this as a general proposition. They believe that one area in which there is currently potential for increased successful invocations of the crime-fraud exception is where privilege is asserted before the First </w:t>
      </w:r>
      <w:r w:rsidR="00D547B5">
        <w:rPr>
          <w:rFonts w:ascii="Arial" w:hAnsi="Arial" w:cs="Arial"/>
        </w:rPr>
        <w:t>-t</w:t>
      </w:r>
      <w:r w:rsidR="00D37DED">
        <w:rPr>
          <w:rFonts w:ascii="Arial" w:hAnsi="Arial" w:cs="Arial"/>
        </w:rPr>
        <w:t xml:space="preserve">ier Tribunal (Tax) in the context of an information notice. </w:t>
      </w:r>
      <w:r w:rsidR="00E012E6" w:rsidRPr="00611F48">
        <w:rPr>
          <w:rFonts w:ascii="Arial" w:hAnsi="Arial" w:cs="Arial"/>
        </w:rPr>
        <w:t xml:space="preserve"> </w:t>
      </w:r>
    </w:p>
    <w:p w14:paraId="2405F559" w14:textId="77777777" w:rsidR="0077594D" w:rsidRPr="00611F48" w:rsidRDefault="0077594D" w:rsidP="00EE1BD2">
      <w:pPr>
        <w:spacing w:line="480" w:lineRule="auto"/>
        <w:rPr>
          <w:rFonts w:ascii="Arial" w:hAnsi="Arial" w:cs="Arial"/>
        </w:rPr>
      </w:pPr>
    </w:p>
    <w:p w14:paraId="6C1C8A7D" w14:textId="77777777" w:rsidR="00154451" w:rsidRPr="00C604AF" w:rsidRDefault="00154451" w:rsidP="00EE1BD2">
      <w:pPr>
        <w:spacing w:line="480" w:lineRule="auto"/>
        <w:rPr>
          <w:rFonts w:ascii="Arial" w:hAnsi="Arial" w:cs="Arial"/>
          <w:i/>
        </w:rPr>
      </w:pPr>
      <w:r w:rsidRPr="00C604AF">
        <w:rPr>
          <w:rFonts w:ascii="Arial" w:hAnsi="Arial" w:cs="Arial"/>
          <w:i/>
        </w:rPr>
        <w:t>Examination of allegedly privileged documents by the First-tier Tribunal (Tax)</w:t>
      </w:r>
    </w:p>
    <w:p w14:paraId="1DF9D154" w14:textId="7501DACA" w:rsidR="00AC7027" w:rsidRDefault="00DD0067" w:rsidP="00EE1BD2">
      <w:pPr>
        <w:spacing w:line="480" w:lineRule="auto"/>
        <w:rPr>
          <w:rFonts w:ascii="Arial" w:hAnsi="Arial" w:cs="Arial"/>
        </w:rPr>
      </w:pPr>
      <w:r w:rsidRPr="00611F48">
        <w:rPr>
          <w:rFonts w:ascii="Arial" w:hAnsi="Arial" w:cs="Arial"/>
        </w:rPr>
        <w:t xml:space="preserve">So far as </w:t>
      </w:r>
      <w:r w:rsidR="00774633" w:rsidRPr="00611F48">
        <w:rPr>
          <w:rFonts w:ascii="Arial" w:hAnsi="Arial" w:cs="Arial"/>
        </w:rPr>
        <w:t xml:space="preserve">judicial </w:t>
      </w:r>
      <w:r w:rsidRPr="00611F48">
        <w:rPr>
          <w:rFonts w:ascii="Arial" w:hAnsi="Arial" w:cs="Arial"/>
        </w:rPr>
        <w:t xml:space="preserve">reluctance to examine </w:t>
      </w:r>
      <w:r w:rsidR="009D591A">
        <w:rPr>
          <w:rFonts w:ascii="Arial" w:hAnsi="Arial" w:cs="Arial"/>
        </w:rPr>
        <w:t xml:space="preserve">allegedly </w:t>
      </w:r>
      <w:r w:rsidRPr="00611F48">
        <w:rPr>
          <w:rFonts w:ascii="Arial" w:hAnsi="Arial" w:cs="Arial"/>
        </w:rPr>
        <w:t xml:space="preserve">privileged documents </w:t>
      </w:r>
      <w:r w:rsidR="009D591A">
        <w:rPr>
          <w:rFonts w:ascii="Arial" w:hAnsi="Arial" w:cs="Arial"/>
        </w:rPr>
        <w:t xml:space="preserve">in order to determine whether they are privileged </w:t>
      </w:r>
      <w:r w:rsidRPr="00611F48">
        <w:rPr>
          <w:rFonts w:ascii="Arial" w:hAnsi="Arial" w:cs="Arial"/>
        </w:rPr>
        <w:t>is concerned</w:t>
      </w:r>
      <w:r w:rsidR="00774633" w:rsidRPr="00611F48">
        <w:rPr>
          <w:rFonts w:ascii="Arial" w:hAnsi="Arial" w:cs="Arial"/>
        </w:rPr>
        <w:t>,</w:t>
      </w:r>
      <w:r w:rsidRPr="00611F48">
        <w:rPr>
          <w:rFonts w:ascii="Arial" w:hAnsi="Arial" w:cs="Arial"/>
        </w:rPr>
        <w:t xml:space="preserve"> </w:t>
      </w:r>
      <w:r w:rsidR="00AC7027" w:rsidRPr="00611F48">
        <w:rPr>
          <w:rFonts w:ascii="Arial" w:hAnsi="Arial" w:cs="Arial"/>
        </w:rPr>
        <w:t>it seem</w:t>
      </w:r>
      <w:r w:rsidR="00774633" w:rsidRPr="00611F48">
        <w:rPr>
          <w:rFonts w:ascii="Arial" w:hAnsi="Arial" w:cs="Arial"/>
        </w:rPr>
        <w:t>s</w:t>
      </w:r>
      <w:r w:rsidR="00AC7027" w:rsidRPr="00611F48">
        <w:rPr>
          <w:rFonts w:ascii="Arial" w:hAnsi="Arial" w:cs="Arial"/>
        </w:rPr>
        <w:t xml:space="preserve"> that </w:t>
      </w:r>
      <w:r w:rsidR="00EE3D07" w:rsidRPr="00611F48">
        <w:rPr>
          <w:rFonts w:ascii="Arial" w:hAnsi="Arial" w:cs="Arial"/>
        </w:rPr>
        <w:t xml:space="preserve">a distinction </w:t>
      </w:r>
      <w:r w:rsidR="00AC7027" w:rsidRPr="00611F48">
        <w:rPr>
          <w:rFonts w:ascii="Arial" w:hAnsi="Arial" w:cs="Arial"/>
        </w:rPr>
        <w:t xml:space="preserve">may be drawn </w:t>
      </w:r>
      <w:r w:rsidR="00EE3D07" w:rsidRPr="00611F48">
        <w:rPr>
          <w:rFonts w:ascii="Arial" w:hAnsi="Arial" w:cs="Arial"/>
        </w:rPr>
        <w:t xml:space="preserve">between </w:t>
      </w:r>
      <w:r w:rsidR="00774633" w:rsidRPr="00611F48">
        <w:rPr>
          <w:rFonts w:ascii="Arial" w:hAnsi="Arial" w:cs="Arial"/>
        </w:rPr>
        <w:lastRenderedPageBreak/>
        <w:t xml:space="preserve">those </w:t>
      </w:r>
      <w:r w:rsidR="00EE3D07" w:rsidRPr="00611F48">
        <w:rPr>
          <w:rFonts w:ascii="Arial" w:hAnsi="Arial" w:cs="Arial"/>
        </w:rPr>
        <w:t>cases in which legal advice privilege is relied upon in the context of</w:t>
      </w:r>
      <w:r w:rsidR="00AC5953" w:rsidRPr="00611F48">
        <w:rPr>
          <w:rFonts w:ascii="Arial" w:hAnsi="Arial" w:cs="Arial"/>
        </w:rPr>
        <w:t xml:space="preserve"> appeal</w:t>
      </w:r>
      <w:r w:rsidR="00774633" w:rsidRPr="00611F48">
        <w:rPr>
          <w:rFonts w:ascii="Arial" w:hAnsi="Arial" w:cs="Arial"/>
        </w:rPr>
        <w:t>s</w:t>
      </w:r>
      <w:r w:rsidR="00AC5953" w:rsidRPr="00611F48">
        <w:rPr>
          <w:rFonts w:ascii="Arial" w:hAnsi="Arial" w:cs="Arial"/>
        </w:rPr>
        <w:t xml:space="preserve"> to </w:t>
      </w:r>
      <w:r w:rsidR="001B7498" w:rsidRPr="00611F48">
        <w:rPr>
          <w:rFonts w:ascii="Arial" w:hAnsi="Arial" w:cs="Arial"/>
        </w:rPr>
        <w:t>the F</w:t>
      </w:r>
      <w:r w:rsidR="00EE3D07" w:rsidRPr="00611F48">
        <w:rPr>
          <w:rFonts w:ascii="Arial" w:hAnsi="Arial" w:cs="Arial"/>
        </w:rPr>
        <w:t>irst</w:t>
      </w:r>
      <w:r w:rsidR="001B7498" w:rsidRPr="00611F48">
        <w:rPr>
          <w:rFonts w:ascii="Arial" w:hAnsi="Arial" w:cs="Arial"/>
        </w:rPr>
        <w:t>-</w:t>
      </w:r>
      <w:r w:rsidR="00EE3D07" w:rsidRPr="00611F48">
        <w:rPr>
          <w:rFonts w:ascii="Arial" w:hAnsi="Arial" w:cs="Arial"/>
        </w:rPr>
        <w:t xml:space="preserve">tier </w:t>
      </w:r>
      <w:r w:rsidR="001B7498" w:rsidRPr="00611F48">
        <w:rPr>
          <w:rFonts w:ascii="Arial" w:hAnsi="Arial" w:cs="Arial"/>
        </w:rPr>
        <w:t>T</w:t>
      </w:r>
      <w:r w:rsidR="00EE3D07" w:rsidRPr="00611F48">
        <w:rPr>
          <w:rFonts w:ascii="Arial" w:hAnsi="Arial" w:cs="Arial"/>
        </w:rPr>
        <w:t>ribunal</w:t>
      </w:r>
      <w:r w:rsidR="001B7498" w:rsidRPr="00611F48">
        <w:rPr>
          <w:rFonts w:ascii="Arial" w:hAnsi="Arial" w:cs="Arial"/>
        </w:rPr>
        <w:t xml:space="preserve"> (Tax) (the Tribunal) </w:t>
      </w:r>
      <w:r w:rsidR="00EE3D07" w:rsidRPr="00611F48">
        <w:rPr>
          <w:rFonts w:ascii="Arial" w:hAnsi="Arial" w:cs="Arial"/>
        </w:rPr>
        <w:t>and those in which it is relied upon when th</w:t>
      </w:r>
      <w:r w:rsidR="001B7498" w:rsidRPr="00611F48">
        <w:rPr>
          <w:rFonts w:ascii="Arial" w:hAnsi="Arial" w:cs="Arial"/>
        </w:rPr>
        <w:t>e T</w:t>
      </w:r>
      <w:r w:rsidR="00EE3D07" w:rsidRPr="00611F48">
        <w:rPr>
          <w:rFonts w:ascii="Arial" w:hAnsi="Arial" w:cs="Arial"/>
        </w:rPr>
        <w:t xml:space="preserve">ribunal is </w:t>
      </w:r>
      <w:r w:rsidR="00D63250" w:rsidRPr="00611F48">
        <w:rPr>
          <w:rFonts w:ascii="Arial" w:hAnsi="Arial" w:cs="Arial"/>
        </w:rPr>
        <w:t xml:space="preserve">required to resolve a </w:t>
      </w:r>
      <w:r w:rsidR="00AC7027" w:rsidRPr="00611F48">
        <w:rPr>
          <w:rFonts w:ascii="Arial" w:hAnsi="Arial" w:cs="Arial"/>
        </w:rPr>
        <w:t xml:space="preserve">privilege </w:t>
      </w:r>
      <w:r w:rsidR="00D63250" w:rsidRPr="00611F48">
        <w:rPr>
          <w:rFonts w:ascii="Arial" w:hAnsi="Arial" w:cs="Arial"/>
        </w:rPr>
        <w:t xml:space="preserve">dispute </w:t>
      </w:r>
      <w:r w:rsidR="00AC7027" w:rsidRPr="00611F48">
        <w:rPr>
          <w:rFonts w:ascii="Arial" w:hAnsi="Arial" w:cs="Arial"/>
        </w:rPr>
        <w:t>which ar</w:t>
      </w:r>
      <w:r w:rsidR="00774633" w:rsidRPr="00611F48">
        <w:rPr>
          <w:rFonts w:ascii="Arial" w:hAnsi="Arial" w:cs="Arial"/>
        </w:rPr>
        <w:t>ose</w:t>
      </w:r>
      <w:r w:rsidR="00AC7027" w:rsidRPr="00611F48">
        <w:rPr>
          <w:rFonts w:ascii="Arial" w:hAnsi="Arial" w:cs="Arial"/>
        </w:rPr>
        <w:t xml:space="preserve"> following the giving of an information notice by an officer of Revenue and Customs.</w:t>
      </w:r>
    </w:p>
    <w:p w14:paraId="633370B1" w14:textId="77777777" w:rsidR="0077594D" w:rsidRPr="00611F48" w:rsidRDefault="0077594D" w:rsidP="00EE1BD2">
      <w:pPr>
        <w:spacing w:line="480" w:lineRule="auto"/>
        <w:rPr>
          <w:rFonts w:ascii="Arial" w:hAnsi="Arial" w:cs="Arial"/>
        </w:rPr>
      </w:pPr>
    </w:p>
    <w:p w14:paraId="13E036FF" w14:textId="1BACBFCF" w:rsidR="0052330D" w:rsidRDefault="00AC7027" w:rsidP="00EE1BD2">
      <w:pPr>
        <w:spacing w:line="480" w:lineRule="auto"/>
        <w:rPr>
          <w:rFonts w:ascii="Arial" w:hAnsi="Arial" w:cs="Arial"/>
        </w:rPr>
      </w:pPr>
      <w:r w:rsidRPr="00611F48">
        <w:rPr>
          <w:rFonts w:ascii="Arial" w:hAnsi="Arial" w:cs="Arial"/>
        </w:rPr>
        <w:t>A</w:t>
      </w:r>
      <w:r w:rsidR="00F01F5D" w:rsidRPr="00611F48">
        <w:rPr>
          <w:rFonts w:ascii="Arial" w:hAnsi="Arial" w:cs="Arial"/>
        </w:rPr>
        <w:t>ppeals to the Tribunal</w:t>
      </w:r>
      <w:r w:rsidRPr="00611F48">
        <w:rPr>
          <w:rFonts w:ascii="Arial" w:hAnsi="Arial" w:cs="Arial"/>
        </w:rPr>
        <w:t xml:space="preserve"> are</w:t>
      </w:r>
      <w:r w:rsidR="000276F5" w:rsidRPr="00611F48">
        <w:rPr>
          <w:rFonts w:ascii="Arial" w:hAnsi="Arial" w:cs="Arial"/>
        </w:rPr>
        <w:t xml:space="preserve"> governed by T</w:t>
      </w:r>
      <w:r w:rsidR="00AC5953" w:rsidRPr="00611F48">
        <w:rPr>
          <w:rFonts w:ascii="Arial" w:hAnsi="Arial" w:cs="Arial"/>
        </w:rPr>
        <w:t>he Tribunal Procedure (First-tier Tribunal) (Tax Chamber) Rules 2009. Rule 27(3) makes clear that the duty to allow inspection of certain documents which it imposes upon the parties does not encompass “any documents which are privileged”.</w:t>
      </w:r>
      <w:r w:rsidR="00BD009D" w:rsidRPr="00611F48">
        <w:rPr>
          <w:rFonts w:ascii="Arial" w:hAnsi="Arial" w:cs="Arial"/>
        </w:rPr>
        <w:t xml:space="preserve"> </w:t>
      </w:r>
      <w:r w:rsidR="0052330D" w:rsidRPr="00611F48">
        <w:rPr>
          <w:rFonts w:ascii="Arial" w:hAnsi="Arial" w:cs="Arial"/>
        </w:rPr>
        <w:t>I</w:t>
      </w:r>
      <w:r w:rsidR="00647E42">
        <w:rPr>
          <w:rFonts w:ascii="Arial" w:hAnsi="Arial" w:cs="Arial"/>
        </w:rPr>
        <w:t>n one</w:t>
      </w:r>
      <w:r w:rsidR="00BD009D" w:rsidRPr="00611F48">
        <w:rPr>
          <w:rFonts w:ascii="Arial" w:hAnsi="Arial" w:cs="Arial"/>
        </w:rPr>
        <w:t xml:space="preserve"> appeal before the T</w:t>
      </w:r>
      <w:r w:rsidR="000F6AA1" w:rsidRPr="00611F48">
        <w:rPr>
          <w:rFonts w:ascii="Arial" w:hAnsi="Arial" w:cs="Arial"/>
        </w:rPr>
        <w:t>ribunal</w:t>
      </w:r>
      <w:r w:rsidR="00647E42">
        <w:rPr>
          <w:rFonts w:ascii="Arial" w:hAnsi="Arial" w:cs="Arial"/>
        </w:rPr>
        <w:t>,</w:t>
      </w:r>
      <w:r w:rsidR="000F6AA1" w:rsidRPr="00611F48">
        <w:rPr>
          <w:rFonts w:ascii="Arial" w:hAnsi="Arial" w:cs="Arial"/>
        </w:rPr>
        <w:t xml:space="preserve"> the parties were agreeable to </w:t>
      </w:r>
      <w:r w:rsidR="00FD7B55">
        <w:rPr>
          <w:rFonts w:ascii="Arial" w:hAnsi="Arial" w:cs="Arial"/>
        </w:rPr>
        <w:t xml:space="preserve">it </w:t>
      </w:r>
      <w:r w:rsidR="000F6AA1" w:rsidRPr="00611F48">
        <w:rPr>
          <w:rFonts w:ascii="Arial" w:hAnsi="Arial" w:cs="Arial"/>
        </w:rPr>
        <w:t xml:space="preserve">inspecting documents in camera in order to determine whether </w:t>
      </w:r>
      <w:r w:rsidR="0052330D" w:rsidRPr="00611F48">
        <w:rPr>
          <w:rFonts w:ascii="Arial" w:hAnsi="Arial" w:cs="Arial"/>
        </w:rPr>
        <w:t>a waiver of privilege in relation to other documents had given rise to an implied waiver of privilege in relati</w:t>
      </w:r>
      <w:r w:rsidR="00647E42">
        <w:rPr>
          <w:rFonts w:ascii="Arial" w:hAnsi="Arial" w:cs="Arial"/>
        </w:rPr>
        <w:t>on to the documents in question.</w:t>
      </w:r>
      <w:r w:rsidR="00311CC7">
        <w:rPr>
          <w:rFonts w:ascii="Arial" w:hAnsi="Arial" w:cs="Arial"/>
        </w:rPr>
        <w:t xml:space="preserve"> </w:t>
      </w:r>
      <w:r w:rsidR="00647E42">
        <w:rPr>
          <w:rFonts w:ascii="Arial" w:hAnsi="Arial" w:cs="Arial"/>
        </w:rPr>
        <w:t>T</w:t>
      </w:r>
      <w:r w:rsidR="0052330D" w:rsidRPr="00611F48">
        <w:rPr>
          <w:rFonts w:ascii="Arial" w:hAnsi="Arial" w:cs="Arial"/>
        </w:rPr>
        <w:t xml:space="preserve">he Judge, in determining that there had not been an implied waiver, did not find it necessary either to inspect the documents </w:t>
      </w:r>
      <w:r w:rsidR="00CE0AF8" w:rsidRPr="00611F48">
        <w:rPr>
          <w:rFonts w:ascii="Arial" w:hAnsi="Arial" w:cs="Arial"/>
        </w:rPr>
        <w:t xml:space="preserve">or to </w:t>
      </w:r>
      <w:r w:rsidR="0052330D" w:rsidRPr="00611F48">
        <w:rPr>
          <w:rFonts w:ascii="Arial" w:hAnsi="Arial" w:cs="Arial"/>
        </w:rPr>
        <w:t xml:space="preserve">decide whether it would have been </w:t>
      </w:r>
      <w:r w:rsidR="000F6AA1" w:rsidRPr="00611F48">
        <w:rPr>
          <w:rFonts w:ascii="Arial" w:hAnsi="Arial" w:cs="Arial"/>
        </w:rPr>
        <w:t>appropriate for her</w:t>
      </w:r>
      <w:r w:rsidR="00CE0AF8" w:rsidRPr="00611F48">
        <w:rPr>
          <w:rFonts w:ascii="Arial" w:hAnsi="Arial" w:cs="Arial"/>
        </w:rPr>
        <w:t xml:space="preserve"> </w:t>
      </w:r>
      <w:r w:rsidR="000F6AA1" w:rsidRPr="00611F48">
        <w:rPr>
          <w:rFonts w:ascii="Arial" w:hAnsi="Arial" w:cs="Arial"/>
        </w:rPr>
        <w:t xml:space="preserve">to </w:t>
      </w:r>
      <w:r w:rsidR="0052330D" w:rsidRPr="00611F48">
        <w:rPr>
          <w:rFonts w:ascii="Arial" w:hAnsi="Arial" w:cs="Arial"/>
        </w:rPr>
        <w:t xml:space="preserve">have </w:t>
      </w:r>
      <w:r w:rsidR="000F6AA1" w:rsidRPr="00611F48">
        <w:rPr>
          <w:rFonts w:ascii="Arial" w:hAnsi="Arial" w:cs="Arial"/>
        </w:rPr>
        <w:t>do</w:t>
      </w:r>
      <w:r w:rsidR="0052330D" w:rsidRPr="00611F48">
        <w:rPr>
          <w:rFonts w:ascii="Arial" w:hAnsi="Arial" w:cs="Arial"/>
        </w:rPr>
        <w:t>ne</w:t>
      </w:r>
      <w:r w:rsidR="000F6AA1" w:rsidRPr="00611F48">
        <w:rPr>
          <w:rFonts w:ascii="Arial" w:hAnsi="Arial" w:cs="Arial"/>
        </w:rPr>
        <w:t xml:space="preserve"> </w:t>
      </w:r>
      <w:r w:rsidR="00CE0AF8" w:rsidRPr="00611F48">
        <w:rPr>
          <w:rFonts w:ascii="Arial" w:hAnsi="Arial" w:cs="Arial"/>
        </w:rPr>
        <w:t>so.</w:t>
      </w:r>
      <w:r w:rsidR="006B0890" w:rsidRPr="00611F48">
        <w:rPr>
          <w:rStyle w:val="FootnoteReference"/>
          <w:rFonts w:ascii="Arial" w:hAnsi="Arial" w:cs="Arial"/>
        </w:rPr>
        <w:footnoteReference w:id="82"/>
      </w:r>
      <w:r w:rsidR="00CE0AF8" w:rsidRPr="00611F48">
        <w:rPr>
          <w:rFonts w:ascii="Arial" w:hAnsi="Arial" w:cs="Arial"/>
        </w:rPr>
        <w:t xml:space="preserve"> </w:t>
      </w:r>
      <w:r w:rsidR="009C5C88" w:rsidRPr="00611F48">
        <w:rPr>
          <w:rFonts w:ascii="Arial" w:hAnsi="Arial" w:cs="Arial"/>
        </w:rPr>
        <w:t xml:space="preserve">It </w:t>
      </w:r>
      <w:r w:rsidR="006747F1" w:rsidRPr="00611F48">
        <w:rPr>
          <w:rFonts w:ascii="Arial" w:hAnsi="Arial" w:cs="Arial"/>
        </w:rPr>
        <w:t xml:space="preserve">may be </w:t>
      </w:r>
      <w:r w:rsidR="009C5C88" w:rsidRPr="00611F48">
        <w:rPr>
          <w:rFonts w:ascii="Arial" w:hAnsi="Arial" w:cs="Arial"/>
        </w:rPr>
        <w:t xml:space="preserve">that, in the light of the civil authorities referred to above, </w:t>
      </w:r>
      <w:r w:rsidR="00FD7B55">
        <w:rPr>
          <w:rFonts w:ascii="Arial" w:hAnsi="Arial" w:cs="Arial"/>
        </w:rPr>
        <w:t>j</w:t>
      </w:r>
      <w:r w:rsidR="009C5C88" w:rsidRPr="00611F48">
        <w:rPr>
          <w:rFonts w:ascii="Arial" w:hAnsi="Arial" w:cs="Arial"/>
        </w:rPr>
        <w:t xml:space="preserve">udges who are required to determine issues of privilege in the context of tax appeals will only be prepared to </w:t>
      </w:r>
      <w:r w:rsidR="00D82ABC" w:rsidRPr="00611F48">
        <w:rPr>
          <w:rFonts w:ascii="Arial" w:hAnsi="Arial" w:cs="Arial"/>
        </w:rPr>
        <w:t xml:space="preserve">undertake in camera </w:t>
      </w:r>
      <w:r w:rsidR="009C5C88" w:rsidRPr="00611F48">
        <w:rPr>
          <w:rFonts w:ascii="Arial" w:hAnsi="Arial" w:cs="Arial"/>
        </w:rPr>
        <w:t>inspect</w:t>
      </w:r>
      <w:r w:rsidR="00D82ABC" w:rsidRPr="00611F48">
        <w:rPr>
          <w:rFonts w:ascii="Arial" w:hAnsi="Arial" w:cs="Arial"/>
        </w:rPr>
        <w:t>ions of</w:t>
      </w:r>
      <w:r w:rsidR="009C5C88" w:rsidRPr="00611F48">
        <w:rPr>
          <w:rFonts w:ascii="Arial" w:hAnsi="Arial" w:cs="Arial"/>
        </w:rPr>
        <w:t xml:space="preserve"> documents </w:t>
      </w:r>
      <w:r w:rsidR="00D82ABC" w:rsidRPr="00611F48">
        <w:rPr>
          <w:rFonts w:ascii="Arial" w:hAnsi="Arial" w:cs="Arial"/>
        </w:rPr>
        <w:t xml:space="preserve">to which claims of privilege relate </w:t>
      </w:r>
      <w:r w:rsidR="009C5C88" w:rsidRPr="00611F48">
        <w:rPr>
          <w:rFonts w:ascii="Arial" w:hAnsi="Arial" w:cs="Arial"/>
        </w:rPr>
        <w:t xml:space="preserve">in exceptional circumstances. </w:t>
      </w:r>
    </w:p>
    <w:p w14:paraId="4D4736A6" w14:textId="77777777" w:rsidR="0077594D" w:rsidRPr="00611F48" w:rsidRDefault="0077594D" w:rsidP="00EE1BD2">
      <w:pPr>
        <w:spacing w:line="480" w:lineRule="auto"/>
        <w:rPr>
          <w:rFonts w:ascii="Arial" w:hAnsi="Arial" w:cs="Arial"/>
        </w:rPr>
      </w:pPr>
    </w:p>
    <w:p w14:paraId="1BAA7FF3" w14:textId="4B86BA80" w:rsidR="00D547B5" w:rsidRDefault="00AC7027" w:rsidP="00EE1BD2">
      <w:pPr>
        <w:spacing w:line="480" w:lineRule="auto"/>
        <w:rPr>
          <w:rFonts w:ascii="Arial" w:hAnsi="Arial" w:cs="Arial"/>
        </w:rPr>
      </w:pPr>
      <w:r w:rsidRPr="00611F48">
        <w:rPr>
          <w:rFonts w:ascii="Arial" w:hAnsi="Arial" w:cs="Arial"/>
        </w:rPr>
        <w:t xml:space="preserve">Privilege disputes arising out of the giving of information notices (i.e. notices requiring a person to provide information or produce documents which an officer of Revenue and Customs reasonably requires to enable the officer to check </w:t>
      </w:r>
      <w:r w:rsidR="000A6AD4" w:rsidRPr="00611F48">
        <w:rPr>
          <w:rFonts w:ascii="Arial" w:hAnsi="Arial" w:cs="Arial"/>
        </w:rPr>
        <w:t xml:space="preserve">a </w:t>
      </w:r>
      <w:r w:rsidRPr="00611F48">
        <w:rPr>
          <w:rFonts w:ascii="Arial" w:hAnsi="Arial" w:cs="Arial"/>
        </w:rPr>
        <w:t>person</w:t>
      </w:r>
      <w:r w:rsidR="000A6AD4" w:rsidRPr="00611F48">
        <w:rPr>
          <w:rFonts w:ascii="Arial" w:hAnsi="Arial" w:cs="Arial"/>
        </w:rPr>
        <w:t>’s tax position</w:t>
      </w:r>
      <w:r w:rsidRPr="00611F48">
        <w:rPr>
          <w:rStyle w:val="FootnoteReference"/>
          <w:rFonts w:ascii="Arial" w:hAnsi="Arial" w:cs="Arial"/>
        </w:rPr>
        <w:footnoteReference w:id="83"/>
      </w:r>
      <w:r w:rsidRPr="00611F48">
        <w:rPr>
          <w:rFonts w:ascii="Arial" w:hAnsi="Arial" w:cs="Arial"/>
        </w:rPr>
        <w:t>)</w:t>
      </w:r>
      <w:r w:rsidR="000A6AD4" w:rsidRPr="00611F48">
        <w:rPr>
          <w:rFonts w:ascii="Arial" w:hAnsi="Arial" w:cs="Arial"/>
        </w:rPr>
        <w:t xml:space="preserve"> </w:t>
      </w:r>
      <w:r w:rsidRPr="00611F48">
        <w:rPr>
          <w:rFonts w:ascii="Arial" w:hAnsi="Arial" w:cs="Arial"/>
        </w:rPr>
        <w:t>are governed by The Information Notice: Resolution of Disputes as to Privileged Communications Regulations 2009</w:t>
      </w:r>
      <w:r w:rsidR="000A6AD4" w:rsidRPr="00611F48">
        <w:rPr>
          <w:rFonts w:ascii="Arial" w:hAnsi="Arial" w:cs="Arial"/>
        </w:rPr>
        <w:t xml:space="preserve">, which were made under Schedule 36 to the Finance Act </w:t>
      </w:r>
      <w:r w:rsidR="000A6AD4" w:rsidRPr="00611F48">
        <w:rPr>
          <w:rFonts w:ascii="Arial" w:hAnsi="Arial" w:cs="Arial"/>
        </w:rPr>
        <w:lastRenderedPageBreak/>
        <w:t>2008</w:t>
      </w:r>
      <w:r w:rsidRPr="00611F48">
        <w:rPr>
          <w:rFonts w:ascii="Arial" w:hAnsi="Arial" w:cs="Arial"/>
        </w:rPr>
        <w:t>.</w:t>
      </w:r>
      <w:r w:rsidR="000A6AD4" w:rsidRPr="00611F48">
        <w:rPr>
          <w:rStyle w:val="FootnoteReference"/>
          <w:rFonts w:ascii="Arial" w:hAnsi="Arial" w:cs="Arial"/>
        </w:rPr>
        <w:footnoteReference w:id="84"/>
      </w:r>
      <w:r w:rsidR="000A6AD4" w:rsidRPr="00611F48">
        <w:rPr>
          <w:rFonts w:ascii="Arial" w:hAnsi="Arial" w:cs="Arial"/>
        </w:rPr>
        <w:t xml:space="preserve"> P</w:t>
      </w:r>
      <w:r w:rsidR="00DE735A" w:rsidRPr="00611F48">
        <w:rPr>
          <w:rFonts w:ascii="Arial" w:hAnsi="Arial" w:cs="Arial"/>
        </w:rPr>
        <w:t xml:space="preserve">aragraph 23(1) of Schedule 36 </w:t>
      </w:r>
      <w:r w:rsidR="000A6AD4" w:rsidRPr="00611F48">
        <w:rPr>
          <w:rFonts w:ascii="Arial" w:hAnsi="Arial" w:cs="Arial"/>
        </w:rPr>
        <w:t xml:space="preserve">to the 2008 Act </w:t>
      </w:r>
      <w:r w:rsidR="00DE735A" w:rsidRPr="00611F48">
        <w:rPr>
          <w:rFonts w:ascii="Arial" w:hAnsi="Arial" w:cs="Arial"/>
        </w:rPr>
        <w:t xml:space="preserve">provides that an information notice neither requires a person to provide privileged information nor to produce any part of a privileged document. </w:t>
      </w:r>
      <w:r w:rsidR="00081F04" w:rsidRPr="00611F48">
        <w:rPr>
          <w:rFonts w:ascii="Arial" w:hAnsi="Arial" w:cs="Arial"/>
        </w:rPr>
        <w:t>Where</w:t>
      </w:r>
      <w:r w:rsidR="00F43BB8" w:rsidRPr="00611F48">
        <w:rPr>
          <w:rFonts w:ascii="Arial" w:hAnsi="Arial" w:cs="Arial"/>
        </w:rPr>
        <w:t xml:space="preserve"> a person </w:t>
      </w:r>
      <w:r w:rsidR="00F85399" w:rsidRPr="00611F48">
        <w:rPr>
          <w:rFonts w:ascii="Arial" w:hAnsi="Arial" w:cs="Arial"/>
        </w:rPr>
        <w:t xml:space="preserve">who </w:t>
      </w:r>
      <w:r w:rsidR="00F43BB8" w:rsidRPr="00611F48">
        <w:rPr>
          <w:rFonts w:ascii="Arial" w:hAnsi="Arial" w:cs="Arial"/>
        </w:rPr>
        <w:t xml:space="preserve">has been given </w:t>
      </w:r>
      <w:r w:rsidR="00AA12A6" w:rsidRPr="00611F48">
        <w:rPr>
          <w:rFonts w:ascii="Arial" w:hAnsi="Arial" w:cs="Arial"/>
        </w:rPr>
        <w:t>an information notice</w:t>
      </w:r>
      <w:r w:rsidR="00F43BB8" w:rsidRPr="00611F48">
        <w:rPr>
          <w:rFonts w:ascii="Arial" w:hAnsi="Arial" w:cs="Arial"/>
        </w:rPr>
        <w:t xml:space="preserve"> during the course of correspondence with an officer of Revenue and Customs</w:t>
      </w:r>
      <w:r w:rsidR="00F85399" w:rsidRPr="00611F48">
        <w:rPr>
          <w:rFonts w:ascii="Arial" w:hAnsi="Arial" w:cs="Arial"/>
        </w:rPr>
        <w:t xml:space="preserve"> applies to the Tribunal to have a privilege dispute resolved</w:t>
      </w:r>
      <w:r w:rsidR="00AA12A6" w:rsidRPr="00611F48">
        <w:rPr>
          <w:rFonts w:ascii="Arial" w:hAnsi="Arial" w:cs="Arial"/>
        </w:rPr>
        <w:t>,</w:t>
      </w:r>
      <w:r w:rsidR="00081F04" w:rsidRPr="00611F48">
        <w:rPr>
          <w:rFonts w:ascii="Arial" w:hAnsi="Arial" w:cs="Arial"/>
        </w:rPr>
        <w:t xml:space="preserve"> the </w:t>
      </w:r>
      <w:r w:rsidR="000A6AD4" w:rsidRPr="00611F48">
        <w:rPr>
          <w:rFonts w:ascii="Arial" w:hAnsi="Arial" w:cs="Arial"/>
        </w:rPr>
        <w:t xml:space="preserve">Regulations require the </w:t>
      </w:r>
      <w:r w:rsidR="000276F5" w:rsidRPr="00611F48">
        <w:rPr>
          <w:rFonts w:ascii="Arial" w:hAnsi="Arial" w:cs="Arial"/>
        </w:rPr>
        <w:t>person</w:t>
      </w:r>
      <w:r w:rsidR="00F43BB8" w:rsidRPr="00611F48">
        <w:rPr>
          <w:rFonts w:ascii="Arial" w:hAnsi="Arial" w:cs="Arial"/>
        </w:rPr>
        <w:t xml:space="preserve"> to include </w:t>
      </w:r>
      <w:r w:rsidR="000276F5" w:rsidRPr="00611F48">
        <w:rPr>
          <w:rFonts w:ascii="Arial" w:hAnsi="Arial" w:cs="Arial"/>
        </w:rPr>
        <w:t xml:space="preserve">copies of the </w:t>
      </w:r>
      <w:r w:rsidR="00F85399" w:rsidRPr="00611F48">
        <w:rPr>
          <w:rFonts w:ascii="Arial" w:hAnsi="Arial" w:cs="Arial"/>
        </w:rPr>
        <w:t xml:space="preserve">disputed </w:t>
      </w:r>
      <w:r w:rsidR="000276F5" w:rsidRPr="00611F48">
        <w:rPr>
          <w:rFonts w:ascii="Arial" w:hAnsi="Arial" w:cs="Arial"/>
        </w:rPr>
        <w:t>documents with the application</w:t>
      </w:r>
      <w:r w:rsidR="000276F5" w:rsidRPr="00611F48">
        <w:rPr>
          <w:rStyle w:val="FootnoteReference"/>
          <w:rFonts w:ascii="Arial" w:hAnsi="Arial" w:cs="Arial"/>
        </w:rPr>
        <w:footnoteReference w:id="85"/>
      </w:r>
      <w:r w:rsidR="000276F5" w:rsidRPr="00611F48">
        <w:rPr>
          <w:rFonts w:ascii="Arial" w:hAnsi="Arial" w:cs="Arial"/>
        </w:rPr>
        <w:t>.</w:t>
      </w:r>
      <w:r w:rsidR="00763C73">
        <w:rPr>
          <w:rFonts w:ascii="Arial" w:hAnsi="Arial" w:cs="Arial"/>
        </w:rPr>
        <w:t xml:space="preserve"> </w:t>
      </w:r>
      <w:r w:rsidR="00F85399" w:rsidRPr="00611F48">
        <w:rPr>
          <w:rFonts w:ascii="Arial" w:hAnsi="Arial" w:cs="Arial"/>
        </w:rPr>
        <w:t xml:space="preserve">If the information notice was given during an inspection </w:t>
      </w:r>
      <w:r w:rsidR="00531EE1" w:rsidRPr="00611F48">
        <w:rPr>
          <w:rFonts w:ascii="Arial" w:hAnsi="Arial" w:cs="Arial"/>
        </w:rPr>
        <w:t>of premises under Part 2 of Schedule 36, the documents are given to the officer in a sealed, labelled, signed and countersigned container which the offic</w:t>
      </w:r>
      <w:r w:rsidR="0094405A">
        <w:rPr>
          <w:rFonts w:ascii="Arial" w:hAnsi="Arial" w:cs="Arial"/>
        </w:rPr>
        <w:t>er delivers to the Tribunal with</w:t>
      </w:r>
      <w:r w:rsidR="00531EE1" w:rsidRPr="00611F48">
        <w:rPr>
          <w:rFonts w:ascii="Arial" w:hAnsi="Arial" w:cs="Arial"/>
        </w:rPr>
        <w:t xml:space="preserve"> the seal intact together with an application to have the dispute resolved. </w:t>
      </w:r>
      <w:r w:rsidR="00531EE1" w:rsidRPr="00611F48">
        <w:rPr>
          <w:rStyle w:val="FootnoteReference"/>
          <w:rFonts w:ascii="Arial" w:hAnsi="Arial" w:cs="Arial"/>
        </w:rPr>
        <w:footnoteReference w:id="86"/>
      </w:r>
      <w:r w:rsidR="00531EE1" w:rsidRPr="00611F48">
        <w:rPr>
          <w:rFonts w:ascii="Arial" w:hAnsi="Arial" w:cs="Arial"/>
        </w:rPr>
        <w:t xml:space="preserve"> In either case t</w:t>
      </w:r>
      <w:r w:rsidR="00C62964" w:rsidRPr="00611F48">
        <w:rPr>
          <w:rFonts w:ascii="Arial" w:hAnsi="Arial" w:cs="Arial"/>
        </w:rPr>
        <w:t xml:space="preserve">he Tribunal determines whether and to what extent the </w:t>
      </w:r>
      <w:proofErr w:type="gramStart"/>
      <w:r w:rsidR="00C62964" w:rsidRPr="00611F48">
        <w:rPr>
          <w:rFonts w:ascii="Arial" w:hAnsi="Arial" w:cs="Arial"/>
        </w:rPr>
        <w:t>documents are privileged</w:t>
      </w:r>
      <w:r w:rsidR="0094405A">
        <w:rPr>
          <w:rFonts w:ascii="Arial" w:hAnsi="Arial" w:cs="Arial"/>
        </w:rPr>
        <w:t>,</w:t>
      </w:r>
      <w:r w:rsidR="00C62964" w:rsidRPr="00611F48">
        <w:rPr>
          <w:rFonts w:ascii="Arial" w:hAnsi="Arial" w:cs="Arial"/>
        </w:rPr>
        <w:t xml:space="preserve"> and directs</w:t>
      </w:r>
      <w:proofErr w:type="gramEnd"/>
      <w:r w:rsidR="00C62964" w:rsidRPr="00611F48">
        <w:rPr>
          <w:rFonts w:ascii="Arial" w:hAnsi="Arial" w:cs="Arial"/>
        </w:rPr>
        <w:t xml:space="preserve"> which parts must be disclosed</w:t>
      </w:r>
      <w:r w:rsidR="0094405A">
        <w:rPr>
          <w:rFonts w:ascii="Arial" w:hAnsi="Arial" w:cs="Arial"/>
        </w:rPr>
        <w:t>,</w:t>
      </w:r>
      <w:r w:rsidR="00C62964" w:rsidRPr="00611F48">
        <w:rPr>
          <w:rFonts w:ascii="Arial" w:hAnsi="Arial" w:cs="Arial"/>
        </w:rPr>
        <w:t xml:space="preserve"> but must ensure that neither the documents nor copies thereof are inappropriately disclosed prior to the Tribunal determining their status.</w:t>
      </w:r>
      <w:r w:rsidR="00C62964" w:rsidRPr="00611F48">
        <w:rPr>
          <w:rStyle w:val="FootnoteReference"/>
          <w:rFonts w:ascii="Arial" w:hAnsi="Arial" w:cs="Arial"/>
        </w:rPr>
        <w:footnoteReference w:id="87"/>
      </w:r>
      <w:r w:rsidR="00CE2040" w:rsidRPr="00611F48">
        <w:rPr>
          <w:rFonts w:ascii="Arial" w:hAnsi="Arial" w:cs="Arial"/>
        </w:rPr>
        <w:t xml:space="preserve"> </w:t>
      </w:r>
    </w:p>
    <w:p w14:paraId="0AADA8F4" w14:textId="77777777" w:rsidR="0077594D" w:rsidRDefault="0077594D" w:rsidP="00EE1BD2">
      <w:pPr>
        <w:spacing w:line="480" w:lineRule="auto"/>
        <w:rPr>
          <w:rFonts w:ascii="Arial" w:hAnsi="Arial" w:cs="Arial"/>
        </w:rPr>
      </w:pPr>
    </w:p>
    <w:p w14:paraId="76FB404D" w14:textId="0F6158E8" w:rsidR="00691730" w:rsidRPr="00611F48" w:rsidRDefault="00CE2040" w:rsidP="00EE1BD2">
      <w:pPr>
        <w:spacing w:line="480" w:lineRule="auto"/>
        <w:rPr>
          <w:rFonts w:ascii="Arial" w:hAnsi="Arial" w:cs="Arial"/>
        </w:rPr>
      </w:pPr>
      <w:r w:rsidRPr="00611F48">
        <w:rPr>
          <w:rFonts w:ascii="Arial" w:hAnsi="Arial" w:cs="Arial"/>
        </w:rPr>
        <w:t>Reported decision</w:t>
      </w:r>
      <w:r w:rsidR="0094405A">
        <w:rPr>
          <w:rFonts w:ascii="Arial" w:hAnsi="Arial" w:cs="Arial"/>
        </w:rPr>
        <w:t>s</w:t>
      </w:r>
      <w:r w:rsidR="00311CC7">
        <w:rPr>
          <w:rFonts w:ascii="Arial" w:hAnsi="Arial" w:cs="Arial"/>
        </w:rPr>
        <w:t xml:space="preserve"> of the T</w:t>
      </w:r>
      <w:r w:rsidRPr="00611F48">
        <w:rPr>
          <w:rFonts w:ascii="Arial" w:hAnsi="Arial" w:cs="Arial"/>
        </w:rPr>
        <w:t>ribunal relating to claims of privilege in the context of information notices demonstrate that the Tribunal does inspect the privileged documents when determining whether all or part of them are privileged.</w:t>
      </w:r>
      <w:r w:rsidRPr="00611F48">
        <w:rPr>
          <w:rStyle w:val="FootnoteReference"/>
          <w:rFonts w:ascii="Arial" w:hAnsi="Arial" w:cs="Arial"/>
        </w:rPr>
        <w:footnoteReference w:id="88"/>
      </w:r>
      <w:r w:rsidR="00AA12A6" w:rsidRPr="00611F48">
        <w:rPr>
          <w:rFonts w:ascii="Arial" w:hAnsi="Arial" w:cs="Arial"/>
        </w:rPr>
        <w:t xml:space="preserve"> </w:t>
      </w:r>
      <w:r w:rsidR="00D82ABC" w:rsidRPr="00611F48">
        <w:rPr>
          <w:rFonts w:ascii="Arial" w:hAnsi="Arial" w:cs="Arial"/>
        </w:rPr>
        <w:t>Whether, as the Tribunal becomes accustomed to inspecting allegedly privileged documents in camera in the context of disputes arising out of the g</w:t>
      </w:r>
      <w:r w:rsidR="0094405A">
        <w:rPr>
          <w:rFonts w:ascii="Arial" w:hAnsi="Arial" w:cs="Arial"/>
        </w:rPr>
        <w:t>iving of information notices, i</w:t>
      </w:r>
      <w:r w:rsidR="00D82ABC" w:rsidRPr="00611F48">
        <w:rPr>
          <w:rFonts w:ascii="Arial" w:hAnsi="Arial" w:cs="Arial"/>
        </w:rPr>
        <w:t>t will also expect to conduct such inspections when privilege disputes arise in the context of tax appeals remains to be seen. A distinction that might be drawn in attempt</w:t>
      </w:r>
      <w:r w:rsidR="00C83FAD" w:rsidRPr="00611F48">
        <w:rPr>
          <w:rFonts w:ascii="Arial" w:hAnsi="Arial" w:cs="Arial"/>
        </w:rPr>
        <w:t>ing</w:t>
      </w:r>
      <w:r w:rsidR="00D82ABC" w:rsidRPr="00611F48">
        <w:rPr>
          <w:rFonts w:ascii="Arial" w:hAnsi="Arial" w:cs="Arial"/>
        </w:rPr>
        <w:t xml:space="preserve"> to justify a divergence in practice is that in the former context the tribunal’s role is that of determining an issue of privilege </w:t>
      </w:r>
      <w:r w:rsidR="00CB2783" w:rsidRPr="00611F48">
        <w:rPr>
          <w:rFonts w:ascii="Arial" w:hAnsi="Arial" w:cs="Arial"/>
        </w:rPr>
        <w:t xml:space="preserve">under regulations that specifically require the applicant to provide the Tribunal with copies of the allegedly </w:t>
      </w:r>
      <w:r w:rsidR="00CB2783" w:rsidRPr="00611F48">
        <w:rPr>
          <w:rFonts w:ascii="Arial" w:hAnsi="Arial" w:cs="Arial"/>
        </w:rPr>
        <w:lastRenderedPageBreak/>
        <w:t>privileged documents</w:t>
      </w:r>
      <w:r w:rsidR="0094405A">
        <w:rPr>
          <w:rFonts w:ascii="Arial" w:hAnsi="Arial" w:cs="Arial"/>
        </w:rPr>
        <w:t>,</w:t>
      </w:r>
      <w:r w:rsidR="00CB2783" w:rsidRPr="00611F48">
        <w:rPr>
          <w:rFonts w:ascii="Arial" w:hAnsi="Arial" w:cs="Arial"/>
        </w:rPr>
        <w:t xml:space="preserve"> </w:t>
      </w:r>
      <w:r w:rsidR="00D82ABC" w:rsidRPr="00611F48">
        <w:rPr>
          <w:rFonts w:ascii="Arial" w:hAnsi="Arial" w:cs="Arial"/>
        </w:rPr>
        <w:t xml:space="preserve">whereas in the latter context </w:t>
      </w:r>
      <w:r w:rsidR="00CB2783" w:rsidRPr="00611F48">
        <w:rPr>
          <w:rFonts w:ascii="Arial" w:hAnsi="Arial" w:cs="Arial"/>
        </w:rPr>
        <w:t xml:space="preserve">the issue of privilege will arise via a disclosure hearing in the context of a tax appeal under rules that do not impose such a specific </w:t>
      </w:r>
      <w:r w:rsidR="004435C7">
        <w:rPr>
          <w:rFonts w:ascii="Arial" w:hAnsi="Arial" w:cs="Arial"/>
        </w:rPr>
        <w:t>requirement. Logically,</w:t>
      </w:r>
      <w:r w:rsidR="00CB2783" w:rsidRPr="00611F48">
        <w:rPr>
          <w:rFonts w:ascii="Arial" w:hAnsi="Arial" w:cs="Arial"/>
        </w:rPr>
        <w:t xml:space="preserve"> it </w:t>
      </w:r>
      <w:r w:rsidR="00817439" w:rsidRPr="00611F48">
        <w:rPr>
          <w:rFonts w:ascii="Arial" w:hAnsi="Arial" w:cs="Arial"/>
        </w:rPr>
        <w:t>would</w:t>
      </w:r>
      <w:r w:rsidR="00CB2783" w:rsidRPr="00611F48">
        <w:rPr>
          <w:rFonts w:ascii="Arial" w:hAnsi="Arial" w:cs="Arial"/>
        </w:rPr>
        <w:t xml:space="preserve"> not seem to make sense for the information available to a Tribunal required to determine whether communications are privileged </w:t>
      </w:r>
      <w:r w:rsidR="00A22A69" w:rsidRPr="00611F48">
        <w:rPr>
          <w:rFonts w:ascii="Arial" w:hAnsi="Arial" w:cs="Arial"/>
        </w:rPr>
        <w:t xml:space="preserve">(i.e. whether that information does or does not include an inspection of the relevant documents themselves) </w:t>
      </w:r>
      <w:r w:rsidR="00CB2783" w:rsidRPr="00611F48">
        <w:rPr>
          <w:rFonts w:ascii="Arial" w:hAnsi="Arial" w:cs="Arial"/>
        </w:rPr>
        <w:t xml:space="preserve">to differ depending upon the procedural route via which the privilege dispute arrived before it. </w:t>
      </w:r>
    </w:p>
    <w:p w14:paraId="4103390E" w14:textId="77777777" w:rsidR="002A25B7" w:rsidRPr="00C604AF" w:rsidRDefault="004A32D6" w:rsidP="00EE1BD2">
      <w:pPr>
        <w:spacing w:line="480" w:lineRule="auto"/>
        <w:rPr>
          <w:rFonts w:ascii="Arial" w:hAnsi="Arial" w:cs="Arial"/>
        </w:rPr>
      </w:pPr>
      <w:r w:rsidRPr="00C604AF">
        <w:rPr>
          <w:rFonts w:ascii="Arial" w:hAnsi="Arial" w:cs="Arial"/>
          <w:b/>
          <w:bCs/>
        </w:rPr>
        <w:t xml:space="preserve">The </w:t>
      </w:r>
      <w:r w:rsidR="0023733B" w:rsidRPr="00C604AF">
        <w:rPr>
          <w:rFonts w:ascii="Arial" w:hAnsi="Arial" w:cs="Arial"/>
          <w:b/>
          <w:bCs/>
        </w:rPr>
        <w:t>Crime-</w:t>
      </w:r>
      <w:r w:rsidR="002A25B7" w:rsidRPr="00C604AF">
        <w:rPr>
          <w:rFonts w:ascii="Arial" w:hAnsi="Arial" w:cs="Arial"/>
          <w:b/>
          <w:bCs/>
        </w:rPr>
        <w:t>fraud exception in the United Sta</w:t>
      </w:r>
      <w:r w:rsidR="0023733B" w:rsidRPr="00C604AF">
        <w:rPr>
          <w:rFonts w:ascii="Arial" w:hAnsi="Arial" w:cs="Arial"/>
          <w:b/>
          <w:bCs/>
        </w:rPr>
        <w:t>tes for lawyers and tax practitioners</w:t>
      </w:r>
    </w:p>
    <w:p w14:paraId="33B0963E" w14:textId="4E103AC5" w:rsidR="00B2141C" w:rsidRDefault="0023733B" w:rsidP="00EE1BD2">
      <w:pPr>
        <w:pStyle w:val="Body"/>
        <w:spacing w:line="480" w:lineRule="auto"/>
        <w:rPr>
          <w:rFonts w:ascii="Arial" w:hAnsi="Arial" w:cs="Arial"/>
          <w:lang w:val="en-US"/>
        </w:rPr>
      </w:pPr>
      <w:r>
        <w:rPr>
          <w:rFonts w:ascii="Arial" w:hAnsi="Arial" w:cs="Arial"/>
        </w:rPr>
        <w:t>The crime-</w:t>
      </w:r>
      <w:r w:rsidR="002A25B7" w:rsidRPr="00611F48">
        <w:rPr>
          <w:rFonts w:ascii="Arial" w:hAnsi="Arial" w:cs="Arial"/>
        </w:rPr>
        <w:t xml:space="preserve">fraud </w:t>
      </w:r>
      <w:r w:rsidR="00D251FD">
        <w:rPr>
          <w:rFonts w:ascii="Arial" w:hAnsi="Arial" w:cs="Arial"/>
        </w:rPr>
        <w:t>exception to claims of attorney-</w:t>
      </w:r>
      <w:r w:rsidR="002A25B7" w:rsidRPr="00611F48">
        <w:rPr>
          <w:rFonts w:ascii="Arial" w:hAnsi="Arial" w:cs="Arial"/>
        </w:rPr>
        <w:t xml:space="preserve">client privilege is well </w:t>
      </w:r>
      <w:r w:rsidR="00907902" w:rsidRPr="00611F48">
        <w:rPr>
          <w:rFonts w:ascii="Arial" w:hAnsi="Arial" w:cs="Arial"/>
        </w:rPr>
        <w:t>established in the US.</w:t>
      </w:r>
      <w:r w:rsidR="002A25B7" w:rsidRPr="00611F48">
        <w:rPr>
          <w:rFonts w:ascii="Arial" w:eastAsia="Helvetica" w:hAnsi="Arial" w:cs="Arial"/>
          <w:vertAlign w:val="superscript"/>
        </w:rPr>
        <w:footnoteReference w:id="89"/>
      </w:r>
      <w:r w:rsidR="002A25B7" w:rsidRPr="00611F48">
        <w:rPr>
          <w:rFonts w:ascii="Arial" w:hAnsi="Arial" w:cs="Arial"/>
          <w:lang w:val="en-US"/>
        </w:rPr>
        <w:t xml:space="preserve"> </w:t>
      </w:r>
      <w:r w:rsidR="007E2901" w:rsidRPr="00611F48">
        <w:rPr>
          <w:rFonts w:ascii="Arial" w:hAnsi="Arial" w:cs="Arial"/>
          <w:lang w:val="en-US"/>
        </w:rPr>
        <w:t>The exception applies to both lega</w:t>
      </w:r>
      <w:r w:rsidR="00D251FD">
        <w:rPr>
          <w:rFonts w:ascii="Arial" w:hAnsi="Arial" w:cs="Arial"/>
          <w:lang w:val="en-US"/>
        </w:rPr>
        <w:t xml:space="preserve">l advice privilege and attorney-client work </w:t>
      </w:r>
      <w:r w:rsidR="007E2901" w:rsidRPr="00611F48">
        <w:rPr>
          <w:rFonts w:ascii="Arial" w:hAnsi="Arial" w:cs="Arial"/>
          <w:lang w:val="en-US"/>
        </w:rPr>
        <w:t>product privilege</w:t>
      </w:r>
      <w:r w:rsidR="00907902" w:rsidRPr="00611F48">
        <w:rPr>
          <w:rFonts w:ascii="Arial" w:hAnsi="Arial" w:cs="Arial"/>
          <w:lang w:val="en-US"/>
        </w:rPr>
        <w:t>.</w:t>
      </w:r>
      <w:r w:rsidR="007E2901" w:rsidRPr="00611F48">
        <w:rPr>
          <w:rStyle w:val="FootnoteReference"/>
          <w:rFonts w:ascii="Arial" w:hAnsi="Arial" w:cs="Arial"/>
          <w:lang w:val="en-US"/>
        </w:rPr>
        <w:footnoteReference w:id="90"/>
      </w:r>
      <w:r w:rsidR="00907902" w:rsidRPr="00611F48">
        <w:rPr>
          <w:rFonts w:ascii="Arial" w:hAnsi="Arial" w:cs="Arial"/>
          <w:lang w:val="en-US"/>
        </w:rPr>
        <w:t xml:space="preserve"> </w:t>
      </w:r>
      <w:r w:rsidR="002A25B7" w:rsidRPr="00611F48">
        <w:rPr>
          <w:rFonts w:ascii="Arial" w:hAnsi="Arial" w:cs="Arial"/>
          <w:lang w:val="en-US"/>
        </w:rPr>
        <w:t>In tracing the</w:t>
      </w:r>
      <w:r w:rsidR="00D547B5">
        <w:rPr>
          <w:rFonts w:ascii="Arial" w:hAnsi="Arial" w:cs="Arial"/>
          <w:lang w:val="en-US"/>
        </w:rPr>
        <w:t xml:space="preserve"> history of the crime-</w:t>
      </w:r>
      <w:r w:rsidR="002A25B7" w:rsidRPr="00611F48">
        <w:rPr>
          <w:rFonts w:ascii="Arial" w:hAnsi="Arial" w:cs="Arial"/>
          <w:lang w:val="en-US"/>
        </w:rPr>
        <w:t>fraud exception, Fried consider</w:t>
      </w:r>
      <w:r w:rsidR="00B2141C">
        <w:rPr>
          <w:rFonts w:ascii="Arial" w:hAnsi="Arial" w:cs="Arial"/>
          <w:lang w:val="en-US"/>
        </w:rPr>
        <w:t>ed</w:t>
      </w:r>
      <w:r w:rsidR="002A25B7" w:rsidRPr="00611F48">
        <w:rPr>
          <w:rFonts w:ascii="Arial" w:hAnsi="Arial" w:cs="Arial"/>
          <w:lang w:val="en-US"/>
        </w:rPr>
        <w:t xml:space="preserve"> the origins of the exception in English law and observe</w:t>
      </w:r>
      <w:r w:rsidR="00B2141C">
        <w:rPr>
          <w:rFonts w:ascii="Arial" w:hAnsi="Arial" w:cs="Arial"/>
          <w:lang w:val="en-US"/>
        </w:rPr>
        <w:t>d</w:t>
      </w:r>
      <w:r w:rsidR="002A25B7" w:rsidRPr="00611F48">
        <w:rPr>
          <w:rFonts w:ascii="Arial" w:hAnsi="Arial" w:cs="Arial"/>
          <w:lang w:val="en-US"/>
        </w:rPr>
        <w:t xml:space="preserve"> that</w:t>
      </w:r>
      <w:r w:rsidR="00907902" w:rsidRPr="00611F48">
        <w:rPr>
          <w:rFonts w:ascii="Arial" w:hAnsi="Arial" w:cs="Arial"/>
          <w:lang w:val="en-US"/>
        </w:rPr>
        <w:t xml:space="preserve">: </w:t>
      </w:r>
      <w:r w:rsidR="00C61342">
        <w:rPr>
          <w:rFonts w:ascii="Arial" w:hAnsi="Arial" w:cs="Arial"/>
          <w:lang w:val="en-US"/>
        </w:rPr>
        <w:t>“T</w:t>
      </w:r>
      <w:r w:rsidR="002A25B7" w:rsidRPr="00611F48">
        <w:rPr>
          <w:rFonts w:ascii="Arial" w:hAnsi="Arial" w:cs="Arial"/>
          <w:lang w:val="en-US"/>
        </w:rPr>
        <w:t>he subsequent development of the future crime or fraud exception to the attorney-client privilege has taken place almost en</w:t>
      </w:r>
      <w:r w:rsidR="00907902" w:rsidRPr="00611F48">
        <w:rPr>
          <w:rFonts w:ascii="Arial" w:hAnsi="Arial" w:cs="Arial"/>
          <w:lang w:val="en-US"/>
        </w:rPr>
        <w:t>tirely in the United States</w:t>
      </w:r>
      <w:r w:rsidR="00EE7848" w:rsidRPr="00611F48">
        <w:rPr>
          <w:rFonts w:ascii="Arial" w:hAnsi="Arial" w:cs="Arial"/>
          <w:lang w:val="en-US"/>
        </w:rPr>
        <w:t>.</w:t>
      </w:r>
      <w:r w:rsidR="00907902" w:rsidRPr="00611F48">
        <w:rPr>
          <w:rFonts w:ascii="Arial" w:hAnsi="Arial" w:cs="Arial"/>
          <w:lang w:val="en-US"/>
        </w:rPr>
        <w:t>”</w:t>
      </w:r>
      <w:r w:rsidR="002A25B7" w:rsidRPr="00611F48">
        <w:rPr>
          <w:rFonts w:ascii="Arial" w:eastAsia="Helvetica" w:hAnsi="Arial" w:cs="Arial"/>
          <w:vertAlign w:val="superscript"/>
        </w:rPr>
        <w:footnoteReference w:id="91"/>
      </w:r>
      <w:r w:rsidR="00907902" w:rsidRPr="00611F48">
        <w:rPr>
          <w:rFonts w:ascii="Arial" w:hAnsi="Arial" w:cs="Arial"/>
          <w:lang w:val="en-US"/>
        </w:rPr>
        <w:t xml:space="preserve"> </w:t>
      </w:r>
      <w:r w:rsidR="00B2141C">
        <w:rPr>
          <w:rFonts w:ascii="Arial" w:hAnsi="Arial" w:cs="Arial"/>
          <w:lang w:val="en-US"/>
        </w:rPr>
        <w:t xml:space="preserve">In reaching this conclusion, Fried referred </w:t>
      </w:r>
      <w:r w:rsidR="00907902" w:rsidRPr="00611F48">
        <w:rPr>
          <w:rFonts w:ascii="Arial" w:hAnsi="Arial" w:cs="Arial"/>
          <w:lang w:val="en-US"/>
        </w:rPr>
        <w:t xml:space="preserve">to: “The </w:t>
      </w:r>
      <w:r w:rsidR="002A25B7" w:rsidRPr="00611F48">
        <w:rPr>
          <w:rFonts w:ascii="Arial" w:hAnsi="Arial" w:cs="Arial"/>
          <w:lang w:val="en-US"/>
        </w:rPr>
        <w:t>pa</w:t>
      </w:r>
      <w:r w:rsidR="00907902" w:rsidRPr="00611F48">
        <w:rPr>
          <w:rFonts w:ascii="Arial" w:hAnsi="Arial" w:cs="Arial"/>
          <w:lang w:val="en-US"/>
        </w:rPr>
        <w:t>ucity of cases in Great Britain …</w:t>
      </w:r>
      <w:proofErr w:type="gramStart"/>
      <w:r w:rsidR="00907902" w:rsidRPr="00611F48">
        <w:rPr>
          <w:rFonts w:ascii="Arial" w:hAnsi="Arial" w:cs="Arial"/>
          <w:lang w:val="en-US"/>
        </w:rPr>
        <w:t>”.</w:t>
      </w:r>
      <w:proofErr w:type="gramEnd"/>
      <w:r w:rsidR="002A25B7" w:rsidRPr="00611F48">
        <w:rPr>
          <w:rFonts w:ascii="Arial" w:eastAsia="Helvetica" w:hAnsi="Arial" w:cs="Arial"/>
          <w:vertAlign w:val="superscript"/>
        </w:rPr>
        <w:footnoteReference w:id="92"/>
      </w:r>
      <w:r w:rsidR="00907902" w:rsidRPr="00611F48">
        <w:rPr>
          <w:rFonts w:ascii="Arial" w:hAnsi="Arial" w:cs="Arial"/>
        </w:rPr>
        <w:t xml:space="preserve"> </w:t>
      </w:r>
      <w:r w:rsidR="00B2141C">
        <w:rPr>
          <w:rFonts w:ascii="Arial" w:hAnsi="Arial" w:cs="Arial"/>
        </w:rPr>
        <w:t>To put his trans-Atlantic</w:t>
      </w:r>
      <w:r w:rsidR="004435C7">
        <w:rPr>
          <w:rFonts w:ascii="Arial" w:hAnsi="Arial" w:cs="Arial"/>
        </w:rPr>
        <w:t xml:space="preserve"> comparison in context,</w:t>
      </w:r>
      <w:r w:rsidR="00B2141C">
        <w:rPr>
          <w:rFonts w:ascii="Arial" w:hAnsi="Arial" w:cs="Arial"/>
        </w:rPr>
        <w:t xml:space="preserve"> it is important to note that </w:t>
      </w:r>
      <w:r w:rsidR="002A25B7" w:rsidRPr="00611F48">
        <w:rPr>
          <w:rFonts w:ascii="Arial" w:hAnsi="Arial" w:cs="Arial"/>
          <w:lang w:val="en-US"/>
        </w:rPr>
        <w:t>Fried was</w:t>
      </w:r>
      <w:r w:rsidR="00B2141C">
        <w:rPr>
          <w:rFonts w:ascii="Arial" w:hAnsi="Arial" w:cs="Arial"/>
          <w:lang w:val="en-US"/>
        </w:rPr>
        <w:t xml:space="preserve"> </w:t>
      </w:r>
      <w:r w:rsidR="002A25B7" w:rsidRPr="00611F48">
        <w:rPr>
          <w:rFonts w:ascii="Arial" w:hAnsi="Arial" w:cs="Arial"/>
          <w:lang w:val="en-US"/>
        </w:rPr>
        <w:t>writing in 1986</w:t>
      </w:r>
      <w:r w:rsidR="00A6377C" w:rsidRPr="00611F48">
        <w:rPr>
          <w:rFonts w:ascii="Arial" w:hAnsi="Arial" w:cs="Arial"/>
          <w:lang w:val="en-US"/>
        </w:rPr>
        <w:t xml:space="preserve">, </w:t>
      </w:r>
      <w:r w:rsidR="00B2141C">
        <w:rPr>
          <w:rFonts w:ascii="Arial" w:hAnsi="Arial" w:cs="Arial"/>
          <w:lang w:val="en-US"/>
        </w:rPr>
        <w:t xml:space="preserve">i.e. </w:t>
      </w:r>
      <w:r w:rsidR="00A6377C" w:rsidRPr="00611F48">
        <w:rPr>
          <w:rFonts w:ascii="Arial" w:hAnsi="Arial" w:cs="Arial"/>
          <w:lang w:val="en-US"/>
        </w:rPr>
        <w:t>prior to the expansion of the English doctrine through development of the concept of iniquity</w:t>
      </w:r>
      <w:r w:rsidR="002A25B7" w:rsidRPr="00611F48">
        <w:rPr>
          <w:rFonts w:ascii="Arial" w:hAnsi="Arial" w:cs="Arial"/>
          <w:lang w:val="en-US"/>
        </w:rPr>
        <w:t xml:space="preserve">. </w:t>
      </w:r>
    </w:p>
    <w:p w14:paraId="18809F4B" w14:textId="77777777" w:rsidR="001308B1" w:rsidRDefault="001308B1" w:rsidP="00EE1BD2">
      <w:pPr>
        <w:pStyle w:val="Body"/>
        <w:spacing w:line="480" w:lineRule="auto"/>
        <w:rPr>
          <w:rFonts w:ascii="Arial" w:hAnsi="Arial" w:cs="Arial"/>
          <w:lang w:val="en-US"/>
        </w:rPr>
      </w:pPr>
    </w:p>
    <w:p w14:paraId="196BC0C3" w14:textId="77777777" w:rsidR="002A25B7" w:rsidRPr="00611F48" w:rsidRDefault="002A25B7" w:rsidP="00EE1BD2">
      <w:pPr>
        <w:pStyle w:val="Body"/>
        <w:spacing w:line="480" w:lineRule="auto"/>
        <w:rPr>
          <w:rFonts w:ascii="Arial" w:hAnsi="Arial" w:cs="Arial"/>
        </w:rPr>
      </w:pPr>
      <w:r w:rsidRPr="00611F48">
        <w:rPr>
          <w:rFonts w:ascii="Arial" w:hAnsi="Arial" w:cs="Arial"/>
          <w:lang w:val="en-US"/>
        </w:rPr>
        <w:t xml:space="preserve">It is </w:t>
      </w:r>
      <w:r w:rsidR="004601AC">
        <w:rPr>
          <w:rFonts w:ascii="Arial" w:hAnsi="Arial" w:cs="Arial"/>
          <w:lang w:val="en-US"/>
        </w:rPr>
        <w:t>argued by a number of commentators</w:t>
      </w:r>
      <w:r w:rsidRPr="00611F48">
        <w:rPr>
          <w:rFonts w:ascii="Arial" w:hAnsi="Arial" w:cs="Arial"/>
          <w:lang w:val="en-US"/>
        </w:rPr>
        <w:t>, including Fried, that the exception has expanded si</w:t>
      </w:r>
      <w:r w:rsidR="00EA6031">
        <w:rPr>
          <w:rFonts w:ascii="Arial" w:hAnsi="Arial" w:cs="Arial"/>
          <w:lang w:val="en-US"/>
        </w:rPr>
        <w:t>gnificantly in the US</w:t>
      </w:r>
      <w:r w:rsidRPr="00611F48">
        <w:rPr>
          <w:rFonts w:ascii="Arial" w:hAnsi="Arial" w:cs="Arial"/>
          <w:lang w:val="en-US"/>
        </w:rPr>
        <w:t xml:space="preserve"> through a combination of the increasing </w:t>
      </w:r>
      <w:proofErr w:type="spellStart"/>
      <w:r w:rsidRPr="00611F48">
        <w:rPr>
          <w:rFonts w:ascii="Arial" w:hAnsi="Arial" w:cs="Arial"/>
          <w:lang w:val="en-US"/>
        </w:rPr>
        <w:t>criminalisation</w:t>
      </w:r>
      <w:proofErr w:type="spellEnd"/>
      <w:r w:rsidRPr="00611F48">
        <w:rPr>
          <w:rFonts w:ascii="Arial" w:hAnsi="Arial" w:cs="Arial"/>
          <w:lang w:val="en-US"/>
        </w:rPr>
        <w:t xml:space="preserve"> of corporate wrongdoing or breaches of administrative law in situations that would not amount to civil fraud, coupled with a lowering of the evidentiary standard required to establish the </w:t>
      </w:r>
      <w:r w:rsidRPr="00611F48">
        <w:rPr>
          <w:rFonts w:ascii="Arial" w:hAnsi="Arial" w:cs="Arial"/>
          <w:lang w:val="en-US"/>
        </w:rPr>
        <w:lastRenderedPageBreak/>
        <w:t>exception.</w:t>
      </w:r>
      <w:r w:rsidRPr="00611F48">
        <w:rPr>
          <w:rFonts w:ascii="Arial" w:eastAsia="Helvetica" w:hAnsi="Arial" w:cs="Arial"/>
          <w:vertAlign w:val="superscript"/>
        </w:rPr>
        <w:footnoteReference w:id="93"/>
      </w:r>
      <w:r w:rsidRPr="00611F48">
        <w:rPr>
          <w:rFonts w:ascii="Arial" w:hAnsi="Arial" w:cs="Arial"/>
          <w:lang w:val="en-US"/>
        </w:rPr>
        <w:t xml:space="preserve"> This expansion may</w:t>
      </w:r>
      <w:r w:rsidR="00C61342">
        <w:rPr>
          <w:rFonts w:ascii="Arial" w:hAnsi="Arial" w:cs="Arial"/>
          <w:lang w:val="en-US"/>
        </w:rPr>
        <w:t>,</w:t>
      </w:r>
      <w:r w:rsidRPr="00611F48">
        <w:rPr>
          <w:rFonts w:ascii="Arial" w:hAnsi="Arial" w:cs="Arial"/>
          <w:lang w:val="en-US"/>
        </w:rPr>
        <w:t xml:space="preserve"> in part</w:t>
      </w:r>
      <w:r w:rsidR="00C61342">
        <w:rPr>
          <w:rFonts w:ascii="Arial" w:hAnsi="Arial" w:cs="Arial"/>
          <w:lang w:val="en-US"/>
        </w:rPr>
        <w:t>,</w:t>
      </w:r>
      <w:r w:rsidRPr="00611F48">
        <w:rPr>
          <w:rFonts w:ascii="Arial" w:hAnsi="Arial" w:cs="Arial"/>
          <w:lang w:val="en-US"/>
        </w:rPr>
        <w:t xml:space="preserve"> explain</w:t>
      </w:r>
      <w:r w:rsidR="00A6377C" w:rsidRPr="00611F48">
        <w:rPr>
          <w:rFonts w:ascii="Arial" w:hAnsi="Arial" w:cs="Arial"/>
          <w:lang w:val="en-US"/>
        </w:rPr>
        <w:t xml:space="preserve"> the greater </w:t>
      </w:r>
      <w:proofErr w:type="spellStart"/>
      <w:r w:rsidR="002C21C0">
        <w:rPr>
          <w:rFonts w:ascii="Arial" w:hAnsi="Arial" w:cs="Arial"/>
          <w:lang w:val="en-US"/>
        </w:rPr>
        <w:t>utilisation</w:t>
      </w:r>
      <w:proofErr w:type="spellEnd"/>
      <w:r w:rsidR="002C21C0">
        <w:rPr>
          <w:rFonts w:ascii="Arial" w:hAnsi="Arial" w:cs="Arial"/>
          <w:lang w:val="en-US"/>
        </w:rPr>
        <w:t xml:space="preserve"> of the ex</w:t>
      </w:r>
      <w:r w:rsidR="001308B1">
        <w:rPr>
          <w:rFonts w:ascii="Arial" w:hAnsi="Arial" w:cs="Arial"/>
          <w:lang w:val="en-US"/>
        </w:rPr>
        <w:t xml:space="preserve">ception </w:t>
      </w:r>
      <w:r w:rsidR="00A6377C" w:rsidRPr="00611F48">
        <w:rPr>
          <w:rFonts w:ascii="Arial" w:hAnsi="Arial" w:cs="Arial"/>
          <w:lang w:val="en-US"/>
        </w:rPr>
        <w:t xml:space="preserve">in </w:t>
      </w:r>
      <w:r w:rsidR="00EA6031">
        <w:rPr>
          <w:rFonts w:ascii="Arial" w:hAnsi="Arial" w:cs="Arial"/>
          <w:lang w:val="en-US"/>
        </w:rPr>
        <w:t>the US</w:t>
      </w:r>
      <w:r w:rsidRPr="00611F48">
        <w:rPr>
          <w:rFonts w:ascii="Arial" w:hAnsi="Arial" w:cs="Arial"/>
          <w:lang w:val="en-US"/>
        </w:rPr>
        <w:t>.</w:t>
      </w:r>
      <w:r w:rsidR="00A4501E">
        <w:rPr>
          <w:rFonts w:ascii="Arial" w:hAnsi="Arial" w:cs="Arial"/>
          <w:lang w:val="en-US"/>
        </w:rPr>
        <w:t xml:space="preserve"> </w:t>
      </w:r>
      <w:r w:rsidR="00A4501E" w:rsidRPr="00D96F53">
        <w:rPr>
          <w:rFonts w:ascii="Arial" w:hAnsi="Arial" w:cs="Arial"/>
          <w:lang w:val="en-US"/>
        </w:rPr>
        <w:t xml:space="preserve">As was indicated above, the authors’ </w:t>
      </w:r>
      <w:r w:rsidR="002C21C0">
        <w:rPr>
          <w:rFonts w:ascii="Arial" w:hAnsi="Arial" w:cs="Arial"/>
          <w:lang w:val="en-US"/>
        </w:rPr>
        <w:t xml:space="preserve">primarily </w:t>
      </w:r>
      <w:r w:rsidR="00D547B5">
        <w:rPr>
          <w:rFonts w:ascii="Arial" w:hAnsi="Arial" w:cs="Arial"/>
          <w:lang w:val="en-US"/>
        </w:rPr>
        <w:t>attribute</w:t>
      </w:r>
      <w:r w:rsidR="00A4501E" w:rsidRPr="00D96F53">
        <w:rPr>
          <w:rFonts w:ascii="Arial" w:hAnsi="Arial" w:cs="Arial"/>
          <w:lang w:val="en-US"/>
        </w:rPr>
        <w:t xml:space="preserve"> the </w:t>
      </w:r>
      <w:r w:rsidR="002C21C0">
        <w:rPr>
          <w:rFonts w:ascii="Arial" w:hAnsi="Arial" w:cs="Arial"/>
          <w:lang w:val="en-US"/>
        </w:rPr>
        <w:t xml:space="preserve">limited utility of the exception </w:t>
      </w:r>
      <w:r w:rsidR="00A4501E" w:rsidRPr="00D96F53">
        <w:rPr>
          <w:rFonts w:ascii="Arial" w:hAnsi="Arial" w:cs="Arial"/>
          <w:lang w:val="en-US"/>
        </w:rPr>
        <w:t xml:space="preserve">in </w:t>
      </w:r>
      <w:r w:rsidR="002C21C0">
        <w:rPr>
          <w:rFonts w:ascii="Arial" w:hAnsi="Arial" w:cs="Arial"/>
          <w:lang w:val="en-US"/>
        </w:rPr>
        <w:t xml:space="preserve">England and Wales </w:t>
      </w:r>
      <w:r w:rsidR="00D547B5">
        <w:rPr>
          <w:rFonts w:ascii="Arial" w:hAnsi="Arial" w:cs="Arial"/>
          <w:lang w:val="en-US"/>
        </w:rPr>
        <w:t xml:space="preserve">to </w:t>
      </w:r>
      <w:r w:rsidR="00A4501E" w:rsidRPr="00D96F53">
        <w:rPr>
          <w:rFonts w:ascii="Arial" w:hAnsi="Arial" w:cs="Arial"/>
          <w:lang w:val="en-US"/>
        </w:rPr>
        <w:t xml:space="preserve">judicial reluctance to engage in in camera review of privileged material. In contrast, as is demonstrated below, </w:t>
      </w:r>
      <w:r w:rsidR="0097481D" w:rsidRPr="00D96F53">
        <w:rPr>
          <w:rFonts w:ascii="Arial" w:hAnsi="Arial" w:cs="Arial"/>
          <w:lang w:val="en-US"/>
        </w:rPr>
        <w:t>the US courts are much more ready to examine allegedly privileged material in camera. This approach must clearly encourage greater use of the crime-fraud exception by the IRS</w:t>
      </w:r>
      <w:r w:rsidR="002C21C0">
        <w:rPr>
          <w:rFonts w:ascii="Arial" w:hAnsi="Arial" w:cs="Arial"/>
          <w:lang w:val="en-US"/>
        </w:rPr>
        <w:t xml:space="preserve"> than by HMRC</w:t>
      </w:r>
      <w:r w:rsidR="0097481D" w:rsidRPr="00D96F53">
        <w:rPr>
          <w:rFonts w:ascii="Arial" w:hAnsi="Arial" w:cs="Arial"/>
          <w:lang w:val="en-US"/>
        </w:rPr>
        <w:t>.</w:t>
      </w:r>
    </w:p>
    <w:p w14:paraId="55CEBB60" w14:textId="77777777" w:rsidR="002A25B7" w:rsidRPr="00611F48" w:rsidRDefault="002A25B7" w:rsidP="00EE1BD2">
      <w:pPr>
        <w:pStyle w:val="Body"/>
        <w:spacing w:line="480" w:lineRule="auto"/>
        <w:rPr>
          <w:rFonts w:ascii="Arial" w:hAnsi="Arial" w:cs="Arial"/>
        </w:rPr>
      </w:pPr>
    </w:p>
    <w:p w14:paraId="65EC8851" w14:textId="6FB30C36" w:rsidR="006B4CD4" w:rsidRDefault="002A25B7" w:rsidP="00EE1BD2">
      <w:pPr>
        <w:pStyle w:val="Body"/>
        <w:spacing w:line="480" w:lineRule="auto"/>
        <w:rPr>
          <w:rFonts w:ascii="Arial" w:hAnsi="Arial" w:cs="Arial"/>
          <w:lang w:val="en-US"/>
        </w:rPr>
      </w:pPr>
      <w:r w:rsidRPr="00611F48">
        <w:rPr>
          <w:rFonts w:ascii="Arial" w:hAnsi="Arial" w:cs="Arial"/>
          <w:lang w:val="en-US"/>
        </w:rPr>
        <w:t>The exception does not encompass past wrongdoing - it is limited to ongoing or future illicit activities</w:t>
      </w:r>
      <w:r w:rsidR="00763C73" w:rsidRPr="00611F48">
        <w:rPr>
          <w:rFonts w:ascii="Arial" w:eastAsia="Helvetica" w:hAnsi="Arial" w:cs="Arial"/>
          <w:vertAlign w:val="superscript"/>
        </w:rPr>
        <w:footnoteReference w:id="94"/>
      </w:r>
      <w:r w:rsidR="00ED57BB">
        <w:rPr>
          <w:rFonts w:ascii="Arial" w:hAnsi="Arial" w:cs="Arial"/>
          <w:lang w:val="en-US"/>
        </w:rPr>
        <w:t>.</w:t>
      </w:r>
      <w:r w:rsidR="00243BE3" w:rsidRPr="00611F48">
        <w:rPr>
          <w:rFonts w:ascii="Arial" w:hAnsi="Arial" w:cs="Arial"/>
          <w:lang w:val="en-US"/>
        </w:rPr>
        <w:t xml:space="preserve"> </w:t>
      </w:r>
      <w:r w:rsidR="0022778E">
        <w:rPr>
          <w:rFonts w:ascii="Arial" w:hAnsi="Arial" w:cs="Arial"/>
          <w:lang w:val="en-US"/>
        </w:rPr>
        <w:t>When considering</w:t>
      </w:r>
      <w:r w:rsidRPr="00611F48">
        <w:rPr>
          <w:rFonts w:ascii="Arial" w:hAnsi="Arial" w:cs="Arial"/>
          <w:lang w:val="en-US"/>
        </w:rPr>
        <w:t xml:space="preserve"> the operation of the exception, the importance of the client's intent when seeking legal advice is difficult to pin down. One could argue that, where a client sought legal advice and </w:t>
      </w:r>
      <w:r w:rsidRPr="00611F48">
        <w:rPr>
          <w:rFonts w:ascii="Arial" w:hAnsi="Arial" w:cs="Arial"/>
          <w:i/>
          <w:iCs/>
          <w:lang w:val="en-US"/>
        </w:rPr>
        <w:t>at the time</w:t>
      </w:r>
      <w:r w:rsidRPr="00611F48">
        <w:rPr>
          <w:rFonts w:ascii="Arial" w:hAnsi="Arial" w:cs="Arial"/>
          <w:lang w:val="en-US"/>
        </w:rPr>
        <w:t xml:space="preserve"> had no intent to commit a crime or fraud but later did so, </w:t>
      </w:r>
      <w:proofErr w:type="gramStart"/>
      <w:r w:rsidRPr="00611F48">
        <w:rPr>
          <w:rFonts w:ascii="Arial" w:hAnsi="Arial" w:cs="Arial"/>
          <w:lang w:val="en-US"/>
        </w:rPr>
        <w:t>then</w:t>
      </w:r>
      <w:proofErr w:type="gramEnd"/>
      <w:r w:rsidRPr="00611F48">
        <w:rPr>
          <w:rFonts w:ascii="Arial" w:hAnsi="Arial" w:cs="Arial"/>
          <w:lang w:val="en-US"/>
        </w:rPr>
        <w:t xml:space="preserve"> the exception should not apply. This would be the case even though the advice may in some way be relevant to the crime or fraud later committed. A similar hypothetical point was made in</w:t>
      </w:r>
      <w:r w:rsidR="00243BE3" w:rsidRPr="00611F48">
        <w:rPr>
          <w:rFonts w:ascii="Arial" w:hAnsi="Arial" w:cs="Arial"/>
          <w:lang w:val="en-US"/>
        </w:rPr>
        <w:t xml:space="preserve"> </w:t>
      </w:r>
      <w:r w:rsidR="00352574" w:rsidRPr="00611F48">
        <w:rPr>
          <w:rFonts w:ascii="Arial" w:hAnsi="Arial" w:cs="Arial"/>
          <w:i/>
          <w:lang w:val="en-US"/>
        </w:rPr>
        <w:t>In</w:t>
      </w:r>
      <w:r w:rsidR="00352574" w:rsidRPr="00611F48">
        <w:rPr>
          <w:rFonts w:ascii="Arial" w:hAnsi="Arial" w:cs="Arial"/>
          <w:lang w:val="en-US"/>
        </w:rPr>
        <w:t xml:space="preserve"> </w:t>
      </w:r>
      <w:r w:rsidRPr="00611F48">
        <w:rPr>
          <w:rFonts w:ascii="Arial" w:hAnsi="Arial" w:cs="Arial"/>
          <w:i/>
          <w:lang w:val="en-US"/>
        </w:rPr>
        <w:t>Re</w:t>
      </w:r>
      <w:r w:rsidR="00352574" w:rsidRPr="00611F48">
        <w:rPr>
          <w:rFonts w:ascii="Arial" w:hAnsi="Arial" w:cs="Arial"/>
          <w:i/>
          <w:lang w:val="en-US"/>
        </w:rPr>
        <w:t>:</w:t>
      </w:r>
      <w:r w:rsidRPr="00611F48">
        <w:rPr>
          <w:rFonts w:ascii="Arial" w:hAnsi="Arial" w:cs="Arial"/>
          <w:i/>
          <w:lang w:val="en-US"/>
        </w:rPr>
        <w:t xml:space="preserve"> Grand Jury Subpoena</w:t>
      </w:r>
      <w:r w:rsidRPr="00611F48">
        <w:rPr>
          <w:rFonts w:ascii="Arial" w:hAnsi="Arial" w:cs="Arial"/>
          <w:lang w:val="en-US"/>
        </w:rPr>
        <w:t>.</w:t>
      </w:r>
      <w:r w:rsidRPr="00611F48">
        <w:rPr>
          <w:rFonts w:ascii="Arial" w:eastAsia="Helvetica" w:hAnsi="Arial" w:cs="Arial"/>
          <w:vertAlign w:val="superscript"/>
        </w:rPr>
        <w:footnoteReference w:id="95"/>
      </w:r>
      <w:r w:rsidRPr="00611F48">
        <w:rPr>
          <w:rFonts w:ascii="Arial" w:hAnsi="Arial" w:cs="Arial"/>
          <w:lang w:val="en-US"/>
        </w:rPr>
        <w:t xml:space="preserve"> However, establishing the intent of the client when advice is sought is particularly difficult because of what Gerso</w:t>
      </w:r>
      <w:r w:rsidR="00E2219D" w:rsidRPr="00611F48">
        <w:rPr>
          <w:rFonts w:ascii="Arial" w:hAnsi="Arial" w:cs="Arial"/>
          <w:lang w:val="en-US"/>
        </w:rPr>
        <w:t xml:space="preserve">n and </w:t>
      </w:r>
      <w:proofErr w:type="spellStart"/>
      <w:r w:rsidR="00E2219D" w:rsidRPr="00611F48">
        <w:rPr>
          <w:rFonts w:ascii="Arial" w:hAnsi="Arial" w:cs="Arial"/>
          <w:lang w:val="en-US"/>
        </w:rPr>
        <w:t>Gladieux</w:t>
      </w:r>
      <w:proofErr w:type="spellEnd"/>
      <w:r w:rsidR="00E2219D" w:rsidRPr="00611F48">
        <w:rPr>
          <w:rFonts w:ascii="Arial" w:hAnsi="Arial" w:cs="Arial"/>
          <w:lang w:val="en-US"/>
        </w:rPr>
        <w:t xml:space="preserve"> describe as the “inherent </w:t>
      </w:r>
      <w:r w:rsidR="00E2219D" w:rsidRPr="00611F48">
        <w:rPr>
          <w:rFonts w:ascii="Arial" w:hAnsi="Arial" w:cs="Arial"/>
          <w:i/>
          <w:lang w:val="en-US"/>
        </w:rPr>
        <w:t>post-hoc</w:t>
      </w:r>
      <w:r w:rsidR="00E2219D" w:rsidRPr="00611F48">
        <w:rPr>
          <w:rFonts w:ascii="Arial" w:hAnsi="Arial" w:cs="Arial"/>
          <w:lang w:val="en-US"/>
        </w:rPr>
        <w:t xml:space="preserve"> nature”</w:t>
      </w:r>
      <w:r w:rsidRPr="00611F48">
        <w:rPr>
          <w:rFonts w:ascii="Arial" w:eastAsia="Helvetica" w:hAnsi="Arial" w:cs="Arial"/>
          <w:vertAlign w:val="superscript"/>
        </w:rPr>
        <w:footnoteReference w:id="96"/>
      </w:r>
      <w:r w:rsidRPr="00611F48">
        <w:rPr>
          <w:rFonts w:ascii="Arial" w:hAnsi="Arial" w:cs="Arial"/>
          <w:lang w:val="en-US"/>
        </w:rPr>
        <w:t xml:space="preserve"> of the exception. Inevitably, the obvious difficulty in establishing intent is solved by finding sufficient evidence that a crime has been committed or a fraud perpetrated to meet the threshold for further enquiry into the application of the exception.  </w:t>
      </w:r>
      <w:r w:rsidR="004100BF">
        <w:rPr>
          <w:rFonts w:ascii="Arial" w:hAnsi="Arial" w:cs="Arial"/>
          <w:lang w:val="en-US"/>
        </w:rPr>
        <w:t xml:space="preserve">Arguably, a </w:t>
      </w:r>
      <w:r w:rsidR="004100BF" w:rsidRPr="00611F48">
        <w:rPr>
          <w:rFonts w:ascii="Arial" w:hAnsi="Arial" w:cs="Arial"/>
          <w:lang w:val="en-US"/>
        </w:rPr>
        <w:t>range of approaches towards intent are evident</w:t>
      </w:r>
      <w:r w:rsidR="004100BF">
        <w:rPr>
          <w:rFonts w:ascii="Arial" w:hAnsi="Arial" w:cs="Arial"/>
          <w:lang w:val="en-US"/>
        </w:rPr>
        <w:t>.</w:t>
      </w:r>
      <w:r w:rsidR="004100BF" w:rsidRPr="00611F48">
        <w:rPr>
          <w:rFonts w:ascii="Arial" w:hAnsi="Arial" w:cs="Arial"/>
          <w:lang w:val="en-US"/>
        </w:rPr>
        <w:t xml:space="preserve"> </w:t>
      </w:r>
      <w:r w:rsidRPr="00611F48">
        <w:rPr>
          <w:rFonts w:ascii="Arial" w:hAnsi="Arial" w:cs="Arial"/>
          <w:lang w:val="en-US"/>
        </w:rPr>
        <w:t xml:space="preserve">It has been suggested that </w:t>
      </w:r>
      <w:r w:rsidR="007901EB">
        <w:rPr>
          <w:rFonts w:ascii="Arial" w:hAnsi="Arial" w:cs="Arial"/>
          <w:lang w:val="en-US"/>
        </w:rPr>
        <w:t>the exception ha</w:t>
      </w:r>
      <w:r w:rsidR="004100BF">
        <w:rPr>
          <w:rFonts w:ascii="Arial" w:hAnsi="Arial" w:cs="Arial"/>
          <w:lang w:val="en-US"/>
        </w:rPr>
        <w:t>s</w:t>
      </w:r>
      <w:r w:rsidR="007901EB">
        <w:rPr>
          <w:rFonts w:ascii="Arial" w:hAnsi="Arial" w:cs="Arial"/>
          <w:lang w:val="en-US"/>
        </w:rPr>
        <w:t xml:space="preserve"> expanded to include situations where, although the client may not have had criminal intent when seeking legal advice, a crime was later committed.</w:t>
      </w:r>
      <w:r w:rsidRPr="00611F48">
        <w:rPr>
          <w:rFonts w:ascii="Arial" w:eastAsia="Helvetica" w:hAnsi="Arial" w:cs="Arial"/>
          <w:vertAlign w:val="superscript"/>
        </w:rPr>
        <w:footnoteReference w:id="97"/>
      </w:r>
      <w:r w:rsidRPr="00611F48">
        <w:rPr>
          <w:rFonts w:ascii="Arial" w:hAnsi="Arial" w:cs="Arial"/>
          <w:lang w:val="en-US"/>
        </w:rPr>
        <w:t xml:space="preserve"> Conversely, in </w:t>
      </w:r>
      <w:r w:rsidRPr="00611F48">
        <w:rPr>
          <w:rFonts w:ascii="Arial" w:hAnsi="Arial" w:cs="Arial"/>
          <w:i/>
          <w:lang w:val="en-US"/>
        </w:rPr>
        <w:t>Marc Rich</w:t>
      </w:r>
      <w:r w:rsidR="00695BAE" w:rsidRPr="00611F48">
        <w:rPr>
          <w:rFonts w:ascii="Arial" w:hAnsi="Arial" w:cs="Arial"/>
          <w:i/>
          <w:lang w:val="en-US"/>
        </w:rPr>
        <w:t xml:space="preserve"> &amp; Co. </w:t>
      </w:r>
      <w:r w:rsidR="00CB0D88" w:rsidRPr="00611F48">
        <w:rPr>
          <w:rFonts w:ascii="Arial" w:hAnsi="Arial" w:cs="Arial"/>
          <w:i/>
          <w:lang w:val="en-US"/>
        </w:rPr>
        <w:t xml:space="preserve">A.G. </w:t>
      </w:r>
      <w:proofErr w:type="gramStart"/>
      <w:r w:rsidR="00CB0D88" w:rsidRPr="00611F48">
        <w:rPr>
          <w:rFonts w:ascii="Arial" w:hAnsi="Arial" w:cs="Arial"/>
          <w:i/>
          <w:lang w:val="en-US"/>
        </w:rPr>
        <w:t>v</w:t>
      </w:r>
      <w:proofErr w:type="gramEnd"/>
      <w:r w:rsidR="00CB0D88" w:rsidRPr="00611F48">
        <w:rPr>
          <w:rFonts w:ascii="Arial" w:hAnsi="Arial" w:cs="Arial"/>
          <w:i/>
          <w:lang w:val="en-US"/>
        </w:rPr>
        <w:t xml:space="preserve"> United States of America</w:t>
      </w:r>
      <w:r w:rsidR="007901EB">
        <w:rPr>
          <w:rFonts w:ascii="Arial" w:hAnsi="Arial" w:cs="Arial"/>
          <w:i/>
          <w:lang w:val="en-US"/>
        </w:rPr>
        <w:t xml:space="preserve"> </w:t>
      </w:r>
      <w:r w:rsidR="00CB0D88" w:rsidRPr="00611F48">
        <w:rPr>
          <w:rFonts w:ascii="Arial" w:hAnsi="Arial" w:cs="Arial"/>
          <w:i/>
          <w:lang w:val="en-US"/>
        </w:rPr>
        <w:t>(Marc Rich)</w:t>
      </w:r>
      <w:r w:rsidR="00E2219D" w:rsidRPr="00611F48">
        <w:rPr>
          <w:rFonts w:ascii="Arial" w:hAnsi="Arial" w:cs="Arial"/>
          <w:lang w:val="en-US"/>
        </w:rPr>
        <w:t>,</w:t>
      </w:r>
      <w:r w:rsidR="00EE7848" w:rsidRPr="00611F48">
        <w:rPr>
          <w:rFonts w:ascii="Arial" w:hAnsi="Arial" w:cs="Arial"/>
          <w:lang w:val="en-US"/>
        </w:rPr>
        <w:t xml:space="preserve"> </w:t>
      </w:r>
      <w:r w:rsidRPr="00611F48">
        <w:rPr>
          <w:rFonts w:ascii="Arial" w:hAnsi="Arial" w:cs="Arial"/>
          <w:lang w:val="en-US"/>
        </w:rPr>
        <w:t>the court's view was that</w:t>
      </w:r>
      <w:r w:rsidR="00B70E52" w:rsidRPr="00611F48">
        <w:rPr>
          <w:rFonts w:ascii="Arial" w:hAnsi="Arial" w:cs="Arial"/>
          <w:lang w:val="en-US"/>
        </w:rPr>
        <w:t xml:space="preserve">: </w:t>
      </w:r>
      <w:r w:rsidR="00B70E52" w:rsidRPr="00611F48">
        <w:rPr>
          <w:rFonts w:ascii="Arial" w:hAnsi="Arial" w:cs="Arial"/>
          <w:lang w:val="en-US"/>
        </w:rPr>
        <w:lastRenderedPageBreak/>
        <w:t>“</w:t>
      </w:r>
      <w:r w:rsidRPr="00611F48">
        <w:rPr>
          <w:rFonts w:ascii="Arial" w:hAnsi="Arial" w:cs="Arial"/>
          <w:lang w:val="en-US"/>
        </w:rPr>
        <w:t>The crime or fraud need not have occurred for the exception to be applicable; it need only have been the objective of the client's</w:t>
      </w:r>
      <w:r w:rsidR="00B70E52" w:rsidRPr="00611F48">
        <w:rPr>
          <w:rFonts w:ascii="Arial" w:hAnsi="Arial" w:cs="Arial"/>
          <w:lang w:val="en-US"/>
        </w:rPr>
        <w:t xml:space="preserve"> communication.”</w:t>
      </w:r>
      <w:r w:rsidRPr="00611F48">
        <w:rPr>
          <w:rFonts w:ascii="Arial" w:eastAsia="Helvetica" w:hAnsi="Arial" w:cs="Arial"/>
          <w:vertAlign w:val="superscript"/>
        </w:rPr>
        <w:footnoteReference w:id="98"/>
      </w:r>
      <w:r w:rsidRPr="00611F48">
        <w:rPr>
          <w:rFonts w:ascii="Arial" w:hAnsi="Arial" w:cs="Arial"/>
          <w:lang w:val="en-US"/>
        </w:rPr>
        <w:t xml:space="preserve"> </w:t>
      </w:r>
      <w:r w:rsidR="004100BF">
        <w:rPr>
          <w:rFonts w:ascii="Arial" w:hAnsi="Arial" w:cs="Arial"/>
          <w:iCs/>
          <w:lang w:val="en-US"/>
        </w:rPr>
        <w:t>I</w:t>
      </w:r>
      <w:r w:rsidR="004868FD" w:rsidRPr="00611F48">
        <w:rPr>
          <w:rFonts w:ascii="Arial" w:hAnsi="Arial" w:cs="Arial"/>
          <w:lang w:val="en-US"/>
        </w:rPr>
        <w:t xml:space="preserve">n </w:t>
      </w:r>
      <w:r w:rsidR="004868FD" w:rsidRPr="00611F48">
        <w:rPr>
          <w:rFonts w:ascii="Arial" w:hAnsi="Arial" w:cs="Arial"/>
          <w:i/>
          <w:lang w:val="en-US"/>
        </w:rPr>
        <w:t xml:space="preserve">In </w:t>
      </w:r>
      <w:r w:rsidRPr="00611F48">
        <w:rPr>
          <w:rFonts w:ascii="Arial" w:hAnsi="Arial" w:cs="Arial"/>
          <w:i/>
          <w:lang w:val="en-US"/>
        </w:rPr>
        <w:t>Re</w:t>
      </w:r>
      <w:r w:rsidR="004868FD" w:rsidRPr="00611F48">
        <w:rPr>
          <w:rFonts w:ascii="Arial" w:hAnsi="Arial" w:cs="Arial"/>
          <w:i/>
          <w:lang w:val="en-US"/>
        </w:rPr>
        <w:t>:</w:t>
      </w:r>
      <w:r w:rsidRPr="00611F48">
        <w:rPr>
          <w:rFonts w:ascii="Arial" w:hAnsi="Arial" w:cs="Arial"/>
          <w:i/>
          <w:lang w:val="en-US"/>
        </w:rPr>
        <w:t xml:space="preserve"> Grand Jury Investigation, Glen </w:t>
      </w:r>
      <w:proofErr w:type="spellStart"/>
      <w:r w:rsidRPr="00611F48">
        <w:rPr>
          <w:rFonts w:ascii="Arial" w:hAnsi="Arial" w:cs="Arial"/>
          <w:i/>
          <w:lang w:val="en-US"/>
        </w:rPr>
        <w:t>J.Shroeder</w:t>
      </w:r>
      <w:proofErr w:type="spellEnd"/>
      <w:r w:rsidR="004868FD" w:rsidRPr="00611F48">
        <w:rPr>
          <w:rFonts w:ascii="Arial" w:hAnsi="Arial" w:cs="Arial"/>
          <w:i/>
          <w:lang w:val="en-US"/>
        </w:rPr>
        <w:t>,</w:t>
      </w:r>
      <w:r w:rsidRPr="00611F48">
        <w:rPr>
          <w:rFonts w:ascii="Arial" w:hAnsi="Arial" w:cs="Arial"/>
          <w:i/>
          <w:lang w:val="en-US"/>
        </w:rPr>
        <w:t xml:space="preserve"> Jr</w:t>
      </w:r>
      <w:r w:rsidR="004868FD" w:rsidRPr="00611F48">
        <w:rPr>
          <w:rFonts w:ascii="Arial" w:hAnsi="Arial" w:cs="Arial"/>
          <w:lang w:val="en-US"/>
        </w:rPr>
        <w:t>.</w:t>
      </w:r>
      <w:r w:rsidR="00137C9C" w:rsidRPr="00611F48">
        <w:rPr>
          <w:rFonts w:ascii="Arial" w:hAnsi="Arial" w:cs="Arial"/>
          <w:lang w:val="en-US"/>
        </w:rPr>
        <w:t>,</w:t>
      </w:r>
      <w:r w:rsidR="00CB0D88" w:rsidRPr="00611F48">
        <w:rPr>
          <w:rFonts w:ascii="Arial" w:hAnsi="Arial" w:cs="Arial"/>
          <w:i/>
          <w:lang w:val="en-US"/>
        </w:rPr>
        <w:t>(</w:t>
      </w:r>
      <w:proofErr w:type="spellStart"/>
      <w:r w:rsidR="00CB0D88" w:rsidRPr="00611F48">
        <w:rPr>
          <w:rFonts w:ascii="Arial" w:hAnsi="Arial" w:cs="Arial"/>
          <w:i/>
          <w:lang w:val="en-US"/>
        </w:rPr>
        <w:t>Shroeder</w:t>
      </w:r>
      <w:proofErr w:type="spellEnd"/>
      <w:r w:rsidR="00CB0D88" w:rsidRPr="00611F48">
        <w:rPr>
          <w:rFonts w:ascii="Arial" w:hAnsi="Arial" w:cs="Arial"/>
          <w:i/>
          <w:lang w:val="en-US"/>
        </w:rPr>
        <w:t>)</w:t>
      </w:r>
      <w:r w:rsidRPr="00611F48">
        <w:rPr>
          <w:rFonts w:ascii="Arial" w:eastAsia="Helvetica" w:hAnsi="Arial" w:cs="Arial"/>
          <w:vertAlign w:val="superscript"/>
        </w:rPr>
        <w:footnoteReference w:id="99"/>
      </w:r>
      <w:r w:rsidR="00137C9C" w:rsidRPr="00611F48">
        <w:rPr>
          <w:rFonts w:ascii="Arial" w:hAnsi="Arial" w:cs="Arial"/>
          <w:lang w:val="en-US"/>
        </w:rPr>
        <w:t xml:space="preserve"> </w:t>
      </w:r>
      <w:r w:rsidR="004868FD" w:rsidRPr="00611F48">
        <w:rPr>
          <w:rFonts w:ascii="Arial" w:hAnsi="Arial" w:cs="Arial"/>
          <w:lang w:val="en-US"/>
        </w:rPr>
        <w:t xml:space="preserve"> the court identified, as the </w:t>
      </w:r>
      <w:r w:rsidRPr="00611F48">
        <w:rPr>
          <w:rFonts w:ascii="Arial" w:hAnsi="Arial" w:cs="Arial"/>
          <w:lang w:val="en-US"/>
        </w:rPr>
        <w:t>second par</w:t>
      </w:r>
      <w:r w:rsidR="004868FD" w:rsidRPr="00611F48">
        <w:rPr>
          <w:rFonts w:ascii="Arial" w:hAnsi="Arial" w:cs="Arial"/>
          <w:lang w:val="en-US"/>
        </w:rPr>
        <w:t>t of a test used</w:t>
      </w:r>
      <w:r w:rsidRPr="00611F48">
        <w:rPr>
          <w:rFonts w:ascii="Arial" w:hAnsi="Arial" w:cs="Arial"/>
          <w:lang w:val="en-US"/>
        </w:rPr>
        <w:t xml:space="preserve"> to decide if the </w:t>
      </w:r>
      <w:r w:rsidR="004868FD" w:rsidRPr="00611F48">
        <w:rPr>
          <w:rFonts w:ascii="Arial" w:hAnsi="Arial" w:cs="Arial"/>
          <w:lang w:val="en-US"/>
        </w:rPr>
        <w:t xml:space="preserve">crime fraud exception applies, </w:t>
      </w:r>
      <w:r w:rsidR="004100BF">
        <w:rPr>
          <w:rFonts w:ascii="Arial" w:hAnsi="Arial" w:cs="Arial"/>
          <w:lang w:val="en-US"/>
        </w:rPr>
        <w:t>that it must be shown</w:t>
      </w:r>
      <w:r w:rsidR="00EC4A36">
        <w:rPr>
          <w:rFonts w:ascii="Arial" w:hAnsi="Arial" w:cs="Arial"/>
          <w:lang w:val="en-US"/>
        </w:rPr>
        <w:t xml:space="preserve"> “</w:t>
      </w:r>
      <w:r w:rsidRPr="00611F48">
        <w:rPr>
          <w:rFonts w:ascii="Arial" w:hAnsi="Arial" w:cs="Arial"/>
          <w:lang w:val="en-US"/>
        </w:rPr>
        <w:t>that the attorney's assistance was obtained in furtherance of the criminal or fraudulent a</w:t>
      </w:r>
      <w:r w:rsidR="004868FD" w:rsidRPr="00611F48">
        <w:rPr>
          <w:rFonts w:ascii="Arial" w:hAnsi="Arial" w:cs="Arial"/>
          <w:lang w:val="en-US"/>
        </w:rPr>
        <w:t>ctivity or was closely related.”</w:t>
      </w:r>
      <w:r w:rsidRPr="00611F48">
        <w:rPr>
          <w:rFonts w:ascii="Arial" w:eastAsia="Helvetica" w:hAnsi="Arial" w:cs="Arial"/>
          <w:vertAlign w:val="superscript"/>
        </w:rPr>
        <w:footnoteReference w:id="100"/>
      </w:r>
      <w:r w:rsidRPr="00611F48">
        <w:rPr>
          <w:rFonts w:ascii="Arial" w:hAnsi="Arial" w:cs="Arial"/>
        </w:rPr>
        <w:t xml:space="preserve"> </w:t>
      </w:r>
      <w:r w:rsidR="0074503B" w:rsidRPr="00611F48">
        <w:rPr>
          <w:rFonts w:ascii="Arial" w:hAnsi="Arial" w:cs="Arial"/>
          <w:lang w:val="en-US"/>
        </w:rPr>
        <w:t>The court's view was that this ‘related’</w:t>
      </w:r>
      <w:r w:rsidRPr="00611F48">
        <w:rPr>
          <w:rFonts w:ascii="Arial" w:hAnsi="Arial" w:cs="Arial"/>
          <w:lang w:val="en-US"/>
        </w:rPr>
        <w:t xml:space="preserve"> requirement should not be interpreted in too restrictive a fashion.</w:t>
      </w:r>
      <w:r w:rsidRPr="00611F48">
        <w:rPr>
          <w:rFonts w:ascii="Arial" w:eastAsia="Helvetica" w:hAnsi="Arial" w:cs="Arial"/>
          <w:vertAlign w:val="superscript"/>
        </w:rPr>
        <w:footnoteReference w:id="101"/>
      </w:r>
      <w:r w:rsidR="00D251FD">
        <w:rPr>
          <w:rFonts w:ascii="Arial" w:hAnsi="Arial" w:cs="Arial"/>
          <w:lang w:val="en-US"/>
        </w:rPr>
        <w:t xml:space="preserve"> In the 3</w:t>
      </w:r>
      <w:r w:rsidRPr="00611F48">
        <w:rPr>
          <w:rFonts w:ascii="Arial" w:hAnsi="Arial" w:cs="Arial"/>
          <w:lang w:val="en-US"/>
        </w:rPr>
        <w:t>rd Circuit</w:t>
      </w:r>
      <w:r w:rsidR="004435C7">
        <w:rPr>
          <w:rFonts w:ascii="Arial" w:hAnsi="Arial" w:cs="Arial"/>
          <w:lang w:val="en-US"/>
        </w:rPr>
        <w:t>,</w:t>
      </w:r>
      <w:r w:rsidRPr="00611F48">
        <w:rPr>
          <w:rFonts w:ascii="Arial" w:hAnsi="Arial" w:cs="Arial"/>
          <w:lang w:val="en-US"/>
        </w:rPr>
        <w:t xml:space="preserve"> the requirement seems to be that the legal advice</w:t>
      </w:r>
      <w:r w:rsidR="0074503B" w:rsidRPr="00611F48">
        <w:rPr>
          <w:rFonts w:ascii="Arial" w:hAnsi="Arial" w:cs="Arial"/>
          <w:lang w:val="en-US"/>
        </w:rPr>
        <w:t xml:space="preserve"> must be used ‘in furtherance’</w:t>
      </w:r>
      <w:r w:rsidRPr="00611F48">
        <w:rPr>
          <w:rFonts w:ascii="Arial" w:hAnsi="Arial" w:cs="Arial"/>
          <w:lang w:val="en-US"/>
        </w:rPr>
        <w:t xml:space="preserve"> </w:t>
      </w:r>
      <w:r w:rsidR="00FF75A9" w:rsidRPr="00611F48">
        <w:rPr>
          <w:rFonts w:ascii="Arial" w:hAnsi="Arial" w:cs="Arial"/>
          <w:lang w:val="en-US"/>
        </w:rPr>
        <w:t>of the crime or fraud and that “</w:t>
      </w:r>
      <w:r w:rsidR="00540D1E" w:rsidRPr="00611F48">
        <w:rPr>
          <w:rFonts w:ascii="Arial" w:hAnsi="Arial" w:cs="Arial"/>
          <w:lang w:val="en-US"/>
        </w:rPr>
        <w:t>a more relaxed “related to”</w:t>
      </w:r>
      <w:r w:rsidR="0074503B" w:rsidRPr="00611F48">
        <w:rPr>
          <w:rFonts w:ascii="Arial" w:hAnsi="Arial" w:cs="Arial"/>
          <w:lang w:val="en-US"/>
        </w:rPr>
        <w:t xml:space="preserve"> standard….”</w:t>
      </w:r>
      <w:r w:rsidRPr="00611F48">
        <w:rPr>
          <w:rFonts w:ascii="Arial" w:hAnsi="Arial" w:cs="Arial"/>
          <w:lang w:val="en-US"/>
        </w:rPr>
        <w:t xml:space="preserve"> has been rejected</w:t>
      </w:r>
      <w:r w:rsidRPr="00611F48">
        <w:rPr>
          <w:rFonts w:ascii="Arial" w:eastAsia="Helvetica" w:hAnsi="Arial" w:cs="Arial"/>
          <w:vertAlign w:val="superscript"/>
        </w:rPr>
        <w:footnoteReference w:id="102"/>
      </w:r>
      <w:r w:rsidRPr="00611F48">
        <w:rPr>
          <w:rFonts w:ascii="Arial" w:hAnsi="Arial" w:cs="Arial"/>
          <w:lang w:val="en-US"/>
        </w:rPr>
        <w:t xml:space="preserve">. </w:t>
      </w:r>
    </w:p>
    <w:p w14:paraId="3E3680EA" w14:textId="77777777" w:rsidR="004601AC" w:rsidRPr="00611F48" w:rsidRDefault="004601AC" w:rsidP="00EE1BD2">
      <w:pPr>
        <w:pStyle w:val="Body"/>
        <w:spacing w:line="480" w:lineRule="auto"/>
        <w:rPr>
          <w:rFonts w:ascii="Arial" w:hAnsi="Arial" w:cs="Arial"/>
          <w:lang w:val="en-US"/>
        </w:rPr>
      </w:pPr>
    </w:p>
    <w:p w14:paraId="5BB4156F" w14:textId="77777777" w:rsidR="00A611FC" w:rsidRDefault="00A611FC" w:rsidP="00EE1BD2">
      <w:pPr>
        <w:pStyle w:val="Body"/>
        <w:spacing w:line="480" w:lineRule="auto"/>
        <w:rPr>
          <w:rFonts w:ascii="Arial" w:hAnsi="Arial" w:cs="Arial"/>
        </w:rPr>
      </w:pPr>
      <w:r>
        <w:rPr>
          <w:rFonts w:ascii="Arial" w:hAnsi="Arial" w:cs="Arial"/>
        </w:rPr>
        <w:t xml:space="preserve">The range of approaches </w:t>
      </w:r>
      <w:r w:rsidR="004601AC">
        <w:rPr>
          <w:rFonts w:ascii="Arial" w:hAnsi="Arial" w:cs="Arial"/>
        </w:rPr>
        <w:t xml:space="preserve">adopted by different Circuits </w:t>
      </w:r>
      <w:r w:rsidR="0022778E">
        <w:rPr>
          <w:rFonts w:ascii="Arial" w:hAnsi="Arial" w:cs="Arial"/>
        </w:rPr>
        <w:t xml:space="preserve">in relation </w:t>
      </w:r>
      <w:r>
        <w:rPr>
          <w:rFonts w:ascii="Arial" w:hAnsi="Arial" w:cs="Arial"/>
        </w:rPr>
        <w:t xml:space="preserve">to the question of intent </w:t>
      </w:r>
      <w:r w:rsidR="004601AC">
        <w:rPr>
          <w:rFonts w:ascii="Arial" w:hAnsi="Arial" w:cs="Arial"/>
        </w:rPr>
        <w:t xml:space="preserve">in general </w:t>
      </w:r>
      <w:r w:rsidR="00B139D7">
        <w:rPr>
          <w:rFonts w:ascii="Arial" w:hAnsi="Arial" w:cs="Arial"/>
        </w:rPr>
        <w:t xml:space="preserve">is one result of </w:t>
      </w:r>
      <w:r>
        <w:rPr>
          <w:rFonts w:ascii="Arial" w:hAnsi="Arial" w:cs="Arial"/>
        </w:rPr>
        <w:t>the greater development that has taken place in the US regarding the</w:t>
      </w:r>
      <w:r w:rsidR="004601AC">
        <w:rPr>
          <w:rFonts w:ascii="Arial" w:hAnsi="Arial" w:cs="Arial"/>
        </w:rPr>
        <w:t xml:space="preserve"> </w:t>
      </w:r>
      <w:r w:rsidR="0022778E">
        <w:rPr>
          <w:rFonts w:ascii="Arial" w:hAnsi="Arial" w:cs="Arial"/>
        </w:rPr>
        <w:t xml:space="preserve">operation of the crime-fraud </w:t>
      </w:r>
      <w:r w:rsidR="004601AC">
        <w:rPr>
          <w:rFonts w:ascii="Arial" w:hAnsi="Arial" w:cs="Arial"/>
        </w:rPr>
        <w:t xml:space="preserve">exception. </w:t>
      </w:r>
      <w:r>
        <w:rPr>
          <w:rFonts w:ascii="Arial" w:hAnsi="Arial" w:cs="Arial"/>
        </w:rPr>
        <w:t xml:space="preserve">Arguably, different </w:t>
      </w:r>
      <w:r w:rsidR="0022778E">
        <w:rPr>
          <w:rFonts w:ascii="Arial" w:hAnsi="Arial" w:cs="Arial"/>
        </w:rPr>
        <w:t xml:space="preserve">approaches </w:t>
      </w:r>
      <w:r>
        <w:rPr>
          <w:rFonts w:ascii="Arial" w:hAnsi="Arial" w:cs="Arial"/>
        </w:rPr>
        <w:t xml:space="preserve">might result in some </w:t>
      </w:r>
      <w:r w:rsidR="0022778E">
        <w:rPr>
          <w:rFonts w:ascii="Arial" w:hAnsi="Arial" w:cs="Arial"/>
        </w:rPr>
        <w:t>‘</w:t>
      </w:r>
      <w:r>
        <w:rPr>
          <w:rFonts w:ascii="Arial" w:hAnsi="Arial" w:cs="Arial"/>
        </w:rPr>
        <w:t>activity</w:t>
      </w:r>
      <w:r w:rsidR="0022778E">
        <w:rPr>
          <w:rFonts w:ascii="Arial" w:hAnsi="Arial" w:cs="Arial"/>
        </w:rPr>
        <w:t>’</w:t>
      </w:r>
      <w:r>
        <w:rPr>
          <w:rFonts w:ascii="Arial" w:hAnsi="Arial" w:cs="Arial"/>
        </w:rPr>
        <w:t xml:space="preserve"> being caught in one Circuit but not another. For example, the more relaxed ‘related to’ standard evidenced in the 11</w:t>
      </w:r>
      <w:r w:rsidRPr="00A611FC">
        <w:rPr>
          <w:rFonts w:ascii="Arial" w:hAnsi="Arial" w:cs="Arial"/>
          <w:vertAlign w:val="superscript"/>
        </w:rPr>
        <w:t>th</w:t>
      </w:r>
      <w:r>
        <w:rPr>
          <w:rFonts w:ascii="Arial" w:hAnsi="Arial" w:cs="Arial"/>
        </w:rPr>
        <w:t xml:space="preserve"> Circuit in </w:t>
      </w:r>
      <w:proofErr w:type="spellStart"/>
      <w:r w:rsidRPr="00A611FC">
        <w:rPr>
          <w:rFonts w:ascii="Arial" w:hAnsi="Arial" w:cs="Arial"/>
          <w:i/>
        </w:rPr>
        <w:t>Shroeder</w:t>
      </w:r>
      <w:proofErr w:type="spellEnd"/>
      <w:r>
        <w:rPr>
          <w:rFonts w:ascii="Arial" w:hAnsi="Arial" w:cs="Arial"/>
          <w:i/>
        </w:rPr>
        <w:t xml:space="preserve"> </w:t>
      </w:r>
      <w:r w:rsidRPr="00A611FC">
        <w:rPr>
          <w:rFonts w:ascii="Arial" w:hAnsi="Arial" w:cs="Arial"/>
        </w:rPr>
        <w:t xml:space="preserve">might catch </w:t>
      </w:r>
      <w:r>
        <w:rPr>
          <w:rFonts w:ascii="Arial" w:hAnsi="Arial" w:cs="Arial"/>
        </w:rPr>
        <w:t xml:space="preserve">activity that would not </w:t>
      </w:r>
      <w:r w:rsidR="0022778E">
        <w:rPr>
          <w:rFonts w:ascii="Arial" w:hAnsi="Arial" w:cs="Arial"/>
        </w:rPr>
        <w:t xml:space="preserve">be caught under the </w:t>
      </w:r>
      <w:r>
        <w:rPr>
          <w:rFonts w:ascii="Arial" w:hAnsi="Arial" w:cs="Arial"/>
        </w:rPr>
        <w:t>3</w:t>
      </w:r>
      <w:r w:rsidRPr="00A611FC">
        <w:rPr>
          <w:rFonts w:ascii="Arial" w:hAnsi="Arial" w:cs="Arial"/>
          <w:vertAlign w:val="superscript"/>
        </w:rPr>
        <w:t>rd</w:t>
      </w:r>
      <w:r>
        <w:rPr>
          <w:rFonts w:ascii="Arial" w:hAnsi="Arial" w:cs="Arial"/>
        </w:rPr>
        <w:t xml:space="preserve"> Circuit</w:t>
      </w:r>
      <w:r w:rsidR="0022778E">
        <w:rPr>
          <w:rFonts w:ascii="Arial" w:hAnsi="Arial" w:cs="Arial"/>
        </w:rPr>
        <w:t>’s</w:t>
      </w:r>
      <w:r>
        <w:rPr>
          <w:rFonts w:ascii="Arial" w:hAnsi="Arial" w:cs="Arial"/>
        </w:rPr>
        <w:t xml:space="preserve"> requirements. As will be shown later, intent can be particularly relevant in the taxation context.   </w:t>
      </w:r>
    </w:p>
    <w:p w14:paraId="26A724E2" w14:textId="77777777" w:rsidR="00A611FC" w:rsidRPr="00611F48" w:rsidRDefault="00A611FC" w:rsidP="00EE1BD2">
      <w:pPr>
        <w:pStyle w:val="Body"/>
        <w:spacing w:line="480" w:lineRule="auto"/>
        <w:rPr>
          <w:rFonts w:ascii="Arial" w:hAnsi="Arial" w:cs="Arial"/>
        </w:rPr>
      </w:pPr>
    </w:p>
    <w:p w14:paraId="753EB89B" w14:textId="77777777" w:rsidR="00EC22FE" w:rsidRDefault="00533C4B" w:rsidP="00EE1BD2">
      <w:pPr>
        <w:pStyle w:val="Body"/>
        <w:spacing w:line="480" w:lineRule="auto"/>
        <w:rPr>
          <w:rFonts w:ascii="Arial" w:hAnsi="Arial" w:cs="Arial"/>
          <w:lang w:val="en-US"/>
        </w:rPr>
      </w:pPr>
      <w:r>
        <w:rPr>
          <w:rFonts w:ascii="Arial" w:hAnsi="Arial" w:cs="Arial"/>
          <w:lang w:val="en-US"/>
        </w:rPr>
        <w:t>With regard to</w:t>
      </w:r>
      <w:r w:rsidR="00652B53">
        <w:rPr>
          <w:rFonts w:ascii="Arial" w:hAnsi="Arial" w:cs="Arial"/>
          <w:lang w:val="en-US"/>
        </w:rPr>
        <w:t xml:space="preserve"> the breadth of activity covered by the exception </w:t>
      </w:r>
      <w:r w:rsidR="003B258D">
        <w:rPr>
          <w:rFonts w:ascii="Arial" w:hAnsi="Arial" w:cs="Arial"/>
          <w:lang w:val="en-US"/>
        </w:rPr>
        <w:t xml:space="preserve">in the US </w:t>
      </w:r>
      <w:r w:rsidR="00B139D7">
        <w:rPr>
          <w:rFonts w:ascii="Arial" w:hAnsi="Arial" w:cs="Arial"/>
          <w:lang w:val="en-US"/>
        </w:rPr>
        <w:t>and whether</w:t>
      </w:r>
      <w:r w:rsidR="003B258D">
        <w:rPr>
          <w:rFonts w:ascii="Arial" w:hAnsi="Arial" w:cs="Arial"/>
          <w:lang w:val="en-US"/>
        </w:rPr>
        <w:t xml:space="preserve"> it </w:t>
      </w:r>
      <w:r w:rsidR="00652B53">
        <w:rPr>
          <w:rFonts w:ascii="Arial" w:hAnsi="Arial" w:cs="Arial"/>
          <w:lang w:val="en-US"/>
        </w:rPr>
        <w:t>covers iniquitous conduct,</w:t>
      </w:r>
      <w:r w:rsidR="001B4819">
        <w:rPr>
          <w:rFonts w:ascii="Arial" w:hAnsi="Arial" w:cs="Arial"/>
          <w:lang w:val="en-US"/>
        </w:rPr>
        <w:t xml:space="preserve"> as is the case in England,</w:t>
      </w:r>
      <w:r w:rsidR="00652B53">
        <w:rPr>
          <w:rFonts w:ascii="Arial" w:hAnsi="Arial" w:cs="Arial"/>
          <w:lang w:val="en-US"/>
        </w:rPr>
        <w:t xml:space="preserve"> </w:t>
      </w:r>
      <w:r w:rsidR="00D76246">
        <w:rPr>
          <w:rFonts w:ascii="Arial" w:hAnsi="Arial" w:cs="Arial"/>
          <w:lang w:val="en-US"/>
        </w:rPr>
        <w:t>it has been suggested that</w:t>
      </w:r>
      <w:r w:rsidR="00652B53">
        <w:rPr>
          <w:rFonts w:ascii="Arial" w:hAnsi="Arial" w:cs="Arial"/>
          <w:lang w:val="en-US"/>
        </w:rPr>
        <w:t xml:space="preserve"> activity amounting to abuse of the attorney-client relationship might come within the exception. </w:t>
      </w:r>
      <w:r w:rsidR="00D251FD">
        <w:rPr>
          <w:rFonts w:ascii="Arial" w:hAnsi="Arial" w:cs="Arial"/>
          <w:lang w:val="en-US"/>
        </w:rPr>
        <w:t xml:space="preserve">In relation to opinion work </w:t>
      </w:r>
      <w:r w:rsidR="007E2901" w:rsidRPr="00611F48">
        <w:rPr>
          <w:rFonts w:ascii="Arial" w:hAnsi="Arial" w:cs="Arial"/>
          <w:lang w:val="en-US"/>
        </w:rPr>
        <w:t>produ</w:t>
      </w:r>
      <w:r w:rsidR="00E4686D">
        <w:rPr>
          <w:rFonts w:ascii="Arial" w:hAnsi="Arial" w:cs="Arial"/>
          <w:lang w:val="en-US"/>
        </w:rPr>
        <w:t>ct</w:t>
      </w:r>
      <w:r w:rsidR="007E2901" w:rsidRPr="00611F48">
        <w:rPr>
          <w:rFonts w:ascii="Arial" w:hAnsi="Arial" w:cs="Arial"/>
          <w:lang w:val="en-US"/>
        </w:rPr>
        <w:t xml:space="preserve"> there is dicta to </w:t>
      </w:r>
      <w:r w:rsidR="00D251FD">
        <w:rPr>
          <w:rFonts w:ascii="Arial" w:hAnsi="Arial" w:cs="Arial"/>
          <w:lang w:val="en-US"/>
        </w:rPr>
        <w:t xml:space="preserve">support the view that such work </w:t>
      </w:r>
      <w:r w:rsidR="007E2901" w:rsidRPr="00611F48">
        <w:rPr>
          <w:rFonts w:ascii="Arial" w:hAnsi="Arial" w:cs="Arial"/>
          <w:lang w:val="en-US"/>
        </w:rPr>
        <w:t xml:space="preserve">product </w:t>
      </w:r>
      <w:r w:rsidR="007E2901" w:rsidRPr="00611F48">
        <w:rPr>
          <w:rFonts w:ascii="Arial" w:hAnsi="Arial" w:cs="Arial"/>
          <w:lang w:val="en-US"/>
        </w:rPr>
        <w:lastRenderedPageBreak/>
        <w:t>cannot be privileged if</w:t>
      </w:r>
      <w:r w:rsidR="00EC22FE" w:rsidRPr="00611F48">
        <w:rPr>
          <w:rFonts w:ascii="Arial" w:hAnsi="Arial" w:cs="Arial"/>
          <w:lang w:val="en-US"/>
        </w:rPr>
        <w:t xml:space="preserve"> </w:t>
      </w:r>
      <w:r w:rsidR="007E2901" w:rsidRPr="00611F48">
        <w:rPr>
          <w:rFonts w:ascii="Arial" w:hAnsi="Arial" w:cs="Arial"/>
          <w:lang w:val="en-US"/>
        </w:rPr>
        <w:t xml:space="preserve">work </w:t>
      </w:r>
      <w:r w:rsidR="00F320C9">
        <w:rPr>
          <w:rFonts w:ascii="Arial" w:hAnsi="Arial" w:cs="Arial"/>
          <w:lang w:val="en-US"/>
        </w:rPr>
        <w:t>“</w:t>
      </w:r>
      <w:r w:rsidR="007E2901" w:rsidRPr="00611F48">
        <w:rPr>
          <w:rFonts w:ascii="Arial" w:hAnsi="Arial" w:cs="Arial"/>
          <w:lang w:val="en-US"/>
        </w:rPr>
        <w:t>was performed in furtherance of a crime, fraud or other type of misconduct fundamentally inconsistent with the basic premises of the adversary system.”</w:t>
      </w:r>
      <w:r w:rsidR="007E2901" w:rsidRPr="00611F48">
        <w:rPr>
          <w:rStyle w:val="FootnoteReference"/>
          <w:rFonts w:ascii="Arial" w:hAnsi="Arial" w:cs="Arial"/>
          <w:lang w:val="en-US"/>
        </w:rPr>
        <w:footnoteReference w:id="103"/>
      </w:r>
      <w:r w:rsidR="00984CF7" w:rsidRPr="00611F48">
        <w:rPr>
          <w:rFonts w:ascii="Arial" w:hAnsi="Arial" w:cs="Arial"/>
          <w:lang w:val="en-US"/>
        </w:rPr>
        <w:t xml:space="preserve"> </w:t>
      </w:r>
    </w:p>
    <w:p w14:paraId="7B8BE24D" w14:textId="0F161917" w:rsidR="00652B53" w:rsidRDefault="00984CF7" w:rsidP="00EE1BD2">
      <w:pPr>
        <w:pStyle w:val="Body"/>
        <w:spacing w:line="480" w:lineRule="auto"/>
        <w:rPr>
          <w:rFonts w:ascii="Arial" w:hAnsi="Arial" w:cs="Arial"/>
          <w:i/>
        </w:rPr>
      </w:pPr>
      <w:r w:rsidRPr="00611F48">
        <w:rPr>
          <w:rFonts w:ascii="Arial" w:hAnsi="Arial" w:cs="Arial"/>
          <w:lang w:val="en-US"/>
        </w:rPr>
        <w:t xml:space="preserve">This perhaps suggests a move towards an </w:t>
      </w:r>
      <w:r w:rsidR="0097481D">
        <w:rPr>
          <w:rFonts w:ascii="Arial" w:hAnsi="Arial" w:cs="Arial"/>
          <w:lang w:val="en-US"/>
        </w:rPr>
        <w:t xml:space="preserve">English </w:t>
      </w:r>
      <w:r w:rsidRPr="00611F48">
        <w:rPr>
          <w:rFonts w:ascii="Arial" w:hAnsi="Arial" w:cs="Arial"/>
          <w:lang w:val="en-US"/>
        </w:rPr>
        <w:t xml:space="preserve">iniquity style exception, covering cases where the client abuses the </w:t>
      </w:r>
      <w:r w:rsidR="00E85FA5" w:rsidRPr="00611F48">
        <w:rPr>
          <w:rFonts w:ascii="Arial" w:hAnsi="Arial" w:cs="Arial"/>
          <w:lang w:val="en-US"/>
        </w:rPr>
        <w:t xml:space="preserve">attorney-client </w:t>
      </w:r>
      <w:r w:rsidRPr="00611F48">
        <w:rPr>
          <w:rFonts w:ascii="Arial" w:hAnsi="Arial" w:cs="Arial"/>
          <w:lang w:val="en-US"/>
        </w:rPr>
        <w:t>relationship.</w:t>
      </w:r>
      <w:r w:rsidRPr="00611F48">
        <w:rPr>
          <w:rStyle w:val="FootnoteReference"/>
          <w:rFonts w:ascii="Arial" w:hAnsi="Arial" w:cs="Arial"/>
          <w:lang w:val="en-US"/>
        </w:rPr>
        <w:footnoteReference w:id="104"/>
      </w:r>
      <w:r w:rsidR="00FB2A19" w:rsidRPr="00611F48">
        <w:rPr>
          <w:rFonts w:ascii="Arial" w:hAnsi="Arial" w:cs="Arial"/>
          <w:lang w:val="en-US"/>
        </w:rPr>
        <w:t xml:space="preserve"> However,</w:t>
      </w:r>
      <w:r w:rsidRPr="00611F48">
        <w:rPr>
          <w:rFonts w:ascii="Arial" w:hAnsi="Arial" w:cs="Arial"/>
          <w:lang w:val="en-US"/>
        </w:rPr>
        <w:t xml:space="preserve"> if as Fried suggests there has been </w:t>
      </w:r>
      <w:r w:rsidR="00B65DA0">
        <w:rPr>
          <w:rFonts w:ascii="Arial" w:hAnsi="Arial" w:cs="Arial"/>
          <w:lang w:val="en-US"/>
        </w:rPr>
        <w:t>a significant</w:t>
      </w:r>
      <w:r w:rsidRPr="00611F48">
        <w:rPr>
          <w:rFonts w:ascii="Arial" w:hAnsi="Arial" w:cs="Arial"/>
          <w:lang w:val="en-US"/>
        </w:rPr>
        <w:t xml:space="preserve"> expansion of </w:t>
      </w:r>
      <w:r w:rsidR="00F320C9">
        <w:rPr>
          <w:rFonts w:ascii="Arial" w:hAnsi="Arial" w:cs="Arial"/>
          <w:lang w:val="en-US"/>
        </w:rPr>
        <w:t>criminalization,</w:t>
      </w:r>
      <w:r w:rsidR="003B61F2">
        <w:rPr>
          <w:rFonts w:ascii="Arial" w:hAnsi="Arial" w:cs="Arial"/>
          <w:lang w:val="en-US"/>
        </w:rPr>
        <w:t xml:space="preserve"> </w:t>
      </w:r>
      <w:r w:rsidR="00F320C9">
        <w:rPr>
          <w:rFonts w:ascii="Arial" w:hAnsi="Arial" w:cs="Arial"/>
          <w:lang w:val="en-US"/>
        </w:rPr>
        <w:t>to the extent that in both the civil and criminal context</w:t>
      </w:r>
      <w:r w:rsidR="00B65DA0" w:rsidRPr="00611F48">
        <w:rPr>
          <w:rFonts w:ascii="Arial" w:hAnsi="Arial" w:cs="Arial"/>
          <w:lang w:val="en-US"/>
        </w:rPr>
        <w:t xml:space="preserve"> </w:t>
      </w:r>
      <w:r w:rsidR="003B61F2">
        <w:rPr>
          <w:rFonts w:ascii="Arial" w:hAnsi="Arial" w:cs="Arial"/>
          <w:lang w:val="en-US"/>
        </w:rPr>
        <w:t>“</w:t>
      </w:r>
      <w:r w:rsidR="00B65DA0" w:rsidRPr="00611F48">
        <w:rPr>
          <w:rFonts w:ascii="Arial" w:hAnsi="Arial" w:cs="Arial"/>
          <w:lang w:val="en-US"/>
        </w:rPr>
        <w:t>it is almost always possible to allege that the defendant has consulted an attorney in</w:t>
      </w:r>
      <w:r w:rsidR="003B61F2">
        <w:rPr>
          <w:rFonts w:ascii="Arial" w:hAnsi="Arial" w:cs="Arial"/>
          <w:lang w:val="en-US"/>
        </w:rPr>
        <w:t xml:space="preserve"> furtherance of a federal crime</w:t>
      </w:r>
      <w:r w:rsidR="00B65DA0" w:rsidRPr="00611F48">
        <w:rPr>
          <w:rFonts w:ascii="Arial" w:hAnsi="Arial" w:cs="Arial"/>
          <w:lang w:val="en-US"/>
        </w:rPr>
        <w:t>”</w:t>
      </w:r>
      <w:r w:rsidR="003B61F2">
        <w:rPr>
          <w:rFonts w:ascii="Arial" w:hAnsi="Arial" w:cs="Arial"/>
          <w:lang w:val="en-US"/>
        </w:rPr>
        <w:t>,</w:t>
      </w:r>
      <w:r w:rsidR="00B65DA0" w:rsidRPr="00611F48">
        <w:rPr>
          <w:rStyle w:val="FootnoteReference"/>
          <w:rFonts w:ascii="Arial" w:hAnsi="Arial" w:cs="Arial"/>
          <w:lang w:val="en-US"/>
        </w:rPr>
        <w:footnoteReference w:id="105"/>
      </w:r>
      <w:r w:rsidR="003B61F2">
        <w:rPr>
          <w:rFonts w:ascii="Arial" w:hAnsi="Arial" w:cs="Arial"/>
          <w:lang w:val="en-US"/>
        </w:rPr>
        <w:t xml:space="preserve"> </w:t>
      </w:r>
      <w:r w:rsidRPr="00611F48">
        <w:rPr>
          <w:rFonts w:ascii="Arial" w:hAnsi="Arial" w:cs="Arial"/>
          <w:lang w:val="en-US"/>
        </w:rPr>
        <w:t>is the extension of crime-fraud in the US to situation</w:t>
      </w:r>
      <w:r w:rsidR="00D866E1" w:rsidRPr="00611F48">
        <w:rPr>
          <w:rFonts w:ascii="Arial" w:hAnsi="Arial" w:cs="Arial"/>
          <w:lang w:val="en-US"/>
        </w:rPr>
        <w:t>s</w:t>
      </w:r>
      <w:r w:rsidR="00BB753E">
        <w:rPr>
          <w:rFonts w:ascii="Arial" w:hAnsi="Arial" w:cs="Arial"/>
          <w:lang w:val="en-US"/>
        </w:rPr>
        <w:t xml:space="preserve"> involving iniquitous conduct</w:t>
      </w:r>
      <w:r w:rsidRPr="00611F48">
        <w:rPr>
          <w:rFonts w:ascii="Arial" w:hAnsi="Arial" w:cs="Arial"/>
          <w:lang w:val="en-US"/>
        </w:rPr>
        <w:t xml:space="preserve"> even necessary? </w:t>
      </w:r>
    </w:p>
    <w:p w14:paraId="6183F6C4" w14:textId="77777777" w:rsidR="00763C73" w:rsidRDefault="00763C73" w:rsidP="00EE1BD2">
      <w:pPr>
        <w:pStyle w:val="Body"/>
        <w:spacing w:line="480" w:lineRule="auto"/>
        <w:rPr>
          <w:rFonts w:ascii="Arial" w:hAnsi="Arial" w:cs="Arial"/>
          <w:i/>
        </w:rPr>
      </w:pPr>
    </w:p>
    <w:p w14:paraId="4075AAFF" w14:textId="1940AEF0" w:rsidR="00A534A1" w:rsidRPr="00181528" w:rsidRDefault="00A534A1" w:rsidP="00EE1BD2">
      <w:pPr>
        <w:pStyle w:val="Body"/>
        <w:spacing w:line="480" w:lineRule="auto"/>
        <w:rPr>
          <w:rFonts w:ascii="Arial" w:hAnsi="Arial" w:cs="Arial"/>
          <w:i/>
        </w:rPr>
      </w:pPr>
      <w:r w:rsidRPr="00181528">
        <w:rPr>
          <w:rFonts w:ascii="Arial" w:hAnsi="Arial" w:cs="Arial"/>
          <w:i/>
        </w:rPr>
        <w:t>The crime-fraud exception in the taxation context</w:t>
      </w:r>
    </w:p>
    <w:p w14:paraId="6177A96C" w14:textId="7BC4A5CA" w:rsidR="00985914" w:rsidRPr="00611F48" w:rsidRDefault="00985914" w:rsidP="00EE1BD2">
      <w:pPr>
        <w:pStyle w:val="Body"/>
        <w:spacing w:line="480" w:lineRule="auto"/>
        <w:rPr>
          <w:rFonts w:ascii="Arial" w:hAnsi="Arial" w:cs="Arial"/>
        </w:rPr>
      </w:pPr>
      <w:r w:rsidRPr="00611F48">
        <w:rPr>
          <w:rFonts w:ascii="Arial" w:hAnsi="Arial" w:cs="Arial"/>
        </w:rPr>
        <w:t>Unlike the posit</w:t>
      </w:r>
      <w:r w:rsidR="00337DA7">
        <w:rPr>
          <w:rFonts w:ascii="Arial" w:hAnsi="Arial" w:cs="Arial"/>
        </w:rPr>
        <w:t>ion in English law, in the US there is a tax practitioners’</w:t>
      </w:r>
      <w:r w:rsidRPr="00611F48">
        <w:rPr>
          <w:rFonts w:ascii="Arial" w:hAnsi="Arial" w:cs="Arial"/>
        </w:rPr>
        <w:t xml:space="preserve"> privilege</w:t>
      </w:r>
      <w:r w:rsidR="003B61F2">
        <w:rPr>
          <w:rFonts w:ascii="Arial" w:hAnsi="Arial" w:cs="Arial"/>
        </w:rPr>
        <w:t>, found in s</w:t>
      </w:r>
      <w:r w:rsidR="00763C73">
        <w:rPr>
          <w:rFonts w:ascii="Arial" w:hAnsi="Arial" w:cs="Arial"/>
        </w:rPr>
        <w:t>.</w:t>
      </w:r>
      <w:r w:rsidR="003B61F2">
        <w:rPr>
          <w:rFonts w:ascii="Arial" w:hAnsi="Arial" w:cs="Arial"/>
        </w:rPr>
        <w:t xml:space="preserve"> 7525 Internal Revenue </w:t>
      </w:r>
      <w:proofErr w:type="gramStart"/>
      <w:r w:rsidR="003B61F2">
        <w:rPr>
          <w:rFonts w:ascii="Arial" w:hAnsi="Arial" w:cs="Arial"/>
        </w:rPr>
        <w:t>Code,</w:t>
      </w:r>
      <w:r w:rsidRPr="00611F48">
        <w:rPr>
          <w:rFonts w:ascii="Arial" w:hAnsi="Arial" w:cs="Arial"/>
        </w:rPr>
        <w:t xml:space="preserve"> that</w:t>
      </w:r>
      <w:proofErr w:type="gramEnd"/>
      <w:r w:rsidRPr="00611F48">
        <w:rPr>
          <w:rFonts w:ascii="Arial" w:hAnsi="Arial" w:cs="Arial"/>
        </w:rPr>
        <w:t xml:space="preserve"> is based on the attorney-client privilege, although </w:t>
      </w:r>
      <w:r w:rsidR="009C151C" w:rsidRPr="00611F48">
        <w:rPr>
          <w:rFonts w:ascii="Arial" w:hAnsi="Arial" w:cs="Arial"/>
        </w:rPr>
        <w:t xml:space="preserve">narrower in scope and </w:t>
      </w:r>
      <w:r w:rsidRPr="00611F48">
        <w:rPr>
          <w:rFonts w:ascii="Arial" w:hAnsi="Arial" w:cs="Arial"/>
        </w:rPr>
        <w:t>s</w:t>
      </w:r>
      <w:r w:rsidR="00337DA7">
        <w:rPr>
          <w:rFonts w:ascii="Arial" w:hAnsi="Arial" w:cs="Arial"/>
        </w:rPr>
        <w:t>ubject to a number of limitations</w:t>
      </w:r>
      <w:r w:rsidRPr="00611F48">
        <w:rPr>
          <w:rFonts w:ascii="Arial" w:hAnsi="Arial" w:cs="Arial"/>
        </w:rPr>
        <w:t>.</w:t>
      </w:r>
      <w:r w:rsidRPr="00611F48">
        <w:rPr>
          <w:rStyle w:val="FootnoteReference"/>
          <w:rFonts w:ascii="Arial" w:hAnsi="Arial" w:cs="Arial"/>
        </w:rPr>
        <w:footnoteReference w:id="106"/>
      </w:r>
      <w:r w:rsidRPr="00611F48">
        <w:rPr>
          <w:rFonts w:ascii="Arial" w:hAnsi="Arial" w:cs="Arial"/>
        </w:rPr>
        <w:t xml:space="preserve"> Claims that communications are protected by the tax practitioner privilege in s</w:t>
      </w:r>
      <w:r w:rsidR="00763C73">
        <w:rPr>
          <w:rFonts w:ascii="Arial" w:hAnsi="Arial" w:cs="Arial"/>
        </w:rPr>
        <w:t>.</w:t>
      </w:r>
      <w:r w:rsidRPr="00611F48">
        <w:rPr>
          <w:rFonts w:ascii="Arial" w:hAnsi="Arial" w:cs="Arial"/>
        </w:rPr>
        <w:t xml:space="preserve"> 7525 are subject to challenge</w:t>
      </w:r>
      <w:r w:rsidR="005D1D7F">
        <w:rPr>
          <w:rFonts w:ascii="Arial" w:hAnsi="Arial" w:cs="Arial"/>
        </w:rPr>
        <w:t>,</w:t>
      </w:r>
      <w:r w:rsidRPr="00611F48">
        <w:rPr>
          <w:rFonts w:ascii="Arial" w:hAnsi="Arial" w:cs="Arial"/>
        </w:rPr>
        <w:t xml:space="preserve"> both under the tax shelter </w:t>
      </w:r>
      <w:r w:rsidR="004F1772" w:rsidRPr="00611F48">
        <w:rPr>
          <w:rFonts w:ascii="Arial" w:hAnsi="Arial" w:cs="Arial"/>
        </w:rPr>
        <w:t xml:space="preserve">exception </w:t>
      </w:r>
      <w:r w:rsidRPr="00611F48">
        <w:rPr>
          <w:rFonts w:ascii="Arial" w:hAnsi="Arial" w:cs="Arial"/>
        </w:rPr>
        <w:t>found in that section</w:t>
      </w:r>
      <w:r w:rsidRPr="00611F48">
        <w:rPr>
          <w:rFonts w:ascii="Arial" w:eastAsia="Helvetica" w:hAnsi="Arial" w:cs="Arial"/>
          <w:vertAlign w:val="superscript"/>
        </w:rPr>
        <w:footnoteReference w:id="107"/>
      </w:r>
      <w:r w:rsidRPr="00611F48">
        <w:rPr>
          <w:rFonts w:ascii="Arial" w:hAnsi="Arial" w:cs="Arial"/>
        </w:rPr>
        <w:t xml:space="preserve"> and under the crime-fraud exception</w:t>
      </w:r>
      <w:r w:rsidR="00F46C74" w:rsidRPr="00611F48">
        <w:rPr>
          <w:rFonts w:ascii="Arial" w:hAnsi="Arial" w:cs="Arial"/>
        </w:rPr>
        <w:t>.</w:t>
      </w:r>
      <w:r w:rsidRPr="00611F48">
        <w:rPr>
          <w:rFonts w:ascii="Arial" w:eastAsia="Helvetica" w:hAnsi="Arial" w:cs="Arial"/>
          <w:vertAlign w:val="superscript"/>
        </w:rPr>
        <w:footnoteReference w:id="108"/>
      </w:r>
      <w:r w:rsidRPr="00611F48">
        <w:rPr>
          <w:rFonts w:ascii="Arial" w:hAnsi="Arial" w:cs="Arial"/>
        </w:rPr>
        <w:t xml:space="preserve"> In </w:t>
      </w:r>
      <w:r w:rsidR="00337DA7">
        <w:rPr>
          <w:rFonts w:ascii="Arial" w:hAnsi="Arial" w:cs="Arial"/>
          <w:i/>
        </w:rPr>
        <w:t>United States</w:t>
      </w:r>
      <w:r w:rsidRPr="00611F48">
        <w:rPr>
          <w:rFonts w:ascii="Arial" w:hAnsi="Arial" w:cs="Arial"/>
          <w:i/>
        </w:rPr>
        <w:t xml:space="preserve"> v BDO Seidman</w:t>
      </w:r>
      <w:r w:rsidR="00F46C74" w:rsidRPr="00611F48">
        <w:rPr>
          <w:rFonts w:ascii="Arial" w:hAnsi="Arial" w:cs="Arial"/>
          <w:i/>
        </w:rPr>
        <w:t>,</w:t>
      </w:r>
      <w:r w:rsidRPr="00611F48">
        <w:rPr>
          <w:rFonts w:ascii="Arial" w:hAnsi="Arial" w:cs="Arial"/>
          <w:i/>
        </w:rPr>
        <w:t xml:space="preserve"> LLP</w:t>
      </w:r>
      <w:r w:rsidR="00F46C74" w:rsidRPr="00611F48">
        <w:rPr>
          <w:rFonts w:ascii="Arial" w:hAnsi="Arial" w:cs="Arial"/>
          <w:i/>
        </w:rPr>
        <w:t xml:space="preserve"> (BDO)</w:t>
      </w:r>
      <w:r w:rsidRPr="00611F48">
        <w:rPr>
          <w:rFonts w:ascii="Arial" w:hAnsi="Arial" w:cs="Arial"/>
        </w:rPr>
        <w:t xml:space="preserve">, the </w:t>
      </w:r>
      <w:r w:rsidR="00F46C74" w:rsidRPr="00611F48">
        <w:rPr>
          <w:rFonts w:ascii="Arial" w:hAnsi="Arial" w:cs="Arial"/>
        </w:rPr>
        <w:t>court upheld a District C</w:t>
      </w:r>
      <w:r w:rsidR="00C634EA" w:rsidRPr="00611F48">
        <w:rPr>
          <w:rFonts w:ascii="Arial" w:hAnsi="Arial" w:cs="Arial"/>
        </w:rPr>
        <w:t>ourts'</w:t>
      </w:r>
      <w:r w:rsidRPr="00611F48">
        <w:rPr>
          <w:rFonts w:ascii="Arial" w:hAnsi="Arial" w:cs="Arial"/>
        </w:rPr>
        <w:t xml:space="preserve"> ruling that, </w:t>
      </w:r>
      <w:r w:rsidRPr="00611F48">
        <w:rPr>
          <w:rFonts w:ascii="Arial" w:hAnsi="Arial" w:cs="Arial"/>
          <w:lang w:val="en-US"/>
        </w:rPr>
        <w:t xml:space="preserve">following in camera review of a number of documents, </w:t>
      </w:r>
      <w:r w:rsidRPr="00611F48">
        <w:rPr>
          <w:rFonts w:ascii="Arial" w:hAnsi="Arial" w:cs="Arial"/>
        </w:rPr>
        <w:t>one document was not protected by privilege because it was a communication made in furtherance of a crime or fraud</w:t>
      </w:r>
      <w:r w:rsidR="00F46C74" w:rsidRPr="00611F48">
        <w:rPr>
          <w:rFonts w:ascii="Arial" w:hAnsi="Arial" w:cs="Arial"/>
        </w:rPr>
        <w:t>.</w:t>
      </w:r>
      <w:r w:rsidRPr="00611F48">
        <w:rPr>
          <w:rFonts w:ascii="Arial" w:eastAsia="Helvetica" w:hAnsi="Arial" w:cs="Arial"/>
          <w:vertAlign w:val="superscript"/>
        </w:rPr>
        <w:footnoteReference w:id="109"/>
      </w:r>
      <w:r w:rsidR="00F46C74" w:rsidRPr="00611F48">
        <w:rPr>
          <w:rFonts w:ascii="Arial" w:hAnsi="Arial" w:cs="Arial"/>
        </w:rPr>
        <w:t xml:space="preserve"> </w:t>
      </w:r>
      <w:r w:rsidRPr="00611F48">
        <w:rPr>
          <w:rFonts w:ascii="Arial" w:hAnsi="Arial" w:cs="Arial"/>
        </w:rPr>
        <w:t xml:space="preserve"> The </w:t>
      </w:r>
      <w:r w:rsidRPr="00611F48">
        <w:rPr>
          <w:rFonts w:ascii="Arial" w:hAnsi="Arial" w:cs="Arial"/>
          <w:lang w:val="en-US"/>
        </w:rPr>
        <w:t>litigation arose from I</w:t>
      </w:r>
      <w:r w:rsidR="00F46C74" w:rsidRPr="00611F48">
        <w:rPr>
          <w:rFonts w:ascii="Arial" w:hAnsi="Arial" w:cs="Arial"/>
          <w:lang w:val="en-US"/>
        </w:rPr>
        <w:t xml:space="preserve">nternal </w:t>
      </w:r>
      <w:r w:rsidRPr="00611F48">
        <w:rPr>
          <w:rFonts w:ascii="Arial" w:hAnsi="Arial" w:cs="Arial"/>
          <w:lang w:val="en-US"/>
        </w:rPr>
        <w:t>R</w:t>
      </w:r>
      <w:r w:rsidR="00F46C74" w:rsidRPr="00611F48">
        <w:rPr>
          <w:rFonts w:ascii="Arial" w:hAnsi="Arial" w:cs="Arial"/>
          <w:lang w:val="en-US"/>
        </w:rPr>
        <w:t xml:space="preserve">evenue </w:t>
      </w:r>
      <w:r w:rsidRPr="00611F48">
        <w:rPr>
          <w:rFonts w:ascii="Arial" w:hAnsi="Arial" w:cs="Arial"/>
          <w:lang w:val="en-US"/>
        </w:rPr>
        <w:t>S</w:t>
      </w:r>
      <w:r w:rsidR="00F46C74" w:rsidRPr="00611F48">
        <w:rPr>
          <w:rFonts w:ascii="Arial" w:hAnsi="Arial" w:cs="Arial"/>
          <w:lang w:val="en-US"/>
        </w:rPr>
        <w:t>ervice (IRS)</w:t>
      </w:r>
      <w:r w:rsidRPr="00611F48">
        <w:rPr>
          <w:rFonts w:ascii="Arial" w:hAnsi="Arial" w:cs="Arial"/>
          <w:lang w:val="en-US"/>
        </w:rPr>
        <w:t xml:space="preserve"> summons issued in connection with an investigation into the involvement of BDO in potentially abusive tax shelters</w:t>
      </w:r>
      <w:r w:rsidR="00395745" w:rsidRPr="00611F48">
        <w:rPr>
          <w:rFonts w:ascii="Arial" w:hAnsi="Arial" w:cs="Arial"/>
        </w:rPr>
        <w:t>.</w:t>
      </w:r>
      <w:r w:rsidRPr="00611F48">
        <w:rPr>
          <w:rFonts w:ascii="Arial" w:eastAsia="Helvetica" w:hAnsi="Arial" w:cs="Arial"/>
          <w:vertAlign w:val="superscript"/>
        </w:rPr>
        <w:footnoteReference w:id="110"/>
      </w:r>
    </w:p>
    <w:p w14:paraId="46AB8141" w14:textId="77777777" w:rsidR="00985914" w:rsidRPr="00611F48" w:rsidRDefault="00985914" w:rsidP="00EE1BD2">
      <w:pPr>
        <w:pStyle w:val="Body"/>
        <w:spacing w:line="480" w:lineRule="auto"/>
        <w:rPr>
          <w:rFonts w:ascii="Arial" w:hAnsi="Arial" w:cs="Arial"/>
        </w:rPr>
      </w:pPr>
    </w:p>
    <w:p w14:paraId="3C8A7F78" w14:textId="5F960785" w:rsidR="00C634EA" w:rsidRPr="00611F48" w:rsidRDefault="00985914" w:rsidP="00EE1BD2">
      <w:pPr>
        <w:pStyle w:val="Body"/>
        <w:spacing w:line="480" w:lineRule="auto"/>
        <w:rPr>
          <w:rFonts w:ascii="Arial" w:hAnsi="Arial" w:cs="Arial"/>
          <w:lang w:val="en-US"/>
        </w:rPr>
      </w:pPr>
      <w:r w:rsidRPr="00611F48">
        <w:rPr>
          <w:rFonts w:ascii="Arial" w:hAnsi="Arial" w:cs="Arial"/>
          <w:lang w:val="en-US"/>
        </w:rPr>
        <w:lastRenderedPageBreak/>
        <w:t>In the context of enforcement proceedings relating to the IRS summons, clients of BDO intervened to try and protect their identity and prevent the disclosure of documents to the IRS. In t</w:t>
      </w:r>
      <w:r w:rsidRPr="00611F48">
        <w:rPr>
          <w:rFonts w:ascii="Arial" w:hAnsi="Arial" w:cs="Arial"/>
        </w:rPr>
        <w:t xml:space="preserve">he </w:t>
      </w:r>
      <w:r w:rsidRPr="00611F48">
        <w:rPr>
          <w:rFonts w:ascii="Arial" w:hAnsi="Arial" w:cs="Arial"/>
          <w:lang w:val="en-US"/>
        </w:rPr>
        <w:t>District Co</w:t>
      </w:r>
      <w:r w:rsidR="005D1D7F">
        <w:rPr>
          <w:rFonts w:ascii="Arial" w:hAnsi="Arial" w:cs="Arial"/>
          <w:lang w:val="en-US"/>
        </w:rPr>
        <w:t xml:space="preserve">urt, </w:t>
      </w:r>
      <w:r w:rsidR="00D54F7D">
        <w:rPr>
          <w:rFonts w:ascii="Arial" w:hAnsi="Arial" w:cs="Arial"/>
        </w:rPr>
        <w:t>t</w:t>
      </w:r>
      <w:r w:rsidRPr="00611F48">
        <w:rPr>
          <w:rFonts w:ascii="Arial" w:hAnsi="Arial" w:cs="Arial"/>
        </w:rPr>
        <w:t xml:space="preserve">he IRS failed to establish a prima facie case </w:t>
      </w:r>
      <w:r w:rsidRPr="00611F48">
        <w:rPr>
          <w:rFonts w:ascii="Arial" w:hAnsi="Arial" w:cs="Arial"/>
          <w:lang w:val="en-US"/>
        </w:rPr>
        <w:t>that BDO and the intervenors were engaged in fraudulent or criminal activity. The complexities and uncertainties of the tax code and related regulations and the consequent determination of whether BDO had or had not complied with the code a</w:t>
      </w:r>
      <w:r w:rsidR="00395745" w:rsidRPr="00611F48">
        <w:rPr>
          <w:rFonts w:ascii="Arial" w:hAnsi="Arial" w:cs="Arial"/>
          <w:lang w:val="en-US"/>
        </w:rPr>
        <w:t>nd regulations was regarded as “one of the ultimate questions</w:t>
      </w:r>
      <w:r w:rsidR="001D0121" w:rsidRPr="00611F48">
        <w:rPr>
          <w:rFonts w:ascii="Arial" w:hAnsi="Arial" w:cs="Arial"/>
          <w:lang w:val="en-US"/>
        </w:rPr>
        <w:t xml:space="preserve"> for this litigation.”</w:t>
      </w:r>
      <w:r w:rsidRPr="00611F48">
        <w:rPr>
          <w:rFonts w:ascii="Arial" w:eastAsia="Helvetica" w:hAnsi="Arial" w:cs="Arial"/>
          <w:vertAlign w:val="superscript"/>
        </w:rPr>
        <w:footnoteReference w:id="111"/>
      </w:r>
      <w:r w:rsidRPr="00611F48">
        <w:rPr>
          <w:rFonts w:ascii="Arial" w:hAnsi="Arial" w:cs="Arial"/>
          <w:lang w:val="en-US"/>
        </w:rPr>
        <w:t xml:space="preserve"> </w:t>
      </w:r>
    </w:p>
    <w:p w14:paraId="2848E4CE" w14:textId="77777777" w:rsidR="00C634EA" w:rsidRPr="00611F48" w:rsidRDefault="00C634EA" w:rsidP="00EE1BD2">
      <w:pPr>
        <w:pStyle w:val="Body"/>
        <w:spacing w:line="480" w:lineRule="auto"/>
        <w:rPr>
          <w:rFonts w:ascii="Arial" w:hAnsi="Arial" w:cs="Arial"/>
          <w:lang w:val="en-US"/>
        </w:rPr>
      </w:pPr>
    </w:p>
    <w:p w14:paraId="004A2FAD" w14:textId="63DFC739" w:rsidR="00985914" w:rsidRDefault="005D1D7F" w:rsidP="00EE1BD2">
      <w:pPr>
        <w:pStyle w:val="Body"/>
        <w:spacing w:line="480" w:lineRule="auto"/>
        <w:rPr>
          <w:rFonts w:ascii="Arial" w:hAnsi="Arial" w:cs="Arial"/>
          <w:lang w:val="en-US"/>
        </w:rPr>
      </w:pPr>
      <w:r>
        <w:rPr>
          <w:rFonts w:ascii="Arial" w:hAnsi="Arial" w:cs="Arial"/>
          <w:lang w:val="en-US"/>
        </w:rPr>
        <w:t>T</w:t>
      </w:r>
      <w:r w:rsidR="00985914" w:rsidRPr="00611F48">
        <w:rPr>
          <w:rFonts w:ascii="Arial" w:hAnsi="Arial" w:cs="Arial"/>
          <w:lang w:val="en-US"/>
        </w:rPr>
        <w:t xml:space="preserve">he court </w:t>
      </w:r>
      <w:r>
        <w:rPr>
          <w:rFonts w:ascii="Arial" w:hAnsi="Arial" w:cs="Arial"/>
          <w:lang w:val="en-US"/>
        </w:rPr>
        <w:t xml:space="preserve">in BDO </w:t>
      </w:r>
      <w:r w:rsidR="00985914" w:rsidRPr="00611F48">
        <w:rPr>
          <w:rFonts w:ascii="Arial" w:hAnsi="Arial" w:cs="Arial"/>
          <w:lang w:val="en-US"/>
        </w:rPr>
        <w:t xml:space="preserve">did go on to consider the crime-fraud exception in its </w:t>
      </w:r>
      <w:r w:rsidR="00985914" w:rsidRPr="00611F48">
        <w:rPr>
          <w:rFonts w:ascii="Arial" w:hAnsi="Arial" w:cs="Arial"/>
          <w:i/>
          <w:iCs/>
          <w:lang w:val="en-US"/>
        </w:rPr>
        <w:t>in camera</w:t>
      </w:r>
      <w:r w:rsidR="00985914" w:rsidRPr="00611F48">
        <w:rPr>
          <w:rFonts w:ascii="Arial" w:hAnsi="Arial" w:cs="Arial"/>
          <w:lang w:val="en-US"/>
        </w:rPr>
        <w:t xml:space="preserve"> review of individual documents and, as part of this process, considered some indications of fraud in the tax shelter context that might be sufficient to establish the prima facie sh</w:t>
      </w:r>
      <w:r w:rsidR="00C634EA" w:rsidRPr="00611F48">
        <w:rPr>
          <w:rFonts w:ascii="Arial" w:hAnsi="Arial" w:cs="Arial"/>
          <w:lang w:val="en-US"/>
        </w:rPr>
        <w:t>owing of fraud required in the Seventh C</w:t>
      </w:r>
      <w:r w:rsidR="00985914" w:rsidRPr="00611F48">
        <w:rPr>
          <w:rFonts w:ascii="Arial" w:hAnsi="Arial" w:cs="Arial"/>
          <w:lang w:val="en-US"/>
        </w:rPr>
        <w:t>ircuit. The court identified eight non</w:t>
      </w:r>
      <w:r w:rsidR="00DD1067">
        <w:rPr>
          <w:rFonts w:ascii="Arial" w:hAnsi="Arial" w:cs="Arial"/>
          <w:lang w:val="en-US"/>
        </w:rPr>
        <w:t>-</w:t>
      </w:r>
      <w:r w:rsidR="00404795">
        <w:rPr>
          <w:rFonts w:ascii="Arial" w:hAnsi="Arial" w:cs="Arial"/>
          <w:lang w:val="en-US"/>
        </w:rPr>
        <w:t>exclusive indicators of fraud</w:t>
      </w:r>
      <w:r w:rsidR="00985914" w:rsidRPr="00611F48">
        <w:rPr>
          <w:rFonts w:ascii="Arial" w:hAnsi="Arial" w:cs="Arial"/>
          <w:lang w:val="en-US"/>
        </w:rPr>
        <w:t xml:space="preserve"> including</w:t>
      </w:r>
      <w:r w:rsidR="00763C73">
        <w:rPr>
          <w:rFonts w:ascii="Arial" w:hAnsi="Arial" w:cs="Arial"/>
          <w:lang w:val="en-US"/>
        </w:rPr>
        <w:t>, for example</w:t>
      </w:r>
      <w:r w:rsidR="00985914" w:rsidRPr="00611F48">
        <w:rPr>
          <w:rFonts w:ascii="Arial" w:hAnsi="Arial" w:cs="Arial"/>
          <w:lang w:val="en-US"/>
        </w:rPr>
        <w:t>: the marketing of pre-packaged transactions;</w:t>
      </w:r>
      <w:r w:rsidR="00985914" w:rsidRPr="00611F48">
        <w:rPr>
          <w:rFonts w:ascii="Arial" w:hAnsi="Arial" w:cs="Arial"/>
        </w:rPr>
        <w:t xml:space="preserve"> communication </w:t>
      </w:r>
      <w:r w:rsidR="00985914" w:rsidRPr="00611F48">
        <w:rPr>
          <w:rFonts w:ascii="Arial" w:hAnsi="Arial" w:cs="Arial"/>
          <w:lang w:val="en-US"/>
        </w:rPr>
        <w:t xml:space="preserve">from the intervenors to BDO, the purpose of which was to </w:t>
      </w:r>
      <w:proofErr w:type="spellStart"/>
      <w:r w:rsidR="00985914" w:rsidRPr="00611F48">
        <w:rPr>
          <w:rFonts w:ascii="Arial" w:hAnsi="Arial" w:cs="Arial"/>
        </w:rPr>
        <w:t>engag</w:t>
      </w:r>
      <w:proofErr w:type="spellEnd"/>
      <w:r w:rsidR="00985914" w:rsidRPr="00611F48">
        <w:rPr>
          <w:rFonts w:ascii="Arial" w:hAnsi="Arial" w:cs="Arial"/>
          <w:lang w:val="en-US"/>
        </w:rPr>
        <w:t>e in a pre-arranged transaction having the sole purpose of reducing taxable income; attempting to conceal the true nature of the transaction and knowledge that the intervenors lacked a legitimate business purpose for entering into the transaction</w:t>
      </w:r>
      <w:r w:rsidR="001D0121" w:rsidRPr="00611F48">
        <w:rPr>
          <w:rFonts w:ascii="Arial" w:hAnsi="Arial" w:cs="Arial"/>
          <w:lang w:val="en-US"/>
        </w:rPr>
        <w:t>.</w:t>
      </w:r>
      <w:r w:rsidR="00985914" w:rsidRPr="00611F48">
        <w:rPr>
          <w:rFonts w:ascii="Arial" w:eastAsia="Helvetica" w:hAnsi="Arial" w:cs="Arial"/>
          <w:vertAlign w:val="superscript"/>
        </w:rPr>
        <w:footnoteReference w:id="112"/>
      </w:r>
      <w:r>
        <w:rPr>
          <w:rFonts w:ascii="Arial" w:hAnsi="Arial" w:cs="Arial"/>
          <w:lang w:val="en-US"/>
        </w:rPr>
        <w:t xml:space="preserve"> T</w:t>
      </w:r>
      <w:r w:rsidR="00985914" w:rsidRPr="00611F48">
        <w:rPr>
          <w:rFonts w:ascii="Arial" w:hAnsi="Arial" w:cs="Arial"/>
          <w:lang w:val="en-US"/>
        </w:rPr>
        <w:t>hese indicators of fraud are simply "guideposts" and must be considered with all the other circumstances surrounding the relevant documents to determine whether there is enou</w:t>
      </w:r>
      <w:r w:rsidR="00EA6031">
        <w:rPr>
          <w:rFonts w:ascii="Arial" w:hAnsi="Arial" w:cs="Arial"/>
          <w:lang w:val="en-US"/>
        </w:rPr>
        <w:t>gh evidence to give sufficient “</w:t>
      </w:r>
      <w:proofErr w:type="spellStart"/>
      <w:r w:rsidR="00EA6031">
        <w:rPr>
          <w:rFonts w:ascii="Arial" w:hAnsi="Arial" w:cs="Arial"/>
          <w:lang w:val="en-US"/>
        </w:rPr>
        <w:t>colour</w:t>
      </w:r>
      <w:proofErr w:type="spellEnd"/>
      <w:r w:rsidR="00EA6031">
        <w:rPr>
          <w:rFonts w:ascii="Arial" w:hAnsi="Arial" w:cs="Arial"/>
          <w:lang w:val="en-US"/>
        </w:rPr>
        <w:t>”</w:t>
      </w:r>
      <w:r w:rsidR="00985914" w:rsidRPr="00611F48">
        <w:rPr>
          <w:rFonts w:ascii="Arial" w:hAnsi="Arial" w:cs="Arial"/>
          <w:lang w:val="en-US"/>
        </w:rPr>
        <w:t xml:space="preserve"> to the charge of </w:t>
      </w:r>
      <w:r w:rsidR="00A534A1">
        <w:rPr>
          <w:rFonts w:ascii="Arial" w:hAnsi="Arial" w:cs="Arial"/>
          <w:lang w:val="en-US"/>
        </w:rPr>
        <w:t>crime-</w:t>
      </w:r>
      <w:r w:rsidR="00985914" w:rsidRPr="00611F48">
        <w:rPr>
          <w:rFonts w:ascii="Arial" w:hAnsi="Arial" w:cs="Arial"/>
          <w:lang w:val="en-US"/>
        </w:rPr>
        <w:t xml:space="preserve">fraud. </w:t>
      </w:r>
    </w:p>
    <w:p w14:paraId="1AEAC188" w14:textId="77777777" w:rsidR="00F67AE2" w:rsidRPr="00611F48" w:rsidRDefault="00F67AE2" w:rsidP="00EE1BD2">
      <w:pPr>
        <w:pStyle w:val="Body"/>
        <w:spacing w:line="480" w:lineRule="auto"/>
        <w:rPr>
          <w:rFonts w:ascii="Arial" w:hAnsi="Arial" w:cs="Arial"/>
        </w:rPr>
      </w:pPr>
    </w:p>
    <w:p w14:paraId="3913B8A5" w14:textId="3CEA5514" w:rsidR="00540D1E" w:rsidRDefault="00985914" w:rsidP="00EE1BD2">
      <w:pPr>
        <w:pStyle w:val="Body"/>
        <w:spacing w:line="480" w:lineRule="auto"/>
        <w:rPr>
          <w:rFonts w:ascii="Arial" w:hAnsi="Arial" w:cs="Arial"/>
          <w:lang w:val="en-US"/>
        </w:rPr>
      </w:pPr>
      <w:r w:rsidRPr="00611F48">
        <w:rPr>
          <w:rFonts w:ascii="Arial" w:hAnsi="Arial" w:cs="Arial"/>
          <w:lang w:val="en-US"/>
        </w:rPr>
        <w:t xml:space="preserve">The </w:t>
      </w:r>
      <w:r w:rsidR="00525BD9" w:rsidRPr="00611F48">
        <w:rPr>
          <w:rFonts w:ascii="Arial" w:hAnsi="Arial" w:cs="Arial"/>
          <w:lang w:val="en-US"/>
        </w:rPr>
        <w:t xml:space="preserve">position of the </w:t>
      </w:r>
      <w:r w:rsidRPr="00611F48">
        <w:rPr>
          <w:rFonts w:ascii="Arial" w:hAnsi="Arial" w:cs="Arial"/>
          <w:lang w:val="en-US"/>
        </w:rPr>
        <w:t xml:space="preserve">IRS </w:t>
      </w:r>
      <w:r w:rsidR="00525BD9" w:rsidRPr="00611F48">
        <w:rPr>
          <w:rFonts w:ascii="Arial" w:hAnsi="Arial" w:cs="Arial"/>
          <w:lang w:val="en-US"/>
        </w:rPr>
        <w:t xml:space="preserve">regarding application of the crime-fraud exception in cases involving tax shelters </w:t>
      </w:r>
      <w:r w:rsidR="00C331AE">
        <w:rPr>
          <w:rFonts w:ascii="Arial" w:hAnsi="Arial" w:cs="Arial"/>
          <w:lang w:val="en-US"/>
        </w:rPr>
        <w:t>was</w:t>
      </w:r>
      <w:r w:rsidR="00525BD9" w:rsidRPr="00611F48">
        <w:rPr>
          <w:rFonts w:ascii="Arial" w:hAnsi="Arial" w:cs="Arial"/>
          <w:lang w:val="en-US"/>
        </w:rPr>
        <w:t xml:space="preserve"> made clear throughout the BDO litigation. The IRS clearly regard</w:t>
      </w:r>
      <w:r w:rsidR="00760466">
        <w:rPr>
          <w:rFonts w:ascii="Arial" w:hAnsi="Arial" w:cs="Arial"/>
          <w:lang w:val="en-US"/>
        </w:rPr>
        <w:t xml:space="preserve"> a failure to register or report a potentially abusive tax shelter “</w:t>
      </w:r>
      <w:r w:rsidR="00525BD9" w:rsidRPr="00611F48">
        <w:rPr>
          <w:rFonts w:ascii="Arial" w:hAnsi="Arial" w:cs="Arial"/>
          <w:lang w:val="en-US"/>
        </w:rPr>
        <w:t xml:space="preserve">the  likely  effect  of  which  would  be  to  </w:t>
      </w:r>
      <w:r w:rsidR="00525BD9" w:rsidRPr="00611F48">
        <w:rPr>
          <w:rFonts w:ascii="Arial" w:hAnsi="Arial" w:cs="Arial"/>
          <w:lang w:val="en-US"/>
        </w:rPr>
        <w:lastRenderedPageBreak/>
        <w:t>mislead or  conceal  an  avoidance  of  tax” as an indicator of fraud, sufficient to bring such communications within the crime-fraud exception</w:t>
      </w:r>
      <w:r w:rsidR="00540D1E" w:rsidRPr="00611F48">
        <w:rPr>
          <w:rFonts w:ascii="Arial" w:hAnsi="Arial" w:cs="Arial"/>
          <w:lang w:val="en-US"/>
        </w:rPr>
        <w:t>.</w:t>
      </w:r>
      <w:r w:rsidR="00525BD9" w:rsidRPr="00611F48">
        <w:rPr>
          <w:rStyle w:val="FootnoteReference"/>
          <w:rFonts w:ascii="Arial" w:hAnsi="Arial" w:cs="Arial"/>
          <w:lang w:val="en-US"/>
        </w:rPr>
        <w:footnoteReference w:id="113"/>
      </w:r>
      <w:r w:rsidR="00540D1E" w:rsidRPr="00611F48">
        <w:rPr>
          <w:rFonts w:ascii="Arial" w:hAnsi="Arial" w:cs="Arial"/>
          <w:lang w:val="en-US"/>
        </w:rPr>
        <w:t xml:space="preserve"> </w:t>
      </w:r>
      <w:r w:rsidR="00525BD9" w:rsidRPr="00611F48">
        <w:rPr>
          <w:rFonts w:ascii="Arial" w:hAnsi="Arial" w:cs="Arial"/>
          <w:lang w:val="en-US"/>
        </w:rPr>
        <w:t xml:space="preserve"> </w:t>
      </w:r>
      <w:r w:rsidR="00BD7E30" w:rsidRPr="00611F48">
        <w:rPr>
          <w:rFonts w:ascii="Arial" w:hAnsi="Arial" w:cs="Arial"/>
          <w:lang w:val="en-US"/>
        </w:rPr>
        <w:t>They argue that</w:t>
      </w:r>
      <w:r w:rsidR="00540D1E" w:rsidRPr="00611F48">
        <w:rPr>
          <w:rFonts w:ascii="Arial" w:hAnsi="Arial" w:cs="Arial"/>
          <w:lang w:val="en-US"/>
        </w:rPr>
        <w:t>:</w:t>
      </w:r>
    </w:p>
    <w:p w14:paraId="449F5FA5" w14:textId="77777777" w:rsidR="00DD1067" w:rsidRPr="00611F48" w:rsidRDefault="00DD1067" w:rsidP="00EE1BD2">
      <w:pPr>
        <w:pStyle w:val="Body"/>
        <w:spacing w:line="480" w:lineRule="auto"/>
        <w:rPr>
          <w:rFonts w:ascii="Arial" w:hAnsi="Arial" w:cs="Arial"/>
          <w:lang w:val="en-US"/>
        </w:rPr>
      </w:pPr>
    </w:p>
    <w:p w14:paraId="31250CAB" w14:textId="77777777" w:rsidR="00181953" w:rsidRPr="00611F48" w:rsidRDefault="00BD7E30" w:rsidP="00EE1BD2">
      <w:pPr>
        <w:pStyle w:val="Body"/>
        <w:spacing w:line="480" w:lineRule="auto"/>
        <w:ind w:left="720" w:firstLine="60"/>
        <w:rPr>
          <w:rFonts w:ascii="Arial" w:hAnsi="Arial" w:cs="Arial"/>
          <w:lang w:val="en-US"/>
        </w:rPr>
      </w:pPr>
      <w:r w:rsidRPr="00611F48">
        <w:rPr>
          <w:rFonts w:ascii="Arial" w:hAnsi="Arial" w:cs="Arial"/>
          <w:lang w:val="en-US"/>
        </w:rPr>
        <w:t>“</w:t>
      </w:r>
      <w:r w:rsidR="00525BD9" w:rsidRPr="00611F48">
        <w:rPr>
          <w:rFonts w:ascii="Arial" w:hAnsi="Arial" w:cs="Arial"/>
          <w:lang w:val="en-US"/>
        </w:rPr>
        <w:t>If  an in-camera  inspection  of  the  documents  discloses  that  the  taxpayer-in</w:t>
      </w:r>
      <w:r w:rsidR="00540D1E" w:rsidRPr="00611F48">
        <w:rPr>
          <w:rFonts w:ascii="Arial" w:hAnsi="Arial" w:cs="Arial"/>
          <w:lang w:val="en-US"/>
        </w:rPr>
        <w:t>vestor's  purpose  in seeking  “</w:t>
      </w:r>
      <w:r w:rsidR="00525BD9" w:rsidRPr="00611F48">
        <w:rPr>
          <w:rFonts w:ascii="Arial" w:hAnsi="Arial" w:cs="Arial"/>
          <w:lang w:val="en-US"/>
        </w:rPr>
        <w:t>advice”  was  to  enter  into  a  sham  transaction  or  a  transaction  which  otherwise could  give  rise  to  the  imposition  of  a  civil  fraud  penalty,  then  any  right  to  confidentiality is  voided  under  the  crime-fraud  exception</w:t>
      </w:r>
      <w:r w:rsidR="00BB7ED2" w:rsidRPr="00611F48">
        <w:rPr>
          <w:rFonts w:ascii="Arial" w:hAnsi="Arial" w:cs="Arial"/>
          <w:lang w:val="en-US"/>
        </w:rPr>
        <w:t>.</w:t>
      </w:r>
      <w:r w:rsidRPr="00611F48">
        <w:rPr>
          <w:rFonts w:ascii="Arial" w:hAnsi="Arial" w:cs="Arial"/>
          <w:lang w:val="en-US"/>
        </w:rPr>
        <w:t>”</w:t>
      </w:r>
      <w:r w:rsidRPr="00611F48">
        <w:rPr>
          <w:rStyle w:val="FootnoteReference"/>
          <w:rFonts w:ascii="Arial" w:hAnsi="Arial" w:cs="Arial"/>
          <w:lang w:val="en-US"/>
        </w:rPr>
        <w:footnoteReference w:id="114"/>
      </w:r>
    </w:p>
    <w:p w14:paraId="7563B9C9" w14:textId="77777777" w:rsidR="00A534A1" w:rsidRDefault="00A534A1" w:rsidP="00EE1BD2">
      <w:pPr>
        <w:pStyle w:val="Body"/>
        <w:spacing w:line="480" w:lineRule="auto"/>
        <w:rPr>
          <w:rFonts w:ascii="Arial" w:hAnsi="Arial" w:cs="Arial"/>
          <w:lang w:val="en-US"/>
        </w:rPr>
      </w:pPr>
    </w:p>
    <w:p w14:paraId="0DDB40AB" w14:textId="77777777" w:rsidR="00826D39" w:rsidRDefault="00181953" w:rsidP="00EE1BD2">
      <w:pPr>
        <w:pStyle w:val="Body"/>
        <w:spacing w:line="480" w:lineRule="auto"/>
        <w:rPr>
          <w:rFonts w:ascii="Arial" w:hAnsi="Arial" w:cs="Arial"/>
          <w:lang w:val="en-US"/>
        </w:rPr>
      </w:pPr>
      <w:r w:rsidRPr="00611F48">
        <w:rPr>
          <w:rFonts w:ascii="Arial" w:hAnsi="Arial" w:cs="Arial"/>
          <w:lang w:val="en-US"/>
        </w:rPr>
        <w:t>T</w:t>
      </w:r>
      <w:r w:rsidR="00BD7E30" w:rsidRPr="00611F48">
        <w:rPr>
          <w:rFonts w:ascii="Arial" w:hAnsi="Arial" w:cs="Arial"/>
        </w:rPr>
        <w:t>he IRS must</w:t>
      </w:r>
      <w:r w:rsidR="00985914" w:rsidRPr="00611F48">
        <w:rPr>
          <w:rFonts w:ascii="Arial" w:hAnsi="Arial" w:cs="Arial"/>
        </w:rPr>
        <w:t xml:space="preserve"> </w:t>
      </w:r>
      <w:r w:rsidRPr="00611F48">
        <w:rPr>
          <w:rFonts w:ascii="Arial" w:hAnsi="Arial" w:cs="Arial"/>
        </w:rPr>
        <w:t xml:space="preserve">obviously </w:t>
      </w:r>
      <w:r w:rsidR="00985914" w:rsidRPr="00611F48">
        <w:rPr>
          <w:rFonts w:ascii="Arial" w:hAnsi="Arial" w:cs="Arial"/>
          <w:lang w:val="en-US"/>
        </w:rPr>
        <w:t>establish a prima facie case</w:t>
      </w:r>
      <w:r w:rsidR="00BD7E30" w:rsidRPr="00611F48">
        <w:rPr>
          <w:rFonts w:ascii="Arial" w:hAnsi="Arial" w:cs="Arial"/>
          <w:lang w:val="en-US"/>
        </w:rPr>
        <w:t xml:space="preserve"> of fraud to succeed and, from </w:t>
      </w:r>
      <w:r w:rsidR="00BD7E30" w:rsidRPr="00611F48">
        <w:rPr>
          <w:rFonts w:ascii="Arial" w:hAnsi="Arial" w:cs="Arial"/>
          <w:i/>
          <w:lang w:val="en-US"/>
        </w:rPr>
        <w:t>BDO</w:t>
      </w:r>
      <w:r w:rsidR="00BD7E30" w:rsidRPr="00611F48">
        <w:rPr>
          <w:rFonts w:ascii="Arial" w:hAnsi="Arial" w:cs="Arial"/>
          <w:lang w:val="en-US"/>
        </w:rPr>
        <w:t>, it is clear that this requires more than simply desc</w:t>
      </w:r>
      <w:r w:rsidRPr="00611F48">
        <w:rPr>
          <w:rFonts w:ascii="Arial" w:hAnsi="Arial" w:cs="Arial"/>
          <w:lang w:val="en-US"/>
        </w:rPr>
        <w:t xml:space="preserve">ribing transactions as pre-packaged, abusive </w:t>
      </w:r>
      <w:r w:rsidR="00BD7E30" w:rsidRPr="00611F48">
        <w:rPr>
          <w:rFonts w:ascii="Arial" w:hAnsi="Arial" w:cs="Arial"/>
          <w:lang w:val="en-US"/>
        </w:rPr>
        <w:t xml:space="preserve"> </w:t>
      </w:r>
      <w:r w:rsidRPr="00611F48">
        <w:rPr>
          <w:rFonts w:ascii="Arial" w:hAnsi="Arial" w:cs="Arial"/>
          <w:lang w:val="en-US"/>
        </w:rPr>
        <w:t xml:space="preserve"> </w:t>
      </w:r>
      <w:r w:rsidR="00985914" w:rsidRPr="00611F48">
        <w:rPr>
          <w:rFonts w:ascii="Arial" w:hAnsi="Arial" w:cs="Arial"/>
          <w:lang w:val="en-US"/>
        </w:rPr>
        <w:t xml:space="preserve"> tax shelter</w:t>
      </w:r>
      <w:r w:rsidRPr="00611F48">
        <w:rPr>
          <w:rFonts w:ascii="Arial" w:hAnsi="Arial" w:cs="Arial"/>
          <w:lang w:val="en-US"/>
        </w:rPr>
        <w:t xml:space="preserve">s. </w:t>
      </w:r>
    </w:p>
    <w:p w14:paraId="2F4CA249" w14:textId="77777777" w:rsidR="0097481D" w:rsidRDefault="0097481D" w:rsidP="00EE1BD2">
      <w:pPr>
        <w:pStyle w:val="Body"/>
        <w:spacing w:line="480" w:lineRule="auto"/>
        <w:rPr>
          <w:rFonts w:ascii="Arial" w:hAnsi="Arial" w:cs="Arial"/>
          <w:lang w:val="en-US"/>
        </w:rPr>
      </w:pPr>
    </w:p>
    <w:p w14:paraId="29FA8CE8" w14:textId="767432FE" w:rsidR="0097481D" w:rsidRDefault="00A8396E" w:rsidP="00EE1BD2">
      <w:pPr>
        <w:pStyle w:val="Body"/>
        <w:spacing w:line="480" w:lineRule="auto"/>
        <w:rPr>
          <w:rFonts w:ascii="Arial" w:hAnsi="Arial" w:cs="Arial"/>
          <w:lang w:val="en-US"/>
        </w:rPr>
      </w:pPr>
      <w:r>
        <w:rPr>
          <w:rFonts w:ascii="Arial" w:hAnsi="Arial" w:cs="Arial"/>
          <w:lang w:val="en-US"/>
        </w:rPr>
        <w:t>It may be that guideposts</w:t>
      </w:r>
      <w:r w:rsidR="009E4F4E">
        <w:rPr>
          <w:rFonts w:ascii="Arial" w:hAnsi="Arial" w:cs="Arial"/>
          <w:lang w:val="en-US"/>
        </w:rPr>
        <w:t xml:space="preserve"> such as those</w:t>
      </w:r>
      <w:r w:rsidR="0097481D">
        <w:rPr>
          <w:rFonts w:ascii="Arial" w:hAnsi="Arial" w:cs="Arial"/>
          <w:lang w:val="en-US"/>
        </w:rPr>
        <w:t xml:space="preserve"> provided in </w:t>
      </w:r>
      <w:r w:rsidR="0097481D" w:rsidRPr="00A8396E">
        <w:rPr>
          <w:rFonts w:ascii="Arial" w:hAnsi="Arial" w:cs="Arial"/>
          <w:i/>
          <w:lang w:val="en-US"/>
        </w:rPr>
        <w:t>BDO</w:t>
      </w:r>
      <w:r w:rsidR="0097481D">
        <w:rPr>
          <w:rFonts w:ascii="Arial" w:hAnsi="Arial" w:cs="Arial"/>
          <w:lang w:val="en-US"/>
        </w:rPr>
        <w:t xml:space="preserve"> would be of value </w:t>
      </w:r>
      <w:r>
        <w:rPr>
          <w:rFonts w:ascii="Arial" w:hAnsi="Arial" w:cs="Arial"/>
          <w:lang w:val="en-US"/>
        </w:rPr>
        <w:t>if</w:t>
      </w:r>
      <w:r w:rsidR="0097481D">
        <w:rPr>
          <w:rFonts w:ascii="Arial" w:hAnsi="Arial" w:cs="Arial"/>
          <w:lang w:val="en-US"/>
        </w:rPr>
        <w:t xml:space="preserve"> the crime-fraud exception is relied upon in England </w:t>
      </w:r>
      <w:r>
        <w:rPr>
          <w:rFonts w:ascii="Arial" w:hAnsi="Arial" w:cs="Arial"/>
          <w:lang w:val="en-US"/>
        </w:rPr>
        <w:t xml:space="preserve">in the tax shelter context. How valuable </w:t>
      </w:r>
      <w:r w:rsidR="006954B4">
        <w:rPr>
          <w:rFonts w:ascii="Arial" w:hAnsi="Arial" w:cs="Arial"/>
          <w:lang w:val="en-US"/>
        </w:rPr>
        <w:t xml:space="preserve">some of them </w:t>
      </w:r>
      <w:r>
        <w:rPr>
          <w:rFonts w:ascii="Arial" w:hAnsi="Arial" w:cs="Arial"/>
          <w:lang w:val="en-US"/>
        </w:rPr>
        <w:t xml:space="preserve">would be </w:t>
      </w:r>
      <w:r w:rsidR="00C331AE">
        <w:rPr>
          <w:rFonts w:ascii="Arial" w:hAnsi="Arial" w:cs="Arial"/>
          <w:lang w:val="en-US"/>
        </w:rPr>
        <w:t xml:space="preserve">might </w:t>
      </w:r>
      <w:r>
        <w:rPr>
          <w:rFonts w:ascii="Arial" w:hAnsi="Arial" w:cs="Arial"/>
          <w:lang w:val="en-US"/>
        </w:rPr>
        <w:t xml:space="preserve">depend upon </w:t>
      </w:r>
      <w:r w:rsidR="009E4F4E">
        <w:rPr>
          <w:rFonts w:ascii="Arial" w:hAnsi="Arial" w:cs="Arial"/>
          <w:lang w:val="en-US"/>
        </w:rPr>
        <w:t xml:space="preserve">the willingness of the </w:t>
      </w:r>
      <w:r w:rsidR="00EF6E18">
        <w:rPr>
          <w:rFonts w:ascii="Arial" w:hAnsi="Arial" w:cs="Arial"/>
          <w:lang w:val="en-US"/>
        </w:rPr>
        <w:t xml:space="preserve">English and Welsh </w:t>
      </w:r>
      <w:r w:rsidR="009E4F4E">
        <w:rPr>
          <w:rFonts w:ascii="Arial" w:hAnsi="Arial" w:cs="Arial"/>
          <w:lang w:val="en-US"/>
        </w:rPr>
        <w:t>courts</w:t>
      </w:r>
      <w:r>
        <w:rPr>
          <w:rFonts w:ascii="Arial" w:hAnsi="Arial" w:cs="Arial"/>
          <w:lang w:val="en-US"/>
        </w:rPr>
        <w:t xml:space="preserve"> </w:t>
      </w:r>
      <w:r w:rsidR="00361626">
        <w:rPr>
          <w:rFonts w:ascii="Arial" w:hAnsi="Arial" w:cs="Arial"/>
          <w:lang w:val="en-US"/>
        </w:rPr>
        <w:t xml:space="preserve">or the Tribunal </w:t>
      </w:r>
      <w:r w:rsidR="00F67AE2">
        <w:rPr>
          <w:rFonts w:ascii="Arial" w:hAnsi="Arial" w:cs="Arial"/>
          <w:lang w:val="en-US"/>
        </w:rPr>
        <w:t>to conduct in camera review.</w:t>
      </w:r>
    </w:p>
    <w:p w14:paraId="0BFC7794" w14:textId="77777777" w:rsidR="00760466" w:rsidRPr="00611F48" w:rsidRDefault="00760466" w:rsidP="00EE1BD2">
      <w:pPr>
        <w:pStyle w:val="Body"/>
        <w:spacing w:line="480" w:lineRule="auto"/>
        <w:rPr>
          <w:rFonts w:ascii="Arial" w:hAnsi="Arial" w:cs="Arial"/>
          <w:b/>
          <w:iCs/>
          <w:lang w:val="en-US"/>
        </w:rPr>
      </w:pPr>
    </w:p>
    <w:p w14:paraId="6F840D54" w14:textId="59590C61" w:rsidR="00662945" w:rsidRPr="00611F48" w:rsidRDefault="00826D39" w:rsidP="00EE1BD2">
      <w:pPr>
        <w:pStyle w:val="Body"/>
        <w:spacing w:line="480" w:lineRule="auto"/>
        <w:rPr>
          <w:rFonts w:ascii="Arial" w:hAnsi="Arial" w:cs="Arial"/>
          <w:lang w:val="en-US"/>
        </w:rPr>
      </w:pPr>
      <w:r w:rsidRPr="00611F48">
        <w:rPr>
          <w:rFonts w:ascii="Arial" w:hAnsi="Arial" w:cs="Arial"/>
          <w:lang w:val="en-US"/>
        </w:rPr>
        <w:t>C</w:t>
      </w:r>
      <w:r w:rsidR="002A25B7" w:rsidRPr="00611F48">
        <w:rPr>
          <w:rFonts w:ascii="Arial" w:hAnsi="Arial" w:cs="Arial"/>
          <w:lang w:val="en-US"/>
        </w:rPr>
        <w:t>onsiderations around intent and identified crime or fraud</w:t>
      </w:r>
      <w:r w:rsidR="00760466">
        <w:rPr>
          <w:rFonts w:ascii="Arial" w:hAnsi="Arial" w:cs="Arial"/>
          <w:lang w:val="en-US"/>
        </w:rPr>
        <w:t xml:space="preserve"> referred to earlier </w:t>
      </w:r>
      <w:r w:rsidR="002A25B7" w:rsidRPr="00611F48">
        <w:rPr>
          <w:rFonts w:ascii="Arial" w:hAnsi="Arial" w:cs="Arial"/>
          <w:lang w:val="en-US"/>
        </w:rPr>
        <w:t>are</w:t>
      </w:r>
      <w:r w:rsidR="00760466">
        <w:rPr>
          <w:rFonts w:ascii="Arial" w:hAnsi="Arial" w:cs="Arial"/>
          <w:lang w:val="en-US"/>
        </w:rPr>
        <w:t xml:space="preserve"> </w:t>
      </w:r>
      <w:r w:rsidR="002A25B7" w:rsidRPr="00611F48">
        <w:rPr>
          <w:rFonts w:ascii="Arial" w:hAnsi="Arial" w:cs="Arial"/>
          <w:lang w:val="en-US"/>
        </w:rPr>
        <w:t>particularly relevant in the taxation context and, within that context,</w:t>
      </w:r>
      <w:r w:rsidR="002452A5" w:rsidRPr="00611F48">
        <w:rPr>
          <w:rFonts w:ascii="Arial" w:hAnsi="Arial" w:cs="Arial"/>
          <w:lang w:val="en-US"/>
        </w:rPr>
        <w:t xml:space="preserve"> </w:t>
      </w:r>
      <w:r w:rsidR="005B7269">
        <w:rPr>
          <w:rFonts w:ascii="Arial" w:hAnsi="Arial" w:cs="Arial"/>
          <w:lang w:val="en-US"/>
        </w:rPr>
        <w:t>particularly in relation to</w:t>
      </w:r>
      <w:r w:rsidR="002A25B7" w:rsidRPr="00611F48">
        <w:rPr>
          <w:rFonts w:ascii="Arial" w:hAnsi="Arial" w:cs="Arial"/>
          <w:lang w:val="en-US"/>
        </w:rPr>
        <w:t xml:space="preserve"> tax planning schemes. The fluid nature of what is or is not an abusive tax scheme and more importantly what becomes regarded as an abusive scheme makes the clients' intent when consulting their lawyer about the scheme particularly important. </w:t>
      </w:r>
      <w:r w:rsidR="00984CF7" w:rsidRPr="00611F48">
        <w:rPr>
          <w:rFonts w:ascii="Arial" w:hAnsi="Arial" w:cs="Arial"/>
          <w:lang w:val="en-US"/>
        </w:rPr>
        <w:t xml:space="preserve">Gerson and </w:t>
      </w:r>
      <w:proofErr w:type="spellStart"/>
      <w:r w:rsidR="00984CF7" w:rsidRPr="00611F48">
        <w:rPr>
          <w:rFonts w:ascii="Arial" w:hAnsi="Arial" w:cs="Arial"/>
          <w:lang w:val="en-US"/>
        </w:rPr>
        <w:t>Gladieux</w:t>
      </w:r>
      <w:proofErr w:type="spellEnd"/>
      <w:r w:rsidR="006F714B" w:rsidRPr="00611F48">
        <w:rPr>
          <w:rFonts w:ascii="Arial" w:hAnsi="Arial" w:cs="Arial"/>
          <w:lang w:val="en-US"/>
        </w:rPr>
        <w:t xml:space="preserve"> make a similar point in the medical context</w:t>
      </w:r>
      <w:r w:rsidR="00BB7ED2" w:rsidRPr="00611F48">
        <w:rPr>
          <w:rFonts w:ascii="Arial" w:hAnsi="Arial" w:cs="Arial"/>
          <w:lang w:val="en-US"/>
        </w:rPr>
        <w:t>.</w:t>
      </w:r>
      <w:r w:rsidR="006F714B" w:rsidRPr="00611F48">
        <w:rPr>
          <w:rStyle w:val="FootnoteReference"/>
          <w:rFonts w:ascii="Arial" w:hAnsi="Arial" w:cs="Arial"/>
          <w:lang w:val="en-US"/>
        </w:rPr>
        <w:footnoteReference w:id="115"/>
      </w:r>
      <w:r w:rsidR="006F714B" w:rsidRPr="00611F48">
        <w:rPr>
          <w:rFonts w:ascii="Arial" w:hAnsi="Arial" w:cs="Arial"/>
          <w:lang w:val="en-US"/>
        </w:rPr>
        <w:t xml:space="preserve"> </w:t>
      </w:r>
      <w:proofErr w:type="spellStart"/>
      <w:r w:rsidR="002A25B7" w:rsidRPr="00611F48">
        <w:rPr>
          <w:rFonts w:ascii="Arial" w:hAnsi="Arial" w:cs="Arial"/>
          <w:lang w:val="en-US"/>
        </w:rPr>
        <w:t>Volz</w:t>
      </w:r>
      <w:proofErr w:type="spellEnd"/>
      <w:r w:rsidR="002A25B7" w:rsidRPr="00611F48">
        <w:rPr>
          <w:rFonts w:ascii="Arial" w:hAnsi="Arial" w:cs="Arial"/>
          <w:lang w:val="en-US"/>
        </w:rPr>
        <w:t xml:space="preserve"> and Ellis identify tax shelter cases as having</w:t>
      </w:r>
      <w:r w:rsidR="002A25B7" w:rsidRPr="00611F48">
        <w:rPr>
          <w:rFonts w:ascii="Arial" w:hAnsi="Arial" w:cs="Arial"/>
        </w:rPr>
        <w:t xml:space="preserve"> a </w:t>
      </w:r>
      <w:r w:rsidR="00BB7ED2" w:rsidRPr="00611F48">
        <w:rPr>
          <w:rFonts w:ascii="Arial" w:hAnsi="Arial" w:cs="Arial"/>
          <w:lang w:val="en-US"/>
        </w:rPr>
        <w:t>“</w:t>
      </w:r>
      <w:r w:rsidR="002A25B7" w:rsidRPr="00611F48">
        <w:rPr>
          <w:rFonts w:ascii="Arial" w:hAnsi="Arial" w:cs="Arial"/>
          <w:lang w:val="en-US"/>
        </w:rPr>
        <w:t>special importance as illustrations of the IRS</w:t>
      </w:r>
      <w:r w:rsidR="002A25B7" w:rsidRPr="00611F48">
        <w:rPr>
          <w:rFonts w:ascii="Arial" w:hAnsi="Arial" w:cs="Arial"/>
        </w:rPr>
        <w:t>’</w:t>
      </w:r>
      <w:r w:rsidR="002A25B7" w:rsidRPr="00611F48">
        <w:rPr>
          <w:rFonts w:ascii="Arial" w:hAnsi="Arial" w:cs="Arial"/>
          <w:lang w:val="en-US"/>
        </w:rPr>
        <w:t xml:space="preserve">s attempts to assert the crime-fraud exception to the </w:t>
      </w:r>
      <w:r w:rsidR="002A25B7" w:rsidRPr="00611F48">
        <w:rPr>
          <w:rFonts w:ascii="Arial" w:hAnsi="Arial" w:cs="Arial"/>
          <w:lang w:val="en-US"/>
        </w:rPr>
        <w:lastRenderedPageBreak/>
        <w:t>attorney client</w:t>
      </w:r>
      <w:r w:rsidR="00BB7ED2" w:rsidRPr="00611F48">
        <w:rPr>
          <w:rFonts w:ascii="Arial" w:hAnsi="Arial" w:cs="Arial"/>
        </w:rPr>
        <w:t xml:space="preserve"> privilege.”</w:t>
      </w:r>
      <w:r w:rsidR="002A25B7" w:rsidRPr="00611F48">
        <w:rPr>
          <w:rFonts w:ascii="Arial" w:eastAsia="Helvetica" w:hAnsi="Arial" w:cs="Arial"/>
          <w:vertAlign w:val="superscript"/>
        </w:rPr>
        <w:footnoteReference w:id="116"/>
      </w:r>
      <w:r w:rsidR="002A25B7" w:rsidRPr="00611F48">
        <w:rPr>
          <w:rFonts w:ascii="Arial" w:hAnsi="Arial" w:cs="Arial"/>
          <w:lang w:val="en-US"/>
        </w:rPr>
        <w:t xml:space="preserve"> </w:t>
      </w:r>
      <w:proofErr w:type="gramStart"/>
      <w:r w:rsidR="002A25B7" w:rsidRPr="00611F48">
        <w:rPr>
          <w:rFonts w:ascii="Arial" w:hAnsi="Arial" w:cs="Arial"/>
          <w:lang w:val="en-US"/>
        </w:rPr>
        <w:t>and</w:t>
      </w:r>
      <w:proofErr w:type="gramEnd"/>
      <w:r w:rsidR="002A25B7" w:rsidRPr="00611F48">
        <w:rPr>
          <w:rFonts w:ascii="Arial" w:hAnsi="Arial" w:cs="Arial"/>
          <w:lang w:val="en-US"/>
        </w:rPr>
        <w:t xml:space="preserve"> note that although legal commentators</w:t>
      </w:r>
      <w:r w:rsidR="002A25B7" w:rsidRPr="00611F48">
        <w:rPr>
          <w:rFonts w:ascii="Arial" w:hAnsi="Arial" w:cs="Arial"/>
        </w:rPr>
        <w:t xml:space="preserve"> </w:t>
      </w:r>
      <w:r w:rsidR="00BB7ED2" w:rsidRPr="00611F48">
        <w:rPr>
          <w:rFonts w:ascii="Arial" w:hAnsi="Arial" w:cs="Arial"/>
          <w:lang w:val="en-US"/>
        </w:rPr>
        <w:t>“</w:t>
      </w:r>
      <w:r w:rsidR="002A25B7" w:rsidRPr="00611F48">
        <w:rPr>
          <w:rFonts w:ascii="Arial" w:hAnsi="Arial" w:cs="Arial"/>
          <w:lang w:val="en-US"/>
        </w:rPr>
        <w:t>have indicated that the IRS is unlikely to pursue the crime-fraud exception to the privilege in ta</w:t>
      </w:r>
      <w:r w:rsidR="00BB7ED2" w:rsidRPr="00611F48">
        <w:rPr>
          <w:rFonts w:ascii="Arial" w:hAnsi="Arial" w:cs="Arial"/>
          <w:lang w:val="en-US"/>
        </w:rPr>
        <w:t xml:space="preserve">x planning or shelter cases” </w:t>
      </w:r>
      <w:r w:rsidR="002A25B7" w:rsidRPr="00611F48">
        <w:rPr>
          <w:rFonts w:ascii="Arial" w:hAnsi="Arial" w:cs="Arial"/>
          <w:lang w:val="en-US"/>
        </w:rPr>
        <w:t>there are plenty of examples of the governm</w:t>
      </w:r>
      <w:r w:rsidR="00BB7ED2" w:rsidRPr="00611F48">
        <w:rPr>
          <w:rFonts w:ascii="Arial" w:hAnsi="Arial" w:cs="Arial"/>
          <w:lang w:val="en-US"/>
        </w:rPr>
        <w:t xml:space="preserve">ent raising the </w:t>
      </w:r>
      <w:r w:rsidR="002A25B7" w:rsidRPr="00611F48">
        <w:rPr>
          <w:rFonts w:ascii="Arial" w:hAnsi="Arial" w:cs="Arial"/>
          <w:lang w:val="en-US"/>
        </w:rPr>
        <w:t>exception</w:t>
      </w:r>
      <w:r w:rsidR="00BB7ED2" w:rsidRPr="00611F48">
        <w:rPr>
          <w:rFonts w:ascii="Arial" w:hAnsi="Arial" w:cs="Arial"/>
          <w:lang w:val="en-US"/>
        </w:rPr>
        <w:t>.</w:t>
      </w:r>
      <w:r w:rsidR="002A25B7" w:rsidRPr="00611F48">
        <w:rPr>
          <w:rFonts w:ascii="Arial" w:eastAsia="Helvetica" w:hAnsi="Arial" w:cs="Arial"/>
          <w:vertAlign w:val="superscript"/>
        </w:rPr>
        <w:footnoteReference w:id="117"/>
      </w:r>
      <w:r w:rsidR="002A25B7" w:rsidRPr="00611F48">
        <w:rPr>
          <w:rFonts w:ascii="Arial" w:hAnsi="Arial" w:cs="Arial"/>
          <w:lang w:val="en-US"/>
        </w:rPr>
        <w:t xml:space="preserve"> </w:t>
      </w:r>
      <w:r w:rsidR="00763C73" w:rsidRPr="00611F48">
        <w:rPr>
          <w:rFonts w:ascii="Arial" w:hAnsi="Arial" w:cs="Arial"/>
          <w:lang w:val="en-US"/>
        </w:rPr>
        <w:t>Faced with burgeoning information gathering powers, taxpayers inevitably respond by more frequent assertions of attorney client privilege</w:t>
      </w:r>
      <w:r w:rsidR="00763C73" w:rsidRPr="00611F48">
        <w:rPr>
          <w:rStyle w:val="FootnoteReference"/>
          <w:rFonts w:ascii="Arial" w:hAnsi="Arial" w:cs="Arial"/>
          <w:lang w:val="en-US"/>
        </w:rPr>
        <w:footnoteReference w:id="118"/>
      </w:r>
      <w:r w:rsidR="00763C73">
        <w:rPr>
          <w:rFonts w:ascii="Arial" w:hAnsi="Arial" w:cs="Arial"/>
          <w:lang w:val="en-US"/>
        </w:rPr>
        <w:t>,</w:t>
      </w:r>
      <w:r w:rsidR="00763C73" w:rsidRPr="00611F48">
        <w:rPr>
          <w:rFonts w:ascii="Arial" w:hAnsi="Arial" w:cs="Arial"/>
          <w:lang w:val="en-US"/>
        </w:rPr>
        <w:t xml:space="preserve"> and promoters of schemes have clearly been regarded by </w:t>
      </w:r>
      <w:r w:rsidR="00763C73">
        <w:rPr>
          <w:rFonts w:ascii="Arial" w:hAnsi="Arial" w:cs="Arial"/>
          <w:lang w:val="en-US"/>
        </w:rPr>
        <w:t>the IRS as making unmeritorious</w:t>
      </w:r>
      <w:r w:rsidR="00763C73" w:rsidRPr="00611F48">
        <w:rPr>
          <w:rFonts w:ascii="Arial" w:hAnsi="Arial" w:cs="Arial"/>
          <w:lang w:val="en-US"/>
        </w:rPr>
        <w:t xml:space="preserve"> claims of privilege to avoid disclosing both investor lists and details of transactions.</w:t>
      </w:r>
      <w:r w:rsidR="00763C73" w:rsidRPr="00611F48">
        <w:rPr>
          <w:rStyle w:val="FootnoteReference"/>
          <w:rFonts w:ascii="Arial" w:hAnsi="Arial" w:cs="Arial"/>
          <w:lang w:val="en-US"/>
        </w:rPr>
        <w:footnoteReference w:id="119"/>
      </w:r>
      <w:r w:rsidR="00763C73" w:rsidRPr="00611F48">
        <w:rPr>
          <w:rFonts w:ascii="Arial" w:hAnsi="Arial" w:cs="Arial"/>
          <w:lang w:val="en-US"/>
        </w:rPr>
        <w:t xml:space="preserve"> In response, as one of a number of arguments used to challenge claims of privilege, the IRS raises the crime-fraud exception.   </w:t>
      </w:r>
    </w:p>
    <w:p w14:paraId="380041EF" w14:textId="77777777" w:rsidR="00662945" w:rsidRPr="00611F48" w:rsidRDefault="00662945" w:rsidP="00EE1BD2">
      <w:pPr>
        <w:pStyle w:val="Body"/>
        <w:spacing w:line="480" w:lineRule="auto"/>
        <w:rPr>
          <w:rFonts w:ascii="Arial" w:hAnsi="Arial" w:cs="Arial"/>
          <w:lang w:val="en-US"/>
        </w:rPr>
      </w:pPr>
    </w:p>
    <w:p w14:paraId="7CEE2F62" w14:textId="752C865F" w:rsidR="00B647CA" w:rsidRPr="00CE02A0" w:rsidRDefault="00CE02A0" w:rsidP="00EE1BD2">
      <w:pPr>
        <w:spacing w:after="0" w:line="480" w:lineRule="auto"/>
        <w:rPr>
          <w:rFonts w:ascii="Arial" w:eastAsia="Arial Unicode MS" w:hAnsi="Arial" w:cs="Arial"/>
          <w:color w:val="000000"/>
          <w:bdr w:val="nil"/>
          <w:lang w:val="en-US" w:eastAsia="en-GB"/>
        </w:rPr>
      </w:pPr>
      <w:r>
        <w:rPr>
          <w:rFonts w:ascii="Arial" w:hAnsi="Arial" w:cs="Arial"/>
          <w:lang w:val="en-US"/>
        </w:rPr>
        <w:t>I</w:t>
      </w:r>
      <w:r w:rsidRPr="00CE02A0">
        <w:rPr>
          <w:rFonts w:ascii="Arial" w:hAnsi="Arial" w:cs="Arial"/>
          <w:lang w:val="en-US"/>
        </w:rPr>
        <w:t>n the taxation context, it is clear that the exception covers a range of activities involving what is described in the case law as tax evasion</w:t>
      </w:r>
      <w:r>
        <w:rPr>
          <w:rFonts w:ascii="Arial" w:hAnsi="Arial" w:cs="Arial"/>
          <w:lang w:val="en-US"/>
        </w:rPr>
        <w:t>.</w:t>
      </w:r>
      <w:r w:rsidRPr="00CE02A0">
        <w:rPr>
          <w:rFonts w:ascii="Arial" w:hAnsi="Arial" w:cs="Arial"/>
          <w:lang w:val="en-US"/>
        </w:rPr>
        <w:t xml:space="preserve"> </w:t>
      </w:r>
      <w:r w:rsidR="002A25B7" w:rsidRPr="00611F48">
        <w:rPr>
          <w:rFonts w:ascii="Arial" w:hAnsi="Arial" w:cs="Arial"/>
          <w:lang w:val="en-US"/>
        </w:rPr>
        <w:t xml:space="preserve">In </w:t>
      </w:r>
      <w:proofErr w:type="spellStart"/>
      <w:r w:rsidR="002A25B7" w:rsidRPr="00611F48">
        <w:rPr>
          <w:rFonts w:ascii="Arial" w:hAnsi="Arial" w:cs="Arial"/>
          <w:i/>
          <w:lang w:val="en-US"/>
        </w:rPr>
        <w:t>Shroeder</w:t>
      </w:r>
      <w:proofErr w:type="spellEnd"/>
      <w:r w:rsidR="005D1D7F">
        <w:rPr>
          <w:rFonts w:ascii="Arial" w:hAnsi="Arial" w:cs="Arial"/>
          <w:lang w:val="en-US"/>
        </w:rPr>
        <w:t>,</w:t>
      </w:r>
      <w:r w:rsidR="00CB0D88" w:rsidRPr="00611F48">
        <w:rPr>
          <w:rFonts w:ascii="Arial" w:hAnsi="Arial" w:cs="Arial"/>
          <w:lang w:val="en-US"/>
        </w:rPr>
        <w:t xml:space="preserve"> the court noted that “</w:t>
      </w:r>
      <w:r w:rsidR="002A25B7" w:rsidRPr="00611F48">
        <w:rPr>
          <w:rFonts w:ascii="Arial" w:hAnsi="Arial" w:cs="Arial"/>
          <w:lang w:val="en-US"/>
        </w:rPr>
        <w:t>tax evasion undoubtedly qualifies as a crime sufficiently serious to justify overriding the attorney-client priv</w:t>
      </w:r>
      <w:r w:rsidR="00662945" w:rsidRPr="00611F48">
        <w:rPr>
          <w:rFonts w:ascii="Arial" w:hAnsi="Arial" w:cs="Arial"/>
          <w:lang w:val="en-US"/>
        </w:rPr>
        <w:t>ilege</w:t>
      </w:r>
      <w:r w:rsidR="00CB0D88" w:rsidRPr="00611F48">
        <w:rPr>
          <w:rFonts w:ascii="Arial" w:hAnsi="Arial" w:cs="Arial"/>
          <w:lang w:val="en-US"/>
        </w:rPr>
        <w:t>”</w:t>
      </w:r>
      <w:r w:rsidR="00955D0F" w:rsidRPr="00611F48">
        <w:rPr>
          <w:rStyle w:val="FootnoteReference"/>
          <w:rFonts w:ascii="Arial" w:hAnsi="Arial" w:cs="Arial"/>
          <w:lang w:val="en-US"/>
        </w:rPr>
        <w:footnoteReference w:id="120"/>
      </w:r>
      <w:r w:rsidR="002A25B7" w:rsidRPr="00611F48">
        <w:rPr>
          <w:rFonts w:ascii="Arial" w:hAnsi="Arial" w:cs="Arial"/>
        </w:rPr>
        <w:t xml:space="preserve">. </w:t>
      </w:r>
      <w:r>
        <w:rPr>
          <w:rFonts w:ascii="Arial" w:hAnsi="Arial" w:cs="Arial"/>
        </w:rPr>
        <w:t xml:space="preserve"> </w:t>
      </w:r>
      <w:r w:rsidR="002A25B7" w:rsidRPr="00611F48">
        <w:rPr>
          <w:rFonts w:ascii="Arial" w:hAnsi="Arial" w:cs="Arial"/>
        </w:rPr>
        <w:t xml:space="preserve">There is some evidence that activities characterised as tax limitation </w:t>
      </w:r>
      <w:r w:rsidR="00BD7E30" w:rsidRPr="00611F48">
        <w:rPr>
          <w:rFonts w:ascii="Arial" w:hAnsi="Arial" w:cs="Arial"/>
        </w:rPr>
        <w:t xml:space="preserve">or planning </w:t>
      </w:r>
      <w:r w:rsidR="002A25B7" w:rsidRPr="00611F48">
        <w:rPr>
          <w:rFonts w:ascii="Arial" w:hAnsi="Arial" w:cs="Arial"/>
        </w:rPr>
        <w:t xml:space="preserve">do not come within the ambit of the crime/fraud exception. In </w:t>
      </w:r>
      <w:r w:rsidR="002A25B7" w:rsidRPr="00611F48">
        <w:rPr>
          <w:rFonts w:ascii="Arial" w:hAnsi="Arial" w:cs="Arial"/>
          <w:i/>
        </w:rPr>
        <w:t>Marc Rich</w:t>
      </w:r>
      <w:r w:rsidR="00955D0F" w:rsidRPr="00611F48">
        <w:rPr>
          <w:rFonts w:ascii="Arial" w:hAnsi="Arial" w:cs="Arial"/>
          <w:i/>
        </w:rPr>
        <w:t xml:space="preserve">, </w:t>
      </w:r>
      <w:r w:rsidR="002A25B7" w:rsidRPr="00611F48">
        <w:rPr>
          <w:rFonts w:ascii="Arial" w:hAnsi="Arial" w:cs="Arial"/>
        </w:rPr>
        <w:t>documents relating to tax advice sought in connection with forms of employee compensation plan and a proposed corporate reorganisation were not covered by the exception - it was concluded that the advice was not being sought in furtherance of a crime or fraud</w:t>
      </w:r>
      <w:r w:rsidR="00CB0D88" w:rsidRPr="00611F48">
        <w:rPr>
          <w:rFonts w:ascii="Arial" w:hAnsi="Arial" w:cs="Arial"/>
        </w:rPr>
        <w:t>.</w:t>
      </w:r>
      <w:r w:rsidR="002A25B7" w:rsidRPr="00611F48">
        <w:rPr>
          <w:rFonts w:ascii="Arial" w:eastAsia="Helvetica" w:hAnsi="Arial" w:cs="Arial"/>
          <w:vertAlign w:val="superscript"/>
        </w:rPr>
        <w:footnoteReference w:id="121"/>
      </w:r>
      <w:r w:rsidR="002A25B7" w:rsidRPr="00611F48">
        <w:rPr>
          <w:rFonts w:ascii="Arial" w:hAnsi="Arial" w:cs="Arial"/>
        </w:rPr>
        <w:t xml:space="preserve"> </w:t>
      </w:r>
      <w:r w:rsidR="009E4F4E" w:rsidRPr="00611F48">
        <w:rPr>
          <w:rFonts w:ascii="Arial" w:hAnsi="Arial" w:cs="Arial"/>
        </w:rPr>
        <w:t>As in England, the difficulty is in establishing at what point legitimate advice on tax strategy or relating to tax planning schemes</w:t>
      </w:r>
      <w:r w:rsidR="009E4F4E">
        <w:rPr>
          <w:rFonts w:ascii="Arial" w:hAnsi="Arial" w:cs="Arial"/>
        </w:rPr>
        <w:t xml:space="preserve">, such as those referred to in </w:t>
      </w:r>
      <w:r w:rsidR="009E4F4E" w:rsidRPr="003B61F2">
        <w:rPr>
          <w:rFonts w:ascii="Arial" w:hAnsi="Arial" w:cs="Arial"/>
          <w:i/>
        </w:rPr>
        <w:t>Marc Rich</w:t>
      </w:r>
      <w:r w:rsidR="009E4F4E" w:rsidRPr="00611F48">
        <w:rPr>
          <w:rFonts w:ascii="Arial" w:hAnsi="Arial" w:cs="Arial"/>
        </w:rPr>
        <w:t xml:space="preserve"> begins to stray into the realms of </w:t>
      </w:r>
      <w:r w:rsidR="0021703F">
        <w:rPr>
          <w:rFonts w:ascii="Arial" w:hAnsi="Arial" w:cs="Arial"/>
        </w:rPr>
        <w:t>potentially abusive tax avoidance or</w:t>
      </w:r>
      <w:r w:rsidR="009E4F4E" w:rsidRPr="00611F48">
        <w:rPr>
          <w:rFonts w:ascii="Arial" w:hAnsi="Arial" w:cs="Arial"/>
        </w:rPr>
        <w:t xml:space="preserve"> tax evasion. </w:t>
      </w:r>
      <w:r w:rsidR="009E4F4E">
        <w:rPr>
          <w:rFonts w:ascii="Arial" w:hAnsi="Arial" w:cs="Arial"/>
        </w:rPr>
        <w:t xml:space="preserve">This is particularly problematic given that reportable transactions for tax purposes include those having a </w:t>
      </w:r>
      <w:r w:rsidR="009E4F4E" w:rsidRPr="0021703F">
        <w:rPr>
          <w:rFonts w:ascii="Arial" w:hAnsi="Arial" w:cs="Arial"/>
          <w:i/>
        </w:rPr>
        <w:t xml:space="preserve">potential for tax </w:t>
      </w:r>
      <w:r w:rsidR="009E4F4E" w:rsidRPr="0021703F">
        <w:rPr>
          <w:rFonts w:ascii="Arial" w:hAnsi="Arial" w:cs="Arial"/>
          <w:i/>
        </w:rPr>
        <w:lastRenderedPageBreak/>
        <w:t>avoidance</w:t>
      </w:r>
      <w:r w:rsidR="003339CB">
        <w:rPr>
          <w:rStyle w:val="FootnoteReference"/>
          <w:rFonts w:ascii="Arial" w:hAnsi="Arial" w:cs="Arial"/>
          <w:i/>
        </w:rPr>
        <w:footnoteReference w:id="122"/>
      </w:r>
      <w:r w:rsidR="009E4F4E">
        <w:rPr>
          <w:rFonts w:ascii="Arial" w:hAnsi="Arial" w:cs="Arial"/>
        </w:rPr>
        <w:t xml:space="preserve">. </w:t>
      </w:r>
      <w:r w:rsidR="009E4F4E" w:rsidRPr="00611F48">
        <w:rPr>
          <w:rFonts w:ascii="Arial" w:hAnsi="Arial" w:cs="Arial"/>
        </w:rPr>
        <w:t>In this context, the tax practitioner privilege and the tax shelter exception to it provide an interesting comparison</w:t>
      </w:r>
      <w:r w:rsidR="009E4F4E">
        <w:rPr>
          <w:rFonts w:ascii="Arial" w:hAnsi="Arial" w:cs="Arial"/>
        </w:rPr>
        <w:t>.</w:t>
      </w:r>
    </w:p>
    <w:p w14:paraId="589CC054" w14:textId="77777777" w:rsidR="00B647CA" w:rsidRPr="00611F48" w:rsidRDefault="00B647CA" w:rsidP="00EE1BD2">
      <w:pPr>
        <w:pStyle w:val="Body"/>
        <w:spacing w:line="480" w:lineRule="auto"/>
        <w:rPr>
          <w:rFonts w:ascii="Arial" w:hAnsi="Arial" w:cs="Arial"/>
        </w:rPr>
      </w:pPr>
    </w:p>
    <w:p w14:paraId="108B4EEE" w14:textId="77777777" w:rsidR="00826D39" w:rsidRPr="00611F48" w:rsidRDefault="00D93A61" w:rsidP="00EE1BD2">
      <w:pPr>
        <w:pStyle w:val="Body"/>
        <w:spacing w:line="480" w:lineRule="auto"/>
        <w:rPr>
          <w:rFonts w:ascii="Arial" w:hAnsi="Arial" w:cs="Arial"/>
        </w:rPr>
      </w:pPr>
      <w:r>
        <w:rPr>
          <w:rFonts w:ascii="Arial" w:hAnsi="Arial" w:cs="Arial"/>
        </w:rPr>
        <w:t>As has already been discussed, t</w:t>
      </w:r>
      <w:r w:rsidR="00662945" w:rsidRPr="00611F48">
        <w:rPr>
          <w:rFonts w:ascii="Arial" w:hAnsi="Arial" w:cs="Arial"/>
        </w:rPr>
        <w:t>he tax practitioner privile</w:t>
      </w:r>
      <w:r w:rsidR="00881F39" w:rsidRPr="00611F48">
        <w:rPr>
          <w:rFonts w:ascii="Arial" w:hAnsi="Arial" w:cs="Arial"/>
        </w:rPr>
        <w:t>ge</w:t>
      </w:r>
      <w:r w:rsidR="00662945" w:rsidRPr="00611F48">
        <w:rPr>
          <w:rStyle w:val="FootnoteReference"/>
          <w:rFonts w:ascii="Arial" w:hAnsi="Arial" w:cs="Arial"/>
        </w:rPr>
        <w:footnoteReference w:id="123"/>
      </w:r>
      <w:r w:rsidR="00662945" w:rsidRPr="00611F48">
        <w:rPr>
          <w:rFonts w:ascii="Arial" w:hAnsi="Arial" w:cs="Arial"/>
        </w:rPr>
        <w:t xml:space="preserve"> is modelled on the attorney-client privilege</w:t>
      </w:r>
      <w:r w:rsidR="00B647CA" w:rsidRPr="00611F48">
        <w:rPr>
          <w:rFonts w:ascii="Arial" w:hAnsi="Arial" w:cs="Arial"/>
        </w:rPr>
        <w:t xml:space="preserve"> and is therefore subject to the same exceptions as that privilege, obviously including crime-fraud.</w:t>
      </w:r>
      <w:r w:rsidR="00B647CA" w:rsidRPr="00611F48">
        <w:rPr>
          <w:rStyle w:val="FootnoteReference"/>
          <w:rFonts w:ascii="Arial" w:hAnsi="Arial" w:cs="Arial"/>
        </w:rPr>
        <w:footnoteReference w:id="124"/>
      </w:r>
      <w:r w:rsidR="005D1D7F">
        <w:rPr>
          <w:rFonts w:ascii="Arial" w:hAnsi="Arial" w:cs="Arial"/>
        </w:rPr>
        <w:t xml:space="preserve"> T</w:t>
      </w:r>
      <w:r w:rsidR="00B647CA" w:rsidRPr="00611F48">
        <w:rPr>
          <w:rFonts w:ascii="Arial" w:hAnsi="Arial" w:cs="Arial"/>
        </w:rPr>
        <w:t xml:space="preserve">he legislators included a specific </w:t>
      </w:r>
      <w:r w:rsidR="009D0AE3">
        <w:rPr>
          <w:rFonts w:ascii="Arial" w:hAnsi="Arial" w:cs="Arial"/>
        </w:rPr>
        <w:t>limitation to the tax practitioner privilege by excluding written communications connected with the promotion of participation in tax shelters from the privilege</w:t>
      </w:r>
      <w:r w:rsidR="00337DA7">
        <w:rPr>
          <w:rFonts w:ascii="Arial" w:hAnsi="Arial" w:cs="Arial"/>
        </w:rPr>
        <w:t>.</w:t>
      </w:r>
      <w:r w:rsidR="00337DA7">
        <w:rPr>
          <w:rStyle w:val="FootnoteReference"/>
          <w:rFonts w:ascii="Arial" w:hAnsi="Arial" w:cs="Arial"/>
        </w:rPr>
        <w:footnoteReference w:id="125"/>
      </w:r>
      <w:r w:rsidR="00337DA7">
        <w:rPr>
          <w:rFonts w:ascii="Arial" w:hAnsi="Arial" w:cs="Arial"/>
        </w:rPr>
        <w:t xml:space="preserve"> </w:t>
      </w:r>
      <w:r w:rsidR="00B647CA" w:rsidRPr="00611F48">
        <w:rPr>
          <w:rFonts w:ascii="Arial" w:hAnsi="Arial" w:cs="Arial"/>
        </w:rPr>
        <w:t xml:space="preserve"> </w:t>
      </w:r>
      <w:r w:rsidR="009D0AE3">
        <w:rPr>
          <w:rFonts w:ascii="Arial" w:hAnsi="Arial" w:cs="Arial"/>
        </w:rPr>
        <w:t>For this purpose,</w:t>
      </w:r>
      <w:r w:rsidR="00826D39" w:rsidRPr="00611F48">
        <w:rPr>
          <w:rFonts w:ascii="Arial" w:hAnsi="Arial" w:cs="Arial"/>
        </w:rPr>
        <w:t xml:space="preserve"> </w:t>
      </w:r>
      <w:r w:rsidR="009D0AE3">
        <w:rPr>
          <w:rFonts w:ascii="Arial" w:hAnsi="Arial" w:cs="Arial"/>
        </w:rPr>
        <w:t>“</w:t>
      </w:r>
      <w:r w:rsidR="00826D39" w:rsidRPr="00611F48">
        <w:rPr>
          <w:rFonts w:ascii="Arial" w:hAnsi="Arial" w:cs="Arial"/>
        </w:rPr>
        <w:t>tax shelter</w:t>
      </w:r>
      <w:r w:rsidR="009D0AE3">
        <w:rPr>
          <w:rFonts w:ascii="Arial" w:hAnsi="Arial" w:cs="Arial"/>
        </w:rPr>
        <w:t>”</w:t>
      </w:r>
      <w:r w:rsidR="00826D39" w:rsidRPr="00611F48">
        <w:rPr>
          <w:rFonts w:ascii="Arial" w:hAnsi="Arial" w:cs="Arial"/>
        </w:rPr>
        <w:t xml:space="preserve"> covers arrangements having the significant purpose of avoiding or evading Federal income tax</w:t>
      </w:r>
      <w:r w:rsidR="009D0AE3">
        <w:rPr>
          <w:rFonts w:ascii="Arial" w:hAnsi="Arial" w:cs="Arial"/>
        </w:rPr>
        <w:t>.</w:t>
      </w:r>
      <w:r w:rsidR="00826D39" w:rsidRPr="00611F48">
        <w:rPr>
          <w:rFonts w:ascii="Arial" w:eastAsia="Helvetica" w:hAnsi="Arial" w:cs="Arial"/>
          <w:vertAlign w:val="superscript"/>
        </w:rPr>
        <w:footnoteReference w:id="126"/>
      </w:r>
      <w:r w:rsidR="00826D39" w:rsidRPr="00611F48">
        <w:rPr>
          <w:rFonts w:ascii="Arial" w:hAnsi="Arial" w:cs="Arial"/>
        </w:rPr>
        <w:t xml:space="preserve"> T</w:t>
      </w:r>
      <w:r w:rsidR="00C634EA" w:rsidRPr="00611F48">
        <w:rPr>
          <w:rFonts w:ascii="Arial" w:hAnsi="Arial" w:cs="Arial"/>
        </w:rPr>
        <w:t xml:space="preserve">herefore, it would appear that </w:t>
      </w:r>
      <w:r w:rsidR="00826D39" w:rsidRPr="00611F48">
        <w:rPr>
          <w:rFonts w:ascii="Arial" w:hAnsi="Arial" w:cs="Arial"/>
        </w:rPr>
        <w:t xml:space="preserve">arrangements </w:t>
      </w:r>
      <w:r w:rsidR="009D0AE3">
        <w:rPr>
          <w:rFonts w:ascii="Arial" w:hAnsi="Arial" w:cs="Arial"/>
        </w:rPr>
        <w:t>characterised as tax avoidance</w:t>
      </w:r>
      <w:r>
        <w:rPr>
          <w:rFonts w:ascii="Arial" w:hAnsi="Arial" w:cs="Arial"/>
        </w:rPr>
        <w:t>,</w:t>
      </w:r>
      <w:r w:rsidR="009D0AE3">
        <w:rPr>
          <w:rFonts w:ascii="Arial" w:hAnsi="Arial" w:cs="Arial"/>
        </w:rPr>
        <w:t xml:space="preserve"> rather than tax evasion</w:t>
      </w:r>
      <w:r w:rsidR="00826D39" w:rsidRPr="00611F48">
        <w:rPr>
          <w:rFonts w:ascii="Arial" w:hAnsi="Arial" w:cs="Arial"/>
        </w:rPr>
        <w:t xml:space="preserve"> can come within the tax shelter </w:t>
      </w:r>
      <w:r w:rsidR="004F1772" w:rsidRPr="00611F48">
        <w:rPr>
          <w:rFonts w:ascii="Arial" w:hAnsi="Arial" w:cs="Arial"/>
        </w:rPr>
        <w:t xml:space="preserve">exception </w:t>
      </w:r>
      <w:r w:rsidR="00337DA7">
        <w:rPr>
          <w:rFonts w:ascii="Arial" w:hAnsi="Arial" w:cs="Arial"/>
        </w:rPr>
        <w:t>to the tax practitioner</w:t>
      </w:r>
      <w:r w:rsidR="00826D39" w:rsidRPr="00611F48">
        <w:rPr>
          <w:rFonts w:ascii="Arial" w:hAnsi="Arial" w:cs="Arial"/>
        </w:rPr>
        <w:t xml:space="preserve"> privilege, leading to the denial of privilege for related </w:t>
      </w:r>
      <w:r w:rsidR="00337DA7">
        <w:rPr>
          <w:rFonts w:ascii="Arial" w:hAnsi="Arial" w:cs="Arial"/>
        </w:rPr>
        <w:t xml:space="preserve">written </w:t>
      </w:r>
      <w:r w:rsidR="00826D39" w:rsidRPr="00611F48">
        <w:rPr>
          <w:rFonts w:ascii="Arial" w:hAnsi="Arial" w:cs="Arial"/>
        </w:rPr>
        <w:t>communications</w:t>
      </w:r>
      <w:r w:rsidR="009D0AE3">
        <w:rPr>
          <w:rFonts w:ascii="Arial" w:hAnsi="Arial" w:cs="Arial"/>
        </w:rPr>
        <w:t>.</w:t>
      </w:r>
      <w:r w:rsidR="00826D39" w:rsidRPr="00611F48">
        <w:rPr>
          <w:rFonts w:ascii="Arial" w:eastAsia="Helvetica" w:hAnsi="Arial" w:cs="Arial"/>
          <w:vertAlign w:val="superscript"/>
        </w:rPr>
        <w:footnoteReference w:id="127"/>
      </w:r>
      <w:r w:rsidR="009D0AE3">
        <w:rPr>
          <w:rFonts w:ascii="Arial" w:hAnsi="Arial" w:cs="Arial"/>
        </w:rPr>
        <w:t xml:space="preserve"> </w:t>
      </w:r>
      <w:r w:rsidR="00826D39" w:rsidRPr="00611F48">
        <w:rPr>
          <w:rFonts w:ascii="Arial" w:hAnsi="Arial" w:cs="Arial"/>
        </w:rPr>
        <w:t>In contrast, communications relating to arrangements characterised as tax avoidance</w:t>
      </w:r>
      <w:r w:rsidR="00826D39" w:rsidRPr="00611F48">
        <w:rPr>
          <w:rFonts w:ascii="Arial" w:hAnsi="Arial" w:cs="Arial"/>
          <w:lang w:val="en-US"/>
        </w:rPr>
        <w:t xml:space="preserve"> </w:t>
      </w:r>
      <w:r w:rsidR="008B1942">
        <w:rPr>
          <w:rFonts w:ascii="Arial" w:hAnsi="Arial" w:cs="Arial"/>
          <w:lang w:val="en-US"/>
        </w:rPr>
        <w:t xml:space="preserve">rather than as tax evasion </w:t>
      </w:r>
      <w:r w:rsidR="00826D39" w:rsidRPr="00611F48">
        <w:rPr>
          <w:rFonts w:ascii="Arial" w:hAnsi="Arial" w:cs="Arial"/>
          <w:lang w:val="en-US"/>
        </w:rPr>
        <w:t xml:space="preserve">are </w:t>
      </w:r>
      <w:r w:rsidR="008B1942">
        <w:rPr>
          <w:rFonts w:ascii="Arial" w:hAnsi="Arial" w:cs="Arial"/>
          <w:lang w:val="en-US"/>
        </w:rPr>
        <w:t xml:space="preserve">in </w:t>
      </w:r>
      <w:r w:rsidR="00FE1D23">
        <w:rPr>
          <w:rFonts w:ascii="Arial" w:hAnsi="Arial" w:cs="Arial"/>
          <w:lang w:val="en-US"/>
        </w:rPr>
        <w:t xml:space="preserve">less </w:t>
      </w:r>
      <w:r w:rsidR="00826D39" w:rsidRPr="00611F48">
        <w:rPr>
          <w:rFonts w:ascii="Arial" w:hAnsi="Arial" w:cs="Arial"/>
        </w:rPr>
        <w:t>danger of losing privileged status under the cr</w:t>
      </w:r>
      <w:r w:rsidR="0094067E">
        <w:rPr>
          <w:rFonts w:ascii="Arial" w:hAnsi="Arial" w:cs="Arial"/>
        </w:rPr>
        <w:t>ime-fraud exception to attorney-</w:t>
      </w:r>
      <w:r w:rsidR="00826D39" w:rsidRPr="00611F48">
        <w:rPr>
          <w:rFonts w:ascii="Arial" w:hAnsi="Arial" w:cs="Arial"/>
        </w:rPr>
        <w:t>client privilege</w:t>
      </w:r>
      <w:r>
        <w:rPr>
          <w:rFonts w:ascii="Arial" w:hAnsi="Arial" w:cs="Arial"/>
        </w:rPr>
        <w:t>,</w:t>
      </w:r>
      <w:r w:rsidR="00C634EA" w:rsidRPr="00611F48">
        <w:rPr>
          <w:rFonts w:ascii="Arial" w:hAnsi="Arial" w:cs="Arial"/>
        </w:rPr>
        <w:t xml:space="preserve"> because </w:t>
      </w:r>
      <w:r w:rsidR="00826D39" w:rsidRPr="00611F48">
        <w:rPr>
          <w:rFonts w:ascii="Arial" w:hAnsi="Arial" w:cs="Arial"/>
        </w:rPr>
        <w:t xml:space="preserve">a prima facie case of fraud </w:t>
      </w:r>
      <w:r w:rsidR="00C634EA" w:rsidRPr="00611F48">
        <w:rPr>
          <w:rFonts w:ascii="Arial" w:hAnsi="Arial" w:cs="Arial"/>
        </w:rPr>
        <w:t xml:space="preserve">would have to be established </w:t>
      </w:r>
      <w:r w:rsidR="00826D39" w:rsidRPr="00611F48">
        <w:rPr>
          <w:rFonts w:ascii="Arial" w:hAnsi="Arial" w:cs="Arial"/>
        </w:rPr>
        <w:t>in these circumstances. So, where tax advice is re</w:t>
      </w:r>
      <w:r w:rsidR="00337DA7">
        <w:rPr>
          <w:rFonts w:ascii="Arial" w:hAnsi="Arial" w:cs="Arial"/>
        </w:rPr>
        <w:t>ceived from a tax practitioner</w:t>
      </w:r>
      <w:r w:rsidR="001E1117" w:rsidRPr="00611F48">
        <w:rPr>
          <w:rFonts w:ascii="Arial" w:hAnsi="Arial" w:cs="Arial"/>
        </w:rPr>
        <w:t xml:space="preserve">, </w:t>
      </w:r>
      <w:r w:rsidR="00826D39" w:rsidRPr="00611F48">
        <w:rPr>
          <w:rFonts w:ascii="Arial" w:hAnsi="Arial" w:cs="Arial"/>
        </w:rPr>
        <w:t>the crime-fraud exception an</w:t>
      </w:r>
      <w:r w:rsidR="004F1772" w:rsidRPr="00611F48">
        <w:rPr>
          <w:rFonts w:ascii="Arial" w:hAnsi="Arial" w:cs="Arial"/>
        </w:rPr>
        <w:t xml:space="preserve">d the tax shelter exception </w:t>
      </w:r>
      <w:r w:rsidR="00826D39" w:rsidRPr="00611F48">
        <w:rPr>
          <w:rFonts w:ascii="Arial" w:hAnsi="Arial" w:cs="Arial"/>
        </w:rPr>
        <w:t xml:space="preserve">can </w:t>
      </w:r>
      <w:r w:rsidR="00FE1D23">
        <w:rPr>
          <w:rFonts w:ascii="Arial" w:hAnsi="Arial" w:cs="Arial"/>
        </w:rPr>
        <w:t xml:space="preserve">both </w:t>
      </w:r>
      <w:r w:rsidR="00826D39" w:rsidRPr="00611F48">
        <w:rPr>
          <w:rFonts w:ascii="Arial" w:hAnsi="Arial" w:cs="Arial"/>
        </w:rPr>
        <w:t xml:space="preserve">be used to try and set aside </w:t>
      </w:r>
      <w:r w:rsidR="00622B10">
        <w:rPr>
          <w:rFonts w:ascii="Arial" w:hAnsi="Arial" w:cs="Arial"/>
        </w:rPr>
        <w:t xml:space="preserve">tax practitioner </w:t>
      </w:r>
      <w:r w:rsidR="00826D39" w:rsidRPr="00611F48">
        <w:rPr>
          <w:rFonts w:ascii="Arial" w:hAnsi="Arial" w:cs="Arial"/>
        </w:rPr>
        <w:t>privilege claims in cases of tax evasion</w:t>
      </w:r>
      <w:r w:rsidR="00337DA7">
        <w:rPr>
          <w:rFonts w:ascii="Arial" w:hAnsi="Arial" w:cs="Arial"/>
        </w:rPr>
        <w:t>.</w:t>
      </w:r>
      <w:r w:rsidR="00826D39" w:rsidRPr="00611F48">
        <w:rPr>
          <w:rFonts w:ascii="Arial" w:eastAsia="Helvetica" w:hAnsi="Arial" w:cs="Arial"/>
          <w:vertAlign w:val="superscript"/>
        </w:rPr>
        <w:footnoteReference w:id="128"/>
      </w:r>
      <w:r w:rsidR="00826D39" w:rsidRPr="00611F48">
        <w:rPr>
          <w:rFonts w:ascii="Arial" w:hAnsi="Arial" w:cs="Arial"/>
        </w:rPr>
        <w:t xml:space="preserve"> In addition</w:t>
      </w:r>
      <w:r w:rsidR="004F1772" w:rsidRPr="00611F48">
        <w:rPr>
          <w:rFonts w:ascii="Arial" w:hAnsi="Arial" w:cs="Arial"/>
        </w:rPr>
        <w:t xml:space="preserve">, the tax shelter exception explicitly covers tax avoidance and therefore can be used </w:t>
      </w:r>
      <w:r w:rsidR="00826D39" w:rsidRPr="00611F48">
        <w:rPr>
          <w:rFonts w:ascii="Arial" w:hAnsi="Arial" w:cs="Arial"/>
        </w:rPr>
        <w:t xml:space="preserve">to try </w:t>
      </w:r>
      <w:r w:rsidR="00FE1D23">
        <w:rPr>
          <w:rFonts w:ascii="Arial" w:hAnsi="Arial" w:cs="Arial"/>
        </w:rPr>
        <w:t xml:space="preserve">to </w:t>
      </w:r>
      <w:r w:rsidR="00826D39" w:rsidRPr="00611F48">
        <w:rPr>
          <w:rFonts w:ascii="Arial" w:hAnsi="Arial" w:cs="Arial"/>
        </w:rPr>
        <w:t xml:space="preserve">set aside </w:t>
      </w:r>
      <w:r w:rsidR="00622B10">
        <w:rPr>
          <w:rFonts w:ascii="Arial" w:hAnsi="Arial" w:cs="Arial"/>
        </w:rPr>
        <w:t xml:space="preserve">such </w:t>
      </w:r>
      <w:r w:rsidR="00826D39" w:rsidRPr="00611F48">
        <w:rPr>
          <w:rFonts w:ascii="Arial" w:hAnsi="Arial" w:cs="Arial"/>
        </w:rPr>
        <w:t xml:space="preserve">privilege claims in </w:t>
      </w:r>
      <w:r w:rsidR="00FE1D23">
        <w:rPr>
          <w:rFonts w:ascii="Arial" w:hAnsi="Arial" w:cs="Arial"/>
        </w:rPr>
        <w:t xml:space="preserve">tax avoidance </w:t>
      </w:r>
      <w:r w:rsidR="00826D39" w:rsidRPr="00611F48">
        <w:rPr>
          <w:rFonts w:ascii="Arial" w:hAnsi="Arial" w:cs="Arial"/>
        </w:rPr>
        <w:t>cases</w:t>
      </w:r>
      <w:r w:rsidR="004F1772" w:rsidRPr="00611F48">
        <w:rPr>
          <w:rFonts w:ascii="Arial" w:hAnsi="Arial" w:cs="Arial"/>
        </w:rPr>
        <w:t>. If tax advice is given by a</w:t>
      </w:r>
      <w:r w:rsidR="00826D39" w:rsidRPr="00611F48">
        <w:rPr>
          <w:rFonts w:ascii="Arial" w:hAnsi="Arial" w:cs="Arial"/>
        </w:rPr>
        <w:t xml:space="preserve"> lawyer, </w:t>
      </w:r>
      <w:r w:rsidR="00622B10">
        <w:rPr>
          <w:rFonts w:ascii="Arial" w:hAnsi="Arial" w:cs="Arial"/>
        </w:rPr>
        <w:t xml:space="preserve">attorney-client </w:t>
      </w:r>
      <w:r w:rsidR="00826D39" w:rsidRPr="00611F48">
        <w:rPr>
          <w:rFonts w:ascii="Arial" w:hAnsi="Arial" w:cs="Arial"/>
        </w:rPr>
        <w:t>privilege claims can onl</w:t>
      </w:r>
      <w:r w:rsidR="004F1772" w:rsidRPr="00611F48">
        <w:rPr>
          <w:rFonts w:ascii="Arial" w:hAnsi="Arial" w:cs="Arial"/>
        </w:rPr>
        <w:t>y be challenged using the crime-</w:t>
      </w:r>
      <w:r w:rsidR="00337DA7">
        <w:rPr>
          <w:rFonts w:ascii="Arial" w:hAnsi="Arial" w:cs="Arial"/>
        </w:rPr>
        <w:t>fraud exception</w:t>
      </w:r>
      <w:r w:rsidR="00826D39" w:rsidRPr="00611F48">
        <w:rPr>
          <w:rFonts w:ascii="Arial" w:hAnsi="Arial" w:cs="Arial"/>
        </w:rPr>
        <w:t xml:space="preserve"> </w:t>
      </w:r>
      <w:r w:rsidR="00FE1D23">
        <w:rPr>
          <w:rFonts w:ascii="Arial" w:hAnsi="Arial" w:cs="Arial"/>
        </w:rPr>
        <w:t xml:space="preserve">regardless of whether tax evasion or tax avoidance is asserted </w:t>
      </w:r>
      <w:r w:rsidR="001E1117" w:rsidRPr="00611F48">
        <w:rPr>
          <w:rFonts w:ascii="Arial" w:hAnsi="Arial" w:cs="Arial"/>
        </w:rPr>
        <w:t xml:space="preserve">and will only be set aside if </w:t>
      </w:r>
      <w:r w:rsidR="004F1772" w:rsidRPr="00611F48">
        <w:rPr>
          <w:rFonts w:ascii="Arial" w:hAnsi="Arial" w:cs="Arial"/>
        </w:rPr>
        <w:t>a prima facie case of crime or fraud is established</w:t>
      </w:r>
      <w:r w:rsidR="00826D39" w:rsidRPr="00611F48">
        <w:rPr>
          <w:rFonts w:ascii="Arial" w:hAnsi="Arial" w:cs="Arial"/>
        </w:rPr>
        <w:t>.</w:t>
      </w:r>
      <w:r w:rsidR="001E1117" w:rsidRPr="00611F48">
        <w:rPr>
          <w:rFonts w:ascii="Arial" w:hAnsi="Arial" w:cs="Arial"/>
        </w:rPr>
        <w:t xml:space="preserve"> </w:t>
      </w:r>
    </w:p>
    <w:p w14:paraId="4B5FAFF7" w14:textId="77777777" w:rsidR="004F1772" w:rsidRPr="00611F48" w:rsidRDefault="004F1772" w:rsidP="00EE1BD2">
      <w:pPr>
        <w:pStyle w:val="Body"/>
        <w:spacing w:line="480" w:lineRule="auto"/>
        <w:rPr>
          <w:rFonts w:ascii="Arial" w:hAnsi="Arial" w:cs="Arial"/>
        </w:rPr>
      </w:pPr>
    </w:p>
    <w:p w14:paraId="30EE76B7" w14:textId="77777777" w:rsidR="00662945" w:rsidRPr="00611F48" w:rsidRDefault="00826D39" w:rsidP="00EE1BD2">
      <w:pPr>
        <w:pStyle w:val="Body"/>
        <w:spacing w:line="480" w:lineRule="auto"/>
        <w:rPr>
          <w:rFonts w:ascii="Arial" w:hAnsi="Arial" w:cs="Arial"/>
        </w:rPr>
      </w:pPr>
      <w:r w:rsidRPr="00611F48">
        <w:rPr>
          <w:rFonts w:ascii="Arial" w:hAnsi="Arial" w:cs="Arial"/>
        </w:rPr>
        <w:lastRenderedPageBreak/>
        <w:t xml:space="preserve">Unfortunately, </w:t>
      </w:r>
      <w:r w:rsidR="00A6377C" w:rsidRPr="00611F48">
        <w:rPr>
          <w:rFonts w:ascii="Arial" w:hAnsi="Arial" w:cs="Arial"/>
        </w:rPr>
        <w:t xml:space="preserve">during Congressional debate </w:t>
      </w:r>
      <w:r w:rsidR="008940B3" w:rsidRPr="00611F48">
        <w:rPr>
          <w:rFonts w:ascii="Arial" w:hAnsi="Arial" w:cs="Arial"/>
        </w:rPr>
        <w:t>when the addition of the tax shel</w:t>
      </w:r>
      <w:r w:rsidR="00337DA7">
        <w:rPr>
          <w:rFonts w:ascii="Arial" w:hAnsi="Arial" w:cs="Arial"/>
        </w:rPr>
        <w:t xml:space="preserve">ter exception to the tax practitioner </w:t>
      </w:r>
      <w:r w:rsidR="008940B3" w:rsidRPr="00611F48">
        <w:rPr>
          <w:rFonts w:ascii="Arial" w:hAnsi="Arial" w:cs="Arial"/>
        </w:rPr>
        <w:t xml:space="preserve">privilege was proposed, </w:t>
      </w:r>
      <w:r w:rsidRPr="00611F48">
        <w:rPr>
          <w:rFonts w:ascii="Arial" w:hAnsi="Arial" w:cs="Arial"/>
        </w:rPr>
        <w:t>i</w:t>
      </w:r>
      <w:r w:rsidR="00B647CA" w:rsidRPr="00611F48">
        <w:rPr>
          <w:rFonts w:ascii="Arial" w:hAnsi="Arial" w:cs="Arial"/>
        </w:rPr>
        <w:t>t doe</w:t>
      </w:r>
      <w:r w:rsidR="004F1772" w:rsidRPr="00611F48">
        <w:rPr>
          <w:rFonts w:ascii="Arial" w:hAnsi="Arial" w:cs="Arial"/>
        </w:rPr>
        <w:t xml:space="preserve">s not </w:t>
      </w:r>
      <w:r w:rsidR="008940B3" w:rsidRPr="00611F48">
        <w:rPr>
          <w:rFonts w:ascii="Arial" w:hAnsi="Arial" w:cs="Arial"/>
        </w:rPr>
        <w:t xml:space="preserve">appear </w:t>
      </w:r>
      <w:r w:rsidR="004F1772" w:rsidRPr="00611F48">
        <w:rPr>
          <w:rFonts w:ascii="Arial" w:hAnsi="Arial" w:cs="Arial"/>
        </w:rPr>
        <w:t xml:space="preserve">that any consideration was given </w:t>
      </w:r>
      <w:r w:rsidR="008940B3" w:rsidRPr="00611F48">
        <w:rPr>
          <w:rFonts w:ascii="Arial" w:hAnsi="Arial" w:cs="Arial"/>
        </w:rPr>
        <w:t xml:space="preserve">as </w:t>
      </w:r>
      <w:r w:rsidR="004F1772" w:rsidRPr="00611F48">
        <w:rPr>
          <w:rFonts w:ascii="Arial" w:hAnsi="Arial" w:cs="Arial"/>
        </w:rPr>
        <w:t>to whether the crime-fraud exception a</w:t>
      </w:r>
      <w:r w:rsidR="001E1117" w:rsidRPr="00611F48">
        <w:rPr>
          <w:rFonts w:ascii="Arial" w:hAnsi="Arial" w:cs="Arial"/>
        </w:rPr>
        <w:t>lready cover</w:t>
      </w:r>
      <w:r w:rsidR="006E3807">
        <w:rPr>
          <w:rFonts w:ascii="Arial" w:hAnsi="Arial" w:cs="Arial"/>
        </w:rPr>
        <w:t>ed</w:t>
      </w:r>
      <w:r w:rsidR="001E1117" w:rsidRPr="00611F48">
        <w:rPr>
          <w:rFonts w:ascii="Arial" w:hAnsi="Arial" w:cs="Arial"/>
        </w:rPr>
        <w:t xml:space="preserve"> similar situations</w:t>
      </w:r>
      <w:r w:rsidR="004F1772" w:rsidRPr="00611F48">
        <w:rPr>
          <w:rFonts w:ascii="Arial" w:hAnsi="Arial" w:cs="Arial"/>
        </w:rPr>
        <w:t>.</w:t>
      </w:r>
      <w:r w:rsidR="004F1772" w:rsidRPr="00611F48">
        <w:rPr>
          <w:rStyle w:val="FootnoteReference"/>
          <w:rFonts w:ascii="Arial" w:hAnsi="Arial" w:cs="Arial"/>
        </w:rPr>
        <w:footnoteReference w:id="129"/>
      </w:r>
      <w:r w:rsidR="00B647CA" w:rsidRPr="00611F48">
        <w:rPr>
          <w:rFonts w:ascii="Arial" w:hAnsi="Arial" w:cs="Arial"/>
        </w:rPr>
        <w:t xml:space="preserve"> It is therefore difficult to draw conclusions</w:t>
      </w:r>
      <w:r w:rsidR="00786645" w:rsidRPr="00611F48">
        <w:rPr>
          <w:rFonts w:ascii="Arial" w:hAnsi="Arial" w:cs="Arial"/>
        </w:rPr>
        <w:t xml:space="preserve"> from this approach</w:t>
      </w:r>
      <w:r w:rsidR="006E3807">
        <w:rPr>
          <w:rFonts w:ascii="Arial" w:hAnsi="Arial" w:cs="Arial"/>
        </w:rPr>
        <w:t xml:space="preserve"> concerning the extent to which the ambit of the then proposed tax shelter exception was regarded as exceeding that of the crime-fraud exception</w:t>
      </w:r>
      <w:r w:rsidR="00786645" w:rsidRPr="00611F48">
        <w:rPr>
          <w:rFonts w:ascii="Arial" w:hAnsi="Arial" w:cs="Arial"/>
        </w:rPr>
        <w:t>. In Australia, where this question has been specifically considered during a review of proposals for a tax advisers’ privilege, the Australian Law</w:t>
      </w:r>
      <w:r w:rsidR="00367177" w:rsidRPr="00611F48">
        <w:rPr>
          <w:rFonts w:ascii="Arial" w:hAnsi="Arial" w:cs="Arial"/>
        </w:rPr>
        <w:t xml:space="preserve"> Reform </w:t>
      </w:r>
      <w:r w:rsidR="00786645" w:rsidRPr="00611F48">
        <w:rPr>
          <w:rFonts w:ascii="Arial" w:hAnsi="Arial" w:cs="Arial"/>
        </w:rPr>
        <w:t xml:space="preserve">Commission concluded that a tax shelter style exception would not be desirable because </w:t>
      </w:r>
      <w:r w:rsidR="00337DA7">
        <w:rPr>
          <w:rFonts w:ascii="Arial" w:hAnsi="Arial" w:cs="Arial"/>
        </w:rPr>
        <w:t>“this kind</w:t>
      </w:r>
      <w:r w:rsidR="00367177" w:rsidRPr="00611F48">
        <w:rPr>
          <w:rFonts w:ascii="Arial" w:hAnsi="Arial" w:cs="Arial"/>
        </w:rPr>
        <w:t xml:space="preserve"> of advice already shoul</w:t>
      </w:r>
      <w:r w:rsidR="005D1D7F">
        <w:rPr>
          <w:rFonts w:ascii="Arial" w:hAnsi="Arial" w:cs="Arial"/>
        </w:rPr>
        <w:t>d be covered by</w:t>
      </w:r>
      <w:r w:rsidR="00755B63">
        <w:rPr>
          <w:rFonts w:ascii="Arial" w:hAnsi="Arial" w:cs="Arial"/>
        </w:rPr>
        <w:t xml:space="preserve"> the general fraud</w:t>
      </w:r>
      <w:r w:rsidR="00367177" w:rsidRPr="00611F48">
        <w:rPr>
          <w:rFonts w:ascii="Arial" w:hAnsi="Arial" w:cs="Arial"/>
        </w:rPr>
        <w:t xml:space="preserve"> or crime exception (which is not a feature of the US model)</w:t>
      </w:r>
      <w:r w:rsidR="002F5C46" w:rsidRPr="00611F48">
        <w:rPr>
          <w:rFonts w:ascii="Arial" w:hAnsi="Arial" w:cs="Arial"/>
        </w:rPr>
        <w:t>.”</w:t>
      </w:r>
      <w:r w:rsidR="00786645" w:rsidRPr="00611F48">
        <w:rPr>
          <w:rStyle w:val="FootnoteReference"/>
          <w:rFonts w:ascii="Arial" w:hAnsi="Arial" w:cs="Arial"/>
        </w:rPr>
        <w:footnoteReference w:id="130"/>
      </w:r>
      <w:r w:rsidR="00367177" w:rsidRPr="00611F48">
        <w:rPr>
          <w:rFonts w:ascii="Arial" w:hAnsi="Arial" w:cs="Arial"/>
        </w:rPr>
        <w:t xml:space="preserve"> </w:t>
      </w:r>
      <w:r w:rsidR="00E956AF">
        <w:rPr>
          <w:rFonts w:ascii="Arial" w:hAnsi="Arial" w:cs="Arial"/>
        </w:rPr>
        <w:t xml:space="preserve">The point was not considered further by the Commission and it is not clear why the exception was referred to as not being “a feature” of the US model. On the contrary, the exception has been raised in </w:t>
      </w:r>
      <w:r w:rsidR="00687F7D">
        <w:rPr>
          <w:rFonts w:ascii="Arial" w:hAnsi="Arial" w:cs="Arial"/>
        </w:rPr>
        <w:t xml:space="preserve">US </w:t>
      </w:r>
      <w:r w:rsidR="00E956AF">
        <w:rPr>
          <w:rFonts w:ascii="Arial" w:hAnsi="Arial" w:cs="Arial"/>
        </w:rPr>
        <w:t>cases involving both attorney-client privilege and tax practitioner privilege.</w:t>
      </w:r>
    </w:p>
    <w:p w14:paraId="474D181B" w14:textId="77777777" w:rsidR="00525645" w:rsidRPr="00611F48" w:rsidRDefault="00525645" w:rsidP="00EE1BD2">
      <w:pPr>
        <w:pStyle w:val="Body"/>
        <w:spacing w:line="480" w:lineRule="auto"/>
        <w:rPr>
          <w:rFonts w:ascii="Arial" w:hAnsi="Arial" w:cs="Arial"/>
          <w:b/>
          <w:bCs/>
          <w:u w:val="single"/>
          <w:lang w:val="en-US"/>
        </w:rPr>
      </w:pPr>
    </w:p>
    <w:p w14:paraId="73A2A48A" w14:textId="77777777" w:rsidR="00525645" w:rsidRPr="00181528" w:rsidRDefault="006E71F1" w:rsidP="00EE1BD2">
      <w:pPr>
        <w:pStyle w:val="Body"/>
        <w:spacing w:line="480" w:lineRule="auto"/>
        <w:rPr>
          <w:rFonts w:ascii="Arial" w:hAnsi="Arial" w:cs="Arial"/>
          <w:bCs/>
          <w:i/>
          <w:lang w:val="en-US"/>
        </w:rPr>
      </w:pPr>
      <w:r w:rsidRPr="00181528">
        <w:rPr>
          <w:rFonts w:ascii="Arial" w:hAnsi="Arial" w:cs="Arial"/>
          <w:bCs/>
          <w:i/>
          <w:lang w:val="en-US"/>
        </w:rPr>
        <w:t>IRS Summons and the Crime-Fraud exception</w:t>
      </w:r>
    </w:p>
    <w:p w14:paraId="2D0DF04D" w14:textId="77777777" w:rsidR="002F5C46" w:rsidRDefault="002F5C46" w:rsidP="00EE1BD2">
      <w:pPr>
        <w:pStyle w:val="Body"/>
        <w:spacing w:line="480" w:lineRule="auto"/>
        <w:rPr>
          <w:rFonts w:ascii="Arial" w:hAnsi="Arial" w:cs="Arial"/>
          <w:lang w:val="en-US"/>
        </w:rPr>
      </w:pPr>
      <w:r w:rsidRPr="00611F48">
        <w:rPr>
          <w:rFonts w:ascii="Arial" w:hAnsi="Arial" w:cs="Arial"/>
          <w:lang w:val="en-US"/>
        </w:rPr>
        <w:t>Under provisions in the Internal Revenue Code, a summons can be issued to “</w:t>
      </w:r>
      <w:r w:rsidR="002A25B7" w:rsidRPr="00611F48">
        <w:rPr>
          <w:rFonts w:ascii="Arial" w:hAnsi="Arial" w:cs="Arial"/>
          <w:lang w:val="en-US"/>
        </w:rPr>
        <w:t>examine any books, papers, records, or other data which</w:t>
      </w:r>
      <w:r w:rsidRPr="00611F48">
        <w:rPr>
          <w:rFonts w:ascii="Arial" w:hAnsi="Arial" w:cs="Arial"/>
          <w:lang w:val="en-US"/>
        </w:rPr>
        <w:t xml:space="preserve"> may be relevant or material</w:t>
      </w:r>
      <w:proofErr w:type="gramStart"/>
      <w:r w:rsidRPr="00611F48">
        <w:rPr>
          <w:rFonts w:ascii="Arial" w:hAnsi="Arial" w:cs="Arial"/>
          <w:lang w:val="en-US"/>
        </w:rPr>
        <w:t>..'</w:t>
      </w:r>
      <w:proofErr w:type="gramEnd"/>
      <w:r w:rsidRPr="00611F48">
        <w:rPr>
          <w:rFonts w:ascii="Arial" w:hAnsi="Arial" w:cs="Arial"/>
          <w:lang w:val="en-US"/>
        </w:rPr>
        <w:t xml:space="preserve">” </w:t>
      </w:r>
      <w:r w:rsidR="002A25B7" w:rsidRPr="00611F48">
        <w:rPr>
          <w:rFonts w:ascii="Arial" w:hAnsi="Arial" w:cs="Arial"/>
          <w:lang w:val="en-US"/>
        </w:rPr>
        <w:t xml:space="preserve">to an inquiry into the accuracy of a tax return, </w:t>
      </w:r>
      <w:r w:rsidR="00907142">
        <w:rPr>
          <w:rFonts w:ascii="Arial" w:hAnsi="Arial" w:cs="Arial"/>
          <w:lang w:val="en-US"/>
        </w:rPr>
        <w:t xml:space="preserve">to the </w:t>
      </w:r>
      <w:r w:rsidR="002A25B7" w:rsidRPr="00611F48">
        <w:rPr>
          <w:rFonts w:ascii="Arial" w:hAnsi="Arial" w:cs="Arial"/>
          <w:lang w:val="en-US"/>
        </w:rPr>
        <w:t xml:space="preserve">making </w:t>
      </w:r>
      <w:r w:rsidR="00907142">
        <w:rPr>
          <w:rFonts w:ascii="Arial" w:hAnsi="Arial" w:cs="Arial"/>
          <w:lang w:val="en-US"/>
        </w:rPr>
        <w:t xml:space="preserve">of </w:t>
      </w:r>
      <w:r w:rsidR="002A25B7" w:rsidRPr="00611F48">
        <w:rPr>
          <w:rFonts w:ascii="Arial" w:hAnsi="Arial" w:cs="Arial"/>
          <w:lang w:val="en-US"/>
        </w:rPr>
        <w:t>a return where non</w:t>
      </w:r>
      <w:r w:rsidR="005A772A" w:rsidRPr="00611F48">
        <w:rPr>
          <w:rFonts w:ascii="Arial" w:hAnsi="Arial" w:cs="Arial"/>
          <w:lang w:val="en-US"/>
        </w:rPr>
        <w:t>e</w:t>
      </w:r>
      <w:r w:rsidR="002A25B7" w:rsidRPr="00611F48">
        <w:rPr>
          <w:rFonts w:ascii="Arial" w:hAnsi="Arial" w:cs="Arial"/>
          <w:lang w:val="en-US"/>
        </w:rPr>
        <w:t xml:space="preserve"> has been filed and </w:t>
      </w:r>
      <w:r w:rsidR="00907142">
        <w:rPr>
          <w:rFonts w:ascii="Arial" w:hAnsi="Arial" w:cs="Arial"/>
          <w:lang w:val="en-US"/>
        </w:rPr>
        <w:t xml:space="preserve">to the </w:t>
      </w:r>
      <w:r w:rsidR="002A25B7" w:rsidRPr="00611F48">
        <w:rPr>
          <w:rFonts w:ascii="Arial" w:hAnsi="Arial" w:cs="Arial"/>
          <w:lang w:val="en-US"/>
        </w:rPr>
        <w:t>determination of tax liability</w:t>
      </w:r>
      <w:r w:rsidRPr="00611F48">
        <w:rPr>
          <w:rFonts w:ascii="Arial" w:hAnsi="Arial" w:cs="Arial"/>
          <w:lang w:val="en-US"/>
        </w:rPr>
        <w:t>.</w:t>
      </w:r>
      <w:r w:rsidR="002A25B7" w:rsidRPr="00611F48">
        <w:rPr>
          <w:rFonts w:ascii="Arial" w:eastAsia="Helvetica" w:hAnsi="Arial" w:cs="Arial"/>
          <w:vertAlign w:val="superscript"/>
        </w:rPr>
        <w:footnoteReference w:id="131"/>
      </w:r>
      <w:r w:rsidRPr="00611F48">
        <w:rPr>
          <w:rFonts w:ascii="Arial" w:hAnsi="Arial" w:cs="Arial"/>
          <w:lang w:val="en-US"/>
        </w:rPr>
        <w:t xml:space="preserve"> </w:t>
      </w:r>
      <w:r w:rsidR="002A25B7" w:rsidRPr="00611F48">
        <w:rPr>
          <w:rFonts w:ascii="Arial" w:hAnsi="Arial" w:cs="Arial"/>
          <w:lang w:val="en-US"/>
        </w:rPr>
        <w:t>Oral examination of the taxpayer</w:t>
      </w:r>
      <w:r w:rsidR="002A25B7" w:rsidRPr="00611F48">
        <w:rPr>
          <w:rFonts w:ascii="Arial" w:hAnsi="Arial" w:cs="Arial"/>
          <w:i/>
          <w:iCs/>
          <w:lang w:val="en-US"/>
        </w:rPr>
        <w:t xml:space="preserve">, </w:t>
      </w:r>
      <w:r w:rsidR="002A25B7" w:rsidRPr="00611F48">
        <w:rPr>
          <w:rFonts w:ascii="Arial" w:hAnsi="Arial" w:cs="Arial"/>
          <w:lang w:val="en-US"/>
        </w:rPr>
        <w:t>his/her adviser is also provided for</w:t>
      </w:r>
      <w:r w:rsidR="00FD5BC8" w:rsidRPr="00611F48">
        <w:rPr>
          <w:rFonts w:ascii="Arial" w:hAnsi="Arial" w:cs="Arial"/>
          <w:lang w:val="en-US"/>
        </w:rPr>
        <w:t>.</w:t>
      </w:r>
      <w:r w:rsidR="002A25B7" w:rsidRPr="00611F48">
        <w:rPr>
          <w:rFonts w:ascii="Arial" w:eastAsia="Helvetica" w:hAnsi="Arial" w:cs="Arial"/>
          <w:vertAlign w:val="superscript"/>
        </w:rPr>
        <w:footnoteReference w:id="132"/>
      </w:r>
      <w:r w:rsidR="002A25B7" w:rsidRPr="00611F48">
        <w:rPr>
          <w:rFonts w:ascii="Arial" w:hAnsi="Arial" w:cs="Arial"/>
          <w:lang w:val="en-US"/>
        </w:rPr>
        <w:t xml:space="preserve"> Where documents requested in a summons are not produced, a petition can be made to a federal dis</w:t>
      </w:r>
      <w:r w:rsidR="00FD5BC8" w:rsidRPr="00611F48">
        <w:rPr>
          <w:rFonts w:ascii="Arial" w:hAnsi="Arial" w:cs="Arial"/>
          <w:lang w:val="en-US"/>
        </w:rPr>
        <w:t xml:space="preserve">trict court </w:t>
      </w:r>
      <w:r w:rsidR="002A25B7" w:rsidRPr="00611F48">
        <w:rPr>
          <w:rFonts w:ascii="Arial" w:hAnsi="Arial" w:cs="Arial"/>
          <w:lang w:val="en-US"/>
        </w:rPr>
        <w:t>for an order compelling compliance with the summons</w:t>
      </w:r>
      <w:r w:rsidR="00FD5BC8" w:rsidRPr="00611F48">
        <w:rPr>
          <w:rFonts w:ascii="Arial" w:hAnsi="Arial" w:cs="Arial"/>
          <w:lang w:val="en-US"/>
        </w:rPr>
        <w:t>.</w:t>
      </w:r>
      <w:r w:rsidR="002A25B7" w:rsidRPr="00611F48">
        <w:rPr>
          <w:rFonts w:ascii="Arial" w:eastAsia="Helvetica" w:hAnsi="Arial" w:cs="Arial"/>
          <w:vertAlign w:val="superscript"/>
        </w:rPr>
        <w:footnoteReference w:id="133"/>
      </w:r>
      <w:r w:rsidR="00FD5BC8" w:rsidRPr="00611F48">
        <w:rPr>
          <w:rFonts w:ascii="Arial" w:hAnsi="Arial" w:cs="Arial"/>
          <w:lang w:val="en-US"/>
        </w:rPr>
        <w:t xml:space="preserve"> </w:t>
      </w:r>
      <w:r w:rsidR="002A25B7" w:rsidRPr="00611F48">
        <w:rPr>
          <w:rFonts w:ascii="Arial" w:hAnsi="Arial" w:cs="Arial"/>
          <w:lang w:val="en-US"/>
        </w:rPr>
        <w:t xml:space="preserve"> Under the requirements set out in </w:t>
      </w:r>
      <w:r w:rsidR="002A25B7" w:rsidRPr="00611F48">
        <w:rPr>
          <w:rFonts w:ascii="Arial" w:hAnsi="Arial" w:cs="Arial"/>
          <w:i/>
          <w:lang w:val="en-US"/>
        </w:rPr>
        <w:t>United States v. Powell</w:t>
      </w:r>
      <w:r w:rsidR="00FD5BC8" w:rsidRPr="00611F48">
        <w:rPr>
          <w:rFonts w:ascii="Arial" w:hAnsi="Arial" w:cs="Arial"/>
          <w:lang w:val="en-US"/>
        </w:rPr>
        <w:t>,</w:t>
      </w:r>
      <w:r w:rsidR="002A25B7" w:rsidRPr="00611F48">
        <w:rPr>
          <w:rFonts w:ascii="Arial" w:eastAsia="Helvetica" w:hAnsi="Arial" w:cs="Arial"/>
          <w:vertAlign w:val="superscript"/>
        </w:rPr>
        <w:footnoteReference w:id="134"/>
      </w:r>
      <w:r w:rsidR="00FD5BC8" w:rsidRPr="00611F48">
        <w:rPr>
          <w:rFonts w:ascii="Arial" w:hAnsi="Arial" w:cs="Arial"/>
          <w:lang w:val="en-US"/>
        </w:rPr>
        <w:t xml:space="preserve"> </w:t>
      </w:r>
      <w:r w:rsidR="002A25B7" w:rsidRPr="00611F48">
        <w:rPr>
          <w:rFonts w:ascii="Arial" w:hAnsi="Arial" w:cs="Arial"/>
          <w:lang w:val="en-US"/>
        </w:rPr>
        <w:t xml:space="preserve"> </w:t>
      </w:r>
      <w:r w:rsidR="00181528">
        <w:rPr>
          <w:rFonts w:ascii="Arial" w:hAnsi="Arial" w:cs="Arial"/>
          <w:lang w:val="en-US"/>
        </w:rPr>
        <w:t>t</w:t>
      </w:r>
      <w:r w:rsidR="002A25B7" w:rsidRPr="00611F48">
        <w:rPr>
          <w:rFonts w:ascii="Arial" w:hAnsi="Arial" w:cs="Arial"/>
          <w:lang w:val="en-US"/>
        </w:rPr>
        <w:t>o ob</w:t>
      </w:r>
      <w:r w:rsidR="001408C2" w:rsidRPr="00611F48">
        <w:rPr>
          <w:rFonts w:ascii="Arial" w:hAnsi="Arial" w:cs="Arial"/>
          <w:lang w:val="en-US"/>
        </w:rPr>
        <w:t>tain such an order the IRS must</w:t>
      </w:r>
      <w:r w:rsidR="002A25B7" w:rsidRPr="00611F48">
        <w:rPr>
          <w:rFonts w:ascii="Arial" w:hAnsi="Arial" w:cs="Arial"/>
          <w:lang w:val="en-US"/>
        </w:rPr>
        <w:t xml:space="preserve"> establish that the investigation</w:t>
      </w:r>
      <w:r w:rsidR="003B61F2">
        <w:rPr>
          <w:rFonts w:ascii="Arial" w:hAnsi="Arial" w:cs="Arial"/>
          <w:lang w:val="en-US"/>
        </w:rPr>
        <w:t>,</w:t>
      </w:r>
      <w:r w:rsidR="002A25B7" w:rsidRPr="00611F48">
        <w:rPr>
          <w:rFonts w:ascii="Arial" w:hAnsi="Arial" w:cs="Arial"/>
          <w:lang w:val="en-US"/>
        </w:rPr>
        <w:t xml:space="preserve"> pursuant to which t</w:t>
      </w:r>
      <w:r w:rsidR="00FD5BC8" w:rsidRPr="00611F48">
        <w:rPr>
          <w:rFonts w:ascii="Arial" w:hAnsi="Arial" w:cs="Arial"/>
          <w:lang w:val="en-US"/>
        </w:rPr>
        <w:t>he summons is being sought</w:t>
      </w:r>
      <w:r w:rsidR="003B61F2">
        <w:rPr>
          <w:rFonts w:ascii="Arial" w:hAnsi="Arial" w:cs="Arial"/>
          <w:lang w:val="en-US"/>
        </w:rPr>
        <w:t>,</w:t>
      </w:r>
      <w:r w:rsidR="00FD5BC8" w:rsidRPr="00611F48">
        <w:rPr>
          <w:rFonts w:ascii="Arial" w:hAnsi="Arial" w:cs="Arial"/>
          <w:lang w:val="en-US"/>
        </w:rPr>
        <w:t xml:space="preserve"> has </w:t>
      </w:r>
      <w:r w:rsidR="002A25B7" w:rsidRPr="00611F48">
        <w:rPr>
          <w:rFonts w:ascii="Arial" w:hAnsi="Arial" w:cs="Arial"/>
          <w:lang w:val="en-US"/>
        </w:rPr>
        <w:t xml:space="preserve">a legitimate purpose and that the inquiry or the materials sought may be relevant to that </w:t>
      </w:r>
      <w:r w:rsidR="002A25B7" w:rsidRPr="00611F48">
        <w:rPr>
          <w:rFonts w:ascii="Arial" w:hAnsi="Arial" w:cs="Arial"/>
          <w:lang w:val="en-US"/>
        </w:rPr>
        <w:lastRenderedPageBreak/>
        <w:t xml:space="preserve">purpose, that this </w:t>
      </w:r>
      <w:r w:rsidR="0094067E">
        <w:rPr>
          <w:rFonts w:ascii="Arial" w:hAnsi="Arial" w:cs="Arial"/>
        </w:rPr>
        <w:t>information</w:t>
      </w:r>
      <w:r w:rsidR="002A25B7" w:rsidRPr="00611F48">
        <w:rPr>
          <w:rFonts w:ascii="Arial" w:hAnsi="Arial" w:cs="Arial"/>
          <w:lang w:val="en-US"/>
        </w:rPr>
        <w:t xml:space="preserve"> is not already within the possession of the IRS and that relevant administrative steps have been taken. </w:t>
      </w:r>
      <w:r w:rsidR="002A25B7" w:rsidRPr="00611F48">
        <w:rPr>
          <w:rFonts w:ascii="Arial" w:hAnsi="Arial" w:cs="Arial"/>
        </w:rPr>
        <w:t xml:space="preserve">A prima facie case can be made that these requirements have been met on the face of the summons and by supporting </w:t>
      </w:r>
      <w:r w:rsidR="00CE16C3" w:rsidRPr="00611F48">
        <w:rPr>
          <w:rFonts w:ascii="Arial" w:hAnsi="Arial" w:cs="Arial"/>
        </w:rPr>
        <w:t>affidavits</w:t>
      </w:r>
      <w:r w:rsidR="002A25B7" w:rsidRPr="00611F48">
        <w:rPr>
          <w:rFonts w:ascii="Arial" w:hAnsi="Arial" w:cs="Arial"/>
        </w:rPr>
        <w:t>.</w:t>
      </w:r>
      <w:r w:rsidRPr="00611F48">
        <w:rPr>
          <w:rFonts w:ascii="Arial" w:hAnsi="Arial" w:cs="Arial"/>
          <w:lang w:val="en-US"/>
        </w:rPr>
        <w:t xml:space="preserve"> </w:t>
      </w:r>
      <w:r w:rsidR="003B61F2">
        <w:rPr>
          <w:rFonts w:ascii="Arial" w:hAnsi="Arial" w:cs="Arial"/>
          <w:lang w:val="en-US"/>
        </w:rPr>
        <w:t>I</w:t>
      </w:r>
      <w:r w:rsidRPr="00611F48">
        <w:rPr>
          <w:rFonts w:ascii="Arial" w:hAnsi="Arial" w:cs="Arial"/>
          <w:lang w:val="en-US"/>
        </w:rPr>
        <w:t>t is clear that</w:t>
      </w:r>
      <w:r w:rsidR="00FD424E">
        <w:rPr>
          <w:rFonts w:ascii="Arial" w:hAnsi="Arial" w:cs="Arial"/>
          <w:lang w:val="en-US"/>
        </w:rPr>
        <w:t xml:space="preserve"> “the obligation imposed by a tax summons remains ‘subject to the traditional </w:t>
      </w:r>
      <w:r w:rsidR="00A42D1B">
        <w:rPr>
          <w:rFonts w:ascii="Arial" w:hAnsi="Arial" w:cs="Arial"/>
          <w:lang w:val="en-US"/>
        </w:rPr>
        <w:t>privileges and limitations’”</w:t>
      </w:r>
      <w:r w:rsidR="0094067E">
        <w:rPr>
          <w:rFonts w:ascii="Arial" w:hAnsi="Arial" w:cs="Arial"/>
          <w:lang w:val="en-US"/>
        </w:rPr>
        <w:t>.</w:t>
      </w:r>
      <w:r w:rsidR="00A42D1B" w:rsidRPr="00A42D1B">
        <w:rPr>
          <w:rFonts w:ascii="Arial" w:eastAsia="Helvetica" w:hAnsi="Arial" w:cs="Arial"/>
          <w:vertAlign w:val="superscript"/>
        </w:rPr>
        <w:t xml:space="preserve"> </w:t>
      </w:r>
      <w:r w:rsidR="00A42D1B" w:rsidRPr="00611F48">
        <w:rPr>
          <w:rFonts w:ascii="Arial" w:eastAsia="Helvetica" w:hAnsi="Arial" w:cs="Arial"/>
          <w:vertAlign w:val="superscript"/>
        </w:rPr>
        <w:footnoteReference w:id="135"/>
      </w:r>
      <w:r w:rsidR="00A42D1B">
        <w:rPr>
          <w:rFonts w:ascii="Arial" w:eastAsia="Helvetica" w:hAnsi="Arial" w:cs="Arial"/>
          <w:vertAlign w:val="superscript"/>
        </w:rPr>
        <w:t xml:space="preserve"> </w:t>
      </w:r>
      <w:r w:rsidR="00A42D1B">
        <w:rPr>
          <w:rFonts w:ascii="Arial" w:hAnsi="Arial" w:cs="Arial"/>
          <w:lang w:val="en-US"/>
        </w:rPr>
        <w:t xml:space="preserve">Therefore, as illustrated in </w:t>
      </w:r>
      <w:r w:rsidR="00A42D1B" w:rsidRPr="00885F29">
        <w:rPr>
          <w:rFonts w:ascii="Arial" w:hAnsi="Arial" w:cs="Arial"/>
          <w:i/>
          <w:lang w:val="en-US"/>
        </w:rPr>
        <w:t>BDO</w:t>
      </w:r>
      <w:r w:rsidR="00A42D1B">
        <w:rPr>
          <w:rFonts w:ascii="Arial" w:hAnsi="Arial" w:cs="Arial"/>
          <w:lang w:val="en-US"/>
        </w:rPr>
        <w:t xml:space="preserve">, </w:t>
      </w:r>
      <w:r w:rsidR="0094067E">
        <w:rPr>
          <w:rFonts w:ascii="Arial" w:hAnsi="Arial" w:cs="Arial"/>
          <w:lang w:val="en-US"/>
        </w:rPr>
        <w:t>attorney-</w:t>
      </w:r>
      <w:r w:rsidR="00A42D1B">
        <w:rPr>
          <w:rFonts w:ascii="Arial" w:hAnsi="Arial" w:cs="Arial"/>
          <w:lang w:val="en-US"/>
        </w:rPr>
        <w:t xml:space="preserve">client privilege can be claimed but the crime-fraud exception can be raised by the IRS.  </w:t>
      </w:r>
    </w:p>
    <w:p w14:paraId="0AC8923E" w14:textId="77777777" w:rsidR="001408C2" w:rsidRPr="00611F48" w:rsidRDefault="001408C2" w:rsidP="00EE1BD2">
      <w:pPr>
        <w:pStyle w:val="Body"/>
        <w:spacing w:line="480" w:lineRule="auto"/>
        <w:rPr>
          <w:rFonts w:ascii="Arial" w:hAnsi="Arial" w:cs="Arial"/>
          <w:lang w:val="en-US"/>
        </w:rPr>
      </w:pPr>
    </w:p>
    <w:p w14:paraId="4B9F06F3" w14:textId="170E6FF3" w:rsidR="00AD0AE7" w:rsidRPr="00611F48" w:rsidRDefault="001408C2" w:rsidP="00EE1BD2">
      <w:pPr>
        <w:pStyle w:val="Body"/>
        <w:spacing w:line="480" w:lineRule="auto"/>
        <w:rPr>
          <w:rFonts w:ascii="Arial" w:hAnsi="Arial" w:cs="Arial"/>
          <w:lang w:val="en-US"/>
        </w:rPr>
      </w:pPr>
      <w:r w:rsidRPr="00611F48">
        <w:rPr>
          <w:rFonts w:ascii="Arial" w:hAnsi="Arial" w:cs="Arial"/>
          <w:lang w:val="en-US"/>
        </w:rPr>
        <w:t xml:space="preserve">The examination regime in the </w:t>
      </w:r>
      <w:r w:rsidR="00014010" w:rsidRPr="00611F48">
        <w:rPr>
          <w:rFonts w:ascii="Arial" w:hAnsi="Arial" w:cs="Arial"/>
          <w:lang w:val="en-US"/>
        </w:rPr>
        <w:t xml:space="preserve">English </w:t>
      </w:r>
      <w:r w:rsidRPr="00611F48">
        <w:rPr>
          <w:rFonts w:ascii="Arial" w:hAnsi="Arial" w:cs="Arial"/>
          <w:lang w:val="en-US"/>
        </w:rPr>
        <w:t xml:space="preserve">Tribunal </w:t>
      </w:r>
      <w:r w:rsidR="0045111C" w:rsidRPr="00611F48">
        <w:rPr>
          <w:rFonts w:ascii="Arial" w:hAnsi="Arial" w:cs="Arial"/>
          <w:lang w:val="en-US"/>
        </w:rPr>
        <w:t xml:space="preserve">in the context of information notices </w:t>
      </w:r>
      <w:r w:rsidRPr="00611F48">
        <w:rPr>
          <w:rFonts w:ascii="Arial" w:hAnsi="Arial" w:cs="Arial"/>
          <w:lang w:val="en-US"/>
        </w:rPr>
        <w:t xml:space="preserve">is in clear contrast to the </w:t>
      </w:r>
      <w:r w:rsidR="00014010" w:rsidRPr="00611F48">
        <w:rPr>
          <w:rFonts w:ascii="Arial" w:hAnsi="Arial" w:cs="Arial"/>
          <w:lang w:val="en-US"/>
        </w:rPr>
        <w:t>proc</w:t>
      </w:r>
      <w:r w:rsidR="00C03BDC">
        <w:rPr>
          <w:rFonts w:ascii="Arial" w:hAnsi="Arial" w:cs="Arial"/>
          <w:lang w:val="en-US"/>
        </w:rPr>
        <w:t>ess followed in the US</w:t>
      </w:r>
      <w:r w:rsidR="00014010" w:rsidRPr="00611F48">
        <w:rPr>
          <w:rFonts w:ascii="Arial" w:hAnsi="Arial" w:cs="Arial"/>
          <w:lang w:val="en-US"/>
        </w:rPr>
        <w:t xml:space="preserve"> regarding </w:t>
      </w:r>
      <w:r w:rsidR="00916742">
        <w:rPr>
          <w:rFonts w:ascii="Arial" w:hAnsi="Arial" w:cs="Arial"/>
          <w:lang w:val="en-US"/>
        </w:rPr>
        <w:t xml:space="preserve">an </w:t>
      </w:r>
      <w:r w:rsidR="00014010" w:rsidRPr="00611F48">
        <w:rPr>
          <w:rFonts w:ascii="Arial" w:hAnsi="Arial" w:cs="Arial"/>
          <w:lang w:val="en-US"/>
        </w:rPr>
        <w:t xml:space="preserve">IRS summons. Privilege disputes relating to material required by information notices issued by </w:t>
      </w:r>
      <w:r w:rsidR="00671D65">
        <w:rPr>
          <w:rFonts w:ascii="Arial" w:hAnsi="Arial" w:cs="Arial"/>
          <w:lang w:val="en-US"/>
        </w:rPr>
        <w:t xml:space="preserve">HMRC </w:t>
      </w:r>
      <w:r w:rsidR="00014010" w:rsidRPr="00611F48">
        <w:rPr>
          <w:rFonts w:ascii="Arial" w:hAnsi="Arial" w:cs="Arial"/>
          <w:lang w:val="en-US"/>
        </w:rPr>
        <w:t xml:space="preserve">are dealt with by an apparently automatic delivery up </w:t>
      </w:r>
      <w:r w:rsidR="00916742">
        <w:rPr>
          <w:rFonts w:ascii="Arial" w:hAnsi="Arial" w:cs="Arial"/>
          <w:lang w:val="en-US"/>
        </w:rPr>
        <w:t xml:space="preserve">to </w:t>
      </w:r>
      <w:r w:rsidR="00014010" w:rsidRPr="00611F48">
        <w:rPr>
          <w:rFonts w:ascii="Arial" w:hAnsi="Arial" w:cs="Arial"/>
          <w:lang w:val="en-US"/>
        </w:rPr>
        <w:t xml:space="preserve">and review by the Tribunal of the relevant material. In contrast, material required </w:t>
      </w:r>
      <w:r w:rsidR="00AD0AE7" w:rsidRPr="00611F48">
        <w:rPr>
          <w:rFonts w:ascii="Arial" w:hAnsi="Arial" w:cs="Arial"/>
          <w:lang w:val="en-US"/>
        </w:rPr>
        <w:t xml:space="preserve">by </w:t>
      </w:r>
      <w:r w:rsidR="00014010" w:rsidRPr="00611F48">
        <w:rPr>
          <w:rFonts w:ascii="Arial" w:hAnsi="Arial" w:cs="Arial"/>
          <w:lang w:val="en-US"/>
        </w:rPr>
        <w:t>an IRS summons can be withheld</w:t>
      </w:r>
      <w:r w:rsidR="006243CD" w:rsidRPr="00611F48">
        <w:rPr>
          <w:rFonts w:ascii="Arial" w:hAnsi="Arial" w:cs="Arial"/>
          <w:lang w:val="en-US"/>
        </w:rPr>
        <w:t xml:space="preserve"> </w:t>
      </w:r>
      <w:r w:rsidR="00AD0AE7" w:rsidRPr="00611F48">
        <w:rPr>
          <w:rFonts w:ascii="Arial" w:hAnsi="Arial" w:cs="Arial"/>
          <w:lang w:val="en-US"/>
        </w:rPr>
        <w:t xml:space="preserve">pursuant to a </w:t>
      </w:r>
      <w:r w:rsidR="006243CD" w:rsidRPr="00611F48">
        <w:rPr>
          <w:rFonts w:ascii="Arial" w:hAnsi="Arial" w:cs="Arial"/>
          <w:lang w:val="en-US"/>
        </w:rPr>
        <w:t>claim of privilege. The IRS is then obliged to petition the court, at which point the court may choose to conduct an in camera review of the material</w:t>
      </w:r>
      <w:r w:rsidR="00B30F57">
        <w:rPr>
          <w:rFonts w:ascii="Arial" w:hAnsi="Arial" w:cs="Arial"/>
          <w:lang w:val="en-US"/>
        </w:rPr>
        <w:t>. W</w:t>
      </w:r>
      <w:r w:rsidR="00AD0AE7" w:rsidRPr="00611F48">
        <w:rPr>
          <w:rFonts w:ascii="Arial" w:hAnsi="Arial" w:cs="Arial"/>
          <w:lang w:val="en-US"/>
        </w:rPr>
        <w:t xml:space="preserve">here a claim of privilege is challenged using the crime-fraud exception, this review will not take place simply at the request of the IRS. Instead, a threshold </w:t>
      </w:r>
      <w:r w:rsidR="00C07E09" w:rsidRPr="00611F48">
        <w:rPr>
          <w:rFonts w:ascii="Arial" w:hAnsi="Arial" w:cs="Arial"/>
          <w:lang w:val="en-US"/>
        </w:rPr>
        <w:t xml:space="preserve">evidential test must be met. </w:t>
      </w:r>
    </w:p>
    <w:p w14:paraId="2EDA7B7C" w14:textId="77777777" w:rsidR="00AD0AE7" w:rsidRPr="00611F48" w:rsidRDefault="00AD0AE7" w:rsidP="00EE1BD2">
      <w:pPr>
        <w:pStyle w:val="Body"/>
        <w:spacing w:line="480" w:lineRule="auto"/>
        <w:rPr>
          <w:rFonts w:ascii="Arial" w:hAnsi="Arial" w:cs="Arial"/>
          <w:lang w:val="en-US"/>
        </w:rPr>
      </w:pPr>
    </w:p>
    <w:p w14:paraId="0EC00A68" w14:textId="77777777" w:rsidR="001408C2" w:rsidRPr="00611F48" w:rsidRDefault="00AD0AE7" w:rsidP="00EE1BD2">
      <w:pPr>
        <w:pStyle w:val="Body"/>
        <w:spacing w:line="480" w:lineRule="auto"/>
        <w:rPr>
          <w:rFonts w:ascii="Arial" w:hAnsi="Arial" w:cs="Arial"/>
          <w:lang w:val="en-US"/>
        </w:rPr>
      </w:pPr>
      <w:r w:rsidRPr="00611F48">
        <w:rPr>
          <w:rFonts w:ascii="Arial" w:hAnsi="Arial" w:cs="Arial"/>
          <w:lang w:val="en-US"/>
        </w:rPr>
        <w:t xml:space="preserve">This contrast is particularly striking given the apparent reluctance of English courts </w:t>
      </w:r>
      <w:r w:rsidR="00916742">
        <w:rPr>
          <w:rFonts w:ascii="Arial" w:hAnsi="Arial" w:cs="Arial"/>
          <w:lang w:val="en-US"/>
        </w:rPr>
        <w:t xml:space="preserve">in other contexts </w:t>
      </w:r>
      <w:r w:rsidRPr="00611F48">
        <w:rPr>
          <w:rFonts w:ascii="Arial" w:hAnsi="Arial" w:cs="Arial"/>
          <w:lang w:val="en-US"/>
        </w:rPr>
        <w:t>to examine allegedly privileged</w:t>
      </w:r>
      <w:r w:rsidR="00C07E09" w:rsidRPr="00611F48">
        <w:rPr>
          <w:rFonts w:ascii="Arial" w:hAnsi="Arial" w:cs="Arial"/>
          <w:lang w:val="en-US"/>
        </w:rPr>
        <w:t xml:space="preserve"> documents</w:t>
      </w:r>
      <w:r w:rsidR="00557888" w:rsidRPr="00611F48">
        <w:rPr>
          <w:rFonts w:ascii="Arial" w:hAnsi="Arial" w:cs="Arial"/>
          <w:lang w:val="en-US"/>
        </w:rPr>
        <w:t xml:space="preserve"> at all</w:t>
      </w:r>
      <w:r w:rsidR="00B30F57">
        <w:rPr>
          <w:rFonts w:ascii="Arial" w:hAnsi="Arial" w:cs="Arial"/>
          <w:lang w:val="en-US"/>
        </w:rPr>
        <w:t>,</w:t>
      </w:r>
      <w:r w:rsidR="00557888" w:rsidRPr="00611F48">
        <w:rPr>
          <w:rFonts w:ascii="Arial" w:hAnsi="Arial" w:cs="Arial"/>
          <w:lang w:val="en-US"/>
        </w:rPr>
        <w:t xml:space="preserve"> and then only where justified by an exceptional factor of real weight</w:t>
      </w:r>
      <w:r w:rsidR="00C07E09" w:rsidRPr="00611F48">
        <w:rPr>
          <w:rFonts w:ascii="Arial" w:hAnsi="Arial" w:cs="Arial"/>
          <w:lang w:val="en-US"/>
        </w:rPr>
        <w:t xml:space="preserve">. The </w:t>
      </w:r>
      <w:r w:rsidRPr="00611F48">
        <w:rPr>
          <w:rFonts w:ascii="Arial" w:hAnsi="Arial" w:cs="Arial"/>
          <w:lang w:val="en-US"/>
        </w:rPr>
        <w:t>very different reg</w:t>
      </w:r>
      <w:r w:rsidR="00C07E09" w:rsidRPr="00611F48">
        <w:rPr>
          <w:rFonts w:ascii="Arial" w:hAnsi="Arial" w:cs="Arial"/>
          <w:lang w:val="en-US"/>
        </w:rPr>
        <w:t xml:space="preserve">ime in the English Tribunal </w:t>
      </w:r>
      <w:r w:rsidR="00CD4DAA" w:rsidRPr="00611F48">
        <w:rPr>
          <w:rFonts w:ascii="Arial" w:hAnsi="Arial" w:cs="Arial"/>
          <w:lang w:val="en-US"/>
        </w:rPr>
        <w:t xml:space="preserve">in the context of information notice disputes </w:t>
      </w:r>
      <w:r w:rsidR="00916742">
        <w:rPr>
          <w:rFonts w:ascii="Arial" w:hAnsi="Arial" w:cs="Arial"/>
          <w:lang w:val="en-US"/>
        </w:rPr>
        <w:t xml:space="preserve">would seem to </w:t>
      </w:r>
      <w:r w:rsidRPr="00611F48">
        <w:rPr>
          <w:rFonts w:ascii="Arial" w:hAnsi="Arial" w:cs="Arial"/>
          <w:lang w:val="en-US"/>
        </w:rPr>
        <w:t xml:space="preserve">disadvantage the party claiming privilege, </w:t>
      </w:r>
      <w:r w:rsidR="00C07E09" w:rsidRPr="00611F48">
        <w:rPr>
          <w:rFonts w:ascii="Arial" w:hAnsi="Arial" w:cs="Arial"/>
          <w:lang w:val="en-US"/>
        </w:rPr>
        <w:t>because documents are routinely reviewed</w:t>
      </w:r>
      <w:r w:rsidR="00B30F57">
        <w:rPr>
          <w:rFonts w:ascii="Arial" w:hAnsi="Arial" w:cs="Arial"/>
          <w:lang w:val="en-US"/>
        </w:rPr>
        <w:t>,</w:t>
      </w:r>
      <w:r w:rsidR="00C07E09" w:rsidRPr="00611F48">
        <w:rPr>
          <w:rFonts w:ascii="Arial" w:hAnsi="Arial" w:cs="Arial"/>
          <w:lang w:val="en-US"/>
        </w:rPr>
        <w:t xml:space="preserve"> and</w:t>
      </w:r>
      <w:r w:rsidRPr="00611F48">
        <w:rPr>
          <w:rFonts w:ascii="Arial" w:hAnsi="Arial" w:cs="Arial"/>
          <w:lang w:val="en-US"/>
        </w:rPr>
        <w:t xml:space="preserve"> no thresho</w:t>
      </w:r>
      <w:r w:rsidR="00C07E09" w:rsidRPr="00611F48">
        <w:rPr>
          <w:rFonts w:ascii="Arial" w:hAnsi="Arial" w:cs="Arial"/>
          <w:lang w:val="en-US"/>
        </w:rPr>
        <w:t>ld test must be met</w:t>
      </w:r>
      <w:r w:rsidRPr="00611F48">
        <w:rPr>
          <w:rFonts w:ascii="Arial" w:hAnsi="Arial" w:cs="Arial"/>
          <w:lang w:val="en-US"/>
        </w:rPr>
        <w:t xml:space="preserve"> for review to take place. </w:t>
      </w:r>
      <w:r w:rsidR="00C07E09" w:rsidRPr="00611F48">
        <w:rPr>
          <w:rFonts w:ascii="Arial" w:hAnsi="Arial" w:cs="Arial"/>
          <w:lang w:val="en-US"/>
        </w:rPr>
        <w:t xml:space="preserve">Although the </w:t>
      </w:r>
      <w:r w:rsidR="00687F7D">
        <w:rPr>
          <w:rFonts w:ascii="Arial" w:hAnsi="Arial" w:cs="Arial"/>
          <w:lang w:val="en-US"/>
        </w:rPr>
        <w:t>threshold applied in the US</w:t>
      </w:r>
      <w:r w:rsidR="002C23BD" w:rsidRPr="00611F48">
        <w:rPr>
          <w:rFonts w:ascii="Arial" w:hAnsi="Arial" w:cs="Arial"/>
          <w:lang w:val="en-US"/>
        </w:rPr>
        <w:t xml:space="preserve"> for in camera review to take place</w:t>
      </w:r>
      <w:r w:rsidR="00CF4E13">
        <w:rPr>
          <w:rFonts w:ascii="Arial" w:hAnsi="Arial" w:cs="Arial"/>
          <w:lang w:val="en-US"/>
        </w:rPr>
        <w:t xml:space="preserve"> is</w:t>
      </w:r>
      <w:proofErr w:type="gramStart"/>
      <w:r w:rsidR="00CF4E13">
        <w:rPr>
          <w:rFonts w:ascii="Arial" w:hAnsi="Arial" w:cs="Arial"/>
          <w:lang w:val="en-US"/>
        </w:rPr>
        <w:t>,</w:t>
      </w:r>
      <w:proofErr w:type="gramEnd"/>
      <w:r w:rsidR="00687F7D">
        <w:rPr>
          <w:rFonts w:ascii="Arial" w:hAnsi="Arial" w:cs="Arial"/>
          <w:lang w:val="en-US"/>
        </w:rPr>
        <w:t xml:space="preserve"> </w:t>
      </w:r>
      <w:r w:rsidR="00C07E09" w:rsidRPr="00611F48">
        <w:rPr>
          <w:rFonts w:ascii="Arial" w:hAnsi="Arial" w:cs="Arial"/>
          <w:lang w:val="en-US"/>
        </w:rPr>
        <w:t>arguab</w:t>
      </w:r>
      <w:r w:rsidR="001E1117" w:rsidRPr="00611F48">
        <w:rPr>
          <w:rFonts w:ascii="Arial" w:hAnsi="Arial" w:cs="Arial"/>
          <w:lang w:val="en-US"/>
        </w:rPr>
        <w:t>ly, quite low</w:t>
      </w:r>
      <w:r w:rsidR="00B25D51" w:rsidRPr="00611F48">
        <w:rPr>
          <w:rFonts w:ascii="Arial" w:hAnsi="Arial" w:cs="Arial"/>
          <w:lang w:val="en-US"/>
        </w:rPr>
        <w:t>,</w:t>
      </w:r>
      <w:r w:rsidR="001E1117" w:rsidRPr="00611F48">
        <w:rPr>
          <w:rStyle w:val="FootnoteReference"/>
          <w:rFonts w:ascii="Arial" w:hAnsi="Arial" w:cs="Arial"/>
          <w:lang w:val="en-US"/>
        </w:rPr>
        <w:footnoteReference w:id="136"/>
      </w:r>
      <w:r w:rsidR="00C07E09" w:rsidRPr="00611F48">
        <w:rPr>
          <w:rFonts w:ascii="Arial" w:hAnsi="Arial" w:cs="Arial"/>
          <w:lang w:val="en-US"/>
        </w:rPr>
        <w:t xml:space="preserve"> there is at least some evidential standard to be met</w:t>
      </w:r>
      <w:r w:rsidR="002C23BD" w:rsidRPr="00611F48">
        <w:rPr>
          <w:rFonts w:ascii="Arial" w:hAnsi="Arial" w:cs="Arial"/>
          <w:lang w:val="en-US"/>
        </w:rPr>
        <w:t xml:space="preserve">. This seems to strike a more appropriate balance between the investigatory function and </w:t>
      </w:r>
      <w:r w:rsidR="002C23BD" w:rsidRPr="00611F48">
        <w:rPr>
          <w:rFonts w:ascii="Arial" w:hAnsi="Arial" w:cs="Arial"/>
          <w:lang w:val="en-US"/>
        </w:rPr>
        <w:lastRenderedPageBreak/>
        <w:t xml:space="preserve">information gathering powers of tax enforcement bodies and the rights of taxpayers vis a vis </w:t>
      </w:r>
      <w:r w:rsidR="00916742">
        <w:rPr>
          <w:rFonts w:ascii="Arial" w:hAnsi="Arial" w:cs="Arial"/>
          <w:lang w:val="en-US"/>
        </w:rPr>
        <w:t xml:space="preserve">the ability to claim </w:t>
      </w:r>
      <w:r w:rsidR="002C23BD" w:rsidRPr="00611F48">
        <w:rPr>
          <w:rFonts w:ascii="Arial" w:hAnsi="Arial" w:cs="Arial"/>
          <w:lang w:val="en-US"/>
        </w:rPr>
        <w:t>privilege.</w:t>
      </w:r>
    </w:p>
    <w:p w14:paraId="623426BE" w14:textId="77777777" w:rsidR="005C6AD6" w:rsidRPr="00611F48" w:rsidRDefault="005C6AD6" w:rsidP="00EE1BD2">
      <w:pPr>
        <w:pStyle w:val="Body"/>
        <w:spacing w:line="480" w:lineRule="auto"/>
        <w:rPr>
          <w:rFonts w:ascii="Arial" w:hAnsi="Arial" w:cs="Arial"/>
          <w:b/>
          <w:bCs/>
          <w:u w:val="single"/>
          <w:lang w:val="en-US"/>
        </w:rPr>
      </w:pPr>
    </w:p>
    <w:p w14:paraId="45B96240" w14:textId="437238BA" w:rsidR="002A25B7" w:rsidRPr="00181528" w:rsidRDefault="005C6AD6" w:rsidP="00EE1BD2">
      <w:pPr>
        <w:pStyle w:val="Body"/>
        <w:spacing w:line="480" w:lineRule="auto"/>
        <w:rPr>
          <w:rFonts w:ascii="Arial" w:hAnsi="Arial" w:cs="Arial"/>
          <w:i/>
        </w:rPr>
      </w:pPr>
      <w:r>
        <w:rPr>
          <w:rFonts w:ascii="Arial" w:hAnsi="Arial" w:cs="Arial"/>
          <w:i/>
        </w:rPr>
        <w:t>Q</w:t>
      </w:r>
      <w:r w:rsidR="002A25B7" w:rsidRPr="00181528">
        <w:rPr>
          <w:rFonts w:ascii="Arial" w:hAnsi="Arial" w:cs="Arial"/>
          <w:i/>
        </w:rPr>
        <w:t>uantu</w:t>
      </w:r>
      <w:r w:rsidR="0023733B" w:rsidRPr="00181528">
        <w:rPr>
          <w:rFonts w:ascii="Arial" w:hAnsi="Arial" w:cs="Arial"/>
          <w:i/>
        </w:rPr>
        <w:t>m of Proof and process – Crime-</w:t>
      </w:r>
      <w:r w:rsidR="002A25B7" w:rsidRPr="00181528">
        <w:rPr>
          <w:rFonts w:ascii="Arial" w:hAnsi="Arial" w:cs="Arial"/>
          <w:i/>
        </w:rPr>
        <w:t>fraud exception</w:t>
      </w:r>
    </w:p>
    <w:p w14:paraId="02ED8BA0" w14:textId="615A3144" w:rsidR="00634E64" w:rsidRDefault="002A25B7" w:rsidP="00EE1BD2">
      <w:pPr>
        <w:pStyle w:val="Body"/>
        <w:spacing w:line="480" w:lineRule="auto"/>
        <w:rPr>
          <w:rFonts w:ascii="Arial" w:hAnsi="Arial" w:cs="Arial"/>
        </w:rPr>
      </w:pPr>
      <w:r w:rsidRPr="00611F48">
        <w:rPr>
          <w:rFonts w:ascii="Arial" w:hAnsi="Arial" w:cs="Arial"/>
          <w:lang w:val="en-US"/>
        </w:rPr>
        <w:t>Assuming that the required elements for establishing attorney-client privilege have been met, the burden of proof is placed on the party opposing the privilege to establish that the crime/fraud exception applies</w:t>
      </w:r>
      <w:r w:rsidR="00C36F4B" w:rsidRPr="00611F48">
        <w:rPr>
          <w:rFonts w:ascii="Arial" w:hAnsi="Arial" w:cs="Arial"/>
          <w:lang w:val="en-US"/>
        </w:rPr>
        <w:t>.</w:t>
      </w:r>
      <w:r w:rsidRPr="00611F48">
        <w:rPr>
          <w:rFonts w:ascii="Arial" w:eastAsia="Helvetica" w:hAnsi="Arial" w:cs="Arial"/>
          <w:vertAlign w:val="superscript"/>
        </w:rPr>
        <w:footnoteReference w:id="137"/>
      </w:r>
      <w:r w:rsidRPr="00611F48">
        <w:rPr>
          <w:rFonts w:ascii="Arial" w:hAnsi="Arial" w:cs="Arial"/>
          <w:lang w:val="en-US"/>
        </w:rPr>
        <w:t xml:space="preserve">  </w:t>
      </w:r>
      <w:r w:rsidRPr="00611F48">
        <w:rPr>
          <w:rFonts w:ascii="Arial" w:hAnsi="Arial" w:cs="Arial"/>
        </w:rPr>
        <w:t xml:space="preserve">In </w:t>
      </w:r>
      <w:r w:rsidRPr="00611F48">
        <w:rPr>
          <w:rFonts w:ascii="Arial" w:hAnsi="Arial" w:cs="Arial"/>
          <w:i/>
        </w:rPr>
        <w:t>Clark v United States</w:t>
      </w:r>
      <w:r w:rsidR="00C36F4B" w:rsidRPr="00611F48">
        <w:rPr>
          <w:rFonts w:ascii="Arial" w:hAnsi="Arial" w:cs="Arial"/>
        </w:rPr>
        <w:t xml:space="preserve">, </w:t>
      </w:r>
      <w:r w:rsidRPr="00611F48">
        <w:rPr>
          <w:rFonts w:ascii="Arial" w:hAnsi="Arial" w:cs="Arial"/>
        </w:rPr>
        <w:t xml:space="preserve">the </w:t>
      </w:r>
      <w:r w:rsidRPr="00611F48">
        <w:rPr>
          <w:rFonts w:ascii="Arial" w:hAnsi="Arial" w:cs="Arial"/>
          <w:lang w:val="en-US"/>
        </w:rPr>
        <w:t>Supreme C</w:t>
      </w:r>
      <w:proofErr w:type="spellStart"/>
      <w:r w:rsidRPr="00611F48">
        <w:rPr>
          <w:rFonts w:ascii="Arial" w:hAnsi="Arial" w:cs="Arial"/>
        </w:rPr>
        <w:t>ourt</w:t>
      </w:r>
      <w:proofErr w:type="spellEnd"/>
      <w:r w:rsidRPr="00611F48">
        <w:rPr>
          <w:rFonts w:ascii="Arial" w:hAnsi="Arial" w:cs="Arial"/>
        </w:rPr>
        <w:t xml:space="preserve"> referred to the requirement that prima facie evidence is needed to support allegations of fraud in order to set aside the attorney/client privilege.</w:t>
      </w:r>
      <w:r w:rsidRPr="00611F48">
        <w:rPr>
          <w:rFonts w:ascii="Arial" w:eastAsia="Helvetica" w:hAnsi="Arial" w:cs="Arial"/>
          <w:vertAlign w:val="superscript"/>
        </w:rPr>
        <w:footnoteReference w:id="138"/>
      </w:r>
      <w:r w:rsidRPr="00611F48">
        <w:rPr>
          <w:rFonts w:ascii="Arial" w:hAnsi="Arial" w:cs="Arial"/>
        </w:rPr>
        <w:t xml:space="preserve"> This requirement has not been further clarified in terms of quantum of pro</w:t>
      </w:r>
      <w:r w:rsidR="004435C7">
        <w:rPr>
          <w:rFonts w:ascii="Arial" w:hAnsi="Arial" w:cs="Arial"/>
        </w:rPr>
        <w:t>of; in the most recent Supreme C</w:t>
      </w:r>
      <w:r w:rsidRPr="00611F48">
        <w:rPr>
          <w:rFonts w:ascii="Arial" w:hAnsi="Arial" w:cs="Arial"/>
        </w:rPr>
        <w:t>ourt case concerning crime/fraud</w:t>
      </w:r>
      <w:r w:rsidR="00634E64" w:rsidRPr="00611F48">
        <w:rPr>
          <w:rFonts w:ascii="Arial" w:hAnsi="Arial" w:cs="Arial"/>
        </w:rPr>
        <w:t xml:space="preserve">, </w:t>
      </w:r>
      <w:r w:rsidR="00634E64" w:rsidRPr="00611F48">
        <w:rPr>
          <w:rFonts w:ascii="Arial" w:hAnsi="Arial" w:cs="Arial"/>
          <w:i/>
        </w:rPr>
        <w:t xml:space="preserve">United States v </w:t>
      </w:r>
      <w:proofErr w:type="spellStart"/>
      <w:r w:rsidR="00634E64" w:rsidRPr="00611F48">
        <w:rPr>
          <w:rFonts w:ascii="Arial" w:hAnsi="Arial" w:cs="Arial"/>
          <w:i/>
        </w:rPr>
        <w:t>Zolin</w:t>
      </w:r>
      <w:proofErr w:type="spellEnd"/>
      <w:r w:rsidR="00634E64" w:rsidRPr="00611F48">
        <w:rPr>
          <w:rFonts w:ascii="Arial" w:hAnsi="Arial" w:cs="Arial"/>
          <w:i/>
        </w:rPr>
        <w:t xml:space="preserve"> et al</w:t>
      </w:r>
      <w:r w:rsidR="00AC0BBD" w:rsidRPr="00611F48">
        <w:rPr>
          <w:rFonts w:ascii="Arial" w:hAnsi="Arial" w:cs="Arial"/>
          <w:i/>
        </w:rPr>
        <w:t xml:space="preserve"> (</w:t>
      </w:r>
      <w:proofErr w:type="spellStart"/>
      <w:r w:rsidR="00AC0BBD" w:rsidRPr="00611F48">
        <w:rPr>
          <w:rFonts w:ascii="Arial" w:hAnsi="Arial" w:cs="Arial"/>
          <w:i/>
        </w:rPr>
        <w:t>Zolin</w:t>
      </w:r>
      <w:proofErr w:type="spellEnd"/>
      <w:r w:rsidR="00AC0BBD" w:rsidRPr="00611F48">
        <w:rPr>
          <w:rFonts w:ascii="Arial" w:hAnsi="Arial" w:cs="Arial"/>
          <w:i/>
        </w:rPr>
        <w:t>)</w:t>
      </w:r>
      <w:r w:rsidR="00634E64" w:rsidRPr="00611F48">
        <w:rPr>
          <w:rFonts w:ascii="Arial" w:hAnsi="Arial" w:cs="Arial"/>
        </w:rPr>
        <w:t xml:space="preserve">, </w:t>
      </w:r>
      <w:r w:rsidRPr="00611F48">
        <w:rPr>
          <w:rFonts w:ascii="Arial" w:hAnsi="Arial" w:cs="Arial"/>
        </w:rPr>
        <w:t>the court chose to duck this issue whilst acknowledging that the use of the phrase "prima facie" had caused some confusion.</w:t>
      </w:r>
      <w:r w:rsidRPr="00611F48">
        <w:rPr>
          <w:rFonts w:ascii="Arial" w:eastAsia="Helvetica" w:hAnsi="Arial" w:cs="Arial"/>
          <w:vertAlign w:val="superscript"/>
        </w:rPr>
        <w:footnoteReference w:id="139"/>
      </w:r>
      <w:r w:rsidR="00634E64" w:rsidRPr="00611F48">
        <w:rPr>
          <w:rFonts w:ascii="Arial" w:hAnsi="Arial" w:cs="Arial"/>
        </w:rPr>
        <w:t xml:space="preserve"> </w:t>
      </w:r>
      <w:proofErr w:type="spellStart"/>
      <w:r w:rsidR="00634E64" w:rsidRPr="00611F48">
        <w:rPr>
          <w:rFonts w:ascii="Arial" w:hAnsi="Arial" w:cs="Arial"/>
        </w:rPr>
        <w:t>Galanek</w:t>
      </w:r>
      <w:proofErr w:type="spellEnd"/>
      <w:r w:rsidR="00634E64" w:rsidRPr="00611F48">
        <w:rPr>
          <w:rFonts w:ascii="Arial" w:hAnsi="Arial" w:cs="Arial"/>
        </w:rPr>
        <w:t xml:space="preserve"> observes that</w:t>
      </w:r>
      <w:r w:rsidR="004435C7">
        <w:rPr>
          <w:rFonts w:ascii="Arial" w:hAnsi="Arial" w:cs="Arial"/>
        </w:rPr>
        <w:t>:</w:t>
      </w:r>
    </w:p>
    <w:p w14:paraId="6E121B37" w14:textId="77777777" w:rsidR="008C1534" w:rsidRPr="00611F48" w:rsidRDefault="008C1534" w:rsidP="00EE1BD2">
      <w:pPr>
        <w:pStyle w:val="Body"/>
        <w:spacing w:line="480" w:lineRule="auto"/>
        <w:rPr>
          <w:rFonts w:ascii="Arial" w:hAnsi="Arial" w:cs="Arial"/>
        </w:rPr>
      </w:pPr>
    </w:p>
    <w:p w14:paraId="47AAFF9F" w14:textId="77777777" w:rsidR="00634E64" w:rsidRDefault="00634E64" w:rsidP="00EE1BD2">
      <w:pPr>
        <w:pStyle w:val="Body"/>
        <w:spacing w:line="480" w:lineRule="auto"/>
        <w:ind w:left="720"/>
        <w:rPr>
          <w:rFonts w:ascii="Arial" w:hAnsi="Arial" w:cs="Arial"/>
        </w:rPr>
      </w:pPr>
      <w:r w:rsidRPr="00611F48">
        <w:rPr>
          <w:rFonts w:ascii="Arial" w:hAnsi="Arial" w:cs="Arial"/>
        </w:rPr>
        <w:t>“</w:t>
      </w:r>
      <w:r w:rsidR="002A25B7" w:rsidRPr="00611F48">
        <w:rPr>
          <w:rFonts w:ascii="Arial" w:hAnsi="Arial" w:cs="Arial"/>
          <w:lang w:val="en-US"/>
        </w:rPr>
        <w:t>the  quantum  of  evidence  necessary  to  defeat  the  attorney-client  privilege  is  unsettled at  best.  Inherent  in  each  formulation  is  a  great  deal  of  judicial  discretion  as  to  whether  the  required  threshold  has  been  reached;</w:t>
      </w:r>
      <w:r w:rsidRPr="00611F48">
        <w:rPr>
          <w:rFonts w:ascii="Arial" w:hAnsi="Arial" w:cs="Arial"/>
        </w:rPr>
        <w:t>”</w:t>
      </w:r>
      <w:r w:rsidR="002A25B7" w:rsidRPr="00611F48">
        <w:rPr>
          <w:rFonts w:ascii="Arial" w:eastAsia="Helvetica" w:hAnsi="Arial" w:cs="Arial"/>
          <w:vertAlign w:val="superscript"/>
        </w:rPr>
        <w:footnoteReference w:id="140"/>
      </w:r>
    </w:p>
    <w:p w14:paraId="061D643C" w14:textId="77777777" w:rsidR="008C1534" w:rsidRPr="00611F48" w:rsidRDefault="008C1534" w:rsidP="00EE1BD2">
      <w:pPr>
        <w:pStyle w:val="Body"/>
        <w:spacing w:line="480" w:lineRule="auto"/>
        <w:ind w:left="720"/>
        <w:rPr>
          <w:rFonts w:ascii="Arial" w:hAnsi="Arial" w:cs="Arial"/>
        </w:rPr>
      </w:pPr>
    </w:p>
    <w:p w14:paraId="309B13BC" w14:textId="77777777" w:rsidR="002A25B7" w:rsidRPr="00E956AF" w:rsidRDefault="00FE371B" w:rsidP="00EE1BD2">
      <w:pPr>
        <w:pStyle w:val="Body"/>
        <w:spacing w:line="480" w:lineRule="auto"/>
        <w:rPr>
          <w:rFonts w:ascii="Arial" w:hAnsi="Arial" w:cs="Arial"/>
          <w:lang w:val="en-US"/>
        </w:rPr>
      </w:pPr>
      <w:r w:rsidRPr="00611F48">
        <w:rPr>
          <w:rFonts w:ascii="Arial" w:hAnsi="Arial" w:cs="Arial"/>
          <w:lang w:val="en-US"/>
        </w:rPr>
        <w:t xml:space="preserve">It is suggested </w:t>
      </w:r>
      <w:r w:rsidR="00E956AF">
        <w:rPr>
          <w:rFonts w:ascii="Arial" w:hAnsi="Arial" w:cs="Arial"/>
          <w:lang w:val="en-US"/>
        </w:rPr>
        <w:t xml:space="preserve">by </w:t>
      </w:r>
      <w:proofErr w:type="spellStart"/>
      <w:r w:rsidR="00E956AF">
        <w:rPr>
          <w:rFonts w:ascii="Arial" w:hAnsi="Arial" w:cs="Arial"/>
          <w:lang w:val="en-US"/>
        </w:rPr>
        <w:t>Lipman</w:t>
      </w:r>
      <w:proofErr w:type="spellEnd"/>
      <w:r w:rsidR="00E956AF">
        <w:rPr>
          <w:rFonts w:ascii="Arial" w:hAnsi="Arial" w:cs="Arial"/>
          <w:lang w:val="en-US"/>
        </w:rPr>
        <w:t xml:space="preserve"> </w:t>
      </w:r>
      <w:r w:rsidRPr="00611F48">
        <w:rPr>
          <w:rFonts w:ascii="Arial" w:hAnsi="Arial" w:cs="Arial"/>
          <w:lang w:val="en-US"/>
        </w:rPr>
        <w:t>that</w:t>
      </w:r>
      <w:r w:rsidR="00E956AF">
        <w:rPr>
          <w:rFonts w:ascii="Arial" w:hAnsi="Arial" w:cs="Arial"/>
          <w:lang w:val="en-US"/>
        </w:rPr>
        <w:t xml:space="preserve"> at least three versions of the prima facie standard </w:t>
      </w:r>
      <w:r w:rsidR="00E956AF" w:rsidRPr="00E956AF">
        <w:rPr>
          <w:rFonts w:ascii="Arial" w:hAnsi="Arial" w:cs="Arial"/>
          <w:lang w:val="en-US"/>
        </w:rPr>
        <w:t xml:space="preserve">have been </w:t>
      </w:r>
      <w:proofErr w:type="gramStart"/>
      <w:r w:rsidR="00E956AF" w:rsidRPr="00E956AF">
        <w:rPr>
          <w:rFonts w:ascii="Arial" w:hAnsi="Arial" w:cs="Arial"/>
          <w:lang w:val="en-US"/>
        </w:rPr>
        <w:t>adopted  by</w:t>
      </w:r>
      <w:proofErr w:type="gramEnd"/>
      <w:r w:rsidR="00E956AF" w:rsidRPr="00E956AF">
        <w:rPr>
          <w:rFonts w:ascii="Arial" w:hAnsi="Arial" w:cs="Arial"/>
          <w:lang w:val="en-US"/>
        </w:rPr>
        <w:t xml:space="preserve"> lower courts amongst the various circuits.</w:t>
      </w:r>
      <w:r w:rsidR="00E956AF">
        <w:rPr>
          <w:rFonts w:ascii="Arial" w:hAnsi="Arial" w:cs="Arial"/>
          <w:lang w:val="en-US"/>
        </w:rPr>
        <w:t xml:space="preserve"> These range “from</w:t>
      </w:r>
      <w:r w:rsidR="002A25B7" w:rsidRPr="00611F48">
        <w:rPr>
          <w:rFonts w:ascii="Arial" w:hAnsi="Arial" w:cs="Arial"/>
          <w:lang w:val="en-US"/>
        </w:rPr>
        <w:t xml:space="preserve"> "probable cause"  to  a  "reasonable  basis  to  suspect" to  "evidence  that  if  believed  by  the trier  of  fact"  w</w:t>
      </w:r>
      <w:r w:rsidRPr="00611F48">
        <w:rPr>
          <w:rFonts w:ascii="Arial" w:hAnsi="Arial" w:cs="Arial"/>
          <w:lang w:val="en-US"/>
        </w:rPr>
        <w:t>ould  establish  the  exception</w:t>
      </w:r>
      <w:r w:rsidR="002021BF" w:rsidRPr="00611F48">
        <w:rPr>
          <w:rFonts w:ascii="Arial" w:hAnsi="Arial" w:cs="Arial"/>
          <w:lang w:val="en-US"/>
        </w:rPr>
        <w:t>.</w:t>
      </w:r>
      <w:r w:rsidRPr="00611F48">
        <w:rPr>
          <w:rFonts w:ascii="Arial" w:hAnsi="Arial" w:cs="Arial"/>
          <w:lang w:val="en-US"/>
        </w:rPr>
        <w:t>”</w:t>
      </w:r>
      <w:r w:rsidR="002A25B7" w:rsidRPr="00611F48">
        <w:rPr>
          <w:rFonts w:ascii="Arial" w:eastAsia="Helvetica" w:hAnsi="Arial" w:cs="Arial"/>
          <w:vertAlign w:val="superscript"/>
        </w:rPr>
        <w:footnoteReference w:id="141"/>
      </w:r>
      <w:r w:rsidR="002A25B7" w:rsidRPr="00611F48">
        <w:rPr>
          <w:rFonts w:ascii="Arial" w:hAnsi="Arial" w:cs="Arial"/>
          <w:lang w:val="en-US"/>
        </w:rPr>
        <w:t xml:space="preserve"> </w:t>
      </w:r>
      <w:r w:rsidR="00E956AF">
        <w:rPr>
          <w:rFonts w:ascii="Arial" w:hAnsi="Arial" w:cs="Arial"/>
          <w:lang w:val="en-US"/>
        </w:rPr>
        <w:t xml:space="preserve"> </w:t>
      </w:r>
      <w:r w:rsidR="00B651CD" w:rsidRPr="00611F48">
        <w:rPr>
          <w:rFonts w:ascii="Arial" w:hAnsi="Arial" w:cs="Arial"/>
          <w:lang w:val="en-US"/>
        </w:rPr>
        <w:t xml:space="preserve">In </w:t>
      </w:r>
      <w:r w:rsidR="002A25B7" w:rsidRPr="00611F48">
        <w:rPr>
          <w:rFonts w:ascii="Arial" w:hAnsi="Arial" w:cs="Arial"/>
          <w:i/>
          <w:lang w:val="en-US"/>
        </w:rPr>
        <w:t>BDO</w:t>
      </w:r>
      <w:r w:rsidR="002A25B7" w:rsidRPr="00611F48">
        <w:rPr>
          <w:rFonts w:ascii="Arial" w:hAnsi="Arial" w:cs="Arial"/>
          <w:lang w:val="en-US"/>
        </w:rPr>
        <w:t>, th</w:t>
      </w:r>
      <w:r w:rsidR="0094067E">
        <w:rPr>
          <w:rFonts w:ascii="Arial" w:hAnsi="Arial" w:cs="Arial"/>
          <w:lang w:val="en-US"/>
        </w:rPr>
        <w:t>e court confirmed that the 7</w:t>
      </w:r>
      <w:r w:rsidR="002A25B7" w:rsidRPr="00611F48">
        <w:rPr>
          <w:rFonts w:ascii="Arial" w:hAnsi="Arial" w:cs="Arial"/>
          <w:lang w:val="en-US"/>
        </w:rPr>
        <w:t xml:space="preserve">th Circuit had rejected the view of some circuits </w:t>
      </w:r>
      <w:r w:rsidR="002021BF" w:rsidRPr="00611F48">
        <w:rPr>
          <w:rFonts w:ascii="Arial" w:hAnsi="Arial" w:cs="Arial"/>
          <w:lang w:val="en-US"/>
        </w:rPr>
        <w:t xml:space="preserve">that, to invoke the exception, </w:t>
      </w:r>
      <w:r w:rsidR="002A25B7" w:rsidRPr="00611F48">
        <w:rPr>
          <w:rFonts w:ascii="Arial" w:hAnsi="Arial" w:cs="Arial"/>
          <w:lang w:val="en-US"/>
        </w:rPr>
        <w:t xml:space="preserve">enough evidence to support </w:t>
      </w:r>
      <w:r w:rsidR="002A25B7" w:rsidRPr="00611F48">
        <w:rPr>
          <w:rFonts w:ascii="Arial" w:hAnsi="Arial" w:cs="Arial"/>
          <w:lang w:val="en-US"/>
        </w:rPr>
        <w:lastRenderedPageBreak/>
        <w:t>a verdict of crime or fraud is required.</w:t>
      </w:r>
      <w:r w:rsidR="002A25B7" w:rsidRPr="00611F48">
        <w:rPr>
          <w:rFonts w:ascii="Arial" w:eastAsia="Helvetica" w:hAnsi="Arial" w:cs="Arial"/>
          <w:vertAlign w:val="superscript"/>
        </w:rPr>
        <w:footnoteReference w:id="142"/>
      </w:r>
      <w:r w:rsidR="002A25B7" w:rsidRPr="00611F48">
        <w:rPr>
          <w:rFonts w:ascii="Arial" w:hAnsi="Arial" w:cs="Arial"/>
          <w:lang w:val="en-US"/>
        </w:rPr>
        <w:t xml:space="preserve"> Instead, the court required that the party seeking to invoke the exception bring forward sufficient evidence </w:t>
      </w:r>
      <w:r w:rsidR="002021BF" w:rsidRPr="00611F48">
        <w:rPr>
          <w:rFonts w:ascii="Arial" w:hAnsi="Arial" w:cs="Arial"/>
          <w:lang w:val="en-US"/>
        </w:rPr>
        <w:t>to ““</w:t>
      </w:r>
      <w:r w:rsidR="002A25B7" w:rsidRPr="00611F48">
        <w:rPr>
          <w:rFonts w:ascii="Arial" w:hAnsi="Arial" w:cs="Arial"/>
          <w:lang w:val="en-US"/>
        </w:rPr>
        <w:t xml:space="preserve">give </w:t>
      </w:r>
      <w:proofErr w:type="spellStart"/>
      <w:r w:rsidR="002A25B7" w:rsidRPr="00611F48">
        <w:rPr>
          <w:rFonts w:ascii="Arial" w:hAnsi="Arial" w:cs="Arial"/>
          <w:lang w:val="en-US"/>
        </w:rPr>
        <w:t>colour</w:t>
      </w:r>
      <w:proofErr w:type="spellEnd"/>
      <w:r w:rsidR="002A25B7" w:rsidRPr="00611F48">
        <w:rPr>
          <w:rFonts w:ascii="Arial" w:hAnsi="Arial" w:cs="Arial"/>
          <w:lang w:val="en-US"/>
        </w:rPr>
        <w:t xml:space="preserve"> to the charge" by showing "some foundation in fact"'</w:t>
      </w:r>
      <w:r w:rsidR="006F218F" w:rsidRPr="00611F48">
        <w:rPr>
          <w:rFonts w:ascii="Arial" w:hAnsi="Arial" w:cs="Arial"/>
          <w:lang w:val="en-US"/>
        </w:rPr>
        <w:t>.</w:t>
      </w:r>
      <w:r w:rsidR="002A25B7" w:rsidRPr="00611F48">
        <w:rPr>
          <w:rFonts w:ascii="Arial" w:eastAsia="Helvetica" w:hAnsi="Arial" w:cs="Arial"/>
          <w:vertAlign w:val="superscript"/>
        </w:rPr>
        <w:footnoteReference w:id="143"/>
      </w:r>
      <w:r w:rsidR="002A25B7" w:rsidRPr="00611F48">
        <w:rPr>
          <w:rFonts w:ascii="Arial" w:hAnsi="Arial" w:cs="Arial"/>
          <w:lang w:val="en-US"/>
        </w:rPr>
        <w:t xml:space="preserve"> Of course, as </w:t>
      </w:r>
      <w:proofErr w:type="spellStart"/>
      <w:r w:rsidR="002A25B7" w:rsidRPr="00611F48">
        <w:rPr>
          <w:rFonts w:ascii="Arial" w:hAnsi="Arial" w:cs="Arial"/>
          <w:lang w:val="en-US"/>
        </w:rPr>
        <w:t>Lipman</w:t>
      </w:r>
      <w:proofErr w:type="spellEnd"/>
      <w:r w:rsidR="002A25B7" w:rsidRPr="00611F48">
        <w:rPr>
          <w:rFonts w:ascii="Arial" w:hAnsi="Arial" w:cs="Arial"/>
          <w:lang w:val="en-US"/>
        </w:rPr>
        <w:t xml:space="preserve"> points out</w:t>
      </w:r>
      <w:r w:rsidR="006F218F" w:rsidRPr="00611F48">
        <w:rPr>
          <w:rFonts w:ascii="Arial" w:hAnsi="Arial" w:cs="Arial"/>
          <w:lang w:val="en-US"/>
        </w:rPr>
        <w:t>,</w:t>
      </w:r>
      <w:r w:rsidR="002A25B7" w:rsidRPr="00611F48">
        <w:rPr>
          <w:rFonts w:ascii="Arial" w:eastAsia="Helvetica" w:hAnsi="Arial" w:cs="Arial"/>
          <w:vertAlign w:val="superscript"/>
        </w:rPr>
        <w:footnoteReference w:id="144"/>
      </w:r>
      <w:r w:rsidR="002A25B7" w:rsidRPr="00611F48">
        <w:rPr>
          <w:rFonts w:ascii="Arial" w:hAnsi="Arial" w:cs="Arial"/>
          <w:lang w:val="en-US"/>
        </w:rPr>
        <w:t xml:space="preserve"> it is in question whether this differing language leads to different results - whether the crime/fraud exception is more easily established in some circuits than others. There would certainly seem to be a practical difference between a standard that requires enough evidence to support a verdict of crime or fraud to establish the exception (the standard in the D.C. Circuit</w:t>
      </w:r>
      <w:r w:rsidR="002A25B7" w:rsidRPr="00611F48">
        <w:rPr>
          <w:rFonts w:ascii="Arial" w:eastAsia="Helvetica" w:hAnsi="Arial" w:cs="Arial"/>
          <w:vertAlign w:val="superscript"/>
        </w:rPr>
        <w:footnoteReference w:id="145"/>
      </w:r>
      <w:r w:rsidR="002A25B7" w:rsidRPr="00611F48">
        <w:rPr>
          <w:rFonts w:ascii="Arial" w:hAnsi="Arial" w:cs="Arial"/>
          <w:lang w:val="en-US"/>
        </w:rPr>
        <w:t>)</w:t>
      </w:r>
      <w:r w:rsidR="002A25B7" w:rsidRPr="00611F48">
        <w:rPr>
          <w:rFonts w:ascii="Arial" w:hAnsi="Arial" w:cs="Arial"/>
          <w:i/>
          <w:iCs/>
          <w:lang w:val="en-US"/>
        </w:rPr>
        <w:t xml:space="preserve"> </w:t>
      </w:r>
      <w:r w:rsidR="002A25B7" w:rsidRPr="00611F48">
        <w:rPr>
          <w:rFonts w:ascii="Arial" w:hAnsi="Arial" w:cs="Arial"/>
          <w:lang w:val="en-US"/>
        </w:rPr>
        <w:t>compared to evidence sufficient to give</w:t>
      </w:r>
      <w:r w:rsidR="006F218F" w:rsidRPr="00611F48">
        <w:rPr>
          <w:rFonts w:ascii="Arial" w:hAnsi="Arial" w:cs="Arial"/>
          <w:lang w:val="en-US"/>
        </w:rPr>
        <w:t xml:space="preserve"> </w:t>
      </w:r>
      <w:r w:rsidR="002A25B7" w:rsidRPr="00611F48">
        <w:rPr>
          <w:rFonts w:ascii="Arial" w:hAnsi="Arial" w:cs="Arial"/>
          <w:lang w:val="en-US"/>
        </w:rPr>
        <w:t>"</w:t>
      </w:r>
      <w:proofErr w:type="spellStart"/>
      <w:r w:rsidR="002A25B7" w:rsidRPr="00611F48">
        <w:rPr>
          <w:rFonts w:ascii="Arial" w:hAnsi="Arial" w:cs="Arial"/>
          <w:lang w:val="en-US"/>
        </w:rPr>
        <w:t>colour</w:t>
      </w:r>
      <w:proofErr w:type="spellEnd"/>
      <w:r w:rsidR="002A25B7" w:rsidRPr="00611F48">
        <w:rPr>
          <w:rFonts w:ascii="Arial" w:hAnsi="Arial" w:cs="Arial"/>
          <w:lang w:val="en-US"/>
        </w:rPr>
        <w:t xml:space="preserve"> to the charge".</w:t>
      </w:r>
    </w:p>
    <w:p w14:paraId="4850E724" w14:textId="77777777" w:rsidR="00B651CD" w:rsidRPr="00611F48" w:rsidRDefault="00B651CD" w:rsidP="00EE1BD2">
      <w:pPr>
        <w:pStyle w:val="Body"/>
        <w:spacing w:line="480" w:lineRule="auto"/>
        <w:rPr>
          <w:rFonts w:ascii="Arial" w:hAnsi="Arial" w:cs="Arial"/>
        </w:rPr>
      </w:pPr>
    </w:p>
    <w:p w14:paraId="62C033BB" w14:textId="77777777" w:rsidR="002A25B7" w:rsidRPr="00611F48" w:rsidRDefault="006F218F" w:rsidP="00EE1BD2">
      <w:pPr>
        <w:pStyle w:val="Body"/>
        <w:spacing w:line="480" w:lineRule="auto"/>
        <w:rPr>
          <w:rFonts w:ascii="Arial" w:hAnsi="Arial" w:cs="Arial"/>
        </w:rPr>
      </w:pPr>
      <w:r w:rsidRPr="00611F48">
        <w:rPr>
          <w:rFonts w:ascii="Arial" w:hAnsi="Arial" w:cs="Arial"/>
          <w:lang w:val="en-US"/>
        </w:rPr>
        <w:t xml:space="preserve">If there is sufficient </w:t>
      </w:r>
      <w:r w:rsidR="002A25B7" w:rsidRPr="00611F48">
        <w:rPr>
          <w:rFonts w:ascii="Arial" w:hAnsi="Arial" w:cs="Arial"/>
          <w:lang w:val="en-US"/>
        </w:rPr>
        <w:t xml:space="preserve">evidence to persuade the court of a prima facie case, in civil cases due process considerations determine that the other party should be given the opportunity </w:t>
      </w:r>
      <w:proofErr w:type="gramStart"/>
      <w:r w:rsidR="002A25B7" w:rsidRPr="00611F48">
        <w:rPr>
          <w:rFonts w:ascii="Arial" w:hAnsi="Arial" w:cs="Arial"/>
          <w:lang w:val="en-US"/>
        </w:rPr>
        <w:t>to  provide</w:t>
      </w:r>
      <w:proofErr w:type="gramEnd"/>
      <w:r w:rsidR="002A25B7" w:rsidRPr="00611F48">
        <w:rPr>
          <w:rFonts w:ascii="Arial" w:hAnsi="Arial" w:cs="Arial"/>
          <w:lang w:val="en-US"/>
        </w:rPr>
        <w:t xml:space="preserve"> a satisfactory explanation in order for the privilege to remain</w:t>
      </w:r>
      <w:r w:rsidR="00EF5035" w:rsidRPr="00611F48">
        <w:rPr>
          <w:rFonts w:ascii="Arial" w:hAnsi="Arial" w:cs="Arial"/>
          <w:lang w:val="en-US"/>
        </w:rPr>
        <w:t>.</w:t>
      </w:r>
      <w:r w:rsidR="002A25B7" w:rsidRPr="00611F48">
        <w:rPr>
          <w:rFonts w:ascii="Arial" w:eastAsia="Helvetica" w:hAnsi="Arial" w:cs="Arial"/>
          <w:vertAlign w:val="superscript"/>
        </w:rPr>
        <w:footnoteReference w:id="146"/>
      </w:r>
      <w:r w:rsidR="00EF5035" w:rsidRPr="00611F48">
        <w:rPr>
          <w:rFonts w:ascii="Arial" w:hAnsi="Arial" w:cs="Arial"/>
          <w:lang w:val="en-US"/>
        </w:rPr>
        <w:t xml:space="preserve"> </w:t>
      </w:r>
      <w:r w:rsidR="002A25B7" w:rsidRPr="00611F48">
        <w:rPr>
          <w:rFonts w:ascii="Arial" w:hAnsi="Arial" w:cs="Arial"/>
          <w:lang w:val="en-US"/>
        </w:rPr>
        <w:t xml:space="preserve"> In the criminal context in grand jury proceedings, although the court has a wide discretion around how in camera review is conducted</w:t>
      </w:r>
      <w:r w:rsidR="00EF5035" w:rsidRPr="00611F48">
        <w:rPr>
          <w:rFonts w:ascii="Arial" w:hAnsi="Arial" w:cs="Arial"/>
          <w:lang w:val="en-US"/>
        </w:rPr>
        <w:t>,</w:t>
      </w:r>
      <w:r w:rsidR="002A25B7" w:rsidRPr="00611F48">
        <w:rPr>
          <w:rFonts w:ascii="Arial" w:eastAsia="Helvetica" w:hAnsi="Arial" w:cs="Arial"/>
          <w:vertAlign w:val="superscript"/>
        </w:rPr>
        <w:footnoteReference w:id="147"/>
      </w:r>
      <w:r w:rsidR="00EF5035" w:rsidRPr="00611F48">
        <w:rPr>
          <w:rFonts w:ascii="Arial" w:hAnsi="Arial" w:cs="Arial"/>
          <w:lang w:val="en-US"/>
        </w:rPr>
        <w:t xml:space="preserve"> </w:t>
      </w:r>
      <w:r w:rsidR="002A25B7" w:rsidRPr="00611F48">
        <w:rPr>
          <w:rFonts w:ascii="Arial" w:hAnsi="Arial" w:cs="Arial"/>
          <w:lang w:val="en-US"/>
        </w:rPr>
        <w:t xml:space="preserve"> this opportunity is unlikely to be given; a practice justified by  the need to maintain secrecy, the court relying only on ex parte submissions</w:t>
      </w:r>
      <w:r w:rsidR="00EF5035" w:rsidRPr="00611F48">
        <w:rPr>
          <w:rFonts w:ascii="Arial" w:hAnsi="Arial" w:cs="Arial"/>
          <w:lang w:val="en-US"/>
        </w:rPr>
        <w:t>.</w:t>
      </w:r>
      <w:r w:rsidR="002A25B7" w:rsidRPr="00611F48">
        <w:rPr>
          <w:rFonts w:ascii="Arial" w:eastAsia="Helvetica" w:hAnsi="Arial" w:cs="Arial"/>
          <w:vertAlign w:val="superscript"/>
        </w:rPr>
        <w:footnoteReference w:id="148"/>
      </w:r>
      <w:r w:rsidR="002A25B7" w:rsidRPr="00611F48">
        <w:rPr>
          <w:rFonts w:ascii="Arial" w:hAnsi="Arial" w:cs="Arial"/>
          <w:lang w:val="en-US"/>
        </w:rPr>
        <w:t xml:space="preserve">  </w:t>
      </w:r>
      <w:proofErr w:type="spellStart"/>
      <w:r w:rsidR="002A25B7" w:rsidRPr="00611F48">
        <w:rPr>
          <w:rFonts w:ascii="Arial" w:hAnsi="Arial" w:cs="Arial"/>
          <w:lang w:val="en-US"/>
        </w:rPr>
        <w:t>Lipman</w:t>
      </w:r>
      <w:proofErr w:type="spellEnd"/>
      <w:r w:rsidR="002A25B7" w:rsidRPr="00611F48">
        <w:rPr>
          <w:rFonts w:ascii="Arial" w:hAnsi="Arial" w:cs="Arial"/>
          <w:lang w:val="en-US"/>
        </w:rPr>
        <w:t xml:space="preserve"> argues that this differential approach between criminal and civil procee</w:t>
      </w:r>
      <w:r w:rsidR="005362C4" w:rsidRPr="00611F48">
        <w:rPr>
          <w:rFonts w:ascii="Arial" w:hAnsi="Arial" w:cs="Arial"/>
          <w:lang w:val="en-US"/>
        </w:rPr>
        <w:t>dings justifies the use</w:t>
      </w:r>
      <w:r w:rsidR="002A25B7" w:rsidRPr="00611F48">
        <w:rPr>
          <w:rFonts w:ascii="Arial" w:hAnsi="Arial" w:cs="Arial"/>
          <w:lang w:val="en-US"/>
        </w:rPr>
        <w:t xml:space="preserve"> of a preponderance of the evidence standard</w:t>
      </w:r>
      <w:r w:rsidR="005362C4" w:rsidRPr="00611F48">
        <w:rPr>
          <w:rFonts w:ascii="Arial" w:hAnsi="Arial" w:cs="Arial"/>
          <w:lang w:val="en-US"/>
        </w:rPr>
        <w:t xml:space="preserve"> in </w:t>
      </w:r>
      <w:r w:rsidR="008B1510">
        <w:rPr>
          <w:rFonts w:ascii="Arial" w:hAnsi="Arial" w:cs="Arial"/>
          <w:lang w:val="en-US"/>
        </w:rPr>
        <w:t xml:space="preserve">criminal </w:t>
      </w:r>
      <w:r w:rsidR="005362C4" w:rsidRPr="00611F48">
        <w:rPr>
          <w:rFonts w:ascii="Arial" w:hAnsi="Arial" w:cs="Arial"/>
          <w:lang w:val="en-US"/>
        </w:rPr>
        <w:t>the proceedings</w:t>
      </w:r>
      <w:r w:rsidR="002A25B7" w:rsidRPr="00611F48">
        <w:rPr>
          <w:rFonts w:ascii="Arial" w:hAnsi="Arial" w:cs="Arial"/>
          <w:lang w:val="en-US"/>
        </w:rPr>
        <w:t xml:space="preserve">, </w:t>
      </w:r>
      <w:proofErr w:type="gramStart"/>
      <w:r w:rsidR="002A25B7" w:rsidRPr="00611F48">
        <w:rPr>
          <w:rFonts w:ascii="Arial" w:hAnsi="Arial" w:cs="Arial"/>
          <w:lang w:val="en-US"/>
        </w:rPr>
        <w:t xml:space="preserve">to </w:t>
      </w:r>
      <w:r w:rsidR="002A25B7" w:rsidRPr="00611F48">
        <w:rPr>
          <w:rFonts w:ascii="Arial" w:hAnsi="Arial" w:cs="Arial"/>
        </w:rPr>
        <w:t xml:space="preserve"> </w:t>
      </w:r>
      <w:r w:rsidR="00EF5035" w:rsidRPr="00611F48">
        <w:rPr>
          <w:rFonts w:ascii="Arial" w:hAnsi="Arial" w:cs="Arial"/>
          <w:lang w:val="en-US"/>
        </w:rPr>
        <w:t>“</w:t>
      </w:r>
      <w:proofErr w:type="gramEnd"/>
      <w:r w:rsidR="002A25B7" w:rsidRPr="00611F48">
        <w:rPr>
          <w:rFonts w:ascii="Arial" w:hAnsi="Arial" w:cs="Arial"/>
          <w:lang w:val="en-US"/>
        </w:rPr>
        <w:t>allow for a more critical assessm</w:t>
      </w:r>
      <w:r w:rsidR="00EF5035" w:rsidRPr="00611F48">
        <w:rPr>
          <w:rFonts w:ascii="Arial" w:hAnsi="Arial" w:cs="Arial"/>
          <w:lang w:val="en-US"/>
        </w:rPr>
        <w:t>ent of the government's evidence”</w:t>
      </w:r>
      <w:r w:rsidR="002A25B7" w:rsidRPr="00611F48">
        <w:rPr>
          <w:rFonts w:ascii="Arial" w:eastAsia="Helvetica" w:hAnsi="Arial" w:cs="Arial"/>
          <w:vertAlign w:val="superscript"/>
        </w:rPr>
        <w:footnoteReference w:id="149"/>
      </w:r>
      <w:r w:rsidR="002A25B7" w:rsidRPr="00611F48">
        <w:rPr>
          <w:rFonts w:ascii="Arial" w:hAnsi="Arial" w:cs="Arial"/>
          <w:lang w:val="en-US"/>
        </w:rPr>
        <w:t xml:space="preserve"> when assessing whether a  prima facie case has been  established.</w:t>
      </w:r>
    </w:p>
    <w:p w14:paraId="028D7D1B" w14:textId="77777777" w:rsidR="002A25B7" w:rsidRPr="00611F48" w:rsidRDefault="002A25B7" w:rsidP="00EE1BD2">
      <w:pPr>
        <w:pStyle w:val="Body"/>
        <w:spacing w:line="480" w:lineRule="auto"/>
        <w:rPr>
          <w:rFonts w:ascii="Arial" w:hAnsi="Arial" w:cs="Arial"/>
        </w:rPr>
      </w:pPr>
    </w:p>
    <w:p w14:paraId="09052511" w14:textId="77777777" w:rsidR="007E1A7D" w:rsidRPr="00611F48" w:rsidRDefault="00B651CD" w:rsidP="00EE1BD2">
      <w:pPr>
        <w:pStyle w:val="Body"/>
        <w:spacing w:line="480" w:lineRule="auto"/>
        <w:rPr>
          <w:rFonts w:ascii="Arial" w:hAnsi="Arial" w:cs="Arial"/>
        </w:rPr>
      </w:pPr>
      <w:r w:rsidRPr="00611F48">
        <w:rPr>
          <w:rFonts w:ascii="Arial" w:hAnsi="Arial" w:cs="Arial"/>
        </w:rPr>
        <w:t xml:space="preserve">There are certainly similarities of language between the English and US courts when considering </w:t>
      </w:r>
      <w:r w:rsidR="00FB44D5" w:rsidRPr="00611F48">
        <w:rPr>
          <w:rFonts w:ascii="Arial" w:hAnsi="Arial" w:cs="Arial"/>
        </w:rPr>
        <w:t xml:space="preserve">the evidence required </w:t>
      </w:r>
      <w:proofErr w:type="gramStart"/>
      <w:r w:rsidR="00FB44D5" w:rsidRPr="00611F48">
        <w:rPr>
          <w:rFonts w:ascii="Arial" w:hAnsi="Arial" w:cs="Arial"/>
        </w:rPr>
        <w:t>to establish</w:t>
      </w:r>
      <w:proofErr w:type="gramEnd"/>
      <w:r w:rsidR="00FB44D5" w:rsidRPr="00611F48">
        <w:rPr>
          <w:rFonts w:ascii="Arial" w:hAnsi="Arial" w:cs="Arial"/>
        </w:rPr>
        <w:t xml:space="preserve"> that the crime-fraud exception applies. Both refer to prima facie evidence,</w:t>
      </w:r>
      <w:r w:rsidR="00003B95">
        <w:rPr>
          <w:rFonts w:ascii="Arial" w:hAnsi="Arial" w:cs="Arial"/>
        </w:rPr>
        <w:t xml:space="preserve"> albeit that </w:t>
      </w:r>
      <w:r w:rsidR="00437CE5" w:rsidRPr="00611F48">
        <w:rPr>
          <w:rFonts w:ascii="Arial" w:hAnsi="Arial" w:cs="Arial"/>
        </w:rPr>
        <w:t xml:space="preserve">the English courts require more </w:t>
      </w:r>
      <w:r w:rsidR="00CD4DAA" w:rsidRPr="00611F48">
        <w:rPr>
          <w:rFonts w:ascii="Arial" w:hAnsi="Arial" w:cs="Arial"/>
        </w:rPr>
        <w:t xml:space="preserve">when fraud is a </w:t>
      </w:r>
      <w:r w:rsidR="00CD4DAA" w:rsidRPr="00611F48">
        <w:rPr>
          <w:rFonts w:ascii="Arial" w:hAnsi="Arial" w:cs="Arial"/>
        </w:rPr>
        <w:lastRenderedPageBreak/>
        <w:t>central issue in the proceedings</w:t>
      </w:r>
      <w:r w:rsidR="0030077B">
        <w:rPr>
          <w:rFonts w:ascii="Arial" w:hAnsi="Arial" w:cs="Arial"/>
        </w:rPr>
        <w:t>,</w:t>
      </w:r>
      <w:r w:rsidR="00CD4DAA" w:rsidRPr="00611F48">
        <w:rPr>
          <w:rFonts w:ascii="Arial" w:hAnsi="Arial" w:cs="Arial"/>
        </w:rPr>
        <w:t xml:space="preserve"> in which case </w:t>
      </w:r>
      <w:r w:rsidR="00FB44D5" w:rsidRPr="00611F48">
        <w:rPr>
          <w:rFonts w:ascii="Arial" w:hAnsi="Arial" w:cs="Arial"/>
        </w:rPr>
        <w:t xml:space="preserve">the </w:t>
      </w:r>
      <w:r w:rsidR="00FB44D5" w:rsidRPr="00611F48">
        <w:rPr>
          <w:rFonts w:ascii="Arial" w:hAnsi="Arial" w:cs="Arial"/>
          <w:i/>
        </w:rPr>
        <w:t>strength</w:t>
      </w:r>
      <w:r w:rsidR="00FB44D5" w:rsidRPr="00611F48">
        <w:rPr>
          <w:rFonts w:ascii="Arial" w:hAnsi="Arial" w:cs="Arial"/>
        </w:rPr>
        <w:t xml:space="preserve"> of the </w:t>
      </w:r>
      <w:r w:rsidR="007E1A7D" w:rsidRPr="00611F48">
        <w:rPr>
          <w:rFonts w:ascii="Arial" w:hAnsi="Arial" w:cs="Arial"/>
        </w:rPr>
        <w:t>case is considered an important</w:t>
      </w:r>
      <w:r w:rsidR="00FB44D5" w:rsidRPr="00611F48">
        <w:rPr>
          <w:rFonts w:ascii="Arial" w:hAnsi="Arial" w:cs="Arial"/>
        </w:rPr>
        <w:t xml:space="preserve"> element in establishing whether the exception applies. </w:t>
      </w:r>
      <w:r w:rsidR="00437CE5" w:rsidRPr="00611F48">
        <w:rPr>
          <w:rFonts w:ascii="Arial" w:hAnsi="Arial" w:cs="Arial"/>
        </w:rPr>
        <w:t xml:space="preserve">Some US courts seem closer to this requirement than others. For example, the D.C. Circuit’s standard seems close to the </w:t>
      </w:r>
      <w:r w:rsidR="00C941FA">
        <w:rPr>
          <w:rFonts w:ascii="Arial" w:hAnsi="Arial" w:cs="Arial"/>
        </w:rPr>
        <w:t>‘</w:t>
      </w:r>
      <w:r w:rsidR="00437CE5" w:rsidRPr="00611F48">
        <w:rPr>
          <w:rFonts w:ascii="Arial" w:hAnsi="Arial" w:cs="Arial"/>
        </w:rPr>
        <w:t>strong</w:t>
      </w:r>
      <w:r w:rsidR="00C941FA">
        <w:rPr>
          <w:rFonts w:ascii="Arial" w:hAnsi="Arial" w:cs="Arial"/>
        </w:rPr>
        <w:t>’</w:t>
      </w:r>
      <w:r w:rsidR="00437CE5" w:rsidRPr="00611F48">
        <w:rPr>
          <w:rFonts w:ascii="Arial" w:hAnsi="Arial" w:cs="Arial"/>
        </w:rPr>
        <w:t xml:space="preserve"> or </w:t>
      </w:r>
      <w:r w:rsidR="00C941FA">
        <w:rPr>
          <w:rFonts w:ascii="Arial" w:hAnsi="Arial" w:cs="Arial"/>
        </w:rPr>
        <w:t>‘</w:t>
      </w:r>
      <w:r w:rsidR="00437CE5" w:rsidRPr="00611F48">
        <w:rPr>
          <w:rFonts w:ascii="Arial" w:hAnsi="Arial" w:cs="Arial"/>
        </w:rPr>
        <w:t>very strong</w:t>
      </w:r>
      <w:r w:rsidR="00C941FA">
        <w:rPr>
          <w:rFonts w:ascii="Arial" w:hAnsi="Arial" w:cs="Arial"/>
        </w:rPr>
        <w:t>,</w:t>
      </w:r>
      <w:r w:rsidR="00437CE5" w:rsidRPr="00611F48">
        <w:rPr>
          <w:rFonts w:ascii="Arial" w:hAnsi="Arial" w:cs="Arial"/>
        </w:rPr>
        <w:t xml:space="preserve"> prima facie case standard, although </w:t>
      </w:r>
      <w:r w:rsidR="008B1510">
        <w:rPr>
          <w:rFonts w:ascii="Arial" w:hAnsi="Arial" w:cs="Arial"/>
        </w:rPr>
        <w:t xml:space="preserve">this does </w:t>
      </w:r>
      <w:r w:rsidR="00437CE5" w:rsidRPr="00611F48">
        <w:rPr>
          <w:rFonts w:ascii="Arial" w:hAnsi="Arial" w:cs="Arial"/>
        </w:rPr>
        <w:t xml:space="preserve">not </w:t>
      </w:r>
      <w:r w:rsidR="008B1510">
        <w:rPr>
          <w:rFonts w:ascii="Arial" w:hAnsi="Arial" w:cs="Arial"/>
        </w:rPr>
        <w:t xml:space="preserve">seem to be </w:t>
      </w:r>
      <w:r w:rsidR="00437CE5" w:rsidRPr="00611F48">
        <w:rPr>
          <w:rFonts w:ascii="Arial" w:hAnsi="Arial" w:cs="Arial"/>
        </w:rPr>
        <w:t xml:space="preserve">based on </w:t>
      </w:r>
      <w:r w:rsidR="008B1510">
        <w:rPr>
          <w:rFonts w:ascii="Arial" w:hAnsi="Arial" w:cs="Arial"/>
        </w:rPr>
        <w:t>whether or not fraud is a central issue.</w:t>
      </w:r>
      <w:r w:rsidR="00437CE5" w:rsidRPr="00611F48">
        <w:rPr>
          <w:rFonts w:ascii="Arial" w:hAnsi="Arial" w:cs="Arial"/>
        </w:rPr>
        <w:t xml:space="preserve"> </w:t>
      </w:r>
      <w:r w:rsidR="0099321F" w:rsidRPr="00611F48">
        <w:rPr>
          <w:rFonts w:ascii="Arial" w:hAnsi="Arial" w:cs="Arial"/>
        </w:rPr>
        <w:t>In con</w:t>
      </w:r>
      <w:r w:rsidR="00D251FD">
        <w:rPr>
          <w:rFonts w:ascii="Arial" w:hAnsi="Arial" w:cs="Arial"/>
        </w:rPr>
        <w:t>trast, the 7</w:t>
      </w:r>
      <w:r w:rsidR="0099321F" w:rsidRPr="00611F48">
        <w:rPr>
          <w:rFonts w:ascii="Arial" w:hAnsi="Arial" w:cs="Arial"/>
        </w:rPr>
        <w:t xml:space="preserve">th Circuit uses language more similar to the </w:t>
      </w:r>
      <w:r w:rsidR="00C941FA">
        <w:rPr>
          <w:rFonts w:ascii="Arial" w:hAnsi="Arial" w:cs="Arial"/>
        </w:rPr>
        <w:t>‘</w:t>
      </w:r>
      <w:r w:rsidR="0099321F" w:rsidRPr="00611F48">
        <w:rPr>
          <w:rFonts w:ascii="Arial" w:hAnsi="Arial" w:cs="Arial"/>
        </w:rPr>
        <w:t>foundation in fact</w:t>
      </w:r>
      <w:r w:rsidR="00C941FA">
        <w:rPr>
          <w:rFonts w:ascii="Arial" w:hAnsi="Arial" w:cs="Arial"/>
        </w:rPr>
        <w:t>’</w:t>
      </w:r>
      <w:r w:rsidR="0099321F" w:rsidRPr="00611F48">
        <w:rPr>
          <w:rFonts w:ascii="Arial" w:hAnsi="Arial" w:cs="Arial"/>
        </w:rPr>
        <w:t xml:space="preserve"> language</w:t>
      </w:r>
      <w:r w:rsidR="006A5D18" w:rsidRPr="00611F48">
        <w:rPr>
          <w:rFonts w:ascii="Arial" w:hAnsi="Arial" w:cs="Arial"/>
        </w:rPr>
        <w:t xml:space="preserve"> in assessing whether a prima facie case has been established. </w:t>
      </w:r>
      <w:r w:rsidR="00467725">
        <w:rPr>
          <w:rFonts w:ascii="Arial" w:hAnsi="Arial" w:cs="Arial"/>
        </w:rPr>
        <w:t>I</w:t>
      </w:r>
      <w:r w:rsidR="006A5D18" w:rsidRPr="00611F48">
        <w:rPr>
          <w:rFonts w:ascii="Arial" w:hAnsi="Arial" w:cs="Arial"/>
        </w:rPr>
        <w:t xml:space="preserve">n absence of Supreme Court authority on the point there is </w:t>
      </w:r>
      <w:r w:rsidR="00467725">
        <w:rPr>
          <w:rFonts w:ascii="Arial" w:hAnsi="Arial" w:cs="Arial"/>
        </w:rPr>
        <w:t xml:space="preserve">clearly </w:t>
      </w:r>
      <w:r w:rsidR="006A5D18" w:rsidRPr="00611F48">
        <w:rPr>
          <w:rFonts w:ascii="Arial" w:hAnsi="Arial" w:cs="Arial"/>
        </w:rPr>
        <w:t>scope for a divergence in approaches to the threshold required to establish a prima facie case</w:t>
      </w:r>
      <w:r w:rsidR="008B1510">
        <w:rPr>
          <w:rFonts w:ascii="Arial" w:hAnsi="Arial" w:cs="Arial"/>
        </w:rPr>
        <w:t xml:space="preserve"> amongst the various Circuits</w:t>
      </w:r>
      <w:r w:rsidR="006A5D18" w:rsidRPr="00611F48">
        <w:rPr>
          <w:rFonts w:ascii="Arial" w:hAnsi="Arial" w:cs="Arial"/>
        </w:rPr>
        <w:t xml:space="preserve">. </w:t>
      </w:r>
    </w:p>
    <w:p w14:paraId="256BAFC2" w14:textId="77777777" w:rsidR="0030077B" w:rsidRDefault="0030077B" w:rsidP="00EE1BD2">
      <w:pPr>
        <w:pStyle w:val="Body"/>
        <w:spacing w:line="480" w:lineRule="auto"/>
        <w:rPr>
          <w:rFonts w:ascii="Arial" w:hAnsi="Arial" w:cs="Arial"/>
        </w:rPr>
      </w:pPr>
    </w:p>
    <w:p w14:paraId="2F4260E3" w14:textId="77777777" w:rsidR="00D25EFD" w:rsidRPr="0030077B" w:rsidRDefault="003C4C12" w:rsidP="00EE1BD2">
      <w:pPr>
        <w:autoSpaceDE w:val="0"/>
        <w:autoSpaceDN w:val="0"/>
        <w:adjustRightInd w:val="0"/>
        <w:spacing w:after="0" w:line="480" w:lineRule="auto"/>
        <w:rPr>
          <w:rFonts w:ascii="Arial" w:hAnsi="Arial" w:cs="Arial"/>
        </w:rPr>
      </w:pPr>
      <w:r w:rsidRPr="008B1510">
        <w:rPr>
          <w:rFonts w:ascii="Arial" w:eastAsia="Arial Unicode MS" w:hAnsi="Arial" w:cs="Arial"/>
          <w:color w:val="000000"/>
          <w:bdr w:val="nil"/>
          <w:lang w:val="en-US" w:eastAsia="en-GB"/>
        </w:rPr>
        <w:t xml:space="preserve">In contrast </w:t>
      </w:r>
      <w:r>
        <w:rPr>
          <w:rFonts w:ascii="Arial" w:eastAsia="Arial Unicode MS" w:hAnsi="Arial" w:cs="Arial"/>
          <w:color w:val="000000"/>
          <w:bdr w:val="nil"/>
          <w:lang w:val="en-US" w:eastAsia="en-GB"/>
        </w:rPr>
        <w:t>to the reluctance of the English and Welsh courts to conduct in camera review of allegedly privileged communications, t</w:t>
      </w:r>
      <w:r w:rsidR="00517BEC">
        <w:rPr>
          <w:rFonts w:ascii="Arial" w:eastAsia="Arial Unicode MS" w:hAnsi="Arial" w:cs="Arial"/>
          <w:color w:val="000000"/>
          <w:bdr w:val="nil"/>
          <w:lang w:val="en-US" w:eastAsia="en-GB"/>
        </w:rPr>
        <w:t xml:space="preserve">he US </w:t>
      </w:r>
      <w:r w:rsidRPr="00755B63">
        <w:rPr>
          <w:rFonts w:ascii="Arial" w:eastAsia="Arial Unicode MS" w:hAnsi="Arial" w:cs="Arial"/>
          <w:color w:val="000000"/>
          <w:bdr w:val="nil"/>
          <w:lang w:val="en-US" w:eastAsia="en-GB"/>
        </w:rPr>
        <w:t>approach seems to be for the trial judge to hold in camera review</w:t>
      </w:r>
      <w:r>
        <w:rPr>
          <w:rFonts w:ascii="Arial" w:eastAsia="Arial Unicode MS" w:hAnsi="Arial" w:cs="Arial"/>
          <w:color w:val="000000"/>
          <w:bdr w:val="nil"/>
          <w:lang w:val="en-US" w:eastAsia="en-GB"/>
        </w:rPr>
        <w:t>.</w:t>
      </w:r>
      <w:r w:rsidRPr="003C4C12">
        <w:rPr>
          <w:rStyle w:val="FootnoteReference"/>
          <w:rFonts w:ascii="Arial" w:hAnsi="Arial" w:cs="Arial"/>
        </w:rPr>
        <w:t xml:space="preserve"> </w:t>
      </w:r>
      <w:r w:rsidRPr="00611F48">
        <w:rPr>
          <w:rStyle w:val="FootnoteReference"/>
          <w:rFonts w:ascii="Arial" w:hAnsi="Arial" w:cs="Arial"/>
        </w:rPr>
        <w:footnoteReference w:id="150"/>
      </w:r>
      <w:r w:rsidR="00E42C08">
        <w:rPr>
          <w:rFonts w:ascii="Arial" w:hAnsi="Arial" w:cs="Arial"/>
        </w:rPr>
        <w:t xml:space="preserve"> </w:t>
      </w:r>
      <w:r w:rsidR="002A25B7" w:rsidRPr="00611F48">
        <w:rPr>
          <w:rFonts w:ascii="Arial" w:hAnsi="Arial" w:cs="Arial"/>
          <w:lang w:val="en-US"/>
        </w:rPr>
        <w:t xml:space="preserve">The court </w:t>
      </w:r>
      <w:r w:rsidR="00AC0BBD" w:rsidRPr="00611F48">
        <w:rPr>
          <w:rFonts w:ascii="Arial" w:hAnsi="Arial" w:cs="Arial"/>
        </w:rPr>
        <w:t xml:space="preserve">in </w:t>
      </w:r>
      <w:proofErr w:type="spellStart"/>
      <w:r w:rsidR="00AC0BBD" w:rsidRPr="00611F48">
        <w:rPr>
          <w:rFonts w:ascii="Arial" w:hAnsi="Arial" w:cs="Arial"/>
          <w:i/>
        </w:rPr>
        <w:t>Zolin</w:t>
      </w:r>
      <w:proofErr w:type="spellEnd"/>
      <w:r w:rsidR="002A25B7" w:rsidRPr="00611F48">
        <w:rPr>
          <w:rFonts w:ascii="Arial" w:hAnsi="Arial" w:cs="Arial"/>
        </w:rPr>
        <w:t xml:space="preserve"> </w:t>
      </w:r>
      <w:r w:rsidR="002A25B7" w:rsidRPr="00611F48">
        <w:rPr>
          <w:rFonts w:ascii="Arial" w:hAnsi="Arial" w:cs="Arial"/>
          <w:lang w:val="en-US"/>
        </w:rPr>
        <w:t>provide</w:t>
      </w:r>
      <w:r w:rsidR="00E42C08">
        <w:rPr>
          <w:rFonts w:ascii="Arial" w:hAnsi="Arial" w:cs="Arial"/>
          <w:lang w:val="en-US"/>
        </w:rPr>
        <w:t>d</w:t>
      </w:r>
      <w:r w:rsidR="002A25B7" w:rsidRPr="00611F48">
        <w:rPr>
          <w:rFonts w:ascii="Arial" w:hAnsi="Arial" w:cs="Arial"/>
          <w:lang w:val="en-US"/>
        </w:rPr>
        <w:t xml:space="preserve"> guidance </w:t>
      </w:r>
      <w:r w:rsidR="002A25B7" w:rsidRPr="00611F48">
        <w:rPr>
          <w:rFonts w:ascii="Arial" w:hAnsi="Arial" w:cs="Arial"/>
        </w:rPr>
        <w:t>on the</w:t>
      </w:r>
      <w:r w:rsidR="002A25B7" w:rsidRPr="00611F48">
        <w:rPr>
          <w:rFonts w:ascii="Arial" w:hAnsi="Arial" w:cs="Arial"/>
          <w:lang w:val="en-US"/>
        </w:rPr>
        <w:t xml:space="preserve"> </w:t>
      </w:r>
      <w:r w:rsidR="002A25B7" w:rsidRPr="00611F48">
        <w:rPr>
          <w:rFonts w:ascii="Arial" w:hAnsi="Arial" w:cs="Arial"/>
        </w:rPr>
        <w:t xml:space="preserve">use of in camera review </w:t>
      </w:r>
      <w:r w:rsidR="00D251C5">
        <w:rPr>
          <w:rFonts w:ascii="Arial" w:hAnsi="Arial" w:cs="Arial"/>
          <w:lang w:val="en-US"/>
        </w:rPr>
        <w:t xml:space="preserve">as part of the process of </w:t>
      </w:r>
      <w:r w:rsidR="002A25B7" w:rsidRPr="00611F48">
        <w:rPr>
          <w:rFonts w:ascii="Arial" w:hAnsi="Arial" w:cs="Arial"/>
          <w:lang w:val="en-US"/>
        </w:rPr>
        <w:t>establishing whether the exception applies.</w:t>
      </w:r>
      <w:r w:rsidR="00AC0BBD" w:rsidRPr="00611F48">
        <w:rPr>
          <w:rFonts w:ascii="Arial" w:hAnsi="Arial" w:cs="Arial"/>
        </w:rPr>
        <w:t xml:space="preserve"> In </w:t>
      </w:r>
      <w:proofErr w:type="spellStart"/>
      <w:r w:rsidR="00AC0BBD" w:rsidRPr="00611F48">
        <w:rPr>
          <w:rFonts w:ascii="Arial" w:hAnsi="Arial" w:cs="Arial"/>
          <w:i/>
        </w:rPr>
        <w:t>Zolin</w:t>
      </w:r>
      <w:proofErr w:type="spellEnd"/>
      <w:r w:rsidR="002A25B7" w:rsidRPr="00611F48">
        <w:rPr>
          <w:rFonts w:ascii="Arial" w:hAnsi="Arial" w:cs="Arial"/>
          <w:lang w:val="en-US"/>
        </w:rPr>
        <w:t>,</w:t>
      </w:r>
      <w:r w:rsidR="002A25B7" w:rsidRPr="00611F48">
        <w:rPr>
          <w:rFonts w:ascii="Arial" w:hAnsi="Arial" w:cs="Arial"/>
        </w:rPr>
        <w:t xml:space="preserve"> the court held that in camera review of privileged communications was appropriate to </w:t>
      </w:r>
      <w:r w:rsidR="002A25B7" w:rsidRPr="00611F48">
        <w:rPr>
          <w:rFonts w:ascii="Arial" w:hAnsi="Arial" w:cs="Arial"/>
          <w:lang w:val="en-US"/>
        </w:rPr>
        <w:t xml:space="preserve">help the court </w:t>
      </w:r>
      <w:r w:rsidR="002A25B7" w:rsidRPr="00611F48">
        <w:rPr>
          <w:rFonts w:ascii="Arial" w:hAnsi="Arial" w:cs="Arial"/>
        </w:rPr>
        <w:t>de</w:t>
      </w:r>
      <w:r w:rsidR="0030077B">
        <w:rPr>
          <w:rFonts w:ascii="Arial" w:hAnsi="Arial" w:cs="Arial"/>
        </w:rPr>
        <w:t>termine if the crime-</w:t>
      </w:r>
      <w:r w:rsidR="002A25B7" w:rsidRPr="00611F48">
        <w:rPr>
          <w:rFonts w:ascii="Arial" w:hAnsi="Arial" w:cs="Arial"/>
        </w:rPr>
        <w:t xml:space="preserve">fraud exception </w:t>
      </w:r>
      <w:r w:rsidR="002A25B7" w:rsidRPr="00611F48">
        <w:rPr>
          <w:rFonts w:ascii="Arial" w:hAnsi="Arial" w:cs="Arial"/>
          <w:lang w:val="en-US"/>
        </w:rPr>
        <w:t xml:space="preserve">to privilege </w:t>
      </w:r>
      <w:r w:rsidR="002A25B7" w:rsidRPr="00611F48">
        <w:rPr>
          <w:rFonts w:ascii="Arial" w:hAnsi="Arial" w:cs="Arial"/>
        </w:rPr>
        <w:t>applies.</w:t>
      </w:r>
      <w:r w:rsidR="002A25B7" w:rsidRPr="00611F48">
        <w:rPr>
          <w:rFonts w:ascii="Arial" w:eastAsia="Helvetica" w:hAnsi="Arial" w:cs="Arial"/>
          <w:vertAlign w:val="superscript"/>
        </w:rPr>
        <w:footnoteReference w:id="151"/>
      </w:r>
      <w:r w:rsidR="002A25B7" w:rsidRPr="00611F48">
        <w:rPr>
          <w:rFonts w:ascii="Arial" w:hAnsi="Arial" w:cs="Arial"/>
        </w:rPr>
        <w:t xml:space="preserve"> </w:t>
      </w:r>
      <w:r w:rsidR="002A25B7" w:rsidRPr="00611F48">
        <w:rPr>
          <w:rFonts w:ascii="Arial" w:hAnsi="Arial" w:cs="Arial"/>
          <w:lang w:val="en-US"/>
        </w:rPr>
        <w:t>In camera review can be of written materials and oral communications and can involve the oral examination of an attorney</w:t>
      </w:r>
      <w:r w:rsidR="00AC0BBD" w:rsidRPr="00611F48">
        <w:rPr>
          <w:rFonts w:ascii="Arial" w:hAnsi="Arial" w:cs="Arial"/>
          <w:lang w:val="en-US"/>
        </w:rPr>
        <w:t>.</w:t>
      </w:r>
      <w:r w:rsidR="002A25B7" w:rsidRPr="00611F48">
        <w:rPr>
          <w:rFonts w:ascii="Arial" w:eastAsia="Helvetica" w:hAnsi="Arial" w:cs="Arial"/>
          <w:vertAlign w:val="superscript"/>
        </w:rPr>
        <w:footnoteReference w:id="152"/>
      </w:r>
      <w:r w:rsidR="002A25B7" w:rsidRPr="00611F48">
        <w:rPr>
          <w:rFonts w:ascii="Arial" w:hAnsi="Arial" w:cs="Arial"/>
          <w:lang w:val="en-US"/>
        </w:rPr>
        <w:t xml:space="preserve"> </w:t>
      </w:r>
      <w:r w:rsidR="002A25B7" w:rsidRPr="00611F48">
        <w:rPr>
          <w:rFonts w:ascii="Arial" w:hAnsi="Arial" w:cs="Arial"/>
        </w:rPr>
        <w:t>On the question of the circumstances in which in camera review would take place, the court held that such review should not take place simply at the request of the party asserting that the communications were not privile</w:t>
      </w:r>
      <w:r w:rsidR="00EE4681">
        <w:rPr>
          <w:rFonts w:ascii="Arial" w:hAnsi="Arial" w:cs="Arial"/>
        </w:rPr>
        <w:t>ged due to the crime-</w:t>
      </w:r>
      <w:r w:rsidR="002A25B7" w:rsidRPr="00611F48">
        <w:rPr>
          <w:rFonts w:ascii="Arial" w:hAnsi="Arial" w:cs="Arial"/>
        </w:rPr>
        <w:t>fraud exception. The</w:t>
      </w:r>
      <w:r w:rsidR="002A25B7" w:rsidRPr="00611F48">
        <w:rPr>
          <w:rFonts w:ascii="Arial" w:hAnsi="Arial" w:cs="Arial"/>
          <w:lang w:val="en-US"/>
        </w:rPr>
        <w:t>re</w:t>
      </w:r>
      <w:r w:rsidR="002A25B7" w:rsidRPr="00611F48">
        <w:rPr>
          <w:rFonts w:ascii="Arial" w:hAnsi="Arial" w:cs="Arial"/>
        </w:rPr>
        <w:t xml:space="preserve"> should be </w:t>
      </w:r>
      <w:r w:rsidR="002A25B7" w:rsidRPr="00611F48">
        <w:rPr>
          <w:rFonts w:ascii="Arial" w:hAnsi="Arial" w:cs="Arial"/>
          <w:lang w:val="en-US"/>
        </w:rPr>
        <w:t>some</w:t>
      </w:r>
      <w:r w:rsidR="002A25B7" w:rsidRPr="00611F48">
        <w:rPr>
          <w:rFonts w:ascii="Arial" w:hAnsi="Arial" w:cs="Arial"/>
        </w:rPr>
        <w:t xml:space="preserve"> evidence produced by the party challenging the claim of privilege and this evidence </w:t>
      </w:r>
      <w:r w:rsidR="002A25B7" w:rsidRPr="00611F48">
        <w:rPr>
          <w:rFonts w:ascii="Arial" w:hAnsi="Arial" w:cs="Arial"/>
          <w:lang w:val="en-US"/>
        </w:rPr>
        <w:t xml:space="preserve">must </w:t>
      </w:r>
      <w:r w:rsidR="002A25B7" w:rsidRPr="00611F48">
        <w:rPr>
          <w:rFonts w:ascii="Arial" w:hAnsi="Arial" w:cs="Arial"/>
        </w:rPr>
        <w:t>meet a threshold test. The test set out by th</w:t>
      </w:r>
      <w:r w:rsidR="001A41E7" w:rsidRPr="00611F48">
        <w:rPr>
          <w:rFonts w:ascii="Arial" w:hAnsi="Arial" w:cs="Arial"/>
        </w:rPr>
        <w:t>e court required evidence of a “</w:t>
      </w:r>
      <w:r w:rsidR="002A25B7" w:rsidRPr="00611F48">
        <w:rPr>
          <w:rFonts w:ascii="Arial" w:hAnsi="Arial" w:cs="Arial"/>
        </w:rPr>
        <w:t>factual basis adequate to support a good faith</w:t>
      </w:r>
      <w:r w:rsidR="001A41E7" w:rsidRPr="00611F48">
        <w:rPr>
          <w:rFonts w:ascii="Arial" w:hAnsi="Arial" w:cs="Arial"/>
        </w:rPr>
        <w:t xml:space="preserve"> belief by a reasonable person.”</w:t>
      </w:r>
      <w:r w:rsidR="002A25B7" w:rsidRPr="00611F48">
        <w:rPr>
          <w:rFonts w:ascii="Arial" w:eastAsia="Helvetica" w:hAnsi="Arial" w:cs="Arial"/>
          <w:vertAlign w:val="superscript"/>
        </w:rPr>
        <w:footnoteReference w:id="153"/>
      </w:r>
      <w:r w:rsidR="002A25B7" w:rsidRPr="00611F48">
        <w:rPr>
          <w:rFonts w:ascii="Arial" w:hAnsi="Arial" w:cs="Arial"/>
        </w:rPr>
        <w:t xml:space="preserve"> </w:t>
      </w:r>
      <w:r w:rsidR="002A25B7" w:rsidRPr="00611F48">
        <w:rPr>
          <w:rFonts w:ascii="Arial" w:hAnsi="Arial" w:cs="Arial"/>
          <w:lang w:val="en-US"/>
        </w:rPr>
        <w:t>It wa</w:t>
      </w:r>
      <w:r w:rsidR="001A41E7" w:rsidRPr="00611F48">
        <w:rPr>
          <w:rFonts w:ascii="Arial" w:hAnsi="Arial" w:cs="Arial"/>
          <w:lang w:val="en-US"/>
        </w:rPr>
        <w:t xml:space="preserve">s made clear </w:t>
      </w:r>
      <w:r w:rsidR="001A41E7" w:rsidRPr="00611F48">
        <w:rPr>
          <w:rFonts w:ascii="Arial" w:hAnsi="Arial" w:cs="Arial"/>
          <w:lang w:val="en-US"/>
        </w:rPr>
        <w:lastRenderedPageBreak/>
        <w:t>that “</w:t>
      </w:r>
      <w:r w:rsidR="002A25B7" w:rsidRPr="00611F48">
        <w:rPr>
          <w:rFonts w:ascii="Arial" w:hAnsi="Arial" w:cs="Arial"/>
          <w:lang w:val="en-US"/>
        </w:rPr>
        <w:t>a lesser evidentiary showing is needed to trigger in camera review than is required ultim</w:t>
      </w:r>
      <w:r w:rsidR="001A41E7" w:rsidRPr="00611F48">
        <w:rPr>
          <w:rFonts w:ascii="Arial" w:hAnsi="Arial" w:cs="Arial"/>
          <w:lang w:val="en-US"/>
        </w:rPr>
        <w:t>ately to overcome the privilege.”</w:t>
      </w:r>
      <w:r w:rsidR="002A25B7" w:rsidRPr="00611F48">
        <w:rPr>
          <w:rFonts w:ascii="Arial" w:eastAsia="Helvetica" w:hAnsi="Arial" w:cs="Arial"/>
          <w:vertAlign w:val="superscript"/>
        </w:rPr>
        <w:footnoteReference w:id="154"/>
      </w:r>
      <w:r w:rsidR="00C0590E">
        <w:rPr>
          <w:rFonts w:ascii="Arial" w:hAnsi="Arial" w:cs="Arial"/>
          <w:lang w:val="en-US"/>
        </w:rPr>
        <w:t xml:space="preserve"> </w:t>
      </w:r>
    </w:p>
    <w:p w14:paraId="208BB0A2" w14:textId="77777777" w:rsidR="00D25EFD" w:rsidRPr="00611F48" w:rsidRDefault="00D25EFD" w:rsidP="00EE1BD2">
      <w:pPr>
        <w:pStyle w:val="Body"/>
        <w:spacing w:line="480" w:lineRule="auto"/>
        <w:rPr>
          <w:rFonts w:ascii="Arial" w:hAnsi="Arial" w:cs="Arial"/>
          <w:lang w:val="en-US"/>
        </w:rPr>
      </w:pPr>
    </w:p>
    <w:p w14:paraId="2A03EF9D" w14:textId="77777777" w:rsidR="00E973A6" w:rsidRPr="00611F48" w:rsidRDefault="00D25EFD" w:rsidP="00EE1BD2">
      <w:pPr>
        <w:pStyle w:val="Body"/>
        <w:spacing w:line="480" w:lineRule="auto"/>
        <w:rPr>
          <w:rFonts w:ascii="Arial" w:hAnsi="Arial" w:cs="Arial"/>
        </w:rPr>
      </w:pPr>
      <w:r w:rsidRPr="00611F48">
        <w:rPr>
          <w:rFonts w:ascii="Arial" w:hAnsi="Arial" w:cs="Arial"/>
        </w:rPr>
        <w:t xml:space="preserve">The guidance </w:t>
      </w:r>
      <w:r w:rsidR="001A41E7" w:rsidRPr="00611F48">
        <w:rPr>
          <w:rFonts w:ascii="Arial" w:hAnsi="Arial" w:cs="Arial"/>
        </w:rPr>
        <w:t xml:space="preserve">in </w:t>
      </w:r>
      <w:proofErr w:type="spellStart"/>
      <w:r w:rsidR="001A41E7" w:rsidRPr="00611F48">
        <w:rPr>
          <w:rFonts w:ascii="Arial" w:hAnsi="Arial" w:cs="Arial"/>
          <w:i/>
        </w:rPr>
        <w:t>Zolin</w:t>
      </w:r>
      <w:proofErr w:type="spellEnd"/>
      <w:r w:rsidRPr="00611F48">
        <w:rPr>
          <w:rFonts w:ascii="Arial" w:hAnsi="Arial" w:cs="Arial"/>
        </w:rPr>
        <w:t xml:space="preserve"> also covered the type of evidence that could be used towards meeting the evidentiary threshold required for both in camera review to take place and to establish a prima facie case. </w:t>
      </w:r>
      <w:r w:rsidR="002A25B7" w:rsidRPr="00611F48">
        <w:rPr>
          <w:rFonts w:ascii="Arial" w:hAnsi="Arial" w:cs="Arial"/>
        </w:rPr>
        <w:t>Any rel</w:t>
      </w:r>
      <w:r w:rsidR="001A41E7" w:rsidRPr="00611F48">
        <w:rPr>
          <w:rFonts w:ascii="Arial" w:hAnsi="Arial" w:cs="Arial"/>
        </w:rPr>
        <w:t>evant evidence, whether or not “independent”</w:t>
      </w:r>
      <w:r w:rsidR="002A25B7" w:rsidRPr="00611F48">
        <w:rPr>
          <w:rFonts w:ascii="Arial" w:hAnsi="Arial" w:cs="Arial"/>
        </w:rPr>
        <w:t xml:space="preserve"> of the privileged communications in issue</w:t>
      </w:r>
      <w:r w:rsidR="002A25B7" w:rsidRPr="00611F48">
        <w:rPr>
          <w:rFonts w:ascii="Arial" w:hAnsi="Arial" w:cs="Arial"/>
          <w:lang w:val="en-US"/>
        </w:rPr>
        <w:t>,</w:t>
      </w:r>
      <w:r w:rsidR="002A25B7" w:rsidRPr="00611F48">
        <w:rPr>
          <w:rFonts w:ascii="Arial" w:hAnsi="Arial" w:cs="Arial"/>
        </w:rPr>
        <w:t xml:space="preserve"> can be used </w:t>
      </w:r>
      <w:r w:rsidR="002A25B7" w:rsidRPr="00611F48">
        <w:rPr>
          <w:rFonts w:ascii="Arial" w:hAnsi="Arial" w:cs="Arial"/>
          <w:lang w:val="en-US"/>
        </w:rPr>
        <w:t xml:space="preserve">both </w:t>
      </w:r>
      <w:r w:rsidRPr="00611F48">
        <w:rPr>
          <w:rFonts w:ascii="Arial" w:hAnsi="Arial" w:cs="Arial"/>
        </w:rPr>
        <w:t>to meet the in camera review threshold test</w:t>
      </w:r>
      <w:r w:rsidR="002A25B7" w:rsidRPr="00611F48">
        <w:rPr>
          <w:rFonts w:ascii="Arial" w:hAnsi="Arial" w:cs="Arial"/>
          <w:lang w:val="en-US"/>
        </w:rPr>
        <w:t xml:space="preserve"> and as prima facie evidence that the exception applies</w:t>
      </w:r>
      <w:r w:rsidR="001A41E7" w:rsidRPr="00611F48">
        <w:rPr>
          <w:rFonts w:ascii="Arial" w:hAnsi="Arial" w:cs="Arial"/>
          <w:lang w:val="en-US"/>
        </w:rPr>
        <w:t>.</w:t>
      </w:r>
      <w:r w:rsidR="002A25B7" w:rsidRPr="00611F48">
        <w:rPr>
          <w:rFonts w:ascii="Arial" w:eastAsia="Helvetica" w:hAnsi="Arial" w:cs="Arial"/>
          <w:vertAlign w:val="superscript"/>
        </w:rPr>
        <w:footnoteReference w:id="155"/>
      </w:r>
      <w:r w:rsidR="002A25B7" w:rsidRPr="00611F48">
        <w:rPr>
          <w:rFonts w:ascii="Arial" w:hAnsi="Arial" w:cs="Arial"/>
        </w:rPr>
        <w:t xml:space="preserve"> Previous case law had suggested that evidence independent of the privileged communications was required to establish a prima facie case of crime/fraud</w:t>
      </w:r>
      <w:r w:rsidR="001A41E7" w:rsidRPr="00611F48">
        <w:rPr>
          <w:rFonts w:ascii="Arial" w:hAnsi="Arial" w:cs="Arial"/>
        </w:rPr>
        <w:t>.</w:t>
      </w:r>
      <w:r w:rsidR="002A25B7" w:rsidRPr="00611F48">
        <w:rPr>
          <w:rFonts w:ascii="Arial" w:eastAsia="Helvetica" w:hAnsi="Arial" w:cs="Arial"/>
          <w:vertAlign w:val="superscript"/>
        </w:rPr>
        <w:footnoteReference w:id="156"/>
      </w:r>
      <w:r w:rsidR="002A25B7" w:rsidRPr="00611F48">
        <w:rPr>
          <w:rFonts w:ascii="Arial" w:hAnsi="Arial" w:cs="Arial"/>
        </w:rPr>
        <w:t xml:space="preserve"> </w:t>
      </w:r>
    </w:p>
    <w:p w14:paraId="740C1111" w14:textId="77777777" w:rsidR="00E973A6" w:rsidRPr="00611F48" w:rsidRDefault="00E973A6" w:rsidP="00EE1BD2">
      <w:pPr>
        <w:pStyle w:val="Body"/>
        <w:spacing w:line="480" w:lineRule="auto"/>
        <w:rPr>
          <w:rFonts w:ascii="Arial" w:hAnsi="Arial" w:cs="Arial"/>
        </w:rPr>
      </w:pPr>
    </w:p>
    <w:p w14:paraId="597B089C" w14:textId="67CFE439" w:rsidR="00C26515" w:rsidRDefault="00003B95" w:rsidP="00EE1BD2">
      <w:pPr>
        <w:pStyle w:val="Body"/>
        <w:spacing w:line="480" w:lineRule="auto"/>
        <w:rPr>
          <w:rFonts w:ascii="Arial" w:hAnsi="Arial" w:cs="Arial"/>
          <w:iCs/>
          <w:color w:val="FF0000"/>
        </w:rPr>
      </w:pPr>
      <w:r>
        <w:rPr>
          <w:rFonts w:ascii="Arial" w:hAnsi="Arial" w:cs="Arial"/>
          <w:iCs/>
        </w:rPr>
        <w:t>T</w:t>
      </w:r>
      <w:r w:rsidR="00E973A6" w:rsidRPr="00611F48">
        <w:rPr>
          <w:rFonts w:ascii="Arial" w:hAnsi="Arial" w:cs="Arial"/>
          <w:iCs/>
          <w:lang w:val="en-US"/>
        </w:rPr>
        <w:t>he ap</w:t>
      </w:r>
      <w:r w:rsidR="00D25EFD" w:rsidRPr="00611F48">
        <w:rPr>
          <w:rFonts w:ascii="Arial" w:hAnsi="Arial" w:cs="Arial"/>
          <w:iCs/>
          <w:lang w:val="en-US"/>
        </w:rPr>
        <w:t>proach to the type of evidence</w:t>
      </w:r>
      <w:r w:rsidR="00E973A6" w:rsidRPr="00611F48">
        <w:rPr>
          <w:rFonts w:ascii="Arial" w:hAnsi="Arial" w:cs="Arial"/>
          <w:iCs/>
          <w:lang w:val="en-US"/>
        </w:rPr>
        <w:t xml:space="preserve"> that the court will consider </w:t>
      </w:r>
      <w:r w:rsidR="00D25EFD" w:rsidRPr="00611F48">
        <w:rPr>
          <w:rFonts w:ascii="Arial" w:hAnsi="Arial" w:cs="Arial"/>
          <w:iCs/>
          <w:lang w:val="en-US"/>
        </w:rPr>
        <w:t>in assessing whether a p</w:t>
      </w:r>
      <w:r w:rsidR="0026187F">
        <w:rPr>
          <w:rFonts w:ascii="Arial" w:hAnsi="Arial" w:cs="Arial"/>
          <w:iCs/>
          <w:lang w:val="en-US"/>
        </w:rPr>
        <w:t>r</w:t>
      </w:r>
      <w:r w:rsidR="00D25EFD" w:rsidRPr="00611F48">
        <w:rPr>
          <w:rFonts w:ascii="Arial" w:hAnsi="Arial" w:cs="Arial"/>
          <w:iCs/>
          <w:lang w:val="en-US"/>
        </w:rPr>
        <w:t xml:space="preserve">ima facie case has been established </w:t>
      </w:r>
      <w:r w:rsidR="00E973A6" w:rsidRPr="00611F48">
        <w:rPr>
          <w:rFonts w:ascii="Arial" w:hAnsi="Arial" w:cs="Arial"/>
          <w:iCs/>
          <w:lang w:val="en-US"/>
        </w:rPr>
        <w:t xml:space="preserve">seems consistent between English and US courts, </w:t>
      </w:r>
      <w:r>
        <w:rPr>
          <w:rFonts w:ascii="Arial" w:hAnsi="Arial" w:cs="Arial"/>
          <w:iCs/>
          <w:lang w:val="en-US"/>
        </w:rPr>
        <w:t xml:space="preserve">but </w:t>
      </w:r>
      <w:r w:rsidR="00D25EFD" w:rsidRPr="00611F48">
        <w:rPr>
          <w:rFonts w:ascii="Arial" w:hAnsi="Arial" w:cs="Arial"/>
          <w:iCs/>
          <w:lang w:val="en-US"/>
        </w:rPr>
        <w:t xml:space="preserve">there is an entirely different approach to in camera review. This difference relates both to the frequency of the practice and the threshold test to be met for review to take place. </w:t>
      </w:r>
      <w:r w:rsidR="004D153E" w:rsidRPr="00611F48">
        <w:rPr>
          <w:rFonts w:ascii="Arial" w:hAnsi="Arial" w:cs="Arial"/>
          <w:iCs/>
          <w:lang w:val="en-US"/>
        </w:rPr>
        <w:t xml:space="preserve">The factual basis adequate to support a </w:t>
      </w:r>
      <w:r w:rsidR="00311CC7">
        <w:rPr>
          <w:rFonts w:ascii="Arial" w:hAnsi="Arial" w:cs="Arial"/>
          <w:iCs/>
          <w:lang w:val="en-US"/>
        </w:rPr>
        <w:t xml:space="preserve">good faith </w:t>
      </w:r>
      <w:r w:rsidR="004D153E" w:rsidRPr="00611F48">
        <w:rPr>
          <w:rFonts w:ascii="Arial" w:hAnsi="Arial" w:cs="Arial"/>
          <w:iCs/>
          <w:lang w:val="en-US"/>
        </w:rPr>
        <w:t xml:space="preserve">belief threshold test in the US is much lower than the exceptional factor of real weight test in English courts. </w:t>
      </w:r>
      <w:r w:rsidR="00E114BC">
        <w:rPr>
          <w:rFonts w:ascii="Arial" w:hAnsi="Arial" w:cs="Arial"/>
          <w:iCs/>
          <w:lang w:val="en-US"/>
        </w:rPr>
        <w:t>The exception is</w:t>
      </w:r>
      <w:r w:rsidR="0021703F">
        <w:rPr>
          <w:rFonts w:ascii="Arial" w:hAnsi="Arial" w:cs="Arial"/>
          <w:iCs/>
          <w:lang w:val="en-US"/>
        </w:rPr>
        <w:t xml:space="preserve"> the English </w:t>
      </w:r>
      <w:r w:rsidR="004D153E" w:rsidRPr="00611F48">
        <w:rPr>
          <w:rFonts w:ascii="Arial" w:hAnsi="Arial" w:cs="Arial"/>
          <w:iCs/>
          <w:lang w:val="en-US"/>
        </w:rPr>
        <w:t xml:space="preserve">Tribunal </w:t>
      </w:r>
      <w:r w:rsidR="00E114BC">
        <w:rPr>
          <w:rFonts w:ascii="Arial" w:hAnsi="Arial" w:cs="Arial"/>
          <w:iCs/>
          <w:lang w:val="en-US"/>
        </w:rPr>
        <w:t xml:space="preserve">where </w:t>
      </w:r>
      <w:r w:rsidR="004D153E" w:rsidRPr="00611F48">
        <w:rPr>
          <w:rFonts w:ascii="Arial" w:hAnsi="Arial" w:cs="Arial"/>
          <w:iCs/>
          <w:lang w:val="en-US"/>
        </w:rPr>
        <w:t xml:space="preserve">there is no threshold test at all </w:t>
      </w:r>
      <w:r w:rsidR="00C02FC3" w:rsidRPr="0023733B">
        <w:rPr>
          <w:rFonts w:ascii="Arial" w:hAnsi="Arial" w:cs="Arial"/>
          <w:iCs/>
          <w:color w:val="auto"/>
          <w:lang w:val="en-US"/>
        </w:rPr>
        <w:t>in the context of disputes arising out of the giving of information notices</w:t>
      </w:r>
      <w:r w:rsidR="004D153E" w:rsidRPr="0023733B">
        <w:rPr>
          <w:rFonts w:ascii="Arial" w:hAnsi="Arial" w:cs="Arial"/>
          <w:iCs/>
          <w:color w:val="auto"/>
          <w:lang w:val="en-US"/>
        </w:rPr>
        <w:t xml:space="preserve">. </w:t>
      </w:r>
      <w:r w:rsidR="004D153E" w:rsidRPr="00611F48">
        <w:rPr>
          <w:rFonts w:ascii="Arial" w:hAnsi="Arial" w:cs="Arial"/>
          <w:iCs/>
          <w:lang w:val="en-US"/>
        </w:rPr>
        <w:t xml:space="preserve"> Criticisms of the very high threshold test applied by the English courts could be met by adopting the US approach, </w:t>
      </w:r>
      <w:r w:rsidR="00897A98">
        <w:rPr>
          <w:rFonts w:ascii="Arial" w:hAnsi="Arial" w:cs="Arial"/>
          <w:iCs/>
          <w:lang w:val="en-US"/>
        </w:rPr>
        <w:t xml:space="preserve">before </w:t>
      </w:r>
      <w:r w:rsidR="004D153E" w:rsidRPr="00611F48">
        <w:rPr>
          <w:rFonts w:ascii="Arial" w:hAnsi="Arial" w:cs="Arial"/>
          <w:iCs/>
          <w:lang w:val="en-US"/>
        </w:rPr>
        <w:t>both the courts and the Tribunal.</w:t>
      </w:r>
      <w:r w:rsidR="00C02FC3" w:rsidRPr="00611F48">
        <w:rPr>
          <w:rFonts w:ascii="Arial" w:hAnsi="Arial" w:cs="Arial"/>
          <w:iCs/>
          <w:lang w:val="en-US"/>
        </w:rPr>
        <w:t xml:space="preserve"> </w:t>
      </w:r>
      <w:r w:rsidR="00E114BC">
        <w:rPr>
          <w:rFonts w:ascii="Arial" w:hAnsi="Arial" w:cs="Arial"/>
          <w:iCs/>
          <w:lang w:val="en-US"/>
        </w:rPr>
        <w:t>This might increase the potential success rate of such challenges and</w:t>
      </w:r>
      <w:r w:rsidR="00C705F6">
        <w:rPr>
          <w:rFonts w:ascii="Arial" w:hAnsi="Arial" w:cs="Arial"/>
          <w:iCs/>
          <w:lang w:val="en-US"/>
        </w:rPr>
        <w:t>,</w:t>
      </w:r>
      <w:r w:rsidR="00E114BC">
        <w:rPr>
          <w:rFonts w:ascii="Arial" w:hAnsi="Arial" w:cs="Arial"/>
          <w:iCs/>
          <w:lang w:val="en-US"/>
        </w:rPr>
        <w:t xml:space="preserve"> thus</w:t>
      </w:r>
      <w:r w:rsidR="00C705F6">
        <w:rPr>
          <w:rFonts w:ascii="Arial" w:hAnsi="Arial" w:cs="Arial"/>
          <w:iCs/>
          <w:lang w:val="en-US"/>
        </w:rPr>
        <w:t>,</w:t>
      </w:r>
      <w:r w:rsidR="00E114BC">
        <w:rPr>
          <w:rFonts w:ascii="Arial" w:hAnsi="Arial" w:cs="Arial"/>
          <w:iCs/>
          <w:lang w:val="en-US"/>
        </w:rPr>
        <w:t xml:space="preserve"> their frequency. </w:t>
      </w:r>
      <w:r w:rsidR="004435C7">
        <w:rPr>
          <w:rFonts w:ascii="Arial" w:hAnsi="Arial" w:cs="Arial"/>
          <w:iCs/>
          <w:color w:val="auto"/>
          <w:lang w:val="en-US"/>
        </w:rPr>
        <w:t>Arguably,</w:t>
      </w:r>
      <w:r w:rsidR="00C02FC3" w:rsidRPr="0023733B">
        <w:rPr>
          <w:rFonts w:ascii="Arial" w:hAnsi="Arial" w:cs="Arial"/>
          <w:iCs/>
          <w:color w:val="auto"/>
        </w:rPr>
        <w:t xml:space="preserve"> the demands on judicial time</w:t>
      </w:r>
      <w:r w:rsidR="0003588A" w:rsidRPr="0023733B">
        <w:rPr>
          <w:rFonts w:ascii="Arial" w:hAnsi="Arial" w:cs="Arial"/>
          <w:iCs/>
          <w:color w:val="auto"/>
        </w:rPr>
        <w:t>,</w:t>
      </w:r>
      <w:r w:rsidR="00C02FC3" w:rsidRPr="0023733B">
        <w:rPr>
          <w:rFonts w:ascii="Arial" w:hAnsi="Arial" w:cs="Arial"/>
          <w:iCs/>
          <w:color w:val="auto"/>
        </w:rPr>
        <w:t xml:space="preserve"> consequent delays in the </w:t>
      </w:r>
      <w:r w:rsidR="0003588A" w:rsidRPr="0023733B">
        <w:rPr>
          <w:rFonts w:ascii="Arial" w:hAnsi="Arial" w:cs="Arial"/>
          <w:iCs/>
          <w:color w:val="auto"/>
        </w:rPr>
        <w:t xml:space="preserve">civil process and increased expense for the parties </w:t>
      </w:r>
      <w:r w:rsidR="00C02FC3" w:rsidRPr="0023733B">
        <w:rPr>
          <w:rFonts w:ascii="Arial" w:hAnsi="Arial" w:cs="Arial"/>
          <w:iCs/>
          <w:color w:val="auto"/>
        </w:rPr>
        <w:t xml:space="preserve">which </w:t>
      </w:r>
      <w:r w:rsidR="00897A98">
        <w:rPr>
          <w:rFonts w:ascii="Arial" w:hAnsi="Arial" w:cs="Arial"/>
          <w:iCs/>
          <w:color w:val="auto"/>
        </w:rPr>
        <w:t>could</w:t>
      </w:r>
      <w:r w:rsidR="0003588A" w:rsidRPr="0023733B">
        <w:rPr>
          <w:rFonts w:ascii="Arial" w:hAnsi="Arial" w:cs="Arial"/>
          <w:iCs/>
          <w:color w:val="auto"/>
        </w:rPr>
        <w:t xml:space="preserve"> potentially</w:t>
      </w:r>
      <w:r w:rsidR="00C02FC3" w:rsidRPr="0023733B">
        <w:rPr>
          <w:rFonts w:ascii="Arial" w:hAnsi="Arial" w:cs="Arial"/>
          <w:iCs/>
          <w:color w:val="auto"/>
        </w:rPr>
        <w:t xml:space="preserve"> result if in camera reviews </w:t>
      </w:r>
      <w:r w:rsidR="0003588A" w:rsidRPr="0023733B">
        <w:rPr>
          <w:rFonts w:ascii="Arial" w:hAnsi="Arial" w:cs="Arial"/>
          <w:iCs/>
          <w:color w:val="auto"/>
        </w:rPr>
        <w:t xml:space="preserve">of voluminous documents </w:t>
      </w:r>
      <w:r w:rsidR="00C02FC3" w:rsidRPr="0023733B">
        <w:rPr>
          <w:rFonts w:ascii="Arial" w:hAnsi="Arial" w:cs="Arial"/>
          <w:iCs/>
          <w:color w:val="auto"/>
        </w:rPr>
        <w:t xml:space="preserve">became the norm rather than the exception in England and Wales in the context of privilege disputes </w:t>
      </w:r>
      <w:r w:rsidR="0003588A" w:rsidRPr="0023733B">
        <w:rPr>
          <w:rFonts w:ascii="Arial" w:hAnsi="Arial" w:cs="Arial"/>
          <w:iCs/>
          <w:color w:val="auto"/>
        </w:rPr>
        <w:t>could</w:t>
      </w:r>
      <w:r w:rsidR="00C02FC3" w:rsidRPr="0023733B">
        <w:rPr>
          <w:rFonts w:ascii="Arial" w:hAnsi="Arial" w:cs="Arial"/>
          <w:iCs/>
          <w:color w:val="auto"/>
        </w:rPr>
        <w:t xml:space="preserve"> conflict with the overriding objective of the Civil </w:t>
      </w:r>
      <w:r w:rsidR="00C02FC3" w:rsidRPr="0023733B">
        <w:rPr>
          <w:rFonts w:ascii="Arial" w:hAnsi="Arial" w:cs="Arial"/>
          <w:iCs/>
          <w:color w:val="auto"/>
        </w:rPr>
        <w:lastRenderedPageBreak/>
        <w:t>Procedure Rules (CPR), namely, that of “enabling the court to deal with cases justly and at proportionate cost</w:t>
      </w:r>
      <w:r w:rsidR="00900ED6" w:rsidRPr="0023733B">
        <w:rPr>
          <w:rFonts w:ascii="Arial" w:hAnsi="Arial" w:cs="Arial"/>
          <w:iCs/>
          <w:color w:val="auto"/>
        </w:rPr>
        <w:t>.</w:t>
      </w:r>
      <w:r w:rsidR="00C02FC3" w:rsidRPr="0023733B">
        <w:rPr>
          <w:rFonts w:ascii="Arial" w:hAnsi="Arial" w:cs="Arial"/>
          <w:iCs/>
          <w:color w:val="auto"/>
        </w:rPr>
        <w:t>”</w:t>
      </w:r>
      <w:r w:rsidR="00900ED6" w:rsidRPr="0023733B">
        <w:rPr>
          <w:rStyle w:val="FootnoteReference"/>
          <w:rFonts w:ascii="Arial" w:hAnsi="Arial" w:cs="Arial"/>
          <w:iCs/>
          <w:color w:val="auto"/>
        </w:rPr>
        <w:footnoteReference w:id="157"/>
      </w:r>
      <w:r w:rsidR="00C02FC3" w:rsidRPr="0023733B">
        <w:rPr>
          <w:rFonts w:ascii="Arial" w:hAnsi="Arial" w:cs="Arial"/>
          <w:iCs/>
          <w:color w:val="auto"/>
        </w:rPr>
        <w:t xml:space="preserve"> </w:t>
      </w:r>
    </w:p>
    <w:p w14:paraId="45019A7C" w14:textId="77777777" w:rsidR="000C0E33" w:rsidRPr="000C0E33" w:rsidRDefault="000C0E33" w:rsidP="00EE1BD2">
      <w:pPr>
        <w:pStyle w:val="Body"/>
        <w:spacing w:line="480" w:lineRule="auto"/>
        <w:rPr>
          <w:rFonts w:ascii="Arial" w:hAnsi="Arial" w:cs="Arial"/>
          <w:iCs/>
          <w:color w:val="FF0000"/>
        </w:rPr>
      </w:pPr>
    </w:p>
    <w:p w14:paraId="25346D74" w14:textId="566E1DD3" w:rsidR="002A25B7" w:rsidRPr="001D431D" w:rsidRDefault="001360A2" w:rsidP="00EE1BD2">
      <w:pPr>
        <w:pStyle w:val="Body"/>
        <w:spacing w:line="480" w:lineRule="auto"/>
        <w:rPr>
          <w:rFonts w:ascii="Arial" w:hAnsi="Arial" w:cs="Arial"/>
          <w:b/>
        </w:rPr>
      </w:pPr>
      <w:r w:rsidRPr="001D431D">
        <w:rPr>
          <w:rFonts w:ascii="Arial" w:hAnsi="Arial" w:cs="Arial"/>
          <w:b/>
        </w:rPr>
        <w:t>Conclusion</w:t>
      </w:r>
    </w:p>
    <w:p w14:paraId="5CC0751B" w14:textId="0D11C01A" w:rsidR="00763C73" w:rsidRDefault="00C705F6" w:rsidP="00EE1BD2">
      <w:pPr>
        <w:pStyle w:val="Body"/>
        <w:spacing w:line="480" w:lineRule="auto"/>
        <w:rPr>
          <w:rFonts w:ascii="Arial" w:hAnsi="Arial" w:cs="Arial"/>
        </w:rPr>
      </w:pPr>
      <w:r>
        <w:rPr>
          <w:rFonts w:ascii="Arial" w:hAnsi="Arial" w:cs="Arial"/>
        </w:rPr>
        <w:t xml:space="preserve">Anglo-American legal systems </w:t>
      </w:r>
      <w:r w:rsidR="0027097B">
        <w:rPr>
          <w:rFonts w:ascii="Arial" w:hAnsi="Arial" w:cs="Arial"/>
        </w:rPr>
        <w:t>have clearly seen the ambit of the crime-fraud exception broaden</w:t>
      </w:r>
      <w:r w:rsidR="00EA3CB7">
        <w:rPr>
          <w:rFonts w:ascii="Arial" w:hAnsi="Arial" w:cs="Arial"/>
        </w:rPr>
        <w:t xml:space="preserve"> in recent decades</w:t>
      </w:r>
      <w:r w:rsidR="0027097B">
        <w:rPr>
          <w:rFonts w:ascii="Arial" w:hAnsi="Arial" w:cs="Arial"/>
        </w:rPr>
        <w:t>. In the US, this broadening is seen through the low evidentiary standard required to establish the exception and through increasing criminalisation of wrongdoing that would not amount to civil fraud. There is also some evidence of the exception extending to activity amo</w:t>
      </w:r>
      <w:r w:rsidR="00033110">
        <w:rPr>
          <w:rFonts w:ascii="Arial" w:hAnsi="Arial" w:cs="Arial"/>
        </w:rPr>
        <w:t>unting to abuse of the attorney-</w:t>
      </w:r>
      <w:r w:rsidR="0027097B">
        <w:rPr>
          <w:rFonts w:ascii="Arial" w:hAnsi="Arial" w:cs="Arial"/>
        </w:rPr>
        <w:t>client relationship. In England and Wales, the broadening is seen through the development of the iniquity exception, encompassing breaches of a duty of good faith or purposes contrary to the interes</w:t>
      </w:r>
      <w:r w:rsidR="00433F56">
        <w:rPr>
          <w:rFonts w:ascii="Arial" w:hAnsi="Arial" w:cs="Arial"/>
        </w:rPr>
        <w:t xml:space="preserve">ts of justice or public policy. </w:t>
      </w:r>
      <w:r w:rsidR="00B41559">
        <w:rPr>
          <w:rFonts w:ascii="Arial" w:hAnsi="Arial" w:cs="Arial"/>
        </w:rPr>
        <w:t>It may also result from statutory intervention which criminalises conduct that formerly would not have fallen within the ambit of the exception.</w:t>
      </w:r>
    </w:p>
    <w:p w14:paraId="60E47884" w14:textId="77777777" w:rsidR="00763C73" w:rsidRDefault="00763C73" w:rsidP="00EE1BD2">
      <w:pPr>
        <w:pStyle w:val="Body"/>
        <w:spacing w:line="480" w:lineRule="auto"/>
        <w:rPr>
          <w:rFonts w:ascii="Arial" w:hAnsi="Arial" w:cs="Arial"/>
        </w:rPr>
      </w:pPr>
    </w:p>
    <w:p w14:paraId="2EB7FCB0" w14:textId="0FF7233F" w:rsidR="00D40708" w:rsidRDefault="0027097B" w:rsidP="00EE1BD2">
      <w:pPr>
        <w:pStyle w:val="Body"/>
        <w:spacing w:line="480" w:lineRule="auto"/>
        <w:rPr>
          <w:rFonts w:ascii="Arial" w:hAnsi="Arial" w:cs="Arial"/>
        </w:rPr>
      </w:pPr>
      <w:r>
        <w:rPr>
          <w:rFonts w:ascii="Arial" w:hAnsi="Arial" w:cs="Arial"/>
        </w:rPr>
        <w:t>Despite this broadening of the exception, in both the US and England</w:t>
      </w:r>
      <w:r w:rsidR="00C705F6">
        <w:rPr>
          <w:rFonts w:ascii="Arial" w:hAnsi="Arial" w:cs="Arial"/>
        </w:rPr>
        <w:t>,</w:t>
      </w:r>
      <w:r>
        <w:rPr>
          <w:rFonts w:ascii="Arial" w:hAnsi="Arial" w:cs="Arial"/>
        </w:rPr>
        <w:t xml:space="preserve"> the range of tax related behaviours covered by </w:t>
      </w:r>
      <w:r w:rsidR="00433F56">
        <w:rPr>
          <w:rFonts w:ascii="Arial" w:hAnsi="Arial" w:cs="Arial"/>
        </w:rPr>
        <w:t xml:space="preserve">it </w:t>
      </w:r>
      <w:r>
        <w:rPr>
          <w:rFonts w:ascii="Arial" w:hAnsi="Arial" w:cs="Arial"/>
        </w:rPr>
        <w:t xml:space="preserve">is still somewhat opaque. It seems clear that activity amounting to tax evasion is </w:t>
      </w:r>
      <w:r w:rsidR="00C44C32">
        <w:rPr>
          <w:rFonts w:ascii="Arial" w:hAnsi="Arial" w:cs="Arial"/>
        </w:rPr>
        <w:t xml:space="preserve">encompassed by the exception. </w:t>
      </w:r>
      <w:r w:rsidR="00433F56">
        <w:rPr>
          <w:rFonts w:ascii="Arial" w:hAnsi="Arial" w:cs="Arial"/>
        </w:rPr>
        <w:t>What is much less certain</w:t>
      </w:r>
      <w:r>
        <w:rPr>
          <w:rFonts w:ascii="Arial" w:hAnsi="Arial" w:cs="Arial"/>
        </w:rPr>
        <w:t xml:space="preserve"> is how far activity </w:t>
      </w:r>
      <w:r w:rsidR="00433F56">
        <w:rPr>
          <w:rFonts w:ascii="Arial" w:hAnsi="Arial" w:cs="Arial"/>
        </w:rPr>
        <w:t xml:space="preserve">characterised as tax avoidance </w:t>
      </w:r>
      <w:r w:rsidR="00C44C32">
        <w:rPr>
          <w:rFonts w:ascii="Arial" w:hAnsi="Arial" w:cs="Arial"/>
        </w:rPr>
        <w:t>falls within its ambit</w:t>
      </w:r>
      <w:r w:rsidR="00433F56">
        <w:rPr>
          <w:rFonts w:ascii="Arial" w:hAnsi="Arial" w:cs="Arial"/>
        </w:rPr>
        <w:t xml:space="preserve">. In this context, the US tax practitioner privilege </w:t>
      </w:r>
      <w:r w:rsidR="0097073B">
        <w:rPr>
          <w:rFonts w:ascii="Arial" w:hAnsi="Arial" w:cs="Arial"/>
        </w:rPr>
        <w:t>with its tax shelter exception</w:t>
      </w:r>
      <w:r w:rsidR="00433F56">
        <w:rPr>
          <w:rFonts w:ascii="Arial" w:hAnsi="Arial" w:cs="Arial"/>
        </w:rPr>
        <w:t xml:space="preserve"> offers a</w:t>
      </w:r>
      <w:r w:rsidR="00C44C32">
        <w:rPr>
          <w:rFonts w:ascii="Arial" w:hAnsi="Arial" w:cs="Arial"/>
        </w:rPr>
        <w:t>n interesting</w:t>
      </w:r>
      <w:r w:rsidR="00433F56">
        <w:rPr>
          <w:rFonts w:ascii="Arial" w:hAnsi="Arial" w:cs="Arial"/>
        </w:rPr>
        <w:t xml:space="preserve"> compar</w:t>
      </w:r>
      <w:r w:rsidR="00C44C32">
        <w:rPr>
          <w:rFonts w:ascii="Arial" w:hAnsi="Arial" w:cs="Arial"/>
        </w:rPr>
        <w:t>ator</w:t>
      </w:r>
      <w:r w:rsidR="00433F56">
        <w:rPr>
          <w:rFonts w:ascii="Arial" w:hAnsi="Arial" w:cs="Arial"/>
        </w:rPr>
        <w:t xml:space="preserve">, although the circumstances of its introduction do not </w:t>
      </w:r>
      <w:r w:rsidR="00C44C32">
        <w:rPr>
          <w:rFonts w:ascii="Arial" w:hAnsi="Arial" w:cs="Arial"/>
        </w:rPr>
        <w:t xml:space="preserve">assist in drawing </w:t>
      </w:r>
      <w:r w:rsidR="00517BEC">
        <w:rPr>
          <w:rFonts w:ascii="Arial" w:hAnsi="Arial" w:cs="Arial"/>
        </w:rPr>
        <w:t>conclusions</w:t>
      </w:r>
      <w:r w:rsidR="00C44C32">
        <w:rPr>
          <w:rFonts w:ascii="Arial" w:hAnsi="Arial" w:cs="Arial"/>
        </w:rPr>
        <w:t xml:space="preserve"> as to </w:t>
      </w:r>
      <w:r w:rsidR="00433F56">
        <w:rPr>
          <w:rFonts w:ascii="Arial" w:hAnsi="Arial" w:cs="Arial"/>
        </w:rPr>
        <w:t xml:space="preserve">the extent to which the crime-fraud exception in the US </w:t>
      </w:r>
      <w:r w:rsidR="00C44C32">
        <w:rPr>
          <w:rFonts w:ascii="Arial" w:hAnsi="Arial" w:cs="Arial"/>
        </w:rPr>
        <w:t xml:space="preserve">was regarded by the </w:t>
      </w:r>
      <w:r w:rsidR="00D3770A">
        <w:rPr>
          <w:rFonts w:ascii="Arial" w:hAnsi="Arial" w:cs="Arial"/>
        </w:rPr>
        <w:t xml:space="preserve">legislature </w:t>
      </w:r>
      <w:r w:rsidR="00033110">
        <w:rPr>
          <w:rFonts w:ascii="Arial" w:hAnsi="Arial" w:cs="Arial"/>
        </w:rPr>
        <w:t xml:space="preserve">at that time </w:t>
      </w:r>
      <w:r w:rsidR="00C44C32">
        <w:rPr>
          <w:rFonts w:ascii="Arial" w:hAnsi="Arial" w:cs="Arial"/>
        </w:rPr>
        <w:t xml:space="preserve">as encompassing </w:t>
      </w:r>
      <w:r w:rsidR="00433F56">
        <w:rPr>
          <w:rFonts w:ascii="Arial" w:hAnsi="Arial" w:cs="Arial"/>
        </w:rPr>
        <w:t xml:space="preserve">tax avoidance. </w:t>
      </w:r>
      <w:r w:rsidR="00B252F3" w:rsidRPr="00456A9A">
        <w:rPr>
          <w:rFonts w:ascii="Arial" w:hAnsi="Arial" w:cs="Arial"/>
        </w:rPr>
        <w:t xml:space="preserve">It is </w:t>
      </w:r>
      <w:r w:rsidR="00B252F3">
        <w:rPr>
          <w:rFonts w:ascii="Arial" w:hAnsi="Arial" w:cs="Arial"/>
        </w:rPr>
        <w:t xml:space="preserve">certainly </w:t>
      </w:r>
      <w:r w:rsidR="00B252F3" w:rsidRPr="00456A9A">
        <w:rPr>
          <w:rFonts w:ascii="Arial" w:hAnsi="Arial" w:cs="Arial"/>
        </w:rPr>
        <w:t>arguable</w:t>
      </w:r>
      <w:r w:rsidR="00763C73">
        <w:rPr>
          <w:rFonts w:ascii="Arial" w:hAnsi="Arial" w:cs="Arial"/>
        </w:rPr>
        <w:t xml:space="preserve"> </w:t>
      </w:r>
      <w:r w:rsidR="00B252F3">
        <w:rPr>
          <w:rFonts w:ascii="Arial" w:hAnsi="Arial" w:cs="Arial"/>
        </w:rPr>
        <w:t>that</w:t>
      </w:r>
      <w:r w:rsidR="00763C73">
        <w:rPr>
          <w:rFonts w:ascii="Arial" w:hAnsi="Arial" w:cs="Arial"/>
        </w:rPr>
        <w:t>,</w:t>
      </w:r>
      <w:r w:rsidR="00B252F3" w:rsidRPr="00456A9A">
        <w:rPr>
          <w:rFonts w:ascii="Arial" w:hAnsi="Arial" w:cs="Arial"/>
        </w:rPr>
        <w:t xml:space="preserve"> in the US, the exception is now applied in a sufficiently broad manner to </w:t>
      </w:r>
      <w:r w:rsidR="00B252F3">
        <w:rPr>
          <w:rFonts w:ascii="Arial" w:hAnsi="Arial" w:cs="Arial"/>
        </w:rPr>
        <w:t xml:space="preserve">potentially </w:t>
      </w:r>
      <w:r w:rsidR="00B252F3" w:rsidRPr="00456A9A">
        <w:rPr>
          <w:rFonts w:ascii="Arial" w:hAnsi="Arial" w:cs="Arial"/>
        </w:rPr>
        <w:t>catch some activities characterised as tax avoidance where the relevant evidentiary threshold is met.</w:t>
      </w:r>
      <w:r w:rsidR="00B252F3">
        <w:rPr>
          <w:rFonts w:ascii="Arial" w:hAnsi="Arial" w:cs="Arial"/>
        </w:rPr>
        <w:t xml:space="preserve"> </w:t>
      </w:r>
      <w:r w:rsidR="00F356AF">
        <w:rPr>
          <w:rFonts w:ascii="Arial" w:hAnsi="Arial" w:cs="Arial"/>
        </w:rPr>
        <w:t xml:space="preserve">In England, whilst the iniquity exception may also be sufficiently broad to catch forms of tax avoidance, the potential for HMRC deploying it in this way may be limited by the reluctance of the courts to conduct in camera review of privileged documents. Moreover, </w:t>
      </w:r>
      <w:r w:rsidR="00D40708">
        <w:rPr>
          <w:rFonts w:ascii="Arial" w:hAnsi="Arial" w:cs="Arial"/>
        </w:rPr>
        <w:t xml:space="preserve">the lack of precision in </w:t>
      </w:r>
      <w:r w:rsidR="00D40708">
        <w:rPr>
          <w:rFonts w:ascii="Arial" w:hAnsi="Arial" w:cs="Arial"/>
        </w:rPr>
        <w:lastRenderedPageBreak/>
        <w:t>defining iniquity has potential consequences under article 8 of the European Convention on Human Rights</w:t>
      </w:r>
      <w:r w:rsidR="00CE7169">
        <w:rPr>
          <w:rFonts w:ascii="Arial" w:hAnsi="Arial" w:cs="Arial"/>
        </w:rPr>
        <w:t xml:space="preserve"> where the exception is used in the taxation context</w:t>
      </w:r>
      <w:r w:rsidR="00C705F6">
        <w:rPr>
          <w:rFonts w:ascii="Arial" w:hAnsi="Arial" w:cs="Arial"/>
        </w:rPr>
        <w:t>,</w:t>
      </w:r>
      <w:r w:rsidR="00B252F3">
        <w:rPr>
          <w:rFonts w:ascii="Arial" w:hAnsi="Arial" w:cs="Arial"/>
        </w:rPr>
        <w:t xml:space="preserve"> and it may be that interference with the taxpayer’s article 8 rights is difficult to justify in the cont</w:t>
      </w:r>
      <w:r w:rsidR="00033110">
        <w:rPr>
          <w:rFonts w:ascii="Arial" w:hAnsi="Arial" w:cs="Arial"/>
        </w:rPr>
        <w:t>ext of some forms of tax avoidance</w:t>
      </w:r>
      <w:r w:rsidR="00D40708">
        <w:rPr>
          <w:rFonts w:ascii="Arial" w:hAnsi="Arial" w:cs="Arial"/>
        </w:rPr>
        <w:t xml:space="preserve">. </w:t>
      </w:r>
      <w:r w:rsidR="00B252F3">
        <w:rPr>
          <w:rFonts w:ascii="Arial" w:hAnsi="Arial" w:cs="Arial"/>
        </w:rPr>
        <w:t xml:space="preserve">The US system in contrast is not faced with challenges similar to those imposed by article 8. </w:t>
      </w:r>
    </w:p>
    <w:p w14:paraId="02DA3C94" w14:textId="77777777" w:rsidR="003763BE" w:rsidRDefault="003763BE" w:rsidP="00EE1BD2">
      <w:pPr>
        <w:pStyle w:val="Body"/>
        <w:spacing w:line="480" w:lineRule="auto"/>
        <w:rPr>
          <w:rFonts w:ascii="Arial" w:hAnsi="Arial" w:cs="Arial"/>
        </w:rPr>
      </w:pPr>
    </w:p>
    <w:p w14:paraId="0952987D" w14:textId="6E69E65F" w:rsidR="0027097B" w:rsidRDefault="005145E0" w:rsidP="00EE1BD2">
      <w:pPr>
        <w:pStyle w:val="Body"/>
        <w:spacing w:line="480" w:lineRule="auto"/>
        <w:rPr>
          <w:rFonts w:ascii="Arial" w:hAnsi="Arial" w:cs="Arial"/>
        </w:rPr>
      </w:pPr>
      <w:r>
        <w:rPr>
          <w:rFonts w:ascii="Arial" w:hAnsi="Arial" w:cs="Arial"/>
        </w:rPr>
        <w:t>S</w:t>
      </w:r>
      <w:r w:rsidR="00C76BD0" w:rsidRPr="00C76BD0">
        <w:rPr>
          <w:rFonts w:ascii="Arial" w:hAnsi="Arial" w:cs="Arial"/>
        </w:rPr>
        <w:t xml:space="preserve">imilar language </w:t>
      </w:r>
      <w:r w:rsidR="00C76BD0">
        <w:rPr>
          <w:rFonts w:ascii="Arial" w:hAnsi="Arial" w:cs="Arial"/>
        </w:rPr>
        <w:t xml:space="preserve">is used </w:t>
      </w:r>
      <w:r>
        <w:rPr>
          <w:rFonts w:ascii="Arial" w:hAnsi="Arial" w:cs="Arial"/>
        </w:rPr>
        <w:t xml:space="preserve">in both jurisdictions </w:t>
      </w:r>
      <w:r w:rsidR="00C76BD0" w:rsidRPr="00C76BD0">
        <w:rPr>
          <w:rFonts w:ascii="Arial" w:hAnsi="Arial" w:cs="Arial"/>
        </w:rPr>
        <w:t>when consi</w:t>
      </w:r>
      <w:r w:rsidR="00017978">
        <w:rPr>
          <w:rFonts w:ascii="Arial" w:hAnsi="Arial" w:cs="Arial"/>
        </w:rPr>
        <w:t xml:space="preserve">dering the evidence required </w:t>
      </w:r>
      <w:proofErr w:type="gramStart"/>
      <w:r w:rsidR="00017978">
        <w:rPr>
          <w:rFonts w:ascii="Arial" w:hAnsi="Arial" w:cs="Arial"/>
        </w:rPr>
        <w:t xml:space="preserve">to </w:t>
      </w:r>
      <w:r w:rsidR="00C76BD0" w:rsidRPr="00C76BD0">
        <w:rPr>
          <w:rFonts w:ascii="Arial" w:hAnsi="Arial" w:cs="Arial"/>
        </w:rPr>
        <w:t>establish</w:t>
      </w:r>
      <w:proofErr w:type="gramEnd"/>
      <w:r w:rsidR="00C76BD0" w:rsidRPr="00C76BD0">
        <w:rPr>
          <w:rFonts w:ascii="Arial" w:hAnsi="Arial" w:cs="Arial"/>
        </w:rPr>
        <w:t xml:space="preserve"> that the crime-fraud</w:t>
      </w:r>
      <w:r w:rsidR="00C76BD0">
        <w:rPr>
          <w:rFonts w:ascii="Arial" w:hAnsi="Arial" w:cs="Arial"/>
        </w:rPr>
        <w:t xml:space="preserve"> exception applies, that is</w:t>
      </w:r>
      <w:r w:rsidR="00C76BD0" w:rsidRPr="00C76BD0">
        <w:rPr>
          <w:rFonts w:ascii="Arial" w:hAnsi="Arial" w:cs="Arial"/>
        </w:rPr>
        <w:t xml:space="preserve"> prima facie evidence</w:t>
      </w:r>
      <w:r w:rsidR="002B324E">
        <w:rPr>
          <w:rFonts w:ascii="Arial" w:hAnsi="Arial" w:cs="Arial"/>
        </w:rPr>
        <w:t>, although there is a lack of</w:t>
      </w:r>
      <w:r w:rsidR="00D3770A">
        <w:rPr>
          <w:rFonts w:ascii="Arial" w:hAnsi="Arial" w:cs="Arial"/>
        </w:rPr>
        <w:t xml:space="preserve"> precision and</w:t>
      </w:r>
      <w:r w:rsidR="00017978">
        <w:rPr>
          <w:rFonts w:ascii="Arial" w:hAnsi="Arial" w:cs="Arial"/>
        </w:rPr>
        <w:t xml:space="preserve"> consistency</w:t>
      </w:r>
      <w:r w:rsidR="00D3770A">
        <w:rPr>
          <w:rFonts w:ascii="Arial" w:hAnsi="Arial" w:cs="Arial"/>
        </w:rPr>
        <w:t xml:space="preserve"> between and </w:t>
      </w:r>
      <w:r w:rsidR="002B324E">
        <w:rPr>
          <w:rFonts w:ascii="Arial" w:hAnsi="Arial" w:cs="Arial"/>
        </w:rPr>
        <w:t>within both jurisdictions</w:t>
      </w:r>
      <w:r w:rsidR="00C76BD0">
        <w:rPr>
          <w:rFonts w:ascii="Arial" w:hAnsi="Arial" w:cs="Arial"/>
        </w:rPr>
        <w:t>.</w:t>
      </w:r>
      <w:r w:rsidR="00C76BD0" w:rsidRPr="00C76BD0">
        <w:rPr>
          <w:rFonts w:ascii="Arial" w:hAnsi="Arial" w:cs="Arial"/>
        </w:rPr>
        <w:t xml:space="preserve"> </w:t>
      </w:r>
      <w:r w:rsidR="002028C5">
        <w:rPr>
          <w:rFonts w:ascii="Arial" w:hAnsi="Arial" w:cs="Arial"/>
        </w:rPr>
        <w:t xml:space="preserve">The key difference between the </w:t>
      </w:r>
      <w:r w:rsidR="00017978">
        <w:rPr>
          <w:rFonts w:ascii="Arial" w:hAnsi="Arial" w:cs="Arial"/>
        </w:rPr>
        <w:t xml:space="preserve">two </w:t>
      </w:r>
      <w:r w:rsidR="002028C5">
        <w:rPr>
          <w:rFonts w:ascii="Arial" w:hAnsi="Arial" w:cs="Arial"/>
        </w:rPr>
        <w:t>jurisdictions regarding the crime-fraud exception relates</w:t>
      </w:r>
      <w:r w:rsidR="00017978">
        <w:rPr>
          <w:rFonts w:ascii="Arial" w:hAnsi="Arial" w:cs="Arial"/>
        </w:rPr>
        <w:t xml:space="preserve"> </w:t>
      </w:r>
      <w:r w:rsidR="002028C5">
        <w:rPr>
          <w:rFonts w:ascii="Arial" w:hAnsi="Arial" w:cs="Arial"/>
        </w:rPr>
        <w:t xml:space="preserve">to the </w:t>
      </w:r>
      <w:r w:rsidR="00D3770A">
        <w:rPr>
          <w:rFonts w:ascii="Arial" w:hAnsi="Arial" w:cs="Arial"/>
        </w:rPr>
        <w:t xml:space="preserve">circumstances </w:t>
      </w:r>
      <w:r w:rsidR="002028C5">
        <w:rPr>
          <w:rFonts w:ascii="Arial" w:hAnsi="Arial" w:cs="Arial"/>
        </w:rPr>
        <w:t>in which</w:t>
      </w:r>
      <w:r w:rsidR="004435C7">
        <w:rPr>
          <w:rFonts w:ascii="Arial" w:hAnsi="Arial" w:cs="Arial"/>
        </w:rPr>
        <w:t>,</w:t>
      </w:r>
      <w:r w:rsidR="002028C5">
        <w:rPr>
          <w:rFonts w:ascii="Arial" w:hAnsi="Arial" w:cs="Arial"/>
        </w:rPr>
        <w:t xml:space="preserve"> and the frequency with which</w:t>
      </w:r>
      <w:r w:rsidR="004435C7">
        <w:rPr>
          <w:rFonts w:ascii="Arial" w:hAnsi="Arial" w:cs="Arial"/>
        </w:rPr>
        <w:t>,</w:t>
      </w:r>
      <w:r w:rsidR="002028C5">
        <w:rPr>
          <w:rFonts w:ascii="Arial" w:hAnsi="Arial" w:cs="Arial"/>
        </w:rPr>
        <w:t xml:space="preserve"> in camera review of allegedly privileged material takes place.</w:t>
      </w:r>
      <w:r w:rsidR="00C76BD0">
        <w:rPr>
          <w:rFonts w:ascii="Arial" w:hAnsi="Arial" w:cs="Arial"/>
        </w:rPr>
        <w:t xml:space="preserve"> T</w:t>
      </w:r>
      <w:r w:rsidR="00C76BD0" w:rsidRPr="00456A9A">
        <w:rPr>
          <w:rFonts w:ascii="Arial" w:hAnsi="Arial" w:cs="Arial"/>
        </w:rPr>
        <w:t xml:space="preserve">he English courts </w:t>
      </w:r>
      <w:r w:rsidR="00C26515">
        <w:rPr>
          <w:rFonts w:ascii="Arial" w:hAnsi="Arial" w:cs="Arial"/>
        </w:rPr>
        <w:t>are</w:t>
      </w:r>
      <w:r w:rsidR="00C76BD0">
        <w:rPr>
          <w:rFonts w:ascii="Arial" w:hAnsi="Arial" w:cs="Arial"/>
        </w:rPr>
        <w:t xml:space="preserve"> reluctant </w:t>
      </w:r>
      <w:r w:rsidR="00C76BD0" w:rsidRPr="00456A9A">
        <w:rPr>
          <w:rFonts w:ascii="Arial" w:hAnsi="Arial" w:cs="Arial"/>
        </w:rPr>
        <w:t>to conduct in camera review</w:t>
      </w:r>
      <w:r w:rsidR="00C76BD0">
        <w:rPr>
          <w:rFonts w:ascii="Arial" w:hAnsi="Arial" w:cs="Arial"/>
        </w:rPr>
        <w:t xml:space="preserve"> of </w:t>
      </w:r>
      <w:r w:rsidR="00017978">
        <w:rPr>
          <w:rFonts w:ascii="Arial" w:hAnsi="Arial" w:cs="Arial"/>
        </w:rPr>
        <w:t xml:space="preserve">such </w:t>
      </w:r>
      <w:r w:rsidR="00C76BD0">
        <w:rPr>
          <w:rFonts w:ascii="Arial" w:hAnsi="Arial" w:cs="Arial"/>
        </w:rPr>
        <w:t>material</w:t>
      </w:r>
      <w:r w:rsidR="00F356AF">
        <w:rPr>
          <w:rFonts w:ascii="Arial" w:hAnsi="Arial" w:cs="Arial"/>
        </w:rPr>
        <w:t xml:space="preserve">, requiring </w:t>
      </w:r>
      <w:r w:rsidR="00C76BD0" w:rsidRPr="00456A9A">
        <w:rPr>
          <w:rFonts w:ascii="Arial" w:hAnsi="Arial" w:cs="Arial"/>
        </w:rPr>
        <w:t xml:space="preserve">“an exceptional factor of real weight” before they will do so. In contrast, in the US there seems to be a </w:t>
      </w:r>
      <w:r w:rsidR="00C36074">
        <w:rPr>
          <w:rFonts w:ascii="Arial" w:hAnsi="Arial" w:cs="Arial"/>
        </w:rPr>
        <w:t xml:space="preserve">relatively </w:t>
      </w:r>
      <w:r w:rsidR="00C76BD0" w:rsidRPr="00456A9A">
        <w:rPr>
          <w:rFonts w:ascii="Arial" w:hAnsi="Arial" w:cs="Arial"/>
        </w:rPr>
        <w:t>low evidentiary threshold for conducting in camera review</w:t>
      </w:r>
      <w:r w:rsidR="004C7627">
        <w:rPr>
          <w:rFonts w:ascii="Arial" w:hAnsi="Arial" w:cs="Arial"/>
        </w:rPr>
        <w:t xml:space="preserve"> - the factual basis adequate to support a </w:t>
      </w:r>
      <w:r w:rsidR="00311CC7">
        <w:rPr>
          <w:rFonts w:ascii="Arial" w:hAnsi="Arial" w:cs="Arial"/>
        </w:rPr>
        <w:t>good faith belief by a reasonable person</w:t>
      </w:r>
      <w:r w:rsidR="004C7627" w:rsidRPr="00456A9A">
        <w:rPr>
          <w:rFonts w:ascii="Arial" w:hAnsi="Arial" w:cs="Arial"/>
        </w:rPr>
        <w:t xml:space="preserve"> </w:t>
      </w:r>
      <w:r w:rsidR="004C7627">
        <w:rPr>
          <w:rFonts w:ascii="Arial" w:hAnsi="Arial" w:cs="Arial"/>
        </w:rPr>
        <w:t xml:space="preserve">- </w:t>
      </w:r>
      <w:r w:rsidR="00C76BD0" w:rsidRPr="00456A9A">
        <w:rPr>
          <w:rFonts w:ascii="Arial" w:hAnsi="Arial" w:cs="Arial"/>
        </w:rPr>
        <w:t>and</w:t>
      </w:r>
      <w:r w:rsidR="00C36074">
        <w:rPr>
          <w:rFonts w:ascii="Arial" w:hAnsi="Arial" w:cs="Arial"/>
        </w:rPr>
        <w:t>,</w:t>
      </w:r>
      <w:r w:rsidR="00C76BD0" w:rsidRPr="00456A9A">
        <w:rPr>
          <w:rFonts w:ascii="Arial" w:hAnsi="Arial" w:cs="Arial"/>
        </w:rPr>
        <w:t xml:space="preserve"> therefore</w:t>
      </w:r>
      <w:r w:rsidR="00C36074">
        <w:rPr>
          <w:rFonts w:ascii="Arial" w:hAnsi="Arial" w:cs="Arial"/>
        </w:rPr>
        <w:t>, much greater use of this process</w:t>
      </w:r>
      <w:r w:rsidR="00C76BD0">
        <w:rPr>
          <w:rFonts w:ascii="Arial" w:hAnsi="Arial" w:cs="Arial"/>
        </w:rPr>
        <w:t>.</w:t>
      </w:r>
      <w:r w:rsidR="00CB4EB4">
        <w:rPr>
          <w:rFonts w:ascii="Arial" w:hAnsi="Arial" w:cs="Arial"/>
        </w:rPr>
        <w:t xml:space="preserve"> </w:t>
      </w:r>
    </w:p>
    <w:p w14:paraId="40B0B905" w14:textId="77777777" w:rsidR="00D251C5" w:rsidRDefault="00D251C5" w:rsidP="00EE1BD2">
      <w:pPr>
        <w:pStyle w:val="Body"/>
        <w:spacing w:line="480" w:lineRule="auto"/>
        <w:rPr>
          <w:rFonts w:ascii="Arial" w:hAnsi="Arial" w:cs="Arial"/>
        </w:rPr>
      </w:pPr>
    </w:p>
    <w:p w14:paraId="43B5F396" w14:textId="4A5E1981" w:rsidR="00763C73" w:rsidRDefault="005145E0" w:rsidP="00EE1BD2">
      <w:pPr>
        <w:pStyle w:val="Body"/>
        <w:spacing w:line="480" w:lineRule="auto"/>
        <w:rPr>
          <w:rFonts w:ascii="Arial" w:hAnsi="Arial" w:cs="Arial"/>
        </w:rPr>
      </w:pPr>
      <w:r>
        <w:rPr>
          <w:rFonts w:ascii="Arial" w:hAnsi="Arial" w:cs="Arial"/>
        </w:rPr>
        <w:t xml:space="preserve">In marked contrast to the approach in the </w:t>
      </w:r>
      <w:r w:rsidR="007F316F">
        <w:rPr>
          <w:rFonts w:ascii="Arial" w:hAnsi="Arial" w:cs="Arial"/>
        </w:rPr>
        <w:t xml:space="preserve">English criminal and </w:t>
      </w:r>
      <w:r>
        <w:rPr>
          <w:rFonts w:ascii="Arial" w:hAnsi="Arial" w:cs="Arial"/>
        </w:rPr>
        <w:t>civil courts, w</w:t>
      </w:r>
      <w:r w:rsidR="00C84798">
        <w:rPr>
          <w:rFonts w:ascii="Arial" w:hAnsi="Arial" w:cs="Arial"/>
        </w:rPr>
        <w:t xml:space="preserve">hen the </w:t>
      </w:r>
      <w:r w:rsidR="00D251C5">
        <w:rPr>
          <w:rFonts w:ascii="Arial" w:hAnsi="Arial" w:cs="Arial"/>
        </w:rPr>
        <w:t xml:space="preserve">English Tribunal </w:t>
      </w:r>
      <w:r w:rsidR="00C84798">
        <w:rPr>
          <w:rFonts w:ascii="Arial" w:hAnsi="Arial" w:cs="Arial"/>
        </w:rPr>
        <w:t xml:space="preserve">deals with privilege claims in the context of information notices, </w:t>
      </w:r>
      <w:r w:rsidR="00017978">
        <w:rPr>
          <w:rFonts w:ascii="Arial" w:hAnsi="Arial" w:cs="Arial"/>
        </w:rPr>
        <w:t xml:space="preserve">it </w:t>
      </w:r>
      <w:r w:rsidR="00C84798">
        <w:rPr>
          <w:rFonts w:ascii="Arial" w:hAnsi="Arial" w:cs="Arial"/>
        </w:rPr>
        <w:t>will view the alle</w:t>
      </w:r>
      <w:r>
        <w:rPr>
          <w:rFonts w:ascii="Arial" w:hAnsi="Arial" w:cs="Arial"/>
        </w:rPr>
        <w:t>gedly privileged material. T</w:t>
      </w:r>
      <w:r w:rsidR="00C84798">
        <w:rPr>
          <w:rFonts w:ascii="Arial" w:hAnsi="Arial" w:cs="Arial"/>
        </w:rPr>
        <w:t>he ru</w:t>
      </w:r>
      <w:r w:rsidR="00017978">
        <w:rPr>
          <w:rFonts w:ascii="Arial" w:hAnsi="Arial" w:cs="Arial"/>
        </w:rPr>
        <w:t>les which govern appeals to the</w:t>
      </w:r>
      <w:r w:rsidR="00C84798">
        <w:rPr>
          <w:rFonts w:ascii="Arial" w:hAnsi="Arial" w:cs="Arial"/>
        </w:rPr>
        <w:t xml:space="preserve"> Tribunal do not make equivalent</w:t>
      </w:r>
      <w:r>
        <w:rPr>
          <w:rFonts w:ascii="Arial" w:hAnsi="Arial" w:cs="Arial"/>
        </w:rPr>
        <w:t xml:space="preserve"> provision. Given the</w:t>
      </w:r>
      <w:r w:rsidR="00C84798">
        <w:rPr>
          <w:rFonts w:ascii="Arial" w:hAnsi="Arial" w:cs="Arial"/>
        </w:rPr>
        <w:t xml:space="preserve"> public disquiet relating to many forms of tax avoidance, HMRC might, like their US counterparts, be tempted to make greater use of the broad iniquity exception to challenge claims of privilege made in the taxation context. </w:t>
      </w:r>
      <w:r w:rsidR="00B93BA8">
        <w:rPr>
          <w:rFonts w:ascii="Arial" w:hAnsi="Arial" w:cs="Arial"/>
        </w:rPr>
        <w:t>I</w:t>
      </w:r>
      <w:r w:rsidR="00C84798">
        <w:rPr>
          <w:rFonts w:ascii="Arial" w:hAnsi="Arial" w:cs="Arial"/>
        </w:rPr>
        <w:t xml:space="preserve">n order for this to become a viable approach, </w:t>
      </w:r>
      <w:r w:rsidR="00B93BA8">
        <w:rPr>
          <w:rFonts w:ascii="Arial" w:hAnsi="Arial" w:cs="Arial"/>
        </w:rPr>
        <w:t>one possibility would be</w:t>
      </w:r>
      <w:r w:rsidR="00C84798">
        <w:rPr>
          <w:rFonts w:ascii="Arial" w:hAnsi="Arial" w:cs="Arial"/>
        </w:rPr>
        <w:t xml:space="preserve"> to make amendments to the 2009 rules which govern tax appeals to br</w:t>
      </w:r>
      <w:r w:rsidR="0067598F">
        <w:rPr>
          <w:rFonts w:ascii="Arial" w:hAnsi="Arial" w:cs="Arial"/>
        </w:rPr>
        <w:t>ing them in line with the 2009 r</w:t>
      </w:r>
      <w:r w:rsidR="00C84798">
        <w:rPr>
          <w:rFonts w:ascii="Arial" w:hAnsi="Arial" w:cs="Arial"/>
        </w:rPr>
        <w:t>egulations which govern privilege disputes in the context of information notices.</w:t>
      </w:r>
      <w:r w:rsidR="00B93BA8">
        <w:rPr>
          <w:rFonts w:ascii="Arial" w:hAnsi="Arial" w:cs="Arial"/>
        </w:rPr>
        <w:t xml:space="preserve"> This would mean that in camera review would become a matter of routine with no threshold test being imposed by the rules. An alternative</w:t>
      </w:r>
      <w:r>
        <w:rPr>
          <w:rFonts w:ascii="Arial" w:hAnsi="Arial" w:cs="Arial"/>
        </w:rPr>
        <w:t xml:space="preserve">, arguably more </w:t>
      </w:r>
      <w:r w:rsidR="004D61ED">
        <w:rPr>
          <w:rFonts w:ascii="Arial" w:hAnsi="Arial" w:cs="Arial"/>
        </w:rPr>
        <w:t>attractive and balanced</w:t>
      </w:r>
      <w:r w:rsidR="00B93BA8">
        <w:rPr>
          <w:rFonts w:ascii="Arial" w:hAnsi="Arial" w:cs="Arial"/>
        </w:rPr>
        <w:t xml:space="preserve"> appr</w:t>
      </w:r>
      <w:r>
        <w:rPr>
          <w:rFonts w:ascii="Arial" w:hAnsi="Arial" w:cs="Arial"/>
        </w:rPr>
        <w:t>oach</w:t>
      </w:r>
      <w:r w:rsidR="00017978">
        <w:rPr>
          <w:rFonts w:ascii="Arial" w:hAnsi="Arial" w:cs="Arial"/>
        </w:rPr>
        <w:t>,</w:t>
      </w:r>
      <w:r w:rsidR="00B93BA8">
        <w:rPr>
          <w:rFonts w:ascii="Arial" w:hAnsi="Arial" w:cs="Arial"/>
        </w:rPr>
        <w:t xml:space="preserve"> would be to amend both the </w:t>
      </w:r>
      <w:r w:rsidR="00B93BA8">
        <w:rPr>
          <w:rFonts w:ascii="Arial" w:hAnsi="Arial" w:cs="Arial"/>
        </w:rPr>
        <w:lastRenderedPageBreak/>
        <w:t xml:space="preserve">rules and the regulations to impose a threshold test </w:t>
      </w:r>
      <w:r w:rsidR="004C7627">
        <w:rPr>
          <w:rFonts w:ascii="Arial" w:hAnsi="Arial" w:cs="Arial"/>
        </w:rPr>
        <w:t xml:space="preserve">and right of rebuttal </w:t>
      </w:r>
      <w:r w:rsidR="00B93BA8">
        <w:rPr>
          <w:rFonts w:ascii="Arial" w:hAnsi="Arial" w:cs="Arial"/>
        </w:rPr>
        <w:t>simi</w:t>
      </w:r>
      <w:r w:rsidR="000C2114">
        <w:rPr>
          <w:rFonts w:ascii="Arial" w:hAnsi="Arial" w:cs="Arial"/>
        </w:rPr>
        <w:t>lar to that encountered in the US</w:t>
      </w:r>
      <w:r w:rsidR="004D61ED">
        <w:rPr>
          <w:rFonts w:ascii="Arial" w:hAnsi="Arial" w:cs="Arial"/>
        </w:rPr>
        <w:t xml:space="preserve"> in r</w:t>
      </w:r>
      <w:r w:rsidR="00835845">
        <w:rPr>
          <w:rFonts w:ascii="Arial" w:hAnsi="Arial" w:cs="Arial"/>
        </w:rPr>
        <w:t>e</w:t>
      </w:r>
      <w:r w:rsidR="004D61ED">
        <w:rPr>
          <w:rFonts w:ascii="Arial" w:hAnsi="Arial" w:cs="Arial"/>
        </w:rPr>
        <w:t>lation to all proceedings before the Tribunal</w:t>
      </w:r>
      <w:r w:rsidR="00B93BA8">
        <w:rPr>
          <w:rFonts w:ascii="Arial" w:hAnsi="Arial" w:cs="Arial"/>
        </w:rPr>
        <w:t xml:space="preserve">. </w:t>
      </w:r>
      <w:r w:rsidR="00162DD0">
        <w:rPr>
          <w:rFonts w:ascii="Arial" w:hAnsi="Arial" w:cs="Arial"/>
        </w:rPr>
        <w:t xml:space="preserve">Such a test would impose a lower threshold than that currently </w:t>
      </w:r>
      <w:r w:rsidR="00017978">
        <w:rPr>
          <w:rFonts w:ascii="Arial" w:hAnsi="Arial" w:cs="Arial"/>
        </w:rPr>
        <w:t>applied in</w:t>
      </w:r>
      <w:r w:rsidR="00162DD0">
        <w:rPr>
          <w:rFonts w:ascii="Arial" w:hAnsi="Arial" w:cs="Arial"/>
        </w:rPr>
        <w:t xml:space="preserve"> English </w:t>
      </w:r>
      <w:r w:rsidR="00017978">
        <w:rPr>
          <w:rFonts w:ascii="Arial" w:hAnsi="Arial" w:cs="Arial"/>
        </w:rPr>
        <w:t>law</w:t>
      </w:r>
      <w:r w:rsidR="00162DD0">
        <w:rPr>
          <w:rFonts w:ascii="Arial" w:hAnsi="Arial" w:cs="Arial"/>
        </w:rPr>
        <w:t xml:space="preserve"> and would</w:t>
      </w:r>
      <w:r w:rsidR="00FA0F2B">
        <w:rPr>
          <w:rFonts w:ascii="Arial" w:hAnsi="Arial" w:cs="Arial"/>
        </w:rPr>
        <w:t xml:space="preserve"> arguably</w:t>
      </w:r>
      <w:r w:rsidR="00162DD0">
        <w:rPr>
          <w:rFonts w:ascii="Arial" w:hAnsi="Arial" w:cs="Arial"/>
        </w:rPr>
        <w:t xml:space="preserve"> </w:t>
      </w:r>
      <w:r w:rsidR="00162DD0" w:rsidRPr="00B93BA8">
        <w:rPr>
          <w:rFonts w:ascii="Arial" w:hAnsi="Arial" w:cs="Arial"/>
        </w:rPr>
        <w:t xml:space="preserve">strike the appropriate balance between the investigatory function and information gathering powers of tax enforcement bodies and the rights of taxpayers vis a vis </w:t>
      </w:r>
      <w:r w:rsidR="004D61ED">
        <w:rPr>
          <w:rFonts w:ascii="Arial" w:hAnsi="Arial" w:cs="Arial"/>
        </w:rPr>
        <w:t xml:space="preserve">the right to claim legal professional </w:t>
      </w:r>
      <w:r w:rsidR="00162DD0" w:rsidRPr="00B93BA8">
        <w:rPr>
          <w:rFonts w:ascii="Arial" w:hAnsi="Arial" w:cs="Arial"/>
        </w:rPr>
        <w:t>privilege</w:t>
      </w:r>
      <w:r w:rsidR="00162DD0">
        <w:rPr>
          <w:rFonts w:ascii="Arial" w:hAnsi="Arial" w:cs="Arial"/>
        </w:rPr>
        <w:t>.</w:t>
      </w:r>
      <w:r w:rsidR="0024521D">
        <w:rPr>
          <w:rFonts w:ascii="Arial" w:hAnsi="Arial" w:cs="Arial"/>
        </w:rPr>
        <w:t xml:space="preserve"> </w:t>
      </w:r>
      <w:r w:rsidR="00835845">
        <w:rPr>
          <w:rFonts w:ascii="Arial" w:hAnsi="Arial" w:cs="Arial"/>
        </w:rPr>
        <w:t>Without such changes, Higgins and Zuckerman may be correct when they suggest that the judicial scrutiny of privilege claims is unlikely to be effective in tax cases.</w:t>
      </w:r>
      <w:r w:rsidR="00835845" w:rsidRPr="00EE4681">
        <w:rPr>
          <w:rFonts w:ascii="Arial" w:hAnsi="Arial" w:cs="Arial"/>
        </w:rPr>
        <w:t xml:space="preserve"> </w:t>
      </w:r>
    </w:p>
    <w:p w14:paraId="2CC70565" w14:textId="77777777" w:rsidR="00763C73" w:rsidRDefault="00763C73" w:rsidP="00EE1BD2">
      <w:pPr>
        <w:pStyle w:val="Body"/>
        <w:spacing w:line="480" w:lineRule="auto"/>
        <w:rPr>
          <w:rFonts w:ascii="Arial" w:hAnsi="Arial" w:cs="Arial"/>
        </w:rPr>
      </w:pPr>
    </w:p>
    <w:p w14:paraId="56B6DBD5" w14:textId="1CED2B5C" w:rsidR="002B324E" w:rsidRDefault="00003B95" w:rsidP="00EE1BD2">
      <w:pPr>
        <w:pStyle w:val="Body"/>
        <w:spacing w:line="480" w:lineRule="auto"/>
        <w:rPr>
          <w:rFonts w:ascii="Arial" w:hAnsi="Arial" w:cs="Arial"/>
        </w:rPr>
      </w:pPr>
      <w:r>
        <w:rPr>
          <w:rFonts w:ascii="Arial" w:hAnsi="Arial" w:cs="Arial"/>
        </w:rPr>
        <w:t>E</w:t>
      </w:r>
      <w:r w:rsidR="00EA72C1">
        <w:rPr>
          <w:rFonts w:ascii="Arial" w:hAnsi="Arial" w:cs="Arial"/>
        </w:rPr>
        <w:t xml:space="preserve">ven if the </w:t>
      </w:r>
      <w:r w:rsidR="00293966">
        <w:rPr>
          <w:rFonts w:ascii="Arial" w:hAnsi="Arial" w:cs="Arial"/>
        </w:rPr>
        <w:t xml:space="preserve">rules </w:t>
      </w:r>
      <w:r w:rsidR="00835845">
        <w:rPr>
          <w:rFonts w:ascii="Arial" w:hAnsi="Arial" w:cs="Arial"/>
        </w:rPr>
        <w:t>g</w:t>
      </w:r>
      <w:r w:rsidR="00293966">
        <w:rPr>
          <w:rFonts w:ascii="Arial" w:hAnsi="Arial" w:cs="Arial"/>
        </w:rPr>
        <w:t xml:space="preserve">overning proceedings before the </w:t>
      </w:r>
      <w:r w:rsidR="000E4A7C">
        <w:rPr>
          <w:rFonts w:ascii="Arial" w:hAnsi="Arial" w:cs="Arial"/>
        </w:rPr>
        <w:t xml:space="preserve">Tribunal </w:t>
      </w:r>
      <w:r w:rsidR="00293966">
        <w:rPr>
          <w:rFonts w:ascii="Arial" w:hAnsi="Arial" w:cs="Arial"/>
        </w:rPr>
        <w:t>are amended i</w:t>
      </w:r>
      <w:r w:rsidR="00755B63">
        <w:rPr>
          <w:rFonts w:ascii="Arial" w:hAnsi="Arial" w:cs="Arial"/>
        </w:rPr>
        <w:t>n this way, this does not guarantee</w:t>
      </w:r>
      <w:r w:rsidR="00293966">
        <w:rPr>
          <w:rFonts w:ascii="Arial" w:hAnsi="Arial" w:cs="Arial"/>
        </w:rPr>
        <w:t xml:space="preserve"> </w:t>
      </w:r>
      <w:r w:rsidR="000E4A7C">
        <w:rPr>
          <w:rFonts w:ascii="Arial" w:hAnsi="Arial" w:cs="Arial"/>
        </w:rPr>
        <w:t xml:space="preserve">that </w:t>
      </w:r>
      <w:r w:rsidR="00293966">
        <w:rPr>
          <w:rFonts w:ascii="Arial" w:hAnsi="Arial" w:cs="Arial"/>
        </w:rPr>
        <w:t xml:space="preserve">a more generous approach </w:t>
      </w:r>
      <w:r w:rsidR="00755B63">
        <w:rPr>
          <w:rFonts w:ascii="Arial" w:hAnsi="Arial" w:cs="Arial"/>
        </w:rPr>
        <w:t>to in camera review</w:t>
      </w:r>
      <w:r w:rsidR="00B41559">
        <w:rPr>
          <w:rFonts w:ascii="Arial" w:hAnsi="Arial" w:cs="Arial"/>
        </w:rPr>
        <w:t xml:space="preserve"> will be adopted by the criminal and civil courts. Factors </w:t>
      </w:r>
      <w:proofErr w:type="gramStart"/>
      <w:r w:rsidR="00B41559">
        <w:rPr>
          <w:rFonts w:ascii="Arial" w:hAnsi="Arial" w:cs="Arial"/>
        </w:rPr>
        <w:t>mitigating</w:t>
      </w:r>
      <w:proofErr w:type="gramEnd"/>
      <w:r w:rsidR="00B41559">
        <w:rPr>
          <w:rFonts w:ascii="Arial" w:hAnsi="Arial" w:cs="Arial"/>
        </w:rPr>
        <w:t xml:space="preserve"> against the adoption of such an approach might include </w:t>
      </w:r>
      <w:r w:rsidR="00763C73">
        <w:rPr>
          <w:rFonts w:ascii="Arial" w:hAnsi="Arial" w:cs="Arial"/>
        </w:rPr>
        <w:t xml:space="preserve">conflict with the rationale for the privilege, </w:t>
      </w:r>
      <w:r w:rsidR="00755B63">
        <w:rPr>
          <w:rFonts w:ascii="Arial" w:hAnsi="Arial" w:cs="Arial"/>
        </w:rPr>
        <w:t>increased delays and expense</w:t>
      </w:r>
      <w:r w:rsidR="00763C73">
        <w:rPr>
          <w:rFonts w:ascii="Arial" w:hAnsi="Arial" w:cs="Arial"/>
        </w:rPr>
        <w:t xml:space="preserve"> and the court </w:t>
      </w:r>
      <w:r w:rsidR="00B41559">
        <w:rPr>
          <w:rFonts w:ascii="Arial" w:hAnsi="Arial" w:cs="Arial"/>
        </w:rPr>
        <w:t xml:space="preserve">being required </w:t>
      </w:r>
      <w:r w:rsidR="00763C73">
        <w:rPr>
          <w:rFonts w:ascii="Arial" w:hAnsi="Arial" w:cs="Arial"/>
        </w:rPr>
        <w:t>to view documents out of context and in the absence of submissions from one of the parties</w:t>
      </w:r>
      <w:r w:rsidR="00755B63">
        <w:rPr>
          <w:rFonts w:ascii="Arial" w:hAnsi="Arial" w:cs="Arial"/>
        </w:rPr>
        <w:t>.</w:t>
      </w:r>
      <w:r w:rsidR="00293966">
        <w:rPr>
          <w:rFonts w:ascii="Arial" w:hAnsi="Arial" w:cs="Arial"/>
        </w:rPr>
        <w:t xml:space="preserve"> </w:t>
      </w:r>
      <w:r w:rsidR="00455FD3">
        <w:rPr>
          <w:rFonts w:ascii="Arial" w:hAnsi="Arial" w:cs="Arial"/>
        </w:rPr>
        <w:t xml:space="preserve">Indeed, in </w:t>
      </w:r>
      <w:proofErr w:type="spellStart"/>
      <w:r w:rsidR="00455FD3" w:rsidRPr="00455FD3">
        <w:rPr>
          <w:rFonts w:ascii="Arial" w:hAnsi="Arial" w:cs="Arial"/>
          <w:i/>
        </w:rPr>
        <w:t>Zolin</w:t>
      </w:r>
      <w:proofErr w:type="spellEnd"/>
      <w:r w:rsidR="00F6243F">
        <w:rPr>
          <w:rFonts w:ascii="Arial" w:hAnsi="Arial" w:cs="Arial"/>
        </w:rPr>
        <w:t>, the US Supreme Court</w:t>
      </w:r>
      <w:r w:rsidR="00455FD3">
        <w:rPr>
          <w:rFonts w:ascii="Arial" w:hAnsi="Arial" w:cs="Arial"/>
        </w:rPr>
        <w:t xml:space="preserve"> recognised concerns that the blanket use of in camera review in the context of the crime</w:t>
      </w:r>
      <w:r w:rsidR="00F6243F">
        <w:rPr>
          <w:rFonts w:ascii="Arial" w:hAnsi="Arial" w:cs="Arial"/>
        </w:rPr>
        <w:t>-</w:t>
      </w:r>
      <w:r w:rsidR="00455FD3">
        <w:rPr>
          <w:rFonts w:ascii="Arial" w:hAnsi="Arial" w:cs="Arial"/>
        </w:rPr>
        <w:t>fraud exception would conflict with the policy underlying attorney-client privilege and place unduly onerous burdens upon the courts</w:t>
      </w:r>
      <w:r w:rsidR="00455FD3">
        <w:rPr>
          <w:rStyle w:val="FootnoteReference"/>
          <w:rFonts w:ascii="Arial" w:hAnsi="Arial" w:cs="Arial"/>
        </w:rPr>
        <w:footnoteReference w:id="158"/>
      </w:r>
      <w:r w:rsidR="00455FD3">
        <w:rPr>
          <w:rFonts w:ascii="Arial" w:hAnsi="Arial" w:cs="Arial"/>
        </w:rPr>
        <w:t>.</w:t>
      </w:r>
    </w:p>
    <w:p w14:paraId="401C61EE" w14:textId="77777777" w:rsidR="00755B63" w:rsidRDefault="00755B63" w:rsidP="00EE1BD2">
      <w:pPr>
        <w:pStyle w:val="Body"/>
        <w:spacing w:line="480" w:lineRule="auto"/>
        <w:rPr>
          <w:rFonts w:ascii="Arial" w:hAnsi="Arial" w:cs="Arial"/>
        </w:rPr>
      </w:pPr>
    </w:p>
    <w:p w14:paraId="1BE5C25A" w14:textId="2F512A56" w:rsidR="00210401" w:rsidRDefault="00261A49" w:rsidP="00EE1BD2">
      <w:pPr>
        <w:pStyle w:val="Body"/>
        <w:spacing w:line="480" w:lineRule="auto"/>
        <w:rPr>
          <w:rFonts w:ascii="Arial" w:hAnsi="Arial" w:cs="Arial"/>
        </w:rPr>
      </w:pPr>
      <w:r>
        <w:rPr>
          <w:rFonts w:ascii="Arial" w:hAnsi="Arial" w:cs="Arial"/>
        </w:rPr>
        <w:t xml:space="preserve">The development of </w:t>
      </w:r>
      <w:r w:rsidR="00210401">
        <w:rPr>
          <w:rFonts w:ascii="Arial" w:hAnsi="Arial" w:cs="Arial"/>
        </w:rPr>
        <w:t>US style guideposts</w:t>
      </w:r>
      <w:r w:rsidR="004517A0">
        <w:rPr>
          <w:rFonts w:ascii="Arial" w:hAnsi="Arial" w:cs="Arial"/>
        </w:rPr>
        <w:t xml:space="preserve">, whether via case law or </w:t>
      </w:r>
      <w:r>
        <w:rPr>
          <w:rFonts w:ascii="Arial" w:hAnsi="Arial" w:cs="Arial"/>
        </w:rPr>
        <w:t xml:space="preserve">by </w:t>
      </w:r>
      <w:r w:rsidR="004517A0">
        <w:rPr>
          <w:rFonts w:ascii="Arial" w:hAnsi="Arial" w:cs="Arial"/>
        </w:rPr>
        <w:t>statutory reform,</w:t>
      </w:r>
      <w:r w:rsidR="00210401">
        <w:rPr>
          <w:rFonts w:ascii="Arial" w:hAnsi="Arial" w:cs="Arial"/>
        </w:rPr>
        <w:t xml:space="preserve"> would be </w:t>
      </w:r>
      <w:r w:rsidR="002B324E">
        <w:rPr>
          <w:rFonts w:ascii="Arial" w:hAnsi="Arial" w:cs="Arial"/>
        </w:rPr>
        <w:t xml:space="preserve">helpful </w:t>
      </w:r>
      <w:r w:rsidR="00293966">
        <w:rPr>
          <w:rFonts w:ascii="Arial" w:hAnsi="Arial" w:cs="Arial"/>
        </w:rPr>
        <w:t xml:space="preserve">in circumstances in which the courts or the Tribunal are required to consider the operation of the crime-fraud exception in the context of alleged tax avoidance or tax evasion. </w:t>
      </w:r>
      <w:r w:rsidR="002B324E">
        <w:rPr>
          <w:rFonts w:ascii="Arial" w:hAnsi="Arial" w:cs="Arial"/>
        </w:rPr>
        <w:t xml:space="preserve"> </w:t>
      </w:r>
      <w:r w:rsidR="00293966">
        <w:rPr>
          <w:rFonts w:ascii="Arial" w:hAnsi="Arial" w:cs="Arial"/>
        </w:rPr>
        <w:t>In particular, m</w:t>
      </w:r>
      <w:r w:rsidR="002B324E">
        <w:rPr>
          <w:rFonts w:ascii="Arial" w:hAnsi="Arial" w:cs="Arial"/>
        </w:rPr>
        <w:t>ore specific guidance</w:t>
      </w:r>
      <w:r w:rsidR="00293966">
        <w:rPr>
          <w:rFonts w:ascii="Arial" w:hAnsi="Arial" w:cs="Arial"/>
        </w:rPr>
        <w:t>, whether judicial or statutory,</w:t>
      </w:r>
      <w:r w:rsidR="002B324E">
        <w:rPr>
          <w:rFonts w:ascii="Arial" w:hAnsi="Arial" w:cs="Arial"/>
        </w:rPr>
        <w:t xml:space="preserve"> concerning the ambit of the iniquity exception </w:t>
      </w:r>
      <w:r w:rsidR="00293966">
        <w:rPr>
          <w:rFonts w:ascii="Arial" w:hAnsi="Arial" w:cs="Arial"/>
        </w:rPr>
        <w:t xml:space="preserve">would be </w:t>
      </w:r>
      <w:r w:rsidR="002B324E">
        <w:rPr>
          <w:rFonts w:ascii="Arial" w:hAnsi="Arial" w:cs="Arial"/>
        </w:rPr>
        <w:t xml:space="preserve">desirable in order to </w:t>
      </w:r>
      <w:proofErr w:type="gramStart"/>
      <w:r w:rsidR="00210401">
        <w:rPr>
          <w:rFonts w:ascii="Arial" w:hAnsi="Arial" w:cs="Arial"/>
        </w:rPr>
        <w:t>mitigate</w:t>
      </w:r>
      <w:proofErr w:type="gramEnd"/>
      <w:r w:rsidR="00210401">
        <w:rPr>
          <w:rFonts w:ascii="Arial" w:hAnsi="Arial" w:cs="Arial"/>
        </w:rPr>
        <w:t xml:space="preserve"> against the possibility of </w:t>
      </w:r>
      <w:r w:rsidR="002B324E">
        <w:rPr>
          <w:rFonts w:ascii="Arial" w:hAnsi="Arial" w:cs="Arial"/>
        </w:rPr>
        <w:t xml:space="preserve">challenges based upon alleged </w:t>
      </w:r>
      <w:r w:rsidR="00210401">
        <w:rPr>
          <w:rFonts w:ascii="Arial" w:hAnsi="Arial" w:cs="Arial"/>
        </w:rPr>
        <w:t>article 8 violation</w:t>
      </w:r>
      <w:r w:rsidR="002B324E">
        <w:rPr>
          <w:rFonts w:ascii="Arial" w:hAnsi="Arial" w:cs="Arial"/>
        </w:rPr>
        <w:t>s</w:t>
      </w:r>
      <w:r w:rsidR="00F6243F">
        <w:rPr>
          <w:rFonts w:ascii="Arial" w:hAnsi="Arial" w:cs="Arial"/>
        </w:rPr>
        <w:t>.</w:t>
      </w:r>
      <w:r w:rsidR="00210401">
        <w:rPr>
          <w:rFonts w:ascii="Arial" w:hAnsi="Arial" w:cs="Arial"/>
        </w:rPr>
        <w:t xml:space="preserve"> </w:t>
      </w:r>
      <w:r w:rsidR="00017978">
        <w:rPr>
          <w:rFonts w:ascii="Arial" w:hAnsi="Arial" w:cs="Arial"/>
        </w:rPr>
        <w:t>Such guidance should</w:t>
      </w:r>
      <w:r w:rsidR="00293966">
        <w:rPr>
          <w:rFonts w:ascii="Arial" w:hAnsi="Arial" w:cs="Arial"/>
        </w:rPr>
        <w:t xml:space="preserve"> not be too specific</w:t>
      </w:r>
      <w:r w:rsidR="00763C73">
        <w:rPr>
          <w:rFonts w:ascii="Arial" w:hAnsi="Arial" w:cs="Arial"/>
        </w:rPr>
        <w:t xml:space="preserve"> or exhau</w:t>
      </w:r>
      <w:r w:rsidR="00C26515">
        <w:rPr>
          <w:rFonts w:ascii="Arial" w:hAnsi="Arial" w:cs="Arial"/>
        </w:rPr>
        <w:t>s</w:t>
      </w:r>
      <w:r w:rsidR="00763C73">
        <w:rPr>
          <w:rFonts w:ascii="Arial" w:hAnsi="Arial" w:cs="Arial"/>
        </w:rPr>
        <w:t>tive</w:t>
      </w:r>
      <w:r w:rsidR="00293966">
        <w:rPr>
          <w:rFonts w:ascii="Arial" w:hAnsi="Arial" w:cs="Arial"/>
        </w:rPr>
        <w:t xml:space="preserve"> in nature as it would need to enco</w:t>
      </w:r>
      <w:r w:rsidR="00F6243F">
        <w:rPr>
          <w:rFonts w:ascii="Arial" w:hAnsi="Arial" w:cs="Arial"/>
        </w:rPr>
        <w:t>mpass</w:t>
      </w:r>
      <w:r w:rsidR="004517A0">
        <w:rPr>
          <w:rFonts w:ascii="Arial" w:hAnsi="Arial" w:cs="Arial"/>
        </w:rPr>
        <w:t xml:space="preserve"> </w:t>
      </w:r>
      <w:r w:rsidR="00293966">
        <w:rPr>
          <w:rFonts w:ascii="Arial" w:hAnsi="Arial" w:cs="Arial"/>
        </w:rPr>
        <w:t xml:space="preserve">both </w:t>
      </w:r>
      <w:r w:rsidR="00210401">
        <w:rPr>
          <w:rFonts w:ascii="Arial" w:hAnsi="Arial" w:cs="Arial"/>
        </w:rPr>
        <w:t>the fluid nature of tax planning schemes</w:t>
      </w:r>
      <w:r>
        <w:rPr>
          <w:rFonts w:ascii="Arial" w:hAnsi="Arial" w:cs="Arial"/>
        </w:rPr>
        <w:t xml:space="preserve"> and the wide range of potential forms of iniquitous activity that may </w:t>
      </w:r>
      <w:r w:rsidR="00F6243F">
        <w:rPr>
          <w:rFonts w:ascii="Arial" w:hAnsi="Arial" w:cs="Arial"/>
        </w:rPr>
        <w:t>be devised</w:t>
      </w:r>
      <w:r w:rsidR="00017978">
        <w:rPr>
          <w:rFonts w:ascii="Arial" w:hAnsi="Arial" w:cs="Arial"/>
        </w:rPr>
        <w:t xml:space="preserve"> by </w:t>
      </w:r>
      <w:r w:rsidR="00017978">
        <w:rPr>
          <w:rFonts w:ascii="Arial" w:hAnsi="Arial" w:cs="Arial"/>
        </w:rPr>
        <w:lastRenderedPageBreak/>
        <w:t>tax planners</w:t>
      </w:r>
      <w:r w:rsidR="00293966">
        <w:rPr>
          <w:rFonts w:ascii="Arial" w:hAnsi="Arial" w:cs="Arial"/>
        </w:rPr>
        <w:t>.</w:t>
      </w:r>
      <w:r w:rsidR="00210401">
        <w:rPr>
          <w:rFonts w:ascii="Arial" w:hAnsi="Arial" w:cs="Arial"/>
        </w:rPr>
        <w:t xml:space="preserve"> </w:t>
      </w:r>
      <w:r w:rsidR="00293966">
        <w:rPr>
          <w:rFonts w:ascii="Arial" w:hAnsi="Arial" w:cs="Arial"/>
        </w:rPr>
        <w:t xml:space="preserve">Ideally it would be </w:t>
      </w:r>
      <w:r w:rsidR="00835845">
        <w:rPr>
          <w:rFonts w:ascii="Arial" w:hAnsi="Arial" w:cs="Arial"/>
        </w:rPr>
        <w:t xml:space="preserve">formulated so as to provide the courts/the Tribunal with a reasonable degree of assistance when they are attempting to apply the borderline between those forms of tax avoidance which amount </w:t>
      </w:r>
      <w:r w:rsidR="00F6243F">
        <w:rPr>
          <w:rFonts w:ascii="Arial" w:hAnsi="Arial" w:cs="Arial"/>
        </w:rPr>
        <w:t xml:space="preserve">to iniquity and those which do not bring the exception into play. </w:t>
      </w:r>
      <w:r w:rsidR="00835845">
        <w:rPr>
          <w:rFonts w:ascii="Arial" w:hAnsi="Arial" w:cs="Arial"/>
        </w:rPr>
        <w:t xml:space="preserve">Such guidance should also </w:t>
      </w:r>
      <w:r w:rsidR="004517A0">
        <w:rPr>
          <w:rFonts w:ascii="Arial" w:hAnsi="Arial" w:cs="Arial"/>
        </w:rPr>
        <w:t xml:space="preserve">safeguard article 8 rights by enabling lawyers to determine </w:t>
      </w:r>
      <w:r w:rsidR="00835845">
        <w:rPr>
          <w:rFonts w:ascii="Arial" w:hAnsi="Arial" w:cs="Arial"/>
        </w:rPr>
        <w:t xml:space="preserve">with a greater degree of precision whether </w:t>
      </w:r>
      <w:r w:rsidR="004517A0">
        <w:rPr>
          <w:rFonts w:ascii="Arial" w:hAnsi="Arial" w:cs="Arial"/>
        </w:rPr>
        <w:t>the advice they are giving to their clients falls within the ambit of the privilege</w:t>
      </w:r>
      <w:r w:rsidR="00F6243F">
        <w:rPr>
          <w:rFonts w:ascii="Arial" w:hAnsi="Arial" w:cs="Arial"/>
        </w:rPr>
        <w:t>. Ideally, it</w:t>
      </w:r>
      <w:r w:rsidR="00835845">
        <w:rPr>
          <w:rFonts w:ascii="Arial" w:hAnsi="Arial" w:cs="Arial"/>
        </w:rPr>
        <w:t xml:space="preserve"> would also be formulated in such a way as to reduce </w:t>
      </w:r>
      <w:r w:rsidR="00210401">
        <w:rPr>
          <w:rFonts w:ascii="Arial" w:hAnsi="Arial" w:cs="Arial"/>
        </w:rPr>
        <w:t xml:space="preserve">the possibility that </w:t>
      </w:r>
      <w:r w:rsidR="004517A0">
        <w:rPr>
          <w:rFonts w:ascii="Arial" w:hAnsi="Arial" w:cs="Arial"/>
        </w:rPr>
        <w:t xml:space="preserve">the use of the exception </w:t>
      </w:r>
      <w:r w:rsidR="00210401">
        <w:rPr>
          <w:rFonts w:ascii="Arial" w:hAnsi="Arial" w:cs="Arial"/>
        </w:rPr>
        <w:t>in relation to tax avoidance activities that fall well away from the tax evasion end of the spectrum might result in a disproportionate interference with the taxpayers</w:t>
      </w:r>
      <w:r w:rsidR="00D244B7">
        <w:rPr>
          <w:rFonts w:ascii="Arial" w:hAnsi="Arial" w:cs="Arial"/>
        </w:rPr>
        <w:t>’</w:t>
      </w:r>
      <w:r w:rsidR="00210401">
        <w:rPr>
          <w:rFonts w:ascii="Arial" w:hAnsi="Arial" w:cs="Arial"/>
        </w:rPr>
        <w:t xml:space="preserve"> article 8 rights. </w:t>
      </w:r>
    </w:p>
    <w:p w14:paraId="585DB6D5" w14:textId="77777777" w:rsidR="00210401" w:rsidRDefault="00210401" w:rsidP="00EE1BD2">
      <w:pPr>
        <w:pStyle w:val="Body"/>
        <w:spacing w:line="480" w:lineRule="auto"/>
        <w:rPr>
          <w:rFonts w:ascii="Arial" w:hAnsi="Arial" w:cs="Arial"/>
        </w:rPr>
      </w:pPr>
    </w:p>
    <w:p w14:paraId="1E3BF5CD" w14:textId="2688B910" w:rsidR="00210401" w:rsidRDefault="00210401" w:rsidP="00EE1BD2">
      <w:pPr>
        <w:pStyle w:val="Body"/>
        <w:spacing w:line="480" w:lineRule="auto"/>
        <w:rPr>
          <w:rFonts w:ascii="Arial" w:hAnsi="Arial" w:cs="Arial"/>
        </w:rPr>
      </w:pPr>
      <w:r>
        <w:rPr>
          <w:rFonts w:ascii="Arial" w:hAnsi="Arial" w:cs="Arial"/>
        </w:rPr>
        <w:t xml:space="preserve">The low threshold test for, and </w:t>
      </w:r>
      <w:r w:rsidR="004C7627">
        <w:rPr>
          <w:rFonts w:ascii="Arial" w:hAnsi="Arial" w:cs="Arial"/>
        </w:rPr>
        <w:t xml:space="preserve">greater </w:t>
      </w:r>
      <w:r>
        <w:rPr>
          <w:rFonts w:ascii="Arial" w:hAnsi="Arial" w:cs="Arial"/>
        </w:rPr>
        <w:t xml:space="preserve">readiness with which, the US courts conduct in camera review of allegedly privileged material where the crime-fraud exception is raised would seem to </w:t>
      </w:r>
      <w:r w:rsidR="00261A49">
        <w:rPr>
          <w:rFonts w:ascii="Arial" w:hAnsi="Arial" w:cs="Arial"/>
        </w:rPr>
        <w:t xml:space="preserve">make the exception a useful tool that the </w:t>
      </w:r>
      <w:r>
        <w:rPr>
          <w:rFonts w:ascii="Arial" w:hAnsi="Arial" w:cs="Arial"/>
        </w:rPr>
        <w:t xml:space="preserve">IRS </w:t>
      </w:r>
      <w:r w:rsidR="00261A49">
        <w:rPr>
          <w:rFonts w:ascii="Arial" w:hAnsi="Arial" w:cs="Arial"/>
        </w:rPr>
        <w:t xml:space="preserve">can utilise </w:t>
      </w:r>
      <w:r w:rsidR="007C27A8">
        <w:rPr>
          <w:rFonts w:ascii="Arial" w:hAnsi="Arial" w:cs="Arial"/>
        </w:rPr>
        <w:t>in gathering information about both tax avoidance and tax evasion</w:t>
      </w:r>
      <w:r w:rsidR="008C1534">
        <w:rPr>
          <w:rFonts w:ascii="Arial" w:hAnsi="Arial" w:cs="Arial"/>
        </w:rPr>
        <w:t xml:space="preserve"> in the US</w:t>
      </w:r>
      <w:r w:rsidR="00D244B7">
        <w:rPr>
          <w:rFonts w:ascii="Arial" w:hAnsi="Arial" w:cs="Arial"/>
        </w:rPr>
        <w:t xml:space="preserve">. </w:t>
      </w:r>
      <w:r>
        <w:rPr>
          <w:rFonts w:ascii="Arial" w:hAnsi="Arial" w:cs="Arial"/>
        </w:rPr>
        <w:t>The wide iniquity exception</w:t>
      </w:r>
      <w:r w:rsidR="00C860C8">
        <w:rPr>
          <w:rFonts w:ascii="Arial" w:hAnsi="Arial" w:cs="Arial"/>
        </w:rPr>
        <w:t xml:space="preserve"> in England</w:t>
      </w:r>
      <w:r>
        <w:rPr>
          <w:rFonts w:ascii="Arial" w:hAnsi="Arial" w:cs="Arial"/>
        </w:rPr>
        <w:t xml:space="preserve"> arguably covers a range of tax related behaviour and could be used in a similar fashion to aid HMRC in gathering more information about </w:t>
      </w:r>
      <w:r w:rsidR="00C860C8">
        <w:rPr>
          <w:rFonts w:ascii="Arial" w:hAnsi="Arial" w:cs="Arial"/>
        </w:rPr>
        <w:t>tax avoidance and evasion</w:t>
      </w:r>
      <w:r w:rsidR="00D24349">
        <w:rPr>
          <w:rFonts w:ascii="Arial" w:hAnsi="Arial" w:cs="Arial"/>
        </w:rPr>
        <w:t xml:space="preserve">, but this is subject to the reluctance </w:t>
      </w:r>
      <w:r w:rsidR="00D244B7">
        <w:rPr>
          <w:rFonts w:ascii="Arial" w:hAnsi="Arial" w:cs="Arial"/>
        </w:rPr>
        <w:t>of the courts to</w:t>
      </w:r>
      <w:r w:rsidR="00D24349">
        <w:rPr>
          <w:rFonts w:ascii="Arial" w:hAnsi="Arial" w:cs="Arial"/>
        </w:rPr>
        <w:t xml:space="preserve"> utilise in camera review and the potential for article 8 challenges</w:t>
      </w:r>
      <w:r w:rsidR="00D244B7">
        <w:rPr>
          <w:rFonts w:ascii="Arial" w:hAnsi="Arial" w:cs="Arial"/>
        </w:rPr>
        <w:t xml:space="preserve"> if the exception is deployed more often</w:t>
      </w:r>
      <w:r w:rsidR="00D24349">
        <w:rPr>
          <w:rFonts w:ascii="Arial" w:hAnsi="Arial" w:cs="Arial"/>
        </w:rPr>
        <w:t xml:space="preserve">. </w:t>
      </w:r>
      <w:r w:rsidR="00C860C8">
        <w:rPr>
          <w:rFonts w:ascii="Arial" w:hAnsi="Arial" w:cs="Arial"/>
        </w:rPr>
        <w:t xml:space="preserve"> The continuing high public profile </w:t>
      </w:r>
      <w:r w:rsidR="00D244B7">
        <w:rPr>
          <w:rFonts w:ascii="Arial" w:hAnsi="Arial" w:cs="Arial"/>
        </w:rPr>
        <w:t>of</w:t>
      </w:r>
      <w:r w:rsidR="00C860C8">
        <w:rPr>
          <w:rFonts w:ascii="Arial" w:hAnsi="Arial" w:cs="Arial"/>
        </w:rPr>
        <w:t xml:space="preserve"> activities </w:t>
      </w:r>
      <w:r w:rsidR="00D244B7">
        <w:rPr>
          <w:rFonts w:ascii="Arial" w:hAnsi="Arial" w:cs="Arial"/>
        </w:rPr>
        <w:t xml:space="preserve">perceived as tax avoidance </w:t>
      </w:r>
      <w:r w:rsidR="00C860C8">
        <w:rPr>
          <w:rFonts w:ascii="Arial" w:hAnsi="Arial" w:cs="Arial"/>
        </w:rPr>
        <w:t xml:space="preserve">would seem to suggest that revenue collection agencies need as many weapons in their armoury as possible to combat </w:t>
      </w:r>
      <w:r w:rsidR="00D244B7">
        <w:rPr>
          <w:rFonts w:ascii="Arial" w:hAnsi="Arial" w:cs="Arial"/>
        </w:rPr>
        <w:t xml:space="preserve">any </w:t>
      </w:r>
      <w:r w:rsidR="00C860C8">
        <w:rPr>
          <w:rFonts w:ascii="Arial" w:hAnsi="Arial" w:cs="Arial"/>
        </w:rPr>
        <w:t xml:space="preserve">such </w:t>
      </w:r>
      <w:r w:rsidR="00D244B7">
        <w:rPr>
          <w:rFonts w:ascii="Arial" w:hAnsi="Arial" w:cs="Arial"/>
        </w:rPr>
        <w:t xml:space="preserve">iniquitous </w:t>
      </w:r>
      <w:r w:rsidR="00C860C8">
        <w:rPr>
          <w:rFonts w:ascii="Arial" w:hAnsi="Arial" w:cs="Arial"/>
        </w:rPr>
        <w:t xml:space="preserve">arrangements. It is clear that the current regime in England and Wales </w:t>
      </w:r>
      <w:r w:rsidR="00835845">
        <w:rPr>
          <w:rFonts w:ascii="Arial" w:hAnsi="Arial" w:cs="Arial"/>
        </w:rPr>
        <w:t xml:space="preserve">relating to in camera review </w:t>
      </w:r>
      <w:r w:rsidR="00C860C8">
        <w:rPr>
          <w:rFonts w:ascii="Arial" w:hAnsi="Arial" w:cs="Arial"/>
        </w:rPr>
        <w:t xml:space="preserve">would </w:t>
      </w:r>
      <w:r w:rsidR="00835845">
        <w:rPr>
          <w:rFonts w:ascii="Arial" w:hAnsi="Arial" w:cs="Arial"/>
        </w:rPr>
        <w:t xml:space="preserve">require </w:t>
      </w:r>
      <w:r w:rsidR="00C860C8">
        <w:rPr>
          <w:rFonts w:ascii="Arial" w:hAnsi="Arial" w:cs="Arial"/>
        </w:rPr>
        <w:t xml:space="preserve">significant changes in approach </w:t>
      </w:r>
      <w:r w:rsidR="00835845">
        <w:rPr>
          <w:rFonts w:ascii="Arial" w:hAnsi="Arial" w:cs="Arial"/>
        </w:rPr>
        <w:t xml:space="preserve">if the application of the exception was to become more commonplace, thus enabling </w:t>
      </w:r>
      <w:r w:rsidR="00C860C8">
        <w:rPr>
          <w:rFonts w:ascii="Arial" w:hAnsi="Arial" w:cs="Arial"/>
        </w:rPr>
        <w:t>HMRC to follow the lead of the IRS</w:t>
      </w:r>
      <w:r w:rsidR="00F6243F">
        <w:rPr>
          <w:rFonts w:ascii="Arial" w:hAnsi="Arial" w:cs="Arial"/>
        </w:rPr>
        <w:t xml:space="preserve">. </w:t>
      </w:r>
    </w:p>
    <w:p w14:paraId="7D518CF0" w14:textId="77777777" w:rsidR="002941E4" w:rsidRPr="00611F48" w:rsidRDefault="00003B95" w:rsidP="00EE1BD2">
      <w:pPr>
        <w:pStyle w:val="Body"/>
        <w:spacing w:line="480" w:lineRule="auto"/>
        <w:rPr>
          <w:rFonts w:ascii="Arial" w:hAnsi="Arial" w:cs="Arial"/>
          <w:color w:val="333335"/>
          <w:sz w:val="18"/>
          <w:szCs w:val="18"/>
        </w:rPr>
      </w:pPr>
      <w:r>
        <w:rPr>
          <w:rFonts w:ascii="Arial" w:hAnsi="Arial" w:cs="Arial"/>
        </w:rPr>
        <w:t xml:space="preserve"> </w:t>
      </w:r>
    </w:p>
    <w:sectPr w:rsidR="002941E4" w:rsidRPr="00611F48" w:rsidSect="007B59C1">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8FFD" w14:textId="77777777" w:rsidR="00E31FC0" w:rsidRDefault="00E31FC0" w:rsidP="00D14305">
      <w:pPr>
        <w:spacing w:after="0" w:line="240" w:lineRule="auto"/>
      </w:pPr>
      <w:r>
        <w:separator/>
      </w:r>
    </w:p>
  </w:endnote>
  <w:endnote w:type="continuationSeparator" w:id="0">
    <w:p w14:paraId="0799B041" w14:textId="77777777" w:rsidR="00E31FC0" w:rsidRDefault="00E31FC0" w:rsidP="00D1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60186"/>
      <w:docPartObj>
        <w:docPartGallery w:val="Page Numbers (Bottom of Page)"/>
        <w:docPartUnique/>
      </w:docPartObj>
    </w:sdtPr>
    <w:sdtEndPr>
      <w:rPr>
        <w:noProof/>
      </w:rPr>
    </w:sdtEndPr>
    <w:sdtContent>
      <w:p w14:paraId="7AC52588" w14:textId="472307E4" w:rsidR="00A63E56" w:rsidRDefault="00A63E56">
        <w:pPr>
          <w:pStyle w:val="Footer"/>
          <w:jc w:val="right"/>
        </w:pPr>
        <w:r>
          <w:fldChar w:fldCharType="begin"/>
        </w:r>
        <w:r>
          <w:instrText xml:space="preserve"> PAGE   \* MERGEFORMAT </w:instrText>
        </w:r>
        <w:r>
          <w:fldChar w:fldCharType="separate"/>
        </w:r>
        <w:r w:rsidR="001E3B4B">
          <w:rPr>
            <w:noProof/>
          </w:rPr>
          <w:t>1</w:t>
        </w:r>
        <w:r>
          <w:rPr>
            <w:noProof/>
          </w:rPr>
          <w:fldChar w:fldCharType="end"/>
        </w:r>
      </w:p>
    </w:sdtContent>
  </w:sdt>
  <w:p w14:paraId="783DDDC5" w14:textId="77777777" w:rsidR="00A63E56" w:rsidRDefault="00A6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FDE58" w14:textId="77777777" w:rsidR="00E31FC0" w:rsidRDefault="00E31FC0" w:rsidP="00D14305">
      <w:pPr>
        <w:spacing w:after="0" w:line="240" w:lineRule="auto"/>
      </w:pPr>
      <w:r>
        <w:separator/>
      </w:r>
    </w:p>
  </w:footnote>
  <w:footnote w:type="continuationSeparator" w:id="0">
    <w:p w14:paraId="5B59F5C5" w14:textId="77777777" w:rsidR="00E31FC0" w:rsidRDefault="00E31FC0" w:rsidP="00D14305">
      <w:pPr>
        <w:spacing w:after="0" w:line="240" w:lineRule="auto"/>
      </w:pPr>
      <w:r>
        <w:continuationSeparator/>
      </w:r>
    </w:p>
  </w:footnote>
  <w:footnote w:id="1">
    <w:p w14:paraId="4DEDC6CE" w14:textId="77777777" w:rsidR="00A63E56" w:rsidRDefault="00A63E56">
      <w:pPr>
        <w:pStyle w:val="FootnoteText"/>
      </w:pPr>
      <w:r w:rsidRPr="00C71CEC">
        <w:rPr>
          <w:rStyle w:val="FootnoteReference"/>
        </w:rPr>
        <w:sym w:font="Symbol" w:char="F02A"/>
      </w:r>
      <w:r>
        <w:t xml:space="preserve"> </w:t>
      </w:r>
      <w:proofErr w:type="gramStart"/>
      <w:r>
        <w:t>Principal Lecturer, LLM Programmes Director, Northumbria Law School, Northumbria University, Newcastle upon Tyne, UK.</w:t>
      </w:r>
      <w:proofErr w:type="gramEnd"/>
      <w:r>
        <w:t xml:space="preserve"> Email: Rebecca.mitchell@northumbria.ac.uk </w:t>
      </w:r>
    </w:p>
  </w:footnote>
  <w:footnote w:id="2">
    <w:p w14:paraId="35F0A7CD" w14:textId="77777777" w:rsidR="00A63E56" w:rsidRDefault="00A63E56">
      <w:pPr>
        <w:pStyle w:val="FootnoteText"/>
      </w:pPr>
      <w:r w:rsidRPr="00C71CEC">
        <w:rPr>
          <w:rStyle w:val="FootnoteReference"/>
        </w:rPr>
        <w:sym w:font="Symbol" w:char="F02A"/>
      </w:r>
      <w:r>
        <w:t xml:space="preserve"> Head of Law and Director of the Centre for Evidence and Criminal Justice Studies, Northumbria Law School, Northumbria University, Newcastle upon Tyne, UK. Email:m.w.stockdale@northumbria.ac.uk</w:t>
      </w:r>
    </w:p>
  </w:footnote>
  <w:footnote w:id="3">
    <w:p w14:paraId="6C622A94" w14:textId="73F417A7" w:rsidR="00A63E56" w:rsidRPr="00D15569" w:rsidRDefault="00A63E56">
      <w:pPr>
        <w:pStyle w:val="FootnoteText"/>
      </w:pPr>
      <w:r w:rsidRPr="00D15569">
        <w:rPr>
          <w:rStyle w:val="FootnoteReference"/>
        </w:rPr>
        <w:footnoteRef/>
      </w:r>
      <w:r w:rsidRPr="00D15569">
        <w:rPr>
          <w:rStyle w:val="FootnoteReference"/>
        </w:rPr>
        <w:t xml:space="preserve"> </w:t>
      </w:r>
      <w:r w:rsidR="00BA49ED">
        <w:t>F</w:t>
      </w:r>
      <w:r w:rsidRPr="00D15569">
        <w:t xml:space="preserve">or example, Lord Phillips of Worth </w:t>
      </w:r>
      <w:proofErr w:type="spellStart"/>
      <w:r w:rsidRPr="00D15569">
        <w:t>Matravers</w:t>
      </w:r>
      <w:proofErr w:type="spellEnd"/>
      <w:r w:rsidRPr="00D15569">
        <w:rPr>
          <w:rFonts w:ascii="Verdana" w:hAnsi="Verdana"/>
          <w:b/>
          <w:bCs/>
          <w:color w:val="000000"/>
          <w:shd w:val="clear" w:color="auto" w:fill="FFFFFF"/>
        </w:rPr>
        <w:t xml:space="preserve"> </w:t>
      </w:r>
      <w:r w:rsidRPr="00D15569">
        <w:t xml:space="preserve">in </w:t>
      </w:r>
      <w:r w:rsidRPr="00D15569">
        <w:rPr>
          <w:i/>
        </w:rPr>
        <w:t xml:space="preserve">Re </w:t>
      </w:r>
      <w:proofErr w:type="spellStart"/>
      <w:r w:rsidRPr="00D15569">
        <w:rPr>
          <w:i/>
        </w:rPr>
        <w:t>McE</w:t>
      </w:r>
      <w:proofErr w:type="spellEnd"/>
      <w:r w:rsidRPr="00D15569">
        <w:t xml:space="preserve"> </w:t>
      </w:r>
      <w:r>
        <w:t>(</w:t>
      </w:r>
      <w:proofErr w:type="spellStart"/>
      <w:r w:rsidRPr="006F37FB">
        <w:rPr>
          <w:i/>
        </w:rPr>
        <w:t>McE</w:t>
      </w:r>
      <w:proofErr w:type="spellEnd"/>
      <w:r>
        <w:t xml:space="preserve">) </w:t>
      </w:r>
      <w:r w:rsidRPr="00D15569">
        <w:t>[200</w:t>
      </w:r>
      <w:r w:rsidR="00BA49ED">
        <w:t>9] 4 All ER 335 at [11] and</w:t>
      </w:r>
      <w:r w:rsidRPr="00D15569">
        <w:t xml:space="preserve"> also, </w:t>
      </w:r>
      <w:r w:rsidRPr="00D15569">
        <w:rPr>
          <w:i/>
        </w:rPr>
        <w:t>R v Brown</w:t>
      </w:r>
      <w:r w:rsidRPr="00D15569">
        <w:t xml:space="preserve"> [2015] 2 Cr App R 31 at [29] and [33</w:t>
      </w:r>
      <w:proofErr w:type="gramStart"/>
      <w:r w:rsidRPr="00D15569">
        <w:t>]  and</w:t>
      </w:r>
      <w:proofErr w:type="gramEnd"/>
      <w:r w:rsidRPr="00D15569">
        <w:t xml:space="preserve"> </w:t>
      </w:r>
      <w:proofErr w:type="spellStart"/>
      <w:r w:rsidRPr="00D15569">
        <w:t>Popplewell</w:t>
      </w:r>
      <w:proofErr w:type="spellEnd"/>
      <w:r w:rsidRPr="00D15569">
        <w:t xml:space="preserve"> J in </w:t>
      </w:r>
      <w:r w:rsidRPr="00D15569">
        <w:rPr>
          <w:i/>
        </w:rPr>
        <w:t xml:space="preserve">JSC BTA Bank v </w:t>
      </w:r>
      <w:proofErr w:type="spellStart"/>
      <w:r w:rsidRPr="00D15569">
        <w:rPr>
          <w:i/>
        </w:rPr>
        <w:t>Ablyazov</w:t>
      </w:r>
      <w:proofErr w:type="spellEnd"/>
      <w:r w:rsidRPr="00D15569">
        <w:t xml:space="preserve"> </w:t>
      </w:r>
      <w:r>
        <w:t>(</w:t>
      </w:r>
      <w:proofErr w:type="spellStart"/>
      <w:r w:rsidRPr="006F37FB">
        <w:rPr>
          <w:i/>
        </w:rPr>
        <w:t>Ablyazov</w:t>
      </w:r>
      <w:proofErr w:type="spellEnd"/>
      <w:r>
        <w:t xml:space="preserve">) </w:t>
      </w:r>
      <w:r w:rsidRPr="00D15569">
        <w:t>[2014] EWHC 2788 (</w:t>
      </w:r>
      <w:proofErr w:type="spellStart"/>
      <w:r w:rsidRPr="00D15569">
        <w:t>Comm</w:t>
      </w:r>
      <w:proofErr w:type="spellEnd"/>
      <w:r w:rsidRPr="00D15569">
        <w:t xml:space="preserve">) at [63]. </w:t>
      </w:r>
    </w:p>
  </w:footnote>
  <w:footnote w:id="4">
    <w:p w14:paraId="0D085812" w14:textId="77777777" w:rsidR="00A63E56" w:rsidRPr="00D15569" w:rsidRDefault="00A63E56" w:rsidP="00D10F15">
      <w:pPr>
        <w:pStyle w:val="FootnoteText"/>
        <w:jc w:val="both"/>
      </w:pPr>
      <w:r w:rsidRPr="00D15569">
        <w:rPr>
          <w:rStyle w:val="FootnoteReference"/>
        </w:rPr>
        <w:footnoteRef/>
      </w:r>
      <w:r w:rsidRPr="00D15569">
        <w:t xml:space="preserve"> </w:t>
      </w:r>
      <w:proofErr w:type="gramStart"/>
      <w:r w:rsidRPr="00D15569">
        <w:rPr>
          <w:i/>
          <w:iCs/>
        </w:rPr>
        <w:t xml:space="preserve">R v Cox and </w:t>
      </w:r>
      <w:proofErr w:type="spellStart"/>
      <w:r w:rsidRPr="00D15569">
        <w:rPr>
          <w:i/>
          <w:iCs/>
        </w:rPr>
        <w:t>Railton</w:t>
      </w:r>
      <w:proofErr w:type="spellEnd"/>
      <w:r w:rsidRPr="00D15569">
        <w:t xml:space="preserve"> </w:t>
      </w:r>
      <w:r>
        <w:t>(</w:t>
      </w:r>
      <w:proofErr w:type="spellStart"/>
      <w:r w:rsidRPr="006F37FB">
        <w:rPr>
          <w:i/>
        </w:rPr>
        <w:t>Railton</w:t>
      </w:r>
      <w:proofErr w:type="spellEnd"/>
      <w:r>
        <w:t xml:space="preserve">) </w:t>
      </w:r>
      <w:r w:rsidRPr="00D15569">
        <w:t>(1884) 14 QBD 153.</w:t>
      </w:r>
      <w:proofErr w:type="gramEnd"/>
      <w:r w:rsidRPr="00D15569">
        <w:t xml:space="preserve">  </w:t>
      </w:r>
    </w:p>
  </w:footnote>
  <w:footnote w:id="5">
    <w:p w14:paraId="14275806" w14:textId="77777777" w:rsidR="00A63E56" w:rsidRPr="00D15569" w:rsidRDefault="00A63E56" w:rsidP="00AA3078">
      <w:pPr>
        <w:pStyle w:val="FootnoteText"/>
        <w:jc w:val="both"/>
      </w:pPr>
      <w:r w:rsidRPr="00D15569">
        <w:rPr>
          <w:rStyle w:val="FootnoteReference"/>
        </w:rPr>
        <w:footnoteRef/>
      </w:r>
      <w:r w:rsidRPr="00D15569">
        <w:t xml:space="preserve"> </w:t>
      </w:r>
      <w:proofErr w:type="gramStart"/>
      <w:r w:rsidRPr="00D15569">
        <w:rPr>
          <w:i/>
          <w:iCs/>
        </w:rPr>
        <w:t>C v C</w:t>
      </w:r>
      <w:r w:rsidRPr="00D15569">
        <w:t xml:space="preserve"> </w:t>
      </w:r>
      <w:r>
        <w:t>(</w:t>
      </w:r>
      <w:r w:rsidRPr="00B40A0C">
        <w:rPr>
          <w:i/>
        </w:rPr>
        <w:t>C</w:t>
      </w:r>
      <w:r>
        <w:t xml:space="preserve">) </w:t>
      </w:r>
      <w:r w:rsidRPr="00D15569">
        <w:t>[2001] 3 WLR 446.</w:t>
      </w:r>
      <w:proofErr w:type="gramEnd"/>
      <w:r w:rsidRPr="00D15569">
        <w:t xml:space="preserve"> The telephone message amounted to an offence under s.43 of the Telecommunications Act 1984.</w:t>
      </w:r>
      <w:r w:rsidRPr="00D15569">
        <w:rPr>
          <w:rFonts w:ascii="News Gothic MT" w:hAnsi="News Gothic MT" w:cs="Arial"/>
          <w:color w:val="FF0000"/>
        </w:rPr>
        <w:t xml:space="preserve">  </w:t>
      </w:r>
    </w:p>
  </w:footnote>
  <w:footnote w:id="6">
    <w:p w14:paraId="44689B79" w14:textId="77777777" w:rsidR="00A63E56" w:rsidRPr="00D15569" w:rsidRDefault="00A63E56" w:rsidP="000A4053">
      <w:pPr>
        <w:pStyle w:val="FootnoteText"/>
        <w:jc w:val="both"/>
      </w:pPr>
      <w:r w:rsidRPr="00D15569">
        <w:rPr>
          <w:rStyle w:val="FootnoteReference"/>
        </w:rPr>
        <w:footnoteRef/>
      </w:r>
      <w:hyperlink r:id="rId1" w:history="1">
        <w:r w:rsidRPr="00D15569">
          <w:t> </w:t>
        </w:r>
      </w:hyperlink>
      <w:r w:rsidRPr="00D15569">
        <w:rPr>
          <w:i/>
        </w:rPr>
        <w:t>Jobson v Johnson</w:t>
      </w:r>
      <w:r w:rsidRPr="00D15569">
        <w:t xml:space="preserve"> </w:t>
      </w:r>
      <w:r>
        <w:t>(</w:t>
      </w:r>
      <w:r w:rsidRPr="006F37FB">
        <w:rPr>
          <w:i/>
        </w:rPr>
        <w:t>Jobson</w:t>
      </w:r>
      <w:r>
        <w:t xml:space="preserve">) </w:t>
      </w:r>
      <w:r w:rsidRPr="00D15569">
        <w:t>(unreported 12 December 1986).</w:t>
      </w:r>
      <w:r w:rsidRPr="00D15569">
        <w:rPr>
          <w:rFonts w:ascii="News Gothic MT" w:hAnsi="News Gothic MT" w:cs="Arial"/>
          <w:color w:val="FF0000"/>
        </w:rPr>
        <w:t xml:space="preserve">  </w:t>
      </w:r>
    </w:p>
  </w:footnote>
  <w:footnote w:id="7">
    <w:p w14:paraId="7C213AC2" w14:textId="63D7A078" w:rsidR="00A63E56" w:rsidRPr="00D15569" w:rsidRDefault="00A63E56" w:rsidP="00527854">
      <w:pPr>
        <w:pStyle w:val="FootnoteText"/>
        <w:jc w:val="both"/>
      </w:pPr>
      <w:r w:rsidRPr="00D15569">
        <w:rPr>
          <w:rStyle w:val="FootnoteReference"/>
        </w:rPr>
        <w:footnoteRef/>
      </w:r>
      <w:r w:rsidRPr="00D15569">
        <w:t xml:space="preserve"> </w:t>
      </w:r>
      <w:proofErr w:type="spellStart"/>
      <w:proofErr w:type="gramStart"/>
      <w:r w:rsidRPr="00D15569">
        <w:rPr>
          <w:i/>
          <w:iCs/>
        </w:rPr>
        <w:t>Railton</w:t>
      </w:r>
      <w:proofErr w:type="spellEnd"/>
      <w:r>
        <w:rPr>
          <w:i/>
          <w:iCs/>
        </w:rPr>
        <w:t xml:space="preserve">, </w:t>
      </w:r>
      <w:r w:rsidRPr="006F37FB">
        <w:rPr>
          <w:iCs/>
        </w:rPr>
        <w:t>above</w:t>
      </w:r>
      <w:r w:rsidRPr="00D15569">
        <w:t xml:space="preserve"> </w:t>
      </w:r>
      <w:r>
        <w:t xml:space="preserve">fn. 2 </w:t>
      </w:r>
      <w:r w:rsidR="00BA49ED">
        <w:t>and</w:t>
      </w:r>
      <w:r w:rsidRPr="00D15569">
        <w:t xml:space="preserve"> also, for example, </w:t>
      </w:r>
      <w:r w:rsidRPr="00D15569">
        <w:rPr>
          <w:i/>
        </w:rPr>
        <w:t xml:space="preserve">Jobson </w:t>
      </w:r>
      <w:r>
        <w:t>above fn.4.</w:t>
      </w:r>
      <w:proofErr w:type="gramEnd"/>
      <w:r w:rsidRPr="00D15569">
        <w:rPr>
          <w:rFonts w:ascii="News Gothic MT" w:hAnsi="News Gothic MT" w:cs="Arial"/>
          <w:color w:val="FF0000"/>
        </w:rPr>
        <w:t xml:space="preserve">  </w:t>
      </w:r>
    </w:p>
  </w:footnote>
  <w:footnote w:id="8">
    <w:p w14:paraId="21D82176" w14:textId="77777777" w:rsidR="00A63E56" w:rsidRPr="00D15569" w:rsidRDefault="00A63E56" w:rsidP="00E72896">
      <w:pPr>
        <w:pStyle w:val="FootnoteText"/>
        <w:jc w:val="both"/>
      </w:pPr>
      <w:r w:rsidRPr="00D15569">
        <w:rPr>
          <w:rStyle w:val="FootnoteReference"/>
        </w:rPr>
        <w:footnoteRef/>
      </w:r>
      <w:r w:rsidRPr="00D15569">
        <w:t xml:space="preserve"> </w:t>
      </w:r>
      <w:proofErr w:type="gramStart"/>
      <w:r w:rsidRPr="00D15569">
        <w:rPr>
          <w:i/>
          <w:iCs/>
        </w:rPr>
        <w:t>R v Central Criminal Court, ex parte Francis and Francis</w:t>
      </w:r>
      <w:r w:rsidRPr="00D15569">
        <w:t xml:space="preserve"> </w:t>
      </w:r>
      <w:r>
        <w:t>(</w:t>
      </w:r>
      <w:r w:rsidRPr="006F37FB">
        <w:rPr>
          <w:i/>
        </w:rPr>
        <w:t>Francis</w:t>
      </w:r>
      <w:r>
        <w:t xml:space="preserve">) </w:t>
      </w:r>
      <w:r w:rsidRPr="00D15569">
        <w:t>[1989] 1 AC 346.</w:t>
      </w:r>
      <w:proofErr w:type="gramEnd"/>
    </w:p>
  </w:footnote>
  <w:footnote w:id="9">
    <w:p w14:paraId="7B885E71" w14:textId="77777777" w:rsidR="00A63E56" w:rsidRPr="00D15569" w:rsidRDefault="00A63E56" w:rsidP="004960BB">
      <w:pPr>
        <w:pStyle w:val="FootnoteText"/>
        <w:jc w:val="both"/>
      </w:pPr>
      <w:r w:rsidRPr="00D15569">
        <w:rPr>
          <w:rStyle w:val="FootnoteReference"/>
        </w:rPr>
        <w:footnoteRef/>
      </w:r>
      <w:r w:rsidRPr="00D15569">
        <w:t xml:space="preserve"> See, for example, </w:t>
      </w:r>
      <w:r w:rsidRPr="00D15569">
        <w:rPr>
          <w:i/>
        </w:rPr>
        <w:t xml:space="preserve">The Owners of the Dredger Kamal XXVI v The Owners of the Ship </w:t>
      </w:r>
      <w:proofErr w:type="spellStart"/>
      <w:r w:rsidRPr="00D15569">
        <w:rPr>
          <w:i/>
        </w:rPr>
        <w:t>Ariela</w:t>
      </w:r>
      <w:proofErr w:type="spellEnd"/>
      <w:r w:rsidRPr="00D15569">
        <w:t xml:space="preserve"> [2011] 1 All ER (</w:t>
      </w:r>
      <w:proofErr w:type="spellStart"/>
      <w:r w:rsidRPr="00D15569">
        <w:t>Comm</w:t>
      </w:r>
      <w:proofErr w:type="spellEnd"/>
      <w:r w:rsidRPr="00D15569">
        <w:t>) 477.</w:t>
      </w:r>
    </w:p>
  </w:footnote>
  <w:footnote w:id="10">
    <w:p w14:paraId="399C0631" w14:textId="73F577C2" w:rsidR="00A63E56" w:rsidRPr="00D15569" w:rsidRDefault="00A63E56" w:rsidP="00F75D97">
      <w:pPr>
        <w:pStyle w:val="FootnoteText"/>
      </w:pPr>
      <w:r w:rsidRPr="00D15569">
        <w:rPr>
          <w:rStyle w:val="FootnoteReference"/>
        </w:rPr>
        <w:footnoteRef/>
      </w:r>
      <w:r w:rsidRPr="00D15569">
        <w:t xml:space="preserve"> </w:t>
      </w:r>
      <w:proofErr w:type="gramStart"/>
      <w:r w:rsidRPr="00D15569">
        <w:rPr>
          <w:i/>
          <w:iCs/>
        </w:rPr>
        <w:t>Kuwait Airways Corporation v Iraqi Airways Company</w:t>
      </w:r>
      <w:r w:rsidRPr="00D15569">
        <w:t xml:space="preserve"> (No 6) </w:t>
      </w:r>
      <w:r>
        <w:t>(</w:t>
      </w:r>
      <w:r w:rsidRPr="006F37FB">
        <w:rPr>
          <w:i/>
        </w:rPr>
        <w:t>Kuwait</w:t>
      </w:r>
      <w:r>
        <w:t xml:space="preserve">) </w:t>
      </w:r>
      <w:r w:rsidR="00BA49ED">
        <w:t>[2005] 1 WLR 2734 and</w:t>
      </w:r>
      <w:r w:rsidRPr="00D15569">
        <w:t xml:space="preserve">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t xml:space="preserve">above fn. 1 </w:t>
      </w:r>
      <w:r w:rsidRPr="00D15569">
        <w:t>at [69].</w:t>
      </w:r>
      <w:proofErr w:type="gramEnd"/>
    </w:p>
  </w:footnote>
  <w:footnote w:id="11">
    <w:p w14:paraId="31A66A6E" w14:textId="4E6CF76F" w:rsidR="00A63E56" w:rsidRPr="00D15569" w:rsidRDefault="00A63E56" w:rsidP="00EB0EC4">
      <w:pPr>
        <w:pStyle w:val="FootnoteText"/>
      </w:pPr>
      <w:r w:rsidRPr="00D15569">
        <w:rPr>
          <w:rStyle w:val="FootnoteReference"/>
        </w:rPr>
        <w:footnoteRef/>
      </w:r>
      <w:r w:rsidRPr="00D15569">
        <w:t xml:space="preserve"> See, respectively, Lord Sumner in </w:t>
      </w:r>
      <w:r w:rsidRPr="00D15569">
        <w:rPr>
          <w:i/>
          <w:iCs/>
        </w:rPr>
        <w:t xml:space="preserve">O’Rourke v </w:t>
      </w:r>
      <w:proofErr w:type="spellStart"/>
      <w:r w:rsidRPr="00D15569">
        <w:rPr>
          <w:i/>
          <w:iCs/>
        </w:rPr>
        <w:t>Darbishire</w:t>
      </w:r>
      <w:proofErr w:type="spellEnd"/>
      <w:r w:rsidRPr="00D15569">
        <w:rPr>
          <w:i/>
          <w:iCs/>
        </w:rPr>
        <w:t xml:space="preserve"> </w:t>
      </w:r>
      <w:r>
        <w:rPr>
          <w:i/>
          <w:iCs/>
        </w:rPr>
        <w:t xml:space="preserve">(O’Rourke) </w:t>
      </w:r>
      <w:r w:rsidRPr="00D15569">
        <w:rPr>
          <w:iCs/>
        </w:rPr>
        <w:t>[1920] AC 581</w:t>
      </w:r>
      <w:r w:rsidRPr="00D15569">
        <w:t xml:space="preserve"> at 613, Lord </w:t>
      </w:r>
      <w:proofErr w:type="spellStart"/>
      <w:r w:rsidRPr="00D15569">
        <w:t>Parmoor</w:t>
      </w:r>
      <w:proofErr w:type="spellEnd"/>
      <w:r w:rsidRPr="00D15569">
        <w:t xml:space="preserve"> in </w:t>
      </w:r>
      <w:r w:rsidRPr="00D15569">
        <w:rPr>
          <w:i/>
        </w:rPr>
        <w:t xml:space="preserve">O’Rourke </w:t>
      </w:r>
      <w:r w:rsidRPr="00D15569">
        <w:t xml:space="preserve">at 621-622 and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t>above fn.1</w:t>
      </w:r>
      <w:r w:rsidRPr="00D15569">
        <w:t xml:space="preserve"> at [71]</w:t>
      </w:r>
      <w:proofErr w:type="gramStart"/>
      <w:r w:rsidRPr="00D15569">
        <w:t>..</w:t>
      </w:r>
      <w:proofErr w:type="gramEnd"/>
      <w:r w:rsidRPr="00D15569">
        <w:t xml:space="preserve">  </w:t>
      </w:r>
    </w:p>
  </w:footnote>
  <w:footnote w:id="12">
    <w:p w14:paraId="584DD5A0" w14:textId="3EE60191" w:rsidR="00A63E56" w:rsidRPr="001071D3" w:rsidRDefault="00A63E56">
      <w:pPr>
        <w:pStyle w:val="FootnoteText"/>
        <w:rPr>
          <w:color w:val="FF0000"/>
        </w:rPr>
      </w:pPr>
      <w:r w:rsidRPr="00725620">
        <w:rPr>
          <w:rStyle w:val="FootnoteReference"/>
        </w:rPr>
        <w:footnoteRef/>
      </w:r>
      <w:r w:rsidRPr="000536D3">
        <w:rPr>
          <w:color w:val="FF0000"/>
        </w:rPr>
        <w:t xml:space="preserve"> </w:t>
      </w:r>
      <w:r w:rsidRPr="00725620">
        <w:t xml:space="preserve">See, respectively, Stephen J in </w:t>
      </w:r>
      <w:proofErr w:type="spellStart"/>
      <w:r w:rsidRPr="00725620">
        <w:rPr>
          <w:i/>
        </w:rPr>
        <w:t>Railton</w:t>
      </w:r>
      <w:proofErr w:type="spellEnd"/>
      <w:r w:rsidRPr="00725620">
        <w:t xml:space="preserve"> </w:t>
      </w:r>
      <w:r>
        <w:t>above fn. 2</w:t>
      </w:r>
      <w:r w:rsidRPr="00725620">
        <w:t xml:space="preserve"> </w:t>
      </w:r>
      <w:proofErr w:type="gramStart"/>
      <w:r w:rsidRPr="00725620">
        <w:t>at  175</w:t>
      </w:r>
      <w:proofErr w:type="gramEnd"/>
      <w:r w:rsidRPr="00725620">
        <w:t xml:space="preserve">, Dillon LJ in </w:t>
      </w:r>
      <w:proofErr w:type="spellStart"/>
      <w:r w:rsidRPr="00725620">
        <w:rPr>
          <w:i/>
        </w:rPr>
        <w:t>Finers</w:t>
      </w:r>
      <w:proofErr w:type="spellEnd"/>
      <w:r w:rsidRPr="00725620">
        <w:rPr>
          <w:i/>
        </w:rPr>
        <w:t xml:space="preserve"> v Miro</w:t>
      </w:r>
      <w:r w:rsidRPr="00725620">
        <w:t xml:space="preserve"> [1991] WLR 35 at 40 and  Lord Goff of </w:t>
      </w:r>
      <w:proofErr w:type="spellStart"/>
      <w:r w:rsidRPr="00725620">
        <w:t>Chieveley</w:t>
      </w:r>
      <w:proofErr w:type="spellEnd"/>
      <w:r w:rsidRPr="00725620">
        <w:t xml:space="preserve"> in </w:t>
      </w:r>
      <w:r w:rsidRPr="00725620">
        <w:rPr>
          <w:i/>
        </w:rPr>
        <w:t>Francis</w:t>
      </w:r>
      <w:r w:rsidRPr="00725620">
        <w:t xml:space="preserve"> </w:t>
      </w:r>
      <w:r>
        <w:t>above fn. 6</w:t>
      </w:r>
      <w:r w:rsidR="00BA49ED">
        <w:t xml:space="preserve"> at 393-394 and</w:t>
      </w:r>
      <w:r w:rsidRPr="00725620">
        <w:t xml:space="preserve"> also, B. </w:t>
      </w:r>
      <w:proofErr w:type="spellStart"/>
      <w:r w:rsidRPr="00725620">
        <w:t>Thanki</w:t>
      </w:r>
      <w:proofErr w:type="spellEnd"/>
      <w:r w:rsidRPr="00725620">
        <w:t xml:space="preserve"> et al </w:t>
      </w:r>
      <w:r w:rsidRPr="00725620">
        <w:rPr>
          <w:i/>
        </w:rPr>
        <w:t>The Law of Privilege</w:t>
      </w:r>
      <w:r w:rsidRPr="00725620">
        <w:t>, (2nd ed., Oxford University Press, Oxford, 2011) at [4.51].</w:t>
      </w:r>
    </w:p>
  </w:footnote>
  <w:footnote w:id="13">
    <w:p w14:paraId="3D0948E5" w14:textId="050132E3" w:rsidR="00A63E56" w:rsidRPr="00D15569" w:rsidRDefault="00A63E56">
      <w:pPr>
        <w:pStyle w:val="FootnoteText"/>
      </w:pPr>
      <w:r w:rsidRPr="00D15569">
        <w:rPr>
          <w:rStyle w:val="FootnoteReference"/>
        </w:rPr>
        <w:footnoteRef/>
      </w:r>
      <w:r w:rsidR="00BA49ED">
        <w:t xml:space="preserve"> </w:t>
      </w:r>
      <w:r>
        <w:t>C. Passmore,</w:t>
      </w:r>
      <w:r w:rsidRPr="00D15569">
        <w:t xml:space="preserve"> </w:t>
      </w:r>
      <w:r w:rsidRPr="00725620">
        <w:rPr>
          <w:i/>
        </w:rPr>
        <w:t>Privilege</w:t>
      </w:r>
      <w:r w:rsidRPr="00D15569">
        <w:t xml:space="preserve"> </w:t>
      </w:r>
      <w:r>
        <w:t>(</w:t>
      </w:r>
      <w:r w:rsidRPr="00D15569">
        <w:t>3rd Ed</w:t>
      </w:r>
      <w:r>
        <w:t>,</w:t>
      </w:r>
      <w:r w:rsidRPr="00D15569">
        <w:t xml:space="preserve"> Sweet and Maxwell</w:t>
      </w:r>
      <w:r>
        <w:t>,</w:t>
      </w:r>
      <w:r w:rsidRPr="00D15569">
        <w:t xml:space="preserve"> London, 2013</w:t>
      </w:r>
      <w:r>
        <w:t>)</w:t>
      </w:r>
      <w:r w:rsidRPr="00D15569">
        <w:t xml:space="preserve"> at </w:t>
      </w:r>
      <w:r>
        <w:t>[</w:t>
      </w:r>
      <w:r w:rsidRPr="00D15569">
        <w:t>8-063</w:t>
      </w:r>
      <w:r>
        <w:t>].</w:t>
      </w:r>
      <w:r w:rsidRPr="00D15569">
        <w:t xml:space="preserve"> </w:t>
      </w:r>
    </w:p>
  </w:footnote>
  <w:footnote w:id="14">
    <w:p w14:paraId="283E5701" w14:textId="7633D291" w:rsidR="00A63E56" w:rsidRPr="00D15569" w:rsidRDefault="00A63E56" w:rsidP="001B1FC3">
      <w:pPr>
        <w:pStyle w:val="FootnoteText"/>
        <w:jc w:val="both"/>
      </w:pPr>
      <w:r w:rsidRPr="00D15569">
        <w:rPr>
          <w:rStyle w:val="FootnoteReference"/>
        </w:rPr>
        <w:footnoteRef/>
      </w:r>
      <w:r w:rsidR="00BA49ED">
        <w:t xml:space="preserve"> </w:t>
      </w:r>
      <w:r w:rsidRPr="00D15569">
        <w:t xml:space="preserve">Stephen J </w:t>
      </w:r>
      <w:r>
        <w:t xml:space="preserve">in </w:t>
      </w:r>
      <w:proofErr w:type="spellStart"/>
      <w:r w:rsidRPr="00D15569">
        <w:rPr>
          <w:i/>
          <w:iCs/>
        </w:rPr>
        <w:t>Railton</w:t>
      </w:r>
      <w:proofErr w:type="spellEnd"/>
      <w:r w:rsidRPr="00D15569">
        <w:t xml:space="preserve"> </w:t>
      </w:r>
      <w:r>
        <w:t xml:space="preserve">above fn.2 </w:t>
      </w:r>
      <w:r w:rsidR="00BA49ED">
        <w:t>at  167-168 and also</w:t>
      </w:r>
      <w:r w:rsidRPr="00D15569">
        <w:t xml:space="preserve"> Viscount Finlay in </w:t>
      </w:r>
      <w:r w:rsidRPr="00D15569">
        <w:rPr>
          <w:i/>
          <w:iCs/>
        </w:rPr>
        <w:t xml:space="preserve">O’Rourke </w:t>
      </w:r>
      <w:r w:rsidRPr="00C53C1D">
        <w:rPr>
          <w:iCs/>
        </w:rPr>
        <w:t>above fn</w:t>
      </w:r>
      <w:r>
        <w:rPr>
          <w:i/>
          <w:iCs/>
        </w:rPr>
        <w:t>.</w:t>
      </w:r>
      <w:r w:rsidRPr="00C53C1D">
        <w:rPr>
          <w:iCs/>
        </w:rPr>
        <w:t xml:space="preserve"> 9</w:t>
      </w:r>
      <w:r>
        <w:t xml:space="preserve"> at 604, Lord Carswell in</w:t>
      </w:r>
      <w:r w:rsidRPr="00D15569">
        <w:rPr>
          <w:i/>
        </w:rPr>
        <w:t xml:space="preserve"> </w:t>
      </w:r>
      <w:proofErr w:type="spellStart"/>
      <w:r w:rsidRPr="00D15569">
        <w:rPr>
          <w:i/>
        </w:rPr>
        <w:t>McE</w:t>
      </w:r>
      <w:proofErr w:type="spellEnd"/>
      <w:r w:rsidRPr="00D15569">
        <w:t xml:space="preserve"> </w:t>
      </w:r>
      <w:r>
        <w:t>above fn.</w:t>
      </w:r>
      <w:r w:rsidRPr="00D15569">
        <w:t xml:space="preserve"> </w:t>
      </w:r>
      <w:r>
        <w:t xml:space="preserve">1 </w:t>
      </w:r>
      <w:r w:rsidRPr="00D15569">
        <w:t xml:space="preserve">at [82] and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t>above fn. 1</w:t>
      </w:r>
      <w:r w:rsidRPr="00D15569">
        <w:t>at [68].</w:t>
      </w:r>
    </w:p>
  </w:footnote>
  <w:footnote w:id="15">
    <w:p w14:paraId="7A9C84B8" w14:textId="236B6C8C" w:rsidR="00A63E56" w:rsidRPr="00D15569" w:rsidRDefault="00A63E56" w:rsidP="001B1FC3">
      <w:pPr>
        <w:pStyle w:val="FootnoteText"/>
        <w:jc w:val="both"/>
      </w:pPr>
      <w:r w:rsidRPr="00D15569">
        <w:rPr>
          <w:rStyle w:val="FootnoteReference"/>
        </w:rPr>
        <w:footnoteRef/>
      </w:r>
      <w:r w:rsidRPr="00D15569">
        <w:t xml:space="preserve"> See Stephen J in </w:t>
      </w:r>
      <w:proofErr w:type="spellStart"/>
      <w:r w:rsidRPr="00D15569">
        <w:rPr>
          <w:i/>
          <w:iCs/>
        </w:rPr>
        <w:t>Railton</w:t>
      </w:r>
      <w:proofErr w:type="spellEnd"/>
      <w:r w:rsidRPr="00D15569">
        <w:t xml:space="preserve"> </w:t>
      </w:r>
      <w:r>
        <w:t xml:space="preserve">above fn. 2 </w:t>
      </w:r>
      <w:r w:rsidR="00BA49ED">
        <w:t>at 167-168 and also</w:t>
      </w:r>
      <w:r w:rsidRPr="00D15569">
        <w:t xml:space="preserve">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t>above fn. 1</w:t>
      </w:r>
      <w:r w:rsidRPr="00D15569">
        <w:t xml:space="preserve"> at [93].</w:t>
      </w:r>
    </w:p>
  </w:footnote>
  <w:footnote w:id="16">
    <w:p w14:paraId="619C925C" w14:textId="77777777" w:rsidR="00A63E56" w:rsidRPr="00D15569" w:rsidRDefault="00A63E56" w:rsidP="00BA7E1A">
      <w:pPr>
        <w:pStyle w:val="FootnoteText"/>
      </w:pPr>
      <w:r w:rsidRPr="00D15569">
        <w:rPr>
          <w:rStyle w:val="FootnoteReference"/>
        </w:rPr>
        <w:footnoteRef/>
      </w:r>
      <w:r w:rsidRPr="00D15569">
        <w:rPr>
          <w:rStyle w:val="FootnoteReference"/>
        </w:rPr>
        <w:t xml:space="preserve"> </w:t>
      </w:r>
      <w:r w:rsidRPr="00D15569">
        <w:t xml:space="preserve">See Lord Phillips of Worth </w:t>
      </w:r>
      <w:proofErr w:type="spellStart"/>
      <w:r w:rsidRPr="00D15569">
        <w:t>Matravers</w:t>
      </w:r>
      <w:proofErr w:type="spellEnd"/>
      <w:r w:rsidRPr="00D15569">
        <w:rPr>
          <w:rFonts w:ascii="Verdana" w:hAnsi="Verdana"/>
          <w:b/>
          <w:bCs/>
          <w:color w:val="000000"/>
          <w:shd w:val="clear" w:color="auto" w:fill="FFFFFF"/>
        </w:rPr>
        <w:t xml:space="preserve"> </w:t>
      </w:r>
      <w:r>
        <w:t>in</w:t>
      </w:r>
      <w:r w:rsidRPr="00D15569">
        <w:rPr>
          <w:i/>
        </w:rPr>
        <w:t xml:space="preserve"> </w:t>
      </w:r>
      <w:proofErr w:type="spellStart"/>
      <w:r w:rsidRPr="00D15569">
        <w:rPr>
          <w:i/>
        </w:rPr>
        <w:t>McE</w:t>
      </w:r>
      <w:proofErr w:type="spellEnd"/>
      <w:r w:rsidRPr="00D15569">
        <w:t xml:space="preserve"> </w:t>
      </w:r>
      <w:r>
        <w:t>above fn.1</w:t>
      </w:r>
      <w:r w:rsidRPr="00D15569">
        <w:t xml:space="preserve"> at [11].  </w:t>
      </w:r>
    </w:p>
  </w:footnote>
  <w:footnote w:id="17">
    <w:p w14:paraId="4EA7B5A7" w14:textId="77777777" w:rsidR="00A63E56" w:rsidRPr="00D15569" w:rsidRDefault="00A63E56" w:rsidP="008E201D">
      <w:pPr>
        <w:rPr>
          <w:sz w:val="20"/>
          <w:szCs w:val="20"/>
        </w:rPr>
      </w:pPr>
      <w:r w:rsidRPr="00D15569">
        <w:rPr>
          <w:rStyle w:val="FootnoteReference"/>
          <w:rFonts w:ascii="Times New Roman" w:eastAsia="Times New Roman" w:hAnsi="Times New Roman" w:cs="Times New Roman"/>
          <w:sz w:val="20"/>
          <w:szCs w:val="20"/>
        </w:rPr>
        <w:footnoteRef/>
      </w:r>
      <w:r w:rsidRPr="00D15569">
        <w:rPr>
          <w:rStyle w:val="FootnoteReference"/>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 </w:t>
      </w:r>
      <w:proofErr w:type="spellStart"/>
      <w:r w:rsidRPr="00D15569">
        <w:rPr>
          <w:rFonts w:ascii="Times New Roman" w:eastAsia="Times New Roman" w:hAnsi="Times New Roman" w:cs="Times New Roman"/>
          <w:sz w:val="20"/>
          <w:szCs w:val="20"/>
        </w:rPr>
        <w:t>Thanki</w:t>
      </w:r>
      <w:proofErr w:type="spellEnd"/>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et al</w:t>
      </w:r>
      <w:r>
        <w:rPr>
          <w:rFonts w:ascii="Times New Roman" w:eastAsia="Times New Roman" w:hAnsi="Times New Roman" w:cs="Times New Roman"/>
          <w:sz w:val="20"/>
          <w:szCs w:val="20"/>
        </w:rPr>
        <w:t xml:space="preserv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Pr>
          <w:rFonts w:ascii="Times New Roman" w:hAnsi="Times New Roman" w:cs="Times New Roman"/>
          <w:iCs/>
          <w:sz w:val="20"/>
          <w:szCs w:val="20"/>
        </w:rPr>
        <w:t>10</w:t>
      </w:r>
      <w:r w:rsidRPr="00D15569">
        <w:rPr>
          <w:rFonts w:ascii="Times New Roman" w:eastAsia="Times New Roman" w:hAnsi="Times New Roman" w:cs="Times New Roman"/>
          <w:sz w:val="20"/>
          <w:szCs w:val="20"/>
        </w:rPr>
        <w:t xml:space="preserve"> at </w:t>
      </w:r>
      <w:r>
        <w:rPr>
          <w:rFonts w:ascii="Times New Roman" w:eastAsia="Times New Roman" w:hAnsi="Times New Roman" w:cs="Times New Roman"/>
          <w:sz w:val="20"/>
          <w:szCs w:val="20"/>
        </w:rPr>
        <w:t>[</w:t>
      </w:r>
      <w:r w:rsidRPr="00D15569">
        <w:rPr>
          <w:rFonts w:ascii="Times New Roman" w:eastAsia="Times New Roman" w:hAnsi="Times New Roman" w:cs="Times New Roman"/>
          <w:sz w:val="20"/>
          <w:szCs w:val="20"/>
        </w:rPr>
        <w:t>4.40</w:t>
      </w:r>
      <w:r>
        <w:rPr>
          <w:rFonts w:ascii="Times New Roman" w:eastAsia="Times New Roman" w:hAnsi="Times New Roman" w:cs="Times New Roman"/>
          <w:sz w:val="20"/>
          <w:szCs w:val="20"/>
        </w:rPr>
        <w:t>]</w:t>
      </w:r>
      <w:r w:rsidRPr="00D15569">
        <w:rPr>
          <w:rFonts w:ascii="Times New Roman" w:eastAsia="Times New Roman" w:hAnsi="Times New Roman" w:cs="Times New Roman"/>
          <w:sz w:val="20"/>
          <w:szCs w:val="20"/>
        </w:rPr>
        <w:t>.</w:t>
      </w:r>
    </w:p>
  </w:footnote>
  <w:footnote w:id="18">
    <w:p w14:paraId="12F0A688" w14:textId="77777777" w:rsidR="00A63E56" w:rsidRPr="00D15569" w:rsidRDefault="00A63E56" w:rsidP="0023160D">
      <w:pPr>
        <w:pStyle w:val="FootnoteText"/>
        <w:jc w:val="both"/>
      </w:pPr>
      <w:r w:rsidRPr="00D15569">
        <w:rPr>
          <w:rStyle w:val="FootnoteReference"/>
        </w:rPr>
        <w:footnoteRef/>
      </w:r>
      <w:r w:rsidRPr="00D15569">
        <w:t xml:space="preserve"> See </w:t>
      </w:r>
      <w:proofErr w:type="spellStart"/>
      <w:r w:rsidRPr="00D15569">
        <w:t>Kekewich</w:t>
      </w:r>
      <w:proofErr w:type="spellEnd"/>
      <w:r w:rsidRPr="00D15569">
        <w:t xml:space="preserve"> J in </w:t>
      </w:r>
      <w:r w:rsidRPr="00D15569">
        <w:rPr>
          <w:i/>
        </w:rPr>
        <w:t xml:space="preserve">Williams v </w:t>
      </w:r>
      <w:proofErr w:type="spellStart"/>
      <w:r w:rsidRPr="00D15569">
        <w:rPr>
          <w:i/>
        </w:rPr>
        <w:t>Quebrada</w:t>
      </w:r>
      <w:proofErr w:type="spellEnd"/>
      <w:r w:rsidRPr="00D15569">
        <w:rPr>
          <w:i/>
        </w:rPr>
        <w:t xml:space="preserve"> Railway, Land and Copper</w:t>
      </w:r>
      <w:r w:rsidRPr="00D15569">
        <w:t xml:space="preserve"> Company [1885] 2 </w:t>
      </w:r>
      <w:proofErr w:type="spellStart"/>
      <w:r w:rsidRPr="00D15569">
        <w:t>Ch</w:t>
      </w:r>
      <w:proofErr w:type="spellEnd"/>
      <w:r w:rsidRPr="00D15569">
        <w:t xml:space="preserve"> 751 at 756.</w:t>
      </w:r>
    </w:p>
  </w:footnote>
  <w:footnote w:id="19">
    <w:p w14:paraId="3531613C" w14:textId="77777777" w:rsidR="00A63E56" w:rsidRPr="00D15569" w:rsidRDefault="00A63E56" w:rsidP="009E7A5F">
      <w:pPr>
        <w:pStyle w:val="FootnoteText"/>
        <w:jc w:val="both"/>
      </w:pPr>
      <w:r w:rsidRPr="00D15569">
        <w:rPr>
          <w:rStyle w:val="FootnoteReference"/>
        </w:rPr>
        <w:footnoteRef/>
      </w:r>
      <w:r w:rsidRPr="00D15569">
        <w:t xml:space="preserve"> See Goff </w:t>
      </w:r>
      <w:r>
        <w:t xml:space="preserve">J a J </w:t>
      </w:r>
      <w:r w:rsidRPr="00D15569">
        <w:t xml:space="preserve">in </w:t>
      </w:r>
      <w:r w:rsidRPr="00D15569">
        <w:rPr>
          <w:i/>
        </w:rPr>
        <w:t>Crescent Farm (Sidcup) Sports Ltd v Sterling Offices Ltd</w:t>
      </w:r>
      <w:r w:rsidRPr="00D15569">
        <w:t xml:space="preserve"> </w:t>
      </w:r>
      <w:r>
        <w:t>(</w:t>
      </w:r>
      <w:r w:rsidRPr="00C53C1D">
        <w:rPr>
          <w:i/>
        </w:rPr>
        <w:t>Crescent</w:t>
      </w:r>
      <w:r>
        <w:t xml:space="preserve">) </w:t>
      </w:r>
      <w:r w:rsidRPr="00D15569">
        <w:t>[1971] 3 All ER 1192 at 1199-1200.</w:t>
      </w:r>
    </w:p>
  </w:footnote>
  <w:footnote w:id="20">
    <w:p w14:paraId="426C0C9E" w14:textId="5B7B019F" w:rsidR="00A63E56" w:rsidRPr="00D15569" w:rsidRDefault="00A63E56" w:rsidP="004667C8">
      <w:pPr>
        <w:pStyle w:val="FootnoteText"/>
        <w:jc w:val="both"/>
      </w:pPr>
      <w:r w:rsidRPr="00D15569">
        <w:rPr>
          <w:rStyle w:val="FootnoteReference"/>
        </w:rPr>
        <w:footnoteRef/>
      </w:r>
      <w:r w:rsidR="00BA49ED">
        <w:t xml:space="preserve"> See</w:t>
      </w:r>
      <w:r w:rsidRPr="00D15569">
        <w:t xml:space="preserve"> Goff in </w:t>
      </w:r>
      <w:r w:rsidRPr="00D15569">
        <w:rPr>
          <w:i/>
        </w:rPr>
        <w:t xml:space="preserve">Crescent </w:t>
      </w:r>
      <w:r w:rsidRPr="00C53C1D">
        <w:t>above fn. 17</w:t>
      </w:r>
      <w:r w:rsidRPr="00D15569">
        <w:t xml:space="preserve"> at 1200 and the extract from Goff LJ’s judgment in </w:t>
      </w:r>
      <w:r w:rsidRPr="00D15569">
        <w:rPr>
          <w:i/>
        </w:rPr>
        <w:t xml:space="preserve">Gamlen Chemical Co (UK) Ltd v </w:t>
      </w:r>
      <w:proofErr w:type="spellStart"/>
      <w:r w:rsidRPr="00D15569">
        <w:rPr>
          <w:i/>
        </w:rPr>
        <w:t>Rochem</w:t>
      </w:r>
      <w:proofErr w:type="spellEnd"/>
      <w:r w:rsidRPr="00D15569">
        <w:rPr>
          <w:i/>
        </w:rPr>
        <w:t xml:space="preserve"> Ltd (No 2)</w:t>
      </w:r>
      <w:r w:rsidRPr="00D15569">
        <w:t xml:space="preserve"> (unre</w:t>
      </w:r>
      <w:r w:rsidR="00BA49ED">
        <w:t>ported) December 7 1979,</w:t>
      </w:r>
      <w:r w:rsidRPr="00D15569">
        <w:t xml:space="preserve"> set out in </w:t>
      </w:r>
      <w:r w:rsidRPr="00D15569">
        <w:rPr>
          <w:i/>
        </w:rPr>
        <w:t>B</w:t>
      </w:r>
      <w:r w:rsidRPr="00D15569">
        <w:rPr>
          <w:i/>
          <w:iCs/>
        </w:rPr>
        <w:t>arclays Bank plc v Eustice</w:t>
      </w:r>
      <w:r>
        <w:t xml:space="preserve"> (</w:t>
      </w:r>
      <w:r w:rsidRPr="00C53C1D">
        <w:rPr>
          <w:i/>
        </w:rPr>
        <w:t>Eustice</w:t>
      </w:r>
      <w:r>
        <w:t xml:space="preserve">) </w:t>
      </w:r>
      <w:r w:rsidRPr="00D15569">
        <w:t>[1995] 4 All ER 511 at 522.</w:t>
      </w:r>
    </w:p>
  </w:footnote>
  <w:footnote w:id="21">
    <w:p w14:paraId="462CF0B9" w14:textId="77777777" w:rsidR="00A63E56" w:rsidRPr="00D15569" w:rsidRDefault="00A63E56" w:rsidP="00A002FB">
      <w:pPr>
        <w:pStyle w:val="FootnoteText"/>
      </w:pPr>
      <w:r w:rsidRPr="00D15569">
        <w:rPr>
          <w:rStyle w:val="FootnoteReference"/>
        </w:rPr>
        <w:footnoteRef/>
      </w:r>
      <w:r w:rsidRPr="00D15569">
        <w:rPr>
          <w:rStyle w:val="FootnoteReference"/>
        </w:rPr>
        <w:t xml:space="preserve"> </w:t>
      </w:r>
      <w:proofErr w:type="gramStart"/>
      <w:r w:rsidRPr="00D15569">
        <w:rPr>
          <w:i/>
        </w:rPr>
        <w:t>Brent LBC v Estate of Owen Kane, Deceased</w:t>
      </w:r>
      <w:r w:rsidRPr="00D15569">
        <w:rPr>
          <w:rFonts w:ascii="News Gothic MT" w:hAnsi="News Gothic MT" w:cs="Arial"/>
          <w:color w:val="FF0000"/>
        </w:rPr>
        <w:t xml:space="preserve"> </w:t>
      </w:r>
      <w:r w:rsidRPr="00D15569">
        <w:t>[2014] EWHC 4564 (</w:t>
      </w:r>
      <w:proofErr w:type="spellStart"/>
      <w:r w:rsidRPr="00D15569">
        <w:t>Ch</w:t>
      </w:r>
      <w:proofErr w:type="spellEnd"/>
      <w:r w:rsidRPr="00220FA4">
        <w:t>).</w:t>
      </w:r>
      <w:proofErr w:type="gramEnd"/>
    </w:p>
  </w:footnote>
  <w:footnote w:id="22">
    <w:p w14:paraId="451BD58E" w14:textId="77777777" w:rsidR="00A63E56" w:rsidRPr="00D15569" w:rsidRDefault="00A63E56" w:rsidP="00834854">
      <w:pPr>
        <w:pStyle w:val="FootnoteText"/>
        <w:jc w:val="both"/>
      </w:pPr>
      <w:r w:rsidRPr="00D15569">
        <w:rPr>
          <w:rStyle w:val="FootnoteReference"/>
        </w:rPr>
        <w:footnoteRef/>
      </w:r>
      <w:r w:rsidRPr="00D15569">
        <w:t xml:space="preserve"> </w:t>
      </w:r>
      <w:proofErr w:type="gramStart"/>
      <w:r w:rsidRPr="00C53C1D">
        <w:rPr>
          <w:i/>
        </w:rPr>
        <w:t>Eustice</w:t>
      </w:r>
      <w:r>
        <w:t xml:space="preserve"> above fn. 18</w:t>
      </w:r>
      <w:r w:rsidRPr="00D15569">
        <w:t>.</w:t>
      </w:r>
      <w:proofErr w:type="gramEnd"/>
    </w:p>
  </w:footnote>
  <w:footnote w:id="23">
    <w:p w14:paraId="57DC7516" w14:textId="77777777" w:rsidR="00A63E56" w:rsidRPr="00D15569" w:rsidRDefault="00A63E56" w:rsidP="004B670C">
      <w:pPr>
        <w:pStyle w:val="FootnoteText"/>
        <w:jc w:val="both"/>
      </w:pPr>
      <w:r w:rsidRPr="00D15569">
        <w:rPr>
          <w:rStyle w:val="FootnoteReference"/>
        </w:rPr>
        <w:footnoteRef/>
      </w:r>
      <w:r w:rsidRPr="00D15569">
        <w:t xml:space="preserve"> </w:t>
      </w:r>
      <w:r w:rsidRPr="00D15569">
        <w:rPr>
          <w:i/>
          <w:iCs/>
        </w:rPr>
        <w:t>Eustice</w:t>
      </w:r>
      <w:r>
        <w:rPr>
          <w:i/>
          <w:iCs/>
        </w:rPr>
        <w:t xml:space="preserve"> </w:t>
      </w:r>
      <w:r w:rsidRPr="00C53C1D">
        <w:rPr>
          <w:iCs/>
        </w:rPr>
        <w:t xml:space="preserve">above fn. </w:t>
      </w:r>
      <w:proofErr w:type="gramStart"/>
      <w:r w:rsidRPr="00C53C1D">
        <w:rPr>
          <w:iCs/>
        </w:rPr>
        <w:t>18</w:t>
      </w:r>
      <w:r>
        <w:rPr>
          <w:i/>
          <w:iCs/>
        </w:rPr>
        <w:t xml:space="preserve"> </w:t>
      </w:r>
      <w:r w:rsidRPr="00D15569">
        <w:t xml:space="preserve"> (</w:t>
      </w:r>
      <w:proofErr w:type="gramEnd"/>
      <w:r w:rsidRPr="00D15569">
        <w:t xml:space="preserve">see, in particular, </w:t>
      </w:r>
      <w:proofErr w:type="spellStart"/>
      <w:r w:rsidRPr="00D15569">
        <w:t>Schiemann</w:t>
      </w:r>
      <w:proofErr w:type="spellEnd"/>
      <w:r w:rsidRPr="00D15569">
        <w:t xml:space="preserve"> LJ at 523-525).</w:t>
      </w:r>
    </w:p>
  </w:footnote>
  <w:footnote w:id="24">
    <w:p w14:paraId="3F84B84A" w14:textId="77777777" w:rsidR="00A63E56" w:rsidRPr="00D15569" w:rsidRDefault="00A63E56" w:rsidP="00A63AA6">
      <w:pPr>
        <w:pStyle w:val="FootnoteText"/>
      </w:pPr>
      <w:r w:rsidRPr="00D15569">
        <w:rPr>
          <w:rStyle w:val="FootnoteReference"/>
        </w:rPr>
        <w:footnoteRef/>
      </w:r>
      <w:r w:rsidRPr="00D15569">
        <w:rPr>
          <w:rStyle w:val="FootnoteReference"/>
        </w:rPr>
        <w:t xml:space="preserve"> </w:t>
      </w:r>
      <w:r w:rsidRPr="00D15569">
        <w:t xml:space="preserve">See </w:t>
      </w:r>
      <w:proofErr w:type="spellStart"/>
      <w:r w:rsidRPr="00D15569">
        <w:t>Schiemann</w:t>
      </w:r>
      <w:proofErr w:type="spellEnd"/>
      <w:r w:rsidRPr="00D15569">
        <w:t xml:space="preserve"> LJ in </w:t>
      </w:r>
      <w:r w:rsidRPr="00D15569">
        <w:rPr>
          <w:i/>
          <w:iCs/>
        </w:rPr>
        <w:t>Eustice</w:t>
      </w:r>
      <w:r>
        <w:rPr>
          <w:i/>
          <w:iCs/>
        </w:rPr>
        <w:t xml:space="preserve"> </w:t>
      </w:r>
      <w:r w:rsidRPr="00C53C1D">
        <w:rPr>
          <w:iCs/>
        </w:rPr>
        <w:t>above fn.</w:t>
      </w:r>
      <w:r>
        <w:rPr>
          <w:i/>
          <w:iCs/>
        </w:rPr>
        <w:t xml:space="preserve"> </w:t>
      </w:r>
      <w:r w:rsidRPr="00C53C1D">
        <w:rPr>
          <w:iCs/>
        </w:rPr>
        <w:t>18</w:t>
      </w:r>
      <w:r>
        <w:t xml:space="preserve"> </w:t>
      </w:r>
      <w:r w:rsidRPr="00D15569">
        <w:t>at 524.</w:t>
      </w:r>
    </w:p>
  </w:footnote>
  <w:footnote w:id="25">
    <w:p w14:paraId="619ECCEB" w14:textId="77777777" w:rsidR="00A63E56" w:rsidRPr="00D15569" w:rsidRDefault="00A63E56" w:rsidP="00A21E33">
      <w:pPr>
        <w:pStyle w:val="FootnoteText"/>
      </w:pPr>
      <w:r w:rsidRPr="00D15569">
        <w:rPr>
          <w:rStyle w:val="FootnoteReference"/>
        </w:rPr>
        <w:footnoteRef/>
      </w:r>
      <w:r w:rsidRPr="00D15569">
        <w:rPr>
          <w:rStyle w:val="FootnoteReference"/>
        </w:rPr>
        <w:t xml:space="preserve"> </w:t>
      </w:r>
      <w:r w:rsidRPr="00D15569">
        <w:t xml:space="preserve">See </w:t>
      </w:r>
      <w:proofErr w:type="spellStart"/>
      <w:r w:rsidRPr="00D15569">
        <w:t>Schiemann</w:t>
      </w:r>
      <w:proofErr w:type="spellEnd"/>
      <w:r w:rsidRPr="00D15569">
        <w:t xml:space="preserve"> LJ in </w:t>
      </w:r>
      <w:r w:rsidRPr="00D15569">
        <w:rPr>
          <w:i/>
          <w:iCs/>
        </w:rPr>
        <w:t>Eustice</w:t>
      </w:r>
      <w:r>
        <w:rPr>
          <w:i/>
          <w:iCs/>
        </w:rPr>
        <w:t xml:space="preserve"> </w:t>
      </w:r>
      <w:r w:rsidRPr="00C53C1D">
        <w:rPr>
          <w:iCs/>
        </w:rPr>
        <w:t>above fn.</w:t>
      </w:r>
      <w:r>
        <w:rPr>
          <w:i/>
          <w:iCs/>
        </w:rPr>
        <w:t xml:space="preserve"> </w:t>
      </w:r>
      <w:r w:rsidRPr="00C53C1D">
        <w:rPr>
          <w:iCs/>
        </w:rPr>
        <w:t>18</w:t>
      </w:r>
      <w:r>
        <w:t xml:space="preserve"> </w:t>
      </w:r>
      <w:r w:rsidRPr="00D15569">
        <w:t>at 525.</w:t>
      </w:r>
    </w:p>
  </w:footnote>
  <w:footnote w:id="26">
    <w:p w14:paraId="24282BA3" w14:textId="77777777" w:rsidR="00A63E56" w:rsidRDefault="00A63E56">
      <w:pPr>
        <w:pStyle w:val="FootnoteText"/>
      </w:pPr>
      <w:r>
        <w:rPr>
          <w:rStyle w:val="FootnoteReference"/>
        </w:rPr>
        <w:footnoteRef/>
      </w:r>
      <w:r>
        <w:t xml:space="preserve"> See cases at fn.8</w:t>
      </w:r>
    </w:p>
  </w:footnote>
  <w:footnote w:id="27">
    <w:p w14:paraId="34216BD6" w14:textId="2C16335E" w:rsidR="006F4B7D" w:rsidRDefault="006F4B7D">
      <w:pPr>
        <w:pStyle w:val="FootnoteText"/>
      </w:pPr>
      <w:r>
        <w:rPr>
          <w:rStyle w:val="FootnoteReference"/>
        </w:rPr>
        <w:footnoteRef/>
      </w:r>
      <w:r>
        <w:t xml:space="preserve"> See </w:t>
      </w:r>
      <w:proofErr w:type="spellStart"/>
      <w:r>
        <w:t>Schiemann</w:t>
      </w:r>
      <w:proofErr w:type="spellEnd"/>
      <w:r>
        <w:t xml:space="preserve"> LJ in </w:t>
      </w:r>
      <w:r w:rsidRPr="00F54CC5">
        <w:rPr>
          <w:i/>
        </w:rPr>
        <w:t>Eustice</w:t>
      </w:r>
      <w:r>
        <w:t xml:space="preserve"> above fn.18 at 521</w:t>
      </w:r>
    </w:p>
  </w:footnote>
  <w:footnote w:id="28">
    <w:p w14:paraId="5E9EB782" w14:textId="65ACEF6C" w:rsidR="00AE4517" w:rsidRDefault="00AE4517">
      <w:pPr>
        <w:pStyle w:val="FootnoteText"/>
      </w:pPr>
      <w:r>
        <w:rPr>
          <w:rStyle w:val="FootnoteReference"/>
        </w:rPr>
        <w:footnoteRef/>
      </w:r>
      <w:r>
        <w:t xml:space="preserve"> </w:t>
      </w:r>
      <w:r w:rsidRPr="00F54CC5">
        <w:rPr>
          <w:i/>
        </w:rPr>
        <w:t>R (on the application of Prudential plc) v Special Commissioner of Income Tax</w:t>
      </w:r>
      <w:r>
        <w:t xml:space="preserve"> [2013] 2 AC 185, per Lord </w:t>
      </w:r>
      <w:proofErr w:type="spellStart"/>
      <w:r>
        <w:t>Sumption</w:t>
      </w:r>
      <w:proofErr w:type="spellEnd"/>
      <w:r>
        <w:t xml:space="preserve"> [114]</w:t>
      </w:r>
    </w:p>
  </w:footnote>
  <w:footnote w:id="29">
    <w:p w14:paraId="5D3C16B3" w14:textId="5E8BA0D1" w:rsidR="00E86E2D" w:rsidRDefault="00E86E2D" w:rsidP="00E86E2D">
      <w:pPr>
        <w:pStyle w:val="FootnoteText"/>
      </w:pPr>
      <w:r>
        <w:rPr>
          <w:rStyle w:val="FootnoteReference"/>
        </w:rPr>
        <w:footnoteRef/>
      </w:r>
      <w:r>
        <w:t xml:space="preserve"> Lord Scott of </w:t>
      </w:r>
      <w:proofErr w:type="spellStart"/>
      <w:r>
        <w:t>Foscote</w:t>
      </w:r>
      <w:proofErr w:type="spellEnd"/>
      <w:r>
        <w:t xml:space="preserve"> suggested in </w:t>
      </w:r>
      <w:r w:rsidRPr="00F54CC5">
        <w:rPr>
          <w:i/>
        </w:rPr>
        <w:t>Three Rivers District Council and others v Governor and Company of the Bank of England</w:t>
      </w:r>
      <w:r>
        <w:t xml:space="preserve"> [2005] 1 AC 610 at [29] that, given the rationale for the existence of legal professional privilege, the reason why communications that are made for the purposes of litigation but do not “disclose the seeking or giving of legal advice” is not easy to understand. </w:t>
      </w:r>
    </w:p>
  </w:footnote>
  <w:footnote w:id="30">
    <w:p w14:paraId="341EE502" w14:textId="77777777" w:rsidR="00A63E56" w:rsidRPr="00D15569" w:rsidRDefault="00A63E56" w:rsidP="002A313E">
      <w:pPr>
        <w:pStyle w:val="FootnoteText"/>
        <w:jc w:val="both"/>
      </w:pPr>
      <w:r w:rsidRPr="00D15569">
        <w:rPr>
          <w:rStyle w:val="FootnoteReference"/>
        </w:rPr>
        <w:footnoteRef/>
      </w:r>
      <w:r w:rsidRPr="00D15569">
        <w:t xml:space="preserve"> See Lord Neuberger In </w:t>
      </w:r>
      <w:proofErr w:type="spellStart"/>
      <w:r w:rsidRPr="00D15569">
        <w:rPr>
          <w:i/>
        </w:rPr>
        <w:t>McE</w:t>
      </w:r>
      <w:proofErr w:type="spellEnd"/>
      <w:r w:rsidRPr="00D15569">
        <w:t xml:space="preserve"> </w:t>
      </w:r>
      <w:r w:rsidRPr="00C53C1D">
        <w:rPr>
          <w:iCs/>
        </w:rPr>
        <w:t>above fn.</w:t>
      </w:r>
      <w:r>
        <w:rPr>
          <w:i/>
          <w:iCs/>
        </w:rPr>
        <w:t xml:space="preserve"> </w:t>
      </w:r>
      <w:r w:rsidRPr="00C53C1D">
        <w:rPr>
          <w:iCs/>
        </w:rPr>
        <w:t>1</w:t>
      </w:r>
      <w:r>
        <w:rPr>
          <w:i/>
          <w:iCs/>
        </w:rPr>
        <w:t xml:space="preserve"> </w:t>
      </w:r>
      <w:r w:rsidRPr="00D15569">
        <w:t xml:space="preserve">at [109]. Passmore regards </w:t>
      </w:r>
      <w:r w:rsidRPr="00D15569">
        <w:rPr>
          <w:i/>
        </w:rPr>
        <w:t>Eustice</w:t>
      </w:r>
      <w:r w:rsidRPr="00D15569">
        <w:t xml:space="preserve"> as “pushing at the boundaries” of the crime-fraud exception (</w:t>
      </w:r>
      <w:r>
        <w:t xml:space="preserve">C. </w:t>
      </w:r>
      <w:r w:rsidRPr="00D15569">
        <w:t xml:space="preserve">Passmore, </w:t>
      </w:r>
      <w:r w:rsidRPr="002C6E8C">
        <w:rPr>
          <w:iCs/>
        </w:rPr>
        <w:t>above fn.</w:t>
      </w:r>
      <w:r w:rsidRPr="002C6E8C">
        <w:rPr>
          <w:i/>
          <w:iCs/>
        </w:rPr>
        <w:t xml:space="preserve"> </w:t>
      </w:r>
      <w:r>
        <w:rPr>
          <w:iCs/>
        </w:rPr>
        <w:t xml:space="preserve">11 </w:t>
      </w:r>
      <w:r w:rsidRPr="00D15569">
        <w:t xml:space="preserve">at </w:t>
      </w:r>
      <w:r>
        <w:t>[</w:t>
      </w:r>
      <w:r w:rsidRPr="00D15569">
        <w:t>8-063</w:t>
      </w:r>
      <w:r>
        <w:t>]</w:t>
      </w:r>
      <w:r w:rsidRPr="00D15569">
        <w:t xml:space="preserve">) and </w:t>
      </w:r>
      <w:proofErr w:type="spellStart"/>
      <w:r w:rsidRPr="00D15569">
        <w:t>Thanki</w:t>
      </w:r>
      <w:proofErr w:type="spellEnd"/>
      <w:r w:rsidRPr="00D15569">
        <w:t xml:space="preserve"> believes that it is a pity that the case was not reviewed by the House of Lords and recognises that it is yet to be reviewed by the Supreme Court (</w:t>
      </w:r>
      <w:r>
        <w:t xml:space="preserve">B. </w:t>
      </w:r>
      <w:proofErr w:type="spellStart"/>
      <w:r w:rsidRPr="00D15569">
        <w:t>Thanki</w:t>
      </w:r>
      <w:proofErr w:type="spellEnd"/>
      <w:r>
        <w:t xml:space="preserve"> </w:t>
      </w:r>
      <w:r w:rsidRPr="00D15569">
        <w:t>et al</w:t>
      </w:r>
      <w:r>
        <w:t>,</w:t>
      </w:r>
      <w:r w:rsidRPr="00D15569">
        <w:t xml:space="preserve"> </w:t>
      </w:r>
      <w:r w:rsidRPr="002C6E8C">
        <w:rPr>
          <w:iCs/>
        </w:rPr>
        <w:t>above fn.</w:t>
      </w:r>
      <w:r w:rsidRPr="002C6E8C">
        <w:rPr>
          <w:i/>
          <w:iCs/>
        </w:rPr>
        <w:t xml:space="preserve"> </w:t>
      </w:r>
      <w:r>
        <w:rPr>
          <w:iCs/>
        </w:rPr>
        <w:t xml:space="preserve">10 </w:t>
      </w:r>
      <w:r w:rsidRPr="00D15569">
        <w:t xml:space="preserve">at </w:t>
      </w:r>
      <w:r>
        <w:t>[</w:t>
      </w:r>
      <w:r w:rsidRPr="00D15569">
        <w:t>4.47</w:t>
      </w:r>
      <w:r>
        <w:t>]</w:t>
      </w:r>
      <w:r w:rsidRPr="00D15569">
        <w:t>).</w:t>
      </w:r>
    </w:p>
  </w:footnote>
  <w:footnote w:id="31">
    <w:p w14:paraId="20443A92" w14:textId="71A27654" w:rsidR="00A63E56" w:rsidRPr="00D15569" w:rsidRDefault="00A63E56" w:rsidP="00B743CD">
      <w:pPr>
        <w:pStyle w:val="FootnoteText"/>
        <w:jc w:val="both"/>
      </w:pPr>
      <w:r w:rsidRPr="00D15569">
        <w:rPr>
          <w:rStyle w:val="FootnoteReference"/>
        </w:rPr>
        <w:footnoteRef/>
      </w:r>
      <w:r w:rsidR="001E06D4">
        <w:t xml:space="preserve"> F</w:t>
      </w:r>
      <w:r w:rsidRPr="00D15569">
        <w:t xml:space="preserve">or example: </w:t>
      </w:r>
      <w:r>
        <w:rPr>
          <w:i/>
        </w:rPr>
        <w:t xml:space="preserve">Nationwide Building Society </w:t>
      </w:r>
      <w:r w:rsidRPr="00D15569">
        <w:rPr>
          <w:i/>
        </w:rPr>
        <w:t>v</w:t>
      </w:r>
      <w:r>
        <w:rPr>
          <w:i/>
        </w:rPr>
        <w:t xml:space="preserve"> </w:t>
      </w:r>
      <w:r w:rsidRPr="00D15569">
        <w:rPr>
          <w:i/>
        </w:rPr>
        <w:t>Various</w:t>
      </w:r>
      <w:r>
        <w:rPr>
          <w:i/>
        </w:rPr>
        <w:t xml:space="preserve"> </w:t>
      </w:r>
      <w:r w:rsidRPr="00D15569">
        <w:rPr>
          <w:i/>
        </w:rPr>
        <w:t>Solicitors</w:t>
      </w:r>
      <w:r w:rsidRPr="00D15569">
        <w:t xml:space="preserve"> [1998] All ER (D) 26; </w:t>
      </w:r>
      <w:r w:rsidRPr="00D15569">
        <w:rPr>
          <w:i/>
        </w:rPr>
        <w:t>Dubai Aluminium Co Lt</w:t>
      </w:r>
      <w:r>
        <w:rPr>
          <w:i/>
        </w:rPr>
        <w:t>d</w:t>
      </w:r>
      <w:r w:rsidRPr="00D15569">
        <w:rPr>
          <w:i/>
        </w:rPr>
        <w:t xml:space="preserve"> v Al Alawi</w:t>
      </w:r>
      <w:r w:rsidRPr="00D15569">
        <w:t xml:space="preserve"> [1999] 1 All ER 703; </w:t>
      </w:r>
      <w:r w:rsidRPr="00D15569">
        <w:rPr>
          <w:i/>
        </w:rPr>
        <w:t>Owners of the cargo lately laden on board the ship '</w:t>
      </w:r>
      <w:proofErr w:type="spellStart"/>
      <w:r w:rsidRPr="00D15569">
        <w:rPr>
          <w:i/>
        </w:rPr>
        <w:t>DavidAgmashenebeli</w:t>
      </w:r>
      <w:proofErr w:type="spellEnd"/>
      <w:r>
        <w:rPr>
          <w:i/>
        </w:rPr>
        <w:t xml:space="preserve"> </w:t>
      </w:r>
      <w:r w:rsidRPr="00D15569">
        <w:rPr>
          <w:i/>
        </w:rPr>
        <w:t> v Owners of the</w:t>
      </w:r>
      <w:r w:rsidRPr="00D15569">
        <w:t xml:space="preserve"> </w:t>
      </w:r>
      <w:r w:rsidRPr="00D15569">
        <w:rPr>
          <w:i/>
        </w:rPr>
        <w:t xml:space="preserve">'David </w:t>
      </w:r>
      <w:proofErr w:type="spellStart"/>
      <w:r w:rsidRPr="00D15569">
        <w:rPr>
          <w:i/>
        </w:rPr>
        <w:t>Agmashenebeli</w:t>
      </w:r>
      <w:proofErr w:type="spellEnd"/>
      <w:r w:rsidRPr="00D15569">
        <w:rPr>
          <w:i/>
        </w:rPr>
        <w:t xml:space="preserve">' </w:t>
      </w:r>
      <w:r w:rsidRPr="00D15569">
        <w:t xml:space="preserve">[2000] All ER (D) 2324; </w:t>
      </w:r>
      <w:r w:rsidRPr="00D15569">
        <w:rPr>
          <w:i/>
        </w:rPr>
        <w:t>C v C</w:t>
      </w:r>
      <w:r w:rsidRPr="00D15569">
        <w:t xml:space="preserve"> [2008] 1 FLR 115; </w:t>
      </w:r>
      <w:r w:rsidRPr="00D15569">
        <w:rPr>
          <w:i/>
        </w:rPr>
        <w:t>BBGP Managing General Partner Ltd and others v Babcock &amp; Brown Global Partners</w:t>
      </w:r>
      <w:r w:rsidRPr="00D15569">
        <w:t xml:space="preserve"> </w:t>
      </w:r>
      <w:r>
        <w:t>(</w:t>
      </w:r>
      <w:r w:rsidRPr="009225E4">
        <w:rPr>
          <w:i/>
        </w:rPr>
        <w:t>BBGP</w:t>
      </w:r>
      <w:r>
        <w:t xml:space="preserve">) </w:t>
      </w:r>
      <w:r w:rsidRPr="00D15569">
        <w:t xml:space="preserve">[2011] </w:t>
      </w:r>
      <w:proofErr w:type="spellStart"/>
      <w:r w:rsidRPr="00D15569">
        <w:t>Ch</w:t>
      </w:r>
      <w:proofErr w:type="spellEnd"/>
      <w:r w:rsidRPr="00D15569">
        <w:t xml:space="preserve"> 296; </w:t>
      </w:r>
      <w:r w:rsidRPr="00D15569">
        <w:rPr>
          <w:i/>
        </w:rPr>
        <w:t>Brent LBC v Estate of Owen Kane, Deceased</w:t>
      </w:r>
      <w:r w:rsidRPr="00D15569">
        <w:rPr>
          <w:rFonts w:ascii="News Gothic MT" w:hAnsi="News Gothic MT" w:cs="Arial"/>
          <w:color w:val="FF0000"/>
        </w:rPr>
        <w:t xml:space="preserve"> </w:t>
      </w:r>
      <w:r w:rsidRPr="00D15569">
        <w:t>[2014] EWHC 4564 (</w:t>
      </w:r>
      <w:proofErr w:type="spellStart"/>
      <w:r w:rsidRPr="00D15569">
        <w:t>Ch</w:t>
      </w:r>
      <w:proofErr w:type="spellEnd"/>
      <w:r w:rsidRPr="00D15569">
        <w:t>). Zuckerman supports its correctness, apparently on the basis that, as the Court of Appeal had suggested, discouraging those who wish to embark on iniquitous schemes from consulting legal advisers will make the implementation of such schemes more difficult (</w:t>
      </w:r>
      <w:r>
        <w:t xml:space="preserve">A </w:t>
      </w:r>
      <w:r w:rsidRPr="00D15569">
        <w:t xml:space="preserve">Zuckerman, </w:t>
      </w:r>
      <w:r w:rsidRPr="00725620">
        <w:rPr>
          <w:i/>
        </w:rPr>
        <w:t>Civil Procedure Principles of Practice</w:t>
      </w:r>
      <w:r w:rsidRPr="00D15569">
        <w:t xml:space="preserve"> </w:t>
      </w:r>
      <w:r>
        <w:t>(</w:t>
      </w:r>
      <w:r w:rsidRPr="00D15569">
        <w:t>3rd ed</w:t>
      </w:r>
      <w:r>
        <w:t>.</w:t>
      </w:r>
      <w:r w:rsidRPr="00D15569">
        <w:t>, Sweet and Maxwell, London</w:t>
      </w:r>
      <w:r>
        <w:t>,</w:t>
      </w:r>
      <w:r w:rsidRPr="00D15569">
        <w:t xml:space="preserve"> 2013</w:t>
      </w:r>
      <w:r>
        <w:t>)</w:t>
      </w:r>
      <w:r w:rsidRPr="00D15569">
        <w:t xml:space="preserve"> at </w:t>
      </w:r>
      <w:r>
        <w:t>[</w:t>
      </w:r>
      <w:r w:rsidRPr="00D15569">
        <w:t>16.109</w:t>
      </w:r>
      <w:r>
        <w:t>]</w:t>
      </w:r>
      <w:r w:rsidRPr="00D15569">
        <w:t xml:space="preserve">). </w:t>
      </w:r>
    </w:p>
    <w:p w14:paraId="7487B965" w14:textId="77777777" w:rsidR="00A63E56" w:rsidRPr="00D15569" w:rsidRDefault="00A63E56" w:rsidP="00A21E33">
      <w:pPr>
        <w:pStyle w:val="FootnoteText"/>
        <w:jc w:val="both"/>
      </w:pPr>
    </w:p>
  </w:footnote>
  <w:footnote w:id="32">
    <w:p w14:paraId="15E0470A" w14:textId="3654B4E1" w:rsidR="00A63E56" w:rsidRPr="00D15569" w:rsidRDefault="00A63E56" w:rsidP="00C633E8">
      <w:pPr>
        <w:pStyle w:val="FootnoteText"/>
      </w:pPr>
      <w:r w:rsidRPr="00D15569">
        <w:rPr>
          <w:rStyle w:val="FootnoteReference"/>
        </w:rPr>
        <w:footnoteRef/>
      </w:r>
      <w:r w:rsidR="001E06D4">
        <w:t xml:space="preserve"> </w:t>
      </w:r>
      <w:proofErr w:type="spellStart"/>
      <w:proofErr w:type="gramStart"/>
      <w:r w:rsidRPr="00D15569">
        <w:t>Popplewell</w:t>
      </w:r>
      <w:proofErr w:type="spellEnd"/>
      <w:r w:rsidRPr="00D15569">
        <w:t xml:space="preserve"> J in </w:t>
      </w:r>
      <w:proofErr w:type="spellStart"/>
      <w:r w:rsidRPr="00D15569">
        <w:rPr>
          <w:i/>
        </w:rPr>
        <w:t>Ablyazov</w:t>
      </w:r>
      <w:proofErr w:type="spellEnd"/>
      <w:r w:rsidRPr="00D15569">
        <w:t xml:space="preserve"> </w:t>
      </w:r>
      <w:r w:rsidRPr="00C53C1D">
        <w:rPr>
          <w:iCs/>
        </w:rPr>
        <w:t>above fn.</w:t>
      </w:r>
      <w:r>
        <w:rPr>
          <w:i/>
          <w:iCs/>
        </w:rPr>
        <w:t xml:space="preserve"> </w:t>
      </w:r>
      <w:r w:rsidRPr="00C53C1D">
        <w:rPr>
          <w:iCs/>
        </w:rPr>
        <w:t>1</w:t>
      </w:r>
      <w:r w:rsidRPr="00D15569">
        <w:t xml:space="preserve"> at [68].</w:t>
      </w:r>
      <w:proofErr w:type="gramEnd"/>
      <w:r w:rsidRPr="00D15569">
        <w:t xml:space="preserve"> </w:t>
      </w:r>
    </w:p>
  </w:footnote>
  <w:footnote w:id="33">
    <w:p w14:paraId="5811FB1C" w14:textId="7BF355BC" w:rsidR="00A63E56" w:rsidRPr="00D15569" w:rsidRDefault="00A63E56" w:rsidP="00A723FF">
      <w:pPr>
        <w:pStyle w:val="FootnoteText"/>
        <w:jc w:val="both"/>
      </w:pPr>
      <w:r w:rsidRPr="00D15569">
        <w:rPr>
          <w:rStyle w:val="FootnoteReference"/>
          <w:lang w:eastAsia="en-GB"/>
        </w:rPr>
        <w:footnoteRef/>
      </w:r>
      <w:r w:rsidRPr="00D15569">
        <w:rPr>
          <w:rStyle w:val="FootnoteReference"/>
          <w:lang w:eastAsia="en-GB"/>
        </w:rPr>
        <w:t xml:space="preserve"> </w:t>
      </w:r>
      <w:r w:rsidRPr="00D15569">
        <w:t xml:space="preserve">Norris J in </w:t>
      </w:r>
      <w:r w:rsidRPr="00D15569">
        <w:rPr>
          <w:i/>
        </w:rPr>
        <w:t xml:space="preserve">BBGP </w:t>
      </w:r>
      <w:r w:rsidRPr="00C53C1D">
        <w:rPr>
          <w:iCs/>
        </w:rPr>
        <w:t>above fn.</w:t>
      </w:r>
      <w:r>
        <w:rPr>
          <w:i/>
          <w:iCs/>
        </w:rPr>
        <w:t xml:space="preserve"> </w:t>
      </w:r>
      <w:r w:rsidR="00335DBC">
        <w:rPr>
          <w:iCs/>
        </w:rPr>
        <w:t>29</w:t>
      </w:r>
      <w:r>
        <w:rPr>
          <w:i/>
          <w:iCs/>
        </w:rPr>
        <w:t xml:space="preserve"> </w:t>
      </w:r>
      <w:r w:rsidRPr="00D15569">
        <w:t xml:space="preserve">at [62]. </w:t>
      </w:r>
    </w:p>
  </w:footnote>
  <w:footnote w:id="34">
    <w:p w14:paraId="44DB4F04" w14:textId="06D0A09D" w:rsidR="00A63E56" w:rsidRPr="00D15569" w:rsidRDefault="00A63E56" w:rsidP="00EA1447">
      <w:pPr>
        <w:pStyle w:val="FootnoteText"/>
        <w:jc w:val="both"/>
      </w:pPr>
      <w:r w:rsidRPr="00D15569">
        <w:rPr>
          <w:rStyle w:val="FootnoteReference"/>
          <w:lang w:eastAsia="en-GB"/>
        </w:rPr>
        <w:footnoteRef/>
      </w:r>
      <w:r w:rsidRPr="00D15569">
        <w:rPr>
          <w:rStyle w:val="FootnoteReference"/>
          <w:lang w:eastAsia="en-GB"/>
        </w:rPr>
        <w:t xml:space="preserve"> </w:t>
      </w:r>
      <w:proofErr w:type="gramStart"/>
      <w:r w:rsidRPr="00D15569">
        <w:rPr>
          <w:i/>
        </w:rPr>
        <w:t xml:space="preserve">BBGP </w:t>
      </w:r>
      <w:r w:rsidRPr="00C53C1D">
        <w:rPr>
          <w:iCs/>
        </w:rPr>
        <w:t>above fn.</w:t>
      </w:r>
      <w:r>
        <w:rPr>
          <w:i/>
          <w:iCs/>
        </w:rPr>
        <w:t xml:space="preserve"> </w:t>
      </w:r>
      <w:r w:rsidR="00335DBC">
        <w:rPr>
          <w:iCs/>
        </w:rPr>
        <w:t>29</w:t>
      </w:r>
      <w:r>
        <w:rPr>
          <w:iCs/>
        </w:rPr>
        <w:t>.</w:t>
      </w:r>
      <w:proofErr w:type="gramEnd"/>
    </w:p>
  </w:footnote>
  <w:footnote w:id="35">
    <w:p w14:paraId="2C73313C" w14:textId="77777777" w:rsidR="00A63E56" w:rsidRPr="00D15569" w:rsidRDefault="00A63E56" w:rsidP="00A45675">
      <w:pPr>
        <w:pStyle w:val="FootnoteText"/>
      </w:pPr>
      <w:r w:rsidRPr="00D15569">
        <w:rPr>
          <w:rStyle w:val="FootnoteReference"/>
        </w:rPr>
        <w:footnoteRef/>
      </w:r>
      <w:r w:rsidRPr="00D15569">
        <w:t xml:space="preserve"> See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rsidRPr="00C53C1D">
        <w:rPr>
          <w:iCs/>
        </w:rPr>
        <w:t>above fn.</w:t>
      </w:r>
      <w:r>
        <w:rPr>
          <w:i/>
          <w:iCs/>
        </w:rPr>
        <w:t xml:space="preserve"> </w:t>
      </w:r>
      <w:r w:rsidRPr="00C53C1D">
        <w:rPr>
          <w:iCs/>
        </w:rPr>
        <w:t>1</w:t>
      </w:r>
      <w:r w:rsidRPr="00D15569">
        <w:t xml:space="preserve"> at [93].</w:t>
      </w:r>
    </w:p>
  </w:footnote>
  <w:footnote w:id="36">
    <w:p w14:paraId="5A348A09" w14:textId="77777777" w:rsidR="00A63E56" w:rsidRPr="009225E4" w:rsidRDefault="00A63E56" w:rsidP="007B5362">
      <w:pPr>
        <w:numPr>
          <w:ilvl w:val="12"/>
          <w:numId w:val="0"/>
        </w:numPr>
        <w:jc w:val="both"/>
        <w:rPr>
          <w:rFonts w:ascii="Times New Roman" w:hAnsi="Times New Roman" w:cs="Times New Roman"/>
          <w:sz w:val="20"/>
          <w:szCs w:val="20"/>
        </w:rPr>
      </w:pPr>
      <w:r w:rsidRPr="00D15569">
        <w:rPr>
          <w:rStyle w:val="FootnoteReference"/>
          <w:sz w:val="20"/>
          <w:szCs w:val="20"/>
        </w:rPr>
        <w:footnoteRef/>
      </w:r>
      <w:r w:rsidRPr="00D15569">
        <w:rPr>
          <w:sz w:val="20"/>
          <w:szCs w:val="20"/>
        </w:rPr>
        <w:t xml:space="preserve"> </w:t>
      </w:r>
      <w:r w:rsidRPr="009225E4">
        <w:rPr>
          <w:rFonts w:ascii="Times New Roman" w:hAnsi="Times New Roman" w:cs="Times New Roman"/>
          <w:sz w:val="20"/>
          <w:szCs w:val="20"/>
        </w:rPr>
        <w:t xml:space="preserve">See Stephen J </w:t>
      </w:r>
      <w:proofErr w:type="spellStart"/>
      <w:r w:rsidRPr="009225E4">
        <w:rPr>
          <w:rFonts w:ascii="Times New Roman" w:hAnsi="Times New Roman" w:cs="Times New Roman"/>
          <w:i/>
          <w:iCs/>
          <w:sz w:val="20"/>
          <w:szCs w:val="20"/>
        </w:rPr>
        <w:t>Railton</w:t>
      </w:r>
      <w:proofErr w:type="spellEnd"/>
      <w:r w:rsidRPr="009225E4">
        <w:rPr>
          <w:rFonts w:ascii="Times New Roman" w:hAnsi="Times New Roman" w:cs="Times New Roman"/>
          <w:sz w:val="20"/>
          <w:szCs w:val="20"/>
        </w:rPr>
        <w:t xml:space="preserve"> </w:t>
      </w:r>
      <w:r w:rsidRPr="009225E4">
        <w:rPr>
          <w:rFonts w:ascii="Times New Roman" w:hAnsi="Times New Roman" w:cs="Times New Roman"/>
          <w:iCs/>
          <w:sz w:val="20"/>
          <w:szCs w:val="20"/>
        </w:rPr>
        <w:t>above fn.</w:t>
      </w:r>
      <w:r w:rsidRPr="009225E4">
        <w:rPr>
          <w:rFonts w:ascii="Times New Roman" w:hAnsi="Times New Roman" w:cs="Times New Roman"/>
          <w:i/>
          <w:iCs/>
          <w:sz w:val="20"/>
          <w:szCs w:val="20"/>
        </w:rPr>
        <w:t xml:space="preserve"> </w:t>
      </w:r>
      <w:r w:rsidRPr="009225E4">
        <w:rPr>
          <w:rFonts w:ascii="Times New Roman" w:hAnsi="Times New Roman" w:cs="Times New Roman"/>
          <w:iCs/>
          <w:sz w:val="20"/>
          <w:szCs w:val="20"/>
        </w:rPr>
        <w:t xml:space="preserve">2 </w:t>
      </w:r>
      <w:r w:rsidRPr="009225E4">
        <w:rPr>
          <w:rFonts w:ascii="Times New Roman" w:hAnsi="Times New Roman" w:cs="Times New Roman"/>
          <w:sz w:val="20"/>
          <w:szCs w:val="20"/>
        </w:rPr>
        <w:t xml:space="preserve">at 176 and </w:t>
      </w:r>
      <w:proofErr w:type="spellStart"/>
      <w:r w:rsidRPr="009225E4">
        <w:rPr>
          <w:rFonts w:ascii="Times New Roman" w:hAnsi="Times New Roman" w:cs="Times New Roman"/>
          <w:sz w:val="20"/>
          <w:szCs w:val="20"/>
        </w:rPr>
        <w:t>Vinelott</w:t>
      </w:r>
      <w:proofErr w:type="spellEnd"/>
      <w:r w:rsidRPr="009225E4">
        <w:rPr>
          <w:rFonts w:ascii="Times New Roman" w:hAnsi="Times New Roman" w:cs="Times New Roman"/>
          <w:color w:val="000000" w:themeColor="text1"/>
          <w:sz w:val="20"/>
          <w:szCs w:val="20"/>
        </w:rPr>
        <w:t xml:space="preserve"> J </w:t>
      </w:r>
      <w:r w:rsidRPr="009225E4">
        <w:rPr>
          <w:rFonts w:ascii="Times New Roman" w:hAnsi="Times New Roman" w:cs="Times New Roman"/>
          <w:sz w:val="20"/>
          <w:szCs w:val="20"/>
        </w:rPr>
        <w:t xml:space="preserve">in </w:t>
      </w:r>
      <w:r w:rsidRPr="009225E4">
        <w:rPr>
          <w:rFonts w:ascii="Times New Roman" w:eastAsia="Times New Roman" w:hAnsi="Times New Roman" w:cs="Times New Roman"/>
          <w:i/>
          <w:sz w:val="20"/>
          <w:szCs w:val="20"/>
        </w:rPr>
        <w:t>Derby &amp; Co. Ltd. and Others v Weldon and Others</w:t>
      </w:r>
      <w:r w:rsidRPr="009225E4">
        <w:rPr>
          <w:rFonts w:ascii="Times New Roman" w:eastAsia="Times New Roman" w:hAnsi="Times New Roman" w:cs="Times New Roman"/>
          <w:sz w:val="20"/>
          <w:szCs w:val="20"/>
        </w:rPr>
        <w:t xml:space="preserve"> (No. 7) </w:t>
      </w:r>
      <w:r w:rsidRPr="009225E4">
        <w:rPr>
          <w:rFonts w:ascii="Times New Roman" w:hAnsi="Times New Roman" w:cs="Times New Roman"/>
          <w:sz w:val="20"/>
          <w:szCs w:val="20"/>
        </w:rPr>
        <w:t>[1990] 1 WLR 1156 at 1173.</w:t>
      </w:r>
    </w:p>
  </w:footnote>
  <w:footnote w:id="37">
    <w:p w14:paraId="2CA060CD" w14:textId="77777777" w:rsidR="00A63E56" w:rsidRPr="00D15569" w:rsidRDefault="00A63E56" w:rsidP="007B5362">
      <w:pPr>
        <w:pStyle w:val="FootnoteText"/>
      </w:pPr>
      <w:r w:rsidRPr="00D15569">
        <w:rPr>
          <w:rStyle w:val="FootnoteReference"/>
        </w:rPr>
        <w:footnoteRef/>
      </w:r>
      <w:r w:rsidRPr="00D15569">
        <w:t xml:space="preserve"> </w:t>
      </w:r>
      <w:r>
        <w:t xml:space="preserve">C. </w:t>
      </w:r>
      <w:r w:rsidRPr="00D15569">
        <w:t xml:space="preserve">Passmore, </w:t>
      </w:r>
      <w:r w:rsidRPr="002C6E8C">
        <w:rPr>
          <w:iCs/>
        </w:rPr>
        <w:t>above fn.</w:t>
      </w:r>
      <w:r w:rsidRPr="002C6E8C">
        <w:rPr>
          <w:i/>
          <w:iCs/>
        </w:rPr>
        <w:t xml:space="preserve"> </w:t>
      </w:r>
      <w:r>
        <w:rPr>
          <w:iCs/>
        </w:rPr>
        <w:t xml:space="preserve">11 </w:t>
      </w:r>
      <w:r w:rsidRPr="00D15569">
        <w:t xml:space="preserve">at </w:t>
      </w:r>
      <w:r>
        <w:t>[</w:t>
      </w:r>
      <w:r w:rsidRPr="00D15569">
        <w:t>8-063</w:t>
      </w:r>
      <w:r>
        <w:t>]</w:t>
      </w:r>
      <w:r w:rsidRPr="00D15569">
        <w:t>.</w:t>
      </w:r>
    </w:p>
  </w:footnote>
  <w:footnote w:id="38">
    <w:p w14:paraId="1FAE50AC" w14:textId="292B31A9" w:rsidR="00A63E56" w:rsidRPr="00D15569" w:rsidRDefault="00A63E56" w:rsidP="00725620">
      <w:pPr>
        <w:pStyle w:val="FootnoteText"/>
        <w:jc w:val="both"/>
      </w:pPr>
      <w:r w:rsidRPr="00D15569">
        <w:rPr>
          <w:rStyle w:val="FootnoteReference"/>
          <w:lang w:eastAsia="en-GB"/>
        </w:rPr>
        <w:footnoteRef/>
      </w:r>
      <w:r w:rsidRPr="00D15569">
        <w:rPr>
          <w:rStyle w:val="FootnoteReference"/>
          <w:lang w:eastAsia="en-GB"/>
        </w:rPr>
        <w:t xml:space="preserve"> </w:t>
      </w:r>
      <w:proofErr w:type="gramStart"/>
      <w:r w:rsidRPr="00D15569">
        <w:rPr>
          <w:i/>
        </w:rPr>
        <w:t>R (on the application of Morgan Grenfell &amp; Co Ltd) v Special Commissioner of Income</w:t>
      </w:r>
      <w:r>
        <w:t xml:space="preserve"> Tax (</w:t>
      </w:r>
      <w:r w:rsidRPr="002C6E8C">
        <w:rPr>
          <w:i/>
        </w:rPr>
        <w:t>Morgan</w:t>
      </w:r>
      <w:r>
        <w:t>) [2003] 1 AC 563.</w:t>
      </w:r>
      <w:proofErr w:type="gramEnd"/>
    </w:p>
  </w:footnote>
  <w:footnote w:id="39">
    <w:p w14:paraId="7D5992CC" w14:textId="77777777" w:rsidR="00A63E56" w:rsidRPr="00D15569" w:rsidRDefault="00A63E56" w:rsidP="00EE38E1">
      <w:pPr>
        <w:numPr>
          <w:ilvl w:val="12"/>
          <w:numId w:val="0"/>
        </w:numPr>
        <w:jc w:val="both"/>
        <w:rPr>
          <w:rFonts w:ascii="Times New Roman" w:eastAsia="Times New Roman" w:hAnsi="Times New Roman" w:cs="Times New Roman"/>
          <w:sz w:val="20"/>
          <w:szCs w:val="20"/>
        </w:rPr>
      </w:pPr>
      <w:r w:rsidRPr="00D15569">
        <w:rPr>
          <w:rStyle w:val="FootnoteReference"/>
          <w:rFonts w:ascii="Times New Roman" w:eastAsia="Times New Roman" w:hAnsi="Times New Roman" w:cs="Times New Roman"/>
          <w:sz w:val="20"/>
          <w:szCs w:val="20"/>
        </w:rPr>
        <w:footnoteRef/>
      </w:r>
      <w:r w:rsidRPr="00D15569">
        <w:rPr>
          <w:rStyle w:val="FootnoteReference"/>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D15569">
        <w:rPr>
          <w:rFonts w:ascii="Times New Roman" w:eastAsia="Times New Roman" w:hAnsi="Times New Roman" w:cs="Times New Roman"/>
          <w:sz w:val="20"/>
          <w:szCs w:val="20"/>
        </w:rPr>
        <w:t xml:space="preserve">Higgins and </w:t>
      </w:r>
      <w:r>
        <w:rPr>
          <w:rFonts w:ascii="Times New Roman" w:eastAsia="Times New Roman" w:hAnsi="Times New Roman" w:cs="Times New Roman"/>
          <w:sz w:val="20"/>
          <w:szCs w:val="20"/>
        </w:rPr>
        <w:t xml:space="preserve">A. </w:t>
      </w:r>
      <w:r w:rsidRPr="00D15569">
        <w:rPr>
          <w:rFonts w:ascii="Times New Roman" w:eastAsia="Times New Roman" w:hAnsi="Times New Roman" w:cs="Times New Roman"/>
          <w:sz w:val="20"/>
          <w:szCs w:val="20"/>
        </w:rPr>
        <w:t>Zuckerman “Re Prudential Plc [2013] UKSC 1: the Supreme Court leaves to Parliament the issue of</w:t>
      </w:r>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privilege</w:t>
      </w:r>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for tax advice by accountants, what Parliament should do is restrict privilege for tax advice given by lawyers” (2013) C.J.Q. 32(3) 313 at 318.</w:t>
      </w:r>
    </w:p>
  </w:footnote>
  <w:footnote w:id="40">
    <w:p w14:paraId="7061A4C7" w14:textId="77777777" w:rsidR="00A63E56" w:rsidRPr="00D15569" w:rsidRDefault="00A63E56" w:rsidP="00751D8D">
      <w:pPr>
        <w:pStyle w:val="FootnoteText"/>
        <w:jc w:val="both"/>
      </w:pPr>
      <w:r w:rsidRPr="00D15569">
        <w:rPr>
          <w:rStyle w:val="FootnoteReference"/>
        </w:rPr>
        <w:footnoteRef/>
      </w:r>
      <w:r w:rsidRPr="00D15569">
        <w:t xml:space="preserve"> See Sales J in </w:t>
      </w:r>
      <w:r w:rsidRPr="00D15569">
        <w:rPr>
          <w:i/>
        </w:rPr>
        <w:t>R on the application of</w:t>
      </w:r>
      <w:r>
        <w:rPr>
          <w:i/>
        </w:rPr>
        <w:t xml:space="preserve"> </w:t>
      </w:r>
      <w:r w:rsidRPr="00D15569">
        <w:rPr>
          <w:i/>
        </w:rPr>
        <w:t>Ingenious Media Holdings plc</w:t>
      </w:r>
      <w:r w:rsidRPr="00D15569">
        <w:t xml:space="preserve"> [2013] EWHC 3258 (Admin) at [10].  </w:t>
      </w:r>
    </w:p>
    <w:p w14:paraId="6CFB4C1E" w14:textId="77777777" w:rsidR="00A63E56" w:rsidRPr="00D15569" w:rsidRDefault="00A63E56" w:rsidP="00751D8D">
      <w:pPr>
        <w:pStyle w:val="FootnoteText"/>
      </w:pPr>
    </w:p>
  </w:footnote>
  <w:footnote w:id="41">
    <w:p w14:paraId="7FA41567" w14:textId="77777777" w:rsidR="00A63E56" w:rsidRPr="00D15569" w:rsidRDefault="00A63E56" w:rsidP="00292165">
      <w:pPr>
        <w:pStyle w:val="FootnoteText"/>
        <w:jc w:val="both"/>
        <w:rPr>
          <w:i/>
        </w:rPr>
      </w:pPr>
      <w:r w:rsidRPr="00D15569">
        <w:rPr>
          <w:rStyle w:val="FootnoteReference"/>
        </w:rPr>
        <w:footnoteRef/>
      </w:r>
      <w:r w:rsidRPr="00D15569">
        <w:t xml:space="preserve"> See Stanley </w:t>
      </w:r>
      <w:proofErr w:type="spellStart"/>
      <w:r w:rsidRPr="00D15569">
        <w:t>Burnton</w:t>
      </w:r>
      <w:proofErr w:type="spellEnd"/>
      <w:r w:rsidRPr="00D15569">
        <w:t xml:space="preserve"> J in </w:t>
      </w:r>
      <w:r w:rsidRPr="00D15569">
        <w:rPr>
          <w:i/>
        </w:rPr>
        <w:t>R (on the application of Inland Revenue Commissioners) v Crown Court at Kingston</w:t>
      </w:r>
    </w:p>
    <w:p w14:paraId="54D61005" w14:textId="77777777" w:rsidR="00A63E56" w:rsidRPr="00D15569" w:rsidRDefault="00A63E56" w:rsidP="00292165">
      <w:pPr>
        <w:pStyle w:val="FootnoteText"/>
        <w:jc w:val="both"/>
      </w:pPr>
      <w:proofErr w:type="gramStart"/>
      <w:r w:rsidRPr="00D15569">
        <w:t>[2001] EWHC Admin 581 at [2].</w:t>
      </w:r>
      <w:proofErr w:type="gramEnd"/>
      <w:r w:rsidRPr="00D15569">
        <w:t xml:space="preserve"> </w:t>
      </w:r>
    </w:p>
  </w:footnote>
  <w:footnote w:id="42">
    <w:p w14:paraId="3331768B" w14:textId="77777777" w:rsidR="00A63E56" w:rsidRPr="00D15569" w:rsidRDefault="00A63E56" w:rsidP="004A20D4">
      <w:pPr>
        <w:pStyle w:val="FootnoteText"/>
        <w:jc w:val="both"/>
      </w:pPr>
      <w:r w:rsidRPr="00D15569">
        <w:rPr>
          <w:rStyle w:val="FootnoteReference"/>
        </w:rPr>
        <w:footnoteRef/>
      </w:r>
      <w:r w:rsidRPr="00D15569">
        <w:t xml:space="preserve"> HM Treasury Policy paper, Spending review and autumn statement 2015 </w:t>
      </w:r>
      <w:r>
        <w:t xml:space="preserve">Available at </w:t>
      </w:r>
      <w:hyperlink r:id="rId2" w:history="1">
        <w:r w:rsidRPr="00D15569">
          <w:t>www.gov.uk/government/publications/spending-review-and-autumn-statement-2015-documents/spending-review-and-autumn-statement-2015</w:t>
        </w:r>
      </w:hyperlink>
      <w:r>
        <w:t>.</w:t>
      </w:r>
    </w:p>
  </w:footnote>
  <w:footnote w:id="43">
    <w:p w14:paraId="0B9D8D76" w14:textId="77777777" w:rsidR="00A63E56" w:rsidRPr="00D15569" w:rsidRDefault="00A63E56" w:rsidP="008E201D">
      <w:pPr>
        <w:rPr>
          <w:sz w:val="20"/>
          <w:szCs w:val="20"/>
        </w:rPr>
      </w:pPr>
      <w:r w:rsidRPr="00D15569">
        <w:rPr>
          <w:rStyle w:val="FootnoteReference"/>
          <w:rFonts w:ascii="Times New Roman" w:eastAsia="Times New Roman" w:hAnsi="Times New Roman" w:cs="Times New Roman"/>
          <w:sz w:val="20"/>
          <w:szCs w:val="20"/>
        </w:rPr>
        <w:footnoteRef/>
      </w:r>
      <w:r w:rsidRPr="00D15569">
        <w:rPr>
          <w:rStyle w:val="FootnoteReference"/>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 </w:t>
      </w:r>
      <w:proofErr w:type="spellStart"/>
      <w:r w:rsidRPr="00D15569">
        <w:rPr>
          <w:rFonts w:ascii="Times New Roman" w:eastAsia="Times New Roman" w:hAnsi="Times New Roman" w:cs="Times New Roman"/>
          <w:sz w:val="20"/>
          <w:szCs w:val="20"/>
        </w:rPr>
        <w:t>Thanki</w:t>
      </w:r>
      <w:proofErr w:type="spellEnd"/>
      <w:r w:rsidRPr="00D15569">
        <w:rPr>
          <w:rFonts w:ascii="Times New Roman" w:eastAsia="Times New Roman" w:hAnsi="Times New Roman" w:cs="Times New Roman"/>
          <w:sz w:val="20"/>
          <w:szCs w:val="20"/>
        </w:rPr>
        <w:t xml:space="preserve"> et al</w:t>
      </w:r>
      <w:r>
        <w:rPr>
          <w:rFonts w:ascii="Times New Roman" w:eastAsia="Times New Roman" w:hAnsi="Times New Roman" w:cs="Times New Roman"/>
          <w:sz w:val="20"/>
          <w:szCs w:val="20"/>
        </w:rPr>
        <w:t xml:space="preserv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Pr>
          <w:rFonts w:ascii="Times New Roman" w:hAnsi="Times New Roman" w:cs="Times New Roman"/>
          <w:iCs/>
          <w:sz w:val="20"/>
          <w:szCs w:val="20"/>
        </w:rPr>
        <w:t>10</w:t>
      </w:r>
      <w:r w:rsidRPr="00D15569">
        <w:rPr>
          <w:rFonts w:ascii="Times New Roman" w:eastAsia="Times New Roman" w:hAnsi="Times New Roman" w:cs="Times New Roman"/>
          <w:sz w:val="20"/>
          <w:szCs w:val="20"/>
        </w:rPr>
        <w:t xml:space="preserve"> at </w:t>
      </w:r>
      <w:r>
        <w:rPr>
          <w:rFonts w:ascii="Times New Roman" w:eastAsia="Times New Roman" w:hAnsi="Times New Roman" w:cs="Times New Roman"/>
          <w:sz w:val="20"/>
          <w:szCs w:val="20"/>
        </w:rPr>
        <w:t>[</w:t>
      </w:r>
      <w:r w:rsidRPr="00D15569">
        <w:rPr>
          <w:rFonts w:ascii="Times New Roman" w:eastAsia="Times New Roman" w:hAnsi="Times New Roman" w:cs="Times New Roman"/>
          <w:sz w:val="20"/>
          <w:szCs w:val="20"/>
        </w:rPr>
        <w:t>4.50</w:t>
      </w:r>
      <w:r>
        <w:rPr>
          <w:rFonts w:ascii="Times New Roman" w:eastAsia="Times New Roman" w:hAnsi="Times New Roman" w:cs="Times New Roman"/>
          <w:sz w:val="20"/>
          <w:szCs w:val="20"/>
        </w:rPr>
        <w:t>]</w:t>
      </w:r>
      <w:r w:rsidRPr="00D15569">
        <w:rPr>
          <w:rFonts w:ascii="Times New Roman" w:eastAsia="Times New Roman" w:hAnsi="Times New Roman" w:cs="Times New Roman"/>
          <w:sz w:val="20"/>
          <w:szCs w:val="20"/>
        </w:rPr>
        <w:t>.</w:t>
      </w:r>
    </w:p>
  </w:footnote>
  <w:footnote w:id="44">
    <w:p w14:paraId="3648AEFA" w14:textId="136D51D3" w:rsidR="00A63E56" w:rsidRPr="00D15569" w:rsidRDefault="00A63E56" w:rsidP="008E201D">
      <w:pPr>
        <w:numPr>
          <w:ilvl w:val="12"/>
          <w:numId w:val="0"/>
        </w:numPr>
        <w:jc w:val="both"/>
        <w:rPr>
          <w:sz w:val="20"/>
          <w:szCs w:val="20"/>
        </w:rPr>
      </w:pPr>
      <w:r w:rsidRPr="00D15569">
        <w:rPr>
          <w:rStyle w:val="FootnoteReference"/>
          <w:rFonts w:ascii="Times New Roman" w:eastAsia="Times New Roman" w:hAnsi="Times New Roman" w:cs="Times New Roman"/>
          <w:sz w:val="20"/>
          <w:szCs w:val="20"/>
        </w:rPr>
        <w:footnoteRef/>
      </w:r>
      <w:r w:rsidRPr="00D15569">
        <w:rPr>
          <w:sz w:val="20"/>
          <w:szCs w:val="20"/>
        </w:rPr>
        <w:t xml:space="preserve"> </w:t>
      </w:r>
      <w:r w:rsidRPr="00D15569">
        <w:rPr>
          <w:rFonts w:ascii="Times New Roman" w:eastAsia="Times New Roman" w:hAnsi="Times New Roman" w:cs="Times New Roman"/>
          <w:sz w:val="20"/>
          <w:szCs w:val="20"/>
        </w:rPr>
        <w:t xml:space="preserve">Indeed, </w:t>
      </w:r>
      <w:r>
        <w:rPr>
          <w:rFonts w:ascii="Times New Roman" w:eastAsia="Times New Roman" w:hAnsi="Times New Roman" w:cs="Times New Roman"/>
          <w:sz w:val="20"/>
          <w:szCs w:val="20"/>
        </w:rPr>
        <w:t xml:space="preserve">C. </w:t>
      </w:r>
      <w:r w:rsidRPr="00D15569">
        <w:rPr>
          <w:rFonts w:ascii="Times New Roman" w:eastAsia="Times New Roman" w:hAnsi="Times New Roman" w:cs="Times New Roman"/>
          <w:sz w:val="20"/>
          <w:szCs w:val="20"/>
        </w:rPr>
        <w:t xml:space="preserve">Passmore,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Pr>
          <w:rFonts w:ascii="Times New Roman" w:hAnsi="Times New Roman" w:cs="Times New Roman"/>
          <w:iCs/>
          <w:sz w:val="20"/>
          <w:szCs w:val="20"/>
        </w:rPr>
        <w:t xml:space="preserve">11 </w:t>
      </w:r>
      <w:r w:rsidRPr="00D15569">
        <w:rPr>
          <w:rFonts w:ascii="Times New Roman" w:eastAsia="Times New Roman" w:hAnsi="Times New Roman" w:cs="Times New Roman"/>
          <w:sz w:val="20"/>
          <w:szCs w:val="20"/>
        </w:rPr>
        <w:t xml:space="preserve">at </w:t>
      </w:r>
      <w:r>
        <w:rPr>
          <w:rFonts w:ascii="Times New Roman" w:eastAsia="Times New Roman" w:hAnsi="Times New Roman" w:cs="Times New Roman"/>
          <w:sz w:val="20"/>
          <w:szCs w:val="20"/>
        </w:rPr>
        <w:t>[</w:t>
      </w:r>
      <w:r w:rsidRPr="00D15569">
        <w:rPr>
          <w:rFonts w:ascii="Times New Roman" w:eastAsia="Times New Roman" w:hAnsi="Times New Roman" w:cs="Times New Roman"/>
          <w:sz w:val="20"/>
          <w:szCs w:val="20"/>
        </w:rPr>
        <w:t>8-063</w:t>
      </w:r>
      <w:r>
        <w:rPr>
          <w:rFonts w:ascii="Times New Roman" w:eastAsia="Times New Roman" w:hAnsi="Times New Roman" w:cs="Times New Roman"/>
          <w:sz w:val="20"/>
          <w:szCs w:val="20"/>
        </w:rPr>
        <w:t>]</w:t>
      </w:r>
      <w:r w:rsidR="00335DBC">
        <w:rPr>
          <w:rFonts w:ascii="Times New Roman" w:eastAsia="Times New Roman" w:hAnsi="Times New Roman" w:cs="Times New Roman"/>
          <w:sz w:val="20"/>
          <w:szCs w:val="20"/>
        </w:rPr>
        <w:t xml:space="preserve"> suggests that the defendant</w:t>
      </w:r>
      <w:r w:rsidRPr="00D15569">
        <w:rPr>
          <w:rFonts w:ascii="Times New Roman" w:eastAsia="Times New Roman" w:hAnsi="Times New Roman" w:cs="Times New Roman"/>
          <w:sz w:val="20"/>
          <w:szCs w:val="20"/>
        </w:rPr>
        <w:t xml:space="preserve"> in </w:t>
      </w:r>
      <w:r w:rsidRPr="00D15569">
        <w:rPr>
          <w:rFonts w:ascii="Times New Roman" w:eastAsia="Times New Roman" w:hAnsi="Times New Roman" w:cs="Times New Roman"/>
          <w:i/>
          <w:sz w:val="20"/>
          <w:szCs w:val="20"/>
        </w:rPr>
        <w:t>Eustice</w:t>
      </w:r>
      <w:r>
        <w:rPr>
          <w:rFonts w:ascii="Times New Roman" w:eastAsia="Times New Roman" w:hAnsi="Times New Roman" w:cs="Times New Roman"/>
          <w:i/>
          <w:sz w:val="20"/>
          <w:szCs w:val="20"/>
        </w:rPr>
        <w:t xml:space="preserv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Pr>
          <w:rFonts w:ascii="Times New Roman" w:hAnsi="Times New Roman" w:cs="Times New Roman"/>
          <w:iCs/>
          <w:sz w:val="20"/>
          <w:szCs w:val="20"/>
        </w:rPr>
        <w:t>18</w:t>
      </w:r>
      <w:r w:rsidRPr="002C6E8C">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had acted on legal advice given to him in order that he might regulate his conduct in accordance with the law.</w:t>
      </w:r>
      <w:r w:rsidRPr="00D15569">
        <w:rPr>
          <w:rFonts w:ascii="News Gothic MT" w:hAnsi="News Gothic MT" w:cs="Arial"/>
          <w:sz w:val="20"/>
          <w:szCs w:val="20"/>
        </w:rPr>
        <w:t xml:space="preserve"> </w:t>
      </w:r>
    </w:p>
  </w:footnote>
  <w:footnote w:id="45">
    <w:p w14:paraId="1D6D6EC2" w14:textId="77777777" w:rsidR="00A63E56" w:rsidRPr="00D15569" w:rsidRDefault="00A63E56">
      <w:pPr>
        <w:pStyle w:val="FootnoteText"/>
      </w:pPr>
      <w:r w:rsidRPr="000E7331">
        <w:rPr>
          <w:rStyle w:val="FootnoteReference"/>
          <w:sz w:val="16"/>
          <w:szCs w:val="18"/>
        </w:rPr>
        <w:footnoteRef/>
      </w:r>
      <w:r w:rsidRPr="000E7331">
        <w:rPr>
          <w:rStyle w:val="FootnoteReference"/>
          <w:sz w:val="16"/>
          <w:szCs w:val="18"/>
        </w:rPr>
        <w:t xml:space="preserve"> </w:t>
      </w:r>
      <w:r w:rsidRPr="00725620">
        <w:t>R</w:t>
      </w:r>
      <w:r>
        <w:rPr>
          <w:sz w:val="16"/>
          <w:szCs w:val="18"/>
        </w:rPr>
        <w:t xml:space="preserve">. </w:t>
      </w:r>
      <w:r w:rsidRPr="00D15569">
        <w:t xml:space="preserve">Glover, </w:t>
      </w:r>
      <w:r w:rsidRPr="00725620">
        <w:rPr>
          <w:i/>
        </w:rPr>
        <w:t>Murphy on Evidence</w:t>
      </w:r>
      <w:r w:rsidRPr="00D15569">
        <w:t xml:space="preserve"> </w:t>
      </w:r>
      <w:r>
        <w:t>(</w:t>
      </w:r>
      <w:r w:rsidRPr="00D15569">
        <w:t>14th ed</w:t>
      </w:r>
      <w:r>
        <w:t>.</w:t>
      </w:r>
      <w:r w:rsidRPr="00D15569">
        <w:t>, Oxford University Press, Oxford, 2015</w:t>
      </w:r>
      <w:r>
        <w:t>)</w:t>
      </w:r>
      <w:r w:rsidRPr="00D15569">
        <w:t xml:space="preserve"> at [14.14]. </w:t>
      </w:r>
    </w:p>
  </w:footnote>
  <w:footnote w:id="46">
    <w:p w14:paraId="0A3EDC53" w14:textId="77777777" w:rsidR="00A63E56" w:rsidRDefault="00A63E56">
      <w:pPr>
        <w:pStyle w:val="FootnoteText"/>
      </w:pPr>
      <w:r>
        <w:rPr>
          <w:rStyle w:val="FootnoteReference"/>
        </w:rPr>
        <w:footnoteRef/>
      </w:r>
      <w:r>
        <w:t xml:space="preserve"> </w:t>
      </w:r>
      <w:proofErr w:type="gramStart"/>
      <w:r w:rsidRPr="00AC5807">
        <w:rPr>
          <w:i/>
        </w:rPr>
        <w:t>Morgan</w:t>
      </w:r>
      <w:r>
        <w:t xml:space="preserve">  above</w:t>
      </w:r>
      <w:proofErr w:type="gramEnd"/>
      <w:r>
        <w:t xml:space="preserve"> fn.33</w:t>
      </w:r>
      <w:r w:rsidRPr="00CF4B5D">
        <w:t>.</w:t>
      </w:r>
      <w:r>
        <w:t xml:space="preserve"> This may become a moot point if the UK withdraws from the European Convention on Human Rights, see </w:t>
      </w:r>
      <w:r w:rsidRPr="00EA6031">
        <w:t>R.</w:t>
      </w:r>
      <w:r>
        <w:t xml:space="preserve"> </w:t>
      </w:r>
      <w:r w:rsidRPr="00EA6031">
        <w:t>Mitchell “Comparative standards of legal advice privilege for tax advisers and optimal reform proposals for English law” 2015 International Journal of Evidence</w:t>
      </w:r>
      <w:r>
        <w:t xml:space="preserve"> &amp; Proof Vol 19(4), 246, 266</w:t>
      </w:r>
    </w:p>
  </w:footnote>
  <w:footnote w:id="47">
    <w:p w14:paraId="28971972" w14:textId="77777777" w:rsidR="00A63E56" w:rsidRPr="00D15569" w:rsidRDefault="00A63E56" w:rsidP="007E3651">
      <w:pPr>
        <w:numPr>
          <w:ilvl w:val="12"/>
          <w:numId w:val="0"/>
        </w:numPr>
        <w:jc w:val="both"/>
        <w:rPr>
          <w:sz w:val="20"/>
          <w:szCs w:val="20"/>
        </w:rPr>
      </w:pPr>
      <w:r w:rsidRPr="00D15569">
        <w:rPr>
          <w:rStyle w:val="FootnoteReference"/>
          <w:sz w:val="20"/>
          <w:szCs w:val="20"/>
        </w:rPr>
        <w:footnoteRef/>
      </w:r>
      <w:r w:rsidRPr="00D15569">
        <w:rPr>
          <w:sz w:val="20"/>
          <w:szCs w:val="20"/>
        </w:rPr>
        <w:t xml:space="preserve"> See </w:t>
      </w:r>
      <w:r w:rsidRPr="00D15569">
        <w:rPr>
          <w:rFonts w:ascii="Times New Roman" w:eastAsia="Times New Roman" w:hAnsi="Times New Roman" w:cs="Times New Roman"/>
          <w:i/>
          <w:iCs/>
          <w:sz w:val="20"/>
          <w:szCs w:val="20"/>
        </w:rPr>
        <w:t>Michaud v France</w:t>
      </w:r>
      <w:r>
        <w:rPr>
          <w:rFonts w:ascii="Times New Roman" w:eastAsia="Times New Roman" w:hAnsi="Times New Roman" w:cs="Times New Roman"/>
          <w:i/>
          <w:iCs/>
          <w:sz w:val="20"/>
          <w:szCs w:val="20"/>
        </w:rPr>
        <w:t xml:space="preserve"> </w:t>
      </w:r>
      <w:r w:rsidRPr="00D15569">
        <w:rPr>
          <w:rFonts w:ascii="Times New Roman" w:eastAsia="Times New Roman" w:hAnsi="Times New Roman" w:cs="Times New Roman"/>
          <w:sz w:val="20"/>
          <w:szCs w:val="20"/>
        </w:rPr>
        <w:t xml:space="preserve">(2013) (application no 12323/11) at 118. </w:t>
      </w:r>
    </w:p>
  </w:footnote>
  <w:footnote w:id="48">
    <w:p w14:paraId="47B7F438" w14:textId="77777777" w:rsidR="00A63E56" w:rsidRPr="002C6E8C" w:rsidRDefault="00A63E56" w:rsidP="002C6E8C">
      <w:pPr>
        <w:numPr>
          <w:ilvl w:val="12"/>
          <w:numId w:val="0"/>
        </w:numPr>
        <w:jc w:val="both"/>
        <w:rPr>
          <w:rFonts w:ascii="News Gothic MT" w:hAnsi="News Gothic MT" w:cs="Arial"/>
          <w:color w:val="FF0000"/>
          <w:sz w:val="20"/>
          <w:szCs w:val="20"/>
        </w:rPr>
      </w:pPr>
      <w:r w:rsidRPr="00D15569">
        <w:rPr>
          <w:rStyle w:val="FootnoteReference"/>
          <w:sz w:val="20"/>
          <w:szCs w:val="20"/>
        </w:rPr>
        <w:footnoteRef/>
      </w:r>
      <w:r w:rsidRPr="00D15569">
        <w:rPr>
          <w:rFonts w:ascii="Times New Roman" w:eastAsia="Times New Roman" w:hAnsi="Times New Roman" w:cs="Times New Roman"/>
          <w:sz w:val="20"/>
          <w:szCs w:val="20"/>
        </w:rPr>
        <w:t xml:space="preserve"> </w:t>
      </w:r>
      <w:proofErr w:type="spellStart"/>
      <w:proofErr w:type="gramStart"/>
      <w:r w:rsidRPr="00D15569">
        <w:rPr>
          <w:rFonts w:ascii="Times New Roman" w:eastAsia="Times New Roman" w:hAnsi="Times New Roman" w:cs="Times New Roman"/>
          <w:i/>
          <w:sz w:val="20"/>
          <w:szCs w:val="20"/>
        </w:rPr>
        <w:t>Foxley</w:t>
      </w:r>
      <w:proofErr w:type="spellEnd"/>
      <w:r w:rsidRPr="00D15569">
        <w:rPr>
          <w:rFonts w:ascii="Times New Roman" w:eastAsia="Times New Roman" w:hAnsi="Times New Roman" w:cs="Times New Roman"/>
          <w:i/>
          <w:sz w:val="20"/>
          <w:szCs w:val="20"/>
        </w:rPr>
        <w:t xml:space="preserve"> v United Kingdom</w:t>
      </w:r>
      <w:r w:rsidRPr="00D155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roofErr w:type="spellStart"/>
      <w:r w:rsidRPr="002C6E8C">
        <w:rPr>
          <w:rFonts w:ascii="Times New Roman" w:eastAsia="Times New Roman" w:hAnsi="Times New Roman" w:cs="Times New Roman"/>
          <w:i/>
          <w:sz w:val="20"/>
          <w:szCs w:val="20"/>
        </w:rPr>
        <w:t>Foxley</w:t>
      </w:r>
      <w:proofErr w:type="spellEnd"/>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(2000) 8 BHRC 571 at [34].</w:t>
      </w:r>
      <w:proofErr w:type="gramEnd"/>
      <w:r w:rsidRPr="00D15569">
        <w:rPr>
          <w:rFonts w:ascii="Times New Roman" w:eastAsia="Times New Roman" w:hAnsi="Times New Roman" w:cs="Times New Roman"/>
          <w:sz w:val="20"/>
          <w:szCs w:val="20"/>
        </w:rPr>
        <w:t xml:space="preserve"> </w:t>
      </w:r>
    </w:p>
  </w:footnote>
  <w:footnote w:id="49">
    <w:p w14:paraId="7720DEF5" w14:textId="53AAD186" w:rsidR="00A63E56" w:rsidRPr="00F95AD2" w:rsidRDefault="00A63E56">
      <w:pPr>
        <w:pStyle w:val="FootnoteText"/>
      </w:pPr>
      <w:r w:rsidRPr="00725620">
        <w:rPr>
          <w:rStyle w:val="FootnoteReference"/>
        </w:rPr>
        <w:footnoteRef/>
      </w:r>
      <w:r w:rsidRPr="00725620">
        <w:rPr>
          <w:rStyle w:val="FootnoteReference"/>
        </w:rPr>
        <w:t xml:space="preserve"> </w:t>
      </w:r>
      <w:proofErr w:type="gramStart"/>
      <w:r w:rsidRPr="00725620">
        <w:t>s.6(</w:t>
      </w:r>
      <w:proofErr w:type="gramEnd"/>
      <w:r w:rsidRPr="00725620">
        <w:t>3)(a).</w:t>
      </w:r>
      <w:r w:rsidRPr="00F95AD2">
        <w:t xml:space="preserve"> </w:t>
      </w:r>
    </w:p>
  </w:footnote>
  <w:footnote w:id="50">
    <w:p w14:paraId="43165C4F" w14:textId="48BE7F7F" w:rsidR="00A63E56" w:rsidRPr="00F95AD2" w:rsidRDefault="00A63E56" w:rsidP="000C2BB4">
      <w:pPr>
        <w:pStyle w:val="FootnoteText"/>
      </w:pPr>
      <w:r w:rsidRPr="00725620">
        <w:rPr>
          <w:rStyle w:val="FootnoteReference"/>
        </w:rPr>
        <w:footnoteRef/>
      </w:r>
      <w:r w:rsidRPr="00725620">
        <w:rPr>
          <w:rStyle w:val="FootnoteReference"/>
        </w:rPr>
        <w:t xml:space="preserve"> </w:t>
      </w:r>
      <w:proofErr w:type="gramStart"/>
      <w:r w:rsidRPr="00725620">
        <w:t>s.6(</w:t>
      </w:r>
      <w:proofErr w:type="gramEnd"/>
      <w:r w:rsidRPr="00725620">
        <w:t>1).</w:t>
      </w:r>
      <w:r w:rsidRPr="00F95AD2">
        <w:t xml:space="preserve"> </w:t>
      </w:r>
    </w:p>
  </w:footnote>
  <w:footnote w:id="51">
    <w:p w14:paraId="4BE00D8D" w14:textId="7860CEBB" w:rsidR="00A63E56" w:rsidRPr="00D15569" w:rsidRDefault="00A63E56" w:rsidP="00D11F42">
      <w:pPr>
        <w:pStyle w:val="FootnoteText"/>
      </w:pPr>
      <w:r w:rsidRPr="00725620">
        <w:rPr>
          <w:rStyle w:val="FootnoteReference"/>
        </w:rPr>
        <w:footnoteRef/>
      </w:r>
      <w:r w:rsidRPr="00725620">
        <w:rPr>
          <w:rStyle w:val="FootnoteReference"/>
        </w:rPr>
        <w:t xml:space="preserve"> </w:t>
      </w:r>
      <w:proofErr w:type="gramStart"/>
      <w:r w:rsidRPr="00D15569">
        <w:rPr>
          <w:i/>
          <w:iCs/>
        </w:rPr>
        <w:t>Campbell v United Kingdom</w:t>
      </w:r>
      <w:r>
        <w:t xml:space="preserve"> (</w:t>
      </w:r>
      <w:r w:rsidRPr="002C6E8C">
        <w:rPr>
          <w:i/>
        </w:rPr>
        <w:t>Campbell</w:t>
      </w:r>
      <w:r>
        <w:t xml:space="preserve">) </w:t>
      </w:r>
      <w:r w:rsidRPr="00D15569">
        <w:t>(1993) 15 EHRR 137 at [44].</w:t>
      </w:r>
      <w:proofErr w:type="gramEnd"/>
    </w:p>
  </w:footnote>
  <w:footnote w:id="52">
    <w:p w14:paraId="6D74C5AB" w14:textId="77777777" w:rsidR="00A63E56" w:rsidRPr="00D15569" w:rsidRDefault="00A63E56" w:rsidP="0069071D">
      <w:pPr>
        <w:pStyle w:val="FootnoteText"/>
      </w:pPr>
      <w:r w:rsidRPr="00D15569">
        <w:rPr>
          <w:rStyle w:val="FootnoteReference"/>
        </w:rPr>
        <w:footnoteRef/>
      </w:r>
      <w:r w:rsidRPr="00D15569">
        <w:rPr>
          <w:rStyle w:val="FootnoteReference"/>
        </w:rPr>
        <w:t xml:space="preserve"> </w:t>
      </w:r>
      <w:r w:rsidRPr="00D15569">
        <w:t xml:space="preserve">With reference to the decision of the European Court of Human Rights in </w:t>
      </w:r>
      <w:r w:rsidRPr="00D15569">
        <w:rPr>
          <w:i/>
          <w:iCs/>
        </w:rPr>
        <w:t>Campbell v United Kingdom</w:t>
      </w:r>
      <w:r>
        <w:t xml:space="preserve"> </w:t>
      </w:r>
      <w:r w:rsidRPr="00D15569">
        <w:t>(1993) 15 EHRR 137.</w:t>
      </w:r>
    </w:p>
  </w:footnote>
  <w:footnote w:id="53">
    <w:p w14:paraId="33D01D18" w14:textId="77777777" w:rsidR="00A63E56" w:rsidRPr="00D15569" w:rsidRDefault="00A63E56" w:rsidP="0069071D">
      <w:pPr>
        <w:pStyle w:val="FootnoteText"/>
      </w:pPr>
      <w:r w:rsidRPr="00D15569">
        <w:rPr>
          <w:rStyle w:val="FootnoteReference"/>
        </w:rPr>
        <w:footnoteRef/>
      </w:r>
      <w:r w:rsidRPr="00D15569">
        <w:t xml:space="preserve"> See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rsidRPr="002C6E8C">
        <w:rPr>
          <w:iCs/>
        </w:rPr>
        <w:t>above fn.</w:t>
      </w:r>
      <w:r w:rsidRPr="002C6E8C">
        <w:rPr>
          <w:i/>
          <w:iCs/>
        </w:rPr>
        <w:t xml:space="preserve"> </w:t>
      </w:r>
      <w:r w:rsidRPr="002C6E8C">
        <w:rPr>
          <w:iCs/>
        </w:rPr>
        <w:t>1</w:t>
      </w:r>
      <w:r>
        <w:rPr>
          <w:i/>
          <w:iCs/>
        </w:rPr>
        <w:t xml:space="preserve"> </w:t>
      </w:r>
      <w:r w:rsidRPr="00D15569">
        <w:t xml:space="preserve">at [94]. </w:t>
      </w:r>
    </w:p>
  </w:footnote>
  <w:footnote w:id="54">
    <w:p w14:paraId="51F8F1D1" w14:textId="77777777" w:rsidR="00A63E56" w:rsidRPr="00D15569" w:rsidRDefault="00A63E56" w:rsidP="0069071D">
      <w:pPr>
        <w:pStyle w:val="FootnoteText"/>
      </w:pPr>
      <w:r w:rsidRPr="00D15569">
        <w:rPr>
          <w:rStyle w:val="FootnoteReference"/>
        </w:rPr>
        <w:footnoteRef/>
      </w:r>
      <w:r w:rsidRPr="00D15569">
        <w:t xml:space="preserve"> See </w:t>
      </w:r>
      <w:proofErr w:type="spellStart"/>
      <w:r w:rsidRPr="00D15569">
        <w:t>Popplewell</w:t>
      </w:r>
      <w:proofErr w:type="spellEnd"/>
      <w:r w:rsidRPr="00D15569">
        <w:t xml:space="preserve"> J in </w:t>
      </w:r>
      <w:proofErr w:type="spellStart"/>
      <w:r w:rsidRPr="00D15569">
        <w:rPr>
          <w:i/>
        </w:rPr>
        <w:t>Ablyazov</w:t>
      </w:r>
      <w:proofErr w:type="spellEnd"/>
      <w:r w:rsidRPr="00D15569">
        <w:t xml:space="preserve"> </w:t>
      </w:r>
      <w:r w:rsidRPr="002C6E8C">
        <w:rPr>
          <w:iCs/>
        </w:rPr>
        <w:t>above fn.</w:t>
      </w:r>
      <w:r w:rsidRPr="002C6E8C">
        <w:rPr>
          <w:i/>
          <w:iCs/>
        </w:rPr>
        <w:t xml:space="preserve"> </w:t>
      </w:r>
      <w:r w:rsidRPr="002C6E8C">
        <w:rPr>
          <w:iCs/>
        </w:rPr>
        <w:t>1</w:t>
      </w:r>
      <w:r>
        <w:rPr>
          <w:i/>
          <w:iCs/>
        </w:rPr>
        <w:t xml:space="preserve"> </w:t>
      </w:r>
      <w:r w:rsidRPr="00D15569">
        <w:t xml:space="preserve">at [94]-[95]. </w:t>
      </w:r>
    </w:p>
  </w:footnote>
  <w:footnote w:id="55">
    <w:p w14:paraId="5661BF6F" w14:textId="607E6CE7" w:rsidR="00A63E56" w:rsidRPr="00D15569" w:rsidRDefault="00A63E56" w:rsidP="004B03A5">
      <w:pPr>
        <w:pStyle w:val="FootnoteText"/>
      </w:pPr>
      <w:r w:rsidRPr="00D15569">
        <w:rPr>
          <w:rStyle w:val="FootnoteReference"/>
        </w:rPr>
        <w:footnoteRef/>
      </w:r>
      <w:r w:rsidRPr="00D15569">
        <w:rPr>
          <w:rStyle w:val="FootnoteReference"/>
        </w:rPr>
        <w:t xml:space="preserve"> </w:t>
      </w:r>
      <w:r w:rsidRPr="00D15569">
        <w:t xml:space="preserve">See </w:t>
      </w:r>
      <w:proofErr w:type="gramStart"/>
      <w:r w:rsidRPr="00D15569">
        <w:rPr>
          <w:i/>
          <w:iCs/>
        </w:rPr>
        <w:t xml:space="preserve">Campbell </w:t>
      </w:r>
      <w:r>
        <w:rPr>
          <w:i/>
          <w:iCs/>
        </w:rPr>
        <w:t xml:space="preserve"> </w:t>
      </w:r>
      <w:r w:rsidRPr="002C6E8C">
        <w:rPr>
          <w:iCs/>
        </w:rPr>
        <w:t>above</w:t>
      </w:r>
      <w:proofErr w:type="gramEnd"/>
      <w:r w:rsidRPr="002C6E8C">
        <w:rPr>
          <w:iCs/>
        </w:rPr>
        <w:t xml:space="preserve"> fn.</w:t>
      </w:r>
      <w:r w:rsidRPr="002C6E8C">
        <w:rPr>
          <w:i/>
          <w:iCs/>
        </w:rPr>
        <w:t xml:space="preserve"> </w:t>
      </w:r>
      <w:r>
        <w:rPr>
          <w:iCs/>
        </w:rPr>
        <w:t xml:space="preserve">49 </w:t>
      </w:r>
      <w:r w:rsidR="001E06D4">
        <w:t>at [48] and also</w:t>
      </w:r>
      <w:r w:rsidRPr="00D15569">
        <w:t xml:space="preserve"> </w:t>
      </w:r>
      <w:proofErr w:type="spellStart"/>
      <w:r w:rsidRPr="00D15569">
        <w:rPr>
          <w:i/>
        </w:rPr>
        <w:t>Foxley</w:t>
      </w:r>
      <w:proofErr w:type="spellEnd"/>
      <w:r w:rsidRPr="00D15569">
        <w:rPr>
          <w:i/>
        </w:rPr>
        <w:t xml:space="preserve"> </w:t>
      </w:r>
      <w:r w:rsidRPr="002C6E8C">
        <w:rPr>
          <w:iCs/>
        </w:rPr>
        <w:t>above fn.</w:t>
      </w:r>
      <w:r w:rsidRPr="002C6E8C">
        <w:rPr>
          <w:i/>
          <w:iCs/>
        </w:rPr>
        <w:t xml:space="preserve"> </w:t>
      </w:r>
      <w:r>
        <w:rPr>
          <w:iCs/>
        </w:rPr>
        <w:t>46</w:t>
      </w:r>
      <w:r w:rsidRPr="00D15569">
        <w:t xml:space="preserve"> at [44]. </w:t>
      </w:r>
    </w:p>
  </w:footnote>
  <w:footnote w:id="56">
    <w:p w14:paraId="7EF9DD5D" w14:textId="77777777" w:rsidR="00A63E56" w:rsidRPr="00D15569" w:rsidRDefault="00A63E56" w:rsidP="00540934">
      <w:pPr>
        <w:pStyle w:val="NormalWeb"/>
        <w:spacing w:before="0" w:beforeAutospacing="0" w:after="0" w:afterAutospacing="0" w:line="270" w:lineRule="atLeast"/>
        <w:textAlignment w:val="baseline"/>
        <w:rPr>
          <w:sz w:val="20"/>
          <w:szCs w:val="20"/>
        </w:rPr>
      </w:pPr>
      <w:r w:rsidRPr="00D15569">
        <w:rPr>
          <w:rStyle w:val="FootnoteReference"/>
          <w:sz w:val="20"/>
          <w:szCs w:val="20"/>
        </w:rPr>
        <w:footnoteRef/>
      </w:r>
      <w:r w:rsidRPr="00D15569">
        <w:rPr>
          <w:sz w:val="20"/>
          <w:szCs w:val="20"/>
        </w:rPr>
        <w:t xml:space="preserve"> See Potter LJ in </w:t>
      </w:r>
      <w:r w:rsidRPr="00D15569">
        <w:rPr>
          <w:i/>
          <w:sz w:val="20"/>
          <w:szCs w:val="20"/>
        </w:rPr>
        <w:t xml:space="preserve">R v </w:t>
      </w:r>
      <w:proofErr w:type="gramStart"/>
      <w:r w:rsidRPr="00D15569">
        <w:rPr>
          <w:i/>
          <w:sz w:val="20"/>
          <w:szCs w:val="20"/>
        </w:rPr>
        <w:t>Gibbins</w:t>
      </w:r>
      <w:r w:rsidRPr="00D15569">
        <w:rPr>
          <w:sz w:val="20"/>
          <w:szCs w:val="20"/>
        </w:rPr>
        <w:t xml:space="preserve">  [</w:t>
      </w:r>
      <w:proofErr w:type="gramEnd"/>
      <w:r w:rsidRPr="00D15569">
        <w:rPr>
          <w:sz w:val="20"/>
          <w:szCs w:val="20"/>
        </w:rPr>
        <w:t>2004] EWCA Crim 311 at [49].</w:t>
      </w:r>
    </w:p>
  </w:footnote>
  <w:footnote w:id="57">
    <w:p w14:paraId="52AE2308" w14:textId="77777777" w:rsidR="00A63E56" w:rsidRPr="00D15569" w:rsidRDefault="00A63E56" w:rsidP="007B5362">
      <w:pPr>
        <w:pStyle w:val="NormalWeb"/>
        <w:spacing w:before="0" w:beforeAutospacing="0" w:after="0" w:afterAutospacing="0" w:line="270" w:lineRule="atLeast"/>
        <w:textAlignment w:val="baseline"/>
        <w:rPr>
          <w:sz w:val="20"/>
          <w:szCs w:val="20"/>
          <w:lang w:eastAsia="en-US"/>
        </w:rPr>
      </w:pPr>
      <w:r w:rsidRPr="00D15569">
        <w:rPr>
          <w:rStyle w:val="FootnoteReference"/>
          <w:sz w:val="20"/>
          <w:szCs w:val="20"/>
        </w:rPr>
        <w:footnoteRef/>
      </w:r>
      <w:r w:rsidRPr="00D15569">
        <w:rPr>
          <w:sz w:val="20"/>
          <w:szCs w:val="20"/>
        </w:rPr>
        <w:t xml:space="preserve"> </w:t>
      </w:r>
      <w:r w:rsidRPr="00D15569">
        <w:rPr>
          <w:i/>
          <w:iCs/>
          <w:sz w:val="20"/>
          <w:szCs w:val="20"/>
        </w:rPr>
        <w:t xml:space="preserve">See O’Rourke </w:t>
      </w:r>
      <w:r w:rsidRPr="002C6E8C">
        <w:rPr>
          <w:iCs/>
          <w:sz w:val="20"/>
          <w:szCs w:val="20"/>
        </w:rPr>
        <w:t>above fn.</w:t>
      </w:r>
      <w:r w:rsidRPr="002C6E8C">
        <w:rPr>
          <w:i/>
          <w:iCs/>
          <w:sz w:val="20"/>
          <w:szCs w:val="20"/>
        </w:rPr>
        <w:t xml:space="preserve"> </w:t>
      </w:r>
      <w:r>
        <w:rPr>
          <w:iCs/>
          <w:sz w:val="20"/>
          <w:szCs w:val="20"/>
        </w:rPr>
        <w:t xml:space="preserve">9 </w:t>
      </w:r>
      <w:r w:rsidRPr="00D15569">
        <w:rPr>
          <w:sz w:val="20"/>
          <w:szCs w:val="20"/>
        </w:rPr>
        <w:t xml:space="preserve">per Viscount Finlay at 604 and Lord </w:t>
      </w:r>
      <w:proofErr w:type="spellStart"/>
      <w:r w:rsidRPr="00D15569">
        <w:rPr>
          <w:sz w:val="20"/>
          <w:szCs w:val="20"/>
        </w:rPr>
        <w:t>Wrenbury</w:t>
      </w:r>
      <w:proofErr w:type="spellEnd"/>
      <w:r w:rsidRPr="00D15569">
        <w:rPr>
          <w:sz w:val="20"/>
          <w:szCs w:val="20"/>
        </w:rPr>
        <w:t xml:space="preserve"> at 632. </w:t>
      </w:r>
    </w:p>
  </w:footnote>
  <w:footnote w:id="58">
    <w:p w14:paraId="7D82D99F" w14:textId="0D6C6E2F" w:rsidR="00A63E56" w:rsidRPr="00D15569" w:rsidRDefault="00A63E56" w:rsidP="00977B0E">
      <w:pPr>
        <w:pStyle w:val="FootnoteText"/>
        <w:jc w:val="both"/>
        <w:rPr>
          <w:lang w:eastAsia="en-GB"/>
        </w:rPr>
      </w:pPr>
      <w:r w:rsidRPr="00D15569">
        <w:rPr>
          <w:rStyle w:val="FootnoteReference"/>
          <w:lang w:eastAsia="en-GB"/>
        </w:rPr>
        <w:footnoteRef/>
      </w:r>
      <w:r w:rsidRPr="00D15569">
        <w:rPr>
          <w:rStyle w:val="FootnoteReference"/>
          <w:lang w:eastAsia="en-GB"/>
        </w:rPr>
        <w:t xml:space="preserve"> </w:t>
      </w:r>
      <w:proofErr w:type="gramStart"/>
      <w:r w:rsidR="001E06D4">
        <w:rPr>
          <w:lang w:eastAsia="en-GB"/>
        </w:rPr>
        <w:t>F</w:t>
      </w:r>
      <w:r w:rsidRPr="00D15569">
        <w:rPr>
          <w:lang w:eastAsia="en-GB"/>
        </w:rPr>
        <w:t xml:space="preserve">or example, </w:t>
      </w:r>
      <w:r w:rsidRPr="00D15569">
        <w:t xml:space="preserve">Norris J in </w:t>
      </w:r>
      <w:r w:rsidRPr="00D15569">
        <w:rPr>
          <w:i/>
        </w:rPr>
        <w:t xml:space="preserve">BBGP </w:t>
      </w:r>
      <w:r w:rsidRPr="002C6E8C">
        <w:rPr>
          <w:iCs/>
        </w:rPr>
        <w:t>above fn.</w:t>
      </w:r>
      <w:r w:rsidRPr="002C6E8C">
        <w:rPr>
          <w:i/>
          <w:iCs/>
        </w:rPr>
        <w:t xml:space="preserve"> </w:t>
      </w:r>
      <w:r w:rsidR="00B93CD0">
        <w:rPr>
          <w:iCs/>
        </w:rPr>
        <w:t>29</w:t>
      </w:r>
      <w:r>
        <w:rPr>
          <w:iCs/>
        </w:rPr>
        <w:t xml:space="preserve"> </w:t>
      </w:r>
      <w:r w:rsidR="001E06D4">
        <w:t xml:space="preserve">at [68] and </w:t>
      </w:r>
      <w:r w:rsidR="001E06D4">
        <w:rPr>
          <w:lang w:eastAsia="en-GB"/>
        </w:rPr>
        <w:t>also</w:t>
      </w:r>
      <w:r w:rsidRPr="00D15569">
        <w:rPr>
          <w:lang w:eastAsia="en-GB"/>
        </w:rPr>
        <w:t xml:space="preserve"> </w:t>
      </w:r>
      <w:r w:rsidRPr="00D15569">
        <w:rPr>
          <w:i/>
          <w:iCs/>
          <w:lang w:eastAsia="en-GB"/>
        </w:rPr>
        <w:t xml:space="preserve">Kuwait </w:t>
      </w:r>
      <w:r w:rsidRPr="002C6E8C">
        <w:rPr>
          <w:iCs/>
        </w:rPr>
        <w:t>above fn.</w:t>
      </w:r>
      <w:r w:rsidRPr="002C6E8C">
        <w:rPr>
          <w:i/>
          <w:iCs/>
        </w:rPr>
        <w:t xml:space="preserve"> </w:t>
      </w:r>
      <w:r>
        <w:rPr>
          <w:iCs/>
        </w:rPr>
        <w:t xml:space="preserve">8 </w:t>
      </w:r>
      <w:r w:rsidRPr="00D15569">
        <w:rPr>
          <w:lang w:eastAsia="en-GB"/>
        </w:rPr>
        <w:t xml:space="preserve">and </w:t>
      </w:r>
      <w:proofErr w:type="spellStart"/>
      <w:r w:rsidRPr="00D15569">
        <w:rPr>
          <w:i/>
        </w:rPr>
        <w:t>Ablyazov</w:t>
      </w:r>
      <w:proofErr w:type="spellEnd"/>
      <w:r w:rsidRPr="00D15569">
        <w:t xml:space="preserve"> </w:t>
      </w:r>
      <w:r w:rsidRPr="002C6E8C">
        <w:rPr>
          <w:iCs/>
        </w:rPr>
        <w:t>above fn.</w:t>
      </w:r>
      <w:r w:rsidRPr="002C6E8C">
        <w:rPr>
          <w:i/>
          <w:iCs/>
        </w:rPr>
        <w:t xml:space="preserve"> </w:t>
      </w:r>
      <w:r>
        <w:rPr>
          <w:iCs/>
        </w:rPr>
        <w:t>1</w:t>
      </w:r>
      <w:r w:rsidRPr="00D15569">
        <w:t>.</w:t>
      </w:r>
      <w:proofErr w:type="gramEnd"/>
      <w:r w:rsidRPr="00D15569">
        <w:t xml:space="preserve"> </w:t>
      </w:r>
    </w:p>
  </w:footnote>
  <w:footnote w:id="59">
    <w:p w14:paraId="1FE3A24C" w14:textId="7CD871E9" w:rsidR="00A63E56" w:rsidRPr="00D15569" w:rsidRDefault="00A63E56" w:rsidP="00171293">
      <w:pPr>
        <w:pStyle w:val="FootnoteText"/>
        <w:jc w:val="both"/>
      </w:pPr>
      <w:r w:rsidRPr="00D15569">
        <w:rPr>
          <w:rStyle w:val="FootnoteReference"/>
          <w:lang w:eastAsia="en-GB"/>
        </w:rPr>
        <w:footnoteRef/>
      </w:r>
      <w:r w:rsidRPr="00D15569">
        <w:rPr>
          <w:rStyle w:val="FootnoteReference"/>
          <w:lang w:eastAsia="en-GB"/>
        </w:rPr>
        <w:t xml:space="preserve"> </w:t>
      </w:r>
      <w:r w:rsidRPr="00D15569">
        <w:rPr>
          <w:lang w:eastAsia="en-GB"/>
        </w:rPr>
        <w:t xml:space="preserve">See Longmore LJ in </w:t>
      </w:r>
      <w:r w:rsidRPr="00D15569">
        <w:rPr>
          <w:i/>
        </w:rPr>
        <w:t xml:space="preserve">Kuwait </w:t>
      </w:r>
      <w:r w:rsidRPr="002C6E8C">
        <w:rPr>
          <w:iCs/>
        </w:rPr>
        <w:t>above fn.</w:t>
      </w:r>
      <w:r w:rsidRPr="002C6E8C">
        <w:rPr>
          <w:i/>
          <w:iCs/>
        </w:rPr>
        <w:t xml:space="preserve"> </w:t>
      </w:r>
      <w:r>
        <w:rPr>
          <w:iCs/>
        </w:rPr>
        <w:t xml:space="preserve">8 </w:t>
      </w:r>
      <w:r w:rsidR="001E06D4">
        <w:t xml:space="preserve">at [37] and [42] and </w:t>
      </w:r>
      <w:r w:rsidRPr="00D15569">
        <w:t xml:space="preserve">Rose LJ in </w:t>
      </w:r>
      <w:r w:rsidRPr="00D15569">
        <w:rPr>
          <w:i/>
        </w:rPr>
        <w:t xml:space="preserve">R (on the application of Hallinan) and others v Middlesex Guildhall Crown Court and another </w:t>
      </w:r>
      <w:r w:rsidRPr="00D15569">
        <w:t>[2005] 1 WLR 766 at [25].</w:t>
      </w:r>
    </w:p>
  </w:footnote>
  <w:footnote w:id="60">
    <w:p w14:paraId="7AD6090F" w14:textId="77777777" w:rsidR="00A63E56" w:rsidRPr="00D15569" w:rsidRDefault="00A63E56" w:rsidP="00C96B12">
      <w:pPr>
        <w:pStyle w:val="NormalWeb"/>
        <w:spacing w:before="0" w:beforeAutospacing="0" w:after="0" w:afterAutospacing="0" w:line="270" w:lineRule="atLeast"/>
        <w:textAlignment w:val="baseline"/>
        <w:rPr>
          <w:sz w:val="20"/>
          <w:szCs w:val="20"/>
          <w:lang w:eastAsia="en-US"/>
        </w:rPr>
      </w:pPr>
      <w:r w:rsidRPr="00D15569">
        <w:rPr>
          <w:rStyle w:val="FootnoteReference"/>
          <w:sz w:val="20"/>
          <w:szCs w:val="20"/>
        </w:rPr>
        <w:footnoteRef/>
      </w:r>
      <w:r w:rsidRPr="00D15569">
        <w:rPr>
          <w:sz w:val="20"/>
          <w:szCs w:val="20"/>
        </w:rPr>
        <w:t xml:space="preserve"> </w:t>
      </w:r>
      <w:r w:rsidRPr="00D15569">
        <w:rPr>
          <w:i/>
          <w:iCs/>
          <w:sz w:val="20"/>
          <w:szCs w:val="20"/>
        </w:rPr>
        <w:t xml:space="preserve">See: O’Rourke </w:t>
      </w:r>
      <w:r w:rsidRPr="002C6E8C">
        <w:rPr>
          <w:iCs/>
          <w:sz w:val="20"/>
          <w:szCs w:val="20"/>
        </w:rPr>
        <w:t>above fn.</w:t>
      </w:r>
      <w:r w:rsidRPr="002C6E8C">
        <w:rPr>
          <w:i/>
          <w:iCs/>
          <w:sz w:val="20"/>
          <w:szCs w:val="20"/>
        </w:rPr>
        <w:t xml:space="preserve"> </w:t>
      </w:r>
      <w:r>
        <w:rPr>
          <w:iCs/>
          <w:sz w:val="20"/>
          <w:szCs w:val="20"/>
        </w:rPr>
        <w:t xml:space="preserve">9 </w:t>
      </w:r>
      <w:r w:rsidRPr="00D15569">
        <w:rPr>
          <w:iCs/>
          <w:sz w:val="20"/>
          <w:szCs w:val="20"/>
        </w:rPr>
        <w:t>[1920] AC 581</w:t>
      </w:r>
      <w:r w:rsidRPr="00D15569">
        <w:rPr>
          <w:sz w:val="20"/>
          <w:szCs w:val="20"/>
        </w:rPr>
        <w:t xml:space="preserve"> per </w:t>
      </w:r>
      <w:r w:rsidRPr="00D15569">
        <w:rPr>
          <w:sz w:val="20"/>
          <w:szCs w:val="20"/>
          <w:lang w:eastAsia="en-US"/>
        </w:rPr>
        <w:t>Lord Sumner at 614.</w:t>
      </w:r>
    </w:p>
  </w:footnote>
  <w:footnote w:id="61">
    <w:p w14:paraId="00268149" w14:textId="77777777" w:rsidR="00A63E56" w:rsidRPr="00D15569" w:rsidRDefault="00A63E56" w:rsidP="00874192">
      <w:pPr>
        <w:pStyle w:val="NormalWeb"/>
        <w:spacing w:before="0" w:beforeAutospacing="0" w:after="0" w:afterAutospacing="0" w:line="270" w:lineRule="atLeast"/>
        <w:textAlignment w:val="baseline"/>
        <w:rPr>
          <w:sz w:val="20"/>
          <w:szCs w:val="20"/>
          <w:lang w:eastAsia="en-US"/>
        </w:rPr>
      </w:pPr>
      <w:r w:rsidRPr="00D15569">
        <w:rPr>
          <w:rStyle w:val="FootnoteReference"/>
          <w:sz w:val="20"/>
          <w:szCs w:val="20"/>
        </w:rPr>
        <w:footnoteRef/>
      </w:r>
      <w:r w:rsidRPr="00D15569">
        <w:rPr>
          <w:sz w:val="20"/>
          <w:szCs w:val="20"/>
        </w:rPr>
        <w:t xml:space="preserve"> </w:t>
      </w:r>
      <w:r w:rsidRPr="00D15569">
        <w:rPr>
          <w:i/>
          <w:iCs/>
          <w:sz w:val="20"/>
          <w:szCs w:val="20"/>
        </w:rPr>
        <w:t xml:space="preserve">See: O’Rourke </w:t>
      </w:r>
      <w:r w:rsidRPr="002C6E8C">
        <w:rPr>
          <w:iCs/>
          <w:sz w:val="20"/>
          <w:szCs w:val="20"/>
        </w:rPr>
        <w:t>above fn.</w:t>
      </w:r>
      <w:r w:rsidRPr="002C6E8C">
        <w:rPr>
          <w:i/>
          <w:iCs/>
          <w:sz w:val="20"/>
          <w:szCs w:val="20"/>
        </w:rPr>
        <w:t xml:space="preserve"> </w:t>
      </w:r>
      <w:r>
        <w:rPr>
          <w:iCs/>
          <w:sz w:val="20"/>
          <w:szCs w:val="20"/>
        </w:rPr>
        <w:t xml:space="preserve">9 </w:t>
      </w:r>
      <w:r w:rsidRPr="00D15569">
        <w:rPr>
          <w:iCs/>
          <w:sz w:val="20"/>
          <w:szCs w:val="20"/>
        </w:rPr>
        <w:t>[1920] AC 581</w:t>
      </w:r>
      <w:r w:rsidRPr="00D15569">
        <w:rPr>
          <w:sz w:val="20"/>
          <w:szCs w:val="20"/>
        </w:rPr>
        <w:t xml:space="preserve"> per </w:t>
      </w:r>
      <w:r w:rsidRPr="00D15569">
        <w:rPr>
          <w:sz w:val="20"/>
          <w:szCs w:val="20"/>
          <w:lang w:eastAsia="en-US"/>
        </w:rPr>
        <w:t>Lord Sumner at 614.</w:t>
      </w:r>
    </w:p>
  </w:footnote>
  <w:footnote w:id="62">
    <w:p w14:paraId="603A724F" w14:textId="77777777" w:rsidR="00A63E56" w:rsidRPr="00D15569" w:rsidRDefault="00A63E56" w:rsidP="004655A2">
      <w:pPr>
        <w:pStyle w:val="FootnoteText"/>
        <w:jc w:val="both"/>
      </w:pPr>
      <w:r w:rsidRPr="00D15569">
        <w:rPr>
          <w:rStyle w:val="FootnoteReference"/>
        </w:rPr>
        <w:footnoteRef/>
      </w:r>
      <w:r w:rsidRPr="00D15569">
        <w:t xml:space="preserve"> See Mr S Monty QC in </w:t>
      </w:r>
      <w:r w:rsidRPr="00D15569">
        <w:rPr>
          <w:i/>
        </w:rPr>
        <w:t>Brent LBC v Estate of Owen Kane, Deceased</w:t>
      </w:r>
      <w:r w:rsidRPr="00D15569">
        <w:rPr>
          <w:rFonts w:ascii="News Gothic MT" w:hAnsi="News Gothic MT" w:cs="Arial"/>
          <w:color w:val="FF0000"/>
        </w:rPr>
        <w:t xml:space="preserve"> </w:t>
      </w:r>
      <w:r w:rsidRPr="00D15569">
        <w:t>[2014] EWHC 4564 (</w:t>
      </w:r>
      <w:proofErr w:type="spellStart"/>
      <w:r w:rsidRPr="00D15569">
        <w:t>Ch</w:t>
      </w:r>
      <w:proofErr w:type="spellEnd"/>
      <w:r w:rsidRPr="00D15569">
        <w:t xml:space="preserve">) at [50]. </w:t>
      </w:r>
    </w:p>
  </w:footnote>
  <w:footnote w:id="63">
    <w:p w14:paraId="3D4021A9" w14:textId="77777777" w:rsidR="00A63E56" w:rsidRPr="00D15569" w:rsidRDefault="00A63E56" w:rsidP="003F19E8">
      <w:pPr>
        <w:pStyle w:val="NormalWeb"/>
        <w:spacing w:before="0" w:beforeAutospacing="0" w:after="0" w:afterAutospacing="0" w:line="270" w:lineRule="atLeast"/>
        <w:textAlignment w:val="baseline"/>
        <w:rPr>
          <w:sz w:val="20"/>
          <w:szCs w:val="20"/>
        </w:rPr>
      </w:pPr>
      <w:r w:rsidRPr="00D15569">
        <w:rPr>
          <w:rStyle w:val="FootnoteReference"/>
          <w:sz w:val="20"/>
          <w:szCs w:val="20"/>
        </w:rPr>
        <w:footnoteRef/>
      </w:r>
      <w:r w:rsidRPr="00D15569">
        <w:rPr>
          <w:rStyle w:val="FootnoteReference"/>
          <w:sz w:val="20"/>
          <w:szCs w:val="20"/>
        </w:rPr>
        <w:t xml:space="preserve"> </w:t>
      </w:r>
      <w:r w:rsidRPr="00D15569">
        <w:rPr>
          <w:sz w:val="20"/>
          <w:szCs w:val="20"/>
        </w:rPr>
        <w:t xml:space="preserve">See </w:t>
      </w:r>
      <w:proofErr w:type="spellStart"/>
      <w:r w:rsidRPr="00D15569">
        <w:rPr>
          <w:i/>
          <w:iCs/>
          <w:sz w:val="20"/>
          <w:szCs w:val="20"/>
        </w:rPr>
        <w:t>Railton</w:t>
      </w:r>
      <w:proofErr w:type="spellEnd"/>
      <w:r w:rsidRPr="00D15569">
        <w:rPr>
          <w:sz w:val="20"/>
          <w:szCs w:val="20"/>
        </w:rPr>
        <w:t xml:space="preserve"> </w:t>
      </w:r>
      <w:r w:rsidRPr="002C6E8C">
        <w:rPr>
          <w:iCs/>
          <w:sz w:val="20"/>
          <w:szCs w:val="20"/>
        </w:rPr>
        <w:t>above fn.</w:t>
      </w:r>
      <w:r w:rsidRPr="002C6E8C">
        <w:rPr>
          <w:i/>
          <w:iCs/>
          <w:sz w:val="20"/>
          <w:szCs w:val="20"/>
        </w:rPr>
        <w:t xml:space="preserve"> </w:t>
      </w:r>
      <w:r>
        <w:rPr>
          <w:iCs/>
          <w:sz w:val="20"/>
          <w:szCs w:val="20"/>
        </w:rPr>
        <w:t xml:space="preserve">2 </w:t>
      </w:r>
      <w:r w:rsidRPr="00D15569">
        <w:rPr>
          <w:sz w:val="20"/>
          <w:szCs w:val="20"/>
        </w:rPr>
        <w:t xml:space="preserve">per Stephen J at 176; </w:t>
      </w:r>
      <w:r w:rsidRPr="00D15569">
        <w:rPr>
          <w:i/>
          <w:sz w:val="20"/>
          <w:szCs w:val="20"/>
        </w:rPr>
        <w:t>R v Governor of Pentonville Prison</w:t>
      </w:r>
      <w:r w:rsidRPr="00D15569">
        <w:rPr>
          <w:sz w:val="20"/>
          <w:szCs w:val="20"/>
        </w:rPr>
        <w:t xml:space="preserve"> ex parte Osman </w:t>
      </w:r>
      <w:r>
        <w:rPr>
          <w:sz w:val="20"/>
          <w:szCs w:val="20"/>
        </w:rPr>
        <w:t>(</w:t>
      </w:r>
      <w:r w:rsidRPr="00500F8B">
        <w:rPr>
          <w:i/>
          <w:sz w:val="20"/>
          <w:szCs w:val="20"/>
        </w:rPr>
        <w:t>Pentonville</w:t>
      </w:r>
      <w:r>
        <w:rPr>
          <w:sz w:val="20"/>
          <w:szCs w:val="20"/>
        </w:rPr>
        <w:t xml:space="preserve">) </w:t>
      </w:r>
      <w:r w:rsidRPr="00D15569">
        <w:rPr>
          <w:sz w:val="20"/>
          <w:szCs w:val="20"/>
        </w:rPr>
        <w:t xml:space="preserve">(1990) 90 Cr App R. 281; </w:t>
      </w:r>
      <w:r w:rsidRPr="00500F8B">
        <w:rPr>
          <w:i/>
          <w:sz w:val="20"/>
          <w:szCs w:val="20"/>
        </w:rPr>
        <w:t>Gibbins</w:t>
      </w:r>
      <w:r>
        <w:rPr>
          <w:sz w:val="20"/>
          <w:szCs w:val="20"/>
        </w:rPr>
        <w:t xml:space="preserve"> </w:t>
      </w:r>
      <w:r w:rsidRPr="002C6E8C">
        <w:rPr>
          <w:iCs/>
          <w:sz w:val="20"/>
          <w:szCs w:val="20"/>
        </w:rPr>
        <w:t>above fn.</w:t>
      </w:r>
      <w:r w:rsidRPr="002C6E8C">
        <w:rPr>
          <w:i/>
          <w:iCs/>
          <w:sz w:val="20"/>
          <w:szCs w:val="20"/>
        </w:rPr>
        <w:t xml:space="preserve"> </w:t>
      </w:r>
      <w:r>
        <w:rPr>
          <w:iCs/>
          <w:sz w:val="20"/>
          <w:szCs w:val="20"/>
        </w:rPr>
        <w:t>51</w:t>
      </w:r>
      <w:r w:rsidRPr="00D15569">
        <w:rPr>
          <w:sz w:val="20"/>
          <w:szCs w:val="20"/>
        </w:rPr>
        <w:t>.</w:t>
      </w:r>
    </w:p>
  </w:footnote>
  <w:footnote w:id="64">
    <w:p w14:paraId="605813E7" w14:textId="4B6F5602" w:rsidR="00A63E56" w:rsidRPr="00D15569" w:rsidRDefault="00A63E56" w:rsidP="00412D5B">
      <w:pPr>
        <w:pStyle w:val="NormalWeb"/>
        <w:spacing w:before="0" w:beforeAutospacing="0" w:after="0" w:afterAutospacing="0" w:line="270" w:lineRule="atLeast"/>
        <w:textAlignment w:val="baseline"/>
        <w:rPr>
          <w:sz w:val="20"/>
          <w:szCs w:val="20"/>
        </w:rPr>
      </w:pPr>
      <w:r w:rsidRPr="00D15569">
        <w:rPr>
          <w:rStyle w:val="FootnoteReference"/>
          <w:sz w:val="20"/>
          <w:szCs w:val="20"/>
        </w:rPr>
        <w:footnoteRef/>
      </w:r>
      <w:r w:rsidRPr="00D15569">
        <w:rPr>
          <w:rStyle w:val="FootnoteReference"/>
          <w:sz w:val="20"/>
          <w:szCs w:val="20"/>
        </w:rPr>
        <w:t xml:space="preserve"> </w:t>
      </w:r>
      <w:r w:rsidRPr="00D15569">
        <w:rPr>
          <w:sz w:val="20"/>
          <w:szCs w:val="20"/>
        </w:rPr>
        <w:t xml:space="preserve">See </w:t>
      </w:r>
      <w:r w:rsidRPr="00D15569">
        <w:rPr>
          <w:i/>
          <w:sz w:val="20"/>
          <w:szCs w:val="20"/>
        </w:rPr>
        <w:t xml:space="preserve">Pentonville </w:t>
      </w:r>
      <w:r w:rsidRPr="002C6E8C">
        <w:rPr>
          <w:iCs/>
          <w:sz w:val="20"/>
          <w:szCs w:val="20"/>
        </w:rPr>
        <w:t>above fn.</w:t>
      </w:r>
      <w:r w:rsidRPr="002C6E8C">
        <w:rPr>
          <w:i/>
          <w:iCs/>
          <w:sz w:val="20"/>
          <w:szCs w:val="20"/>
        </w:rPr>
        <w:t xml:space="preserve"> </w:t>
      </w:r>
      <w:r w:rsidR="00B93CD0">
        <w:rPr>
          <w:iCs/>
          <w:sz w:val="20"/>
          <w:szCs w:val="20"/>
        </w:rPr>
        <w:t>61</w:t>
      </w:r>
      <w:r>
        <w:rPr>
          <w:iCs/>
          <w:sz w:val="20"/>
          <w:szCs w:val="20"/>
        </w:rPr>
        <w:t xml:space="preserve"> </w:t>
      </w:r>
      <w:r w:rsidRPr="00D15569">
        <w:rPr>
          <w:sz w:val="20"/>
          <w:szCs w:val="20"/>
        </w:rPr>
        <w:t>at 311.</w:t>
      </w:r>
    </w:p>
  </w:footnote>
  <w:footnote w:id="65">
    <w:p w14:paraId="2E007802" w14:textId="505433A8" w:rsidR="00A63E56" w:rsidRPr="00D15569" w:rsidRDefault="00A63E56" w:rsidP="00056D94">
      <w:pPr>
        <w:pStyle w:val="NormalWeb"/>
        <w:spacing w:before="0" w:beforeAutospacing="0" w:after="0" w:afterAutospacing="0" w:line="270" w:lineRule="atLeast"/>
        <w:textAlignment w:val="baseline"/>
        <w:rPr>
          <w:sz w:val="20"/>
          <w:szCs w:val="20"/>
        </w:rPr>
      </w:pPr>
      <w:r w:rsidRPr="00D15569">
        <w:rPr>
          <w:rStyle w:val="FootnoteReference"/>
          <w:sz w:val="20"/>
          <w:szCs w:val="20"/>
        </w:rPr>
        <w:footnoteRef/>
      </w:r>
      <w:r w:rsidRPr="00D15569">
        <w:rPr>
          <w:sz w:val="20"/>
          <w:szCs w:val="20"/>
        </w:rPr>
        <w:t xml:space="preserve"> </w:t>
      </w:r>
      <w:proofErr w:type="gramStart"/>
      <w:r w:rsidRPr="00D15569">
        <w:rPr>
          <w:i/>
          <w:sz w:val="20"/>
          <w:szCs w:val="20"/>
        </w:rPr>
        <w:t>Gibbins</w:t>
      </w:r>
      <w:r w:rsidRPr="00D15569">
        <w:rPr>
          <w:sz w:val="20"/>
          <w:szCs w:val="20"/>
        </w:rPr>
        <w:t xml:space="preserve">  </w:t>
      </w:r>
      <w:r w:rsidRPr="002C6E8C">
        <w:rPr>
          <w:iCs/>
          <w:sz w:val="20"/>
          <w:szCs w:val="20"/>
        </w:rPr>
        <w:t>above</w:t>
      </w:r>
      <w:proofErr w:type="gramEnd"/>
      <w:r w:rsidRPr="002C6E8C">
        <w:rPr>
          <w:iCs/>
          <w:sz w:val="20"/>
          <w:szCs w:val="20"/>
        </w:rPr>
        <w:t xml:space="preserve"> fn.</w:t>
      </w:r>
      <w:r w:rsidRPr="002C6E8C">
        <w:rPr>
          <w:i/>
          <w:iCs/>
          <w:sz w:val="20"/>
          <w:szCs w:val="20"/>
        </w:rPr>
        <w:t xml:space="preserve"> </w:t>
      </w:r>
      <w:r w:rsidR="00B93CD0">
        <w:rPr>
          <w:iCs/>
          <w:sz w:val="20"/>
          <w:szCs w:val="20"/>
        </w:rPr>
        <w:t>54</w:t>
      </w:r>
      <w:r w:rsidRPr="00D15569">
        <w:rPr>
          <w:sz w:val="20"/>
          <w:szCs w:val="20"/>
        </w:rPr>
        <w:t xml:space="preserve"> per  </w:t>
      </w:r>
      <w:r>
        <w:rPr>
          <w:sz w:val="20"/>
          <w:szCs w:val="20"/>
        </w:rPr>
        <w:t xml:space="preserve">Potter LJ </w:t>
      </w:r>
      <w:r w:rsidRPr="00D15569">
        <w:rPr>
          <w:sz w:val="20"/>
          <w:szCs w:val="20"/>
        </w:rPr>
        <w:t>at [43].</w:t>
      </w:r>
    </w:p>
  </w:footnote>
  <w:footnote w:id="66">
    <w:p w14:paraId="6308BE90" w14:textId="77777777" w:rsidR="00A63E56" w:rsidRPr="00D15569" w:rsidRDefault="00A63E56">
      <w:pPr>
        <w:pStyle w:val="FootnoteText"/>
      </w:pPr>
      <w:r w:rsidRPr="00D15569">
        <w:rPr>
          <w:rStyle w:val="FootnoteReference"/>
          <w:lang w:eastAsia="en-GB"/>
        </w:rPr>
        <w:footnoteRef/>
      </w:r>
      <w:r w:rsidRPr="00D15569">
        <w:t xml:space="preserve"> </w:t>
      </w:r>
      <w:proofErr w:type="gramStart"/>
      <w:r w:rsidRPr="00D15569">
        <w:t xml:space="preserve">Munby J in </w:t>
      </w:r>
      <w:r w:rsidRPr="00D15569">
        <w:rPr>
          <w:i/>
        </w:rPr>
        <w:t xml:space="preserve">C </w:t>
      </w:r>
      <w:r w:rsidRPr="002C6E8C">
        <w:rPr>
          <w:iCs/>
        </w:rPr>
        <w:t>above fn.</w:t>
      </w:r>
      <w:r w:rsidRPr="002C6E8C">
        <w:rPr>
          <w:i/>
          <w:iCs/>
        </w:rPr>
        <w:t xml:space="preserve"> </w:t>
      </w:r>
      <w:r>
        <w:rPr>
          <w:iCs/>
        </w:rPr>
        <w:t xml:space="preserve">3 </w:t>
      </w:r>
      <w:r w:rsidRPr="00D15569">
        <w:t>at [67].</w:t>
      </w:r>
      <w:proofErr w:type="gramEnd"/>
      <w:r w:rsidRPr="00D15569">
        <w:t xml:space="preserve"> </w:t>
      </w:r>
    </w:p>
  </w:footnote>
  <w:footnote w:id="67">
    <w:p w14:paraId="61839259" w14:textId="09FA6ACD" w:rsidR="00A63E56" w:rsidRPr="00D15569" w:rsidRDefault="00A63E56" w:rsidP="0034679B">
      <w:pPr>
        <w:pStyle w:val="FootnoteText"/>
        <w:jc w:val="both"/>
      </w:pPr>
      <w:r w:rsidRPr="00D15569">
        <w:rPr>
          <w:rStyle w:val="FootnoteReference"/>
          <w:lang w:eastAsia="en-GB"/>
        </w:rPr>
        <w:footnoteRef/>
      </w:r>
      <w:r w:rsidRPr="00D15569">
        <w:rPr>
          <w:rStyle w:val="FootnoteReference"/>
          <w:lang w:eastAsia="en-GB"/>
        </w:rPr>
        <w:t xml:space="preserve"> </w:t>
      </w:r>
      <w:proofErr w:type="gramStart"/>
      <w:r w:rsidR="001E06D4">
        <w:rPr>
          <w:lang w:eastAsia="en-GB"/>
        </w:rPr>
        <w:t>F</w:t>
      </w:r>
      <w:r w:rsidRPr="00D15569">
        <w:rPr>
          <w:lang w:eastAsia="en-GB"/>
        </w:rPr>
        <w:t xml:space="preserve">or example, </w:t>
      </w:r>
      <w:r w:rsidRPr="00D15569">
        <w:t xml:space="preserve">Norris J in </w:t>
      </w:r>
      <w:r w:rsidRPr="00D15569">
        <w:rPr>
          <w:i/>
        </w:rPr>
        <w:t xml:space="preserve">BBGP </w:t>
      </w:r>
      <w:r w:rsidRPr="002C6E8C">
        <w:rPr>
          <w:iCs/>
        </w:rPr>
        <w:t>above fn.</w:t>
      </w:r>
      <w:r w:rsidRPr="002C6E8C">
        <w:rPr>
          <w:i/>
          <w:iCs/>
        </w:rPr>
        <w:t xml:space="preserve"> </w:t>
      </w:r>
      <w:r w:rsidR="00B93CD0">
        <w:rPr>
          <w:iCs/>
        </w:rPr>
        <w:t>29</w:t>
      </w:r>
      <w:r>
        <w:rPr>
          <w:iCs/>
        </w:rPr>
        <w:t xml:space="preserve"> </w:t>
      </w:r>
      <w:r w:rsidRPr="00D15569">
        <w:t>at [72].</w:t>
      </w:r>
      <w:proofErr w:type="gramEnd"/>
      <w:r w:rsidRPr="00D15569">
        <w:t xml:space="preserve"> </w:t>
      </w:r>
    </w:p>
  </w:footnote>
  <w:footnote w:id="68">
    <w:p w14:paraId="0475BE5C" w14:textId="01854A5E" w:rsidR="00DF0965" w:rsidRDefault="00DF0965">
      <w:pPr>
        <w:pStyle w:val="FootnoteText"/>
      </w:pPr>
      <w:r>
        <w:rPr>
          <w:rStyle w:val="FootnoteReference"/>
        </w:rPr>
        <w:footnoteRef/>
      </w:r>
      <w:r>
        <w:t xml:space="preserve"> National </w:t>
      </w:r>
      <w:proofErr w:type="spellStart"/>
      <w:r>
        <w:t>Westmister</w:t>
      </w:r>
      <w:proofErr w:type="spellEnd"/>
      <w:r>
        <w:t xml:space="preserve"> Bank plc v Rabobank Nederland [2006] EWHC  2332 (</w:t>
      </w:r>
      <w:proofErr w:type="spellStart"/>
      <w:r>
        <w:t>Comm</w:t>
      </w:r>
      <w:proofErr w:type="spellEnd"/>
      <w:r>
        <w:t>) per Simon J at [53] – [60]</w:t>
      </w:r>
    </w:p>
  </w:footnote>
  <w:footnote w:id="69">
    <w:p w14:paraId="0F9239BA" w14:textId="77777777" w:rsidR="00A63E56" w:rsidRPr="00D15569" w:rsidRDefault="00A63E56" w:rsidP="00276BB5">
      <w:pPr>
        <w:pStyle w:val="FootnoteText"/>
      </w:pPr>
      <w:r w:rsidRPr="00D15569">
        <w:rPr>
          <w:rStyle w:val="FootnoteReference"/>
          <w:lang w:eastAsia="en-GB"/>
        </w:rPr>
        <w:footnoteRef/>
      </w:r>
      <w:r w:rsidRPr="00D15569">
        <w:t xml:space="preserve"> </w:t>
      </w:r>
      <w:proofErr w:type="gramStart"/>
      <w:r w:rsidRPr="00D15569">
        <w:t xml:space="preserve">Munby J in </w:t>
      </w:r>
      <w:r w:rsidRPr="00D15569">
        <w:rPr>
          <w:i/>
        </w:rPr>
        <w:t xml:space="preserve">C </w:t>
      </w:r>
      <w:r w:rsidRPr="002C6E8C">
        <w:rPr>
          <w:iCs/>
        </w:rPr>
        <w:t>above fn.</w:t>
      </w:r>
      <w:r w:rsidRPr="002C6E8C">
        <w:rPr>
          <w:i/>
          <w:iCs/>
        </w:rPr>
        <w:t xml:space="preserve"> </w:t>
      </w:r>
      <w:r>
        <w:rPr>
          <w:iCs/>
        </w:rPr>
        <w:t xml:space="preserve">3 </w:t>
      </w:r>
      <w:r w:rsidRPr="00D15569">
        <w:t>at [72].</w:t>
      </w:r>
      <w:proofErr w:type="gramEnd"/>
      <w:r w:rsidRPr="00D15569">
        <w:t xml:space="preserve"> </w:t>
      </w:r>
    </w:p>
  </w:footnote>
  <w:footnote w:id="70">
    <w:p w14:paraId="77BD3C6E" w14:textId="608F8934" w:rsidR="00A63E56" w:rsidRPr="00D15569" w:rsidRDefault="00A63E56" w:rsidP="00EA1D41">
      <w:pPr>
        <w:pStyle w:val="FootnoteText"/>
        <w:jc w:val="both"/>
        <w:rPr>
          <w:i/>
          <w:iCs/>
        </w:rPr>
      </w:pPr>
      <w:r w:rsidRPr="00D15569">
        <w:rPr>
          <w:rStyle w:val="FootnoteReference"/>
          <w:lang w:eastAsia="en-GB"/>
        </w:rPr>
        <w:footnoteRef/>
      </w:r>
      <w:r w:rsidRPr="00D15569">
        <w:rPr>
          <w:rStyle w:val="FootnoteReference"/>
          <w:lang w:eastAsia="en-GB"/>
        </w:rPr>
        <w:t xml:space="preserve"> </w:t>
      </w:r>
      <w:r w:rsidRPr="00D15569">
        <w:rPr>
          <w:iCs/>
        </w:rPr>
        <w:t>See Norris J in</w:t>
      </w:r>
      <w:r w:rsidRPr="00D15569">
        <w:rPr>
          <w:i/>
          <w:iCs/>
        </w:rPr>
        <w:t xml:space="preserve"> BBGP </w:t>
      </w:r>
      <w:r w:rsidRPr="002C6E8C">
        <w:rPr>
          <w:iCs/>
        </w:rPr>
        <w:t>above fn.</w:t>
      </w:r>
      <w:r w:rsidRPr="002C6E8C">
        <w:rPr>
          <w:i/>
          <w:iCs/>
        </w:rPr>
        <w:t xml:space="preserve"> </w:t>
      </w:r>
      <w:r w:rsidR="00B93CD0">
        <w:rPr>
          <w:iCs/>
        </w:rPr>
        <w:t>29</w:t>
      </w:r>
      <w:r>
        <w:rPr>
          <w:iCs/>
        </w:rPr>
        <w:t xml:space="preserve"> </w:t>
      </w:r>
      <w:r w:rsidRPr="00D15569">
        <w:rPr>
          <w:iCs/>
        </w:rPr>
        <w:t>at [71]-[72].</w:t>
      </w:r>
    </w:p>
  </w:footnote>
  <w:footnote w:id="71">
    <w:p w14:paraId="31C43A14" w14:textId="77777777" w:rsidR="00A63E56" w:rsidRPr="00D15569" w:rsidRDefault="00A63E56" w:rsidP="00BA22DF">
      <w:pPr>
        <w:numPr>
          <w:ilvl w:val="12"/>
          <w:numId w:val="0"/>
        </w:numPr>
        <w:jc w:val="both"/>
        <w:rPr>
          <w:sz w:val="20"/>
          <w:szCs w:val="20"/>
        </w:rPr>
      </w:pPr>
      <w:r w:rsidRPr="00D15569">
        <w:rPr>
          <w:rStyle w:val="FootnoteReference"/>
          <w:rFonts w:ascii="Times New Roman" w:eastAsia="Times New Roman" w:hAnsi="Times New Roman" w:cs="Times New Roman"/>
          <w:sz w:val="20"/>
          <w:szCs w:val="20"/>
          <w:lang w:eastAsia="en-GB"/>
        </w:rPr>
        <w:footnoteRef/>
      </w:r>
      <w:r w:rsidRPr="00D15569">
        <w:rPr>
          <w:sz w:val="20"/>
          <w:szCs w:val="20"/>
        </w:rPr>
        <w:t xml:space="preserve"> </w:t>
      </w:r>
      <w:proofErr w:type="spellStart"/>
      <w:r w:rsidRPr="00D15569">
        <w:rPr>
          <w:rFonts w:ascii="Times New Roman" w:eastAsia="Times New Roman" w:hAnsi="Times New Roman" w:cs="Times New Roman"/>
          <w:sz w:val="20"/>
          <w:szCs w:val="20"/>
        </w:rPr>
        <w:t>Beatson</w:t>
      </w:r>
      <w:proofErr w:type="spellEnd"/>
      <w:r w:rsidRPr="00D15569">
        <w:rPr>
          <w:rFonts w:ascii="Times New Roman" w:eastAsia="Times New Roman" w:hAnsi="Times New Roman" w:cs="Times New Roman"/>
          <w:sz w:val="20"/>
          <w:szCs w:val="20"/>
        </w:rPr>
        <w:t xml:space="preserve"> J in</w:t>
      </w:r>
      <w:r w:rsidRPr="00D15569">
        <w:rPr>
          <w:b/>
          <w:sz w:val="20"/>
          <w:szCs w:val="20"/>
        </w:rPr>
        <w:t xml:space="preserve"> </w:t>
      </w:r>
      <w:r w:rsidRPr="00D15569">
        <w:rPr>
          <w:rFonts w:ascii="Times New Roman" w:eastAsia="Times New Roman" w:hAnsi="Times New Roman" w:cs="Times New Roman"/>
          <w:i/>
          <w:iCs/>
          <w:sz w:val="20"/>
          <w:szCs w:val="20"/>
        </w:rPr>
        <w:t xml:space="preserve">West London Pipeline &amp; Storage Limited v Total UK Ltd </w:t>
      </w:r>
      <w:r w:rsidRPr="00D15569">
        <w:rPr>
          <w:rFonts w:ascii="Times New Roman" w:eastAsia="Times New Roman" w:hAnsi="Times New Roman" w:cs="Times New Roman"/>
          <w:sz w:val="20"/>
          <w:szCs w:val="20"/>
        </w:rPr>
        <w:t>[2008] EWHC 1729 (</w:t>
      </w:r>
      <w:proofErr w:type="spellStart"/>
      <w:r w:rsidRPr="00D15569">
        <w:rPr>
          <w:rFonts w:ascii="Times New Roman" w:eastAsia="Times New Roman" w:hAnsi="Times New Roman" w:cs="Times New Roman"/>
          <w:sz w:val="20"/>
          <w:szCs w:val="20"/>
        </w:rPr>
        <w:t>Comm</w:t>
      </w:r>
      <w:proofErr w:type="spellEnd"/>
      <w:r w:rsidRPr="00D15569">
        <w:rPr>
          <w:rFonts w:ascii="Times New Roman" w:eastAsia="Times New Roman" w:hAnsi="Times New Roman" w:cs="Times New Roman"/>
          <w:sz w:val="20"/>
          <w:szCs w:val="20"/>
        </w:rPr>
        <w:t xml:space="preserve">) at [86]. </w:t>
      </w:r>
    </w:p>
  </w:footnote>
  <w:footnote w:id="72">
    <w:p w14:paraId="4FF4DD51" w14:textId="77777777" w:rsidR="00A63E56" w:rsidRPr="00D15569" w:rsidRDefault="00A63E56" w:rsidP="00850DAC">
      <w:pPr>
        <w:pStyle w:val="FootnoteText"/>
      </w:pPr>
      <w:r w:rsidRPr="00D15569">
        <w:rPr>
          <w:rStyle w:val="FootnoteReference"/>
          <w:lang w:eastAsia="en-GB"/>
        </w:rPr>
        <w:footnoteRef/>
      </w:r>
      <w:r w:rsidRPr="00D15569">
        <w:rPr>
          <w:rStyle w:val="FootnoteReference"/>
          <w:lang w:eastAsia="en-GB"/>
        </w:rPr>
        <w:t xml:space="preserve"> </w:t>
      </w:r>
      <w:r>
        <w:rPr>
          <w:lang w:eastAsia="en-GB"/>
        </w:rPr>
        <w:t xml:space="preserve">B. </w:t>
      </w:r>
      <w:proofErr w:type="spellStart"/>
      <w:r w:rsidRPr="00D15569">
        <w:t>Thanki</w:t>
      </w:r>
      <w:proofErr w:type="spellEnd"/>
      <w:r w:rsidRPr="00D15569">
        <w:t xml:space="preserve"> et al</w:t>
      </w:r>
      <w:r>
        <w:t>,</w:t>
      </w:r>
      <w:r w:rsidRPr="00D15569">
        <w:t xml:space="preserve"> </w:t>
      </w:r>
      <w:r w:rsidRPr="002C6E8C">
        <w:rPr>
          <w:iCs/>
        </w:rPr>
        <w:t>above fn.</w:t>
      </w:r>
      <w:r w:rsidRPr="002C6E8C">
        <w:rPr>
          <w:i/>
          <w:iCs/>
        </w:rPr>
        <w:t xml:space="preserve"> </w:t>
      </w:r>
      <w:r>
        <w:rPr>
          <w:iCs/>
        </w:rPr>
        <w:t xml:space="preserve">10 </w:t>
      </w:r>
      <w:r w:rsidRPr="00D15569">
        <w:t xml:space="preserve">at </w:t>
      </w:r>
      <w:r>
        <w:t>[</w:t>
      </w:r>
      <w:r w:rsidRPr="00D15569">
        <w:t>4.66</w:t>
      </w:r>
      <w:r>
        <w:t>]</w:t>
      </w:r>
      <w:r w:rsidRPr="00D15569">
        <w:t>.</w:t>
      </w:r>
    </w:p>
  </w:footnote>
  <w:footnote w:id="73">
    <w:p w14:paraId="7FDB5446" w14:textId="77777777" w:rsidR="00A63E56" w:rsidRPr="00D15569" w:rsidRDefault="00A63E56" w:rsidP="00F1438A">
      <w:pPr>
        <w:pStyle w:val="FootnoteText"/>
      </w:pPr>
      <w:r w:rsidRPr="00D15569">
        <w:rPr>
          <w:rStyle w:val="FootnoteReference"/>
        </w:rPr>
        <w:footnoteRef/>
      </w:r>
      <w:r w:rsidRPr="00D15569">
        <w:rPr>
          <w:rStyle w:val="FootnoteReference"/>
        </w:rPr>
        <w:t xml:space="preserve"> </w:t>
      </w:r>
      <w:r>
        <w:t xml:space="preserve">C. </w:t>
      </w:r>
      <w:r w:rsidRPr="00D15569">
        <w:t xml:space="preserve">Hollander, </w:t>
      </w:r>
      <w:r w:rsidRPr="009C40DD">
        <w:rPr>
          <w:i/>
        </w:rPr>
        <w:t>Documentary Evidence</w:t>
      </w:r>
      <w:r>
        <w:t>,</w:t>
      </w:r>
      <w:r w:rsidRPr="00D15569">
        <w:t xml:space="preserve"> </w:t>
      </w:r>
      <w:r>
        <w:t>(</w:t>
      </w:r>
      <w:r w:rsidRPr="00D15569">
        <w:t xml:space="preserve">11th </w:t>
      </w:r>
      <w:proofErr w:type="spellStart"/>
      <w:r w:rsidRPr="00D15569">
        <w:t>ed</w:t>
      </w:r>
      <w:proofErr w:type="spellEnd"/>
      <w:proofErr w:type="gramStart"/>
      <w:r>
        <w:t>,</w:t>
      </w:r>
      <w:r w:rsidRPr="00D15569">
        <w:t>.</w:t>
      </w:r>
      <w:proofErr w:type="gramEnd"/>
      <w:r w:rsidRPr="00D15569">
        <w:t xml:space="preserve"> </w:t>
      </w:r>
      <w:proofErr w:type="gramStart"/>
      <w:r w:rsidRPr="00D15569">
        <w:t>Sweet and Maxwell, London, 2012</w:t>
      </w:r>
      <w:r>
        <w:t>)</w:t>
      </w:r>
      <w:r w:rsidRPr="00D15569">
        <w:t xml:space="preserve"> at [25-20].</w:t>
      </w:r>
      <w:proofErr w:type="gramEnd"/>
    </w:p>
  </w:footnote>
  <w:footnote w:id="74">
    <w:p w14:paraId="1C3CF832" w14:textId="7ACF783E" w:rsidR="00A63E56" w:rsidRPr="00D15569" w:rsidRDefault="00A63E56" w:rsidP="004318F4">
      <w:pPr>
        <w:pStyle w:val="FootnoteText"/>
      </w:pPr>
      <w:r w:rsidRPr="00D15569">
        <w:rPr>
          <w:rStyle w:val="FootnoteReference"/>
        </w:rPr>
        <w:footnoteRef/>
      </w:r>
      <w:r w:rsidRPr="00D15569">
        <w:rPr>
          <w:rStyle w:val="FootnoteReference"/>
        </w:rPr>
        <w:t xml:space="preserve"> </w:t>
      </w:r>
      <w:r>
        <w:t xml:space="preserve">C. </w:t>
      </w:r>
      <w:r w:rsidRPr="00D15569">
        <w:t>Hollander</w:t>
      </w:r>
      <w:r>
        <w:t>,</w:t>
      </w:r>
      <w:r w:rsidRPr="00D15569">
        <w:t xml:space="preserve"> </w:t>
      </w:r>
      <w:r w:rsidRPr="002C6E8C">
        <w:rPr>
          <w:iCs/>
        </w:rPr>
        <w:t>above fn.</w:t>
      </w:r>
      <w:r w:rsidRPr="002C6E8C">
        <w:rPr>
          <w:i/>
          <w:iCs/>
        </w:rPr>
        <w:t xml:space="preserve"> </w:t>
      </w:r>
      <w:r w:rsidR="00685E9B">
        <w:rPr>
          <w:iCs/>
        </w:rPr>
        <w:t>71</w:t>
      </w:r>
      <w:r>
        <w:rPr>
          <w:iCs/>
        </w:rPr>
        <w:t xml:space="preserve"> </w:t>
      </w:r>
      <w:r w:rsidRPr="00D15569">
        <w:t>at [25-19]-[25.21].</w:t>
      </w:r>
      <w:r w:rsidR="00685E9B">
        <w:t>W</w:t>
      </w:r>
      <w:r w:rsidRPr="00D15569">
        <w:t xml:space="preserve">here solicitors realise that the documents have been disclosed by mistake but suspect that the crime-fraud exception is applicable the instruction of distinct legal-advisers to deal with the crime-fraud exception issue becomes desirable, as was the case in </w:t>
      </w:r>
      <w:r w:rsidRPr="00D15569">
        <w:rPr>
          <w:i/>
          <w:iCs/>
        </w:rPr>
        <w:t>BBGP</w:t>
      </w:r>
      <w:r w:rsidRPr="00E97B42">
        <w:rPr>
          <w:iCs/>
        </w:rPr>
        <w:t xml:space="preserve"> </w:t>
      </w:r>
      <w:r w:rsidRPr="002C6E8C">
        <w:rPr>
          <w:iCs/>
        </w:rPr>
        <w:t>above fn.</w:t>
      </w:r>
      <w:r w:rsidRPr="002C6E8C">
        <w:rPr>
          <w:i/>
          <w:iCs/>
        </w:rPr>
        <w:t xml:space="preserve"> </w:t>
      </w:r>
      <w:r w:rsidR="00B93CD0">
        <w:rPr>
          <w:iCs/>
        </w:rPr>
        <w:t>29</w:t>
      </w:r>
      <w:r w:rsidRPr="00D15569">
        <w:rPr>
          <w:iCs/>
        </w:rPr>
        <w:t>.</w:t>
      </w:r>
      <w:r w:rsidRPr="00D15569">
        <w:t xml:space="preserve"> Special counsel was also appointed in </w:t>
      </w:r>
      <w:proofErr w:type="spellStart"/>
      <w:r w:rsidRPr="00D15569">
        <w:rPr>
          <w:i/>
        </w:rPr>
        <w:t>Stiedl</w:t>
      </w:r>
      <w:proofErr w:type="spellEnd"/>
      <w:r w:rsidR="00685E9B">
        <w:rPr>
          <w:i/>
        </w:rPr>
        <w:t xml:space="preserve"> v Enyo Law LLP and others </w:t>
      </w:r>
      <w:r w:rsidR="00685E9B" w:rsidRPr="00F54CC5">
        <w:t>[2011] EWHC 2649 (</w:t>
      </w:r>
      <w:proofErr w:type="spellStart"/>
      <w:r w:rsidR="00685E9B" w:rsidRPr="00F54CC5">
        <w:t>Comm</w:t>
      </w:r>
      <w:proofErr w:type="spellEnd"/>
      <w:r w:rsidR="00685E9B" w:rsidRPr="00F54CC5">
        <w:t>)</w:t>
      </w:r>
      <w:r w:rsidRPr="00D15569">
        <w:t xml:space="preserve">, though in </w:t>
      </w:r>
      <w:proofErr w:type="spellStart"/>
      <w:r w:rsidRPr="00D15569">
        <w:rPr>
          <w:i/>
        </w:rPr>
        <w:t>Stiedl</w:t>
      </w:r>
      <w:proofErr w:type="spellEnd"/>
      <w:r w:rsidRPr="00D15569">
        <w:t xml:space="preserve"> the crime-fraud exception was not relied upon and the issue was whether solicitors could act in the proceedings and could make use of privileged documents that had come into their possession. </w:t>
      </w:r>
    </w:p>
  </w:footnote>
  <w:footnote w:id="75">
    <w:p w14:paraId="6A0A45E4" w14:textId="427117DA" w:rsidR="00A63E56" w:rsidRPr="00D15569" w:rsidRDefault="00A63E56" w:rsidP="00F1438A">
      <w:pPr>
        <w:pStyle w:val="FootnoteText"/>
        <w:jc w:val="both"/>
        <w:rPr>
          <w:i/>
          <w:iCs/>
        </w:rPr>
      </w:pPr>
      <w:r w:rsidRPr="00D15569">
        <w:rPr>
          <w:rStyle w:val="FootnoteReference"/>
          <w:lang w:eastAsia="en-GB"/>
        </w:rPr>
        <w:footnoteRef/>
      </w:r>
      <w:r w:rsidRPr="00D15569">
        <w:rPr>
          <w:rStyle w:val="FootnoteReference"/>
          <w:lang w:eastAsia="en-GB"/>
        </w:rPr>
        <w:t xml:space="preserve"> </w:t>
      </w:r>
      <w:r w:rsidRPr="00D15569">
        <w:rPr>
          <w:iCs/>
        </w:rPr>
        <w:t>See Norris J in</w:t>
      </w:r>
      <w:r w:rsidRPr="00D15569">
        <w:rPr>
          <w:i/>
          <w:iCs/>
        </w:rPr>
        <w:t xml:space="preserve"> BBGP </w:t>
      </w:r>
      <w:r w:rsidRPr="002C6E8C">
        <w:rPr>
          <w:iCs/>
        </w:rPr>
        <w:t>above fn.</w:t>
      </w:r>
      <w:r w:rsidRPr="002C6E8C">
        <w:rPr>
          <w:i/>
          <w:iCs/>
        </w:rPr>
        <w:t xml:space="preserve"> </w:t>
      </w:r>
      <w:r w:rsidR="00B93CD0">
        <w:rPr>
          <w:iCs/>
        </w:rPr>
        <w:t>29</w:t>
      </w:r>
      <w:r>
        <w:rPr>
          <w:iCs/>
        </w:rPr>
        <w:t xml:space="preserve"> </w:t>
      </w:r>
      <w:r w:rsidRPr="00D15569">
        <w:rPr>
          <w:iCs/>
        </w:rPr>
        <w:t>at [72].</w:t>
      </w:r>
    </w:p>
  </w:footnote>
  <w:footnote w:id="76">
    <w:p w14:paraId="272830B8" w14:textId="7D31A238" w:rsidR="00A63E56" w:rsidRPr="00D15569" w:rsidRDefault="00A63E56" w:rsidP="0095185E">
      <w:pPr>
        <w:pStyle w:val="FootnoteText"/>
      </w:pPr>
      <w:r w:rsidRPr="00D15569">
        <w:rPr>
          <w:rStyle w:val="FootnoteReference"/>
        </w:rPr>
        <w:footnoteRef/>
      </w:r>
      <w:r w:rsidRPr="00D15569">
        <w:rPr>
          <w:rStyle w:val="FootnoteReference"/>
        </w:rPr>
        <w:t xml:space="preserve"> </w:t>
      </w:r>
      <w:r>
        <w:t xml:space="preserve">C. </w:t>
      </w:r>
      <w:r w:rsidRPr="00D15569">
        <w:t>Hollander,</w:t>
      </w:r>
      <w:r w:rsidRPr="00952C03">
        <w:rPr>
          <w:iCs/>
        </w:rPr>
        <w:t xml:space="preserve"> </w:t>
      </w:r>
      <w:r w:rsidRPr="002C6E8C">
        <w:rPr>
          <w:iCs/>
        </w:rPr>
        <w:t>above fn.</w:t>
      </w:r>
      <w:r w:rsidRPr="002C6E8C">
        <w:rPr>
          <w:i/>
          <w:iCs/>
        </w:rPr>
        <w:t xml:space="preserve"> </w:t>
      </w:r>
      <w:r w:rsidR="00685E9B">
        <w:rPr>
          <w:iCs/>
        </w:rPr>
        <w:t>71</w:t>
      </w:r>
      <w:r w:rsidRPr="00D15569">
        <w:t xml:space="preserve"> at [25-21].</w:t>
      </w:r>
    </w:p>
  </w:footnote>
  <w:footnote w:id="77">
    <w:p w14:paraId="4BE1C41B" w14:textId="77777777" w:rsidR="00A63E56" w:rsidRPr="00D15569" w:rsidRDefault="00A63E56">
      <w:pPr>
        <w:pStyle w:val="FootnoteText"/>
      </w:pPr>
      <w:r w:rsidRPr="00D15569">
        <w:rPr>
          <w:rStyle w:val="FootnoteReference"/>
        </w:rPr>
        <w:footnoteRef/>
      </w:r>
      <w:r w:rsidRPr="00D15569">
        <w:t xml:space="preserve"> In civil proceedings a claim of privilege is made under CPR 31.19(3) and the court, under CPR 31.9(6</w:t>
      </w:r>
      <w:proofErr w:type="gramStart"/>
      <w:r w:rsidRPr="00D15569">
        <w:t>)(</w:t>
      </w:r>
      <w:proofErr w:type="gramEnd"/>
      <w:r w:rsidRPr="00D15569">
        <w:t xml:space="preserve">a) may require the person who seeks to withhold inspection of the allegedly privileged documents to produce them to the court. </w:t>
      </w:r>
    </w:p>
  </w:footnote>
  <w:footnote w:id="78">
    <w:p w14:paraId="2F2D21AB" w14:textId="77777777" w:rsidR="00A63E56" w:rsidRPr="00D15569" w:rsidRDefault="00A63E56" w:rsidP="0064097F">
      <w:pPr>
        <w:numPr>
          <w:ilvl w:val="12"/>
          <w:numId w:val="0"/>
        </w:numPr>
        <w:jc w:val="both"/>
        <w:rPr>
          <w:sz w:val="20"/>
          <w:szCs w:val="20"/>
        </w:rPr>
      </w:pPr>
      <w:r w:rsidRPr="00D15569">
        <w:rPr>
          <w:rStyle w:val="FootnoteReference"/>
          <w:sz w:val="20"/>
          <w:szCs w:val="20"/>
        </w:rPr>
        <w:footnoteRef/>
      </w:r>
      <w:r w:rsidRPr="00D15569">
        <w:rPr>
          <w:rStyle w:val="FootnoteReference"/>
          <w:sz w:val="20"/>
          <w:szCs w:val="20"/>
        </w:rPr>
        <w:t xml:space="preserve"> </w:t>
      </w:r>
      <w:r w:rsidRPr="00D15569">
        <w:rPr>
          <w:rFonts w:ascii="Times New Roman" w:eastAsia="Times New Roman" w:hAnsi="Times New Roman" w:cs="Times New Roman"/>
          <w:i/>
          <w:sz w:val="20"/>
          <w:szCs w:val="20"/>
        </w:rPr>
        <w:t>Property Alliance Group Limited v The Royal Bank of Scotland plc</w:t>
      </w:r>
      <w:r w:rsidRPr="00D15569">
        <w:rPr>
          <w:rFonts w:ascii="Times New Roman" w:eastAsia="Times New Roman" w:hAnsi="Times New Roman" w:cs="Times New Roman"/>
          <w:sz w:val="20"/>
          <w:szCs w:val="20"/>
        </w:rPr>
        <w:t xml:space="preserve"> [2015] EWHC 1557 (</w:t>
      </w:r>
      <w:proofErr w:type="spellStart"/>
      <w:r w:rsidRPr="00D15569">
        <w:rPr>
          <w:rFonts w:ascii="Times New Roman" w:eastAsia="Times New Roman" w:hAnsi="Times New Roman" w:cs="Times New Roman"/>
          <w:sz w:val="20"/>
          <w:szCs w:val="20"/>
        </w:rPr>
        <w:t>Ch</w:t>
      </w:r>
      <w:proofErr w:type="spellEnd"/>
      <w:r w:rsidRPr="00D15569">
        <w:rPr>
          <w:rFonts w:ascii="Times New Roman" w:eastAsia="Times New Roman" w:hAnsi="Times New Roman" w:cs="Times New Roman"/>
          <w:sz w:val="20"/>
          <w:szCs w:val="20"/>
        </w:rPr>
        <w:t xml:space="preserve">) see </w:t>
      </w:r>
      <w:proofErr w:type="spellStart"/>
      <w:r w:rsidRPr="00D15569">
        <w:rPr>
          <w:rFonts w:ascii="Times New Roman" w:eastAsia="Times New Roman" w:hAnsi="Times New Roman" w:cs="Times New Roman"/>
          <w:sz w:val="20"/>
          <w:szCs w:val="20"/>
        </w:rPr>
        <w:t>Birss</w:t>
      </w:r>
      <w:proofErr w:type="spellEnd"/>
      <w:r w:rsidRPr="00D15569">
        <w:rPr>
          <w:rFonts w:ascii="Times New Roman" w:eastAsia="Times New Roman" w:hAnsi="Times New Roman" w:cs="Times New Roman"/>
          <w:sz w:val="20"/>
          <w:szCs w:val="20"/>
        </w:rPr>
        <w:t xml:space="preserve"> J at [40]. </w:t>
      </w:r>
    </w:p>
  </w:footnote>
  <w:footnote w:id="79">
    <w:p w14:paraId="71715923" w14:textId="77777777" w:rsidR="00A63E56" w:rsidRPr="00D15569" w:rsidRDefault="00A63E56" w:rsidP="007048E7">
      <w:pPr>
        <w:numPr>
          <w:ilvl w:val="12"/>
          <w:numId w:val="0"/>
        </w:numPr>
        <w:jc w:val="both"/>
        <w:rPr>
          <w:sz w:val="20"/>
          <w:szCs w:val="20"/>
        </w:rPr>
      </w:pPr>
      <w:r w:rsidRPr="00D15569">
        <w:rPr>
          <w:rStyle w:val="FootnoteReference"/>
          <w:sz w:val="20"/>
          <w:szCs w:val="20"/>
        </w:rPr>
        <w:footnoteRef/>
      </w:r>
      <w:r w:rsidRPr="00D15569">
        <w:rPr>
          <w:rStyle w:val="FootnoteReference"/>
          <w:sz w:val="20"/>
          <w:szCs w:val="20"/>
        </w:rPr>
        <w:t xml:space="preserve"> </w:t>
      </w:r>
      <w:r w:rsidRPr="00D15569">
        <w:rPr>
          <w:rFonts w:ascii="Times New Roman" w:eastAsia="Times New Roman" w:hAnsi="Times New Roman" w:cs="Times New Roman"/>
          <w:i/>
          <w:sz w:val="20"/>
          <w:szCs w:val="20"/>
        </w:rPr>
        <w:t>Property Alliance Group Limited v The Royal Bank of Scotland plc</w:t>
      </w:r>
      <w:r w:rsidRPr="00D155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E97B42">
        <w:rPr>
          <w:rFonts w:ascii="Times New Roman" w:eastAsia="Times New Roman" w:hAnsi="Times New Roman" w:cs="Times New Roman"/>
          <w:i/>
          <w:sz w:val="20"/>
          <w:szCs w:val="20"/>
        </w:rPr>
        <w:t>Alliance</w:t>
      </w:r>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[2015] EWHC 3187 (</w:t>
      </w:r>
      <w:proofErr w:type="spellStart"/>
      <w:r w:rsidRPr="00D15569">
        <w:rPr>
          <w:rFonts w:ascii="Times New Roman" w:eastAsia="Times New Roman" w:hAnsi="Times New Roman" w:cs="Times New Roman"/>
          <w:sz w:val="20"/>
          <w:szCs w:val="20"/>
        </w:rPr>
        <w:t>Ch</w:t>
      </w:r>
      <w:proofErr w:type="spellEnd"/>
      <w:r w:rsidRPr="00D15569">
        <w:rPr>
          <w:rFonts w:ascii="Times New Roman" w:eastAsia="Times New Roman" w:hAnsi="Times New Roman" w:cs="Times New Roman"/>
          <w:sz w:val="20"/>
          <w:szCs w:val="20"/>
        </w:rPr>
        <w:t xml:space="preserve">) see Snowden J at [2] </w:t>
      </w:r>
      <w:proofErr w:type="gramStart"/>
      <w:r w:rsidRPr="00D15569">
        <w:rPr>
          <w:rFonts w:ascii="Times New Roman" w:eastAsia="Times New Roman" w:hAnsi="Times New Roman" w:cs="Times New Roman"/>
          <w:sz w:val="20"/>
          <w:szCs w:val="20"/>
        </w:rPr>
        <w:t>and[</w:t>
      </w:r>
      <w:proofErr w:type="gramEnd"/>
      <w:r w:rsidRPr="00D15569">
        <w:rPr>
          <w:rFonts w:ascii="Times New Roman" w:eastAsia="Times New Roman" w:hAnsi="Times New Roman" w:cs="Times New Roman"/>
          <w:sz w:val="20"/>
          <w:szCs w:val="20"/>
        </w:rPr>
        <w:t xml:space="preserve">46]. </w:t>
      </w:r>
    </w:p>
  </w:footnote>
  <w:footnote w:id="80">
    <w:p w14:paraId="24758083" w14:textId="7429279E" w:rsidR="00A63E56" w:rsidRPr="00D15569" w:rsidRDefault="00A63E56" w:rsidP="00F84216">
      <w:pPr>
        <w:numPr>
          <w:ilvl w:val="12"/>
          <w:numId w:val="0"/>
        </w:numPr>
        <w:jc w:val="both"/>
        <w:rPr>
          <w:sz w:val="20"/>
          <w:szCs w:val="20"/>
        </w:rPr>
      </w:pPr>
      <w:r w:rsidRPr="00D15569">
        <w:rPr>
          <w:rStyle w:val="FootnoteReference"/>
          <w:sz w:val="20"/>
          <w:szCs w:val="20"/>
        </w:rPr>
        <w:footnoteRef/>
      </w:r>
      <w:r w:rsidRPr="00D15569">
        <w:rPr>
          <w:rStyle w:val="FootnoteReference"/>
          <w:sz w:val="20"/>
          <w:szCs w:val="20"/>
        </w:rPr>
        <w:t xml:space="preserve"> </w:t>
      </w:r>
      <w:r w:rsidRPr="00D15569">
        <w:rPr>
          <w:rFonts w:ascii="Times New Roman" w:eastAsia="Times New Roman" w:hAnsi="Times New Roman" w:cs="Times New Roman"/>
          <w:i/>
          <w:sz w:val="20"/>
          <w:szCs w:val="20"/>
        </w:rPr>
        <w:t xml:space="preserve">Alliance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Pr>
          <w:rFonts w:ascii="Times New Roman" w:hAnsi="Times New Roman" w:cs="Times New Roman"/>
          <w:iCs/>
          <w:sz w:val="20"/>
          <w:szCs w:val="20"/>
        </w:rPr>
        <w:t>7</w:t>
      </w:r>
      <w:r w:rsidR="00685E9B">
        <w:rPr>
          <w:rFonts w:ascii="Times New Roman" w:hAnsi="Times New Roman" w:cs="Times New Roman"/>
          <w:iCs/>
          <w:sz w:val="20"/>
          <w:szCs w:val="20"/>
        </w:rPr>
        <w:t>6</w:t>
      </w:r>
      <w:r>
        <w:rPr>
          <w:rFonts w:ascii="Times New Roman" w:hAnsi="Times New Roman" w:cs="Times New Roman"/>
          <w:iCs/>
          <w:sz w:val="20"/>
          <w:szCs w:val="20"/>
        </w:rPr>
        <w:t xml:space="preserve"> </w:t>
      </w:r>
      <w:proofErr w:type="gramStart"/>
      <w:r w:rsidRPr="00D15569">
        <w:rPr>
          <w:rFonts w:ascii="Times New Roman" w:eastAsia="Times New Roman" w:hAnsi="Times New Roman" w:cs="Times New Roman"/>
          <w:sz w:val="20"/>
          <w:szCs w:val="20"/>
        </w:rPr>
        <w:t>see</w:t>
      </w:r>
      <w:proofErr w:type="gramEnd"/>
      <w:r w:rsidRPr="00D15569">
        <w:rPr>
          <w:rFonts w:ascii="Times New Roman" w:eastAsia="Times New Roman" w:hAnsi="Times New Roman" w:cs="Times New Roman"/>
          <w:sz w:val="20"/>
          <w:szCs w:val="20"/>
        </w:rPr>
        <w:t xml:space="preserve"> Snowden J at [6]. </w:t>
      </w:r>
    </w:p>
  </w:footnote>
  <w:footnote w:id="81">
    <w:p w14:paraId="4ACFF18A" w14:textId="61077114" w:rsidR="00A63E56" w:rsidRPr="00D15569" w:rsidRDefault="00A63E56" w:rsidP="000953A6">
      <w:pPr>
        <w:numPr>
          <w:ilvl w:val="12"/>
          <w:numId w:val="0"/>
        </w:numPr>
        <w:jc w:val="both"/>
        <w:rPr>
          <w:rFonts w:ascii="Times New Roman" w:eastAsia="Times New Roman" w:hAnsi="Times New Roman" w:cs="Times New Roman"/>
          <w:sz w:val="20"/>
          <w:szCs w:val="20"/>
        </w:rPr>
      </w:pPr>
      <w:r w:rsidRPr="00D15569">
        <w:rPr>
          <w:rStyle w:val="FootnoteReference"/>
          <w:rFonts w:ascii="Times New Roman" w:eastAsia="Times New Roman" w:hAnsi="Times New Roman" w:cs="Times New Roman"/>
          <w:sz w:val="20"/>
          <w:szCs w:val="20"/>
        </w:rPr>
        <w:footnoteRef/>
      </w:r>
      <w:r w:rsidRPr="00D15569">
        <w:rPr>
          <w:rStyle w:val="FootnoteReference"/>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proofErr w:type="gramStart"/>
      <w:r w:rsidRPr="00D15569">
        <w:rPr>
          <w:rFonts w:ascii="Times New Roman" w:eastAsia="Times New Roman" w:hAnsi="Times New Roman" w:cs="Times New Roman"/>
          <w:sz w:val="20"/>
          <w:szCs w:val="20"/>
        </w:rPr>
        <w:t xml:space="preserve">Higgins </w:t>
      </w:r>
      <w:r>
        <w:rPr>
          <w:rFonts w:ascii="Times New Roman" w:eastAsia="Times New Roman" w:hAnsi="Times New Roman" w:cs="Times New Roman"/>
          <w:sz w:val="20"/>
          <w:szCs w:val="20"/>
        </w:rPr>
        <w:t xml:space="preserve"> </w:t>
      </w:r>
      <w:r w:rsidRPr="00D15569">
        <w:rPr>
          <w:rFonts w:ascii="Times New Roman" w:eastAsia="Times New Roman" w:hAnsi="Times New Roman" w:cs="Times New Roman"/>
          <w:sz w:val="20"/>
          <w:szCs w:val="20"/>
        </w:rPr>
        <w:t>and</w:t>
      </w:r>
      <w:proofErr w:type="gramEnd"/>
      <w:r w:rsidRPr="00D155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D15569">
        <w:rPr>
          <w:rFonts w:ascii="Times New Roman" w:eastAsia="Times New Roman" w:hAnsi="Times New Roman" w:cs="Times New Roman"/>
          <w:sz w:val="20"/>
          <w:szCs w:val="20"/>
        </w:rPr>
        <w:t>Zuckerman</w:t>
      </w:r>
      <w:r>
        <w:rPr>
          <w:rFonts w:ascii="Times New Roman" w:eastAsia="Times New Roman" w:hAnsi="Times New Roman" w:cs="Times New Roman"/>
          <w:sz w:val="20"/>
          <w:szCs w:val="20"/>
        </w:rPr>
        <w:t xml:space="preserve">, </w:t>
      </w:r>
      <w:r w:rsidRPr="002C6E8C">
        <w:rPr>
          <w:rFonts w:ascii="Times New Roman" w:hAnsi="Times New Roman" w:cs="Times New Roman"/>
          <w:iCs/>
          <w:sz w:val="20"/>
          <w:szCs w:val="20"/>
        </w:rPr>
        <w:t>above fn.</w:t>
      </w:r>
      <w:r w:rsidRPr="002C6E8C">
        <w:rPr>
          <w:rFonts w:ascii="Times New Roman" w:hAnsi="Times New Roman" w:cs="Times New Roman"/>
          <w:i/>
          <w:iCs/>
          <w:sz w:val="20"/>
          <w:szCs w:val="20"/>
        </w:rPr>
        <w:t xml:space="preserve"> </w:t>
      </w:r>
      <w:r w:rsidR="00B93CD0">
        <w:rPr>
          <w:rFonts w:ascii="Times New Roman" w:hAnsi="Times New Roman" w:cs="Times New Roman"/>
          <w:iCs/>
          <w:sz w:val="20"/>
          <w:szCs w:val="20"/>
        </w:rPr>
        <w:t>37</w:t>
      </w:r>
      <w:r>
        <w:rPr>
          <w:rFonts w:ascii="Times New Roman" w:hAnsi="Times New Roman" w:cs="Times New Roman"/>
          <w:iCs/>
          <w:sz w:val="20"/>
          <w:szCs w:val="20"/>
        </w:rPr>
        <w:t xml:space="preserve"> </w:t>
      </w:r>
      <w:r w:rsidRPr="00D15569">
        <w:rPr>
          <w:rFonts w:ascii="Times New Roman" w:eastAsia="Times New Roman" w:hAnsi="Times New Roman" w:cs="Times New Roman"/>
          <w:sz w:val="20"/>
          <w:szCs w:val="20"/>
        </w:rPr>
        <w:t>at 318.</w:t>
      </w:r>
    </w:p>
  </w:footnote>
  <w:footnote w:id="82">
    <w:p w14:paraId="26720DB5" w14:textId="77777777" w:rsidR="00A63E56" w:rsidRPr="009C40DD" w:rsidRDefault="00A63E56" w:rsidP="006B0890">
      <w:pPr>
        <w:pStyle w:val="FootnoteText"/>
        <w:rPr>
          <w:sz w:val="22"/>
          <w:szCs w:val="22"/>
        </w:rPr>
      </w:pPr>
      <w:r w:rsidRPr="000D4D66">
        <w:rPr>
          <w:rStyle w:val="FootnoteReference"/>
          <w:sz w:val="22"/>
          <w:szCs w:val="22"/>
          <w:lang w:eastAsia="en-GB"/>
        </w:rPr>
        <w:footnoteRef/>
      </w:r>
      <w:r w:rsidRPr="000D4D66">
        <w:rPr>
          <w:rStyle w:val="FootnoteReference"/>
          <w:sz w:val="22"/>
          <w:szCs w:val="22"/>
          <w:lang w:eastAsia="en-GB"/>
        </w:rPr>
        <w:t xml:space="preserve"> </w:t>
      </w:r>
      <w:r w:rsidRPr="009C40DD">
        <w:rPr>
          <w:lang w:eastAsia="en-GB"/>
        </w:rPr>
        <w:t xml:space="preserve">See Judge Barbara </w:t>
      </w:r>
      <w:proofErr w:type="spellStart"/>
      <w:r w:rsidRPr="009C40DD">
        <w:rPr>
          <w:lang w:eastAsia="en-GB"/>
        </w:rPr>
        <w:t>Mosedale</w:t>
      </w:r>
      <w:proofErr w:type="spellEnd"/>
      <w:r w:rsidRPr="009C40DD">
        <w:rPr>
          <w:i/>
        </w:rPr>
        <w:t xml:space="preserve"> in Fisher v The Commissioners for Her Majesty's Revenue &amp;</w:t>
      </w:r>
      <w:r w:rsidRPr="009C40DD">
        <w:t xml:space="preserve"> Customs [2012] UKFTT 335 at </w:t>
      </w:r>
      <w:r w:rsidRPr="009C40DD">
        <w:rPr>
          <w:sz w:val="22"/>
          <w:szCs w:val="22"/>
        </w:rPr>
        <w:t xml:space="preserve">[91]. </w:t>
      </w:r>
    </w:p>
    <w:p w14:paraId="008492AD" w14:textId="77777777" w:rsidR="00A63E56" w:rsidRDefault="00A63E56">
      <w:pPr>
        <w:pStyle w:val="FootnoteText"/>
      </w:pPr>
    </w:p>
  </w:footnote>
  <w:footnote w:id="83">
    <w:p w14:paraId="78FBB9FB" w14:textId="3FC49640" w:rsidR="00A63E56" w:rsidRPr="000D4D66" w:rsidRDefault="00A63E56" w:rsidP="00AC7027">
      <w:pPr>
        <w:pStyle w:val="FootnoteText"/>
      </w:pPr>
      <w:r w:rsidRPr="000D4D66">
        <w:rPr>
          <w:rStyle w:val="FootnoteReference"/>
        </w:rPr>
        <w:footnoteRef/>
      </w:r>
      <w:r w:rsidR="001E06D4">
        <w:t xml:space="preserve"> </w:t>
      </w:r>
      <w:proofErr w:type="gramStart"/>
      <w:r w:rsidR="001E06D4">
        <w:t>P</w:t>
      </w:r>
      <w:r w:rsidRPr="000D4D66">
        <w:t>ara</w:t>
      </w:r>
      <w:r>
        <w:t>s</w:t>
      </w:r>
      <w:r w:rsidRPr="000D4D66">
        <w:t xml:space="preserve"> 1 and 2 of schedule 36 to the Finance Act 2008.</w:t>
      </w:r>
      <w:proofErr w:type="gramEnd"/>
    </w:p>
  </w:footnote>
  <w:footnote w:id="84">
    <w:p w14:paraId="6C1AC8CB" w14:textId="77777777" w:rsidR="00A63E56" w:rsidRPr="000D4D66" w:rsidRDefault="00A63E56" w:rsidP="000A6AD4">
      <w:pPr>
        <w:pStyle w:val="FootnoteText"/>
      </w:pPr>
      <w:r w:rsidRPr="000D4D66">
        <w:rPr>
          <w:rStyle w:val="FootnoteReference"/>
        </w:rPr>
        <w:footnoteRef/>
      </w:r>
      <w:r w:rsidRPr="000D4D66">
        <w:t xml:space="preserve"> The Regulations were made under para 23(3)-(4) of Schedule 36 to the 2008 Act.</w:t>
      </w:r>
    </w:p>
  </w:footnote>
  <w:footnote w:id="85">
    <w:p w14:paraId="5A960DCE" w14:textId="46668780" w:rsidR="00A63E56" w:rsidRPr="000D4D66" w:rsidRDefault="00A63E56">
      <w:pPr>
        <w:pStyle w:val="FootnoteText"/>
      </w:pPr>
      <w:r w:rsidRPr="000D4D66">
        <w:rPr>
          <w:rStyle w:val="FootnoteReference"/>
        </w:rPr>
        <w:footnoteRef/>
      </w:r>
      <w:r w:rsidRPr="000D4D66">
        <w:rPr>
          <w:rStyle w:val="FootnoteReference"/>
        </w:rPr>
        <w:t xml:space="preserve"> </w:t>
      </w:r>
      <w:r w:rsidRPr="000D4D66">
        <w:t xml:space="preserve">The Information Notice: Resolution of Disputes as to Privileged Communications Regulations 2009 </w:t>
      </w:r>
      <w:proofErr w:type="gramStart"/>
      <w:r w:rsidRPr="000D4D66">
        <w:t>r.5(</w:t>
      </w:r>
      <w:proofErr w:type="gramEnd"/>
      <w:r w:rsidRPr="000D4D66">
        <w:t>5).</w:t>
      </w:r>
    </w:p>
  </w:footnote>
  <w:footnote w:id="86">
    <w:p w14:paraId="499C6DA1" w14:textId="6ABBCD59" w:rsidR="00A63E56" w:rsidRPr="000D4D66" w:rsidRDefault="00A63E56" w:rsidP="00531EE1">
      <w:pPr>
        <w:pStyle w:val="FootnoteText"/>
      </w:pPr>
      <w:r w:rsidRPr="000D4D66">
        <w:rPr>
          <w:rStyle w:val="FootnoteReference"/>
        </w:rPr>
        <w:footnoteRef/>
      </w:r>
      <w:r w:rsidRPr="000D4D66">
        <w:rPr>
          <w:rStyle w:val="FootnoteReference"/>
        </w:rPr>
        <w:t xml:space="preserve"> </w:t>
      </w:r>
      <w:r w:rsidRPr="000D4D66">
        <w:t xml:space="preserve">The Information Notice: Resolution of Disputes as to Privileged Communications Regulations 2009 </w:t>
      </w:r>
      <w:proofErr w:type="gramStart"/>
      <w:r w:rsidRPr="000D4D66">
        <w:t>r.6(</w:t>
      </w:r>
      <w:proofErr w:type="gramEnd"/>
      <w:r w:rsidRPr="000D4D66">
        <w:t xml:space="preserve">3)-(5). </w:t>
      </w:r>
    </w:p>
  </w:footnote>
  <w:footnote w:id="87">
    <w:p w14:paraId="11269282" w14:textId="01807A05" w:rsidR="00A63E56" w:rsidRPr="000D4D66" w:rsidRDefault="00A63E56" w:rsidP="00C62964">
      <w:pPr>
        <w:pStyle w:val="FootnoteText"/>
      </w:pPr>
      <w:r w:rsidRPr="000D4D66">
        <w:rPr>
          <w:rStyle w:val="FootnoteReference"/>
        </w:rPr>
        <w:footnoteRef/>
      </w:r>
      <w:r w:rsidRPr="000D4D66">
        <w:rPr>
          <w:rStyle w:val="FootnoteReference"/>
        </w:rPr>
        <w:t xml:space="preserve"> </w:t>
      </w:r>
      <w:r w:rsidRPr="000D4D66">
        <w:t>The Information Notice: Resolution of Disputes as to Privileged Communications Regulations 2009 r.8-9.</w:t>
      </w:r>
    </w:p>
  </w:footnote>
  <w:footnote w:id="88">
    <w:p w14:paraId="0FCF309D" w14:textId="77777777" w:rsidR="00A63E56" w:rsidRPr="000D4D66" w:rsidRDefault="00A63E56" w:rsidP="00CE2040">
      <w:pPr>
        <w:pStyle w:val="FootnoteText"/>
      </w:pPr>
      <w:r w:rsidRPr="000D4D66">
        <w:rPr>
          <w:rStyle w:val="FootnoteReference"/>
        </w:rPr>
        <w:footnoteRef/>
      </w:r>
      <w:r w:rsidRPr="000D4D66">
        <w:t xml:space="preserve"> See </w:t>
      </w:r>
      <w:proofErr w:type="spellStart"/>
      <w:r w:rsidRPr="000D4D66">
        <w:rPr>
          <w:i/>
        </w:rPr>
        <w:t>Behague</w:t>
      </w:r>
      <w:proofErr w:type="spellEnd"/>
      <w:r w:rsidRPr="000D4D66">
        <w:rPr>
          <w:i/>
        </w:rPr>
        <w:t xml:space="preserve"> v The Commissioners for Her Majesty's Revenue &amp; Customs</w:t>
      </w:r>
      <w:r w:rsidRPr="000D4D66">
        <w:t xml:space="preserve"> [2013] UKFTT 596 (TC), </w:t>
      </w:r>
      <w:proofErr w:type="spellStart"/>
      <w:r w:rsidRPr="000D4D66">
        <w:rPr>
          <w:i/>
        </w:rPr>
        <w:t>Behague</w:t>
      </w:r>
      <w:proofErr w:type="spellEnd"/>
      <w:r w:rsidRPr="000D4D66">
        <w:rPr>
          <w:i/>
        </w:rPr>
        <w:t xml:space="preserve"> v The Commissioners for Her Majesty's Revenue &amp; Customs</w:t>
      </w:r>
      <w:r w:rsidRPr="000D4D66">
        <w:t xml:space="preserve"> [2013] UKFTT 647 (TC) and </w:t>
      </w:r>
      <w:r w:rsidRPr="000D4D66">
        <w:rPr>
          <w:i/>
        </w:rPr>
        <w:t xml:space="preserve">Lewis v The Commissioners for Her Majesty's Revenue &amp; </w:t>
      </w:r>
      <w:proofErr w:type="gramStart"/>
      <w:r w:rsidRPr="000D4D66">
        <w:rPr>
          <w:i/>
        </w:rPr>
        <w:t>Customs</w:t>
      </w:r>
      <w:r w:rsidRPr="000D4D66">
        <w:t>[</w:t>
      </w:r>
      <w:proofErr w:type="gramEnd"/>
      <w:r w:rsidRPr="000D4D66">
        <w:t>2013] UKFTT 722 (TC).</w:t>
      </w:r>
    </w:p>
  </w:footnote>
  <w:footnote w:id="89">
    <w:p w14:paraId="4AF205CE" w14:textId="77777777" w:rsidR="00A63E56" w:rsidRPr="00EA6031" w:rsidRDefault="00A63E56" w:rsidP="002A25B7">
      <w:pPr>
        <w:pStyle w:val="Footnote"/>
        <w:rPr>
          <w:rFonts w:ascii="Times New Roman" w:hAnsi="Times New Roman" w:cs="Times New Roman"/>
          <w:sz w:val="20"/>
          <w:szCs w:val="20"/>
        </w:rPr>
      </w:pPr>
      <w:r>
        <w:rPr>
          <w:vertAlign w:val="superscript"/>
        </w:rPr>
        <w:footnoteRef/>
      </w:r>
      <w:r>
        <w:rPr>
          <w:rFonts w:eastAsia="Arial Unicode MS" w:cs="Arial Unicode MS"/>
        </w:rPr>
        <w:t xml:space="preserve"> </w:t>
      </w:r>
      <w:r w:rsidRPr="00EA6031">
        <w:rPr>
          <w:rFonts w:ascii="Times New Roman" w:eastAsia="Arial Unicode MS" w:hAnsi="Times New Roman" w:cs="Times New Roman"/>
          <w:sz w:val="20"/>
          <w:szCs w:val="20"/>
        </w:rPr>
        <w:t>S.</w:t>
      </w:r>
      <w:r>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sz w:val="20"/>
          <w:szCs w:val="20"/>
        </w:rPr>
        <w:t xml:space="preserve">Jennison “The Crime or Fraud Exception to the Attorney-Client Privilege: </w:t>
      </w:r>
      <w:r w:rsidRPr="00EA6031">
        <w:rPr>
          <w:rFonts w:ascii="Times New Roman" w:eastAsia="Arial Unicode MS" w:hAnsi="Times New Roman" w:cs="Times New Roman"/>
          <w:i/>
          <w:sz w:val="20"/>
          <w:szCs w:val="20"/>
        </w:rPr>
        <w:t>Marc Rich</w:t>
      </w:r>
      <w:r w:rsidRPr="00EA6031">
        <w:rPr>
          <w:rFonts w:ascii="Times New Roman" w:eastAsia="Arial Unicode MS" w:hAnsi="Times New Roman" w:cs="Times New Roman"/>
          <w:sz w:val="20"/>
          <w:szCs w:val="20"/>
        </w:rPr>
        <w:t xml:space="preserve"> and the Second Circuit”  1984-1985 </w:t>
      </w:r>
      <w:r w:rsidRPr="00EA6031">
        <w:rPr>
          <w:rFonts w:ascii="Times New Roman" w:eastAsia="Arial Unicode MS" w:hAnsi="Times New Roman" w:cs="Times New Roman"/>
          <w:sz w:val="20"/>
          <w:szCs w:val="20"/>
          <w:lang w:val="nl-NL"/>
        </w:rPr>
        <w:t xml:space="preserve"> </w:t>
      </w:r>
      <w:r w:rsidRPr="00EA6031">
        <w:rPr>
          <w:rFonts w:ascii="Times New Roman" w:eastAsia="Arial Unicode MS" w:hAnsi="Times New Roman" w:cs="Times New Roman"/>
          <w:i/>
          <w:sz w:val="20"/>
          <w:szCs w:val="20"/>
          <w:lang w:val="nl-NL"/>
        </w:rPr>
        <w:t>Brooklyn Law Review</w:t>
      </w:r>
      <w:r w:rsidRPr="00EA6031">
        <w:rPr>
          <w:rFonts w:ascii="Times New Roman" w:eastAsia="Arial Unicode MS" w:hAnsi="Times New Roman" w:cs="Times New Roman"/>
          <w:sz w:val="20"/>
          <w:szCs w:val="20"/>
          <w:lang w:val="nl-NL"/>
        </w:rPr>
        <w:t xml:space="preserve">  Vol 51, 913</w:t>
      </w:r>
      <w:r w:rsidRPr="00EA6031">
        <w:rPr>
          <w:rFonts w:ascii="Times New Roman" w:eastAsia="Arial Unicode MS" w:hAnsi="Times New Roman" w:cs="Times New Roman"/>
          <w:sz w:val="20"/>
          <w:szCs w:val="20"/>
        </w:rPr>
        <w:t>, 916</w:t>
      </w:r>
    </w:p>
  </w:footnote>
  <w:footnote w:id="90">
    <w:p w14:paraId="41D5931E" w14:textId="77777777" w:rsidR="00A63E56" w:rsidRPr="00EA6031" w:rsidRDefault="00A63E56">
      <w:pPr>
        <w:pStyle w:val="FootnoteText"/>
      </w:pPr>
      <w:r w:rsidRPr="00EA6031">
        <w:rPr>
          <w:rStyle w:val="FootnoteReference"/>
        </w:rPr>
        <w:footnoteRef/>
      </w:r>
      <w:r w:rsidRPr="00EA6031">
        <w:t xml:space="preserve"> A.</w:t>
      </w:r>
      <w:r>
        <w:t xml:space="preserve"> </w:t>
      </w:r>
      <w:proofErr w:type="spellStart"/>
      <w:r w:rsidRPr="00EA6031">
        <w:t>St.Peter</w:t>
      </w:r>
      <w:proofErr w:type="spellEnd"/>
      <w:r w:rsidRPr="00EA6031">
        <w:t xml:space="preserve"> Griffith “Abusing the Privilege: The Crime-Fraud Exception to Rule 501 of the Federal Rules of Evidence” 1993 </w:t>
      </w:r>
      <w:r w:rsidRPr="00EA6031">
        <w:rPr>
          <w:i/>
        </w:rPr>
        <w:t>University of Miami Law Review</w:t>
      </w:r>
      <w:r w:rsidRPr="00EA6031">
        <w:t xml:space="preserve"> Vol 48, 259,261.</w:t>
      </w:r>
    </w:p>
  </w:footnote>
  <w:footnote w:id="91">
    <w:p w14:paraId="3979B33A"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J.</w:t>
      </w:r>
      <w:r>
        <w:rPr>
          <w:rFonts w:ascii="Times New Roman" w:eastAsia="Arial Unicode MS" w:hAnsi="Times New Roman" w:cs="Times New Roman"/>
          <w:sz w:val="20"/>
          <w:szCs w:val="20"/>
        </w:rPr>
        <w:t xml:space="preserve"> </w:t>
      </w:r>
      <w:proofErr w:type="gramStart"/>
      <w:r w:rsidRPr="00EA6031">
        <w:rPr>
          <w:rFonts w:ascii="Times New Roman" w:eastAsia="Arial Unicode MS" w:hAnsi="Times New Roman" w:cs="Times New Roman"/>
          <w:sz w:val="20"/>
          <w:szCs w:val="20"/>
          <w:lang w:val="en-US"/>
        </w:rPr>
        <w:t>Fried  “</w:t>
      </w:r>
      <w:proofErr w:type="gramEnd"/>
      <w:r w:rsidRPr="00EA6031">
        <w:rPr>
          <w:rFonts w:ascii="Times New Roman" w:eastAsia="Arial Unicode MS" w:hAnsi="Times New Roman" w:cs="Times New Roman"/>
          <w:sz w:val="20"/>
          <w:szCs w:val="20"/>
          <w:lang w:val="pt-PT"/>
        </w:rPr>
        <w:t>Too high a price for truth: the exception to the attorney-client privilege for contemplated crimes and frauds</w:t>
      </w:r>
      <w:r w:rsidRPr="00EA6031">
        <w:rPr>
          <w:rFonts w:ascii="Times New Roman" w:eastAsia="Arial Unicode MS" w:hAnsi="Times New Roman" w:cs="Times New Roman"/>
          <w:sz w:val="20"/>
          <w:szCs w:val="20"/>
          <w:lang w:val="en-US"/>
        </w:rPr>
        <w:t xml:space="preserve">” 1986 </w:t>
      </w:r>
      <w:r w:rsidRPr="00EA6031">
        <w:rPr>
          <w:rFonts w:ascii="Times New Roman" w:eastAsia="Arial Unicode MS" w:hAnsi="Times New Roman" w:cs="Times New Roman"/>
          <w:i/>
          <w:sz w:val="20"/>
          <w:szCs w:val="20"/>
          <w:lang w:val="en-US"/>
        </w:rPr>
        <w:t>North Carolina Law Review</w:t>
      </w:r>
      <w:r w:rsidRPr="00EA6031">
        <w:rPr>
          <w:rFonts w:ascii="Times New Roman" w:eastAsia="Arial Unicode MS" w:hAnsi="Times New Roman" w:cs="Times New Roman"/>
          <w:sz w:val="20"/>
          <w:szCs w:val="20"/>
          <w:lang w:val="en-US"/>
        </w:rPr>
        <w:t xml:space="preserve"> Vol 64, 443, 460.</w:t>
      </w:r>
    </w:p>
  </w:footnote>
  <w:footnote w:id="92">
    <w:p w14:paraId="0CDD7CEF" w14:textId="6C55EBC1"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See </w:t>
      </w:r>
      <w:r w:rsidR="00B93CD0">
        <w:rPr>
          <w:rFonts w:ascii="Times New Roman" w:eastAsia="Arial Unicode MS" w:hAnsi="Times New Roman" w:cs="Times New Roman"/>
          <w:sz w:val="20"/>
          <w:szCs w:val="20"/>
          <w:lang w:val="en-US"/>
        </w:rPr>
        <w:t>Fried, above fn. 89</w:t>
      </w:r>
      <w:r w:rsidRPr="00EA6031">
        <w:rPr>
          <w:rFonts w:ascii="Times New Roman" w:eastAsia="Arial Unicode MS" w:hAnsi="Times New Roman" w:cs="Times New Roman"/>
          <w:sz w:val="20"/>
          <w:szCs w:val="20"/>
          <w:lang w:val="en-US"/>
        </w:rPr>
        <w:t xml:space="preserve">, </w:t>
      </w:r>
      <w:proofErr w:type="spellStart"/>
      <w:proofErr w:type="gramStart"/>
      <w:r w:rsidRPr="00EA6031">
        <w:rPr>
          <w:rFonts w:ascii="Times New Roman" w:eastAsia="Arial Unicode MS" w:hAnsi="Times New Roman" w:cs="Times New Roman"/>
          <w:sz w:val="20"/>
          <w:szCs w:val="20"/>
          <w:lang w:val="en-US"/>
        </w:rPr>
        <w:t>fn</w:t>
      </w:r>
      <w:proofErr w:type="spellEnd"/>
      <w:proofErr w:type="gramEnd"/>
      <w:r w:rsidRPr="00EA6031">
        <w:rPr>
          <w:rFonts w:ascii="Times New Roman" w:eastAsia="Arial Unicode MS" w:hAnsi="Times New Roman" w:cs="Times New Roman"/>
          <w:sz w:val="20"/>
          <w:szCs w:val="20"/>
          <w:lang w:val="en-US"/>
        </w:rPr>
        <w:t xml:space="preserve"> 82.</w:t>
      </w:r>
    </w:p>
  </w:footnote>
  <w:footnote w:id="93">
    <w:p w14:paraId="280E8D88" w14:textId="4F7946B0"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001E06D4">
        <w:rPr>
          <w:rFonts w:ascii="Times New Roman" w:eastAsia="Arial Unicode MS" w:hAnsi="Times New Roman" w:cs="Times New Roman"/>
          <w:sz w:val="20"/>
          <w:szCs w:val="20"/>
          <w:lang w:val="en-US"/>
        </w:rPr>
        <w:t>F</w:t>
      </w:r>
      <w:r w:rsidR="00B93CD0">
        <w:rPr>
          <w:rFonts w:ascii="Times New Roman" w:eastAsia="Arial Unicode MS" w:hAnsi="Times New Roman" w:cs="Times New Roman"/>
          <w:sz w:val="20"/>
          <w:szCs w:val="20"/>
          <w:lang w:val="en-US"/>
        </w:rPr>
        <w:t>or example Fried, above fn. 89</w:t>
      </w:r>
      <w:r w:rsidR="00EC4A36">
        <w:rPr>
          <w:rFonts w:ascii="Times New Roman" w:eastAsia="Arial Unicode MS" w:hAnsi="Times New Roman" w:cs="Times New Roman"/>
          <w:sz w:val="20"/>
          <w:szCs w:val="20"/>
          <w:lang w:val="en-US"/>
        </w:rPr>
        <w:t xml:space="preserve">, 445 and </w:t>
      </w:r>
      <w:proofErr w:type="spellStart"/>
      <w:r w:rsidR="00EC4A36">
        <w:rPr>
          <w:rFonts w:ascii="Times New Roman" w:eastAsia="Arial Unicode MS" w:hAnsi="Times New Roman" w:cs="Times New Roman"/>
          <w:sz w:val="20"/>
          <w:szCs w:val="20"/>
          <w:lang w:val="en-US"/>
        </w:rPr>
        <w:t>A.Daily</w:t>
      </w:r>
      <w:proofErr w:type="spellEnd"/>
      <w:r w:rsidR="00EC4A36">
        <w:rPr>
          <w:rFonts w:ascii="Times New Roman" w:eastAsia="Arial Unicode MS" w:hAnsi="Times New Roman" w:cs="Times New Roman"/>
          <w:sz w:val="20"/>
          <w:szCs w:val="20"/>
          <w:lang w:val="en-US"/>
        </w:rPr>
        <w:t xml:space="preserve"> and</w:t>
      </w:r>
      <w:r w:rsidRPr="00EA6031">
        <w:rPr>
          <w:rFonts w:ascii="Times New Roman" w:eastAsia="Arial Unicode MS" w:hAnsi="Times New Roman" w:cs="Times New Roman"/>
          <w:sz w:val="20"/>
          <w:szCs w:val="20"/>
          <w:lang w:val="en-US"/>
        </w:rPr>
        <w:t xml:space="preserve"> S. Britta </w:t>
      </w:r>
      <w:proofErr w:type="spellStart"/>
      <w:r w:rsidRPr="00EA6031">
        <w:rPr>
          <w:rFonts w:ascii="Times New Roman" w:eastAsia="Arial Unicode MS" w:hAnsi="Times New Roman" w:cs="Times New Roman"/>
          <w:sz w:val="20"/>
          <w:szCs w:val="20"/>
          <w:lang w:val="en-US"/>
        </w:rPr>
        <w:t>Thornquist</w:t>
      </w:r>
      <w:proofErr w:type="spellEnd"/>
      <w:r w:rsidRPr="00EA6031">
        <w:rPr>
          <w:rFonts w:ascii="Times New Roman" w:eastAsia="Arial Unicode MS" w:hAnsi="Times New Roman" w:cs="Times New Roman"/>
          <w:sz w:val="20"/>
          <w:szCs w:val="20"/>
          <w:lang w:val="en-US"/>
        </w:rPr>
        <w:t xml:space="preserve"> “Has the Exception Outgrown the Privilege?</w:t>
      </w:r>
      <w:proofErr w:type="gramStart"/>
      <w:r w:rsidRPr="00EA6031">
        <w:rPr>
          <w:rFonts w:ascii="Times New Roman" w:eastAsia="Arial Unicode MS" w:hAnsi="Times New Roman" w:cs="Times New Roman"/>
          <w:sz w:val="20"/>
          <w:szCs w:val="20"/>
          <w:lang w:val="en-US"/>
        </w:rPr>
        <w:t>:Exploring</w:t>
      </w:r>
      <w:proofErr w:type="gramEnd"/>
      <w:r w:rsidRPr="00EA6031">
        <w:rPr>
          <w:rFonts w:ascii="Times New Roman" w:eastAsia="Arial Unicode MS" w:hAnsi="Times New Roman" w:cs="Times New Roman"/>
          <w:sz w:val="20"/>
          <w:szCs w:val="20"/>
          <w:lang w:val="en-US"/>
        </w:rPr>
        <w:t xml:space="preserve"> the Application of the Crime-Fraud Exception to the Attorney-Client Privilege” 2003 </w:t>
      </w:r>
      <w:r w:rsidRPr="00EA6031">
        <w:rPr>
          <w:rFonts w:ascii="Times New Roman" w:eastAsia="Arial Unicode MS" w:hAnsi="Times New Roman" w:cs="Times New Roman"/>
          <w:i/>
          <w:sz w:val="20"/>
          <w:szCs w:val="20"/>
          <w:lang w:val="en-US"/>
        </w:rPr>
        <w:t>Georgetown Journal of Legal Ethics</w:t>
      </w:r>
      <w:r w:rsidRPr="00EA6031">
        <w:rPr>
          <w:rFonts w:ascii="Times New Roman" w:eastAsia="Arial Unicode MS" w:hAnsi="Times New Roman" w:cs="Times New Roman"/>
          <w:sz w:val="20"/>
          <w:szCs w:val="20"/>
          <w:lang w:val="en-US"/>
        </w:rPr>
        <w:t xml:space="preserve"> Vol 16, 583, 591.</w:t>
      </w:r>
    </w:p>
  </w:footnote>
  <w:footnote w:id="94">
    <w:p w14:paraId="6DD1A504" w14:textId="77777777" w:rsidR="00763C73" w:rsidRPr="00EA6031" w:rsidRDefault="00763C73" w:rsidP="00763C73">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C.</w:t>
      </w:r>
      <w:proofErr w:type="spellStart"/>
      <w:r w:rsidRPr="00EA6031">
        <w:rPr>
          <w:rFonts w:ascii="Times New Roman" w:eastAsia="Arial Unicode MS" w:hAnsi="Times New Roman" w:cs="Times New Roman"/>
          <w:sz w:val="20"/>
          <w:szCs w:val="20"/>
          <w:lang w:val="en-US"/>
        </w:rPr>
        <w:t>Galanek</w:t>
      </w:r>
      <w:proofErr w:type="spellEnd"/>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sz w:val="20"/>
          <w:szCs w:val="20"/>
        </w:rPr>
        <w:t xml:space="preserve">The impact of the </w:t>
      </w:r>
      <w:proofErr w:type="spellStart"/>
      <w:r w:rsidRPr="00EA6031">
        <w:rPr>
          <w:rFonts w:ascii="Times New Roman" w:eastAsia="Arial Unicode MS" w:hAnsi="Times New Roman" w:cs="Times New Roman"/>
          <w:sz w:val="20"/>
          <w:szCs w:val="20"/>
        </w:rPr>
        <w:t>Zolin</w:t>
      </w:r>
      <w:proofErr w:type="spellEnd"/>
      <w:r w:rsidRPr="00EA6031">
        <w:rPr>
          <w:rFonts w:ascii="Times New Roman" w:eastAsia="Arial Unicode MS" w:hAnsi="Times New Roman" w:cs="Times New Roman"/>
          <w:sz w:val="20"/>
          <w:szCs w:val="20"/>
        </w:rPr>
        <w:t xml:space="preserve"> decision on the crime-fraud exception to the attorney-client privilege”</w:t>
      </w:r>
      <w:r w:rsidRPr="00EA6031">
        <w:rPr>
          <w:rFonts w:ascii="Times New Roman" w:eastAsia="Arial Unicode MS" w:hAnsi="Times New Roman" w:cs="Times New Roman"/>
          <w:sz w:val="20"/>
          <w:szCs w:val="20"/>
          <w:lang w:val="en-US"/>
        </w:rPr>
        <w:t xml:space="preserve"> 1989-1990 </w:t>
      </w:r>
      <w:r w:rsidRPr="00EA6031">
        <w:rPr>
          <w:rFonts w:ascii="Times New Roman" w:eastAsia="Arial Unicode MS" w:hAnsi="Times New Roman" w:cs="Times New Roman"/>
          <w:i/>
          <w:sz w:val="20"/>
          <w:szCs w:val="20"/>
        </w:rPr>
        <w:t>Georgia  Law Review</w:t>
      </w:r>
      <w:r w:rsidRPr="00EA6031">
        <w:rPr>
          <w:rFonts w:ascii="Times New Roman" w:eastAsia="Arial Unicode MS" w:hAnsi="Times New Roman" w:cs="Times New Roman"/>
          <w:sz w:val="20"/>
          <w:szCs w:val="20"/>
        </w:rPr>
        <w:t xml:space="preserve"> Vol 24, 1115</w:t>
      </w:r>
      <w:r w:rsidRPr="00EA6031">
        <w:rPr>
          <w:rFonts w:ascii="Times New Roman" w:eastAsia="Arial Unicode MS" w:hAnsi="Times New Roman" w:cs="Times New Roman"/>
          <w:sz w:val="20"/>
          <w:szCs w:val="20"/>
          <w:lang w:val="en-US"/>
        </w:rPr>
        <w:t>, 1121</w:t>
      </w:r>
    </w:p>
  </w:footnote>
  <w:footnote w:id="95">
    <w:p w14:paraId="44126460"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In Re: Grand Jury Subpoena</w:t>
      </w:r>
      <w:r w:rsidRPr="00EA6031">
        <w:rPr>
          <w:rFonts w:ascii="Times New Roman" w:eastAsia="Arial Unicode MS" w:hAnsi="Times New Roman" w:cs="Times New Roman"/>
          <w:sz w:val="20"/>
          <w:szCs w:val="20"/>
        </w:rPr>
        <w:t xml:space="preserve"> 745 F.3d 681</w:t>
      </w:r>
      <w:r w:rsidRPr="00EA6031">
        <w:rPr>
          <w:rFonts w:ascii="Times New Roman" w:eastAsia="Arial Unicode MS" w:hAnsi="Times New Roman" w:cs="Times New Roman"/>
          <w:sz w:val="20"/>
          <w:szCs w:val="20"/>
          <w:lang w:val="en-US"/>
        </w:rPr>
        <w:t>, 692 (3</w:t>
      </w:r>
      <w:r w:rsidRPr="00EA6031">
        <w:rPr>
          <w:rFonts w:ascii="Times New Roman" w:eastAsia="Arial Unicode MS" w:hAnsi="Times New Roman" w:cs="Times New Roman"/>
          <w:sz w:val="20"/>
          <w:szCs w:val="20"/>
          <w:vertAlign w:val="superscript"/>
          <w:lang w:val="en-US"/>
        </w:rPr>
        <w:t>rd</w:t>
      </w:r>
      <w:r w:rsidRPr="00EA6031">
        <w:rPr>
          <w:rFonts w:ascii="Times New Roman" w:eastAsia="Arial Unicode MS" w:hAnsi="Times New Roman" w:cs="Times New Roman"/>
          <w:sz w:val="20"/>
          <w:szCs w:val="20"/>
          <w:lang w:val="en-US"/>
        </w:rPr>
        <w:t xml:space="preserve"> Cir. 2014)</w:t>
      </w:r>
    </w:p>
  </w:footnote>
  <w:footnote w:id="96">
    <w:p w14:paraId="10A19D9B"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sz w:val="20"/>
          <w:szCs w:val="20"/>
          <w:lang w:val="en-US"/>
        </w:rPr>
        <w:t>S.</w:t>
      </w:r>
      <w:r>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sz w:val="20"/>
          <w:szCs w:val="20"/>
          <w:lang w:val="en-US"/>
        </w:rPr>
        <w:t>Gerson and J</w:t>
      </w:r>
      <w:r>
        <w:rPr>
          <w:rFonts w:ascii="Times New Roman" w:eastAsia="Arial Unicode MS" w:hAnsi="Times New Roman" w:cs="Times New Roman"/>
          <w:sz w:val="20"/>
          <w:szCs w:val="20"/>
          <w:lang w:val="en-US"/>
        </w:rPr>
        <w:t>.</w:t>
      </w:r>
      <w:r w:rsidRPr="00EA6031">
        <w:rPr>
          <w:rFonts w:ascii="Times New Roman" w:eastAsia="Arial Unicode MS" w:hAnsi="Times New Roman" w:cs="Times New Roman"/>
          <w:sz w:val="20"/>
          <w:szCs w:val="20"/>
          <w:lang w:val="en-US"/>
        </w:rPr>
        <w:t xml:space="preserve"> </w:t>
      </w:r>
      <w:proofErr w:type="spellStart"/>
      <w:r w:rsidRPr="00EA6031">
        <w:rPr>
          <w:rFonts w:ascii="Times New Roman" w:eastAsia="Arial Unicode MS" w:hAnsi="Times New Roman" w:cs="Times New Roman"/>
          <w:sz w:val="20"/>
          <w:szCs w:val="20"/>
          <w:lang w:val="en-US"/>
        </w:rPr>
        <w:t>Gladieux</w:t>
      </w:r>
      <w:proofErr w:type="spellEnd"/>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sz w:val="20"/>
          <w:szCs w:val="20"/>
        </w:rPr>
        <w:t>Advice of counsel: eroding confidentiality</w:t>
      </w:r>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sz w:val="20"/>
          <w:szCs w:val="20"/>
        </w:rPr>
        <w:t>in federal health care law</w:t>
      </w:r>
      <w:r>
        <w:rPr>
          <w:rFonts w:eastAsia="Arial Unicode MS" w:cs="Arial Unicode MS"/>
        </w:rPr>
        <w:t xml:space="preserve">” </w:t>
      </w:r>
      <w:r w:rsidRPr="00EA6031">
        <w:rPr>
          <w:rFonts w:ascii="Times New Roman" w:eastAsia="Arial Unicode MS" w:hAnsi="Times New Roman" w:cs="Times New Roman"/>
          <w:sz w:val="20"/>
          <w:szCs w:val="20"/>
        </w:rPr>
        <w:t>1999-</w:t>
      </w:r>
      <w:proofErr w:type="gramStart"/>
      <w:r w:rsidRPr="00EA6031">
        <w:rPr>
          <w:rFonts w:ascii="Times New Roman" w:eastAsia="Arial Unicode MS" w:hAnsi="Times New Roman" w:cs="Times New Roman"/>
          <w:sz w:val="20"/>
          <w:szCs w:val="20"/>
        </w:rPr>
        <w:t>2000</w:t>
      </w:r>
      <w:r>
        <w:rPr>
          <w:rFonts w:eastAsia="Arial Unicode MS" w:cs="Arial Unicode MS"/>
        </w:rPr>
        <w:t xml:space="preserve"> </w:t>
      </w:r>
      <w:r>
        <w:rPr>
          <w:rFonts w:eastAsia="Arial Unicode MS" w:cs="Arial Unicode MS"/>
          <w:lang w:val="en-US"/>
        </w:rPr>
        <w:t xml:space="preserve"> </w:t>
      </w:r>
      <w:r w:rsidRPr="00EA6031">
        <w:rPr>
          <w:rFonts w:ascii="Times New Roman" w:eastAsia="Arial Unicode MS" w:hAnsi="Times New Roman" w:cs="Times New Roman"/>
          <w:i/>
          <w:sz w:val="20"/>
          <w:szCs w:val="20"/>
          <w:lang w:val="en-US"/>
        </w:rPr>
        <w:t>Alabama</w:t>
      </w:r>
      <w:proofErr w:type="gramEnd"/>
      <w:r w:rsidRPr="00EA6031">
        <w:rPr>
          <w:rFonts w:ascii="Times New Roman" w:eastAsia="Arial Unicode MS" w:hAnsi="Times New Roman" w:cs="Times New Roman"/>
          <w:i/>
          <w:sz w:val="20"/>
          <w:szCs w:val="20"/>
          <w:lang w:val="en-US"/>
        </w:rPr>
        <w:t xml:space="preserve"> Law Review</w:t>
      </w:r>
      <w:r w:rsidRPr="00EA6031">
        <w:rPr>
          <w:rFonts w:ascii="Times New Roman" w:eastAsia="Arial Unicode MS" w:hAnsi="Times New Roman" w:cs="Times New Roman"/>
          <w:sz w:val="20"/>
          <w:szCs w:val="20"/>
          <w:lang w:val="en-US"/>
        </w:rPr>
        <w:t xml:space="preserve"> Vol 51, 163, 190.</w:t>
      </w:r>
    </w:p>
  </w:footnote>
  <w:footnote w:id="97">
    <w:p w14:paraId="2327F7E9" w14:textId="40ACE0BC"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See </w:t>
      </w:r>
      <w:r w:rsidRPr="00EA6031">
        <w:rPr>
          <w:rFonts w:ascii="Times New Roman" w:eastAsia="Arial Unicode MS" w:hAnsi="Times New Roman" w:cs="Times New Roman"/>
          <w:sz w:val="20"/>
          <w:szCs w:val="20"/>
          <w:lang w:val="en-US"/>
        </w:rPr>
        <w:t>G</w:t>
      </w:r>
      <w:r w:rsidR="00B93CD0">
        <w:rPr>
          <w:rFonts w:ascii="Times New Roman" w:eastAsia="Arial Unicode MS" w:hAnsi="Times New Roman" w:cs="Times New Roman"/>
          <w:sz w:val="20"/>
          <w:szCs w:val="20"/>
          <w:lang w:val="en-US"/>
        </w:rPr>
        <w:t xml:space="preserve">erson and </w:t>
      </w:r>
      <w:proofErr w:type="spellStart"/>
      <w:r w:rsidR="00B93CD0">
        <w:rPr>
          <w:rFonts w:ascii="Times New Roman" w:eastAsia="Arial Unicode MS" w:hAnsi="Times New Roman" w:cs="Times New Roman"/>
          <w:sz w:val="20"/>
          <w:szCs w:val="20"/>
          <w:lang w:val="en-US"/>
        </w:rPr>
        <w:t>Gladieux</w:t>
      </w:r>
      <w:proofErr w:type="spellEnd"/>
      <w:r w:rsidR="00B93CD0">
        <w:rPr>
          <w:rFonts w:ascii="Times New Roman" w:eastAsia="Arial Unicode MS" w:hAnsi="Times New Roman" w:cs="Times New Roman"/>
          <w:sz w:val="20"/>
          <w:szCs w:val="20"/>
          <w:lang w:val="en-US"/>
        </w:rPr>
        <w:t>, above fn.94</w:t>
      </w:r>
      <w:r w:rsidR="00211B0B">
        <w:rPr>
          <w:rFonts w:ascii="Times New Roman" w:eastAsia="Arial Unicode MS" w:hAnsi="Times New Roman" w:cs="Times New Roman"/>
          <w:sz w:val="20"/>
          <w:szCs w:val="20"/>
          <w:lang w:val="en-US"/>
        </w:rPr>
        <w:t>, citing a trend noted</w:t>
      </w:r>
      <w:r w:rsidR="00EC4A36">
        <w:rPr>
          <w:rFonts w:ascii="Times New Roman" w:eastAsia="Arial Unicode MS" w:hAnsi="Times New Roman" w:cs="Times New Roman"/>
          <w:sz w:val="20"/>
          <w:szCs w:val="20"/>
          <w:lang w:val="en-US"/>
        </w:rPr>
        <w:t xml:space="preserve"> by the 10</w:t>
      </w:r>
      <w:r w:rsidR="00EC4A36" w:rsidRPr="00EC4A36">
        <w:rPr>
          <w:rFonts w:ascii="Times New Roman" w:eastAsia="Arial Unicode MS" w:hAnsi="Times New Roman" w:cs="Times New Roman"/>
          <w:sz w:val="20"/>
          <w:szCs w:val="20"/>
          <w:vertAlign w:val="superscript"/>
          <w:lang w:val="en-US"/>
        </w:rPr>
        <w:t>th</w:t>
      </w:r>
      <w:r w:rsidR="00EC4A36">
        <w:rPr>
          <w:rFonts w:ascii="Times New Roman" w:eastAsia="Arial Unicode MS" w:hAnsi="Times New Roman" w:cs="Times New Roman"/>
          <w:sz w:val="20"/>
          <w:szCs w:val="20"/>
          <w:lang w:val="en-US"/>
        </w:rPr>
        <w:t xml:space="preserve"> Circuit, and also Da</w:t>
      </w:r>
      <w:r w:rsidR="00211B0B">
        <w:rPr>
          <w:rFonts w:ascii="Times New Roman" w:eastAsia="Arial Unicode MS" w:hAnsi="Times New Roman" w:cs="Times New Roman"/>
          <w:sz w:val="20"/>
          <w:szCs w:val="20"/>
          <w:lang w:val="en-US"/>
        </w:rPr>
        <w:t xml:space="preserve">ily and </w:t>
      </w:r>
      <w:proofErr w:type="spellStart"/>
      <w:r w:rsidR="00211B0B">
        <w:rPr>
          <w:rFonts w:ascii="Times New Roman" w:eastAsia="Arial Unicode MS" w:hAnsi="Times New Roman" w:cs="Times New Roman"/>
          <w:sz w:val="20"/>
          <w:szCs w:val="20"/>
          <w:lang w:val="en-US"/>
        </w:rPr>
        <w:t>Thornquist</w:t>
      </w:r>
      <w:proofErr w:type="spellEnd"/>
      <w:r w:rsidR="00211B0B">
        <w:rPr>
          <w:rFonts w:ascii="Times New Roman" w:eastAsia="Arial Unicode MS" w:hAnsi="Times New Roman" w:cs="Times New Roman"/>
          <w:sz w:val="20"/>
          <w:szCs w:val="20"/>
          <w:lang w:val="en-US"/>
        </w:rPr>
        <w:t xml:space="preserve">, above </w:t>
      </w:r>
      <w:proofErr w:type="spellStart"/>
      <w:proofErr w:type="gramStart"/>
      <w:r w:rsidR="00211B0B">
        <w:rPr>
          <w:rFonts w:ascii="Times New Roman" w:eastAsia="Arial Unicode MS" w:hAnsi="Times New Roman" w:cs="Times New Roman"/>
          <w:sz w:val="20"/>
          <w:szCs w:val="20"/>
          <w:lang w:val="en-US"/>
        </w:rPr>
        <w:t>fn</w:t>
      </w:r>
      <w:proofErr w:type="spellEnd"/>
      <w:proofErr w:type="gramEnd"/>
      <w:r w:rsidR="00211B0B">
        <w:rPr>
          <w:rFonts w:ascii="Times New Roman" w:eastAsia="Arial Unicode MS" w:hAnsi="Times New Roman" w:cs="Times New Roman"/>
          <w:sz w:val="20"/>
          <w:szCs w:val="20"/>
          <w:lang w:val="en-US"/>
        </w:rPr>
        <w:t xml:space="preserve"> 91</w:t>
      </w:r>
      <w:r w:rsidR="00EC4A36">
        <w:rPr>
          <w:rFonts w:ascii="Times New Roman" w:eastAsia="Arial Unicode MS" w:hAnsi="Times New Roman" w:cs="Times New Roman"/>
          <w:sz w:val="20"/>
          <w:szCs w:val="20"/>
          <w:lang w:val="en-US"/>
        </w:rPr>
        <w:t>, 586.</w:t>
      </w:r>
      <w:r w:rsidRPr="00EA6031">
        <w:rPr>
          <w:rFonts w:ascii="Times New Roman" w:eastAsia="Arial Unicode MS" w:hAnsi="Times New Roman" w:cs="Times New Roman"/>
          <w:sz w:val="20"/>
          <w:szCs w:val="20"/>
          <w:lang w:val="en-US"/>
        </w:rPr>
        <w:t xml:space="preserve">   </w:t>
      </w:r>
    </w:p>
  </w:footnote>
  <w:footnote w:id="98">
    <w:p w14:paraId="4F5E6CC0"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Marc Rich &amp; Co. A.G. v United States</w:t>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sz w:val="20"/>
          <w:szCs w:val="20"/>
          <w:lang w:val="en-US"/>
        </w:rPr>
        <w:t>731 F.2d 1032, 1039 (2</w:t>
      </w:r>
      <w:r w:rsidRPr="00EA6031">
        <w:rPr>
          <w:rFonts w:ascii="Times New Roman" w:eastAsia="Arial Unicode MS" w:hAnsi="Times New Roman" w:cs="Times New Roman"/>
          <w:sz w:val="20"/>
          <w:szCs w:val="20"/>
          <w:vertAlign w:val="superscript"/>
          <w:lang w:val="en-US"/>
        </w:rPr>
        <w:t>nd</w:t>
      </w:r>
      <w:r w:rsidRPr="00EA6031">
        <w:rPr>
          <w:rFonts w:ascii="Times New Roman" w:eastAsia="Arial Unicode MS" w:hAnsi="Times New Roman" w:cs="Times New Roman"/>
          <w:sz w:val="20"/>
          <w:szCs w:val="20"/>
          <w:lang w:val="en-US"/>
        </w:rPr>
        <w:t xml:space="preserve"> Cir. 1984)</w:t>
      </w:r>
    </w:p>
  </w:footnote>
  <w:footnote w:id="99">
    <w:p w14:paraId="614C4667"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In Re: Grand Jury Investigation, Glen J.</w:t>
      </w:r>
      <w:r>
        <w:rPr>
          <w:rFonts w:ascii="Times New Roman" w:eastAsia="Arial Unicode MS" w:hAnsi="Times New Roman" w:cs="Times New Roman"/>
          <w:i/>
          <w:sz w:val="20"/>
          <w:szCs w:val="20"/>
        </w:rPr>
        <w:t xml:space="preserve"> </w:t>
      </w:r>
      <w:proofErr w:type="spellStart"/>
      <w:r w:rsidRPr="00EA6031">
        <w:rPr>
          <w:rFonts w:ascii="Times New Roman" w:eastAsia="Arial Unicode MS" w:hAnsi="Times New Roman" w:cs="Times New Roman"/>
          <w:i/>
          <w:sz w:val="20"/>
          <w:szCs w:val="20"/>
        </w:rPr>
        <w:t>Shroeder</w:t>
      </w:r>
      <w:proofErr w:type="spellEnd"/>
      <w:r w:rsidRPr="00EA6031">
        <w:rPr>
          <w:rFonts w:ascii="Times New Roman" w:eastAsia="Arial Unicode MS" w:hAnsi="Times New Roman" w:cs="Times New Roman"/>
          <w:i/>
          <w:sz w:val="20"/>
          <w:szCs w:val="20"/>
        </w:rPr>
        <w:t>, Jr.</w:t>
      </w:r>
      <w:r w:rsidRPr="00EA6031">
        <w:rPr>
          <w:rFonts w:ascii="Times New Roman" w:eastAsia="Arial Unicode MS" w:hAnsi="Times New Roman" w:cs="Times New Roman"/>
          <w:sz w:val="20"/>
          <w:szCs w:val="20"/>
        </w:rPr>
        <w:t xml:space="preserve">  842 F.2d 1223 (11</w:t>
      </w:r>
      <w:r w:rsidRPr="00EA6031">
        <w:rPr>
          <w:rFonts w:ascii="Times New Roman" w:eastAsia="Arial Unicode MS" w:hAnsi="Times New Roman" w:cs="Times New Roman"/>
          <w:sz w:val="20"/>
          <w:szCs w:val="20"/>
          <w:vertAlign w:val="superscript"/>
        </w:rPr>
        <w:t>th</w:t>
      </w:r>
      <w:r w:rsidRPr="00EA6031">
        <w:rPr>
          <w:rFonts w:ascii="Times New Roman" w:eastAsia="Arial Unicode MS" w:hAnsi="Times New Roman" w:cs="Times New Roman"/>
          <w:sz w:val="20"/>
          <w:szCs w:val="20"/>
        </w:rPr>
        <w:t xml:space="preserve"> Cir. 1987)</w:t>
      </w:r>
    </w:p>
  </w:footnote>
  <w:footnote w:id="100">
    <w:p w14:paraId="4635D48E" w14:textId="6B098299"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proofErr w:type="spellStart"/>
      <w:proofErr w:type="gramStart"/>
      <w:r w:rsidRPr="00EA6031">
        <w:rPr>
          <w:rFonts w:ascii="Times New Roman" w:eastAsia="Arial Unicode MS" w:hAnsi="Times New Roman" w:cs="Times New Roman"/>
          <w:i/>
          <w:sz w:val="20"/>
          <w:szCs w:val="20"/>
        </w:rPr>
        <w:t>Shroeder</w:t>
      </w:r>
      <w:proofErr w:type="spellEnd"/>
      <w:r w:rsidR="00B93CD0">
        <w:rPr>
          <w:rFonts w:ascii="Times New Roman" w:eastAsia="Arial Unicode MS" w:hAnsi="Times New Roman" w:cs="Times New Roman"/>
          <w:sz w:val="20"/>
          <w:szCs w:val="20"/>
        </w:rPr>
        <w:t xml:space="preserve"> above fn. 97</w:t>
      </w:r>
      <w:r w:rsidRPr="00EA6031">
        <w:rPr>
          <w:rFonts w:ascii="Times New Roman" w:eastAsia="Arial Unicode MS" w:hAnsi="Times New Roman" w:cs="Times New Roman"/>
          <w:sz w:val="20"/>
          <w:szCs w:val="20"/>
          <w:lang w:val="en-US"/>
        </w:rPr>
        <w:t xml:space="preserve"> at 1226.</w:t>
      </w:r>
      <w:proofErr w:type="gramEnd"/>
      <w:r w:rsidRPr="00EA6031">
        <w:rPr>
          <w:rFonts w:ascii="Times New Roman" w:eastAsia="Arial Unicode MS" w:hAnsi="Times New Roman" w:cs="Times New Roman"/>
          <w:sz w:val="20"/>
          <w:szCs w:val="20"/>
          <w:lang w:val="en-US"/>
        </w:rPr>
        <w:t xml:space="preserve"> The first part of the test required a “showing that the client was engaged in criminal or fraudulent conduct when he sought the advice of counsel,</w:t>
      </w:r>
      <w:r w:rsidRPr="00EA6031">
        <w:rPr>
          <w:rFonts w:ascii="Times New Roman" w:eastAsia="Arial Unicode MS" w:hAnsi="Times New Roman" w:cs="Times New Roman"/>
          <w:i/>
          <w:sz w:val="20"/>
          <w:szCs w:val="20"/>
          <w:lang w:val="en-US"/>
        </w:rPr>
        <w:t xml:space="preserve"> </w:t>
      </w:r>
      <w:r w:rsidRPr="00EA6031">
        <w:rPr>
          <w:rFonts w:ascii="Times New Roman" w:eastAsia="Arial Unicode MS" w:hAnsi="Times New Roman" w:cs="Times New Roman"/>
          <w:sz w:val="20"/>
          <w:szCs w:val="20"/>
          <w:lang w:val="en-US"/>
        </w:rPr>
        <w:t>that he was planning such conduct when he sought the advice of counsel, or that he committed a crime or fraud subsequent to receiving the benefit of counsel's advice.”</w:t>
      </w:r>
    </w:p>
  </w:footnote>
  <w:footnote w:id="101">
    <w:p w14:paraId="1A281E16" w14:textId="381712F9"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proofErr w:type="spellStart"/>
      <w:r w:rsidRPr="00EA6031">
        <w:rPr>
          <w:rFonts w:ascii="Times New Roman" w:eastAsia="Arial Unicode MS" w:hAnsi="Times New Roman" w:cs="Times New Roman"/>
          <w:i/>
          <w:sz w:val="20"/>
          <w:szCs w:val="20"/>
          <w:lang w:val="en-US"/>
        </w:rPr>
        <w:t>Shroeder</w:t>
      </w:r>
      <w:proofErr w:type="spellEnd"/>
      <w:r w:rsidR="00B93CD0">
        <w:rPr>
          <w:rFonts w:ascii="Times New Roman" w:eastAsia="Arial Unicode MS" w:hAnsi="Times New Roman" w:cs="Times New Roman"/>
          <w:sz w:val="20"/>
          <w:szCs w:val="20"/>
          <w:lang w:val="en-US"/>
        </w:rPr>
        <w:t xml:space="preserve"> above fn. 97</w:t>
      </w:r>
      <w:r w:rsidRPr="00EA6031">
        <w:rPr>
          <w:rFonts w:ascii="Times New Roman" w:eastAsia="Arial Unicode MS" w:hAnsi="Times New Roman" w:cs="Times New Roman"/>
          <w:sz w:val="20"/>
          <w:szCs w:val="20"/>
          <w:lang w:val="en-US"/>
        </w:rPr>
        <w:t xml:space="preserve"> at 1227</w:t>
      </w:r>
    </w:p>
  </w:footnote>
  <w:footnote w:id="102">
    <w:p w14:paraId="1016E4F2" w14:textId="1BCD6B86"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In Re: Grand Jury Subpoena</w:t>
      </w:r>
      <w:r w:rsidR="00DB5690">
        <w:rPr>
          <w:rFonts w:ascii="Times New Roman" w:eastAsia="Arial Unicode MS" w:hAnsi="Times New Roman" w:cs="Times New Roman"/>
          <w:sz w:val="20"/>
          <w:szCs w:val="20"/>
        </w:rPr>
        <w:t xml:space="preserve"> above fn.93</w:t>
      </w:r>
      <w:r w:rsidRPr="00EA6031">
        <w:rPr>
          <w:rFonts w:ascii="Times New Roman" w:eastAsia="Arial Unicode MS" w:hAnsi="Times New Roman" w:cs="Times New Roman"/>
          <w:sz w:val="20"/>
          <w:szCs w:val="20"/>
        </w:rPr>
        <w:t xml:space="preserve"> at 692</w:t>
      </w:r>
    </w:p>
  </w:footnote>
  <w:footnote w:id="103">
    <w:p w14:paraId="23362DA9" w14:textId="77777777" w:rsidR="00A63E56" w:rsidRPr="00EA6031" w:rsidRDefault="00A63E56">
      <w:pPr>
        <w:pStyle w:val="FootnoteText"/>
        <w:rPr>
          <w:rFonts w:eastAsia="Arial Unicode MS"/>
          <w:color w:val="000000"/>
          <w:bdr w:val="nil"/>
          <w:lang w:val="en-US" w:eastAsia="en-GB"/>
        </w:rPr>
      </w:pPr>
      <w:r w:rsidRPr="00EA6031">
        <w:rPr>
          <w:rStyle w:val="FootnoteReference"/>
        </w:rPr>
        <w:footnoteRef/>
      </w:r>
      <w:r w:rsidRPr="00EA6031">
        <w:t xml:space="preserve"> </w:t>
      </w:r>
      <w:r w:rsidRPr="00EA6031">
        <w:rPr>
          <w:rFonts w:eastAsia="Arial Unicode MS"/>
          <w:i/>
          <w:color w:val="000000"/>
          <w:bdr w:val="nil"/>
          <w:lang w:val="en-US" w:eastAsia="en-GB"/>
        </w:rPr>
        <w:t>In Re: Sealed Case</w:t>
      </w:r>
      <w:r w:rsidRPr="00EA6031">
        <w:rPr>
          <w:rFonts w:eastAsia="Arial Unicode MS"/>
          <w:color w:val="000000"/>
          <w:bdr w:val="nil"/>
          <w:lang w:val="en-US" w:eastAsia="en-GB"/>
        </w:rPr>
        <w:t xml:space="preserve"> 676 F</w:t>
      </w:r>
      <w:r>
        <w:rPr>
          <w:rFonts w:eastAsia="Arial Unicode MS"/>
          <w:color w:val="000000"/>
          <w:bdr w:val="nil"/>
          <w:lang w:val="en-US" w:eastAsia="en-GB"/>
        </w:rPr>
        <w:t>.</w:t>
      </w:r>
      <w:r w:rsidRPr="00EA6031">
        <w:rPr>
          <w:rFonts w:eastAsia="Arial Unicode MS"/>
          <w:color w:val="000000"/>
          <w:bdr w:val="nil"/>
          <w:lang w:val="en-US" w:eastAsia="en-GB"/>
        </w:rPr>
        <w:t>2d, 793, 812 (7</w:t>
      </w:r>
      <w:r w:rsidRPr="00EA6031">
        <w:rPr>
          <w:rFonts w:eastAsia="Arial Unicode MS"/>
          <w:color w:val="000000"/>
          <w:bdr w:val="nil"/>
          <w:vertAlign w:val="superscript"/>
          <w:lang w:val="en-US" w:eastAsia="en-GB"/>
        </w:rPr>
        <w:t>th</w:t>
      </w:r>
      <w:r w:rsidRPr="00EA6031">
        <w:rPr>
          <w:rFonts w:eastAsia="Arial Unicode MS"/>
          <w:color w:val="000000"/>
          <w:bdr w:val="nil"/>
          <w:lang w:val="en-US" w:eastAsia="en-GB"/>
        </w:rPr>
        <w:t xml:space="preserve"> Cir. 1982)</w:t>
      </w:r>
    </w:p>
  </w:footnote>
  <w:footnote w:id="104">
    <w:p w14:paraId="70827632" w14:textId="201CCD87" w:rsidR="00A63E56" w:rsidRPr="00EA6031" w:rsidRDefault="00A63E56">
      <w:pPr>
        <w:pStyle w:val="FootnoteText"/>
        <w:rPr>
          <w:rFonts w:eastAsia="Arial Unicode MS"/>
          <w:color w:val="000000"/>
          <w:bdr w:val="nil"/>
          <w:lang w:val="en-US" w:eastAsia="en-GB"/>
        </w:rPr>
      </w:pPr>
      <w:r w:rsidRPr="0094067E">
        <w:rPr>
          <w:rStyle w:val="FootnoteReference"/>
        </w:rPr>
        <w:footnoteRef/>
      </w:r>
      <w:r w:rsidRPr="00EA6031">
        <w:rPr>
          <w:rFonts w:eastAsia="Arial Unicode MS"/>
          <w:color w:val="000000"/>
          <w:bdr w:val="nil"/>
          <w:lang w:val="en-US" w:eastAsia="en-GB"/>
        </w:rPr>
        <w:t xml:space="preserve"> See G</w:t>
      </w:r>
      <w:r w:rsidR="00DB5690">
        <w:rPr>
          <w:rFonts w:eastAsia="Arial Unicode MS"/>
          <w:color w:val="000000"/>
          <w:bdr w:val="nil"/>
          <w:lang w:val="en-US" w:eastAsia="en-GB"/>
        </w:rPr>
        <w:t xml:space="preserve">erson and </w:t>
      </w:r>
      <w:proofErr w:type="spellStart"/>
      <w:r w:rsidR="00DB5690">
        <w:rPr>
          <w:rFonts w:eastAsia="Arial Unicode MS"/>
          <w:color w:val="000000"/>
          <w:bdr w:val="nil"/>
          <w:lang w:val="en-US" w:eastAsia="en-GB"/>
        </w:rPr>
        <w:t>Gladieux</w:t>
      </w:r>
      <w:proofErr w:type="spellEnd"/>
      <w:r w:rsidR="00DB5690">
        <w:rPr>
          <w:rFonts w:eastAsia="Arial Unicode MS"/>
          <w:color w:val="000000"/>
          <w:bdr w:val="nil"/>
          <w:lang w:val="en-US" w:eastAsia="en-GB"/>
        </w:rPr>
        <w:t xml:space="preserve"> above fn. 94</w:t>
      </w:r>
      <w:r w:rsidRPr="00EA6031">
        <w:rPr>
          <w:rFonts w:eastAsia="Arial Unicode MS"/>
          <w:color w:val="000000"/>
          <w:bdr w:val="nil"/>
          <w:lang w:val="en-US" w:eastAsia="en-GB"/>
        </w:rPr>
        <w:t>, 190</w:t>
      </w:r>
    </w:p>
  </w:footnote>
  <w:footnote w:id="105">
    <w:p w14:paraId="57FD5925" w14:textId="67F71E73" w:rsidR="00A63E56" w:rsidRPr="00EA6031" w:rsidRDefault="00A63E56" w:rsidP="00B65DA0">
      <w:pPr>
        <w:pStyle w:val="FootnoteText"/>
        <w:rPr>
          <w:rFonts w:eastAsia="Arial Unicode MS"/>
          <w:color w:val="000000"/>
          <w:bdr w:val="nil"/>
          <w:lang w:val="en-US" w:eastAsia="en-GB"/>
        </w:rPr>
      </w:pPr>
      <w:r w:rsidRPr="0094067E">
        <w:rPr>
          <w:rStyle w:val="FootnoteReference"/>
        </w:rPr>
        <w:footnoteRef/>
      </w:r>
      <w:r w:rsidR="00DB5690">
        <w:rPr>
          <w:rFonts w:eastAsia="Arial Unicode MS"/>
          <w:color w:val="000000"/>
          <w:bdr w:val="nil"/>
          <w:lang w:val="en-US" w:eastAsia="en-GB"/>
        </w:rPr>
        <w:t xml:space="preserve"> See Fried above fn. 89</w:t>
      </w:r>
      <w:r w:rsidRPr="00EA6031">
        <w:rPr>
          <w:rFonts w:eastAsia="Arial Unicode MS"/>
          <w:color w:val="000000"/>
          <w:bdr w:val="nil"/>
          <w:lang w:val="en-US" w:eastAsia="en-GB"/>
        </w:rPr>
        <w:t>, 478. Fried also cites an example where the crime-fraud exception was applied</w:t>
      </w:r>
      <w:r w:rsidRPr="00EA6031">
        <w:t xml:space="preserve"> </w:t>
      </w:r>
      <w:r w:rsidRPr="00EA6031">
        <w:rPr>
          <w:rFonts w:eastAsia="Arial Unicode MS"/>
          <w:color w:val="000000"/>
          <w:bdr w:val="nil"/>
          <w:lang w:val="en-US" w:eastAsia="en-GB"/>
        </w:rPr>
        <w:t xml:space="preserve">without the wrongdoing being </w:t>
      </w:r>
      <w:proofErr w:type="spellStart"/>
      <w:r w:rsidRPr="00EA6031">
        <w:rPr>
          <w:rFonts w:eastAsia="Arial Unicode MS"/>
          <w:color w:val="000000"/>
          <w:bdr w:val="nil"/>
          <w:lang w:val="en-US" w:eastAsia="en-GB"/>
        </w:rPr>
        <w:t>characterised</w:t>
      </w:r>
      <w:proofErr w:type="spellEnd"/>
      <w:r w:rsidRPr="00EA6031">
        <w:rPr>
          <w:rFonts w:eastAsia="Arial Unicode MS"/>
          <w:color w:val="000000"/>
          <w:bdr w:val="nil"/>
          <w:lang w:val="en-US" w:eastAsia="en-GB"/>
        </w:rPr>
        <w:t xml:space="preserve"> as either crime or fraud. </w:t>
      </w:r>
    </w:p>
  </w:footnote>
  <w:footnote w:id="106">
    <w:p w14:paraId="3341AF62" w14:textId="7183DB1D" w:rsidR="00A63E56" w:rsidRPr="00BC4D08" w:rsidRDefault="00A63E56" w:rsidP="00F656A3">
      <w:pPr>
        <w:pStyle w:val="Footnote"/>
        <w:rPr>
          <w:rFonts w:ascii="Times New Roman" w:eastAsia="Arial Unicode MS" w:hAnsi="Times New Roman" w:cs="Times New Roman"/>
          <w:sz w:val="20"/>
          <w:szCs w:val="20"/>
          <w:lang w:val="en-US"/>
        </w:rPr>
      </w:pPr>
      <w:r w:rsidRPr="00EA6031">
        <w:rPr>
          <w:rStyle w:val="FootnoteReference"/>
        </w:rPr>
        <w:footnoteRef/>
      </w:r>
      <w:r w:rsidRPr="00EA6031">
        <w:t xml:space="preserve"> </w:t>
      </w:r>
      <w:r w:rsidR="00AC390E" w:rsidRPr="00AC390E">
        <w:rPr>
          <w:rFonts w:ascii="Times New Roman" w:eastAsia="Arial Unicode MS" w:hAnsi="Times New Roman" w:cs="Times New Roman"/>
          <w:sz w:val="20"/>
          <w:szCs w:val="20"/>
          <w:lang w:val="en-US"/>
        </w:rPr>
        <w:t>See</w:t>
      </w:r>
      <w:r w:rsidR="00AC390E">
        <w:t xml:space="preserve"> </w:t>
      </w:r>
      <w:r w:rsidRPr="00BC4D08">
        <w:rPr>
          <w:rFonts w:ascii="Times New Roman" w:eastAsia="Arial Unicode MS" w:hAnsi="Times New Roman" w:cs="Times New Roman"/>
          <w:sz w:val="20"/>
          <w:szCs w:val="20"/>
          <w:lang w:val="en-US"/>
        </w:rPr>
        <w:t xml:space="preserve">Mitchell </w:t>
      </w:r>
      <w:r w:rsidR="00AC390E">
        <w:rPr>
          <w:rFonts w:ascii="Times New Roman" w:eastAsia="Arial Unicode MS" w:hAnsi="Times New Roman" w:cs="Times New Roman"/>
          <w:sz w:val="20"/>
          <w:szCs w:val="20"/>
          <w:lang w:val="en-US"/>
        </w:rPr>
        <w:t xml:space="preserve">above </w:t>
      </w:r>
      <w:proofErr w:type="spellStart"/>
      <w:proofErr w:type="gramStart"/>
      <w:r w:rsidR="00AC390E">
        <w:rPr>
          <w:rFonts w:ascii="Times New Roman" w:eastAsia="Arial Unicode MS" w:hAnsi="Times New Roman" w:cs="Times New Roman"/>
          <w:sz w:val="20"/>
          <w:szCs w:val="20"/>
          <w:lang w:val="en-US"/>
        </w:rPr>
        <w:t>fn</w:t>
      </w:r>
      <w:proofErr w:type="spellEnd"/>
      <w:proofErr w:type="gramEnd"/>
      <w:r w:rsidR="00AC390E">
        <w:rPr>
          <w:rFonts w:ascii="Times New Roman" w:eastAsia="Arial Unicode MS" w:hAnsi="Times New Roman" w:cs="Times New Roman"/>
          <w:sz w:val="20"/>
          <w:szCs w:val="20"/>
          <w:lang w:val="en-US"/>
        </w:rPr>
        <w:t xml:space="preserve"> 44,</w:t>
      </w:r>
      <w:r w:rsidRPr="00BC4D08">
        <w:rPr>
          <w:rFonts w:ascii="Times New Roman" w:eastAsia="Arial Unicode MS" w:hAnsi="Times New Roman" w:cs="Times New Roman"/>
          <w:sz w:val="20"/>
          <w:szCs w:val="20"/>
          <w:lang w:val="en-US"/>
        </w:rPr>
        <w:t xml:space="preserve"> 247-248. The privilege applies to any individual </w:t>
      </w:r>
      <w:proofErr w:type="spellStart"/>
      <w:r w:rsidRPr="00BC4D08">
        <w:rPr>
          <w:rFonts w:ascii="Times New Roman" w:eastAsia="Arial Unicode MS" w:hAnsi="Times New Roman" w:cs="Times New Roman"/>
          <w:sz w:val="20"/>
          <w:szCs w:val="20"/>
          <w:lang w:val="en-US"/>
        </w:rPr>
        <w:t>authorised</w:t>
      </w:r>
      <w:proofErr w:type="spellEnd"/>
      <w:r w:rsidRPr="00BC4D08">
        <w:rPr>
          <w:rFonts w:ascii="Times New Roman" w:eastAsia="Arial Unicode MS" w:hAnsi="Times New Roman" w:cs="Times New Roman"/>
          <w:sz w:val="20"/>
          <w:szCs w:val="20"/>
          <w:lang w:val="en-US"/>
        </w:rPr>
        <w:t xml:space="preserve"> under federal law to practice before the IRS – Internal Revenue Code §7525(a) (3) (A) </w:t>
      </w:r>
    </w:p>
    <w:p w14:paraId="79F200B7" w14:textId="77777777" w:rsidR="00A63E56" w:rsidRPr="00EA6031" w:rsidRDefault="00A63E56">
      <w:pPr>
        <w:pStyle w:val="FootnoteText"/>
      </w:pPr>
      <w:r>
        <w:t xml:space="preserve">  </w:t>
      </w:r>
    </w:p>
  </w:footnote>
  <w:footnote w:id="107">
    <w:p w14:paraId="54125C93" w14:textId="77777777" w:rsidR="00A63E56" w:rsidRPr="00EA6031" w:rsidRDefault="00A63E56" w:rsidP="00985914">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Internal Revenue Code, </w:t>
      </w:r>
      <w:r w:rsidRPr="00EA6031">
        <w:rPr>
          <w:rFonts w:ascii="Times New Roman" w:hAnsi="Times New Roman" w:cs="Times New Roman"/>
          <w:sz w:val="20"/>
          <w:szCs w:val="20"/>
        </w:rPr>
        <w:t>§</w:t>
      </w:r>
      <w:r w:rsidRPr="00EA6031">
        <w:rPr>
          <w:rFonts w:ascii="Times New Roman" w:eastAsia="Arial Unicode MS" w:hAnsi="Times New Roman" w:cs="Times New Roman"/>
          <w:sz w:val="20"/>
          <w:szCs w:val="20"/>
        </w:rPr>
        <w:t xml:space="preserve">7525(b) </w:t>
      </w:r>
    </w:p>
  </w:footnote>
  <w:footnote w:id="108">
    <w:p w14:paraId="5F76430D" w14:textId="7785CEA8" w:rsidR="00A63E56" w:rsidRPr="00EA6031" w:rsidRDefault="00A63E56" w:rsidP="00985914">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United States  v BDO Seidman, LLP</w:t>
      </w:r>
      <w:r w:rsidR="00404795">
        <w:rPr>
          <w:rFonts w:ascii="Times New Roman" w:eastAsia="Arial Unicode MS" w:hAnsi="Times New Roman" w:cs="Times New Roman"/>
          <w:sz w:val="20"/>
          <w:szCs w:val="20"/>
        </w:rPr>
        <w:t xml:space="preserve"> 492 F.3d 806,</w:t>
      </w:r>
      <w:r w:rsidR="00C35799">
        <w:rPr>
          <w:rFonts w:ascii="Times New Roman" w:eastAsia="Arial Unicode MS" w:hAnsi="Times New Roman" w:cs="Times New Roman"/>
          <w:sz w:val="20"/>
          <w:szCs w:val="20"/>
        </w:rPr>
        <w:t xml:space="preserve"> 818</w:t>
      </w:r>
      <w:r w:rsidR="00404795">
        <w:rPr>
          <w:rFonts w:ascii="Times New Roman" w:eastAsia="Arial Unicode MS" w:hAnsi="Times New Roman" w:cs="Times New Roman"/>
          <w:sz w:val="20"/>
          <w:szCs w:val="20"/>
        </w:rPr>
        <w:t xml:space="preserve"> (7</w:t>
      </w:r>
      <w:r w:rsidR="00404795" w:rsidRPr="00404795">
        <w:rPr>
          <w:rFonts w:ascii="Times New Roman" w:eastAsia="Arial Unicode MS" w:hAnsi="Times New Roman" w:cs="Times New Roman"/>
          <w:sz w:val="20"/>
          <w:szCs w:val="20"/>
          <w:vertAlign w:val="superscript"/>
        </w:rPr>
        <w:t>th</w:t>
      </w:r>
      <w:r w:rsidR="00404795">
        <w:rPr>
          <w:rFonts w:ascii="Times New Roman" w:eastAsia="Arial Unicode MS" w:hAnsi="Times New Roman" w:cs="Times New Roman"/>
          <w:sz w:val="20"/>
          <w:szCs w:val="20"/>
        </w:rPr>
        <w:t xml:space="preserve"> Cir.2007)</w:t>
      </w:r>
    </w:p>
  </w:footnote>
  <w:footnote w:id="109">
    <w:p w14:paraId="56F726C8" w14:textId="03A6DB6B" w:rsidR="00A63E56" w:rsidRPr="00EA6031" w:rsidRDefault="00A63E56" w:rsidP="00985914">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United States  v BDO Seidman, LLP</w:t>
      </w:r>
      <w:r w:rsidR="00404795">
        <w:rPr>
          <w:rFonts w:ascii="Times New Roman" w:eastAsia="Arial Unicode MS" w:hAnsi="Times New Roman" w:cs="Times New Roman"/>
          <w:sz w:val="20"/>
          <w:szCs w:val="20"/>
        </w:rPr>
        <w:t xml:space="preserve"> above fn. 106</w:t>
      </w:r>
      <w:r w:rsidRPr="00EA6031">
        <w:rPr>
          <w:rFonts w:ascii="Times New Roman" w:eastAsia="Arial Unicode MS" w:hAnsi="Times New Roman" w:cs="Times New Roman"/>
          <w:sz w:val="20"/>
          <w:szCs w:val="20"/>
        </w:rPr>
        <w:t xml:space="preserve"> at 820</w:t>
      </w:r>
    </w:p>
  </w:footnote>
  <w:footnote w:id="110">
    <w:p w14:paraId="6297B76C" w14:textId="77777777" w:rsidR="00A63E56" w:rsidRPr="00EA6031" w:rsidRDefault="00A63E56" w:rsidP="00985914">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Internal Revenue </w:t>
      </w:r>
      <w:proofErr w:type="gramStart"/>
      <w:r w:rsidRPr="00EA6031">
        <w:rPr>
          <w:rFonts w:ascii="Times New Roman" w:eastAsia="Arial Unicode MS" w:hAnsi="Times New Roman" w:cs="Times New Roman"/>
          <w:sz w:val="20"/>
          <w:szCs w:val="20"/>
        </w:rPr>
        <w:t xml:space="preserve">Code  </w:t>
      </w:r>
      <w:r w:rsidRPr="00EA6031">
        <w:rPr>
          <w:rFonts w:ascii="Times New Roman" w:hAnsi="Times New Roman" w:cs="Times New Roman"/>
          <w:sz w:val="20"/>
          <w:szCs w:val="20"/>
        </w:rPr>
        <w:t>§</w:t>
      </w:r>
      <w:proofErr w:type="gramEnd"/>
      <w:r w:rsidRPr="00EA6031">
        <w:rPr>
          <w:rFonts w:ascii="Times New Roman" w:eastAsia="Arial Unicode MS" w:hAnsi="Times New Roman" w:cs="Times New Roman"/>
          <w:sz w:val="20"/>
          <w:szCs w:val="20"/>
        </w:rPr>
        <w:t>6112(a) (2000). The relevant provisions have since been amended to refer to ‘reportable transactions’.</w:t>
      </w:r>
    </w:p>
  </w:footnote>
  <w:footnote w:id="111">
    <w:p w14:paraId="3A4AE622" w14:textId="5131D63B" w:rsidR="00A63E56" w:rsidRPr="00EA6031" w:rsidRDefault="00A63E56" w:rsidP="00985914">
      <w:pPr>
        <w:pStyle w:val="Footnote"/>
        <w:rPr>
          <w:rFonts w:ascii="Times New Roman" w:hAnsi="Times New Roman" w:cs="Times New Roman"/>
          <w:sz w:val="20"/>
          <w:szCs w:val="20"/>
        </w:rPr>
      </w:pPr>
      <w:r>
        <w:rPr>
          <w:vertAlign w:val="superscript"/>
        </w:rPr>
        <w:footnoteRef/>
      </w:r>
      <w:r>
        <w:rPr>
          <w:rFonts w:eastAsia="Arial Unicode MS" w:cs="Arial Unicode MS"/>
          <w:lang w:val="en-US"/>
        </w:rPr>
        <w:t xml:space="preserve"> </w:t>
      </w:r>
      <w:r w:rsidRPr="00EA6031">
        <w:rPr>
          <w:rFonts w:ascii="Times New Roman" w:eastAsia="Arial Unicode MS" w:hAnsi="Times New Roman" w:cs="Times New Roman"/>
          <w:i/>
          <w:sz w:val="20"/>
          <w:szCs w:val="20"/>
        </w:rPr>
        <w:t>United States  v BDO Seidman, LLP</w:t>
      </w:r>
      <w:r w:rsidRPr="00EA6031">
        <w:rPr>
          <w:rFonts w:ascii="Times New Roman" w:eastAsia="Arial Unicode MS" w:hAnsi="Times New Roman" w:cs="Times New Roman"/>
          <w:sz w:val="20"/>
          <w:szCs w:val="20"/>
          <w:lang w:val="en-US"/>
        </w:rPr>
        <w:t xml:space="preserve">  </w:t>
      </w:r>
      <w:r w:rsidR="00404795">
        <w:rPr>
          <w:rFonts w:ascii="Times New Roman" w:eastAsia="Arial Unicode MS" w:hAnsi="Times New Roman" w:cs="Times New Roman"/>
          <w:sz w:val="20"/>
          <w:szCs w:val="20"/>
          <w:lang w:val="en-US"/>
        </w:rPr>
        <w:t>2005 U.S.LEXIS 5555, 30 (N.D.ILL 2005)</w:t>
      </w:r>
    </w:p>
  </w:footnote>
  <w:footnote w:id="112">
    <w:p w14:paraId="666B7433" w14:textId="4FD5BB14" w:rsidR="00A63E56" w:rsidRDefault="00A63E56" w:rsidP="00985914">
      <w:pPr>
        <w:pStyle w:val="Footnote"/>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i/>
          <w:sz w:val="20"/>
          <w:szCs w:val="20"/>
        </w:rPr>
        <w:t>United States  v BDO Seidman, LLP</w:t>
      </w:r>
      <w:r w:rsidR="00F67AE2">
        <w:rPr>
          <w:rFonts w:ascii="Times New Roman" w:eastAsia="Arial Unicode MS" w:hAnsi="Times New Roman" w:cs="Times New Roman"/>
          <w:sz w:val="20"/>
          <w:szCs w:val="20"/>
          <w:lang w:val="en-US"/>
        </w:rPr>
        <w:t xml:space="preserve">  above fn. 109</w:t>
      </w:r>
      <w:r w:rsidRPr="00EA6031">
        <w:rPr>
          <w:rFonts w:ascii="Times New Roman" w:eastAsia="Arial Unicode MS" w:hAnsi="Times New Roman" w:cs="Times New Roman"/>
          <w:sz w:val="20"/>
          <w:szCs w:val="20"/>
          <w:lang w:val="en-US"/>
        </w:rPr>
        <w:t xml:space="preserve"> at 41</w:t>
      </w:r>
    </w:p>
  </w:footnote>
  <w:footnote w:id="113">
    <w:p w14:paraId="4B6D31D7" w14:textId="2F5174BB" w:rsidR="00A63E56" w:rsidRPr="00EA6031" w:rsidRDefault="00A63E56">
      <w:pPr>
        <w:pStyle w:val="FootnoteText"/>
      </w:pPr>
      <w:r w:rsidRPr="00EA6031">
        <w:rPr>
          <w:rStyle w:val="FootnoteReference"/>
        </w:rPr>
        <w:footnoteRef/>
      </w:r>
      <w:r w:rsidR="00E248EF">
        <w:t xml:space="preserve"> </w:t>
      </w:r>
      <w:proofErr w:type="spellStart"/>
      <w:r w:rsidR="00E248EF">
        <w:t>W.V</w:t>
      </w:r>
      <w:r w:rsidRPr="00EA6031">
        <w:t>olz</w:t>
      </w:r>
      <w:proofErr w:type="spellEnd"/>
      <w:r w:rsidRPr="00EA6031">
        <w:t xml:space="preserve"> and </w:t>
      </w:r>
      <w:proofErr w:type="spellStart"/>
      <w:r w:rsidR="00E248EF">
        <w:t>T.</w:t>
      </w:r>
      <w:r w:rsidRPr="00EA6031">
        <w:t>Ellis</w:t>
      </w:r>
      <w:proofErr w:type="spellEnd"/>
      <w:r w:rsidRPr="00EA6031">
        <w:t xml:space="preserve"> </w:t>
      </w:r>
      <w:r w:rsidR="00E248EF">
        <w:t xml:space="preserve">“An attorney-client privilege for embattled tax practitioners: a legislative </w:t>
      </w:r>
      <w:r w:rsidRPr="00EA6031">
        <w:t xml:space="preserve">above </w:t>
      </w:r>
      <w:r w:rsidR="00E248EF">
        <w:t xml:space="preserve">response to uncertain legal counsel” 2009 </w:t>
      </w:r>
      <w:proofErr w:type="spellStart"/>
      <w:r w:rsidR="00E248EF" w:rsidRPr="00E248EF">
        <w:rPr>
          <w:i/>
        </w:rPr>
        <w:t>Hofstra</w:t>
      </w:r>
      <w:proofErr w:type="spellEnd"/>
      <w:r w:rsidR="00E248EF" w:rsidRPr="00E248EF">
        <w:rPr>
          <w:i/>
        </w:rPr>
        <w:t xml:space="preserve"> Law Review</w:t>
      </w:r>
      <w:r w:rsidR="00E248EF">
        <w:t xml:space="preserve"> Vol 38:213, 224</w:t>
      </w:r>
      <w:r w:rsidRPr="00EA6031">
        <w:t xml:space="preserve"> at fn. 68</w:t>
      </w:r>
    </w:p>
  </w:footnote>
  <w:footnote w:id="114">
    <w:p w14:paraId="371DE41E" w14:textId="38E13AAC" w:rsidR="00A63E56" w:rsidRPr="00EA6031" w:rsidRDefault="00A63E56">
      <w:pPr>
        <w:pStyle w:val="FootnoteText"/>
      </w:pPr>
      <w:r w:rsidRPr="00EA6031">
        <w:rPr>
          <w:rStyle w:val="FootnoteReference"/>
        </w:rPr>
        <w:footnoteRef/>
      </w:r>
      <w:r w:rsidRPr="00EA6031">
        <w:t xml:space="preserve"> </w:t>
      </w:r>
      <w:r w:rsidR="00E248EF">
        <w:t xml:space="preserve">See </w:t>
      </w:r>
      <w:proofErr w:type="spellStart"/>
      <w:r w:rsidR="00E248EF">
        <w:t>Volz</w:t>
      </w:r>
      <w:proofErr w:type="spellEnd"/>
      <w:r w:rsidR="00E248EF">
        <w:t xml:space="preserve"> and Ellis above fn. 111</w:t>
      </w:r>
      <w:r w:rsidRPr="00EA6031">
        <w:t>, 224 at fn. 68</w:t>
      </w:r>
    </w:p>
  </w:footnote>
  <w:footnote w:id="115">
    <w:p w14:paraId="10C512AA" w14:textId="333CC5EA" w:rsidR="00A63E56" w:rsidRPr="00EA6031" w:rsidRDefault="00A63E56">
      <w:pPr>
        <w:pStyle w:val="FootnoteText"/>
      </w:pPr>
      <w:r w:rsidRPr="00EA6031">
        <w:rPr>
          <w:rFonts w:eastAsia="Arial Unicode MS"/>
          <w:color w:val="000000"/>
          <w:bdr w:val="nil"/>
          <w:lang w:val="en-US" w:eastAsia="en-GB"/>
        </w:rPr>
        <w:footnoteRef/>
      </w:r>
      <w:r w:rsidRPr="00EA6031">
        <w:rPr>
          <w:rFonts w:eastAsia="Arial Unicode MS"/>
          <w:color w:val="000000"/>
          <w:bdr w:val="nil"/>
          <w:lang w:val="en-US" w:eastAsia="en-GB"/>
        </w:rPr>
        <w:t xml:space="preserve"> See G</w:t>
      </w:r>
      <w:r w:rsidR="00E248EF">
        <w:rPr>
          <w:rFonts w:eastAsia="Arial Unicode MS"/>
          <w:color w:val="000000"/>
          <w:bdr w:val="nil"/>
          <w:lang w:val="en-US" w:eastAsia="en-GB"/>
        </w:rPr>
        <w:t xml:space="preserve">erson and </w:t>
      </w:r>
      <w:proofErr w:type="spellStart"/>
      <w:r w:rsidR="00E248EF">
        <w:rPr>
          <w:rFonts w:eastAsia="Arial Unicode MS"/>
          <w:color w:val="000000"/>
          <w:bdr w:val="nil"/>
          <w:lang w:val="en-US" w:eastAsia="en-GB"/>
        </w:rPr>
        <w:t>Gladieux</w:t>
      </w:r>
      <w:proofErr w:type="spellEnd"/>
      <w:r w:rsidR="00E248EF">
        <w:rPr>
          <w:rFonts w:eastAsia="Arial Unicode MS"/>
          <w:color w:val="000000"/>
          <w:bdr w:val="nil"/>
          <w:lang w:val="en-US" w:eastAsia="en-GB"/>
        </w:rPr>
        <w:t xml:space="preserve"> above fn. 94</w:t>
      </w:r>
      <w:r w:rsidRPr="00EA6031">
        <w:rPr>
          <w:rFonts w:eastAsia="Arial Unicode MS"/>
          <w:color w:val="000000"/>
          <w:bdr w:val="nil"/>
          <w:lang w:val="en-US" w:eastAsia="en-GB"/>
        </w:rPr>
        <w:t>, 191</w:t>
      </w:r>
      <w:r w:rsidRPr="00EA6031">
        <w:t xml:space="preserve">. </w:t>
      </w:r>
    </w:p>
  </w:footnote>
  <w:footnote w:id="116">
    <w:p w14:paraId="7369CD56" w14:textId="5FA61106"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lang w:val="en-US"/>
        </w:rPr>
        <w:t xml:space="preserve">  </w:t>
      </w:r>
      <w:r w:rsidR="00E248EF">
        <w:rPr>
          <w:rFonts w:ascii="Times New Roman" w:eastAsia="Arial Unicode MS" w:hAnsi="Times New Roman" w:cs="Times New Roman"/>
          <w:sz w:val="20"/>
          <w:szCs w:val="20"/>
          <w:lang w:val="en-US"/>
        </w:rPr>
        <w:t xml:space="preserve">See </w:t>
      </w:r>
      <w:proofErr w:type="spellStart"/>
      <w:r w:rsidR="00E248EF">
        <w:rPr>
          <w:rFonts w:ascii="Times New Roman" w:eastAsia="Arial Unicode MS" w:hAnsi="Times New Roman" w:cs="Times New Roman"/>
          <w:sz w:val="20"/>
          <w:szCs w:val="20"/>
          <w:lang w:val="en-US"/>
        </w:rPr>
        <w:t>Volz</w:t>
      </w:r>
      <w:proofErr w:type="spellEnd"/>
      <w:r w:rsidR="00E248EF">
        <w:rPr>
          <w:rFonts w:ascii="Times New Roman" w:eastAsia="Arial Unicode MS" w:hAnsi="Times New Roman" w:cs="Times New Roman"/>
          <w:sz w:val="20"/>
          <w:szCs w:val="20"/>
          <w:lang w:val="en-US"/>
        </w:rPr>
        <w:t xml:space="preserve">  and Ellis above fn.111</w:t>
      </w:r>
      <w:r w:rsidRPr="00EA6031">
        <w:rPr>
          <w:rFonts w:ascii="Times New Roman" w:eastAsia="Arial Unicode MS" w:hAnsi="Times New Roman" w:cs="Times New Roman"/>
          <w:sz w:val="20"/>
          <w:szCs w:val="20"/>
          <w:lang w:val="en-US"/>
        </w:rPr>
        <w:t xml:space="preserve">, 242 </w:t>
      </w:r>
    </w:p>
  </w:footnote>
  <w:footnote w:id="117">
    <w:p w14:paraId="3CF74451" w14:textId="019F8C81"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See </w:t>
      </w:r>
      <w:proofErr w:type="spellStart"/>
      <w:r w:rsidR="00E248EF">
        <w:rPr>
          <w:rFonts w:ascii="Times New Roman" w:eastAsia="Arial Unicode MS" w:hAnsi="Times New Roman" w:cs="Times New Roman"/>
          <w:sz w:val="20"/>
          <w:szCs w:val="20"/>
          <w:lang w:val="en-US"/>
        </w:rPr>
        <w:t>Volz</w:t>
      </w:r>
      <w:proofErr w:type="spellEnd"/>
      <w:r w:rsidR="00E248EF">
        <w:rPr>
          <w:rFonts w:ascii="Times New Roman" w:eastAsia="Arial Unicode MS" w:hAnsi="Times New Roman" w:cs="Times New Roman"/>
          <w:sz w:val="20"/>
          <w:szCs w:val="20"/>
          <w:lang w:val="en-US"/>
        </w:rPr>
        <w:t xml:space="preserve">  and Ellis above fn. 111</w:t>
      </w:r>
      <w:r w:rsidRPr="00EA6031">
        <w:rPr>
          <w:rFonts w:ascii="Times New Roman" w:eastAsia="Arial Unicode MS" w:hAnsi="Times New Roman" w:cs="Times New Roman"/>
          <w:sz w:val="20"/>
          <w:szCs w:val="20"/>
          <w:lang w:val="en-US"/>
        </w:rPr>
        <w:t xml:space="preserve">, 224 (citations </w:t>
      </w:r>
      <w:proofErr w:type="spellStart"/>
      <w:r w:rsidRPr="00EA6031">
        <w:rPr>
          <w:rFonts w:ascii="Times New Roman" w:eastAsia="Arial Unicode MS" w:hAnsi="Times New Roman" w:cs="Times New Roman"/>
          <w:sz w:val="20"/>
          <w:szCs w:val="20"/>
          <w:lang w:val="en-US"/>
        </w:rPr>
        <w:t>ommitted</w:t>
      </w:r>
      <w:proofErr w:type="spellEnd"/>
      <w:r w:rsidRPr="00EA6031">
        <w:rPr>
          <w:rFonts w:ascii="Times New Roman" w:eastAsia="Arial Unicode MS" w:hAnsi="Times New Roman" w:cs="Times New Roman"/>
          <w:sz w:val="20"/>
          <w:szCs w:val="20"/>
          <w:lang w:val="en-US"/>
        </w:rPr>
        <w:t xml:space="preserve">) and, for example, </w:t>
      </w:r>
      <w:r w:rsidRPr="00EA6031">
        <w:rPr>
          <w:rFonts w:ascii="Times New Roman" w:eastAsia="Arial Unicode MS" w:hAnsi="Times New Roman" w:cs="Times New Roman"/>
          <w:i/>
          <w:sz w:val="20"/>
          <w:szCs w:val="20"/>
          <w:lang w:val="en-US"/>
        </w:rPr>
        <w:t xml:space="preserve">United States  v </w:t>
      </w:r>
      <w:r w:rsidRPr="00EA6031">
        <w:rPr>
          <w:rFonts w:ascii="Times New Roman" w:eastAsia="Arial Unicode MS" w:hAnsi="Times New Roman" w:cs="Times New Roman"/>
          <w:i/>
          <w:sz w:val="20"/>
          <w:szCs w:val="20"/>
          <w:lang w:val="pt-PT"/>
        </w:rPr>
        <w:t>BDO Seidman, LLP</w:t>
      </w:r>
      <w:r w:rsidR="00E248EF">
        <w:rPr>
          <w:rFonts w:ascii="Times New Roman" w:eastAsia="Arial Unicode MS" w:hAnsi="Times New Roman" w:cs="Times New Roman"/>
          <w:sz w:val="20"/>
          <w:szCs w:val="20"/>
          <w:lang w:val="en-US"/>
        </w:rPr>
        <w:t xml:space="preserve"> above fn. 106</w:t>
      </w:r>
    </w:p>
  </w:footnote>
  <w:footnote w:id="118">
    <w:p w14:paraId="3CED8C6F" w14:textId="08976DE2" w:rsidR="00763C73" w:rsidRDefault="00763C73" w:rsidP="00763C73">
      <w:pPr>
        <w:pStyle w:val="FootnoteText"/>
      </w:pPr>
      <w:r>
        <w:rPr>
          <w:rStyle w:val="FootnoteReference"/>
        </w:rPr>
        <w:footnoteRef/>
      </w:r>
      <w:r>
        <w:t xml:space="preserve"> </w:t>
      </w:r>
      <w:r w:rsidR="00E248EF">
        <w:t xml:space="preserve">See </w:t>
      </w:r>
      <w:proofErr w:type="spellStart"/>
      <w:r w:rsidR="00E248EF">
        <w:t>Volz</w:t>
      </w:r>
      <w:proofErr w:type="spellEnd"/>
      <w:r w:rsidR="00E248EF">
        <w:t xml:space="preserve"> and Ellis above fn. 111</w:t>
      </w:r>
      <w:r>
        <w:t>, 230</w:t>
      </w:r>
    </w:p>
  </w:footnote>
  <w:footnote w:id="119">
    <w:p w14:paraId="003145E3" w14:textId="77777777" w:rsidR="00763C73" w:rsidRDefault="00763C73" w:rsidP="00763C73">
      <w:pPr>
        <w:pStyle w:val="FootnoteText"/>
      </w:pPr>
      <w:r>
        <w:rPr>
          <w:rStyle w:val="FootnoteReference"/>
        </w:rPr>
        <w:footnoteRef/>
      </w:r>
      <w:r>
        <w:t xml:space="preserve"> C.E Watson “Legislating Morality: The duty to the tax system reconsidered” 2002-2003 </w:t>
      </w:r>
      <w:r w:rsidRPr="009632A2">
        <w:rPr>
          <w:i/>
        </w:rPr>
        <w:t>Kansas Law Review</w:t>
      </w:r>
      <w:r>
        <w:t xml:space="preserve"> Vol 51 ,1197, 1231 and </w:t>
      </w:r>
      <w:r w:rsidRPr="00C36F4B">
        <w:rPr>
          <w:i/>
        </w:rPr>
        <w:t>Doe v Wachovia Corporation</w:t>
      </w:r>
      <w:r>
        <w:t xml:space="preserve"> </w:t>
      </w:r>
      <w:r w:rsidRPr="009632A2">
        <w:t>268 F. Supp. 2d 627</w:t>
      </w:r>
      <w:r>
        <w:t>, 635-636 (W.D.N.C. 2003)</w:t>
      </w:r>
    </w:p>
  </w:footnote>
  <w:footnote w:id="120">
    <w:p w14:paraId="7504BCCD" w14:textId="77777777" w:rsidR="00A63E56" w:rsidRDefault="00A63E56">
      <w:pPr>
        <w:pStyle w:val="FootnoteText"/>
      </w:pPr>
      <w:r>
        <w:rPr>
          <w:rStyle w:val="FootnoteReference"/>
        </w:rPr>
        <w:footnoteRef/>
      </w:r>
      <w:r>
        <w:t xml:space="preserve"> </w:t>
      </w:r>
      <w:proofErr w:type="spellStart"/>
      <w:r w:rsidRPr="00955D0F">
        <w:rPr>
          <w:i/>
        </w:rPr>
        <w:t>Shroeder</w:t>
      </w:r>
      <w:proofErr w:type="spellEnd"/>
      <w:r>
        <w:t xml:space="preserve"> above fn. 117 at 1227</w:t>
      </w:r>
    </w:p>
  </w:footnote>
  <w:footnote w:id="121">
    <w:p w14:paraId="1374BA38" w14:textId="2E9ECDFB"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proofErr w:type="gramStart"/>
      <w:r w:rsidRPr="00EA6031">
        <w:rPr>
          <w:rFonts w:ascii="Times New Roman" w:eastAsia="Arial Unicode MS" w:hAnsi="Times New Roman" w:cs="Times New Roman"/>
          <w:i/>
          <w:sz w:val="20"/>
          <w:szCs w:val="20"/>
        </w:rPr>
        <w:t>Marc Rich</w:t>
      </w:r>
      <w:r w:rsidRPr="00EA6031">
        <w:rPr>
          <w:rFonts w:ascii="Times New Roman" w:eastAsia="Arial Unicode MS" w:hAnsi="Times New Roman" w:cs="Times New Roman"/>
          <w:sz w:val="20"/>
          <w:szCs w:val="20"/>
        </w:rPr>
        <w:t xml:space="preserve"> above fn. 114 at1039.</w:t>
      </w:r>
      <w:proofErr w:type="gramEnd"/>
      <w:r w:rsidRPr="00EA6031">
        <w:rPr>
          <w:rFonts w:ascii="Times New Roman" w:eastAsia="Arial Unicode MS" w:hAnsi="Times New Roman" w:cs="Times New Roman"/>
          <w:sz w:val="20"/>
          <w:szCs w:val="20"/>
        </w:rPr>
        <w:t xml:space="preserve"> </w:t>
      </w:r>
    </w:p>
  </w:footnote>
  <w:footnote w:id="122">
    <w:p w14:paraId="482BF14F" w14:textId="3FAEF300" w:rsidR="003339CB" w:rsidRDefault="003339CB">
      <w:pPr>
        <w:pStyle w:val="FootnoteText"/>
      </w:pPr>
      <w:r>
        <w:rPr>
          <w:rStyle w:val="FootnoteReference"/>
        </w:rPr>
        <w:footnoteRef/>
      </w:r>
      <w:r>
        <w:t xml:space="preserve"> Internal Revenue Code</w:t>
      </w:r>
      <w:r w:rsidRPr="00EA6031">
        <w:t xml:space="preserve"> §</w:t>
      </w:r>
      <w:r>
        <w:t xml:space="preserve"> 6707A</w:t>
      </w:r>
    </w:p>
  </w:footnote>
  <w:footnote w:id="123">
    <w:p w14:paraId="0018BCEE" w14:textId="77777777" w:rsidR="00A63E56" w:rsidRPr="00EA6031" w:rsidRDefault="00A63E56">
      <w:pPr>
        <w:pStyle w:val="FootnoteText"/>
      </w:pPr>
      <w:r w:rsidRPr="00EA6031">
        <w:rPr>
          <w:rStyle w:val="FootnoteReference"/>
        </w:rPr>
        <w:footnoteRef/>
      </w:r>
      <w:r w:rsidRPr="00EA6031">
        <w:t xml:space="preserve"> Internal Revenue Code, §7525</w:t>
      </w:r>
      <w:r>
        <w:t xml:space="preserve"> </w:t>
      </w:r>
    </w:p>
  </w:footnote>
  <w:footnote w:id="124">
    <w:p w14:paraId="5014ADFB" w14:textId="4227D58B" w:rsidR="00A63E56" w:rsidRPr="00EA6031" w:rsidRDefault="00A63E56">
      <w:pPr>
        <w:pStyle w:val="FootnoteText"/>
      </w:pPr>
      <w:r w:rsidRPr="00EA6031">
        <w:rPr>
          <w:rStyle w:val="FootnoteReference"/>
        </w:rPr>
        <w:footnoteRef/>
      </w:r>
      <w:r w:rsidR="00E248EF">
        <w:t xml:space="preserve"> Mitchell above fn. 44</w:t>
      </w:r>
      <w:r w:rsidRPr="00EA6031">
        <w:t>, 247</w:t>
      </w:r>
    </w:p>
  </w:footnote>
  <w:footnote w:id="125">
    <w:p w14:paraId="446366E1" w14:textId="77777777" w:rsidR="00A63E56" w:rsidRPr="00337DA7" w:rsidRDefault="00A63E56">
      <w:pPr>
        <w:pStyle w:val="FootnoteText"/>
        <w:rPr>
          <w:lang w:val="fr-FR"/>
        </w:rPr>
      </w:pPr>
      <w:r>
        <w:rPr>
          <w:rStyle w:val="FootnoteReference"/>
        </w:rPr>
        <w:footnoteRef/>
      </w:r>
      <w:r w:rsidRPr="00337DA7">
        <w:rPr>
          <w:lang w:val="fr-FR"/>
        </w:rPr>
        <w:t xml:space="preserve"> </w:t>
      </w:r>
      <w:proofErr w:type="spellStart"/>
      <w:r w:rsidRPr="00B070AF">
        <w:rPr>
          <w:lang w:val="fr-FR"/>
        </w:rPr>
        <w:t>Internal</w:t>
      </w:r>
      <w:proofErr w:type="spellEnd"/>
      <w:r w:rsidRPr="00B070AF">
        <w:rPr>
          <w:lang w:val="fr-FR"/>
        </w:rPr>
        <w:t xml:space="preserve"> Revenue Code, §7525 (b)</w:t>
      </w:r>
    </w:p>
  </w:footnote>
  <w:footnote w:id="126">
    <w:p w14:paraId="346E8E0C" w14:textId="77777777" w:rsidR="00A63E56" w:rsidRPr="00EA6031" w:rsidRDefault="00A63E56" w:rsidP="00826D39">
      <w:pPr>
        <w:pStyle w:val="Footnote"/>
        <w:rPr>
          <w:rFonts w:ascii="Times New Roman" w:hAnsi="Times New Roman" w:cs="Times New Roman"/>
          <w:sz w:val="20"/>
          <w:szCs w:val="20"/>
          <w:lang w:val="fr-FR"/>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lang w:val="fr-FR"/>
        </w:rPr>
        <w:t xml:space="preserve"> </w:t>
      </w:r>
      <w:proofErr w:type="spellStart"/>
      <w:r w:rsidRPr="00EA6031">
        <w:rPr>
          <w:rFonts w:ascii="Times New Roman" w:eastAsia="Arial Unicode MS" w:hAnsi="Times New Roman" w:cs="Times New Roman"/>
          <w:sz w:val="20"/>
          <w:szCs w:val="20"/>
          <w:lang w:val="fr-FR"/>
        </w:rPr>
        <w:t>Internal</w:t>
      </w:r>
      <w:proofErr w:type="spellEnd"/>
      <w:r w:rsidRPr="00EA6031">
        <w:rPr>
          <w:rFonts w:ascii="Times New Roman" w:eastAsia="Arial Unicode MS" w:hAnsi="Times New Roman" w:cs="Times New Roman"/>
          <w:sz w:val="20"/>
          <w:szCs w:val="20"/>
          <w:lang w:val="fr-FR"/>
        </w:rPr>
        <w:t xml:space="preserve"> Revenue Code, § 6662 (d) (2) (c) (ii) </w:t>
      </w:r>
    </w:p>
  </w:footnote>
  <w:footnote w:id="127">
    <w:p w14:paraId="104C20B4" w14:textId="77777777" w:rsidR="00A63E56" w:rsidRPr="00EA6031" w:rsidRDefault="00A63E56" w:rsidP="00826D39">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183460">
        <w:rPr>
          <w:rFonts w:ascii="Times New Roman" w:eastAsia="Arial Unicode MS" w:hAnsi="Times New Roman" w:cs="Times New Roman"/>
          <w:i/>
          <w:sz w:val="20"/>
          <w:szCs w:val="20"/>
        </w:rPr>
        <w:t>Valero Energy Corp v United States (Valero)</w:t>
      </w:r>
      <w:r>
        <w:rPr>
          <w:rFonts w:ascii="Times New Roman" w:eastAsia="Arial Unicode MS" w:hAnsi="Times New Roman" w:cs="Times New Roman"/>
          <w:sz w:val="20"/>
          <w:szCs w:val="20"/>
        </w:rPr>
        <w:t xml:space="preserve"> </w:t>
      </w:r>
      <w:r w:rsidRPr="00183460">
        <w:rPr>
          <w:rFonts w:ascii="Times New Roman" w:eastAsia="Arial Unicode MS" w:hAnsi="Times New Roman" w:cs="Times New Roman"/>
          <w:sz w:val="20"/>
          <w:szCs w:val="20"/>
        </w:rPr>
        <w:t>U.S. Dist. LEXIS 105609</w:t>
      </w:r>
      <w:r>
        <w:rPr>
          <w:rFonts w:ascii="Times New Roman" w:eastAsia="Arial Unicode MS" w:hAnsi="Times New Roman" w:cs="Times New Roman"/>
          <w:sz w:val="20"/>
          <w:szCs w:val="20"/>
        </w:rPr>
        <w:t xml:space="preserve">, 40 </w:t>
      </w:r>
      <w:r w:rsidRPr="00183460">
        <w:rPr>
          <w:rFonts w:ascii="Times New Roman" w:eastAsia="Arial Unicode MS" w:hAnsi="Times New Roman" w:cs="Times New Roman"/>
          <w:sz w:val="20"/>
          <w:szCs w:val="20"/>
        </w:rPr>
        <w:t xml:space="preserve"> (N.D. Ill 2008)</w:t>
      </w:r>
    </w:p>
  </w:footnote>
  <w:footnote w:id="128">
    <w:p w14:paraId="538F51A9" w14:textId="635F6EE1" w:rsidR="00A63E56" w:rsidRPr="00EA6031" w:rsidRDefault="00A63E56" w:rsidP="00826D39">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United States  v BDO Seidman, LLP</w:t>
      </w:r>
      <w:r w:rsidR="00E248EF">
        <w:rPr>
          <w:rFonts w:ascii="Times New Roman" w:eastAsia="Arial Unicode MS" w:hAnsi="Times New Roman" w:cs="Times New Roman"/>
          <w:sz w:val="20"/>
          <w:szCs w:val="20"/>
        </w:rPr>
        <w:t xml:space="preserve"> above fn. 106</w:t>
      </w:r>
      <w:r w:rsidRPr="00EA6031">
        <w:rPr>
          <w:rFonts w:ascii="Times New Roman" w:eastAsia="Arial Unicode MS" w:hAnsi="Times New Roman" w:cs="Times New Roman"/>
          <w:sz w:val="20"/>
          <w:szCs w:val="20"/>
        </w:rPr>
        <w:t xml:space="preserve"> at 810</w:t>
      </w:r>
    </w:p>
  </w:footnote>
  <w:footnote w:id="129">
    <w:p w14:paraId="3C3CAA0B" w14:textId="7EB1E6DF" w:rsidR="00A63E56" w:rsidRDefault="00A63E56" w:rsidP="004F1772">
      <w:pPr>
        <w:pStyle w:val="FootnoteText"/>
      </w:pPr>
      <w:r>
        <w:rPr>
          <w:rStyle w:val="FootnoteReference"/>
        </w:rPr>
        <w:footnoteRef/>
      </w:r>
      <w:r w:rsidR="00E248EF">
        <w:t xml:space="preserve"> See Mitchell above fn. 44</w:t>
      </w:r>
      <w:r>
        <w:t>, 249</w:t>
      </w:r>
    </w:p>
  </w:footnote>
  <w:footnote w:id="130">
    <w:p w14:paraId="7E54462D" w14:textId="77777777" w:rsidR="00A63E56" w:rsidRDefault="00A63E56">
      <w:pPr>
        <w:pStyle w:val="FootnoteText"/>
      </w:pPr>
      <w:r>
        <w:rPr>
          <w:rStyle w:val="FootnoteReference"/>
        </w:rPr>
        <w:footnoteRef/>
      </w:r>
      <w:r>
        <w:t xml:space="preserve"> </w:t>
      </w:r>
      <w:r w:rsidRPr="00367177">
        <w:t xml:space="preserve">Australian Law Reform Commission (2007) Privilege in Perspective: Client Legal Privilege in Federal Investigations. </w:t>
      </w:r>
      <w:proofErr w:type="gramStart"/>
      <w:r w:rsidRPr="00367177">
        <w:t>ALRC Report 107</w:t>
      </w:r>
      <w:r>
        <w:t>, para 6.285</w:t>
      </w:r>
      <w:r w:rsidRPr="00367177">
        <w:t>.</w:t>
      </w:r>
      <w:proofErr w:type="gramEnd"/>
      <w:r w:rsidRPr="00367177">
        <w:t xml:space="preserve"> Available at: http://www.alrc.gov.au/report-107</w:t>
      </w:r>
    </w:p>
  </w:footnote>
  <w:footnote w:id="131">
    <w:p w14:paraId="021538EB" w14:textId="77777777" w:rsidR="00A63E56" w:rsidRPr="00315818" w:rsidRDefault="00A63E56" w:rsidP="002A25B7">
      <w:pPr>
        <w:pStyle w:val="Footnote"/>
        <w:rPr>
          <w:rFonts w:ascii="Times New Roman" w:hAnsi="Times New Roman" w:cs="Times New Roman"/>
          <w:sz w:val="20"/>
          <w:szCs w:val="20"/>
          <w:lang w:val="fr-FR"/>
        </w:rPr>
      </w:pPr>
      <w:r w:rsidRPr="00EA6031">
        <w:rPr>
          <w:rFonts w:ascii="Times New Roman" w:hAnsi="Times New Roman" w:cs="Times New Roman"/>
          <w:sz w:val="20"/>
          <w:szCs w:val="20"/>
          <w:vertAlign w:val="superscript"/>
        </w:rPr>
        <w:footnoteRef/>
      </w:r>
      <w:r w:rsidRPr="00315818">
        <w:rPr>
          <w:rFonts w:ascii="Times New Roman" w:eastAsia="Arial Unicode MS" w:hAnsi="Times New Roman" w:cs="Times New Roman"/>
          <w:sz w:val="20"/>
          <w:szCs w:val="20"/>
          <w:lang w:val="fr-FR"/>
        </w:rPr>
        <w:t xml:space="preserve"> </w:t>
      </w:r>
      <w:proofErr w:type="spellStart"/>
      <w:r w:rsidRPr="00315818">
        <w:rPr>
          <w:rFonts w:ascii="Times New Roman" w:eastAsia="Arial Unicode MS" w:hAnsi="Times New Roman" w:cs="Times New Roman"/>
          <w:sz w:val="20"/>
          <w:szCs w:val="20"/>
          <w:lang w:val="fr-FR"/>
        </w:rPr>
        <w:t>Internal</w:t>
      </w:r>
      <w:proofErr w:type="spellEnd"/>
      <w:r w:rsidRPr="00315818">
        <w:rPr>
          <w:rFonts w:ascii="Times New Roman" w:eastAsia="Arial Unicode MS" w:hAnsi="Times New Roman" w:cs="Times New Roman"/>
          <w:sz w:val="20"/>
          <w:szCs w:val="20"/>
          <w:lang w:val="fr-FR"/>
        </w:rPr>
        <w:t xml:space="preserve"> Revenue Code </w:t>
      </w:r>
      <w:r w:rsidRPr="00315818">
        <w:rPr>
          <w:rFonts w:ascii="Times New Roman" w:hAnsi="Times New Roman" w:cs="Times New Roman"/>
          <w:sz w:val="20"/>
          <w:szCs w:val="20"/>
          <w:lang w:val="fr-FR"/>
        </w:rPr>
        <w:t>§</w:t>
      </w:r>
      <w:r w:rsidRPr="00315818">
        <w:rPr>
          <w:rFonts w:ascii="Times New Roman" w:eastAsia="Arial Unicode MS" w:hAnsi="Times New Roman" w:cs="Times New Roman"/>
          <w:sz w:val="20"/>
          <w:szCs w:val="20"/>
          <w:lang w:val="fr-FR"/>
        </w:rPr>
        <w:t xml:space="preserve"> 7602  (a) (1)</w:t>
      </w:r>
    </w:p>
  </w:footnote>
  <w:footnote w:id="132">
    <w:p w14:paraId="0335398F" w14:textId="77777777" w:rsidR="00A63E56" w:rsidRPr="00315818" w:rsidRDefault="00A63E56" w:rsidP="002A25B7">
      <w:pPr>
        <w:pStyle w:val="Footnote"/>
        <w:rPr>
          <w:rFonts w:ascii="Times New Roman" w:hAnsi="Times New Roman" w:cs="Times New Roman"/>
          <w:sz w:val="20"/>
          <w:szCs w:val="20"/>
          <w:lang w:val="fr-FR"/>
        </w:rPr>
      </w:pPr>
      <w:r w:rsidRPr="00EA6031">
        <w:rPr>
          <w:rFonts w:ascii="Times New Roman" w:hAnsi="Times New Roman" w:cs="Times New Roman"/>
          <w:sz w:val="20"/>
          <w:szCs w:val="20"/>
          <w:vertAlign w:val="superscript"/>
        </w:rPr>
        <w:footnoteRef/>
      </w:r>
      <w:r w:rsidRPr="00315818">
        <w:rPr>
          <w:rFonts w:ascii="Times New Roman" w:eastAsia="Arial Unicode MS" w:hAnsi="Times New Roman" w:cs="Times New Roman"/>
          <w:sz w:val="20"/>
          <w:szCs w:val="20"/>
          <w:lang w:val="fr-FR"/>
        </w:rPr>
        <w:t xml:space="preserve"> </w:t>
      </w:r>
      <w:proofErr w:type="spellStart"/>
      <w:r w:rsidRPr="00315818">
        <w:rPr>
          <w:rFonts w:ascii="Times New Roman" w:eastAsia="Arial Unicode MS" w:hAnsi="Times New Roman" w:cs="Times New Roman"/>
          <w:sz w:val="20"/>
          <w:szCs w:val="20"/>
          <w:lang w:val="fr-FR"/>
        </w:rPr>
        <w:t>Internal</w:t>
      </w:r>
      <w:proofErr w:type="spellEnd"/>
      <w:r w:rsidRPr="00315818">
        <w:rPr>
          <w:rFonts w:ascii="Times New Roman" w:eastAsia="Arial Unicode MS" w:hAnsi="Times New Roman" w:cs="Times New Roman"/>
          <w:sz w:val="20"/>
          <w:szCs w:val="20"/>
          <w:lang w:val="fr-FR"/>
        </w:rPr>
        <w:t xml:space="preserve"> Revenue Code § 7602  (2), (3)</w:t>
      </w:r>
    </w:p>
  </w:footnote>
  <w:footnote w:id="133">
    <w:p w14:paraId="2BEDE08B"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lang w:val="en-US"/>
        </w:rPr>
        <w:t>Internal Revenue Code § 7604</w:t>
      </w:r>
    </w:p>
  </w:footnote>
  <w:footnote w:id="134">
    <w:p w14:paraId="5FCC0ACF"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i/>
          <w:sz w:val="20"/>
          <w:szCs w:val="20"/>
          <w:lang w:val="en-US"/>
        </w:rPr>
        <w:t>United States v Powell</w:t>
      </w:r>
      <w:r>
        <w:rPr>
          <w:rFonts w:ascii="Times New Roman" w:eastAsia="Arial Unicode MS" w:hAnsi="Times New Roman" w:cs="Times New Roman"/>
          <w:sz w:val="20"/>
          <w:szCs w:val="20"/>
          <w:lang w:val="en-US"/>
        </w:rPr>
        <w:t xml:space="preserve"> 379 U.S. 48 </w:t>
      </w:r>
      <w:r w:rsidRPr="00EA6031">
        <w:rPr>
          <w:rFonts w:ascii="Times New Roman" w:eastAsia="Arial Unicode MS" w:hAnsi="Times New Roman" w:cs="Times New Roman"/>
          <w:sz w:val="20"/>
          <w:szCs w:val="20"/>
          <w:lang w:val="en-US"/>
        </w:rPr>
        <w:t xml:space="preserve"> (</w:t>
      </w:r>
      <w:r>
        <w:rPr>
          <w:rFonts w:ascii="Times New Roman" w:eastAsia="Arial Unicode MS" w:hAnsi="Times New Roman" w:cs="Times New Roman"/>
          <w:sz w:val="20"/>
          <w:szCs w:val="20"/>
          <w:lang w:val="en-US"/>
        </w:rPr>
        <w:t xml:space="preserve">U.S. </w:t>
      </w:r>
      <w:r w:rsidRPr="00EA6031">
        <w:rPr>
          <w:rFonts w:ascii="Times New Roman" w:eastAsia="Arial Unicode MS" w:hAnsi="Times New Roman" w:cs="Times New Roman"/>
          <w:sz w:val="20"/>
          <w:szCs w:val="20"/>
          <w:lang w:val="en-US"/>
        </w:rPr>
        <w:t>1964)</w:t>
      </w:r>
    </w:p>
  </w:footnote>
  <w:footnote w:id="135">
    <w:p w14:paraId="31C782FD" w14:textId="77777777" w:rsidR="00A63E56" w:rsidRPr="00EA6031" w:rsidRDefault="00A63E56" w:rsidP="00A42D1B">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248EF">
        <w:rPr>
          <w:rFonts w:ascii="Times New Roman" w:eastAsia="Arial Unicode MS" w:hAnsi="Times New Roman" w:cs="Times New Roman"/>
          <w:i/>
          <w:sz w:val="20"/>
          <w:szCs w:val="20"/>
        </w:rPr>
        <w:t>Upjohn Co. Et Al v United States</w:t>
      </w:r>
      <w:r>
        <w:rPr>
          <w:rFonts w:ascii="Times New Roman" w:eastAsia="Arial Unicode MS" w:hAnsi="Times New Roman" w:cs="Times New Roman"/>
          <w:sz w:val="20"/>
          <w:szCs w:val="20"/>
        </w:rPr>
        <w:t xml:space="preserve"> 449 U.S. 383, 398</w:t>
      </w:r>
      <w:r>
        <w:rPr>
          <w:rFonts w:ascii="Times New Roman" w:eastAsia="Arial Unicode MS" w:hAnsi="Times New Roman" w:cs="Times New Roman"/>
          <w:sz w:val="20"/>
          <w:szCs w:val="20"/>
          <w:lang w:val="en-US"/>
        </w:rPr>
        <w:t xml:space="preserve"> </w:t>
      </w:r>
    </w:p>
  </w:footnote>
  <w:footnote w:id="136">
    <w:p w14:paraId="4DF8EAF1" w14:textId="77777777" w:rsidR="00A63E56" w:rsidRPr="00EA6031" w:rsidRDefault="00A63E56">
      <w:pPr>
        <w:pStyle w:val="FootnoteText"/>
      </w:pPr>
      <w:r w:rsidRPr="00EA6031">
        <w:rPr>
          <w:rStyle w:val="FootnoteReference"/>
        </w:rPr>
        <w:footnoteRef/>
      </w:r>
      <w:r w:rsidRPr="00EA6031">
        <w:t xml:space="preserve"> C.</w:t>
      </w:r>
      <w:r>
        <w:t xml:space="preserve"> </w:t>
      </w:r>
      <w:r w:rsidRPr="00EA6031">
        <w:t xml:space="preserve">Bricker “Revisiting the crime-fraud exception to the attorney-client privilege: a proposal to remedy the disparity in protections for civil and criminal privilege holders” 2009-2010 </w:t>
      </w:r>
      <w:r w:rsidRPr="00EA6031">
        <w:rPr>
          <w:i/>
        </w:rPr>
        <w:t xml:space="preserve">Temple Law Review </w:t>
      </w:r>
      <w:r>
        <w:t>Vol 82 149, 154</w:t>
      </w:r>
    </w:p>
  </w:footnote>
  <w:footnote w:id="137">
    <w:p w14:paraId="1D854268"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lang w:val="en-US"/>
        </w:rPr>
        <w:t xml:space="preserve"> K.</w:t>
      </w:r>
      <w:r>
        <w:rPr>
          <w:rFonts w:ascii="Times New Roman" w:eastAsia="Arial Unicode MS" w:hAnsi="Times New Roman" w:cs="Times New Roman"/>
          <w:sz w:val="20"/>
          <w:szCs w:val="20"/>
          <w:lang w:val="en-US"/>
        </w:rPr>
        <w:t xml:space="preserve"> </w:t>
      </w:r>
      <w:proofErr w:type="spellStart"/>
      <w:r w:rsidRPr="00EA6031">
        <w:rPr>
          <w:rFonts w:ascii="Times New Roman" w:eastAsia="Arial Unicode MS" w:hAnsi="Times New Roman" w:cs="Times New Roman"/>
          <w:sz w:val="20"/>
          <w:szCs w:val="20"/>
          <w:lang w:val="en-US"/>
        </w:rPr>
        <w:t>Rolandelli</w:t>
      </w:r>
      <w:proofErr w:type="spellEnd"/>
      <w:r w:rsidRPr="00EA6031">
        <w:rPr>
          <w:rFonts w:ascii="Times New Roman" w:eastAsia="Arial Unicode MS" w:hAnsi="Times New Roman" w:cs="Times New Roman"/>
          <w:sz w:val="20"/>
          <w:szCs w:val="20"/>
          <w:lang w:val="en-US"/>
        </w:rPr>
        <w:t xml:space="preserve"> “Confidentiality and the Crime-Fraud Exception” 1989-</w:t>
      </w:r>
      <w:proofErr w:type="gramStart"/>
      <w:r w:rsidRPr="00EA6031">
        <w:rPr>
          <w:rFonts w:ascii="Times New Roman" w:eastAsia="Arial Unicode MS" w:hAnsi="Times New Roman" w:cs="Times New Roman"/>
          <w:sz w:val="20"/>
          <w:szCs w:val="20"/>
          <w:lang w:val="en-US"/>
        </w:rPr>
        <w:t xml:space="preserve">1990  </w:t>
      </w:r>
      <w:r w:rsidRPr="00EA6031">
        <w:rPr>
          <w:rFonts w:ascii="Times New Roman" w:eastAsia="Arial Unicode MS" w:hAnsi="Times New Roman" w:cs="Times New Roman"/>
          <w:i/>
          <w:sz w:val="20"/>
          <w:szCs w:val="20"/>
          <w:lang w:val="en-US"/>
        </w:rPr>
        <w:t>Georgetown</w:t>
      </w:r>
      <w:proofErr w:type="gramEnd"/>
      <w:r w:rsidRPr="00EA6031">
        <w:rPr>
          <w:rFonts w:ascii="Times New Roman" w:eastAsia="Arial Unicode MS" w:hAnsi="Times New Roman" w:cs="Times New Roman"/>
          <w:i/>
          <w:sz w:val="20"/>
          <w:szCs w:val="20"/>
          <w:lang w:val="en-US"/>
        </w:rPr>
        <w:t xml:space="preserve"> Journal of Legal Ethics </w:t>
      </w:r>
      <w:r w:rsidRPr="00EA6031">
        <w:rPr>
          <w:rFonts w:ascii="Times New Roman" w:eastAsia="Arial Unicode MS" w:hAnsi="Times New Roman" w:cs="Times New Roman"/>
          <w:sz w:val="20"/>
          <w:szCs w:val="20"/>
          <w:lang w:val="en-US"/>
        </w:rPr>
        <w:t>Vol 3, 139, 143.</w:t>
      </w:r>
      <w:r w:rsidRPr="00EA6031">
        <w:rPr>
          <w:rFonts w:ascii="Times New Roman" w:eastAsia="Arial Unicode MS" w:hAnsi="Times New Roman" w:cs="Times New Roman"/>
          <w:sz w:val="20"/>
          <w:szCs w:val="20"/>
        </w:rPr>
        <w:t xml:space="preserve"> </w:t>
      </w:r>
    </w:p>
  </w:footnote>
  <w:footnote w:id="138">
    <w:p w14:paraId="1C515A30"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Clark v United States</w:t>
      </w:r>
      <w:r w:rsidRPr="00EA6031">
        <w:rPr>
          <w:rFonts w:ascii="Times New Roman" w:eastAsia="Arial Unicode MS" w:hAnsi="Times New Roman" w:cs="Times New Roman"/>
          <w:sz w:val="20"/>
          <w:szCs w:val="20"/>
        </w:rPr>
        <w:t xml:space="preserve"> 289 U.S. 1, 14  (U.S. 1933)</w:t>
      </w:r>
    </w:p>
  </w:footnote>
  <w:footnote w:id="139">
    <w:p w14:paraId="77FDA512"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 xml:space="preserve">United States v </w:t>
      </w:r>
      <w:proofErr w:type="spellStart"/>
      <w:r w:rsidRPr="00EA6031">
        <w:rPr>
          <w:rFonts w:ascii="Times New Roman" w:eastAsia="Arial Unicode MS" w:hAnsi="Times New Roman" w:cs="Times New Roman"/>
          <w:i/>
          <w:sz w:val="20"/>
          <w:szCs w:val="20"/>
        </w:rPr>
        <w:t>Zolin</w:t>
      </w:r>
      <w:proofErr w:type="spellEnd"/>
      <w:r w:rsidRPr="00EA6031">
        <w:rPr>
          <w:rFonts w:ascii="Times New Roman" w:eastAsia="Arial Unicode MS" w:hAnsi="Times New Roman" w:cs="Times New Roman"/>
          <w:i/>
          <w:sz w:val="20"/>
          <w:szCs w:val="20"/>
        </w:rPr>
        <w:t xml:space="preserve"> et al</w:t>
      </w:r>
      <w:r w:rsidRPr="00EA6031">
        <w:rPr>
          <w:rFonts w:ascii="Times New Roman" w:eastAsia="Arial Unicode MS" w:hAnsi="Times New Roman" w:cs="Times New Roman"/>
          <w:sz w:val="20"/>
          <w:szCs w:val="20"/>
        </w:rPr>
        <w:t xml:space="preserve">  491 US 554, 565 (U.S. 1989)</w:t>
      </w:r>
    </w:p>
  </w:footnote>
  <w:footnote w:id="140">
    <w:p w14:paraId="58B2A83C" w14:textId="47FC9086"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00C26515">
        <w:rPr>
          <w:rFonts w:ascii="Times New Roman" w:eastAsia="Arial Unicode MS" w:hAnsi="Times New Roman" w:cs="Times New Roman"/>
          <w:sz w:val="20"/>
          <w:szCs w:val="20"/>
        </w:rPr>
        <w:t xml:space="preserve"> See </w:t>
      </w:r>
      <w:proofErr w:type="spellStart"/>
      <w:r w:rsidR="00C26515">
        <w:rPr>
          <w:rFonts w:ascii="Times New Roman" w:eastAsia="Arial Unicode MS" w:hAnsi="Times New Roman" w:cs="Times New Roman"/>
          <w:sz w:val="20"/>
          <w:szCs w:val="20"/>
        </w:rPr>
        <w:t>Galanek</w:t>
      </w:r>
      <w:proofErr w:type="spellEnd"/>
      <w:r w:rsidR="00C26515">
        <w:rPr>
          <w:rFonts w:ascii="Times New Roman" w:eastAsia="Arial Unicode MS" w:hAnsi="Times New Roman" w:cs="Times New Roman"/>
          <w:sz w:val="20"/>
          <w:szCs w:val="20"/>
        </w:rPr>
        <w:t xml:space="preserve"> above fn.92</w:t>
      </w:r>
      <w:proofErr w:type="gramStart"/>
      <w:r w:rsidRPr="00EA6031">
        <w:rPr>
          <w:rFonts w:ascii="Times New Roman" w:eastAsia="Arial Unicode MS" w:hAnsi="Times New Roman" w:cs="Times New Roman"/>
          <w:sz w:val="20"/>
          <w:szCs w:val="20"/>
        </w:rPr>
        <w:t>,1127</w:t>
      </w:r>
      <w:proofErr w:type="gramEnd"/>
      <w:r w:rsidRPr="00EA6031">
        <w:rPr>
          <w:rFonts w:ascii="Times New Roman" w:eastAsia="Arial Unicode MS" w:hAnsi="Times New Roman" w:cs="Times New Roman"/>
          <w:sz w:val="20"/>
          <w:szCs w:val="20"/>
        </w:rPr>
        <w:t xml:space="preserve">. </w:t>
      </w:r>
    </w:p>
  </w:footnote>
  <w:footnote w:id="141">
    <w:p w14:paraId="58ECFA02"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sz w:val="20"/>
          <w:szCs w:val="20"/>
          <w:lang w:val="en-US"/>
        </w:rPr>
        <w:t>B.</w:t>
      </w:r>
      <w:r>
        <w:rPr>
          <w:rFonts w:ascii="Times New Roman" w:eastAsia="Arial Unicode MS" w:hAnsi="Times New Roman" w:cs="Times New Roman"/>
          <w:sz w:val="20"/>
          <w:szCs w:val="20"/>
          <w:lang w:val="en-US"/>
        </w:rPr>
        <w:t xml:space="preserve"> </w:t>
      </w:r>
      <w:proofErr w:type="spellStart"/>
      <w:r w:rsidRPr="00EA6031">
        <w:rPr>
          <w:rFonts w:ascii="Times New Roman" w:eastAsia="Arial Unicode MS" w:hAnsi="Times New Roman" w:cs="Times New Roman"/>
          <w:sz w:val="20"/>
          <w:szCs w:val="20"/>
          <w:lang w:val="en-US"/>
        </w:rPr>
        <w:t>Lipman</w:t>
      </w:r>
      <w:proofErr w:type="spellEnd"/>
      <w:r w:rsidRPr="00EA6031">
        <w:rPr>
          <w:rFonts w:ascii="Times New Roman" w:eastAsia="Arial Unicode MS" w:hAnsi="Times New Roman" w:cs="Times New Roman"/>
          <w:sz w:val="20"/>
          <w:szCs w:val="20"/>
          <w:lang w:val="en-US"/>
        </w:rPr>
        <w:t xml:space="preserve"> “Invoking the crime fraud exception: why courts should heighten the standard in criminal cases” 2015</w:t>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rPr>
        <w:t xml:space="preserve">American Criminal Law </w:t>
      </w:r>
      <w:proofErr w:type="gramStart"/>
      <w:r w:rsidRPr="00EA6031">
        <w:rPr>
          <w:rFonts w:ascii="Times New Roman" w:eastAsia="Arial Unicode MS" w:hAnsi="Times New Roman" w:cs="Times New Roman"/>
          <w:i/>
          <w:sz w:val="20"/>
          <w:szCs w:val="20"/>
        </w:rPr>
        <w:t>Review</w:t>
      </w:r>
      <w:r w:rsidRPr="00EA6031">
        <w:rPr>
          <w:rFonts w:ascii="Times New Roman" w:eastAsia="Arial Unicode MS" w:hAnsi="Times New Roman" w:cs="Times New Roman"/>
          <w:sz w:val="20"/>
          <w:szCs w:val="20"/>
        </w:rPr>
        <w:t xml:space="preserve">  Vol</w:t>
      </w:r>
      <w:proofErr w:type="gramEnd"/>
      <w:r w:rsidRPr="00EA6031">
        <w:rPr>
          <w:rFonts w:ascii="Times New Roman" w:eastAsia="Arial Unicode MS" w:hAnsi="Times New Roman" w:cs="Times New Roman"/>
          <w:sz w:val="20"/>
          <w:szCs w:val="20"/>
        </w:rPr>
        <w:t xml:space="preserve"> 52, 595</w:t>
      </w:r>
      <w:r w:rsidRPr="00EA6031">
        <w:rPr>
          <w:rFonts w:ascii="Times New Roman" w:eastAsia="Arial Unicode MS" w:hAnsi="Times New Roman" w:cs="Times New Roman"/>
          <w:sz w:val="20"/>
          <w:szCs w:val="20"/>
          <w:lang w:val="en-US"/>
        </w:rPr>
        <w:t>, 598 (footnotes/citations omitted).</w:t>
      </w:r>
      <w:r w:rsidRPr="00EA6031">
        <w:rPr>
          <w:rFonts w:ascii="Times New Roman" w:eastAsia="Arial Unicode MS" w:hAnsi="Times New Roman" w:cs="Times New Roman"/>
          <w:sz w:val="20"/>
          <w:szCs w:val="20"/>
        </w:rPr>
        <w:t xml:space="preserve"> </w:t>
      </w:r>
    </w:p>
  </w:footnote>
  <w:footnote w:id="142">
    <w:p w14:paraId="1640145E" w14:textId="4563F8FD"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lang w:val="en-US"/>
        </w:rPr>
        <w:t>BDO</w:t>
      </w:r>
      <w:r w:rsidR="00C26515">
        <w:rPr>
          <w:rFonts w:ascii="Times New Roman" w:eastAsia="Arial Unicode MS" w:hAnsi="Times New Roman" w:cs="Times New Roman"/>
          <w:sz w:val="20"/>
          <w:szCs w:val="20"/>
          <w:lang w:val="en-US"/>
        </w:rPr>
        <w:t xml:space="preserve"> above fn.106</w:t>
      </w:r>
      <w:r w:rsidRPr="00EA6031">
        <w:rPr>
          <w:rFonts w:ascii="Times New Roman" w:eastAsia="Arial Unicode MS" w:hAnsi="Times New Roman" w:cs="Times New Roman"/>
          <w:sz w:val="20"/>
          <w:szCs w:val="20"/>
          <w:lang w:val="en-US"/>
        </w:rPr>
        <w:t xml:space="preserve"> at 819</w:t>
      </w:r>
    </w:p>
  </w:footnote>
  <w:footnote w:id="143">
    <w:p w14:paraId="335A145E" w14:textId="6541976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lang w:val="en-US"/>
        </w:rPr>
        <w:t>BDO</w:t>
      </w:r>
      <w:r w:rsidR="00C26515">
        <w:rPr>
          <w:rFonts w:ascii="Times New Roman" w:eastAsia="Arial Unicode MS" w:hAnsi="Times New Roman" w:cs="Times New Roman"/>
          <w:sz w:val="20"/>
          <w:szCs w:val="20"/>
          <w:lang w:val="en-US"/>
        </w:rPr>
        <w:t xml:space="preserve"> above fn. 106</w:t>
      </w:r>
      <w:r w:rsidRPr="00EA6031">
        <w:rPr>
          <w:rFonts w:ascii="Times New Roman" w:eastAsia="Arial Unicode MS" w:hAnsi="Times New Roman" w:cs="Times New Roman"/>
          <w:sz w:val="20"/>
          <w:szCs w:val="20"/>
          <w:lang w:val="en-US"/>
        </w:rPr>
        <w:t xml:space="preserve"> at 819</w:t>
      </w:r>
    </w:p>
  </w:footnote>
  <w:footnote w:id="144">
    <w:p w14:paraId="21CC3929" w14:textId="285FFE9D"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proofErr w:type="spellStart"/>
      <w:proofErr w:type="gramStart"/>
      <w:r w:rsidR="00C26515">
        <w:rPr>
          <w:rFonts w:ascii="Times New Roman" w:eastAsia="Arial Unicode MS" w:hAnsi="Times New Roman" w:cs="Times New Roman"/>
          <w:sz w:val="20"/>
          <w:szCs w:val="20"/>
          <w:lang w:val="en-US"/>
        </w:rPr>
        <w:t>Lipman</w:t>
      </w:r>
      <w:proofErr w:type="spellEnd"/>
      <w:r w:rsidR="00C26515">
        <w:rPr>
          <w:rFonts w:ascii="Times New Roman" w:eastAsia="Arial Unicode MS" w:hAnsi="Times New Roman" w:cs="Times New Roman"/>
          <w:sz w:val="20"/>
          <w:szCs w:val="20"/>
          <w:lang w:val="en-US"/>
        </w:rPr>
        <w:t xml:space="preserve"> a</w:t>
      </w:r>
      <w:r w:rsidR="000C0E33">
        <w:rPr>
          <w:rFonts w:ascii="Times New Roman" w:eastAsia="Arial Unicode MS" w:hAnsi="Times New Roman" w:cs="Times New Roman"/>
          <w:sz w:val="20"/>
          <w:szCs w:val="20"/>
          <w:lang w:val="en-US"/>
        </w:rPr>
        <w:t>bove fn.139</w:t>
      </w:r>
      <w:r w:rsidRPr="00EA6031">
        <w:rPr>
          <w:rFonts w:ascii="Times New Roman" w:eastAsia="Arial Unicode MS" w:hAnsi="Times New Roman" w:cs="Times New Roman"/>
          <w:sz w:val="20"/>
          <w:szCs w:val="20"/>
          <w:lang w:val="en-US"/>
        </w:rPr>
        <w:t>, 606 -607.</w:t>
      </w:r>
      <w:proofErr w:type="gramEnd"/>
    </w:p>
  </w:footnote>
  <w:footnote w:id="145">
    <w:p w14:paraId="32B999A9" w14:textId="77777777" w:rsidR="00A63E56" w:rsidRPr="00EA6031" w:rsidRDefault="00A63E56" w:rsidP="002A25B7">
      <w:pPr>
        <w:pStyle w:val="Footnote"/>
        <w:rPr>
          <w:rFonts w:ascii="Times New Roman" w:hAnsi="Times New Roman" w:cs="Times New Roman"/>
          <w:sz w:val="20"/>
          <w:szCs w:val="20"/>
        </w:rPr>
      </w:pPr>
      <w:r w:rsidRPr="00EA6031">
        <w:rPr>
          <w:rFonts w:ascii="Times New Roman" w:hAnsi="Times New Roman" w:cs="Times New Roman"/>
          <w:sz w:val="20"/>
          <w:szCs w:val="20"/>
          <w:vertAlign w:val="superscript"/>
        </w:rPr>
        <w:footnoteRef/>
      </w:r>
      <w:r w:rsidRPr="00EA6031">
        <w:rPr>
          <w:rFonts w:ascii="Times New Roman" w:eastAsia="Arial Unicode MS" w:hAnsi="Times New Roman" w:cs="Times New Roman"/>
          <w:sz w:val="20"/>
          <w:szCs w:val="20"/>
        </w:rPr>
        <w:t xml:space="preserve"> </w:t>
      </w:r>
      <w:r w:rsidRPr="00EA6031">
        <w:rPr>
          <w:rFonts w:ascii="Times New Roman" w:eastAsia="Arial Unicode MS" w:hAnsi="Times New Roman" w:cs="Times New Roman"/>
          <w:i/>
          <w:sz w:val="20"/>
          <w:szCs w:val="20"/>
          <w:lang w:val="en-US"/>
        </w:rPr>
        <w:t>In re Sealed Case</w:t>
      </w:r>
      <w:r w:rsidRPr="00EA6031">
        <w:rPr>
          <w:rFonts w:ascii="Times New Roman" w:eastAsia="Arial Unicode MS" w:hAnsi="Times New Roman" w:cs="Times New Roman"/>
          <w:sz w:val="20"/>
          <w:szCs w:val="20"/>
          <w:lang w:val="en-US"/>
        </w:rPr>
        <w:t xml:space="preserve"> </w:t>
      </w:r>
      <w:r w:rsidRPr="00EA6031">
        <w:rPr>
          <w:rFonts w:ascii="Times New Roman" w:eastAsia="Arial Unicode MS" w:hAnsi="Times New Roman" w:cs="Times New Roman"/>
          <w:sz w:val="20"/>
          <w:szCs w:val="20"/>
        </w:rPr>
        <w:t>754 F.2d 395</w:t>
      </w:r>
      <w:r w:rsidRPr="00EA6031">
        <w:rPr>
          <w:rFonts w:ascii="Times New Roman" w:eastAsia="Arial Unicode MS" w:hAnsi="Times New Roman" w:cs="Times New Roman"/>
          <w:sz w:val="20"/>
          <w:szCs w:val="20"/>
          <w:lang w:val="en-US"/>
        </w:rPr>
        <w:t>, 399</w:t>
      </w:r>
      <w:r>
        <w:rPr>
          <w:rFonts w:ascii="Times New Roman" w:eastAsia="Arial Unicode MS" w:hAnsi="Times New Roman" w:cs="Times New Roman"/>
          <w:sz w:val="20"/>
          <w:szCs w:val="20"/>
          <w:lang w:val="en-US"/>
        </w:rPr>
        <w:t xml:space="preserve"> (</w:t>
      </w:r>
      <w:proofErr w:type="spellStart"/>
      <w:r>
        <w:rPr>
          <w:rFonts w:ascii="Times New Roman" w:eastAsia="Arial Unicode MS" w:hAnsi="Times New Roman" w:cs="Times New Roman"/>
          <w:sz w:val="20"/>
          <w:szCs w:val="20"/>
          <w:lang w:val="en-US"/>
        </w:rPr>
        <w:t>D.C.Cir</w:t>
      </w:r>
      <w:proofErr w:type="spellEnd"/>
      <w:r>
        <w:rPr>
          <w:rFonts w:ascii="Times New Roman" w:eastAsia="Arial Unicode MS" w:hAnsi="Times New Roman" w:cs="Times New Roman"/>
          <w:sz w:val="20"/>
          <w:szCs w:val="20"/>
          <w:lang w:val="en-US"/>
        </w:rPr>
        <w:t>. 1985)</w:t>
      </w:r>
    </w:p>
  </w:footnote>
  <w:footnote w:id="146">
    <w:p w14:paraId="1548B1FA" w14:textId="77777777"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r w:rsidRPr="00C72AC3">
        <w:rPr>
          <w:rFonts w:ascii="Times New Roman" w:eastAsia="Arial Unicode MS" w:hAnsi="Times New Roman" w:cs="Times New Roman"/>
          <w:i/>
          <w:sz w:val="20"/>
          <w:szCs w:val="20"/>
        </w:rPr>
        <w:t>In Re: Grand Jury Subpoena</w:t>
      </w:r>
      <w:r w:rsidRPr="00C72AC3">
        <w:rPr>
          <w:rFonts w:ascii="Times New Roman" w:eastAsia="Arial Unicode MS" w:hAnsi="Times New Roman" w:cs="Times New Roman"/>
          <w:sz w:val="20"/>
          <w:szCs w:val="20"/>
        </w:rPr>
        <w:t xml:space="preserve"> 223 F.3d 213</w:t>
      </w:r>
      <w:r w:rsidRPr="00C72AC3">
        <w:rPr>
          <w:rFonts w:ascii="Times New Roman" w:eastAsia="Arial Unicode MS" w:hAnsi="Times New Roman" w:cs="Times New Roman"/>
          <w:sz w:val="20"/>
          <w:szCs w:val="20"/>
          <w:lang w:val="en-US"/>
        </w:rPr>
        <w:t>, 218 (3</w:t>
      </w:r>
      <w:r w:rsidRPr="00C72AC3">
        <w:rPr>
          <w:rFonts w:ascii="Times New Roman" w:eastAsia="Arial Unicode MS" w:hAnsi="Times New Roman" w:cs="Times New Roman"/>
          <w:sz w:val="20"/>
          <w:szCs w:val="20"/>
          <w:vertAlign w:val="superscript"/>
          <w:lang w:val="en-US"/>
        </w:rPr>
        <w:t>rd</w:t>
      </w:r>
      <w:r w:rsidRPr="00C72AC3">
        <w:rPr>
          <w:rFonts w:ascii="Times New Roman" w:eastAsia="Arial Unicode MS" w:hAnsi="Times New Roman" w:cs="Times New Roman"/>
          <w:sz w:val="20"/>
          <w:szCs w:val="20"/>
          <w:lang w:val="en-US"/>
        </w:rPr>
        <w:t xml:space="preserve"> Cir. 2000)</w:t>
      </w:r>
    </w:p>
  </w:footnote>
  <w:footnote w:id="147">
    <w:p w14:paraId="20E08589" w14:textId="2F17C2B9"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00C26515">
        <w:rPr>
          <w:rFonts w:ascii="Times New Roman" w:eastAsia="Arial Unicode MS" w:hAnsi="Times New Roman" w:cs="Times New Roman"/>
          <w:sz w:val="20"/>
          <w:szCs w:val="20"/>
        </w:rPr>
        <w:t xml:space="preserve"> </w:t>
      </w:r>
      <w:proofErr w:type="spellStart"/>
      <w:proofErr w:type="gramStart"/>
      <w:r w:rsidR="000C0E33">
        <w:rPr>
          <w:rFonts w:ascii="Times New Roman" w:eastAsia="Arial Unicode MS" w:hAnsi="Times New Roman" w:cs="Times New Roman"/>
          <w:sz w:val="20"/>
          <w:szCs w:val="20"/>
          <w:lang w:val="en-US"/>
        </w:rPr>
        <w:t>Lipman</w:t>
      </w:r>
      <w:proofErr w:type="spellEnd"/>
      <w:r w:rsidR="000C0E33">
        <w:rPr>
          <w:rFonts w:ascii="Times New Roman" w:eastAsia="Arial Unicode MS" w:hAnsi="Times New Roman" w:cs="Times New Roman"/>
          <w:sz w:val="20"/>
          <w:szCs w:val="20"/>
          <w:lang w:val="en-US"/>
        </w:rPr>
        <w:t xml:space="preserve"> above fn. 139</w:t>
      </w:r>
      <w:r w:rsidRPr="00C72AC3">
        <w:rPr>
          <w:rFonts w:ascii="Times New Roman" w:eastAsia="Arial Unicode MS" w:hAnsi="Times New Roman" w:cs="Times New Roman"/>
          <w:sz w:val="20"/>
          <w:szCs w:val="20"/>
          <w:lang w:val="en-US"/>
        </w:rPr>
        <w:t>, 619.</w:t>
      </w:r>
      <w:proofErr w:type="gramEnd"/>
    </w:p>
  </w:footnote>
  <w:footnote w:id="148">
    <w:p w14:paraId="606F97B5" w14:textId="77777777"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r w:rsidRPr="00C72AC3">
        <w:rPr>
          <w:rFonts w:ascii="Times New Roman" w:eastAsia="Arial Unicode MS" w:hAnsi="Times New Roman" w:cs="Times New Roman"/>
          <w:i/>
          <w:sz w:val="20"/>
          <w:szCs w:val="20"/>
        </w:rPr>
        <w:t>In Re: Grand Jury Subpoena</w:t>
      </w:r>
      <w:r w:rsidRPr="00C72AC3">
        <w:rPr>
          <w:rFonts w:ascii="Times New Roman" w:eastAsia="Arial Unicode MS" w:hAnsi="Times New Roman" w:cs="Times New Roman"/>
          <w:sz w:val="20"/>
          <w:szCs w:val="20"/>
          <w:lang w:val="en-US"/>
        </w:rPr>
        <w:t xml:space="preserve"> above fn. 197 at 219</w:t>
      </w:r>
    </w:p>
  </w:footnote>
  <w:footnote w:id="149">
    <w:p w14:paraId="341BEAC6" w14:textId="012E2E03"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00C26515">
        <w:rPr>
          <w:rFonts w:ascii="Times New Roman" w:eastAsia="Arial Unicode MS" w:hAnsi="Times New Roman" w:cs="Times New Roman"/>
          <w:sz w:val="20"/>
          <w:szCs w:val="20"/>
        </w:rPr>
        <w:t xml:space="preserve"> </w:t>
      </w:r>
      <w:proofErr w:type="spellStart"/>
      <w:proofErr w:type="gramStart"/>
      <w:r w:rsidR="000C0E33">
        <w:rPr>
          <w:rFonts w:ascii="Times New Roman" w:eastAsia="Arial Unicode MS" w:hAnsi="Times New Roman" w:cs="Times New Roman"/>
          <w:sz w:val="20"/>
          <w:szCs w:val="20"/>
          <w:lang w:val="en-US"/>
        </w:rPr>
        <w:t>Lipman</w:t>
      </w:r>
      <w:proofErr w:type="spellEnd"/>
      <w:r w:rsidR="000C0E33">
        <w:rPr>
          <w:rFonts w:ascii="Times New Roman" w:eastAsia="Arial Unicode MS" w:hAnsi="Times New Roman" w:cs="Times New Roman"/>
          <w:sz w:val="20"/>
          <w:szCs w:val="20"/>
          <w:lang w:val="en-US"/>
        </w:rPr>
        <w:t xml:space="preserve"> above fn.139</w:t>
      </w:r>
      <w:r w:rsidRPr="00C72AC3">
        <w:rPr>
          <w:rFonts w:ascii="Times New Roman" w:eastAsia="Arial Unicode MS" w:hAnsi="Times New Roman" w:cs="Times New Roman"/>
          <w:sz w:val="20"/>
          <w:szCs w:val="20"/>
          <w:lang w:val="en-US"/>
        </w:rPr>
        <w:t>, 620.</w:t>
      </w:r>
      <w:proofErr w:type="gramEnd"/>
    </w:p>
  </w:footnote>
  <w:footnote w:id="150">
    <w:p w14:paraId="2E0A769D" w14:textId="18D2FBC8" w:rsidR="00A63E56" w:rsidRPr="00C72AC3" w:rsidRDefault="00A63E56" w:rsidP="003C4C12">
      <w:pPr>
        <w:autoSpaceDE w:val="0"/>
        <w:autoSpaceDN w:val="0"/>
        <w:adjustRightInd w:val="0"/>
        <w:spacing w:after="0" w:line="240" w:lineRule="auto"/>
        <w:rPr>
          <w:rFonts w:ascii="Times New Roman" w:hAnsi="Times New Roman" w:cs="Times New Roman"/>
          <w:color w:val="222222"/>
          <w:sz w:val="20"/>
          <w:szCs w:val="20"/>
        </w:rPr>
      </w:pPr>
      <w:r w:rsidRPr="00C72AC3">
        <w:rPr>
          <w:rStyle w:val="FootnoteReference"/>
          <w:rFonts w:ascii="Times New Roman" w:hAnsi="Times New Roman" w:cs="Times New Roman"/>
          <w:sz w:val="20"/>
          <w:szCs w:val="20"/>
        </w:rPr>
        <w:footnoteRef/>
      </w:r>
      <w:r w:rsidRPr="00C72AC3">
        <w:rPr>
          <w:rFonts w:ascii="Times New Roman" w:hAnsi="Times New Roman" w:cs="Times New Roman"/>
          <w:sz w:val="20"/>
          <w:szCs w:val="20"/>
        </w:rPr>
        <w:t xml:space="preserve"> </w:t>
      </w:r>
      <w:r w:rsidR="00C26515">
        <w:rPr>
          <w:rFonts w:ascii="Times New Roman" w:hAnsi="Times New Roman" w:cs="Times New Roman"/>
          <w:sz w:val="20"/>
          <w:szCs w:val="20"/>
        </w:rPr>
        <w:t xml:space="preserve">See </w:t>
      </w:r>
      <w:r w:rsidR="000C0E33">
        <w:rPr>
          <w:rFonts w:ascii="Times New Roman" w:hAnsi="Times New Roman" w:cs="Times New Roman"/>
          <w:sz w:val="20"/>
          <w:szCs w:val="20"/>
        </w:rPr>
        <w:t>Bricker above fn. 134</w:t>
      </w:r>
      <w:r>
        <w:rPr>
          <w:rFonts w:ascii="Times New Roman" w:hAnsi="Times New Roman" w:cs="Times New Roman"/>
          <w:sz w:val="20"/>
          <w:szCs w:val="20"/>
        </w:rPr>
        <w:t xml:space="preserve">, 154. </w:t>
      </w:r>
    </w:p>
  </w:footnote>
  <w:footnote w:id="151">
    <w:p w14:paraId="62751FDA" w14:textId="0B3A56F8"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proofErr w:type="spellStart"/>
      <w:r w:rsidRPr="00C72AC3">
        <w:rPr>
          <w:rFonts w:ascii="Times New Roman" w:eastAsia="Arial Unicode MS" w:hAnsi="Times New Roman" w:cs="Times New Roman"/>
          <w:i/>
          <w:sz w:val="20"/>
          <w:szCs w:val="20"/>
        </w:rPr>
        <w:t>Zolin</w:t>
      </w:r>
      <w:proofErr w:type="spellEnd"/>
      <w:r w:rsidR="000C0E33">
        <w:rPr>
          <w:rFonts w:ascii="Times New Roman" w:eastAsia="Arial Unicode MS" w:hAnsi="Times New Roman" w:cs="Times New Roman"/>
          <w:sz w:val="20"/>
          <w:szCs w:val="20"/>
        </w:rPr>
        <w:t xml:space="preserve"> above fn. 137</w:t>
      </w:r>
      <w:r w:rsidRPr="00C72AC3">
        <w:rPr>
          <w:rFonts w:ascii="Times New Roman" w:eastAsia="Arial Unicode MS" w:hAnsi="Times New Roman" w:cs="Times New Roman"/>
          <w:sz w:val="20"/>
          <w:szCs w:val="20"/>
        </w:rPr>
        <w:t xml:space="preserve"> at 564</w:t>
      </w:r>
    </w:p>
  </w:footnote>
  <w:footnote w:id="152">
    <w:p w14:paraId="4253DE97" w14:textId="77777777"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r w:rsidRPr="00C72AC3">
        <w:rPr>
          <w:rFonts w:ascii="Times New Roman" w:eastAsia="Arial Unicode MS" w:hAnsi="Times New Roman" w:cs="Times New Roman"/>
          <w:i/>
          <w:sz w:val="20"/>
          <w:szCs w:val="20"/>
        </w:rPr>
        <w:t xml:space="preserve">In </w:t>
      </w:r>
      <w:proofErr w:type="spellStart"/>
      <w:r w:rsidRPr="00C72AC3">
        <w:rPr>
          <w:rFonts w:ascii="Times New Roman" w:eastAsia="Arial Unicode MS" w:hAnsi="Times New Roman" w:cs="Times New Roman"/>
          <w:i/>
          <w:sz w:val="20"/>
          <w:szCs w:val="20"/>
        </w:rPr>
        <w:t>Re:Grand</w:t>
      </w:r>
      <w:proofErr w:type="spellEnd"/>
      <w:r w:rsidRPr="00C72AC3">
        <w:rPr>
          <w:rFonts w:ascii="Times New Roman" w:eastAsia="Arial Unicode MS" w:hAnsi="Times New Roman" w:cs="Times New Roman"/>
          <w:i/>
          <w:sz w:val="20"/>
          <w:szCs w:val="20"/>
        </w:rPr>
        <w:t xml:space="preserve"> Jury Subpoena</w:t>
      </w:r>
      <w:r w:rsidRPr="00C72AC3">
        <w:rPr>
          <w:rFonts w:ascii="Times New Roman" w:eastAsia="Arial Unicode MS" w:hAnsi="Times New Roman" w:cs="Times New Roman"/>
          <w:sz w:val="20"/>
          <w:szCs w:val="20"/>
        </w:rPr>
        <w:t xml:space="preserve"> 745 F.3d 681, 688 – 689 (3</w:t>
      </w:r>
      <w:r w:rsidRPr="00C72AC3">
        <w:rPr>
          <w:rFonts w:ascii="Times New Roman" w:eastAsia="Arial Unicode MS" w:hAnsi="Times New Roman" w:cs="Times New Roman"/>
          <w:sz w:val="20"/>
          <w:szCs w:val="20"/>
          <w:vertAlign w:val="superscript"/>
        </w:rPr>
        <w:t>rd</w:t>
      </w:r>
      <w:r w:rsidRPr="00C72AC3">
        <w:rPr>
          <w:rFonts w:ascii="Times New Roman" w:eastAsia="Arial Unicode MS" w:hAnsi="Times New Roman" w:cs="Times New Roman"/>
          <w:sz w:val="20"/>
          <w:szCs w:val="20"/>
        </w:rPr>
        <w:t xml:space="preserve"> Cir. 2014)</w:t>
      </w:r>
    </w:p>
  </w:footnote>
  <w:footnote w:id="153">
    <w:p w14:paraId="268F0C04" w14:textId="152315FB"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proofErr w:type="spellStart"/>
      <w:r w:rsidRPr="00C72AC3">
        <w:rPr>
          <w:rFonts w:ascii="Times New Roman" w:eastAsia="Arial Unicode MS" w:hAnsi="Times New Roman" w:cs="Times New Roman"/>
          <w:i/>
          <w:sz w:val="20"/>
          <w:szCs w:val="20"/>
        </w:rPr>
        <w:t>Zolin</w:t>
      </w:r>
      <w:proofErr w:type="spellEnd"/>
      <w:r w:rsidR="000C0E33">
        <w:rPr>
          <w:rFonts w:ascii="Times New Roman" w:eastAsia="Arial Unicode MS" w:hAnsi="Times New Roman" w:cs="Times New Roman"/>
          <w:sz w:val="20"/>
          <w:szCs w:val="20"/>
        </w:rPr>
        <w:t xml:space="preserve"> above fn.137</w:t>
      </w:r>
      <w:r w:rsidRPr="00C72AC3">
        <w:rPr>
          <w:rFonts w:ascii="Times New Roman" w:eastAsia="Arial Unicode MS" w:hAnsi="Times New Roman" w:cs="Times New Roman"/>
          <w:sz w:val="20"/>
          <w:szCs w:val="20"/>
        </w:rPr>
        <w:t xml:space="preserve"> at 572</w:t>
      </w:r>
    </w:p>
  </w:footnote>
  <w:footnote w:id="154">
    <w:p w14:paraId="58CCC207" w14:textId="57B46E9D"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proofErr w:type="spellStart"/>
      <w:r w:rsidRPr="00C72AC3">
        <w:rPr>
          <w:rFonts w:ascii="Times New Roman" w:eastAsia="Arial Unicode MS" w:hAnsi="Times New Roman" w:cs="Times New Roman"/>
          <w:i/>
          <w:sz w:val="20"/>
          <w:szCs w:val="20"/>
        </w:rPr>
        <w:t>Zolin</w:t>
      </w:r>
      <w:proofErr w:type="spellEnd"/>
      <w:r w:rsidR="000C0E33">
        <w:rPr>
          <w:rFonts w:ascii="Times New Roman" w:eastAsia="Arial Unicode MS" w:hAnsi="Times New Roman" w:cs="Times New Roman"/>
          <w:sz w:val="20"/>
          <w:szCs w:val="20"/>
        </w:rPr>
        <w:t xml:space="preserve"> above fn. 137</w:t>
      </w:r>
      <w:r w:rsidRPr="00C72AC3">
        <w:rPr>
          <w:rFonts w:ascii="Times New Roman" w:eastAsia="Arial Unicode MS" w:hAnsi="Times New Roman" w:cs="Times New Roman"/>
          <w:sz w:val="20"/>
          <w:szCs w:val="20"/>
        </w:rPr>
        <w:t xml:space="preserve"> at 572</w:t>
      </w:r>
    </w:p>
  </w:footnote>
  <w:footnote w:id="155">
    <w:p w14:paraId="423C78CF" w14:textId="563FE383"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w:t>
      </w:r>
      <w:proofErr w:type="spellStart"/>
      <w:r w:rsidRPr="00C72AC3">
        <w:rPr>
          <w:rFonts w:ascii="Times New Roman" w:eastAsia="Arial Unicode MS" w:hAnsi="Times New Roman" w:cs="Times New Roman"/>
          <w:i/>
          <w:sz w:val="20"/>
          <w:szCs w:val="20"/>
        </w:rPr>
        <w:t>Zolin</w:t>
      </w:r>
      <w:proofErr w:type="spellEnd"/>
      <w:r w:rsidR="000C0E33">
        <w:rPr>
          <w:rFonts w:ascii="Times New Roman" w:eastAsia="Arial Unicode MS" w:hAnsi="Times New Roman" w:cs="Times New Roman"/>
          <w:sz w:val="20"/>
          <w:szCs w:val="20"/>
        </w:rPr>
        <w:t xml:space="preserve"> above fn. 137</w:t>
      </w:r>
      <w:r w:rsidRPr="00C72AC3">
        <w:rPr>
          <w:rFonts w:ascii="Times New Roman" w:eastAsia="Arial Unicode MS" w:hAnsi="Times New Roman" w:cs="Times New Roman"/>
          <w:sz w:val="20"/>
          <w:szCs w:val="20"/>
        </w:rPr>
        <w:t xml:space="preserve"> at 574</w:t>
      </w:r>
    </w:p>
  </w:footnote>
  <w:footnote w:id="156">
    <w:p w14:paraId="24F3771D" w14:textId="77777777" w:rsidR="00A63E56" w:rsidRPr="00C72AC3" w:rsidRDefault="00A63E56" w:rsidP="002A25B7">
      <w:pPr>
        <w:pStyle w:val="Footnote"/>
        <w:rPr>
          <w:rFonts w:ascii="Times New Roman" w:hAnsi="Times New Roman" w:cs="Times New Roman"/>
          <w:sz w:val="20"/>
          <w:szCs w:val="20"/>
        </w:rPr>
      </w:pPr>
      <w:r w:rsidRPr="00C72AC3">
        <w:rPr>
          <w:rFonts w:ascii="Times New Roman" w:hAnsi="Times New Roman" w:cs="Times New Roman"/>
          <w:sz w:val="20"/>
          <w:szCs w:val="20"/>
          <w:vertAlign w:val="superscript"/>
        </w:rPr>
        <w:footnoteRef/>
      </w:r>
      <w:r w:rsidRPr="00C72AC3">
        <w:rPr>
          <w:rFonts w:ascii="Times New Roman" w:eastAsia="Arial Unicode MS" w:hAnsi="Times New Roman" w:cs="Times New Roman"/>
          <w:sz w:val="20"/>
          <w:szCs w:val="20"/>
        </w:rPr>
        <w:t xml:space="preserve"> K. Dunson “The crime-fraud exception to the attorney-client privilege” 1995-1996 </w:t>
      </w:r>
      <w:r w:rsidRPr="00C72AC3">
        <w:rPr>
          <w:rFonts w:ascii="Times New Roman" w:eastAsia="Arial Unicode MS" w:hAnsi="Times New Roman" w:cs="Times New Roman"/>
          <w:i/>
          <w:sz w:val="20"/>
          <w:szCs w:val="20"/>
        </w:rPr>
        <w:t>The Journal of the</w:t>
      </w:r>
      <w:r w:rsidRPr="00C72AC3">
        <w:rPr>
          <w:rFonts w:ascii="Times New Roman" w:eastAsia="Arial Unicode MS" w:hAnsi="Times New Roman" w:cs="Times New Roman"/>
          <w:i/>
          <w:sz w:val="20"/>
          <w:szCs w:val="20"/>
          <w:lang w:val="en-US"/>
        </w:rPr>
        <w:t xml:space="preserve"> Legal </w:t>
      </w:r>
      <w:proofErr w:type="gramStart"/>
      <w:r w:rsidRPr="00C72AC3">
        <w:rPr>
          <w:rFonts w:ascii="Times New Roman" w:eastAsia="Arial Unicode MS" w:hAnsi="Times New Roman" w:cs="Times New Roman"/>
          <w:i/>
          <w:sz w:val="20"/>
          <w:szCs w:val="20"/>
          <w:lang w:val="en-US"/>
        </w:rPr>
        <w:t>Profession</w:t>
      </w:r>
      <w:r w:rsidRPr="00C72AC3">
        <w:rPr>
          <w:rFonts w:ascii="Times New Roman" w:eastAsia="Arial Unicode MS" w:hAnsi="Times New Roman" w:cs="Times New Roman"/>
          <w:sz w:val="20"/>
          <w:szCs w:val="20"/>
          <w:lang w:val="en-US"/>
        </w:rPr>
        <w:t xml:space="preserve">  Vol</w:t>
      </w:r>
      <w:proofErr w:type="gramEnd"/>
      <w:r w:rsidRPr="00C72AC3">
        <w:rPr>
          <w:rFonts w:ascii="Times New Roman" w:eastAsia="Arial Unicode MS" w:hAnsi="Times New Roman" w:cs="Times New Roman"/>
          <w:sz w:val="20"/>
          <w:szCs w:val="20"/>
          <w:lang w:val="en-US"/>
        </w:rPr>
        <w:t xml:space="preserve"> 20, 231</w:t>
      </w:r>
      <w:r w:rsidRPr="00C72AC3">
        <w:rPr>
          <w:rFonts w:ascii="Times New Roman" w:eastAsia="Arial Unicode MS" w:hAnsi="Times New Roman" w:cs="Times New Roman"/>
          <w:sz w:val="20"/>
          <w:szCs w:val="20"/>
        </w:rPr>
        <w:t>, 237.</w:t>
      </w:r>
    </w:p>
  </w:footnote>
  <w:footnote w:id="157">
    <w:p w14:paraId="2B2D6C2D" w14:textId="0221AC9B" w:rsidR="00A63E56" w:rsidRPr="0023733B" w:rsidRDefault="00A63E56">
      <w:pPr>
        <w:pStyle w:val="FootnoteText"/>
        <w:rPr>
          <w:lang w:val="en-US"/>
        </w:rPr>
      </w:pPr>
      <w:r w:rsidRPr="00C72AC3">
        <w:rPr>
          <w:rFonts w:eastAsia="Helvetica"/>
          <w:color w:val="000000"/>
          <w:bdr w:val="nil"/>
          <w:vertAlign w:val="superscript"/>
          <w:lang w:eastAsia="en-GB"/>
        </w:rPr>
        <w:footnoteRef/>
      </w:r>
      <w:r w:rsidRPr="00C72AC3">
        <w:rPr>
          <w:rFonts w:eastAsia="Helvetica"/>
          <w:color w:val="000000"/>
          <w:bdr w:val="nil"/>
          <w:vertAlign w:val="superscript"/>
          <w:lang w:eastAsia="en-GB"/>
        </w:rPr>
        <w:t xml:space="preserve"> </w:t>
      </w:r>
      <w:proofErr w:type="gramStart"/>
      <w:r w:rsidRPr="00C72AC3">
        <w:rPr>
          <w:rFonts w:eastAsia="Arial Unicode MS"/>
          <w:color w:val="000000"/>
          <w:bdr w:val="nil"/>
          <w:lang w:val="en-US" w:eastAsia="en-GB"/>
        </w:rPr>
        <w:t>CPR 1.1(1).</w:t>
      </w:r>
      <w:proofErr w:type="gramEnd"/>
      <w:r w:rsidRPr="00C72AC3">
        <w:rPr>
          <w:rFonts w:eastAsia="Arial Unicode MS"/>
          <w:color w:val="000000"/>
          <w:bdr w:val="nil"/>
          <w:lang w:val="en-US" w:eastAsia="en-GB"/>
        </w:rPr>
        <w:t xml:space="preserve"> </w:t>
      </w:r>
    </w:p>
  </w:footnote>
  <w:footnote w:id="158">
    <w:p w14:paraId="486FF783" w14:textId="1283FE74" w:rsidR="00A63E56" w:rsidRDefault="00A63E56">
      <w:pPr>
        <w:pStyle w:val="FootnoteText"/>
      </w:pPr>
      <w:r>
        <w:rPr>
          <w:rStyle w:val="FootnoteReference"/>
        </w:rPr>
        <w:footnoteRef/>
      </w:r>
      <w:r>
        <w:t xml:space="preserve"> </w:t>
      </w:r>
      <w:proofErr w:type="spellStart"/>
      <w:r w:rsidRPr="00455FD3">
        <w:rPr>
          <w:i/>
        </w:rPr>
        <w:t>Zolin</w:t>
      </w:r>
      <w:proofErr w:type="spellEnd"/>
      <w:r w:rsidR="000C0E33">
        <w:t xml:space="preserve"> above fn.137</w:t>
      </w:r>
      <w:r>
        <w:t xml:space="preserve"> at 571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C31D6"/>
    <w:multiLevelType w:val="multilevel"/>
    <w:tmpl w:val="207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A4971"/>
    <w:multiLevelType w:val="multilevel"/>
    <w:tmpl w:val="4EDA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A5EBC"/>
    <w:multiLevelType w:val="multilevel"/>
    <w:tmpl w:val="4222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C743B"/>
    <w:multiLevelType w:val="multilevel"/>
    <w:tmpl w:val="A7A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A64D2"/>
    <w:multiLevelType w:val="multilevel"/>
    <w:tmpl w:val="1A02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E59FC"/>
    <w:multiLevelType w:val="multilevel"/>
    <w:tmpl w:val="A846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920FA"/>
    <w:multiLevelType w:val="multilevel"/>
    <w:tmpl w:val="8ED2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C0AC9"/>
    <w:multiLevelType w:val="multilevel"/>
    <w:tmpl w:val="E77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B468A"/>
    <w:multiLevelType w:val="multilevel"/>
    <w:tmpl w:val="C7A2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F364C7"/>
    <w:multiLevelType w:val="multilevel"/>
    <w:tmpl w:val="DAA4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B32EB"/>
    <w:multiLevelType w:val="multilevel"/>
    <w:tmpl w:val="4E5E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E4E19"/>
    <w:multiLevelType w:val="multilevel"/>
    <w:tmpl w:val="B2A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1330E"/>
    <w:multiLevelType w:val="multilevel"/>
    <w:tmpl w:val="DB0A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AC12E6"/>
    <w:multiLevelType w:val="multilevel"/>
    <w:tmpl w:val="6D16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8665F4"/>
    <w:multiLevelType w:val="multilevel"/>
    <w:tmpl w:val="371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849B8"/>
    <w:multiLevelType w:val="multilevel"/>
    <w:tmpl w:val="CCEA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C459C"/>
    <w:multiLevelType w:val="multilevel"/>
    <w:tmpl w:val="7704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777F70"/>
    <w:multiLevelType w:val="multilevel"/>
    <w:tmpl w:val="73EC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923B99"/>
    <w:multiLevelType w:val="multilevel"/>
    <w:tmpl w:val="2FA4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E80FFA"/>
    <w:multiLevelType w:val="multilevel"/>
    <w:tmpl w:val="491A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1C4797"/>
    <w:multiLevelType w:val="multilevel"/>
    <w:tmpl w:val="6C5C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65F78"/>
    <w:multiLevelType w:val="multilevel"/>
    <w:tmpl w:val="7A40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123296"/>
    <w:multiLevelType w:val="multilevel"/>
    <w:tmpl w:val="DDDC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10290B"/>
    <w:multiLevelType w:val="multilevel"/>
    <w:tmpl w:val="8EA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1515CD"/>
    <w:multiLevelType w:val="multilevel"/>
    <w:tmpl w:val="34B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7305C7"/>
    <w:multiLevelType w:val="multilevel"/>
    <w:tmpl w:val="CAF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C77B48"/>
    <w:multiLevelType w:val="multilevel"/>
    <w:tmpl w:val="BBA8A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406778"/>
    <w:multiLevelType w:val="multilevel"/>
    <w:tmpl w:val="772C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FE71DE"/>
    <w:multiLevelType w:val="multilevel"/>
    <w:tmpl w:val="4520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B2475"/>
    <w:multiLevelType w:val="multilevel"/>
    <w:tmpl w:val="B0A2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104C3C"/>
    <w:multiLevelType w:val="multilevel"/>
    <w:tmpl w:val="A56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86372"/>
    <w:multiLevelType w:val="multilevel"/>
    <w:tmpl w:val="C6C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1A6B52"/>
    <w:multiLevelType w:val="multilevel"/>
    <w:tmpl w:val="EC3E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155AB"/>
    <w:multiLevelType w:val="multilevel"/>
    <w:tmpl w:val="75AC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B09E4"/>
    <w:multiLevelType w:val="multilevel"/>
    <w:tmpl w:val="1BAE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2823A6"/>
    <w:multiLevelType w:val="multilevel"/>
    <w:tmpl w:val="7A4C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E1028E"/>
    <w:multiLevelType w:val="multilevel"/>
    <w:tmpl w:val="6DC8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C4CEA"/>
    <w:multiLevelType w:val="multilevel"/>
    <w:tmpl w:val="DAD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61CCE"/>
    <w:multiLevelType w:val="multilevel"/>
    <w:tmpl w:val="86C2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4"/>
  </w:num>
  <w:num w:numId="3">
    <w:abstractNumId w:val="17"/>
  </w:num>
  <w:num w:numId="4">
    <w:abstractNumId w:val="20"/>
  </w:num>
  <w:num w:numId="5">
    <w:abstractNumId w:val="28"/>
  </w:num>
  <w:num w:numId="6">
    <w:abstractNumId w:val="16"/>
  </w:num>
  <w:num w:numId="7">
    <w:abstractNumId w:val="30"/>
  </w:num>
  <w:num w:numId="8">
    <w:abstractNumId w:val="19"/>
  </w:num>
  <w:num w:numId="9">
    <w:abstractNumId w:val="27"/>
  </w:num>
  <w:num w:numId="10">
    <w:abstractNumId w:val="36"/>
  </w:num>
  <w:num w:numId="11">
    <w:abstractNumId w:val="13"/>
  </w:num>
  <w:num w:numId="12">
    <w:abstractNumId w:val="18"/>
  </w:num>
  <w:num w:numId="13">
    <w:abstractNumId w:val="7"/>
  </w:num>
  <w:num w:numId="14">
    <w:abstractNumId w:val="14"/>
  </w:num>
  <w:num w:numId="15">
    <w:abstractNumId w:val="2"/>
  </w:num>
  <w:num w:numId="16">
    <w:abstractNumId w:val="6"/>
  </w:num>
  <w:num w:numId="17">
    <w:abstractNumId w:val="5"/>
  </w:num>
  <w:num w:numId="18">
    <w:abstractNumId w:val="22"/>
  </w:num>
  <w:num w:numId="19">
    <w:abstractNumId w:val="35"/>
  </w:num>
  <w:num w:numId="20">
    <w:abstractNumId w:val="8"/>
  </w:num>
  <w:num w:numId="21">
    <w:abstractNumId w:val="10"/>
  </w:num>
  <w:num w:numId="22">
    <w:abstractNumId w:val="29"/>
  </w:num>
  <w:num w:numId="23">
    <w:abstractNumId w:val="3"/>
  </w:num>
  <w:num w:numId="24">
    <w:abstractNumId w:val="15"/>
  </w:num>
  <w:num w:numId="25">
    <w:abstractNumId w:val="4"/>
  </w:num>
  <w:num w:numId="26">
    <w:abstractNumId w:val="25"/>
  </w:num>
  <w:num w:numId="27">
    <w:abstractNumId w:val="32"/>
  </w:num>
  <w:num w:numId="28">
    <w:abstractNumId w:val="38"/>
  </w:num>
  <w:num w:numId="29">
    <w:abstractNumId w:val="26"/>
  </w:num>
  <w:num w:numId="30">
    <w:abstractNumId w:val="37"/>
  </w:num>
  <w:num w:numId="31">
    <w:abstractNumId w:val="11"/>
  </w:num>
  <w:num w:numId="32">
    <w:abstractNumId w:val="33"/>
  </w:num>
  <w:num w:numId="33">
    <w:abstractNumId w:val="9"/>
  </w:num>
  <w:num w:numId="34">
    <w:abstractNumId w:val="12"/>
  </w:num>
  <w:num w:numId="35">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6">
    <w:abstractNumId w:val="21"/>
  </w:num>
  <w:num w:numId="37">
    <w:abstractNumId w:val="24"/>
  </w:num>
  <w:num w:numId="38">
    <w:abstractNumId w:val="31"/>
  </w:num>
  <w:num w:numId="39">
    <w:abstractNumId w:val="1"/>
  </w:num>
  <w:num w:numId="40">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05"/>
    <w:rsid w:val="00003B95"/>
    <w:rsid w:val="0000652C"/>
    <w:rsid w:val="000127E0"/>
    <w:rsid w:val="000139F1"/>
    <w:rsid w:val="00014010"/>
    <w:rsid w:val="000148CA"/>
    <w:rsid w:val="00017852"/>
    <w:rsid w:val="00017978"/>
    <w:rsid w:val="00020600"/>
    <w:rsid w:val="00022760"/>
    <w:rsid w:val="000237A4"/>
    <w:rsid w:val="00024A00"/>
    <w:rsid w:val="00025107"/>
    <w:rsid w:val="0002585B"/>
    <w:rsid w:val="00026724"/>
    <w:rsid w:val="000276F5"/>
    <w:rsid w:val="00030DC9"/>
    <w:rsid w:val="00032350"/>
    <w:rsid w:val="000329EB"/>
    <w:rsid w:val="00033110"/>
    <w:rsid w:val="000344EE"/>
    <w:rsid w:val="0003588A"/>
    <w:rsid w:val="00036BE2"/>
    <w:rsid w:val="0003744A"/>
    <w:rsid w:val="000405F7"/>
    <w:rsid w:val="00041431"/>
    <w:rsid w:val="00043237"/>
    <w:rsid w:val="00045A24"/>
    <w:rsid w:val="00046C5E"/>
    <w:rsid w:val="00052971"/>
    <w:rsid w:val="000536D3"/>
    <w:rsid w:val="00053870"/>
    <w:rsid w:val="000544A9"/>
    <w:rsid w:val="00056D94"/>
    <w:rsid w:val="00057C4D"/>
    <w:rsid w:val="0006113C"/>
    <w:rsid w:val="000633D2"/>
    <w:rsid w:val="000638C3"/>
    <w:rsid w:val="00064002"/>
    <w:rsid w:val="00064C57"/>
    <w:rsid w:val="000747F4"/>
    <w:rsid w:val="00075CEC"/>
    <w:rsid w:val="000779C6"/>
    <w:rsid w:val="000811C7"/>
    <w:rsid w:val="000818D3"/>
    <w:rsid w:val="00081F04"/>
    <w:rsid w:val="000820FC"/>
    <w:rsid w:val="00082F04"/>
    <w:rsid w:val="00084B87"/>
    <w:rsid w:val="0009224E"/>
    <w:rsid w:val="00094093"/>
    <w:rsid w:val="00094AA0"/>
    <w:rsid w:val="000952DA"/>
    <w:rsid w:val="000953A6"/>
    <w:rsid w:val="00097D0F"/>
    <w:rsid w:val="000A02F3"/>
    <w:rsid w:val="000A19E4"/>
    <w:rsid w:val="000A4053"/>
    <w:rsid w:val="000A4208"/>
    <w:rsid w:val="000A49ED"/>
    <w:rsid w:val="000A4B0B"/>
    <w:rsid w:val="000A5A21"/>
    <w:rsid w:val="000A6AD4"/>
    <w:rsid w:val="000A6BA8"/>
    <w:rsid w:val="000A7BBE"/>
    <w:rsid w:val="000B125A"/>
    <w:rsid w:val="000B4783"/>
    <w:rsid w:val="000B57B2"/>
    <w:rsid w:val="000C0E33"/>
    <w:rsid w:val="000C1001"/>
    <w:rsid w:val="000C1C37"/>
    <w:rsid w:val="000C1F3F"/>
    <w:rsid w:val="000C2114"/>
    <w:rsid w:val="000C2BB4"/>
    <w:rsid w:val="000C601F"/>
    <w:rsid w:val="000C6C6A"/>
    <w:rsid w:val="000D17D6"/>
    <w:rsid w:val="000D4D66"/>
    <w:rsid w:val="000D4DFF"/>
    <w:rsid w:val="000D6C1F"/>
    <w:rsid w:val="000E2A9D"/>
    <w:rsid w:val="000E4A7C"/>
    <w:rsid w:val="000E665E"/>
    <w:rsid w:val="000E7331"/>
    <w:rsid w:val="000F19C9"/>
    <w:rsid w:val="000F6AA1"/>
    <w:rsid w:val="000F6C7A"/>
    <w:rsid w:val="000F721A"/>
    <w:rsid w:val="00100915"/>
    <w:rsid w:val="00101054"/>
    <w:rsid w:val="0010191F"/>
    <w:rsid w:val="00104B34"/>
    <w:rsid w:val="001071D3"/>
    <w:rsid w:val="00107252"/>
    <w:rsid w:val="0010740E"/>
    <w:rsid w:val="00111E1D"/>
    <w:rsid w:val="00112FAB"/>
    <w:rsid w:val="00115624"/>
    <w:rsid w:val="00120809"/>
    <w:rsid w:val="001217C9"/>
    <w:rsid w:val="0012297A"/>
    <w:rsid w:val="001234FC"/>
    <w:rsid w:val="00123871"/>
    <w:rsid w:val="001239B1"/>
    <w:rsid w:val="0012434D"/>
    <w:rsid w:val="00124CA2"/>
    <w:rsid w:val="00125AB1"/>
    <w:rsid w:val="001308B1"/>
    <w:rsid w:val="001360A2"/>
    <w:rsid w:val="00137BD7"/>
    <w:rsid w:val="00137C9C"/>
    <w:rsid w:val="001408C2"/>
    <w:rsid w:val="001409C8"/>
    <w:rsid w:val="001432BF"/>
    <w:rsid w:val="0014519C"/>
    <w:rsid w:val="00147553"/>
    <w:rsid w:val="001500EE"/>
    <w:rsid w:val="00154367"/>
    <w:rsid w:val="00154451"/>
    <w:rsid w:val="00154F9D"/>
    <w:rsid w:val="00156F4D"/>
    <w:rsid w:val="0015756B"/>
    <w:rsid w:val="001620B4"/>
    <w:rsid w:val="00162D57"/>
    <w:rsid w:val="00162DD0"/>
    <w:rsid w:val="00163BEF"/>
    <w:rsid w:val="00163D9E"/>
    <w:rsid w:val="00165757"/>
    <w:rsid w:val="00165B3C"/>
    <w:rsid w:val="00170393"/>
    <w:rsid w:val="001703F3"/>
    <w:rsid w:val="00171293"/>
    <w:rsid w:val="00174FE4"/>
    <w:rsid w:val="0017588C"/>
    <w:rsid w:val="001809BA"/>
    <w:rsid w:val="0018142B"/>
    <w:rsid w:val="00181528"/>
    <w:rsid w:val="00181953"/>
    <w:rsid w:val="00182ADF"/>
    <w:rsid w:val="00183460"/>
    <w:rsid w:val="00185122"/>
    <w:rsid w:val="001863A8"/>
    <w:rsid w:val="00192394"/>
    <w:rsid w:val="0019250E"/>
    <w:rsid w:val="0019424D"/>
    <w:rsid w:val="0019446C"/>
    <w:rsid w:val="00195402"/>
    <w:rsid w:val="001A34A0"/>
    <w:rsid w:val="001A41E7"/>
    <w:rsid w:val="001A427F"/>
    <w:rsid w:val="001A685E"/>
    <w:rsid w:val="001A7D0D"/>
    <w:rsid w:val="001B1FC3"/>
    <w:rsid w:val="001B23EE"/>
    <w:rsid w:val="001B4819"/>
    <w:rsid w:val="001B4ACD"/>
    <w:rsid w:val="001B7498"/>
    <w:rsid w:val="001C4732"/>
    <w:rsid w:val="001D0121"/>
    <w:rsid w:val="001D0EDF"/>
    <w:rsid w:val="001D431D"/>
    <w:rsid w:val="001D48A1"/>
    <w:rsid w:val="001D601C"/>
    <w:rsid w:val="001E0584"/>
    <w:rsid w:val="001E06D4"/>
    <w:rsid w:val="001E1117"/>
    <w:rsid w:val="001E1125"/>
    <w:rsid w:val="001E3B4B"/>
    <w:rsid w:val="001E51D9"/>
    <w:rsid w:val="001E6ED2"/>
    <w:rsid w:val="001F093B"/>
    <w:rsid w:val="001F41D6"/>
    <w:rsid w:val="001F583A"/>
    <w:rsid w:val="00201527"/>
    <w:rsid w:val="002021BF"/>
    <w:rsid w:val="002028C5"/>
    <w:rsid w:val="00204934"/>
    <w:rsid w:val="00210401"/>
    <w:rsid w:val="00210E77"/>
    <w:rsid w:val="00211287"/>
    <w:rsid w:val="00211B0B"/>
    <w:rsid w:val="00212E65"/>
    <w:rsid w:val="002140EB"/>
    <w:rsid w:val="002162E0"/>
    <w:rsid w:val="0021703F"/>
    <w:rsid w:val="00217132"/>
    <w:rsid w:val="00220FA4"/>
    <w:rsid w:val="0022150F"/>
    <w:rsid w:val="002217A8"/>
    <w:rsid w:val="00225BE7"/>
    <w:rsid w:val="0022778E"/>
    <w:rsid w:val="00230408"/>
    <w:rsid w:val="0023160D"/>
    <w:rsid w:val="00235357"/>
    <w:rsid w:val="0023733B"/>
    <w:rsid w:val="00243BE3"/>
    <w:rsid w:val="002447BB"/>
    <w:rsid w:val="0024521D"/>
    <w:rsid w:val="002452A5"/>
    <w:rsid w:val="002468C2"/>
    <w:rsid w:val="00251701"/>
    <w:rsid w:val="00251C23"/>
    <w:rsid w:val="00254ADD"/>
    <w:rsid w:val="00254CD5"/>
    <w:rsid w:val="0026187F"/>
    <w:rsid w:val="00261A49"/>
    <w:rsid w:val="002624B0"/>
    <w:rsid w:val="0026451A"/>
    <w:rsid w:val="0026570B"/>
    <w:rsid w:val="002665D5"/>
    <w:rsid w:val="00267016"/>
    <w:rsid w:val="0027097B"/>
    <w:rsid w:val="00271787"/>
    <w:rsid w:val="0027186E"/>
    <w:rsid w:val="00274B23"/>
    <w:rsid w:val="00274D1B"/>
    <w:rsid w:val="002752E3"/>
    <w:rsid w:val="002769FA"/>
    <w:rsid w:val="00276BB5"/>
    <w:rsid w:val="00281988"/>
    <w:rsid w:val="00283F4A"/>
    <w:rsid w:val="00284CAE"/>
    <w:rsid w:val="00286210"/>
    <w:rsid w:val="0029213F"/>
    <w:rsid w:val="00292165"/>
    <w:rsid w:val="00293966"/>
    <w:rsid w:val="0029417C"/>
    <w:rsid w:val="002941E4"/>
    <w:rsid w:val="0029541F"/>
    <w:rsid w:val="002964F4"/>
    <w:rsid w:val="00296720"/>
    <w:rsid w:val="002A0541"/>
    <w:rsid w:val="002A0BBD"/>
    <w:rsid w:val="002A25B7"/>
    <w:rsid w:val="002A313E"/>
    <w:rsid w:val="002A49C9"/>
    <w:rsid w:val="002A5F0A"/>
    <w:rsid w:val="002B09E0"/>
    <w:rsid w:val="002B1366"/>
    <w:rsid w:val="002B324E"/>
    <w:rsid w:val="002B4EC1"/>
    <w:rsid w:val="002C14DA"/>
    <w:rsid w:val="002C21C0"/>
    <w:rsid w:val="002C23BD"/>
    <w:rsid w:val="002C2B96"/>
    <w:rsid w:val="002C5F60"/>
    <w:rsid w:val="002C6E8C"/>
    <w:rsid w:val="002C7F22"/>
    <w:rsid w:val="002D03C2"/>
    <w:rsid w:val="002D0D70"/>
    <w:rsid w:val="002D293F"/>
    <w:rsid w:val="002D50B9"/>
    <w:rsid w:val="002D5444"/>
    <w:rsid w:val="002E2A12"/>
    <w:rsid w:val="002E351F"/>
    <w:rsid w:val="002E4001"/>
    <w:rsid w:val="002F087D"/>
    <w:rsid w:val="002F0EEB"/>
    <w:rsid w:val="002F230A"/>
    <w:rsid w:val="002F5380"/>
    <w:rsid w:val="002F5C46"/>
    <w:rsid w:val="002F625D"/>
    <w:rsid w:val="0030077B"/>
    <w:rsid w:val="0030138C"/>
    <w:rsid w:val="0030246C"/>
    <w:rsid w:val="003031A3"/>
    <w:rsid w:val="00304012"/>
    <w:rsid w:val="00304ECC"/>
    <w:rsid w:val="003053B0"/>
    <w:rsid w:val="0031166B"/>
    <w:rsid w:val="00311724"/>
    <w:rsid w:val="00311CC7"/>
    <w:rsid w:val="00314342"/>
    <w:rsid w:val="003152B5"/>
    <w:rsid w:val="00315818"/>
    <w:rsid w:val="003163CF"/>
    <w:rsid w:val="003164FB"/>
    <w:rsid w:val="003273AF"/>
    <w:rsid w:val="00327A7B"/>
    <w:rsid w:val="00331F08"/>
    <w:rsid w:val="003339CB"/>
    <w:rsid w:val="00335B58"/>
    <w:rsid w:val="00335DBC"/>
    <w:rsid w:val="00337DA7"/>
    <w:rsid w:val="00340570"/>
    <w:rsid w:val="00341F20"/>
    <w:rsid w:val="0034372F"/>
    <w:rsid w:val="0034679B"/>
    <w:rsid w:val="00347ECE"/>
    <w:rsid w:val="00352574"/>
    <w:rsid w:val="00361626"/>
    <w:rsid w:val="003622B6"/>
    <w:rsid w:val="00367177"/>
    <w:rsid w:val="003701AC"/>
    <w:rsid w:val="003763BE"/>
    <w:rsid w:val="00381BCF"/>
    <w:rsid w:val="00384DF3"/>
    <w:rsid w:val="00385BC3"/>
    <w:rsid w:val="00386A94"/>
    <w:rsid w:val="003920E2"/>
    <w:rsid w:val="00395745"/>
    <w:rsid w:val="00397903"/>
    <w:rsid w:val="003A0BB7"/>
    <w:rsid w:val="003A2409"/>
    <w:rsid w:val="003A32BE"/>
    <w:rsid w:val="003A4F71"/>
    <w:rsid w:val="003B2248"/>
    <w:rsid w:val="003B258D"/>
    <w:rsid w:val="003B48E2"/>
    <w:rsid w:val="003B592B"/>
    <w:rsid w:val="003B61F2"/>
    <w:rsid w:val="003C03A1"/>
    <w:rsid w:val="003C0B24"/>
    <w:rsid w:val="003C0BBE"/>
    <w:rsid w:val="003C1BA7"/>
    <w:rsid w:val="003C4C12"/>
    <w:rsid w:val="003C5479"/>
    <w:rsid w:val="003C58A3"/>
    <w:rsid w:val="003D05C7"/>
    <w:rsid w:val="003D1743"/>
    <w:rsid w:val="003D4F18"/>
    <w:rsid w:val="003D646C"/>
    <w:rsid w:val="003D7CEE"/>
    <w:rsid w:val="003E1795"/>
    <w:rsid w:val="003E17E7"/>
    <w:rsid w:val="003E7BC2"/>
    <w:rsid w:val="003F09CA"/>
    <w:rsid w:val="003F19E8"/>
    <w:rsid w:val="003F37F7"/>
    <w:rsid w:val="003F4A48"/>
    <w:rsid w:val="003F52FE"/>
    <w:rsid w:val="003F7C35"/>
    <w:rsid w:val="004009D5"/>
    <w:rsid w:val="00400ECD"/>
    <w:rsid w:val="00401DC0"/>
    <w:rsid w:val="004021EA"/>
    <w:rsid w:val="00404795"/>
    <w:rsid w:val="004047DC"/>
    <w:rsid w:val="00405F71"/>
    <w:rsid w:val="004100BF"/>
    <w:rsid w:val="00410EB4"/>
    <w:rsid w:val="0041253C"/>
    <w:rsid w:val="00412D5B"/>
    <w:rsid w:val="0041473E"/>
    <w:rsid w:val="004151CD"/>
    <w:rsid w:val="00423405"/>
    <w:rsid w:val="0043065F"/>
    <w:rsid w:val="00430BBB"/>
    <w:rsid w:val="004318F4"/>
    <w:rsid w:val="004325D4"/>
    <w:rsid w:val="00432CA3"/>
    <w:rsid w:val="00433F56"/>
    <w:rsid w:val="00437CE5"/>
    <w:rsid w:val="00440238"/>
    <w:rsid w:val="004435C7"/>
    <w:rsid w:val="004453B6"/>
    <w:rsid w:val="0044688F"/>
    <w:rsid w:val="004504C9"/>
    <w:rsid w:val="0045111C"/>
    <w:rsid w:val="004517A0"/>
    <w:rsid w:val="00453F0F"/>
    <w:rsid w:val="00454C3C"/>
    <w:rsid w:val="00455835"/>
    <w:rsid w:val="00455FD3"/>
    <w:rsid w:val="00456A9A"/>
    <w:rsid w:val="004601AC"/>
    <w:rsid w:val="004603BB"/>
    <w:rsid w:val="00460549"/>
    <w:rsid w:val="00461A3B"/>
    <w:rsid w:val="00461D92"/>
    <w:rsid w:val="004633CA"/>
    <w:rsid w:val="0046400B"/>
    <w:rsid w:val="004655A2"/>
    <w:rsid w:val="004667C8"/>
    <w:rsid w:val="00467187"/>
    <w:rsid w:val="00467725"/>
    <w:rsid w:val="00470B1C"/>
    <w:rsid w:val="00471C80"/>
    <w:rsid w:val="004735D4"/>
    <w:rsid w:val="0047429B"/>
    <w:rsid w:val="00476069"/>
    <w:rsid w:val="004833F0"/>
    <w:rsid w:val="004844D7"/>
    <w:rsid w:val="0048485A"/>
    <w:rsid w:val="004856F8"/>
    <w:rsid w:val="004868FD"/>
    <w:rsid w:val="0049002A"/>
    <w:rsid w:val="00490DDE"/>
    <w:rsid w:val="004951EF"/>
    <w:rsid w:val="004960BB"/>
    <w:rsid w:val="004A026D"/>
    <w:rsid w:val="004A07D3"/>
    <w:rsid w:val="004A13FD"/>
    <w:rsid w:val="004A20D4"/>
    <w:rsid w:val="004A32D6"/>
    <w:rsid w:val="004A3D5D"/>
    <w:rsid w:val="004A54E4"/>
    <w:rsid w:val="004A5E68"/>
    <w:rsid w:val="004B03A5"/>
    <w:rsid w:val="004B2C68"/>
    <w:rsid w:val="004B3A04"/>
    <w:rsid w:val="004B5B7A"/>
    <w:rsid w:val="004B5D56"/>
    <w:rsid w:val="004B6352"/>
    <w:rsid w:val="004B670C"/>
    <w:rsid w:val="004B7871"/>
    <w:rsid w:val="004B79FE"/>
    <w:rsid w:val="004C0C58"/>
    <w:rsid w:val="004C467C"/>
    <w:rsid w:val="004C5245"/>
    <w:rsid w:val="004C5887"/>
    <w:rsid w:val="004C62A6"/>
    <w:rsid w:val="004C637E"/>
    <w:rsid w:val="004C7627"/>
    <w:rsid w:val="004D153E"/>
    <w:rsid w:val="004D42FD"/>
    <w:rsid w:val="004D61ED"/>
    <w:rsid w:val="004D6FD4"/>
    <w:rsid w:val="004E288B"/>
    <w:rsid w:val="004E49E2"/>
    <w:rsid w:val="004E686D"/>
    <w:rsid w:val="004F1772"/>
    <w:rsid w:val="004F2438"/>
    <w:rsid w:val="004F2D0E"/>
    <w:rsid w:val="004F3383"/>
    <w:rsid w:val="004F60B5"/>
    <w:rsid w:val="004F614D"/>
    <w:rsid w:val="004F67C9"/>
    <w:rsid w:val="0050030B"/>
    <w:rsid w:val="00500AA2"/>
    <w:rsid w:val="00500F8B"/>
    <w:rsid w:val="005023FF"/>
    <w:rsid w:val="00502F68"/>
    <w:rsid w:val="00511D91"/>
    <w:rsid w:val="005145E0"/>
    <w:rsid w:val="005157AB"/>
    <w:rsid w:val="00515EA8"/>
    <w:rsid w:val="005163A6"/>
    <w:rsid w:val="0051649E"/>
    <w:rsid w:val="00516CAE"/>
    <w:rsid w:val="00517BEC"/>
    <w:rsid w:val="0052330D"/>
    <w:rsid w:val="00525645"/>
    <w:rsid w:val="00525BD9"/>
    <w:rsid w:val="0052696E"/>
    <w:rsid w:val="00527854"/>
    <w:rsid w:val="0053048A"/>
    <w:rsid w:val="00531EE1"/>
    <w:rsid w:val="005336F4"/>
    <w:rsid w:val="00533C4B"/>
    <w:rsid w:val="005362C4"/>
    <w:rsid w:val="00540934"/>
    <w:rsid w:val="00540D1E"/>
    <w:rsid w:val="0054351B"/>
    <w:rsid w:val="005472CA"/>
    <w:rsid w:val="0055123A"/>
    <w:rsid w:val="00552691"/>
    <w:rsid w:val="0055311B"/>
    <w:rsid w:val="00557888"/>
    <w:rsid w:val="0056055A"/>
    <w:rsid w:val="005653C1"/>
    <w:rsid w:val="00566EA9"/>
    <w:rsid w:val="00570CD7"/>
    <w:rsid w:val="00571C38"/>
    <w:rsid w:val="00576097"/>
    <w:rsid w:val="00576BEA"/>
    <w:rsid w:val="00576CEC"/>
    <w:rsid w:val="00585162"/>
    <w:rsid w:val="00585F29"/>
    <w:rsid w:val="00590167"/>
    <w:rsid w:val="00590B6A"/>
    <w:rsid w:val="00590BC1"/>
    <w:rsid w:val="005927D1"/>
    <w:rsid w:val="00593F98"/>
    <w:rsid w:val="005974EC"/>
    <w:rsid w:val="005977C1"/>
    <w:rsid w:val="005A00E5"/>
    <w:rsid w:val="005A224F"/>
    <w:rsid w:val="005A40C8"/>
    <w:rsid w:val="005A76CB"/>
    <w:rsid w:val="005A772A"/>
    <w:rsid w:val="005B1468"/>
    <w:rsid w:val="005B3DA3"/>
    <w:rsid w:val="005B41B0"/>
    <w:rsid w:val="005B4AD1"/>
    <w:rsid w:val="005B7269"/>
    <w:rsid w:val="005B7523"/>
    <w:rsid w:val="005C02C0"/>
    <w:rsid w:val="005C3612"/>
    <w:rsid w:val="005C48F0"/>
    <w:rsid w:val="005C52A4"/>
    <w:rsid w:val="005C670C"/>
    <w:rsid w:val="005C6AD6"/>
    <w:rsid w:val="005D0355"/>
    <w:rsid w:val="005D1D7F"/>
    <w:rsid w:val="005E1EC0"/>
    <w:rsid w:val="005E2230"/>
    <w:rsid w:val="005E315E"/>
    <w:rsid w:val="005E317D"/>
    <w:rsid w:val="005E360E"/>
    <w:rsid w:val="005E4C78"/>
    <w:rsid w:val="005E4D20"/>
    <w:rsid w:val="005E53B4"/>
    <w:rsid w:val="005E7157"/>
    <w:rsid w:val="005F44F1"/>
    <w:rsid w:val="005F6738"/>
    <w:rsid w:val="00600D88"/>
    <w:rsid w:val="006018A7"/>
    <w:rsid w:val="00601E3D"/>
    <w:rsid w:val="00610242"/>
    <w:rsid w:val="00611F48"/>
    <w:rsid w:val="006132E2"/>
    <w:rsid w:val="00615078"/>
    <w:rsid w:val="006160A2"/>
    <w:rsid w:val="00620087"/>
    <w:rsid w:val="00621F02"/>
    <w:rsid w:val="00622974"/>
    <w:rsid w:val="00622B10"/>
    <w:rsid w:val="006241D4"/>
    <w:rsid w:val="006243CD"/>
    <w:rsid w:val="00625DEC"/>
    <w:rsid w:val="00630999"/>
    <w:rsid w:val="0063294F"/>
    <w:rsid w:val="006332EC"/>
    <w:rsid w:val="00633967"/>
    <w:rsid w:val="00634E64"/>
    <w:rsid w:val="00635279"/>
    <w:rsid w:val="006357FC"/>
    <w:rsid w:val="006378AC"/>
    <w:rsid w:val="0064097F"/>
    <w:rsid w:val="00642847"/>
    <w:rsid w:val="00646D0D"/>
    <w:rsid w:val="00647E42"/>
    <w:rsid w:val="00651F7C"/>
    <w:rsid w:val="00652B53"/>
    <w:rsid w:val="0065382F"/>
    <w:rsid w:val="00654694"/>
    <w:rsid w:val="00662945"/>
    <w:rsid w:val="00662B55"/>
    <w:rsid w:val="00670B84"/>
    <w:rsid w:val="00671D65"/>
    <w:rsid w:val="00672443"/>
    <w:rsid w:val="00673C72"/>
    <w:rsid w:val="006747F1"/>
    <w:rsid w:val="0067598F"/>
    <w:rsid w:val="00681D26"/>
    <w:rsid w:val="00683191"/>
    <w:rsid w:val="00684A4B"/>
    <w:rsid w:val="00685E9B"/>
    <w:rsid w:val="00686828"/>
    <w:rsid w:val="00687F7D"/>
    <w:rsid w:val="0069071D"/>
    <w:rsid w:val="0069148F"/>
    <w:rsid w:val="00691563"/>
    <w:rsid w:val="00691730"/>
    <w:rsid w:val="006919D2"/>
    <w:rsid w:val="006931FC"/>
    <w:rsid w:val="00695487"/>
    <w:rsid w:val="006954B4"/>
    <w:rsid w:val="00695B9E"/>
    <w:rsid w:val="00695BAE"/>
    <w:rsid w:val="0069718B"/>
    <w:rsid w:val="006A40CE"/>
    <w:rsid w:val="006A5D18"/>
    <w:rsid w:val="006A5E19"/>
    <w:rsid w:val="006A7F3B"/>
    <w:rsid w:val="006B0890"/>
    <w:rsid w:val="006B1DE3"/>
    <w:rsid w:val="006B4CD4"/>
    <w:rsid w:val="006B58E3"/>
    <w:rsid w:val="006C1988"/>
    <w:rsid w:val="006C19A3"/>
    <w:rsid w:val="006C394D"/>
    <w:rsid w:val="006D2AD0"/>
    <w:rsid w:val="006D7740"/>
    <w:rsid w:val="006E093C"/>
    <w:rsid w:val="006E0A8C"/>
    <w:rsid w:val="006E3053"/>
    <w:rsid w:val="006E3807"/>
    <w:rsid w:val="006E71F1"/>
    <w:rsid w:val="006F2185"/>
    <w:rsid w:val="006F218F"/>
    <w:rsid w:val="006F2269"/>
    <w:rsid w:val="006F2DC2"/>
    <w:rsid w:val="006F37FB"/>
    <w:rsid w:val="006F4558"/>
    <w:rsid w:val="006F4B7D"/>
    <w:rsid w:val="006F4D47"/>
    <w:rsid w:val="006F67F9"/>
    <w:rsid w:val="006F714B"/>
    <w:rsid w:val="006F7556"/>
    <w:rsid w:val="00700E93"/>
    <w:rsid w:val="007010E3"/>
    <w:rsid w:val="00701FCB"/>
    <w:rsid w:val="0070213C"/>
    <w:rsid w:val="00703178"/>
    <w:rsid w:val="00703ACB"/>
    <w:rsid w:val="007048E7"/>
    <w:rsid w:val="00706AEE"/>
    <w:rsid w:val="00707557"/>
    <w:rsid w:val="00710FA3"/>
    <w:rsid w:val="007149D7"/>
    <w:rsid w:val="00715D6E"/>
    <w:rsid w:val="00720EE8"/>
    <w:rsid w:val="00721714"/>
    <w:rsid w:val="00722855"/>
    <w:rsid w:val="0072519B"/>
    <w:rsid w:val="00725620"/>
    <w:rsid w:val="00725D63"/>
    <w:rsid w:val="00730530"/>
    <w:rsid w:val="0073326B"/>
    <w:rsid w:val="0073353C"/>
    <w:rsid w:val="00734D31"/>
    <w:rsid w:val="0073628B"/>
    <w:rsid w:val="00740043"/>
    <w:rsid w:val="007402B3"/>
    <w:rsid w:val="00741AE0"/>
    <w:rsid w:val="00743C98"/>
    <w:rsid w:val="00744077"/>
    <w:rsid w:val="0074503B"/>
    <w:rsid w:val="0074653E"/>
    <w:rsid w:val="00751230"/>
    <w:rsid w:val="00751D8D"/>
    <w:rsid w:val="00751E2E"/>
    <w:rsid w:val="00752B4F"/>
    <w:rsid w:val="00753995"/>
    <w:rsid w:val="00753FF8"/>
    <w:rsid w:val="0075417E"/>
    <w:rsid w:val="00755B63"/>
    <w:rsid w:val="00756E44"/>
    <w:rsid w:val="00760466"/>
    <w:rsid w:val="007633C9"/>
    <w:rsid w:val="00763C73"/>
    <w:rsid w:val="00764BB6"/>
    <w:rsid w:val="0076537E"/>
    <w:rsid w:val="00765856"/>
    <w:rsid w:val="00766CEA"/>
    <w:rsid w:val="00773640"/>
    <w:rsid w:val="00773888"/>
    <w:rsid w:val="00774633"/>
    <w:rsid w:val="00774B49"/>
    <w:rsid w:val="00775432"/>
    <w:rsid w:val="0077594D"/>
    <w:rsid w:val="00776472"/>
    <w:rsid w:val="00776F9A"/>
    <w:rsid w:val="007832DA"/>
    <w:rsid w:val="007834FC"/>
    <w:rsid w:val="007850C5"/>
    <w:rsid w:val="00785381"/>
    <w:rsid w:val="00786645"/>
    <w:rsid w:val="007901EB"/>
    <w:rsid w:val="00792352"/>
    <w:rsid w:val="00792EDD"/>
    <w:rsid w:val="00793E47"/>
    <w:rsid w:val="00793F1C"/>
    <w:rsid w:val="00794FB9"/>
    <w:rsid w:val="0079732F"/>
    <w:rsid w:val="007A0F80"/>
    <w:rsid w:val="007A3AEC"/>
    <w:rsid w:val="007A45B1"/>
    <w:rsid w:val="007A4E65"/>
    <w:rsid w:val="007A72E9"/>
    <w:rsid w:val="007B0137"/>
    <w:rsid w:val="007B2586"/>
    <w:rsid w:val="007B2663"/>
    <w:rsid w:val="007B2939"/>
    <w:rsid w:val="007B2C0C"/>
    <w:rsid w:val="007B52A3"/>
    <w:rsid w:val="007B5362"/>
    <w:rsid w:val="007B59C1"/>
    <w:rsid w:val="007B5F29"/>
    <w:rsid w:val="007B6FB1"/>
    <w:rsid w:val="007C27A8"/>
    <w:rsid w:val="007C2C11"/>
    <w:rsid w:val="007C2CDE"/>
    <w:rsid w:val="007C495C"/>
    <w:rsid w:val="007C53BD"/>
    <w:rsid w:val="007C6ADD"/>
    <w:rsid w:val="007C6D90"/>
    <w:rsid w:val="007C710F"/>
    <w:rsid w:val="007D19F5"/>
    <w:rsid w:val="007D5386"/>
    <w:rsid w:val="007D5C6B"/>
    <w:rsid w:val="007D5EC4"/>
    <w:rsid w:val="007D6FB3"/>
    <w:rsid w:val="007D7CF3"/>
    <w:rsid w:val="007E1A7D"/>
    <w:rsid w:val="007E2901"/>
    <w:rsid w:val="007E2A56"/>
    <w:rsid w:val="007E3651"/>
    <w:rsid w:val="007E513C"/>
    <w:rsid w:val="007F0187"/>
    <w:rsid w:val="007F22D4"/>
    <w:rsid w:val="007F2535"/>
    <w:rsid w:val="007F316F"/>
    <w:rsid w:val="007F35C1"/>
    <w:rsid w:val="007F3962"/>
    <w:rsid w:val="00800634"/>
    <w:rsid w:val="008029B9"/>
    <w:rsid w:val="00805D60"/>
    <w:rsid w:val="00805E00"/>
    <w:rsid w:val="00811819"/>
    <w:rsid w:val="00812B88"/>
    <w:rsid w:val="00814C3C"/>
    <w:rsid w:val="008158D3"/>
    <w:rsid w:val="0081668A"/>
    <w:rsid w:val="00817439"/>
    <w:rsid w:val="00820D80"/>
    <w:rsid w:val="00822682"/>
    <w:rsid w:val="00822717"/>
    <w:rsid w:val="00826D39"/>
    <w:rsid w:val="00827F6E"/>
    <w:rsid w:val="00830070"/>
    <w:rsid w:val="00830694"/>
    <w:rsid w:val="00830995"/>
    <w:rsid w:val="00830AF9"/>
    <w:rsid w:val="008318B6"/>
    <w:rsid w:val="008323C2"/>
    <w:rsid w:val="00832A6D"/>
    <w:rsid w:val="00833956"/>
    <w:rsid w:val="00834854"/>
    <w:rsid w:val="008354EB"/>
    <w:rsid w:val="00835845"/>
    <w:rsid w:val="008374AC"/>
    <w:rsid w:val="00844544"/>
    <w:rsid w:val="00844EE8"/>
    <w:rsid w:val="00845E77"/>
    <w:rsid w:val="00850DAC"/>
    <w:rsid w:val="008546DF"/>
    <w:rsid w:val="0086269E"/>
    <w:rsid w:val="00864F05"/>
    <w:rsid w:val="00872807"/>
    <w:rsid w:val="00873907"/>
    <w:rsid w:val="00874192"/>
    <w:rsid w:val="00874B67"/>
    <w:rsid w:val="00875035"/>
    <w:rsid w:val="00881F39"/>
    <w:rsid w:val="00883474"/>
    <w:rsid w:val="00883A29"/>
    <w:rsid w:val="00884058"/>
    <w:rsid w:val="00885CB0"/>
    <w:rsid w:val="00885F29"/>
    <w:rsid w:val="00886CC5"/>
    <w:rsid w:val="00892A1C"/>
    <w:rsid w:val="008940B3"/>
    <w:rsid w:val="008976AA"/>
    <w:rsid w:val="00897A98"/>
    <w:rsid w:val="008A163F"/>
    <w:rsid w:val="008A1EB7"/>
    <w:rsid w:val="008A2F7A"/>
    <w:rsid w:val="008A44E5"/>
    <w:rsid w:val="008A69A3"/>
    <w:rsid w:val="008B0905"/>
    <w:rsid w:val="008B1510"/>
    <w:rsid w:val="008B1942"/>
    <w:rsid w:val="008B2604"/>
    <w:rsid w:val="008B26EC"/>
    <w:rsid w:val="008B3A3A"/>
    <w:rsid w:val="008B4CE0"/>
    <w:rsid w:val="008B4F9A"/>
    <w:rsid w:val="008C0043"/>
    <w:rsid w:val="008C0FF3"/>
    <w:rsid w:val="008C1534"/>
    <w:rsid w:val="008C3672"/>
    <w:rsid w:val="008C5FF0"/>
    <w:rsid w:val="008C6105"/>
    <w:rsid w:val="008D12FD"/>
    <w:rsid w:val="008D18E7"/>
    <w:rsid w:val="008D2CD3"/>
    <w:rsid w:val="008D507B"/>
    <w:rsid w:val="008D5AFB"/>
    <w:rsid w:val="008D5C10"/>
    <w:rsid w:val="008E201D"/>
    <w:rsid w:val="008E2117"/>
    <w:rsid w:val="008E27A2"/>
    <w:rsid w:val="008E709A"/>
    <w:rsid w:val="008E715E"/>
    <w:rsid w:val="008F0668"/>
    <w:rsid w:val="008F071A"/>
    <w:rsid w:val="008F1178"/>
    <w:rsid w:val="008F3F60"/>
    <w:rsid w:val="008F7B6C"/>
    <w:rsid w:val="00900129"/>
    <w:rsid w:val="009009BC"/>
    <w:rsid w:val="00900ED6"/>
    <w:rsid w:val="009020CE"/>
    <w:rsid w:val="00905CB3"/>
    <w:rsid w:val="00907142"/>
    <w:rsid w:val="009072B9"/>
    <w:rsid w:val="00907902"/>
    <w:rsid w:val="00911834"/>
    <w:rsid w:val="00913A59"/>
    <w:rsid w:val="00913E6E"/>
    <w:rsid w:val="009164F2"/>
    <w:rsid w:val="00916742"/>
    <w:rsid w:val="00917A0E"/>
    <w:rsid w:val="00920DA9"/>
    <w:rsid w:val="00920F06"/>
    <w:rsid w:val="009219B9"/>
    <w:rsid w:val="009225E4"/>
    <w:rsid w:val="0092421B"/>
    <w:rsid w:val="0092505F"/>
    <w:rsid w:val="009265C0"/>
    <w:rsid w:val="00926A9B"/>
    <w:rsid w:val="00931115"/>
    <w:rsid w:val="0093299E"/>
    <w:rsid w:val="009338B1"/>
    <w:rsid w:val="0093399E"/>
    <w:rsid w:val="00933AEB"/>
    <w:rsid w:val="00934F84"/>
    <w:rsid w:val="0093676E"/>
    <w:rsid w:val="0093785A"/>
    <w:rsid w:val="0094067E"/>
    <w:rsid w:val="00940AC0"/>
    <w:rsid w:val="009427C0"/>
    <w:rsid w:val="0094405A"/>
    <w:rsid w:val="0094539C"/>
    <w:rsid w:val="00951477"/>
    <w:rsid w:val="0095185E"/>
    <w:rsid w:val="00952C03"/>
    <w:rsid w:val="00952CD9"/>
    <w:rsid w:val="00955D0F"/>
    <w:rsid w:val="00961842"/>
    <w:rsid w:val="0096222A"/>
    <w:rsid w:val="009632A2"/>
    <w:rsid w:val="0097073B"/>
    <w:rsid w:val="00972EDC"/>
    <w:rsid w:val="0097481D"/>
    <w:rsid w:val="00977B0E"/>
    <w:rsid w:val="0098092C"/>
    <w:rsid w:val="00983EC6"/>
    <w:rsid w:val="00984CF7"/>
    <w:rsid w:val="00985914"/>
    <w:rsid w:val="0098730A"/>
    <w:rsid w:val="00987EB7"/>
    <w:rsid w:val="00990A2A"/>
    <w:rsid w:val="00992D19"/>
    <w:rsid w:val="0099321F"/>
    <w:rsid w:val="009953F0"/>
    <w:rsid w:val="00996683"/>
    <w:rsid w:val="009979D2"/>
    <w:rsid w:val="009A39BD"/>
    <w:rsid w:val="009A3B33"/>
    <w:rsid w:val="009A3B3F"/>
    <w:rsid w:val="009A4ED3"/>
    <w:rsid w:val="009A55B9"/>
    <w:rsid w:val="009A6AD7"/>
    <w:rsid w:val="009B0A88"/>
    <w:rsid w:val="009B0CA3"/>
    <w:rsid w:val="009B4EA4"/>
    <w:rsid w:val="009B69CC"/>
    <w:rsid w:val="009B6C21"/>
    <w:rsid w:val="009C151C"/>
    <w:rsid w:val="009C40DD"/>
    <w:rsid w:val="009C5C88"/>
    <w:rsid w:val="009C68B0"/>
    <w:rsid w:val="009D0AE3"/>
    <w:rsid w:val="009D21A8"/>
    <w:rsid w:val="009D3285"/>
    <w:rsid w:val="009D3E95"/>
    <w:rsid w:val="009D41B3"/>
    <w:rsid w:val="009D591A"/>
    <w:rsid w:val="009E1F8F"/>
    <w:rsid w:val="009E4F4E"/>
    <w:rsid w:val="009E61D3"/>
    <w:rsid w:val="009E7A5F"/>
    <w:rsid w:val="009F18B4"/>
    <w:rsid w:val="009F3D76"/>
    <w:rsid w:val="009F58D2"/>
    <w:rsid w:val="009F662D"/>
    <w:rsid w:val="00A002FB"/>
    <w:rsid w:val="00A00DB2"/>
    <w:rsid w:val="00A01411"/>
    <w:rsid w:val="00A0415B"/>
    <w:rsid w:val="00A04DC2"/>
    <w:rsid w:val="00A06214"/>
    <w:rsid w:val="00A06CCC"/>
    <w:rsid w:val="00A12FB2"/>
    <w:rsid w:val="00A1549F"/>
    <w:rsid w:val="00A155DE"/>
    <w:rsid w:val="00A156D5"/>
    <w:rsid w:val="00A15D7C"/>
    <w:rsid w:val="00A15FB8"/>
    <w:rsid w:val="00A1678F"/>
    <w:rsid w:val="00A16A81"/>
    <w:rsid w:val="00A2167F"/>
    <w:rsid w:val="00A21E33"/>
    <w:rsid w:val="00A22A69"/>
    <w:rsid w:val="00A22DA0"/>
    <w:rsid w:val="00A31573"/>
    <w:rsid w:val="00A36209"/>
    <w:rsid w:val="00A365A8"/>
    <w:rsid w:val="00A42D1B"/>
    <w:rsid w:val="00A4501E"/>
    <w:rsid w:val="00A451B9"/>
    <w:rsid w:val="00A45675"/>
    <w:rsid w:val="00A4613A"/>
    <w:rsid w:val="00A525A9"/>
    <w:rsid w:val="00A534A1"/>
    <w:rsid w:val="00A611FC"/>
    <w:rsid w:val="00A61877"/>
    <w:rsid w:val="00A6377C"/>
    <w:rsid w:val="00A63AA6"/>
    <w:rsid w:val="00A63E56"/>
    <w:rsid w:val="00A6511C"/>
    <w:rsid w:val="00A6701B"/>
    <w:rsid w:val="00A6753E"/>
    <w:rsid w:val="00A6772B"/>
    <w:rsid w:val="00A71AFC"/>
    <w:rsid w:val="00A723FF"/>
    <w:rsid w:val="00A731F9"/>
    <w:rsid w:val="00A73CFC"/>
    <w:rsid w:val="00A81EDB"/>
    <w:rsid w:val="00A8396E"/>
    <w:rsid w:val="00A84337"/>
    <w:rsid w:val="00A853FF"/>
    <w:rsid w:val="00A911DF"/>
    <w:rsid w:val="00A927AA"/>
    <w:rsid w:val="00A9673E"/>
    <w:rsid w:val="00A96C7C"/>
    <w:rsid w:val="00AA12A6"/>
    <w:rsid w:val="00AA2935"/>
    <w:rsid w:val="00AA2BF7"/>
    <w:rsid w:val="00AA3078"/>
    <w:rsid w:val="00AA6133"/>
    <w:rsid w:val="00AB02F0"/>
    <w:rsid w:val="00AB12CE"/>
    <w:rsid w:val="00AB2880"/>
    <w:rsid w:val="00AC0BBD"/>
    <w:rsid w:val="00AC390E"/>
    <w:rsid w:val="00AC5807"/>
    <w:rsid w:val="00AC5953"/>
    <w:rsid w:val="00AC5C88"/>
    <w:rsid w:val="00AC7027"/>
    <w:rsid w:val="00AD0AE7"/>
    <w:rsid w:val="00AD3176"/>
    <w:rsid w:val="00AD380F"/>
    <w:rsid w:val="00AD4139"/>
    <w:rsid w:val="00AD77F7"/>
    <w:rsid w:val="00AE1496"/>
    <w:rsid w:val="00AE15A5"/>
    <w:rsid w:val="00AE1C3C"/>
    <w:rsid w:val="00AE4517"/>
    <w:rsid w:val="00AE542D"/>
    <w:rsid w:val="00AE5451"/>
    <w:rsid w:val="00AE5AEE"/>
    <w:rsid w:val="00AE7833"/>
    <w:rsid w:val="00AF1181"/>
    <w:rsid w:val="00AF269F"/>
    <w:rsid w:val="00AF317D"/>
    <w:rsid w:val="00AF3FE8"/>
    <w:rsid w:val="00AF57B4"/>
    <w:rsid w:val="00AF6146"/>
    <w:rsid w:val="00AF770A"/>
    <w:rsid w:val="00B01F5A"/>
    <w:rsid w:val="00B04EC3"/>
    <w:rsid w:val="00B051AA"/>
    <w:rsid w:val="00B070AF"/>
    <w:rsid w:val="00B139D7"/>
    <w:rsid w:val="00B2141C"/>
    <w:rsid w:val="00B2345B"/>
    <w:rsid w:val="00B25000"/>
    <w:rsid w:val="00B252F3"/>
    <w:rsid w:val="00B25D51"/>
    <w:rsid w:val="00B2737F"/>
    <w:rsid w:val="00B30F57"/>
    <w:rsid w:val="00B325CE"/>
    <w:rsid w:val="00B32C93"/>
    <w:rsid w:val="00B3409C"/>
    <w:rsid w:val="00B34C33"/>
    <w:rsid w:val="00B3690E"/>
    <w:rsid w:val="00B375DA"/>
    <w:rsid w:val="00B37A26"/>
    <w:rsid w:val="00B40A0C"/>
    <w:rsid w:val="00B4119F"/>
    <w:rsid w:val="00B41559"/>
    <w:rsid w:val="00B42119"/>
    <w:rsid w:val="00B4224C"/>
    <w:rsid w:val="00B43531"/>
    <w:rsid w:val="00B448A6"/>
    <w:rsid w:val="00B45A96"/>
    <w:rsid w:val="00B45C42"/>
    <w:rsid w:val="00B465DA"/>
    <w:rsid w:val="00B471A3"/>
    <w:rsid w:val="00B541F4"/>
    <w:rsid w:val="00B57303"/>
    <w:rsid w:val="00B640CA"/>
    <w:rsid w:val="00B647CA"/>
    <w:rsid w:val="00B651CD"/>
    <w:rsid w:val="00B65DA0"/>
    <w:rsid w:val="00B7014E"/>
    <w:rsid w:val="00B70E52"/>
    <w:rsid w:val="00B71E33"/>
    <w:rsid w:val="00B721BC"/>
    <w:rsid w:val="00B7400B"/>
    <w:rsid w:val="00B743CD"/>
    <w:rsid w:val="00B75958"/>
    <w:rsid w:val="00B75E7F"/>
    <w:rsid w:val="00B77CBF"/>
    <w:rsid w:val="00B827C8"/>
    <w:rsid w:val="00B85F63"/>
    <w:rsid w:val="00B93BA8"/>
    <w:rsid w:val="00B93CD0"/>
    <w:rsid w:val="00B952CF"/>
    <w:rsid w:val="00B95DD5"/>
    <w:rsid w:val="00B965FF"/>
    <w:rsid w:val="00B97074"/>
    <w:rsid w:val="00B97431"/>
    <w:rsid w:val="00B97810"/>
    <w:rsid w:val="00BA22DF"/>
    <w:rsid w:val="00BA2324"/>
    <w:rsid w:val="00BA49ED"/>
    <w:rsid w:val="00BA7E1A"/>
    <w:rsid w:val="00BB0B5F"/>
    <w:rsid w:val="00BB1E38"/>
    <w:rsid w:val="00BB4EC8"/>
    <w:rsid w:val="00BB753E"/>
    <w:rsid w:val="00BB7E71"/>
    <w:rsid w:val="00BB7ED2"/>
    <w:rsid w:val="00BC4D08"/>
    <w:rsid w:val="00BC59DB"/>
    <w:rsid w:val="00BD009D"/>
    <w:rsid w:val="00BD0FB1"/>
    <w:rsid w:val="00BD1C58"/>
    <w:rsid w:val="00BD1ED1"/>
    <w:rsid w:val="00BD7E30"/>
    <w:rsid w:val="00BE5EC2"/>
    <w:rsid w:val="00BF26F5"/>
    <w:rsid w:val="00BF35C9"/>
    <w:rsid w:val="00BF5802"/>
    <w:rsid w:val="00BF58E9"/>
    <w:rsid w:val="00C02C12"/>
    <w:rsid w:val="00C02FC3"/>
    <w:rsid w:val="00C03BDC"/>
    <w:rsid w:val="00C043CD"/>
    <w:rsid w:val="00C0590E"/>
    <w:rsid w:val="00C07E01"/>
    <w:rsid w:val="00C07E09"/>
    <w:rsid w:val="00C1098B"/>
    <w:rsid w:val="00C1381C"/>
    <w:rsid w:val="00C153E3"/>
    <w:rsid w:val="00C16873"/>
    <w:rsid w:val="00C208BF"/>
    <w:rsid w:val="00C209E9"/>
    <w:rsid w:val="00C22AE6"/>
    <w:rsid w:val="00C248BD"/>
    <w:rsid w:val="00C26515"/>
    <w:rsid w:val="00C320B7"/>
    <w:rsid w:val="00C331AE"/>
    <w:rsid w:val="00C35799"/>
    <w:rsid w:val="00C36074"/>
    <w:rsid w:val="00C362BC"/>
    <w:rsid w:val="00C36F4B"/>
    <w:rsid w:val="00C37803"/>
    <w:rsid w:val="00C4086C"/>
    <w:rsid w:val="00C44AB0"/>
    <w:rsid w:val="00C44C32"/>
    <w:rsid w:val="00C50D75"/>
    <w:rsid w:val="00C51BE2"/>
    <w:rsid w:val="00C533E8"/>
    <w:rsid w:val="00C53C1D"/>
    <w:rsid w:val="00C540CF"/>
    <w:rsid w:val="00C540E3"/>
    <w:rsid w:val="00C56771"/>
    <w:rsid w:val="00C60368"/>
    <w:rsid w:val="00C604AF"/>
    <w:rsid w:val="00C61342"/>
    <w:rsid w:val="00C621BB"/>
    <w:rsid w:val="00C6257B"/>
    <w:rsid w:val="00C62964"/>
    <w:rsid w:val="00C633E8"/>
    <w:rsid w:val="00C634EA"/>
    <w:rsid w:val="00C674E7"/>
    <w:rsid w:val="00C705F6"/>
    <w:rsid w:val="00C71CEC"/>
    <w:rsid w:val="00C72AC3"/>
    <w:rsid w:val="00C76183"/>
    <w:rsid w:val="00C7618D"/>
    <w:rsid w:val="00C76542"/>
    <w:rsid w:val="00C76BD0"/>
    <w:rsid w:val="00C77D38"/>
    <w:rsid w:val="00C81E78"/>
    <w:rsid w:val="00C83A24"/>
    <w:rsid w:val="00C83FAD"/>
    <w:rsid w:val="00C84798"/>
    <w:rsid w:val="00C85B63"/>
    <w:rsid w:val="00C860C8"/>
    <w:rsid w:val="00C90367"/>
    <w:rsid w:val="00C92E14"/>
    <w:rsid w:val="00C941FA"/>
    <w:rsid w:val="00C950DF"/>
    <w:rsid w:val="00C9581F"/>
    <w:rsid w:val="00C95836"/>
    <w:rsid w:val="00C95A1F"/>
    <w:rsid w:val="00C96B12"/>
    <w:rsid w:val="00CA283E"/>
    <w:rsid w:val="00CA4588"/>
    <w:rsid w:val="00CA472B"/>
    <w:rsid w:val="00CA56E9"/>
    <w:rsid w:val="00CA589C"/>
    <w:rsid w:val="00CA5D91"/>
    <w:rsid w:val="00CB0D88"/>
    <w:rsid w:val="00CB2783"/>
    <w:rsid w:val="00CB2CF4"/>
    <w:rsid w:val="00CB42A0"/>
    <w:rsid w:val="00CB49C5"/>
    <w:rsid w:val="00CB4EB4"/>
    <w:rsid w:val="00CB7CA9"/>
    <w:rsid w:val="00CC418E"/>
    <w:rsid w:val="00CC5A57"/>
    <w:rsid w:val="00CD2633"/>
    <w:rsid w:val="00CD2F29"/>
    <w:rsid w:val="00CD4DAA"/>
    <w:rsid w:val="00CD7D53"/>
    <w:rsid w:val="00CE02A0"/>
    <w:rsid w:val="00CE0AF8"/>
    <w:rsid w:val="00CE16C3"/>
    <w:rsid w:val="00CE2040"/>
    <w:rsid w:val="00CE2BF4"/>
    <w:rsid w:val="00CE2D2F"/>
    <w:rsid w:val="00CE49F9"/>
    <w:rsid w:val="00CE5422"/>
    <w:rsid w:val="00CE58CD"/>
    <w:rsid w:val="00CE5FFC"/>
    <w:rsid w:val="00CE7169"/>
    <w:rsid w:val="00CF4B5D"/>
    <w:rsid w:val="00CF4E13"/>
    <w:rsid w:val="00CF4F87"/>
    <w:rsid w:val="00CF5071"/>
    <w:rsid w:val="00CF538F"/>
    <w:rsid w:val="00CF59B2"/>
    <w:rsid w:val="00D02305"/>
    <w:rsid w:val="00D0313A"/>
    <w:rsid w:val="00D04970"/>
    <w:rsid w:val="00D0614C"/>
    <w:rsid w:val="00D06AD5"/>
    <w:rsid w:val="00D10F15"/>
    <w:rsid w:val="00D113C6"/>
    <w:rsid w:val="00D11430"/>
    <w:rsid w:val="00D119B8"/>
    <w:rsid w:val="00D11F42"/>
    <w:rsid w:val="00D121AE"/>
    <w:rsid w:val="00D1275F"/>
    <w:rsid w:val="00D12B83"/>
    <w:rsid w:val="00D14305"/>
    <w:rsid w:val="00D14EC3"/>
    <w:rsid w:val="00D15569"/>
    <w:rsid w:val="00D24349"/>
    <w:rsid w:val="00D244B7"/>
    <w:rsid w:val="00D251C5"/>
    <w:rsid w:val="00D251FD"/>
    <w:rsid w:val="00D25EFD"/>
    <w:rsid w:val="00D2786A"/>
    <w:rsid w:val="00D33DDA"/>
    <w:rsid w:val="00D3770A"/>
    <w:rsid w:val="00D37DED"/>
    <w:rsid w:val="00D40708"/>
    <w:rsid w:val="00D42E54"/>
    <w:rsid w:val="00D446FC"/>
    <w:rsid w:val="00D44AD5"/>
    <w:rsid w:val="00D45757"/>
    <w:rsid w:val="00D52898"/>
    <w:rsid w:val="00D5359C"/>
    <w:rsid w:val="00D547B5"/>
    <w:rsid w:val="00D54DFB"/>
    <w:rsid w:val="00D54F7D"/>
    <w:rsid w:val="00D567A7"/>
    <w:rsid w:val="00D57568"/>
    <w:rsid w:val="00D5761A"/>
    <w:rsid w:val="00D63250"/>
    <w:rsid w:val="00D76246"/>
    <w:rsid w:val="00D82ABC"/>
    <w:rsid w:val="00D859CD"/>
    <w:rsid w:val="00D85C99"/>
    <w:rsid w:val="00D866E1"/>
    <w:rsid w:val="00D87D0D"/>
    <w:rsid w:val="00D91644"/>
    <w:rsid w:val="00D92671"/>
    <w:rsid w:val="00D93A61"/>
    <w:rsid w:val="00D94BFA"/>
    <w:rsid w:val="00D96480"/>
    <w:rsid w:val="00D96F53"/>
    <w:rsid w:val="00DA0C1F"/>
    <w:rsid w:val="00DA4EF2"/>
    <w:rsid w:val="00DB0E98"/>
    <w:rsid w:val="00DB1CF2"/>
    <w:rsid w:val="00DB2F5F"/>
    <w:rsid w:val="00DB30DF"/>
    <w:rsid w:val="00DB4F35"/>
    <w:rsid w:val="00DB5027"/>
    <w:rsid w:val="00DB5690"/>
    <w:rsid w:val="00DC04FB"/>
    <w:rsid w:val="00DC06CB"/>
    <w:rsid w:val="00DC15A2"/>
    <w:rsid w:val="00DC20C2"/>
    <w:rsid w:val="00DC2FB7"/>
    <w:rsid w:val="00DC477A"/>
    <w:rsid w:val="00DC5CB1"/>
    <w:rsid w:val="00DC6574"/>
    <w:rsid w:val="00DC71BD"/>
    <w:rsid w:val="00DD0067"/>
    <w:rsid w:val="00DD1058"/>
    <w:rsid w:val="00DD1067"/>
    <w:rsid w:val="00DD1267"/>
    <w:rsid w:val="00DD1CBB"/>
    <w:rsid w:val="00DD514B"/>
    <w:rsid w:val="00DE0453"/>
    <w:rsid w:val="00DE735A"/>
    <w:rsid w:val="00DF0965"/>
    <w:rsid w:val="00DF1C17"/>
    <w:rsid w:val="00DF2CBC"/>
    <w:rsid w:val="00DF36A4"/>
    <w:rsid w:val="00DF51D5"/>
    <w:rsid w:val="00DF5E4C"/>
    <w:rsid w:val="00E00189"/>
    <w:rsid w:val="00E012E6"/>
    <w:rsid w:val="00E01532"/>
    <w:rsid w:val="00E038B7"/>
    <w:rsid w:val="00E03F16"/>
    <w:rsid w:val="00E114BC"/>
    <w:rsid w:val="00E116BA"/>
    <w:rsid w:val="00E21EB1"/>
    <w:rsid w:val="00E2219D"/>
    <w:rsid w:val="00E248EF"/>
    <w:rsid w:val="00E25741"/>
    <w:rsid w:val="00E31FC0"/>
    <w:rsid w:val="00E3311B"/>
    <w:rsid w:val="00E33545"/>
    <w:rsid w:val="00E42002"/>
    <w:rsid w:val="00E42C08"/>
    <w:rsid w:val="00E43ED0"/>
    <w:rsid w:val="00E46261"/>
    <w:rsid w:val="00E4686D"/>
    <w:rsid w:val="00E50A25"/>
    <w:rsid w:val="00E543D4"/>
    <w:rsid w:val="00E55BC3"/>
    <w:rsid w:val="00E620A0"/>
    <w:rsid w:val="00E62BB4"/>
    <w:rsid w:val="00E64028"/>
    <w:rsid w:val="00E661A0"/>
    <w:rsid w:val="00E67775"/>
    <w:rsid w:val="00E70365"/>
    <w:rsid w:val="00E710A6"/>
    <w:rsid w:val="00E7163D"/>
    <w:rsid w:val="00E72173"/>
    <w:rsid w:val="00E7247F"/>
    <w:rsid w:val="00E72896"/>
    <w:rsid w:val="00E7370A"/>
    <w:rsid w:val="00E74E9A"/>
    <w:rsid w:val="00E766AA"/>
    <w:rsid w:val="00E81087"/>
    <w:rsid w:val="00E820ED"/>
    <w:rsid w:val="00E85C52"/>
    <w:rsid w:val="00E85FA5"/>
    <w:rsid w:val="00E86E2D"/>
    <w:rsid w:val="00E870D8"/>
    <w:rsid w:val="00E92774"/>
    <w:rsid w:val="00E93443"/>
    <w:rsid w:val="00E94C0E"/>
    <w:rsid w:val="00E956AF"/>
    <w:rsid w:val="00E973A6"/>
    <w:rsid w:val="00E97B42"/>
    <w:rsid w:val="00EA0C15"/>
    <w:rsid w:val="00EA1447"/>
    <w:rsid w:val="00EA1D41"/>
    <w:rsid w:val="00EA3CB7"/>
    <w:rsid w:val="00EA4407"/>
    <w:rsid w:val="00EA6031"/>
    <w:rsid w:val="00EA72C1"/>
    <w:rsid w:val="00EB048C"/>
    <w:rsid w:val="00EB0EC4"/>
    <w:rsid w:val="00EB1349"/>
    <w:rsid w:val="00EB1D77"/>
    <w:rsid w:val="00EB4F66"/>
    <w:rsid w:val="00EB4FAA"/>
    <w:rsid w:val="00EB7D9B"/>
    <w:rsid w:val="00EC0647"/>
    <w:rsid w:val="00EC1405"/>
    <w:rsid w:val="00EC22FE"/>
    <w:rsid w:val="00EC4A36"/>
    <w:rsid w:val="00EC4E58"/>
    <w:rsid w:val="00ED56A6"/>
    <w:rsid w:val="00ED57BB"/>
    <w:rsid w:val="00ED687A"/>
    <w:rsid w:val="00ED779B"/>
    <w:rsid w:val="00EE1BD2"/>
    <w:rsid w:val="00EE38E1"/>
    <w:rsid w:val="00EE3D07"/>
    <w:rsid w:val="00EE4130"/>
    <w:rsid w:val="00EE4681"/>
    <w:rsid w:val="00EE53BD"/>
    <w:rsid w:val="00EE68B0"/>
    <w:rsid w:val="00EE7848"/>
    <w:rsid w:val="00EF1D52"/>
    <w:rsid w:val="00EF29A5"/>
    <w:rsid w:val="00EF4371"/>
    <w:rsid w:val="00EF5035"/>
    <w:rsid w:val="00EF6E18"/>
    <w:rsid w:val="00EF7BA1"/>
    <w:rsid w:val="00F01251"/>
    <w:rsid w:val="00F01F5D"/>
    <w:rsid w:val="00F03DBD"/>
    <w:rsid w:val="00F13B72"/>
    <w:rsid w:val="00F1438A"/>
    <w:rsid w:val="00F177CC"/>
    <w:rsid w:val="00F21A6F"/>
    <w:rsid w:val="00F23C22"/>
    <w:rsid w:val="00F26194"/>
    <w:rsid w:val="00F277D8"/>
    <w:rsid w:val="00F30163"/>
    <w:rsid w:val="00F30CC7"/>
    <w:rsid w:val="00F31CED"/>
    <w:rsid w:val="00F320C9"/>
    <w:rsid w:val="00F34280"/>
    <w:rsid w:val="00F356AF"/>
    <w:rsid w:val="00F36903"/>
    <w:rsid w:val="00F41649"/>
    <w:rsid w:val="00F41E6A"/>
    <w:rsid w:val="00F43BB8"/>
    <w:rsid w:val="00F44325"/>
    <w:rsid w:val="00F4581C"/>
    <w:rsid w:val="00F46C74"/>
    <w:rsid w:val="00F53B01"/>
    <w:rsid w:val="00F53CF7"/>
    <w:rsid w:val="00F54CC5"/>
    <w:rsid w:val="00F54F8B"/>
    <w:rsid w:val="00F551FB"/>
    <w:rsid w:val="00F55606"/>
    <w:rsid w:val="00F56666"/>
    <w:rsid w:val="00F5689A"/>
    <w:rsid w:val="00F60F55"/>
    <w:rsid w:val="00F6243F"/>
    <w:rsid w:val="00F62BCB"/>
    <w:rsid w:val="00F62F07"/>
    <w:rsid w:val="00F63883"/>
    <w:rsid w:val="00F656A3"/>
    <w:rsid w:val="00F67AE2"/>
    <w:rsid w:val="00F705AD"/>
    <w:rsid w:val="00F72779"/>
    <w:rsid w:val="00F74C8E"/>
    <w:rsid w:val="00F75D97"/>
    <w:rsid w:val="00F800A9"/>
    <w:rsid w:val="00F80872"/>
    <w:rsid w:val="00F80EDC"/>
    <w:rsid w:val="00F84216"/>
    <w:rsid w:val="00F85399"/>
    <w:rsid w:val="00F85FA3"/>
    <w:rsid w:val="00F87091"/>
    <w:rsid w:val="00F9279F"/>
    <w:rsid w:val="00F92E62"/>
    <w:rsid w:val="00F95AD2"/>
    <w:rsid w:val="00FA0F2B"/>
    <w:rsid w:val="00FA1B49"/>
    <w:rsid w:val="00FA26D4"/>
    <w:rsid w:val="00FA2D00"/>
    <w:rsid w:val="00FA4197"/>
    <w:rsid w:val="00FA6A70"/>
    <w:rsid w:val="00FB2A19"/>
    <w:rsid w:val="00FB44D5"/>
    <w:rsid w:val="00FB5205"/>
    <w:rsid w:val="00FB558D"/>
    <w:rsid w:val="00FB769F"/>
    <w:rsid w:val="00FC2D40"/>
    <w:rsid w:val="00FC3E61"/>
    <w:rsid w:val="00FD0758"/>
    <w:rsid w:val="00FD11F5"/>
    <w:rsid w:val="00FD189B"/>
    <w:rsid w:val="00FD424E"/>
    <w:rsid w:val="00FD5BC8"/>
    <w:rsid w:val="00FD7B55"/>
    <w:rsid w:val="00FE1D23"/>
    <w:rsid w:val="00FE2CC0"/>
    <w:rsid w:val="00FE371B"/>
    <w:rsid w:val="00FE7817"/>
    <w:rsid w:val="00FF0727"/>
    <w:rsid w:val="00FF4AF1"/>
    <w:rsid w:val="00FF6FCF"/>
    <w:rsid w:val="00FF75A9"/>
    <w:rsid w:val="00FF7A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570B"/>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467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8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E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0C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430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4305"/>
    <w:rPr>
      <w:rFonts w:ascii="Times New Roman" w:eastAsia="Times New Roman" w:hAnsi="Times New Roman" w:cs="Times New Roman"/>
      <w:sz w:val="20"/>
      <w:szCs w:val="20"/>
    </w:rPr>
  </w:style>
  <w:style w:type="character" w:styleId="FootnoteReference">
    <w:name w:val="footnote reference"/>
    <w:semiHidden/>
    <w:rsid w:val="00D14305"/>
    <w:rPr>
      <w:vertAlign w:val="superscript"/>
    </w:rPr>
  </w:style>
  <w:style w:type="paragraph" w:styleId="ListBullet">
    <w:name w:val="List Bullet"/>
    <w:basedOn w:val="Normal"/>
    <w:autoRedefine/>
    <w:semiHidden/>
    <w:rsid w:val="00D14305"/>
    <w:pPr>
      <w:autoSpaceDE w:val="0"/>
      <w:autoSpaceDN w:val="0"/>
      <w:spacing w:after="0" w:line="240" w:lineRule="auto"/>
      <w:ind w:firstLine="284"/>
      <w:jc w:val="both"/>
    </w:pPr>
    <w:rPr>
      <w:rFonts w:ascii="News Gothic MT" w:eastAsia="Times New Roman" w:hAnsi="News Gothic MT" w:cs="Arial"/>
      <w:sz w:val="18"/>
      <w:szCs w:val="20"/>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NormalWeb">
    <w:name w:val="Normal (Web)"/>
    <w:basedOn w:val="Normal"/>
    <w:uiPriority w:val="99"/>
    <w:unhideWhenUsed/>
    <w:rsid w:val="00A96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673E"/>
  </w:style>
  <w:style w:type="character" w:styleId="Hyperlink">
    <w:name w:val="Hyperlink"/>
    <w:basedOn w:val="DefaultParagraphFont"/>
    <w:uiPriority w:val="99"/>
    <w:unhideWhenUsed/>
    <w:rsid w:val="00A9673E"/>
    <w:rPr>
      <w:color w:val="0000FF"/>
      <w:u w:val="single"/>
    </w:rPr>
  </w:style>
  <w:style w:type="character" w:customStyle="1" w:styleId="starpage">
    <w:name w:val="starpage"/>
    <w:basedOn w:val="DefaultParagraphFont"/>
    <w:rsid w:val="00A9673E"/>
  </w:style>
  <w:style w:type="character" w:styleId="Strong">
    <w:name w:val="Strong"/>
    <w:basedOn w:val="DefaultParagraphFont"/>
    <w:uiPriority w:val="22"/>
    <w:qFormat/>
    <w:rsid w:val="004960BB"/>
    <w:rPr>
      <w:b/>
      <w:bCs/>
    </w:rPr>
  </w:style>
  <w:style w:type="character" w:styleId="Emphasis">
    <w:name w:val="Emphasis"/>
    <w:basedOn w:val="DefaultParagraphFont"/>
    <w:uiPriority w:val="20"/>
    <w:qFormat/>
    <w:rsid w:val="004960BB"/>
    <w:rPr>
      <w:i/>
      <w:iCs/>
    </w:rPr>
  </w:style>
  <w:style w:type="paragraph" w:customStyle="1" w:styleId="indent1">
    <w:name w:val="indent1"/>
    <w:basedOn w:val="Normal"/>
    <w:rsid w:val="003F0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041431"/>
  </w:style>
  <w:style w:type="paragraph" w:styleId="BalloonText">
    <w:name w:val="Balloon Text"/>
    <w:basedOn w:val="Normal"/>
    <w:link w:val="BalloonTextChar"/>
    <w:uiPriority w:val="99"/>
    <w:semiHidden/>
    <w:unhideWhenUsed/>
    <w:rsid w:val="0004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31"/>
    <w:rPr>
      <w:rFonts w:ascii="Tahoma" w:hAnsi="Tahoma" w:cs="Tahoma"/>
      <w:sz w:val="16"/>
      <w:szCs w:val="16"/>
    </w:rPr>
  </w:style>
  <w:style w:type="character" w:customStyle="1" w:styleId="Heading2Char">
    <w:name w:val="Heading 2 Char"/>
    <w:basedOn w:val="DefaultParagraphFont"/>
    <w:link w:val="Heading2"/>
    <w:uiPriority w:val="9"/>
    <w:rsid w:val="0026570B"/>
    <w:rPr>
      <w:rFonts w:ascii="Times New Roman" w:eastAsia="Times New Roman" w:hAnsi="Times New Roman" w:cs="Times New Roman"/>
      <w:b/>
      <w:bCs/>
      <w:sz w:val="36"/>
      <w:szCs w:val="36"/>
      <w:lang w:eastAsia="zh-CN"/>
    </w:rPr>
  </w:style>
  <w:style w:type="character" w:customStyle="1" w:styleId="Heading1Char">
    <w:name w:val="Heading 1 Char"/>
    <w:basedOn w:val="DefaultParagraphFont"/>
    <w:link w:val="Heading1"/>
    <w:uiPriority w:val="9"/>
    <w:rsid w:val="00E72173"/>
    <w:rPr>
      <w:rFonts w:asciiTheme="majorHAnsi" w:eastAsiaTheme="majorEastAsia" w:hAnsiTheme="majorHAnsi" w:cstheme="majorBidi"/>
      <w:b/>
      <w:bCs/>
      <w:color w:val="365F91" w:themeColor="accent1" w:themeShade="BF"/>
      <w:sz w:val="28"/>
      <w:szCs w:val="28"/>
    </w:rPr>
  </w:style>
  <w:style w:type="paragraph" w:customStyle="1" w:styleId="center">
    <w:name w:val="center"/>
    <w:basedOn w:val="Normal"/>
    <w:rsid w:val="003F19E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semiHidden/>
    <w:rsid w:val="00467187"/>
    <w:rPr>
      <w:rFonts w:asciiTheme="majorHAnsi" w:eastAsiaTheme="majorEastAsia" w:hAnsiTheme="majorHAnsi" w:cstheme="majorBidi"/>
      <w:b/>
      <w:bCs/>
      <w:color w:val="4F81BD" w:themeColor="accent1"/>
    </w:rPr>
  </w:style>
  <w:style w:type="character" w:customStyle="1" w:styleId="searchterm">
    <w:name w:val="searchterm"/>
    <w:basedOn w:val="DefaultParagraphFont"/>
    <w:rsid w:val="00467187"/>
  </w:style>
  <w:style w:type="character" w:customStyle="1" w:styleId="hit">
    <w:name w:val="hit"/>
    <w:basedOn w:val="DefaultParagraphFont"/>
    <w:rsid w:val="00467187"/>
  </w:style>
  <w:style w:type="paragraph" w:customStyle="1" w:styleId="journalcite">
    <w:name w:val="journalcit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
    <w:name w:val="contrib"/>
    <w:basedOn w:val="DefaultParagraphFont"/>
    <w:rsid w:val="00467187"/>
  </w:style>
  <w:style w:type="character" w:customStyle="1" w:styleId="ro">
    <w:name w:val="ro"/>
    <w:basedOn w:val="DefaultParagraphFont"/>
    <w:rsid w:val="00467187"/>
  </w:style>
  <w:style w:type="paragraph" w:customStyle="1" w:styleId="copyright">
    <w:name w:val="copyright"/>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e">
    <w:name w:val="cit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rtname">
    <w:name w:val="courtnam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udges">
    <w:name w:val="judges"/>
    <w:basedOn w:val="DefaultParagraphFont"/>
    <w:rsid w:val="00467187"/>
  </w:style>
  <w:style w:type="character" w:customStyle="1" w:styleId="hearingdates">
    <w:name w:val="hearingdates"/>
    <w:basedOn w:val="DefaultParagraphFont"/>
    <w:rsid w:val="00467187"/>
  </w:style>
  <w:style w:type="character" w:styleId="FollowedHyperlink">
    <w:name w:val="FollowedHyperlink"/>
    <w:basedOn w:val="DefaultParagraphFont"/>
    <w:uiPriority w:val="99"/>
    <w:semiHidden/>
    <w:unhideWhenUsed/>
    <w:rsid w:val="00467187"/>
    <w:rPr>
      <w:color w:val="800080" w:themeColor="followedHyperlink"/>
      <w:u w:val="single"/>
    </w:rPr>
  </w:style>
  <w:style w:type="character" w:customStyle="1" w:styleId="smcaps">
    <w:name w:val="smcaps"/>
    <w:basedOn w:val="DefaultParagraphFont"/>
    <w:rsid w:val="00C85B63"/>
  </w:style>
  <w:style w:type="paragraph" w:customStyle="1" w:styleId="s30eec3f8">
    <w:name w:val="s30eec3f8"/>
    <w:basedOn w:val="Normal"/>
    <w:rsid w:val="00885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8d990e2">
    <w:name w:val="sb8d990e2"/>
    <w:basedOn w:val="DefaultParagraphFont"/>
    <w:rsid w:val="00885CB0"/>
  </w:style>
  <w:style w:type="character" w:customStyle="1" w:styleId="s6b621b36">
    <w:name w:val="s6b621b36"/>
    <w:basedOn w:val="DefaultParagraphFont"/>
    <w:rsid w:val="00885CB0"/>
  </w:style>
  <w:style w:type="character" w:customStyle="1" w:styleId="legds">
    <w:name w:val="legds"/>
    <w:basedOn w:val="DefaultParagraphFont"/>
    <w:rsid w:val="000C2BB4"/>
  </w:style>
  <w:style w:type="paragraph" w:customStyle="1" w:styleId="legclearfix">
    <w:name w:val="legclearfix"/>
    <w:basedOn w:val="Normal"/>
    <w:rsid w:val="000C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0C2BB4"/>
  </w:style>
  <w:style w:type="paragraph" w:customStyle="1" w:styleId="legrhs">
    <w:name w:val="legrhs"/>
    <w:basedOn w:val="Normal"/>
    <w:rsid w:val="000C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934F84"/>
  </w:style>
  <w:style w:type="character" w:customStyle="1" w:styleId="Heading4Char">
    <w:name w:val="Heading 4 Char"/>
    <w:basedOn w:val="DefaultParagraphFont"/>
    <w:link w:val="Heading4"/>
    <w:uiPriority w:val="9"/>
    <w:rsid w:val="00D2786A"/>
    <w:rPr>
      <w:rFonts w:asciiTheme="majorHAnsi" w:eastAsiaTheme="majorEastAsia" w:hAnsiTheme="majorHAnsi" w:cstheme="majorBidi"/>
      <w:b/>
      <w:bCs/>
      <w:i/>
      <w:iCs/>
      <w:color w:val="4F81BD" w:themeColor="accent1"/>
    </w:rPr>
  </w:style>
  <w:style w:type="character" w:customStyle="1" w:styleId="panelreveal">
    <w:name w:val="panelreveal"/>
    <w:basedOn w:val="DefaultParagraphFont"/>
    <w:rsid w:val="00D2786A"/>
  </w:style>
  <w:style w:type="character" w:customStyle="1" w:styleId="italic">
    <w:name w:val="italic"/>
    <w:basedOn w:val="DefaultParagraphFont"/>
    <w:rsid w:val="00026724"/>
  </w:style>
  <w:style w:type="character" w:customStyle="1" w:styleId="legpblocktitle">
    <w:name w:val="legpblocktitle"/>
    <w:basedOn w:val="DefaultParagraphFont"/>
    <w:rsid w:val="00864F05"/>
  </w:style>
  <w:style w:type="character" w:customStyle="1" w:styleId="Subtitle2">
    <w:name w:val="Subtitle2"/>
    <w:basedOn w:val="DefaultParagraphFont"/>
    <w:rsid w:val="00C95836"/>
  </w:style>
  <w:style w:type="character" w:customStyle="1" w:styleId="underline">
    <w:name w:val="underline"/>
    <w:basedOn w:val="DefaultParagraphFont"/>
    <w:rsid w:val="004833F0"/>
  </w:style>
  <w:style w:type="character" w:customStyle="1" w:styleId="Heading6Char">
    <w:name w:val="Heading 6 Char"/>
    <w:basedOn w:val="DefaultParagraphFont"/>
    <w:link w:val="Heading6"/>
    <w:uiPriority w:val="9"/>
    <w:semiHidden/>
    <w:rsid w:val="00F30CC7"/>
    <w:rPr>
      <w:rFonts w:asciiTheme="majorHAnsi" w:eastAsiaTheme="majorEastAsia" w:hAnsiTheme="majorHAnsi" w:cstheme="majorBidi"/>
      <w:i/>
      <w:iCs/>
      <w:color w:val="243F60" w:themeColor="accent1" w:themeShade="7F"/>
    </w:rPr>
  </w:style>
  <w:style w:type="character" w:customStyle="1" w:styleId="legamendingtext">
    <w:name w:val="legamendingtext"/>
    <w:basedOn w:val="DefaultParagraphFont"/>
    <w:rsid w:val="0063294F"/>
  </w:style>
  <w:style w:type="character" w:customStyle="1" w:styleId="legamendquote">
    <w:name w:val="legamendquote"/>
    <w:basedOn w:val="DefaultParagraphFont"/>
    <w:rsid w:val="0063294F"/>
  </w:style>
  <w:style w:type="paragraph" w:styleId="Header">
    <w:name w:val="header"/>
    <w:basedOn w:val="Normal"/>
    <w:link w:val="HeaderChar"/>
    <w:uiPriority w:val="99"/>
    <w:unhideWhenUsed/>
    <w:rsid w:val="00A9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7C"/>
  </w:style>
  <w:style w:type="paragraph" w:styleId="Footer">
    <w:name w:val="footer"/>
    <w:basedOn w:val="Normal"/>
    <w:link w:val="FooterChar"/>
    <w:uiPriority w:val="99"/>
    <w:unhideWhenUsed/>
    <w:rsid w:val="00A9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7C"/>
  </w:style>
  <w:style w:type="paragraph" w:customStyle="1" w:styleId="byline">
    <w:name w:val="byline"/>
    <w:basedOn w:val="Normal"/>
    <w:rsid w:val="00DF3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DF36A4"/>
  </w:style>
  <w:style w:type="paragraph" w:customStyle="1" w:styleId="document-type">
    <w:name w:val="document-type"/>
    <w:basedOn w:val="Normal"/>
    <w:rsid w:val="00A81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81EDB"/>
    <w:rPr>
      <w:rFonts w:asciiTheme="majorHAnsi" w:eastAsiaTheme="majorEastAsia" w:hAnsiTheme="majorHAnsi" w:cstheme="majorBidi"/>
      <w:color w:val="243F60" w:themeColor="accent1" w:themeShade="7F"/>
    </w:rPr>
  </w:style>
  <w:style w:type="paragraph" w:customStyle="1" w:styleId="Body">
    <w:name w:val="Body"/>
    <w:rsid w:val="002A25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Footnote">
    <w:name w:val="Footnote"/>
    <w:rsid w:val="002A25B7"/>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Default">
    <w:name w:val="Default"/>
    <w:rsid w:val="002A25B7"/>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CommentReference">
    <w:name w:val="annotation reference"/>
    <w:basedOn w:val="DefaultParagraphFont"/>
    <w:uiPriority w:val="99"/>
    <w:semiHidden/>
    <w:unhideWhenUsed/>
    <w:rsid w:val="002A25B7"/>
    <w:rPr>
      <w:sz w:val="16"/>
      <w:szCs w:val="16"/>
    </w:rPr>
  </w:style>
  <w:style w:type="paragraph" w:styleId="EndnoteText">
    <w:name w:val="endnote text"/>
    <w:basedOn w:val="Normal"/>
    <w:link w:val="EndnoteTextChar"/>
    <w:uiPriority w:val="99"/>
    <w:semiHidden/>
    <w:unhideWhenUsed/>
    <w:rsid w:val="007E29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901"/>
    <w:rPr>
      <w:sz w:val="20"/>
      <w:szCs w:val="20"/>
    </w:rPr>
  </w:style>
  <w:style w:type="character" w:styleId="EndnoteReference">
    <w:name w:val="endnote reference"/>
    <w:basedOn w:val="DefaultParagraphFont"/>
    <w:uiPriority w:val="99"/>
    <w:semiHidden/>
    <w:unhideWhenUsed/>
    <w:rsid w:val="007E2901"/>
    <w:rPr>
      <w:vertAlign w:val="superscript"/>
    </w:rPr>
  </w:style>
  <w:style w:type="paragraph" w:styleId="Revision">
    <w:name w:val="Revision"/>
    <w:hidden/>
    <w:uiPriority w:val="99"/>
    <w:semiHidden/>
    <w:rsid w:val="007B59C1"/>
    <w:pPr>
      <w:spacing w:after="0" w:line="240" w:lineRule="auto"/>
    </w:pPr>
  </w:style>
  <w:style w:type="paragraph" w:styleId="CommentSubject">
    <w:name w:val="annotation subject"/>
    <w:basedOn w:val="CommentText"/>
    <w:next w:val="CommentText"/>
    <w:link w:val="CommentSubjectChar"/>
    <w:uiPriority w:val="99"/>
    <w:semiHidden/>
    <w:unhideWhenUsed/>
    <w:rsid w:val="00792EDD"/>
    <w:rPr>
      <w:b/>
      <w:bCs/>
    </w:rPr>
  </w:style>
  <w:style w:type="character" w:customStyle="1" w:styleId="CommentTextChar">
    <w:name w:val="Comment Text Char"/>
    <w:basedOn w:val="DefaultParagraphFont"/>
    <w:link w:val="CommentText"/>
    <w:uiPriority w:val="99"/>
    <w:semiHidden/>
    <w:rsid w:val="00792EDD"/>
    <w:rPr>
      <w:sz w:val="20"/>
      <w:szCs w:val="20"/>
    </w:rPr>
  </w:style>
  <w:style w:type="character" w:customStyle="1" w:styleId="CommentSubjectChar">
    <w:name w:val="Comment Subject Char"/>
    <w:basedOn w:val="CommentTextChar"/>
    <w:link w:val="CommentSubject"/>
    <w:uiPriority w:val="99"/>
    <w:semiHidden/>
    <w:rsid w:val="00792E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6570B"/>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next w:val="Normal"/>
    <w:link w:val="Heading3Char"/>
    <w:uiPriority w:val="9"/>
    <w:semiHidden/>
    <w:unhideWhenUsed/>
    <w:qFormat/>
    <w:rsid w:val="004671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78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E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0C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430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14305"/>
    <w:rPr>
      <w:rFonts w:ascii="Times New Roman" w:eastAsia="Times New Roman" w:hAnsi="Times New Roman" w:cs="Times New Roman"/>
      <w:sz w:val="20"/>
      <w:szCs w:val="20"/>
    </w:rPr>
  </w:style>
  <w:style w:type="character" w:styleId="FootnoteReference">
    <w:name w:val="footnote reference"/>
    <w:semiHidden/>
    <w:rsid w:val="00D14305"/>
    <w:rPr>
      <w:vertAlign w:val="superscript"/>
    </w:rPr>
  </w:style>
  <w:style w:type="paragraph" w:styleId="ListBullet">
    <w:name w:val="List Bullet"/>
    <w:basedOn w:val="Normal"/>
    <w:autoRedefine/>
    <w:semiHidden/>
    <w:rsid w:val="00D14305"/>
    <w:pPr>
      <w:autoSpaceDE w:val="0"/>
      <w:autoSpaceDN w:val="0"/>
      <w:spacing w:after="0" w:line="240" w:lineRule="auto"/>
      <w:ind w:firstLine="284"/>
      <w:jc w:val="both"/>
    </w:pPr>
    <w:rPr>
      <w:rFonts w:ascii="News Gothic MT" w:eastAsia="Times New Roman" w:hAnsi="News Gothic MT" w:cs="Arial"/>
      <w:sz w:val="18"/>
      <w:szCs w:val="20"/>
    </w:rPr>
  </w:style>
  <w:style w:type="paragraph" w:styleId="CommentText">
    <w:name w:val="annotation text"/>
    <w:basedOn w:val="Normal"/>
    <w:link w:val="CommentTextChar"/>
    <w:uiPriority w:val="99"/>
    <w:semiHidden/>
    <w:unhideWhenUsed/>
    <w:rsid w:val="00E338F3"/>
    <w:pPr>
      <w:spacing w:line="240" w:lineRule="auto"/>
    </w:pPr>
    <w:rPr>
      <w:sz w:val="20"/>
      <w:szCs w:val="20"/>
    </w:rPr>
  </w:style>
  <w:style w:type="paragraph" w:styleId="NormalWeb">
    <w:name w:val="Normal (Web)"/>
    <w:basedOn w:val="Normal"/>
    <w:uiPriority w:val="99"/>
    <w:unhideWhenUsed/>
    <w:rsid w:val="00A96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673E"/>
  </w:style>
  <w:style w:type="character" w:styleId="Hyperlink">
    <w:name w:val="Hyperlink"/>
    <w:basedOn w:val="DefaultParagraphFont"/>
    <w:uiPriority w:val="99"/>
    <w:unhideWhenUsed/>
    <w:rsid w:val="00A9673E"/>
    <w:rPr>
      <w:color w:val="0000FF"/>
      <w:u w:val="single"/>
    </w:rPr>
  </w:style>
  <w:style w:type="character" w:customStyle="1" w:styleId="starpage">
    <w:name w:val="starpage"/>
    <w:basedOn w:val="DefaultParagraphFont"/>
    <w:rsid w:val="00A9673E"/>
  </w:style>
  <w:style w:type="character" w:styleId="Strong">
    <w:name w:val="Strong"/>
    <w:basedOn w:val="DefaultParagraphFont"/>
    <w:uiPriority w:val="22"/>
    <w:qFormat/>
    <w:rsid w:val="004960BB"/>
    <w:rPr>
      <w:b/>
      <w:bCs/>
    </w:rPr>
  </w:style>
  <w:style w:type="character" w:styleId="Emphasis">
    <w:name w:val="Emphasis"/>
    <w:basedOn w:val="DefaultParagraphFont"/>
    <w:uiPriority w:val="20"/>
    <w:qFormat/>
    <w:rsid w:val="004960BB"/>
    <w:rPr>
      <w:i/>
      <w:iCs/>
    </w:rPr>
  </w:style>
  <w:style w:type="paragraph" w:customStyle="1" w:styleId="indent1">
    <w:name w:val="indent1"/>
    <w:basedOn w:val="Normal"/>
    <w:rsid w:val="003F0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041431"/>
  </w:style>
  <w:style w:type="paragraph" w:styleId="BalloonText">
    <w:name w:val="Balloon Text"/>
    <w:basedOn w:val="Normal"/>
    <w:link w:val="BalloonTextChar"/>
    <w:uiPriority w:val="99"/>
    <w:semiHidden/>
    <w:unhideWhenUsed/>
    <w:rsid w:val="0004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31"/>
    <w:rPr>
      <w:rFonts w:ascii="Tahoma" w:hAnsi="Tahoma" w:cs="Tahoma"/>
      <w:sz w:val="16"/>
      <w:szCs w:val="16"/>
    </w:rPr>
  </w:style>
  <w:style w:type="character" w:customStyle="1" w:styleId="Heading2Char">
    <w:name w:val="Heading 2 Char"/>
    <w:basedOn w:val="DefaultParagraphFont"/>
    <w:link w:val="Heading2"/>
    <w:uiPriority w:val="9"/>
    <w:rsid w:val="0026570B"/>
    <w:rPr>
      <w:rFonts w:ascii="Times New Roman" w:eastAsia="Times New Roman" w:hAnsi="Times New Roman" w:cs="Times New Roman"/>
      <w:b/>
      <w:bCs/>
      <w:sz w:val="36"/>
      <w:szCs w:val="36"/>
      <w:lang w:eastAsia="zh-CN"/>
    </w:rPr>
  </w:style>
  <w:style w:type="character" w:customStyle="1" w:styleId="Heading1Char">
    <w:name w:val="Heading 1 Char"/>
    <w:basedOn w:val="DefaultParagraphFont"/>
    <w:link w:val="Heading1"/>
    <w:uiPriority w:val="9"/>
    <w:rsid w:val="00E72173"/>
    <w:rPr>
      <w:rFonts w:asciiTheme="majorHAnsi" w:eastAsiaTheme="majorEastAsia" w:hAnsiTheme="majorHAnsi" w:cstheme="majorBidi"/>
      <w:b/>
      <w:bCs/>
      <w:color w:val="365F91" w:themeColor="accent1" w:themeShade="BF"/>
      <w:sz w:val="28"/>
      <w:szCs w:val="28"/>
    </w:rPr>
  </w:style>
  <w:style w:type="paragraph" w:customStyle="1" w:styleId="center">
    <w:name w:val="center"/>
    <w:basedOn w:val="Normal"/>
    <w:rsid w:val="003F19E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semiHidden/>
    <w:rsid w:val="00467187"/>
    <w:rPr>
      <w:rFonts w:asciiTheme="majorHAnsi" w:eastAsiaTheme="majorEastAsia" w:hAnsiTheme="majorHAnsi" w:cstheme="majorBidi"/>
      <w:b/>
      <w:bCs/>
      <w:color w:val="4F81BD" w:themeColor="accent1"/>
    </w:rPr>
  </w:style>
  <w:style w:type="character" w:customStyle="1" w:styleId="searchterm">
    <w:name w:val="searchterm"/>
    <w:basedOn w:val="DefaultParagraphFont"/>
    <w:rsid w:val="00467187"/>
  </w:style>
  <w:style w:type="character" w:customStyle="1" w:styleId="hit">
    <w:name w:val="hit"/>
    <w:basedOn w:val="DefaultParagraphFont"/>
    <w:rsid w:val="00467187"/>
  </w:style>
  <w:style w:type="paragraph" w:customStyle="1" w:styleId="journalcite">
    <w:name w:val="journalcit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
    <w:name w:val="contrib"/>
    <w:basedOn w:val="DefaultParagraphFont"/>
    <w:rsid w:val="00467187"/>
  </w:style>
  <w:style w:type="character" w:customStyle="1" w:styleId="ro">
    <w:name w:val="ro"/>
    <w:basedOn w:val="DefaultParagraphFont"/>
    <w:rsid w:val="00467187"/>
  </w:style>
  <w:style w:type="paragraph" w:customStyle="1" w:styleId="copyright">
    <w:name w:val="copyright"/>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e">
    <w:name w:val="cit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urtname">
    <w:name w:val="courtname"/>
    <w:basedOn w:val="Normal"/>
    <w:rsid w:val="004671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udges">
    <w:name w:val="judges"/>
    <w:basedOn w:val="DefaultParagraphFont"/>
    <w:rsid w:val="00467187"/>
  </w:style>
  <w:style w:type="character" w:customStyle="1" w:styleId="hearingdates">
    <w:name w:val="hearingdates"/>
    <w:basedOn w:val="DefaultParagraphFont"/>
    <w:rsid w:val="00467187"/>
  </w:style>
  <w:style w:type="character" w:styleId="FollowedHyperlink">
    <w:name w:val="FollowedHyperlink"/>
    <w:basedOn w:val="DefaultParagraphFont"/>
    <w:uiPriority w:val="99"/>
    <w:semiHidden/>
    <w:unhideWhenUsed/>
    <w:rsid w:val="00467187"/>
    <w:rPr>
      <w:color w:val="800080" w:themeColor="followedHyperlink"/>
      <w:u w:val="single"/>
    </w:rPr>
  </w:style>
  <w:style w:type="character" w:customStyle="1" w:styleId="smcaps">
    <w:name w:val="smcaps"/>
    <w:basedOn w:val="DefaultParagraphFont"/>
    <w:rsid w:val="00C85B63"/>
  </w:style>
  <w:style w:type="paragraph" w:customStyle="1" w:styleId="s30eec3f8">
    <w:name w:val="s30eec3f8"/>
    <w:basedOn w:val="Normal"/>
    <w:rsid w:val="00885C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8d990e2">
    <w:name w:val="sb8d990e2"/>
    <w:basedOn w:val="DefaultParagraphFont"/>
    <w:rsid w:val="00885CB0"/>
  </w:style>
  <w:style w:type="character" w:customStyle="1" w:styleId="s6b621b36">
    <w:name w:val="s6b621b36"/>
    <w:basedOn w:val="DefaultParagraphFont"/>
    <w:rsid w:val="00885CB0"/>
  </w:style>
  <w:style w:type="character" w:customStyle="1" w:styleId="legds">
    <w:name w:val="legds"/>
    <w:basedOn w:val="DefaultParagraphFont"/>
    <w:rsid w:val="000C2BB4"/>
  </w:style>
  <w:style w:type="paragraph" w:customStyle="1" w:styleId="legclearfix">
    <w:name w:val="legclearfix"/>
    <w:basedOn w:val="Normal"/>
    <w:rsid w:val="000C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0C2BB4"/>
  </w:style>
  <w:style w:type="paragraph" w:customStyle="1" w:styleId="legrhs">
    <w:name w:val="legrhs"/>
    <w:basedOn w:val="Normal"/>
    <w:rsid w:val="000C2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934F84"/>
  </w:style>
  <w:style w:type="character" w:customStyle="1" w:styleId="Heading4Char">
    <w:name w:val="Heading 4 Char"/>
    <w:basedOn w:val="DefaultParagraphFont"/>
    <w:link w:val="Heading4"/>
    <w:uiPriority w:val="9"/>
    <w:rsid w:val="00D2786A"/>
    <w:rPr>
      <w:rFonts w:asciiTheme="majorHAnsi" w:eastAsiaTheme="majorEastAsia" w:hAnsiTheme="majorHAnsi" w:cstheme="majorBidi"/>
      <w:b/>
      <w:bCs/>
      <w:i/>
      <w:iCs/>
      <w:color w:val="4F81BD" w:themeColor="accent1"/>
    </w:rPr>
  </w:style>
  <w:style w:type="character" w:customStyle="1" w:styleId="panelreveal">
    <w:name w:val="panelreveal"/>
    <w:basedOn w:val="DefaultParagraphFont"/>
    <w:rsid w:val="00D2786A"/>
  </w:style>
  <w:style w:type="character" w:customStyle="1" w:styleId="italic">
    <w:name w:val="italic"/>
    <w:basedOn w:val="DefaultParagraphFont"/>
    <w:rsid w:val="00026724"/>
  </w:style>
  <w:style w:type="character" w:customStyle="1" w:styleId="legpblocktitle">
    <w:name w:val="legpblocktitle"/>
    <w:basedOn w:val="DefaultParagraphFont"/>
    <w:rsid w:val="00864F05"/>
  </w:style>
  <w:style w:type="character" w:customStyle="1" w:styleId="Subtitle2">
    <w:name w:val="Subtitle2"/>
    <w:basedOn w:val="DefaultParagraphFont"/>
    <w:rsid w:val="00C95836"/>
  </w:style>
  <w:style w:type="character" w:customStyle="1" w:styleId="underline">
    <w:name w:val="underline"/>
    <w:basedOn w:val="DefaultParagraphFont"/>
    <w:rsid w:val="004833F0"/>
  </w:style>
  <w:style w:type="character" w:customStyle="1" w:styleId="Heading6Char">
    <w:name w:val="Heading 6 Char"/>
    <w:basedOn w:val="DefaultParagraphFont"/>
    <w:link w:val="Heading6"/>
    <w:uiPriority w:val="9"/>
    <w:semiHidden/>
    <w:rsid w:val="00F30CC7"/>
    <w:rPr>
      <w:rFonts w:asciiTheme="majorHAnsi" w:eastAsiaTheme="majorEastAsia" w:hAnsiTheme="majorHAnsi" w:cstheme="majorBidi"/>
      <w:i/>
      <w:iCs/>
      <w:color w:val="243F60" w:themeColor="accent1" w:themeShade="7F"/>
    </w:rPr>
  </w:style>
  <w:style w:type="character" w:customStyle="1" w:styleId="legamendingtext">
    <w:name w:val="legamendingtext"/>
    <w:basedOn w:val="DefaultParagraphFont"/>
    <w:rsid w:val="0063294F"/>
  </w:style>
  <w:style w:type="character" w:customStyle="1" w:styleId="legamendquote">
    <w:name w:val="legamendquote"/>
    <w:basedOn w:val="DefaultParagraphFont"/>
    <w:rsid w:val="0063294F"/>
  </w:style>
  <w:style w:type="paragraph" w:styleId="Header">
    <w:name w:val="header"/>
    <w:basedOn w:val="Normal"/>
    <w:link w:val="HeaderChar"/>
    <w:uiPriority w:val="99"/>
    <w:unhideWhenUsed/>
    <w:rsid w:val="00A96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7C"/>
  </w:style>
  <w:style w:type="paragraph" w:styleId="Footer">
    <w:name w:val="footer"/>
    <w:basedOn w:val="Normal"/>
    <w:link w:val="FooterChar"/>
    <w:uiPriority w:val="99"/>
    <w:unhideWhenUsed/>
    <w:rsid w:val="00A96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7C"/>
  </w:style>
  <w:style w:type="paragraph" w:customStyle="1" w:styleId="byline">
    <w:name w:val="byline"/>
    <w:basedOn w:val="Normal"/>
    <w:rsid w:val="00DF3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DF36A4"/>
  </w:style>
  <w:style w:type="paragraph" w:customStyle="1" w:styleId="document-type">
    <w:name w:val="document-type"/>
    <w:basedOn w:val="Normal"/>
    <w:rsid w:val="00A81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A81EDB"/>
    <w:rPr>
      <w:rFonts w:asciiTheme="majorHAnsi" w:eastAsiaTheme="majorEastAsia" w:hAnsiTheme="majorHAnsi" w:cstheme="majorBidi"/>
      <w:color w:val="243F60" w:themeColor="accent1" w:themeShade="7F"/>
    </w:rPr>
  </w:style>
  <w:style w:type="paragraph" w:customStyle="1" w:styleId="Body">
    <w:name w:val="Body"/>
    <w:rsid w:val="002A25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Footnote">
    <w:name w:val="Footnote"/>
    <w:rsid w:val="002A25B7"/>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Default">
    <w:name w:val="Default"/>
    <w:rsid w:val="002A25B7"/>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CommentReference">
    <w:name w:val="annotation reference"/>
    <w:basedOn w:val="DefaultParagraphFont"/>
    <w:uiPriority w:val="99"/>
    <w:semiHidden/>
    <w:unhideWhenUsed/>
    <w:rsid w:val="002A25B7"/>
    <w:rPr>
      <w:sz w:val="16"/>
      <w:szCs w:val="16"/>
    </w:rPr>
  </w:style>
  <w:style w:type="paragraph" w:styleId="EndnoteText">
    <w:name w:val="endnote text"/>
    <w:basedOn w:val="Normal"/>
    <w:link w:val="EndnoteTextChar"/>
    <w:uiPriority w:val="99"/>
    <w:semiHidden/>
    <w:unhideWhenUsed/>
    <w:rsid w:val="007E29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901"/>
    <w:rPr>
      <w:sz w:val="20"/>
      <w:szCs w:val="20"/>
    </w:rPr>
  </w:style>
  <w:style w:type="character" w:styleId="EndnoteReference">
    <w:name w:val="endnote reference"/>
    <w:basedOn w:val="DefaultParagraphFont"/>
    <w:uiPriority w:val="99"/>
    <w:semiHidden/>
    <w:unhideWhenUsed/>
    <w:rsid w:val="007E2901"/>
    <w:rPr>
      <w:vertAlign w:val="superscript"/>
    </w:rPr>
  </w:style>
  <w:style w:type="paragraph" w:styleId="Revision">
    <w:name w:val="Revision"/>
    <w:hidden/>
    <w:uiPriority w:val="99"/>
    <w:semiHidden/>
    <w:rsid w:val="007B59C1"/>
    <w:pPr>
      <w:spacing w:after="0" w:line="240" w:lineRule="auto"/>
    </w:pPr>
  </w:style>
  <w:style w:type="paragraph" w:styleId="CommentSubject">
    <w:name w:val="annotation subject"/>
    <w:basedOn w:val="CommentText"/>
    <w:next w:val="CommentText"/>
    <w:link w:val="CommentSubjectChar"/>
    <w:uiPriority w:val="99"/>
    <w:semiHidden/>
    <w:unhideWhenUsed/>
    <w:rsid w:val="00792EDD"/>
    <w:rPr>
      <w:b/>
      <w:bCs/>
    </w:rPr>
  </w:style>
  <w:style w:type="character" w:customStyle="1" w:styleId="CommentTextChar">
    <w:name w:val="Comment Text Char"/>
    <w:basedOn w:val="DefaultParagraphFont"/>
    <w:link w:val="CommentText"/>
    <w:uiPriority w:val="99"/>
    <w:semiHidden/>
    <w:rsid w:val="00792EDD"/>
    <w:rPr>
      <w:sz w:val="20"/>
      <w:szCs w:val="20"/>
    </w:rPr>
  </w:style>
  <w:style w:type="character" w:customStyle="1" w:styleId="CommentSubjectChar">
    <w:name w:val="Comment Subject Char"/>
    <w:basedOn w:val="CommentTextChar"/>
    <w:link w:val="CommentSubject"/>
    <w:uiPriority w:val="99"/>
    <w:semiHidden/>
    <w:rsid w:val="00792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831">
      <w:bodyDiv w:val="1"/>
      <w:marLeft w:val="0"/>
      <w:marRight w:val="0"/>
      <w:marTop w:val="0"/>
      <w:marBottom w:val="0"/>
      <w:divBdr>
        <w:top w:val="none" w:sz="0" w:space="0" w:color="auto"/>
        <w:left w:val="none" w:sz="0" w:space="0" w:color="auto"/>
        <w:bottom w:val="none" w:sz="0" w:space="0" w:color="auto"/>
        <w:right w:val="none" w:sz="0" w:space="0" w:color="auto"/>
      </w:divBdr>
      <w:divsChild>
        <w:div w:id="872183888">
          <w:marLeft w:val="0"/>
          <w:marRight w:val="0"/>
          <w:marTop w:val="0"/>
          <w:marBottom w:val="0"/>
          <w:divBdr>
            <w:top w:val="none" w:sz="0" w:space="0" w:color="auto"/>
            <w:left w:val="none" w:sz="0" w:space="0" w:color="auto"/>
            <w:bottom w:val="none" w:sz="0" w:space="0" w:color="auto"/>
            <w:right w:val="none" w:sz="0" w:space="0" w:color="auto"/>
          </w:divBdr>
        </w:div>
      </w:divsChild>
    </w:div>
    <w:div w:id="19086090">
      <w:bodyDiv w:val="1"/>
      <w:marLeft w:val="0"/>
      <w:marRight w:val="0"/>
      <w:marTop w:val="0"/>
      <w:marBottom w:val="0"/>
      <w:divBdr>
        <w:top w:val="none" w:sz="0" w:space="0" w:color="auto"/>
        <w:left w:val="none" w:sz="0" w:space="0" w:color="auto"/>
        <w:bottom w:val="none" w:sz="0" w:space="0" w:color="auto"/>
        <w:right w:val="none" w:sz="0" w:space="0" w:color="auto"/>
      </w:divBdr>
    </w:div>
    <w:div w:id="37359319">
      <w:bodyDiv w:val="1"/>
      <w:marLeft w:val="0"/>
      <w:marRight w:val="0"/>
      <w:marTop w:val="0"/>
      <w:marBottom w:val="0"/>
      <w:divBdr>
        <w:top w:val="none" w:sz="0" w:space="0" w:color="auto"/>
        <w:left w:val="none" w:sz="0" w:space="0" w:color="auto"/>
        <w:bottom w:val="none" w:sz="0" w:space="0" w:color="auto"/>
        <w:right w:val="none" w:sz="0" w:space="0" w:color="auto"/>
      </w:divBdr>
    </w:div>
    <w:div w:id="40633656">
      <w:bodyDiv w:val="1"/>
      <w:marLeft w:val="0"/>
      <w:marRight w:val="0"/>
      <w:marTop w:val="0"/>
      <w:marBottom w:val="0"/>
      <w:divBdr>
        <w:top w:val="none" w:sz="0" w:space="0" w:color="auto"/>
        <w:left w:val="none" w:sz="0" w:space="0" w:color="auto"/>
        <w:bottom w:val="none" w:sz="0" w:space="0" w:color="auto"/>
        <w:right w:val="none" w:sz="0" w:space="0" w:color="auto"/>
      </w:divBdr>
    </w:div>
    <w:div w:id="68767944">
      <w:bodyDiv w:val="1"/>
      <w:marLeft w:val="0"/>
      <w:marRight w:val="0"/>
      <w:marTop w:val="0"/>
      <w:marBottom w:val="0"/>
      <w:divBdr>
        <w:top w:val="none" w:sz="0" w:space="0" w:color="auto"/>
        <w:left w:val="none" w:sz="0" w:space="0" w:color="auto"/>
        <w:bottom w:val="none" w:sz="0" w:space="0" w:color="auto"/>
        <w:right w:val="none" w:sz="0" w:space="0" w:color="auto"/>
      </w:divBdr>
    </w:div>
    <w:div w:id="73213216">
      <w:bodyDiv w:val="1"/>
      <w:marLeft w:val="0"/>
      <w:marRight w:val="0"/>
      <w:marTop w:val="0"/>
      <w:marBottom w:val="0"/>
      <w:divBdr>
        <w:top w:val="none" w:sz="0" w:space="0" w:color="auto"/>
        <w:left w:val="none" w:sz="0" w:space="0" w:color="auto"/>
        <w:bottom w:val="none" w:sz="0" w:space="0" w:color="auto"/>
        <w:right w:val="none" w:sz="0" w:space="0" w:color="auto"/>
      </w:divBdr>
    </w:div>
    <w:div w:id="89861388">
      <w:bodyDiv w:val="1"/>
      <w:marLeft w:val="0"/>
      <w:marRight w:val="0"/>
      <w:marTop w:val="0"/>
      <w:marBottom w:val="0"/>
      <w:divBdr>
        <w:top w:val="none" w:sz="0" w:space="0" w:color="auto"/>
        <w:left w:val="none" w:sz="0" w:space="0" w:color="auto"/>
        <w:bottom w:val="none" w:sz="0" w:space="0" w:color="auto"/>
        <w:right w:val="none" w:sz="0" w:space="0" w:color="auto"/>
      </w:divBdr>
      <w:divsChild>
        <w:div w:id="2120365786">
          <w:marLeft w:val="0"/>
          <w:marRight w:val="0"/>
          <w:marTop w:val="0"/>
          <w:marBottom w:val="0"/>
          <w:divBdr>
            <w:top w:val="none" w:sz="0" w:space="11" w:color="auto"/>
            <w:left w:val="none" w:sz="0" w:space="0" w:color="auto"/>
            <w:bottom w:val="single" w:sz="6" w:space="11" w:color="E4E4E4"/>
            <w:right w:val="none" w:sz="0" w:space="0" w:color="auto"/>
          </w:divBdr>
          <w:divsChild>
            <w:div w:id="236020409">
              <w:marLeft w:val="1125"/>
              <w:marRight w:val="225"/>
              <w:marTop w:val="0"/>
              <w:marBottom w:val="0"/>
              <w:divBdr>
                <w:top w:val="none" w:sz="0" w:space="0" w:color="auto"/>
                <w:left w:val="none" w:sz="0" w:space="0" w:color="auto"/>
                <w:bottom w:val="none" w:sz="0" w:space="0" w:color="auto"/>
                <w:right w:val="none" w:sz="0" w:space="0" w:color="auto"/>
              </w:divBdr>
              <w:divsChild>
                <w:div w:id="1631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0558">
          <w:marLeft w:val="0"/>
          <w:marRight w:val="0"/>
          <w:marTop w:val="0"/>
          <w:marBottom w:val="0"/>
          <w:divBdr>
            <w:top w:val="none" w:sz="0" w:space="0" w:color="auto"/>
            <w:left w:val="none" w:sz="0" w:space="0" w:color="auto"/>
            <w:bottom w:val="none" w:sz="0" w:space="0" w:color="auto"/>
            <w:right w:val="none" w:sz="0" w:space="0" w:color="auto"/>
          </w:divBdr>
          <w:divsChild>
            <w:div w:id="387186955">
              <w:blockQuote w:val="1"/>
              <w:marLeft w:val="450"/>
              <w:marRight w:val="450"/>
              <w:marTop w:val="0"/>
              <w:marBottom w:val="0"/>
              <w:divBdr>
                <w:top w:val="none" w:sz="0" w:space="0" w:color="auto"/>
                <w:left w:val="none" w:sz="0" w:space="0" w:color="auto"/>
                <w:bottom w:val="none" w:sz="0" w:space="0" w:color="auto"/>
                <w:right w:val="none" w:sz="0" w:space="0" w:color="auto"/>
              </w:divBdr>
            </w:div>
            <w:div w:id="27150859">
              <w:blockQuote w:val="1"/>
              <w:marLeft w:val="450"/>
              <w:marRight w:val="450"/>
              <w:marTop w:val="0"/>
              <w:marBottom w:val="0"/>
              <w:divBdr>
                <w:top w:val="none" w:sz="0" w:space="0" w:color="auto"/>
                <w:left w:val="none" w:sz="0" w:space="0" w:color="auto"/>
                <w:bottom w:val="none" w:sz="0" w:space="0" w:color="auto"/>
                <w:right w:val="none" w:sz="0" w:space="0" w:color="auto"/>
              </w:divBdr>
            </w:div>
            <w:div w:id="514197250">
              <w:blockQuote w:val="1"/>
              <w:marLeft w:val="450"/>
              <w:marRight w:val="450"/>
              <w:marTop w:val="0"/>
              <w:marBottom w:val="0"/>
              <w:divBdr>
                <w:top w:val="none" w:sz="0" w:space="0" w:color="auto"/>
                <w:left w:val="none" w:sz="0" w:space="0" w:color="auto"/>
                <w:bottom w:val="none" w:sz="0" w:space="0" w:color="auto"/>
                <w:right w:val="none" w:sz="0" w:space="0" w:color="auto"/>
              </w:divBdr>
            </w:div>
            <w:div w:id="1595673065">
              <w:blockQuote w:val="1"/>
              <w:marLeft w:val="450"/>
              <w:marRight w:val="450"/>
              <w:marTop w:val="0"/>
              <w:marBottom w:val="0"/>
              <w:divBdr>
                <w:top w:val="none" w:sz="0" w:space="0" w:color="auto"/>
                <w:left w:val="none" w:sz="0" w:space="0" w:color="auto"/>
                <w:bottom w:val="none" w:sz="0" w:space="0" w:color="auto"/>
                <w:right w:val="none" w:sz="0" w:space="0" w:color="auto"/>
              </w:divBdr>
            </w:div>
            <w:div w:id="869532805">
              <w:blockQuote w:val="1"/>
              <w:marLeft w:val="450"/>
              <w:marRight w:val="450"/>
              <w:marTop w:val="0"/>
              <w:marBottom w:val="0"/>
              <w:divBdr>
                <w:top w:val="none" w:sz="0" w:space="0" w:color="auto"/>
                <w:left w:val="none" w:sz="0" w:space="0" w:color="auto"/>
                <w:bottom w:val="none" w:sz="0" w:space="0" w:color="auto"/>
                <w:right w:val="none" w:sz="0" w:space="0" w:color="auto"/>
              </w:divBdr>
            </w:div>
            <w:div w:id="211243669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94178648">
      <w:bodyDiv w:val="1"/>
      <w:marLeft w:val="0"/>
      <w:marRight w:val="0"/>
      <w:marTop w:val="0"/>
      <w:marBottom w:val="0"/>
      <w:divBdr>
        <w:top w:val="single" w:sz="18" w:space="15" w:color="191970"/>
        <w:left w:val="none" w:sz="0" w:space="0" w:color="auto"/>
        <w:bottom w:val="none" w:sz="0" w:space="0" w:color="auto"/>
        <w:right w:val="none" w:sz="0" w:space="0" w:color="auto"/>
      </w:divBdr>
      <w:divsChild>
        <w:div w:id="1142888576">
          <w:marLeft w:val="0"/>
          <w:marRight w:val="0"/>
          <w:marTop w:val="0"/>
          <w:marBottom w:val="0"/>
          <w:divBdr>
            <w:top w:val="none" w:sz="0" w:space="0" w:color="auto"/>
            <w:left w:val="none" w:sz="0" w:space="0" w:color="auto"/>
            <w:bottom w:val="none" w:sz="0" w:space="0" w:color="auto"/>
            <w:right w:val="none" w:sz="0" w:space="0" w:color="auto"/>
          </w:divBdr>
          <w:divsChild>
            <w:div w:id="480924129">
              <w:marLeft w:val="0"/>
              <w:marRight w:val="0"/>
              <w:marTop w:val="0"/>
              <w:marBottom w:val="0"/>
              <w:divBdr>
                <w:top w:val="none" w:sz="0" w:space="0" w:color="auto"/>
                <w:left w:val="none" w:sz="0" w:space="0" w:color="auto"/>
                <w:bottom w:val="none" w:sz="0" w:space="0" w:color="auto"/>
                <w:right w:val="none" w:sz="0" w:space="0" w:color="auto"/>
              </w:divBdr>
              <w:divsChild>
                <w:div w:id="537354434">
                  <w:marLeft w:val="0"/>
                  <w:marRight w:val="0"/>
                  <w:marTop w:val="0"/>
                  <w:marBottom w:val="0"/>
                  <w:divBdr>
                    <w:top w:val="none" w:sz="0" w:space="0" w:color="auto"/>
                    <w:left w:val="none" w:sz="0" w:space="0" w:color="auto"/>
                    <w:bottom w:val="none" w:sz="0" w:space="0" w:color="auto"/>
                    <w:right w:val="none" w:sz="0" w:space="0" w:color="auto"/>
                  </w:divBdr>
                  <w:divsChild>
                    <w:div w:id="16712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0607">
      <w:bodyDiv w:val="1"/>
      <w:marLeft w:val="0"/>
      <w:marRight w:val="0"/>
      <w:marTop w:val="0"/>
      <w:marBottom w:val="0"/>
      <w:divBdr>
        <w:top w:val="none" w:sz="0" w:space="0" w:color="auto"/>
        <w:left w:val="none" w:sz="0" w:space="0" w:color="auto"/>
        <w:bottom w:val="none" w:sz="0" w:space="0" w:color="auto"/>
        <w:right w:val="none" w:sz="0" w:space="0" w:color="auto"/>
      </w:divBdr>
    </w:div>
    <w:div w:id="111897977">
      <w:bodyDiv w:val="1"/>
      <w:marLeft w:val="0"/>
      <w:marRight w:val="0"/>
      <w:marTop w:val="0"/>
      <w:marBottom w:val="0"/>
      <w:divBdr>
        <w:top w:val="none" w:sz="0" w:space="0" w:color="auto"/>
        <w:left w:val="none" w:sz="0" w:space="0" w:color="auto"/>
        <w:bottom w:val="none" w:sz="0" w:space="0" w:color="auto"/>
        <w:right w:val="none" w:sz="0" w:space="0" w:color="auto"/>
      </w:divBdr>
      <w:divsChild>
        <w:div w:id="304313476">
          <w:blockQuote w:val="1"/>
          <w:marLeft w:val="450"/>
          <w:marRight w:val="450"/>
          <w:marTop w:val="0"/>
          <w:marBottom w:val="0"/>
          <w:divBdr>
            <w:top w:val="none" w:sz="0" w:space="0" w:color="auto"/>
            <w:left w:val="none" w:sz="0" w:space="0" w:color="auto"/>
            <w:bottom w:val="none" w:sz="0" w:space="0" w:color="auto"/>
            <w:right w:val="none" w:sz="0" w:space="0" w:color="auto"/>
          </w:divBdr>
        </w:div>
        <w:div w:id="1371219835">
          <w:blockQuote w:val="1"/>
          <w:marLeft w:val="450"/>
          <w:marRight w:val="450"/>
          <w:marTop w:val="0"/>
          <w:marBottom w:val="0"/>
          <w:divBdr>
            <w:top w:val="none" w:sz="0" w:space="0" w:color="auto"/>
            <w:left w:val="none" w:sz="0" w:space="0" w:color="auto"/>
            <w:bottom w:val="none" w:sz="0" w:space="0" w:color="auto"/>
            <w:right w:val="none" w:sz="0" w:space="0" w:color="auto"/>
          </w:divBdr>
        </w:div>
        <w:div w:id="946154953">
          <w:blockQuote w:val="1"/>
          <w:marLeft w:val="450"/>
          <w:marRight w:val="450"/>
          <w:marTop w:val="0"/>
          <w:marBottom w:val="0"/>
          <w:divBdr>
            <w:top w:val="none" w:sz="0" w:space="0" w:color="auto"/>
            <w:left w:val="none" w:sz="0" w:space="0" w:color="auto"/>
            <w:bottom w:val="none" w:sz="0" w:space="0" w:color="auto"/>
            <w:right w:val="none" w:sz="0" w:space="0" w:color="auto"/>
          </w:divBdr>
        </w:div>
        <w:div w:id="93787463">
          <w:blockQuote w:val="1"/>
          <w:marLeft w:val="450"/>
          <w:marRight w:val="450"/>
          <w:marTop w:val="0"/>
          <w:marBottom w:val="0"/>
          <w:divBdr>
            <w:top w:val="none" w:sz="0" w:space="0" w:color="auto"/>
            <w:left w:val="none" w:sz="0" w:space="0" w:color="auto"/>
            <w:bottom w:val="none" w:sz="0" w:space="0" w:color="auto"/>
            <w:right w:val="none" w:sz="0" w:space="0" w:color="auto"/>
          </w:divBdr>
        </w:div>
        <w:div w:id="1460612384">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7019509">
      <w:bodyDiv w:val="1"/>
      <w:marLeft w:val="0"/>
      <w:marRight w:val="0"/>
      <w:marTop w:val="0"/>
      <w:marBottom w:val="0"/>
      <w:divBdr>
        <w:top w:val="none" w:sz="0" w:space="0" w:color="auto"/>
        <w:left w:val="none" w:sz="0" w:space="0" w:color="auto"/>
        <w:bottom w:val="none" w:sz="0" w:space="0" w:color="auto"/>
        <w:right w:val="none" w:sz="0" w:space="0" w:color="auto"/>
      </w:divBdr>
    </w:div>
    <w:div w:id="139419955">
      <w:bodyDiv w:val="1"/>
      <w:marLeft w:val="0"/>
      <w:marRight w:val="0"/>
      <w:marTop w:val="0"/>
      <w:marBottom w:val="0"/>
      <w:divBdr>
        <w:top w:val="none" w:sz="0" w:space="0" w:color="auto"/>
        <w:left w:val="none" w:sz="0" w:space="0" w:color="auto"/>
        <w:bottom w:val="none" w:sz="0" w:space="0" w:color="auto"/>
        <w:right w:val="none" w:sz="0" w:space="0" w:color="auto"/>
      </w:divBdr>
    </w:div>
    <w:div w:id="149756419">
      <w:bodyDiv w:val="1"/>
      <w:marLeft w:val="0"/>
      <w:marRight w:val="0"/>
      <w:marTop w:val="0"/>
      <w:marBottom w:val="0"/>
      <w:divBdr>
        <w:top w:val="none" w:sz="0" w:space="0" w:color="auto"/>
        <w:left w:val="none" w:sz="0" w:space="0" w:color="auto"/>
        <w:bottom w:val="none" w:sz="0" w:space="0" w:color="auto"/>
        <w:right w:val="none" w:sz="0" w:space="0" w:color="auto"/>
      </w:divBdr>
      <w:divsChild>
        <w:div w:id="547837290">
          <w:marLeft w:val="0"/>
          <w:marRight w:val="0"/>
          <w:marTop w:val="0"/>
          <w:marBottom w:val="0"/>
          <w:divBdr>
            <w:top w:val="none" w:sz="0" w:space="0" w:color="auto"/>
            <w:left w:val="none" w:sz="0" w:space="0" w:color="auto"/>
            <w:bottom w:val="none" w:sz="0" w:space="0" w:color="auto"/>
            <w:right w:val="none" w:sz="0" w:space="0" w:color="auto"/>
          </w:divBdr>
        </w:div>
        <w:div w:id="1203711016">
          <w:marLeft w:val="0"/>
          <w:marRight w:val="0"/>
          <w:marTop w:val="0"/>
          <w:marBottom w:val="0"/>
          <w:divBdr>
            <w:top w:val="none" w:sz="0" w:space="0" w:color="auto"/>
            <w:left w:val="none" w:sz="0" w:space="0" w:color="auto"/>
            <w:bottom w:val="none" w:sz="0" w:space="0" w:color="auto"/>
            <w:right w:val="none" w:sz="0" w:space="0" w:color="auto"/>
          </w:divBdr>
        </w:div>
      </w:divsChild>
    </w:div>
    <w:div w:id="151799969">
      <w:bodyDiv w:val="1"/>
      <w:marLeft w:val="0"/>
      <w:marRight w:val="0"/>
      <w:marTop w:val="0"/>
      <w:marBottom w:val="0"/>
      <w:divBdr>
        <w:top w:val="none" w:sz="0" w:space="0" w:color="auto"/>
        <w:left w:val="none" w:sz="0" w:space="0" w:color="auto"/>
        <w:bottom w:val="none" w:sz="0" w:space="0" w:color="auto"/>
        <w:right w:val="none" w:sz="0" w:space="0" w:color="auto"/>
      </w:divBdr>
    </w:div>
    <w:div w:id="159659348">
      <w:bodyDiv w:val="1"/>
      <w:marLeft w:val="0"/>
      <w:marRight w:val="0"/>
      <w:marTop w:val="0"/>
      <w:marBottom w:val="0"/>
      <w:divBdr>
        <w:top w:val="none" w:sz="0" w:space="0" w:color="auto"/>
        <w:left w:val="none" w:sz="0" w:space="0" w:color="auto"/>
        <w:bottom w:val="none" w:sz="0" w:space="0" w:color="auto"/>
        <w:right w:val="none" w:sz="0" w:space="0" w:color="auto"/>
      </w:divBdr>
    </w:div>
    <w:div w:id="174421303">
      <w:bodyDiv w:val="1"/>
      <w:marLeft w:val="0"/>
      <w:marRight w:val="0"/>
      <w:marTop w:val="0"/>
      <w:marBottom w:val="0"/>
      <w:divBdr>
        <w:top w:val="none" w:sz="0" w:space="0" w:color="auto"/>
        <w:left w:val="none" w:sz="0" w:space="0" w:color="auto"/>
        <w:bottom w:val="none" w:sz="0" w:space="0" w:color="auto"/>
        <w:right w:val="none" w:sz="0" w:space="0" w:color="auto"/>
      </w:divBdr>
      <w:divsChild>
        <w:div w:id="1597132592">
          <w:marLeft w:val="0"/>
          <w:marRight w:val="0"/>
          <w:marTop w:val="0"/>
          <w:marBottom w:val="0"/>
          <w:divBdr>
            <w:top w:val="none" w:sz="0" w:space="0" w:color="auto"/>
            <w:left w:val="none" w:sz="0" w:space="0" w:color="auto"/>
            <w:bottom w:val="none" w:sz="0" w:space="0" w:color="auto"/>
            <w:right w:val="none" w:sz="0" w:space="0" w:color="auto"/>
          </w:divBdr>
        </w:div>
        <w:div w:id="1585264153">
          <w:marLeft w:val="0"/>
          <w:marRight w:val="0"/>
          <w:marTop w:val="0"/>
          <w:marBottom w:val="0"/>
          <w:divBdr>
            <w:top w:val="none" w:sz="0" w:space="0" w:color="auto"/>
            <w:left w:val="none" w:sz="0" w:space="0" w:color="auto"/>
            <w:bottom w:val="none" w:sz="0" w:space="0" w:color="auto"/>
            <w:right w:val="none" w:sz="0" w:space="0" w:color="auto"/>
          </w:divBdr>
          <w:divsChild>
            <w:div w:id="377322833">
              <w:marLeft w:val="0"/>
              <w:marRight w:val="0"/>
              <w:marTop w:val="0"/>
              <w:marBottom w:val="0"/>
              <w:divBdr>
                <w:top w:val="none" w:sz="0" w:space="0" w:color="auto"/>
                <w:left w:val="none" w:sz="0" w:space="0" w:color="auto"/>
                <w:bottom w:val="none" w:sz="0" w:space="0" w:color="auto"/>
                <w:right w:val="none" w:sz="0" w:space="0" w:color="auto"/>
              </w:divBdr>
            </w:div>
            <w:div w:id="1138032649">
              <w:marLeft w:val="0"/>
              <w:marRight w:val="0"/>
              <w:marTop w:val="0"/>
              <w:marBottom w:val="0"/>
              <w:divBdr>
                <w:top w:val="none" w:sz="0" w:space="0" w:color="auto"/>
                <w:left w:val="none" w:sz="0" w:space="0" w:color="auto"/>
                <w:bottom w:val="none" w:sz="0" w:space="0" w:color="auto"/>
                <w:right w:val="none" w:sz="0" w:space="0" w:color="auto"/>
              </w:divBdr>
            </w:div>
          </w:divsChild>
        </w:div>
        <w:div w:id="1031343353">
          <w:marLeft w:val="0"/>
          <w:marRight w:val="0"/>
          <w:marTop w:val="0"/>
          <w:marBottom w:val="0"/>
          <w:divBdr>
            <w:top w:val="none" w:sz="0" w:space="0" w:color="auto"/>
            <w:left w:val="none" w:sz="0" w:space="0" w:color="auto"/>
            <w:bottom w:val="none" w:sz="0" w:space="0" w:color="auto"/>
            <w:right w:val="none" w:sz="0" w:space="0" w:color="auto"/>
          </w:divBdr>
          <w:divsChild>
            <w:div w:id="1843351956">
              <w:marLeft w:val="0"/>
              <w:marRight w:val="0"/>
              <w:marTop w:val="0"/>
              <w:marBottom w:val="0"/>
              <w:divBdr>
                <w:top w:val="none" w:sz="0" w:space="0" w:color="auto"/>
                <w:left w:val="none" w:sz="0" w:space="0" w:color="auto"/>
                <w:bottom w:val="none" w:sz="0" w:space="0" w:color="auto"/>
                <w:right w:val="none" w:sz="0" w:space="0" w:color="auto"/>
              </w:divBdr>
            </w:div>
            <w:div w:id="680742015">
              <w:marLeft w:val="0"/>
              <w:marRight w:val="0"/>
              <w:marTop w:val="0"/>
              <w:marBottom w:val="0"/>
              <w:divBdr>
                <w:top w:val="none" w:sz="0" w:space="0" w:color="auto"/>
                <w:left w:val="none" w:sz="0" w:space="0" w:color="auto"/>
                <w:bottom w:val="none" w:sz="0" w:space="0" w:color="auto"/>
                <w:right w:val="none" w:sz="0" w:space="0" w:color="auto"/>
              </w:divBdr>
            </w:div>
          </w:divsChild>
        </w:div>
        <w:div w:id="122621897">
          <w:marLeft w:val="0"/>
          <w:marRight w:val="0"/>
          <w:marTop w:val="0"/>
          <w:marBottom w:val="0"/>
          <w:divBdr>
            <w:top w:val="none" w:sz="0" w:space="0" w:color="auto"/>
            <w:left w:val="none" w:sz="0" w:space="0" w:color="auto"/>
            <w:bottom w:val="none" w:sz="0" w:space="0" w:color="auto"/>
            <w:right w:val="none" w:sz="0" w:space="0" w:color="auto"/>
          </w:divBdr>
          <w:divsChild>
            <w:div w:id="1245839394">
              <w:marLeft w:val="0"/>
              <w:marRight w:val="0"/>
              <w:marTop w:val="0"/>
              <w:marBottom w:val="0"/>
              <w:divBdr>
                <w:top w:val="none" w:sz="0" w:space="0" w:color="auto"/>
                <w:left w:val="none" w:sz="0" w:space="0" w:color="auto"/>
                <w:bottom w:val="none" w:sz="0" w:space="0" w:color="auto"/>
                <w:right w:val="none" w:sz="0" w:space="0" w:color="auto"/>
              </w:divBdr>
            </w:div>
            <w:div w:id="452286140">
              <w:marLeft w:val="0"/>
              <w:marRight w:val="0"/>
              <w:marTop w:val="0"/>
              <w:marBottom w:val="0"/>
              <w:divBdr>
                <w:top w:val="none" w:sz="0" w:space="0" w:color="auto"/>
                <w:left w:val="none" w:sz="0" w:space="0" w:color="auto"/>
                <w:bottom w:val="none" w:sz="0" w:space="0" w:color="auto"/>
                <w:right w:val="none" w:sz="0" w:space="0" w:color="auto"/>
              </w:divBdr>
            </w:div>
          </w:divsChild>
        </w:div>
        <w:div w:id="792676787">
          <w:marLeft w:val="0"/>
          <w:marRight w:val="0"/>
          <w:marTop w:val="0"/>
          <w:marBottom w:val="0"/>
          <w:divBdr>
            <w:top w:val="none" w:sz="0" w:space="0" w:color="auto"/>
            <w:left w:val="none" w:sz="0" w:space="0" w:color="auto"/>
            <w:bottom w:val="none" w:sz="0" w:space="0" w:color="auto"/>
            <w:right w:val="none" w:sz="0" w:space="0" w:color="auto"/>
          </w:divBdr>
        </w:div>
        <w:div w:id="1301032320">
          <w:marLeft w:val="0"/>
          <w:marRight w:val="0"/>
          <w:marTop w:val="0"/>
          <w:marBottom w:val="0"/>
          <w:divBdr>
            <w:top w:val="none" w:sz="0" w:space="0" w:color="auto"/>
            <w:left w:val="none" w:sz="0" w:space="0" w:color="auto"/>
            <w:bottom w:val="none" w:sz="0" w:space="0" w:color="auto"/>
            <w:right w:val="none" w:sz="0" w:space="0" w:color="auto"/>
          </w:divBdr>
          <w:divsChild>
            <w:div w:id="1808088277">
              <w:marLeft w:val="0"/>
              <w:marRight w:val="0"/>
              <w:marTop w:val="0"/>
              <w:marBottom w:val="0"/>
              <w:divBdr>
                <w:top w:val="none" w:sz="0" w:space="0" w:color="auto"/>
                <w:left w:val="none" w:sz="0" w:space="0" w:color="auto"/>
                <w:bottom w:val="none" w:sz="0" w:space="0" w:color="auto"/>
                <w:right w:val="none" w:sz="0" w:space="0" w:color="auto"/>
              </w:divBdr>
            </w:div>
            <w:div w:id="1669870230">
              <w:marLeft w:val="0"/>
              <w:marRight w:val="0"/>
              <w:marTop w:val="0"/>
              <w:marBottom w:val="0"/>
              <w:divBdr>
                <w:top w:val="none" w:sz="0" w:space="0" w:color="auto"/>
                <w:left w:val="none" w:sz="0" w:space="0" w:color="auto"/>
                <w:bottom w:val="none" w:sz="0" w:space="0" w:color="auto"/>
                <w:right w:val="none" w:sz="0" w:space="0" w:color="auto"/>
              </w:divBdr>
            </w:div>
          </w:divsChild>
        </w:div>
        <w:div w:id="768432903">
          <w:marLeft w:val="0"/>
          <w:marRight w:val="0"/>
          <w:marTop w:val="0"/>
          <w:marBottom w:val="0"/>
          <w:divBdr>
            <w:top w:val="none" w:sz="0" w:space="0" w:color="auto"/>
            <w:left w:val="none" w:sz="0" w:space="0" w:color="auto"/>
            <w:bottom w:val="none" w:sz="0" w:space="0" w:color="auto"/>
            <w:right w:val="none" w:sz="0" w:space="0" w:color="auto"/>
          </w:divBdr>
        </w:div>
        <w:div w:id="1015107329">
          <w:marLeft w:val="0"/>
          <w:marRight w:val="0"/>
          <w:marTop w:val="0"/>
          <w:marBottom w:val="0"/>
          <w:divBdr>
            <w:top w:val="none" w:sz="0" w:space="0" w:color="auto"/>
            <w:left w:val="none" w:sz="0" w:space="0" w:color="auto"/>
            <w:bottom w:val="none" w:sz="0" w:space="0" w:color="auto"/>
            <w:right w:val="none" w:sz="0" w:space="0" w:color="auto"/>
          </w:divBdr>
        </w:div>
      </w:divsChild>
    </w:div>
    <w:div w:id="197283557">
      <w:bodyDiv w:val="1"/>
      <w:marLeft w:val="0"/>
      <w:marRight w:val="0"/>
      <w:marTop w:val="0"/>
      <w:marBottom w:val="0"/>
      <w:divBdr>
        <w:top w:val="none" w:sz="0" w:space="0" w:color="auto"/>
        <w:left w:val="none" w:sz="0" w:space="0" w:color="auto"/>
        <w:bottom w:val="none" w:sz="0" w:space="0" w:color="auto"/>
        <w:right w:val="none" w:sz="0" w:space="0" w:color="auto"/>
      </w:divBdr>
      <w:divsChild>
        <w:div w:id="2106997178">
          <w:marLeft w:val="0"/>
          <w:marRight w:val="0"/>
          <w:marTop w:val="0"/>
          <w:marBottom w:val="0"/>
          <w:divBdr>
            <w:top w:val="none" w:sz="0" w:space="0" w:color="auto"/>
            <w:left w:val="none" w:sz="0" w:space="0" w:color="auto"/>
            <w:bottom w:val="none" w:sz="0" w:space="0" w:color="auto"/>
            <w:right w:val="none" w:sz="0" w:space="0" w:color="auto"/>
          </w:divBdr>
        </w:div>
        <w:div w:id="3240866">
          <w:marLeft w:val="0"/>
          <w:marRight w:val="0"/>
          <w:marTop w:val="0"/>
          <w:marBottom w:val="0"/>
          <w:divBdr>
            <w:top w:val="none" w:sz="0" w:space="0" w:color="auto"/>
            <w:left w:val="none" w:sz="0" w:space="0" w:color="auto"/>
            <w:bottom w:val="none" w:sz="0" w:space="0" w:color="auto"/>
            <w:right w:val="none" w:sz="0" w:space="0" w:color="auto"/>
          </w:divBdr>
          <w:divsChild>
            <w:div w:id="558899626">
              <w:marLeft w:val="0"/>
              <w:marRight w:val="0"/>
              <w:marTop w:val="0"/>
              <w:marBottom w:val="0"/>
              <w:divBdr>
                <w:top w:val="none" w:sz="0" w:space="0" w:color="auto"/>
                <w:left w:val="none" w:sz="0" w:space="0" w:color="auto"/>
                <w:bottom w:val="none" w:sz="0" w:space="0" w:color="auto"/>
                <w:right w:val="none" w:sz="0" w:space="0" w:color="auto"/>
              </w:divBdr>
            </w:div>
            <w:div w:id="214508326">
              <w:marLeft w:val="0"/>
              <w:marRight w:val="0"/>
              <w:marTop w:val="0"/>
              <w:marBottom w:val="0"/>
              <w:divBdr>
                <w:top w:val="none" w:sz="0" w:space="0" w:color="auto"/>
                <w:left w:val="none" w:sz="0" w:space="0" w:color="auto"/>
                <w:bottom w:val="none" w:sz="0" w:space="0" w:color="auto"/>
                <w:right w:val="none" w:sz="0" w:space="0" w:color="auto"/>
              </w:divBdr>
            </w:div>
          </w:divsChild>
        </w:div>
        <w:div w:id="1047414289">
          <w:marLeft w:val="0"/>
          <w:marRight w:val="0"/>
          <w:marTop w:val="0"/>
          <w:marBottom w:val="0"/>
          <w:divBdr>
            <w:top w:val="none" w:sz="0" w:space="0" w:color="auto"/>
            <w:left w:val="none" w:sz="0" w:space="0" w:color="auto"/>
            <w:bottom w:val="none" w:sz="0" w:space="0" w:color="auto"/>
            <w:right w:val="none" w:sz="0" w:space="0" w:color="auto"/>
          </w:divBdr>
        </w:div>
        <w:div w:id="806749614">
          <w:marLeft w:val="0"/>
          <w:marRight w:val="0"/>
          <w:marTop w:val="0"/>
          <w:marBottom w:val="0"/>
          <w:divBdr>
            <w:top w:val="none" w:sz="0" w:space="0" w:color="auto"/>
            <w:left w:val="none" w:sz="0" w:space="0" w:color="auto"/>
            <w:bottom w:val="none" w:sz="0" w:space="0" w:color="auto"/>
            <w:right w:val="none" w:sz="0" w:space="0" w:color="auto"/>
          </w:divBdr>
          <w:divsChild>
            <w:div w:id="106507191">
              <w:marLeft w:val="0"/>
              <w:marRight w:val="0"/>
              <w:marTop w:val="0"/>
              <w:marBottom w:val="0"/>
              <w:divBdr>
                <w:top w:val="none" w:sz="0" w:space="0" w:color="auto"/>
                <w:left w:val="none" w:sz="0" w:space="0" w:color="auto"/>
                <w:bottom w:val="none" w:sz="0" w:space="0" w:color="auto"/>
                <w:right w:val="none" w:sz="0" w:space="0" w:color="auto"/>
              </w:divBdr>
            </w:div>
          </w:divsChild>
        </w:div>
        <w:div w:id="1720081689">
          <w:marLeft w:val="0"/>
          <w:marRight w:val="0"/>
          <w:marTop w:val="0"/>
          <w:marBottom w:val="0"/>
          <w:divBdr>
            <w:top w:val="none" w:sz="0" w:space="0" w:color="auto"/>
            <w:left w:val="none" w:sz="0" w:space="0" w:color="auto"/>
            <w:bottom w:val="none" w:sz="0" w:space="0" w:color="auto"/>
            <w:right w:val="none" w:sz="0" w:space="0" w:color="auto"/>
          </w:divBdr>
        </w:div>
        <w:div w:id="785659508">
          <w:marLeft w:val="0"/>
          <w:marRight w:val="0"/>
          <w:marTop w:val="0"/>
          <w:marBottom w:val="0"/>
          <w:divBdr>
            <w:top w:val="none" w:sz="0" w:space="0" w:color="auto"/>
            <w:left w:val="none" w:sz="0" w:space="0" w:color="auto"/>
            <w:bottom w:val="none" w:sz="0" w:space="0" w:color="auto"/>
            <w:right w:val="none" w:sz="0" w:space="0" w:color="auto"/>
          </w:divBdr>
        </w:div>
        <w:div w:id="231501645">
          <w:marLeft w:val="0"/>
          <w:marRight w:val="0"/>
          <w:marTop w:val="0"/>
          <w:marBottom w:val="0"/>
          <w:divBdr>
            <w:top w:val="none" w:sz="0" w:space="0" w:color="auto"/>
            <w:left w:val="none" w:sz="0" w:space="0" w:color="auto"/>
            <w:bottom w:val="none" w:sz="0" w:space="0" w:color="auto"/>
            <w:right w:val="none" w:sz="0" w:space="0" w:color="auto"/>
          </w:divBdr>
        </w:div>
      </w:divsChild>
    </w:div>
    <w:div w:id="282078434">
      <w:bodyDiv w:val="1"/>
      <w:marLeft w:val="0"/>
      <w:marRight w:val="0"/>
      <w:marTop w:val="0"/>
      <w:marBottom w:val="0"/>
      <w:divBdr>
        <w:top w:val="none" w:sz="0" w:space="0" w:color="auto"/>
        <w:left w:val="none" w:sz="0" w:space="0" w:color="auto"/>
        <w:bottom w:val="none" w:sz="0" w:space="0" w:color="auto"/>
        <w:right w:val="none" w:sz="0" w:space="0" w:color="auto"/>
      </w:divBdr>
    </w:div>
    <w:div w:id="282157653">
      <w:bodyDiv w:val="1"/>
      <w:marLeft w:val="0"/>
      <w:marRight w:val="0"/>
      <w:marTop w:val="0"/>
      <w:marBottom w:val="0"/>
      <w:divBdr>
        <w:top w:val="none" w:sz="0" w:space="0" w:color="auto"/>
        <w:left w:val="none" w:sz="0" w:space="0" w:color="auto"/>
        <w:bottom w:val="none" w:sz="0" w:space="0" w:color="auto"/>
        <w:right w:val="none" w:sz="0" w:space="0" w:color="auto"/>
      </w:divBdr>
    </w:div>
    <w:div w:id="320547356">
      <w:bodyDiv w:val="1"/>
      <w:marLeft w:val="0"/>
      <w:marRight w:val="0"/>
      <w:marTop w:val="0"/>
      <w:marBottom w:val="0"/>
      <w:divBdr>
        <w:top w:val="none" w:sz="0" w:space="0" w:color="auto"/>
        <w:left w:val="none" w:sz="0" w:space="0" w:color="auto"/>
        <w:bottom w:val="none" w:sz="0" w:space="0" w:color="auto"/>
        <w:right w:val="none" w:sz="0" w:space="0" w:color="auto"/>
      </w:divBdr>
      <w:divsChild>
        <w:div w:id="191346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89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0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35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999770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46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44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360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8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732740">
      <w:bodyDiv w:val="1"/>
      <w:marLeft w:val="0"/>
      <w:marRight w:val="0"/>
      <w:marTop w:val="0"/>
      <w:marBottom w:val="0"/>
      <w:divBdr>
        <w:top w:val="none" w:sz="0" w:space="0" w:color="auto"/>
        <w:left w:val="none" w:sz="0" w:space="0" w:color="auto"/>
        <w:bottom w:val="none" w:sz="0" w:space="0" w:color="auto"/>
        <w:right w:val="none" w:sz="0" w:space="0" w:color="auto"/>
      </w:divBdr>
    </w:div>
    <w:div w:id="346368036">
      <w:bodyDiv w:val="1"/>
      <w:marLeft w:val="0"/>
      <w:marRight w:val="0"/>
      <w:marTop w:val="0"/>
      <w:marBottom w:val="0"/>
      <w:divBdr>
        <w:top w:val="none" w:sz="0" w:space="0" w:color="auto"/>
        <w:left w:val="none" w:sz="0" w:space="0" w:color="auto"/>
        <w:bottom w:val="none" w:sz="0" w:space="0" w:color="auto"/>
        <w:right w:val="none" w:sz="0" w:space="0" w:color="auto"/>
      </w:divBdr>
      <w:divsChild>
        <w:div w:id="1562524495">
          <w:marLeft w:val="0"/>
          <w:marRight w:val="0"/>
          <w:marTop w:val="0"/>
          <w:marBottom w:val="0"/>
          <w:divBdr>
            <w:top w:val="none" w:sz="0" w:space="0" w:color="auto"/>
            <w:left w:val="none" w:sz="0" w:space="0" w:color="auto"/>
            <w:bottom w:val="none" w:sz="0" w:space="0" w:color="auto"/>
            <w:right w:val="none" w:sz="0" w:space="0" w:color="auto"/>
          </w:divBdr>
        </w:div>
        <w:div w:id="1487822427">
          <w:marLeft w:val="0"/>
          <w:marRight w:val="0"/>
          <w:marTop w:val="0"/>
          <w:marBottom w:val="0"/>
          <w:divBdr>
            <w:top w:val="none" w:sz="0" w:space="0" w:color="auto"/>
            <w:left w:val="none" w:sz="0" w:space="0" w:color="auto"/>
            <w:bottom w:val="none" w:sz="0" w:space="0" w:color="auto"/>
            <w:right w:val="none" w:sz="0" w:space="0" w:color="auto"/>
          </w:divBdr>
          <w:divsChild>
            <w:div w:id="1347512401">
              <w:marLeft w:val="0"/>
              <w:marRight w:val="0"/>
              <w:marTop w:val="0"/>
              <w:marBottom w:val="0"/>
              <w:divBdr>
                <w:top w:val="none" w:sz="0" w:space="0" w:color="auto"/>
                <w:left w:val="none" w:sz="0" w:space="0" w:color="auto"/>
                <w:bottom w:val="none" w:sz="0" w:space="0" w:color="auto"/>
                <w:right w:val="none" w:sz="0" w:space="0" w:color="auto"/>
              </w:divBdr>
            </w:div>
            <w:div w:id="165020948">
              <w:marLeft w:val="0"/>
              <w:marRight w:val="0"/>
              <w:marTop w:val="0"/>
              <w:marBottom w:val="0"/>
              <w:divBdr>
                <w:top w:val="none" w:sz="0" w:space="0" w:color="auto"/>
                <w:left w:val="none" w:sz="0" w:space="0" w:color="auto"/>
                <w:bottom w:val="none" w:sz="0" w:space="0" w:color="auto"/>
                <w:right w:val="none" w:sz="0" w:space="0" w:color="auto"/>
              </w:divBdr>
            </w:div>
          </w:divsChild>
        </w:div>
        <w:div w:id="2122139631">
          <w:marLeft w:val="0"/>
          <w:marRight w:val="0"/>
          <w:marTop w:val="0"/>
          <w:marBottom w:val="0"/>
          <w:divBdr>
            <w:top w:val="none" w:sz="0" w:space="0" w:color="auto"/>
            <w:left w:val="none" w:sz="0" w:space="0" w:color="auto"/>
            <w:bottom w:val="none" w:sz="0" w:space="0" w:color="auto"/>
            <w:right w:val="none" w:sz="0" w:space="0" w:color="auto"/>
          </w:divBdr>
        </w:div>
        <w:div w:id="1500659886">
          <w:marLeft w:val="0"/>
          <w:marRight w:val="0"/>
          <w:marTop w:val="0"/>
          <w:marBottom w:val="0"/>
          <w:divBdr>
            <w:top w:val="none" w:sz="0" w:space="0" w:color="auto"/>
            <w:left w:val="none" w:sz="0" w:space="0" w:color="auto"/>
            <w:bottom w:val="none" w:sz="0" w:space="0" w:color="auto"/>
            <w:right w:val="none" w:sz="0" w:space="0" w:color="auto"/>
          </w:divBdr>
          <w:divsChild>
            <w:div w:id="686172562">
              <w:marLeft w:val="0"/>
              <w:marRight w:val="0"/>
              <w:marTop w:val="0"/>
              <w:marBottom w:val="0"/>
              <w:divBdr>
                <w:top w:val="none" w:sz="0" w:space="0" w:color="auto"/>
                <w:left w:val="none" w:sz="0" w:space="0" w:color="auto"/>
                <w:bottom w:val="none" w:sz="0" w:space="0" w:color="auto"/>
                <w:right w:val="none" w:sz="0" w:space="0" w:color="auto"/>
              </w:divBdr>
            </w:div>
          </w:divsChild>
        </w:div>
        <w:div w:id="1670673359">
          <w:marLeft w:val="0"/>
          <w:marRight w:val="0"/>
          <w:marTop w:val="0"/>
          <w:marBottom w:val="0"/>
          <w:divBdr>
            <w:top w:val="none" w:sz="0" w:space="0" w:color="auto"/>
            <w:left w:val="none" w:sz="0" w:space="0" w:color="auto"/>
            <w:bottom w:val="none" w:sz="0" w:space="0" w:color="auto"/>
            <w:right w:val="none" w:sz="0" w:space="0" w:color="auto"/>
          </w:divBdr>
        </w:div>
        <w:div w:id="2131707676">
          <w:marLeft w:val="0"/>
          <w:marRight w:val="0"/>
          <w:marTop w:val="0"/>
          <w:marBottom w:val="0"/>
          <w:divBdr>
            <w:top w:val="none" w:sz="0" w:space="0" w:color="auto"/>
            <w:left w:val="none" w:sz="0" w:space="0" w:color="auto"/>
            <w:bottom w:val="none" w:sz="0" w:space="0" w:color="auto"/>
            <w:right w:val="none" w:sz="0" w:space="0" w:color="auto"/>
          </w:divBdr>
        </w:div>
        <w:div w:id="316299234">
          <w:marLeft w:val="0"/>
          <w:marRight w:val="0"/>
          <w:marTop w:val="0"/>
          <w:marBottom w:val="0"/>
          <w:divBdr>
            <w:top w:val="none" w:sz="0" w:space="0" w:color="auto"/>
            <w:left w:val="none" w:sz="0" w:space="0" w:color="auto"/>
            <w:bottom w:val="none" w:sz="0" w:space="0" w:color="auto"/>
            <w:right w:val="none" w:sz="0" w:space="0" w:color="auto"/>
          </w:divBdr>
        </w:div>
      </w:divsChild>
    </w:div>
    <w:div w:id="448166967">
      <w:bodyDiv w:val="1"/>
      <w:marLeft w:val="0"/>
      <w:marRight w:val="0"/>
      <w:marTop w:val="0"/>
      <w:marBottom w:val="0"/>
      <w:divBdr>
        <w:top w:val="none" w:sz="0" w:space="0" w:color="auto"/>
        <w:left w:val="none" w:sz="0" w:space="0" w:color="auto"/>
        <w:bottom w:val="none" w:sz="0" w:space="0" w:color="auto"/>
        <w:right w:val="none" w:sz="0" w:space="0" w:color="auto"/>
      </w:divBdr>
      <w:divsChild>
        <w:div w:id="1812358377">
          <w:marLeft w:val="0"/>
          <w:marRight w:val="0"/>
          <w:marTop w:val="0"/>
          <w:marBottom w:val="0"/>
          <w:divBdr>
            <w:top w:val="none" w:sz="0" w:space="0" w:color="auto"/>
            <w:left w:val="none" w:sz="0" w:space="0" w:color="auto"/>
            <w:bottom w:val="none" w:sz="0" w:space="0" w:color="auto"/>
            <w:right w:val="none" w:sz="0" w:space="0" w:color="auto"/>
          </w:divBdr>
        </w:div>
        <w:div w:id="1399134456">
          <w:marLeft w:val="0"/>
          <w:marRight w:val="0"/>
          <w:marTop w:val="0"/>
          <w:marBottom w:val="0"/>
          <w:divBdr>
            <w:top w:val="none" w:sz="0" w:space="0" w:color="auto"/>
            <w:left w:val="none" w:sz="0" w:space="0" w:color="auto"/>
            <w:bottom w:val="none" w:sz="0" w:space="0" w:color="auto"/>
            <w:right w:val="none" w:sz="0" w:space="0" w:color="auto"/>
          </w:divBdr>
        </w:div>
        <w:div w:id="1644962795">
          <w:marLeft w:val="0"/>
          <w:marRight w:val="0"/>
          <w:marTop w:val="0"/>
          <w:marBottom w:val="0"/>
          <w:divBdr>
            <w:top w:val="none" w:sz="0" w:space="0" w:color="auto"/>
            <w:left w:val="none" w:sz="0" w:space="0" w:color="auto"/>
            <w:bottom w:val="none" w:sz="0" w:space="0" w:color="auto"/>
            <w:right w:val="none" w:sz="0" w:space="0" w:color="auto"/>
          </w:divBdr>
        </w:div>
        <w:div w:id="183712155">
          <w:marLeft w:val="0"/>
          <w:marRight w:val="0"/>
          <w:marTop w:val="0"/>
          <w:marBottom w:val="0"/>
          <w:divBdr>
            <w:top w:val="none" w:sz="0" w:space="0" w:color="auto"/>
            <w:left w:val="none" w:sz="0" w:space="0" w:color="auto"/>
            <w:bottom w:val="none" w:sz="0" w:space="0" w:color="auto"/>
            <w:right w:val="none" w:sz="0" w:space="0" w:color="auto"/>
          </w:divBdr>
        </w:div>
      </w:divsChild>
    </w:div>
    <w:div w:id="467212128">
      <w:bodyDiv w:val="1"/>
      <w:marLeft w:val="0"/>
      <w:marRight w:val="0"/>
      <w:marTop w:val="0"/>
      <w:marBottom w:val="0"/>
      <w:divBdr>
        <w:top w:val="none" w:sz="0" w:space="0" w:color="auto"/>
        <w:left w:val="none" w:sz="0" w:space="0" w:color="auto"/>
        <w:bottom w:val="none" w:sz="0" w:space="0" w:color="auto"/>
        <w:right w:val="none" w:sz="0" w:space="0" w:color="auto"/>
      </w:divBdr>
    </w:div>
    <w:div w:id="507253588">
      <w:bodyDiv w:val="1"/>
      <w:marLeft w:val="0"/>
      <w:marRight w:val="0"/>
      <w:marTop w:val="0"/>
      <w:marBottom w:val="0"/>
      <w:divBdr>
        <w:top w:val="none" w:sz="0" w:space="0" w:color="auto"/>
        <w:left w:val="none" w:sz="0" w:space="0" w:color="auto"/>
        <w:bottom w:val="none" w:sz="0" w:space="0" w:color="auto"/>
        <w:right w:val="none" w:sz="0" w:space="0" w:color="auto"/>
      </w:divBdr>
    </w:div>
    <w:div w:id="520431610">
      <w:bodyDiv w:val="1"/>
      <w:marLeft w:val="0"/>
      <w:marRight w:val="0"/>
      <w:marTop w:val="0"/>
      <w:marBottom w:val="0"/>
      <w:divBdr>
        <w:top w:val="none" w:sz="0" w:space="0" w:color="auto"/>
        <w:left w:val="none" w:sz="0" w:space="0" w:color="auto"/>
        <w:bottom w:val="none" w:sz="0" w:space="0" w:color="auto"/>
        <w:right w:val="none" w:sz="0" w:space="0" w:color="auto"/>
      </w:divBdr>
    </w:div>
    <w:div w:id="521360377">
      <w:bodyDiv w:val="1"/>
      <w:marLeft w:val="0"/>
      <w:marRight w:val="0"/>
      <w:marTop w:val="0"/>
      <w:marBottom w:val="0"/>
      <w:divBdr>
        <w:top w:val="none" w:sz="0" w:space="0" w:color="auto"/>
        <w:left w:val="none" w:sz="0" w:space="0" w:color="auto"/>
        <w:bottom w:val="none" w:sz="0" w:space="0" w:color="auto"/>
        <w:right w:val="none" w:sz="0" w:space="0" w:color="auto"/>
      </w:divBdr>
    </w:div>
    <w:div w:id="521745090">
      <w:bodyDiv w:val="1"/>
      <w:marLeft w:val="0"/>
      <w:marRight w:val="0"/>
      <w:marTop w:val="0"/>
      <w:marBottom w:val="0"/>
      <w:divBdr>
        <w:top w:val="none" w:sz="0" w:space="0" w:color="auto"/>
        <w:left w:val="none" w:sz="0" w:space="0" w:color="auto"/>
        <w:bottom w:val="none" w:sz="0" w:space="0" w:color="auto"/>
        <w:right w:val="none" w:sz="0" w:space="0" w:color="auto"/>
      </w:divBdr>
    </w:div>
    <w:div w:id="563831560">
      <w:bodyDiv w:val="1"/>
      <w:marLeft w:val="0"/>
      <w:marRight w:val="0"/>
      <w:marTop w:val="0"/>
      <w:marBottom w:val="0"/>
      <w:divBdr>
        <w:top w:val="none" w:sz="0" w:space="0" w:color="auto"/>
        <w:left w:val="none" w:sz="0" w:space="0" w:color="auto"/>
        <w:bottom w:val="none" w:sz="0" w:space="0" w:color="auto"/>
        <w:right w:val="none" w:sz="0" w:space="0" w:color="auto"/>
      </w:divBdr>
    </w:div>
    <w:div w:id="633868596">
      <w:bodyDiv w:val="1"/>
      <w:marLeft w:val="0"/>
      <w:marRight w:val="0"/>
      <w:marTop w:val="0"/>
      <w:marBottom w:val="0"/>
      <w:divBdr>
        <w:top w:val="none" w:sz="0" w:space="0" w:color="auto"/>
        <w:left w:val="none" w:sz="0" w:space="0" w:color="auto"/>
        <w:bottom w:val="none" w:sz="0" w:space="0" w:color="auto"/>
        <w:right w:val="none" w:sz="0" w:space="0" w:color="auto"/>
      </w:divBdr>
    </w:div>
    <w:div w:id="646741272">
      <w:bodyDiv w:val="1"/>
      <w:marLeft w:val="0"/>
      <w:marRight w:val="0"/>
      <w:marTop w:val="0"/>
      <w:marBottom w:val="0"/>
      <w:divBdr>
        <w:top w:val="none" w:sz="0" w:space="0" w:color="auto"/>
        <w:left w:val="none" w:sz="0" w:space="0" w:color="auto"/>
        <w:bottom w:val="none" w:sz="0" w:space="0" w:color="auto"/>
        <w:right w:val="none" w:sz="0" w:space="0" w:color="auto"/>
      </w:divBdr>
    </w:div>
    <w:div w:id="686564308">
      <w:bodyDiv w:val="1"/>
      <w:marLeft w:val="0"/>
      <w:marRight w:val="0"/>
      <w:marTop w:val="0"/>
      <w:marBottom w:val="0"/>
      <w:divBdr>
        <w:top w:val="none" w:sz="0" w:space="0" w:color="auto"/>
        <w:left w:val="none" w:sz="0" w:space="0" w:color="auto"/>
        <w:bottom w:val="none" w:sz="0" w:space="0" w:color="auto"/>
        <w:right w:val="none" w:sz="0" w:space="0" w:color="auto"/>
      </w:divBdr>
    </w:div>
    <w:div w:id="687173044">
      <w:bodyDiv w:val="1"/>
      <w:marLeft w:val="0"/>
      <w:marRight w:val="0"/>
      <w:marTop w:val="0"/>
      <w:marBottom w:val="0"/>
      <w:divBdr>
        <w:top w:val="none" w:sz="0" w:space="0" w:color="auto"/>
        <w:left w:val="none" w:sz="0" w:space="0" w:color="auto"/>
        <w:bottom w:val="none" w:sz="0" w:space="0" w:color="auto"/>
        <w:right w:val="none" w:sz="0" w:space="0" w:color="auto"/>
      </w:divBdr>
      <w:divsChild>
        <w:div w:id="1053382720">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690381685">
      <w:bodyDiv w:val="1"/>
      <w:marLeft w:val="0"/>
      <w:marRight w:val="0"/>
      <w:marTop w:val="0"/>
      <w:marBottom w:val="0"/>
      <w:divBdr>
        <w:top w:val="none" w:sz="0" w:space="0" w:color="auto"/>
        <w:left w:val="none" w:sz="0" w:space="0" w:color="auto"/>
        <w:bottom w:val="none" w:sz="0" w:space="0" w:color="auto"/>
        <w:right w:val="none" w:sz="0" w:space="0" w:color="auto"/>
      </w:divBdr>
    </w:div>
    <w:div w:id="713576814">
      <w:bodyDiv w:val="1"/>
      <w:marLeft w:val="0"/>
      <w:marRight w:val="0"/>
      <w:marTop w:val="0"/>
      <w:marBottom w:val="0"/>
      <w:divBdr>
        <w:top w:val="none" w:sz="0" w:space="0" w:color="auto"/>
        <w:left w:val="none" w:sz="0" w:space="0" w:color="auto"/>
        <w:bottom w:val="none" w:sz="0" w:space="0" w:color="auto"/>
        <w:right w:val="none" w:sz="0" w:space="0" w:color="auto"/>
      </w:divBdr>
    </w:div>
    <w:div w:id="727804572">
      <w:bodyDiv w:val="1"/>
      <w:marLeft w:val="0"/>
      <w:marRight w:val="0"/>
      <w:marTop w:val="0"/>
      <w:marBottom w:val="0"/>
      <w:divBdr>
        <w:top w:val="none" w:sz="0" w:space="0" w:color="auto"/>
        <w:left w:val="none" w:sz="0" w:space="0" w:color="auto"/>
        <w:bottom w:val="none" w:sz="0" w:space="0" w:color="auto"/>
        <w:right w:val="none" w:sz="0" w:space="0" w:color="auto"/>
      </w:divBdr>
    </w:div>
    <w:div w:id="749886081">
      <w:bodyDiv w:val="1"/>
      <w:marLeft w:val="0"/>
      <w:marRight w:val="0"/>
      <w:marTop w:val="0"/>
      <w:marBottom w:val="0"/>
      <w:divBdr>
        <w:top w:val="none" w:sz="0" w:space="0" w:color="auto"/>
        <w:left w:val="none" w:sz="0" w:space="0" w:color="auto"/>
        <w:bottom w:val="none" w:sz="0" w:space="0" w:color="auto"/>
        <w:right w:val="none" w:sz="0" w:space="0" w:color="auto"/>
      </w:divBdr>
    </w:div>
    <w:div w:id="772169890">
      <w:bodyDiv w:val="1"/>
      <w:marLeft w:val="0"/>
      <w:marRight w:val="0"/>
      <w:marTop w:val="0"/>
      <w:marBottom w:val="0"/>
      <w:divBdr>
        <w:top w:val="none" w:sz="0" w:space="0" w:color="auto"/>
        <w:left w:val="none" w:sz="0" w:space="0" w:color="auto"/>
        <w:bottom w:val="none" w:sz="0" w:space="0" w:color="auto"/>
        <w:right w:val="none" w:sz="0" w:space="0" w:color="auto"/>
      </w:divBdr>
    </w:div>
    <w:div w:id="815099711">
      <w:bodyDiv w:val="1"/>
      <w:marLeft w:val="0"/>
      <w:marRight w:val="0"/>
      <w:marTop w:val="0"/>
      <w:marBottom w:val="0"/>
      <w:divBdr>
        <w:top w:val="none" w:sz="0" w:space="0" w:color="auto"/>
        <w:left w:val="none" w:sz="0" w:space="0" w:color="auto"/>
        <w:bottom w:val="none" w:sz="0" w:space="0" w:color="auto"/>
        <w:right w:val="none" w:sz="0" w:space="0" w:color="auto"/>
      </w:divBdr>
      <w:divsChild>
        <w:div w:id="285039663">
          <w:marLeft w:val="0"/>
          <w:marRight w:val="0"/>
          <w:marTop w:val="0"/>
          <w:marBottom w:val="0"/>
          <w:divBdr>
            <w:top w:val="none" w:sz="0" w:space="0" w:color="auto"/>
            <w:left w:val="none" w:sz="0" w:space="0" w:color="auto"/>
            <w:bottom w:val="none" w:sz="0" w:space="0" w:color="auto"/>
            <w:right w:val="none" w:sz="0" w:space="0" w:color="auto"/>
          </w:divBdr>
        </w:div>
        <w:div w:id="669062780">
          <w:marLeft w:val="0"/>
          <w:marRight w:val="0"/>
          <w:marTop w:val="0"/>
          <w:marBottom w:val="0"/>
          <w:divBdr>
            <w:top w:val="none" w:sz="0" w:space="0" w:color="auto"/>
            <w:left w:val="none" w:sz="0" w:space="0" w:color="auto"/>
            <w:bottom w:val="none" w:sz="0" w:space="0" w:color="auto"/>
            <w:right w:val="none" w:sz="0" w:space="0" w:color="auto"/>
          </w:divBdr>
        </w:div>
        <w:div w:id="2087653688">
          <w:marLeft w:val="0"/>
          <w:marRight w:val="0"/>
          <w:marTop w:val="450"/>
          <w:marBottom w:val="0"/>
          <w:divBdr>
            <w:top w:val="none" w:sz="0" w:space="0" w:color="auto"/>
            <w:left w:val="none" w:sz="0" w:space="0" w:color="auto"/>
            <w:bottom w:val="none" w:sz="0" w:space="0" w:color="auto"/>
            <w:right w:val="none" w:sz="0" w:space="0" w:color="auto"/>
          </w:divBdr>
          <w:divsChild>
            <w:div w:id="1181158887">
              <w:marLeft w:val="105"/>
              <w:marRight w:val="105"/>
              <w:marTop w:val="105"/>
              <w:marBottom w:val="105"/>
              <w:divBdr>
                <w:top w:val="none" w:sz="0" w:space="0" w:color="auto"/>
                <w:left w:val="none" w:sz="0" w:space="0" w:color="auto"/>
                <w:bottom w:val="none" w:sz="0" w:space="0" w:color="auto"/>
                <w:right w:val="none" w:sz="0" w:space="0" w:color="auto"/>
              </w:divBdr>
              <w:divsChild>
                <w:div w:id="730813073">
                  <w:marLeft w:val="0"/>
                  <w:marRight w:val="0"/>
                  <w:marTop w:val="0"/>
                  <w:marBottom w:val="0"/>
                  <w:divBdr>
                    <w:top w:val="none" w:sz="0" w:space="0" w:color="auto"/>
                    <w:left w:val="none" w:sz="0" w:space="0" w:color="auto"/>
                    <w:bottom w:val="none" w:sz="0" w:space="0" w:color="auto"/>
                    <w:right w:val="none" w:sz="0" w:space="0" w:color="auto"/>
                  </w:divBdr>
                </w:div>
                <w:div w:id="432360462">
                  <w:marLeft w:val="840"/>
                  <w:marRight w:val="0"/>
                  <w:marTop w:val="0"/>
                  <w:marBottom w:val="0"/>
                  <w:divBdr>
                    <w:top w:val="none" w:sz="0" w:space="0" w:color="auto"/>
                    <w:left w:val="none" w:sz="0" w:space="0" w:color="auto"/>
                    <w:bottom w:val="none" w:sz="0" w:space="0" w:color="auto"/>
                    <w:right w:val="none" w:sz="0" w:space="0" w:color="auto"/>
                  </w:divBdr>
                </w:div>
              </w:divsChild>
            </w:div>
            <w:div w:id="1570724887">
              <w:marLeft w:val="105"/>
              <w:marRight w:val="105"/>
              <w:marTop w:val="105"/>
              <w:marBottom w:val="105"/>
              <w:divBdr>
                <w:top w:val="none" w:sz="0" w:space="0" w:color="auto"/>
                <w:left w:val="none" w:sz="0" w:space="0" w:color="auto"/>
                <w:bottom w:val="none" w:sz="0" w:space="0" w:color="auto"/>
                <w:right w:val="none" w:sz="0" w:space="0" w:color="auto"/>
              </w:divBdr>
              <w:divsChild>
                <w:div w:id="1641033937">
                  <w:marLeft w:val="0"/>
                  <w:marRight w:val="0"/>
                  <w:marTop w:val="0"/>
                  <w:marBottom w:val="0"/>
                  <w:divBdr>
                    <w:top w:val="none" w:sz="0" w:space="0" w:color="auto"/>
                    <w:left w:val="none" w:sz="0" w:space="0" w:color="auto"/>
                    <w:bottom w:val="none" w:sz="0" w:space="0" w:color="auto"/>
                    <w:right w:val="none" w:sz="0" w:space="0" w:color="auto"/>
                  </w:divBdr>
                </w:div>
                <w:div w:id="14284233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152">
      <w:bodyDiv w:val="1"/>
      <w:marLeft w:val="0"/>
      <w:marRight w:val="0"/>
      <w:marTop w:val="0"/>
      <w:marBottom w:val="0"/>
      <w:divBdr>
        <w:top w:val="none" w:sz="0" w:space="0" w:color="auto"/>
        <w:left w:val="none" w:sz="0" w:space="0" w:color="auto"/>
        <w:bottom w:val="none" w:sz="0" w:space="0" w:color="auto"/>
        <w:right w:val="none" w:sz="0" w:space="0" w:color="auto"/>
      </w:divBdr>
    </w:div>
    <w:div w:id="852888636">
      <w:bodyDiv w:val="1"/>
      <w:marLeft w:val="0"/>
      <w:marRight w:val="0"/>
      <w:marTop w:val="0"/>
      <w:marBottom w:val="0"/>
      <w:divBdr>
        <w:top w:val="none" w:sz="0" w:space="0" w:color="auto"/>
        <w:left w:val="none" w:sz="0" w:space="0" w:color="auto"/>
        <w:bottom w:val="none" w:sz="0" w:space="0" w:color="auto"/>
        <w:right w:val="none" w:sz="0" w:space="0" w:color="auto"/>
      </w:divBdr>
      <w:divsChild>
        <w:div w:id="1487472846">
          <w:marLeft w:val="0"/>
          <w:marRight w:val="0"/>
          <w:marTop w:val="0"/>
          <w:marBottom w:val="0"/>
          <w:divBdr>
            <w:top w:val="none" w:sz="0" w:space="11" w:color="auto"/>
            <w:left w:val="none" w:sz="0" w:space="0" w:color="auto"/>
            <w:bottom w:val="single" w:sz="6" w:space="11" w:color="E4E4E4"/>
            <w:right w:val="none" w:sz="0" w:space="0" w:color="auto"/>
          </w:divBdr>
          <w:divsChild>
            <w:div w:id="1136339653">
              <w:marLeft w:val="1125"/>
              <w:marRight w:val="225"/>
              <w:marTop w:val="0"/>
              <w:marBottom w:val="0"/>
              <w:divBdr>
                <w:top w:val="none" w:sz="0" w:space="0" w:color="auto"/>
                <w:left w:val="none" w:sz="0" w:space="0" w:color="auto"/>
                <w:bottom w:val="none" w:sz="0" w:space="0" w:color="auto"/>
                <w:right w:val="none" w:sz="0" w:space="0" w:color="auto"/>
              </w:divBdr>
              <w:divsChild>
                <w:div w:id="16292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6537">
          <w:marLeft w:val="0"/>
          <w:marRight w:val="0"/>
          <w:marTop w:val="0"/>
          <w:marBottom w:val="0"/>
          <w:divBdr>
            <w:top w:val="none" w:sz="0" w:space="0" w:color="auto"/>
            <w:left w:val="none" w:sz="0" w:space="0" w:color="auto"/>
            <w:bottom w:val="none" w:sz="0" w:space="0" w:color="auto"/>
            <w:right w:val="none" w:sz="0" w:space="0" w:color="auto"/>
          </w:divBdr>
          <w:divsChild>
            <w:div w:id="1954824166">
              <w:blockQuote w:val="1"/>
              <w:marLeft w:val="450"/>
              <w:marRight w:val="450"/>
              <w:marTop w:val="0"/>
              <w:marBottom w:val="0"/>
              <w:divBdr>
                <w:top w:val="none" w:sz="0" w:space="0" w:color="auto"/>
                <w:left w:val="none" w:sz="0" w:space="0" w:color="auto"/>
                <w:bottom w:val="none" w:sz="0" w:space="0" w:color="auto"/>
                <w:right w:val="none" w:sz="0" w:space="0" w:color="auto"/>
              </w:divBdr>
            </w:div>
            <w:div w:id="1787579447">
              <w:blockQuote w:val="1"/>
              <w:marLeft w:val="450"/>
              <w:marRight w:val="450"/>
              <w:marTop w:val="0"/>
              <w:marBottom w:val="0"/>
              <w:divBdr>
                <w:top w:val="none" w:sz="0" w:space="0" w:color="auto"/>
                <w:left w:val="none" w:sz="0" w:space="0" w:color="auto"/>
                <w:bottom w:val="none" w:sz="0" w:space="0" w:color="auto"/>
                <w:right w:val="none" w:sz="0" w:space="0" w:color="auto"/>
              </w:divBdr>
            </w:div>
            <w:div w:id="1997106062">
              <w:blockQuote w:val="1"/>
              <w:marLeft w:val="450"/>
              <w:marRight w:val="450"/>
              <w:marTop w:val="0"/>
              <w:marBottom w:val="0"/>
              <w:divBdr>
                <w:top w:val="none" w:sz="0" w:space="0" w:color="auto"/>
                <w:left w:val="none" w:sz="0" w:space="0" w:color="auto"/>
                <w:bottom w:val="none" w:sz="0" w:space="0" w:color="auto"/>
                <w:right w:val="none" w:sz="0" w:space="0" w:color="auto"/>
              </w:divBdr>
            </w:div>
            <w:div w:id="1562715466">
              <w:blockQuote w:val="1"/>
              <w:marLeft w:val="450"/>
              <w:marRight w:val="450"/>
              <w:marTop w:val="0"/>
              <w:marBottom w:val="0"/>
              <w:divBdr>
                <w:top w:val="none" w:sz="0" w:space="0" w:color="auto"/>
                <w:left w:val="none" w:sz="0" w:space="0" w:color="auto"/>
                <w:bottom w:val="none" w:sz="0" w:space="0" w:color="auto"/>
                <w:right w:val="none" w:sz="0" w:space="0" w:color="auto"/>
              </w:divBdr>
            </w:div>
            <w:div w:id="414716565">
              <w:blockQuote w:val="1"/>
              <w:marLeft w:val="450"/>
              <w:marRight w:val="450"/>
              <w:marTop w:val="0"/>
              <w:marBottom w:val="0"/>
              <w:divBdr>
                <w:top w:val="none" w:sz="0" w:space="0" w:color="auto"/>
                <w:left w:val="none" w:sz="0" w:space="0" w:color="auto"/>
                <w:bottom w:val="none" w:sz="0" w:space="0" w:color="auto"/>
                <w:right w:val="none" w:sz="0" w:space="0" w:color="auto"/>
              </w:divBdr>
            </w:div>
            <w:div w:id="152150362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861091525">
      <w:bodyDiv w:val="1"/>
      <w:marLeft w:val="0"/>
      <w:marRight w:val="0"/>
      <w:marTop w:val="0"/>
      <w:marBottom w:val="0"/>
      <w:divBdr>
        <w:top w:val="none" w:sz="0" w:space="0" w:color="auto"/>
        <w:left w:val="none" w:sz="0" w:space="0" w:color="auto"/>
        <w:bottom w:val="none" w:sz="0" w:space="0" w:color="auto"/>
        <w:right w:val="none" w:sz="0" w:space="0" w:color="auto"/>
      </w:divBdr>
    </w:div>
    <w:div w:id="867258293">
      <w:bodyDiv w:val="1"/>
      <w:marLeft w:val="0"/>
      <w:marRight w:val="0"/>
      <w:marTop w:val="0"/>
      <w:marBottom w:val="0"/>
      <w:divBdr>
        <w:top w:val="none" w:sz="0" w:space="0" w:color="auto"/>
        <w:left w:val="none" w:sz="0" w:space="0" w:color="auto"/>
        <w:bottom w:val="none" w:sz="0" w:space="0" w:color="auto"/>
        <w:right w:val="none" w:sz="0" w:space="0" w:color="auto"/>
      </w:divBdr>
    </w:div>
    <w:div w:id="886599453">
      <w:bodyDiv w:val="1"/>
      <w:marLeft w:val="0"/>
      <w:marRight w:val="0"/>
      <w:marTop w:val="0"/>
      <w:marBottom w:val="0"/>
      <w:divBdr>
        <w:top w:val="none" w:sz="0" w:space="0" w:color="auto"/>
        <w:left w:val="none" w:sz="0" w:space="0" w:color="auto"/>
        <w:bottom w:val="none" w:sz="0" w:space="0" w:color="auto"/>
        <w:right w:val="none" w:sz="0" w:space="0" w:color="auto"/>
      </w:divBdr>
    </w:div>
    <w:div w:id="909996725">
      <w:bodyDiv w:val="1"/>
      <w:marLeft w:val="0"/>
      <w:marRight w:val="0"/>
      <w:marTop w:val="0"/>
      <w:marBottom w:val="0"/>
      <w:divBdr>
        <w:top w:val="none" w:sz="0" w:space="0" w:color="auto"/>
        <w:left w:val="none" w:sz="0" w:space="0" w:color="auto"/>
        <w:bottom w:val="none" w:sz="0" w:space="0" w:color="auto"/>
        <w:right w:val="none" w:sz="0" w:space="0" w:color="auto"/>
      </w:divBdr>
      <w:divsChild>
        <w:div w:id="3612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470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113581">
      <w:bodyDiv w:val="1"/>
      <w:marLeft w:val="0"/>
      <w:marRight w:val="0"/>
      <w:marTop w:val="0"/>
      <w:marBottom w:val="0"/>
      <w:divBdr>
        <w:top w:val="none" w:sz="0" w:space="0" w:color="auto"/>
        <w:left w:val="none" w:sz="0" w:space="0" w:color="auto"/>
        <w:bottom w:val="none" w:sz="0" w:space="0" w:color="auto"/>
        <w:right w:val="none" w:sz="0" w:space="0" w:color="auto"/>
      </w:divBdr>
    </w:div>
    <w:div w:id="911431955">
      <w:bodyDiv w:val="1"/>
      <w:marLeft w:val="0"/>
      <w:marRight w:val="0"/>
      <w:marTop w:val="0"/>
      <w:marBottom w:val="0"/>
      <w:divBdr>
        <w:top w:val="none" w:sz="0" w:space="0" w:color="auto"/>
        <w:left w:val="none" w:sz="0" w:space="0" w:color="auto"/>
        <w:bottom w:val="none" w:sz="0" w:space="0" w:color="auto"/>
        <w:right w:val="none" w:sz="0" w:space="0" w:color="auto"/>
      </w:divBdr>
    </w:div>
    <w:div w:id="933591861">
      <w:bodyDiv w:val="1"/>
      <w:marLeft w:val="0"/>
      <w:marRight w:val="0"/>
      <w:marTop w:val="0"/>
      <w:marBottom w:val="0"/>
      <w:divBdr>
        <w:top w:val="none" w:sz="0" w:space="0" w:color="auto"/>
        <w:left w:val="none" w:sz="0" w:space="0" w:color="auto"/>
        <w:bottom w:val="none" w:sz="0" w:space="0" w:color="auto"/>
        <w:right w:val="none" w:sz="0" w:space="0" w:color="auto"/>
      </w:divBdr>
      <w:divsChild>
        <w:div w:id="228348488">
          <w:marLeft w:val="0"/>
          <w:marRight w:val="0"/>
          <w:marTop w:val="0"/>
          <w:marBottom w:val="0"/>
          <w:divBdr>
            <w:top w:val="none" w:sz="0" w:space="0" w:color="auto"/>
            <w:left w:val="none" w:sz="0" w:space="0" w:color="auto"/>
            <w:bottom w:val="none" w:sz="0" w:space="0" w:color="auto"/>
            <w:right w:val="none" w:sz="0" w:space="0" w:color="auto"/>
          </w:divBdr>
        </w:div>
      </w:divsChild>
    </w:div>
    <w:div w:id="933898368">
      <w:bodyDiv w:val="1"/>
      <w:marLeft w:val="0"/>
      <w:marRight w:val="0"/>
      <w:marTop w:val="0"/>
      <w:marBottom w:val="0"/>
      <w:divBdr>
        <w:top w:val="none" w:sz="0" w:space="0" w:color="auto"/>
        <w:left w:val="none" w:sz="0" w:space="0" w:color="auto"/>
        <w:bottom w:val="none" w:sz="0" w:space="0" w:color="auto"/>
        <w:right w:val="none" w:sz="0" w:space="0" w:color="auto"/>
      </w:divBdr>
      <w:divsChild>
        <w:div w:id="770245794">
          <w:marLeft w:val="0"/>
          <w:marRight w:val="0"/>
          <w:marTop w:val="0"/>
          <w:marBottom w:val="0"/>
          <w:divBdr>
            <w:top w:val="none" w:sz="0" w:space="0" w:color="auto"/>
            <w:left w:val="none" w:sz="0" w:space="0" w:color="auto"/>
            <w:bottom w:val="none" w:sz="0" w:space="0" w:color="auto"/>
            <w:right w:val="none" w:sz="0" w:space="0" w:color="auto"/>
          </w:divBdr>
          <w:divsChild>
            <w:div w:id="1679653811">
              <w:marLeft w:val="0"/>
              <w:marRight w:val="0"/>
              <w:marTop w:val="0"/>
              <w:marBottom w:val="0"/>
              <w:divBdr>
                <w:top w:val="none" w:sz="0" w:space="0" w:color="auto"/>
                <w:left w:val="none" w:sz="0" w:space="0" w:color="auto"/>
                <w:bottom w:val="none" w:sz="0" w:space="0" w:color="auto"/>
                <w:right w:val="none" w:sz="0" w:space="0" w:color="auto"/>
              </w:divBdr>
            </w:div>
            <w:div w:id="212738164">
              <w:marLeft w:val="0"/>
              <w:marRight w:val="0"/>
              <w:marTop w:val="0"/>
              <w:marBottom w:val="0"/>
              <w:divBdr>
                <w:top w:val="none" w:sz="0" w:space="0" w:color="auto"/>
                <w:left w:val="none" w:sz="0" w:space="0" w:color="auto"/>
                <w:bottom w:val="none" w:sz="0" w:space="0" w:color="auto"/>
                <w:right w:val="none" w:sz="0" w:space="0" w:color="auto"/>
              </w:divBdr>
              <w:divsChild>
                <w:div w:id="1924945316">
                  <w:blockQuote w:val="1"/>
                  <w:marLeft w:val="450"/>
                  <w:marRight w:val="450"/>
                  <w:marTop w:val="0"/>
                  <w:marBottom w:val="0"/>
                  <w:divBdr>
                    <w:top w:val="none" w:sz="0" w:space="0" w:color="auto"/>
                    <w:left w:val="none" w:sz="0" w:space="0" w:color="auto"/>
                    <w:bottom w:val="none" w:sz="0" w:space="0" w:color="auto"/>
                    <w:right w:val="none" w:sz="0" w:space="0" w:color="auto"/>
                  </w:divBdr>
                  <w:divsChild>
                    <w:div w:id="957494879">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79337677">
                  <w:blockQuote w:val="1"/>
                  <w:marLeft w:val="450"/>
                  <w:marRight w:val="450"/>
                  <w:marTop w:val="0"/>
                  <w:marBottom w:val="0"/>
                  <w:divBdr>
                    <w:top w:val="none" w:sz="0" w:space="0" w:color="auto"/>
                    <w:left w:val="none" w:sz="0" w:space="0" w:color="auto"/>
                    <w:bottom w:val="none" w:sz="0" w:space="0" w:color="auto"/>
                    <w:right w:val="none" w:sz="0" w:space="0" w:color="auto"/>
                  </w:divBdr>
                  <w:divsChild>
                    <w:div w:id="40738663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956595335">
                  <w:blockQuote w:val="1"/>
                  <w:marLeft w:val="450"/>
                  <w:marRight w:val="450"/>
                  <w:marTop w:val="0"/>
                  <w:marBottom w:val="0"/>
                  <w:divBdr>
                    <w:top w:val="none" w:sz="0" w:space="0" w:color="auto"/>
                    <w:left w:val="none" w:sz="0" w:space="0" w:color="auto"/>
                    <w:bottom w:val="none" w:sz="0" w:space="0" w:color="auto"/>
                    <w:right w:val="none" w:sz="0" w:space="0" w:color="auto"/>
                  </w:divBdr>
                  <w:divsChild>
                    <w:div w:id="132982233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28997743">
                  <w:blockQuote w:val="1"/>
                  <w:marLeft w:val="450"/>
                  <w:marRight w:val="450"/>
                  <w:marTop w:val="0"/>
                  <w:marBottom w:val="0"/>
                  <w:divBdr>
                    <w:top w:val="none" w:sz="0" w:space="0" w:color="auto"/>
                    <w:left w:val="none" w:sz="0" w:space="0" w:color="auto"/>
                    <w:bottom w:val="none" w:sz="0" w:space="0" w:color="auto"/>
                    <w:right w:val="none" w:sz="0" w:space="0" w:color="auto"/>
                  </w:divBdr>
                  <w:divsChild>
                    <w:div w:id="117827413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771052677">
                  <w:blockQuote w:val="1"/>
                  <w:marLeft w:val="450"/>
                  <w:marRight w:val="450"/>
                  <w:marTop w:val="0"/>
                  <w:marBottom w:val="0"/>
                  <w:divBdr>
                    <w:top w:val="none" w:sz="0" w:space="0" w:color="auto"/>
                    <w:left w:val="none" w:sz="0" w:space="0" w:color="auto"/>
                    <w:bottom w:val="none" w:sz="0" w:space="0" w:color="auto"/>
                    <w:right w:val="none" w:sz="0" w:space="0" w:color="auto"/>
                  </w:divBdr>
                  <w:divsChild>
                    <w:div w:id="345593686">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418717469">
              <w:marLeft w:val="0"/>
              <w:marRight w:val="0"/>
              <w:marTop w:val="0"/>
              <w:marBottom w:val="0"/>
              <w:divBdr>
                <w:top w:val="none" w:sz="0" w:space="0" w:color="auto"/>
                <w:left w:val="none" w:sz="0" w:space="0" w:color="auto"/>
                <w:bottom w:val="none" w:sz="0" w:space="0" w:color="auto"/>
                <w:right w:val="none" w:sz="0" w:space="0" w:color="auto"/>
              </w:divBdr>
            </w:div>
            <w:div w:id="502748020">
              <w:marLeft w:val="0"/>
              <w:marRight w:val="0"/>
              <w:marTop w:val="0"/>
              <w:marBottom w:val="0"/>
              <w:divBdr>
                <w:top w:val="none" w:sz="0" w:space="0" w:color="auto"/>
                <w:left w:val="none" w:sz="0" w:space="0" w:color="auto"/>
                <w:bottom w:val="none" w:sz="0" w:space="0" w:color="auto"/>
                <w:right w:val="none" w:sz="0" w:space="0" w:color="auto"/>
              </w:divBdr>
              <w:divsChild>
                <w:div w:id="600722234">
                  <w:blockQuote w:val="1"/>
                  <w:marLeft w:val="450"/>
                  <w:marRight w:val="450"/>
                  <w:marTop w:val="0"/>
                  <w:marBottom w:val="0"/>
                  <w:divBdr>
                    <w:top w:val="none" w:sz="0" w:space="0" w:color="auto"/>
                    <w:left w:val="none" w:sz="0" w:space="0" w:color="auto"/>
                    <w:bottom w:val="none" w:sz="0" w:space="0" w:color="auto"/>
                    <w:right w:val="none" w:sz="0" w:space="0" w:color="auto"/>
                  </w:divBdr>
                  <w:divsChild>
                    <w:div w:id="84779168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508402524">
                  <w:blockQuote w:val="1"/>
                  <w:marLeft w:val="450"/>
                  <w:marRight w:val="450"/>
                  <w:marTop w:val="0"/>
                  <w:marBottom w:val="0"/>
                  <w:divBdr>
                    <w:top w:val="none" w:sz="0" w:space="0" w:color="auto"/>
                    <w:left w:val="none" w:sz="0" w:space="0" w:color="auto"/>
                    <w:bottom w:val="none" w:sz="0" w:space="0" w:color="auto"/>
                    <w:right w:val="none" w:sz="0" w:space="0" w:color="auto"/>
                  </w:divBdr>
                  <w:divsChild>
                    <w:div w:id="270861541">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822238316">
              <w:marLeft w:val="0"/>
              <w:marRight w:val="0"/>
              <w:marTop w:val="0"/>
              <w:marBottom w:val="0"/>
              <w:divBdr>
                <w:top w:val="none" w:sz="0" w:space="0" w:color="auto"/>
                <w:left w:val="none" w:sz="0" w:space="0" w:color="auto"/>
                <w:bottom w:val="none" w:sz="0" w:space="0" w:color="auto"/>
                <w:right w:val="none" w:sz="0" w:space="0" w:color="auto"/>
              </w:divBdr>
            </w:div>
            <w:div w:id="1289506666">
              <w:marLeft w:val="0"/>
              <w:marRight w:val="0"/>
              <w:marTop w:val="0"/>
              <w:marBottom w:val="0"/>
              <w:divBdr>
                <w:top w:val="none" w:sz="0" w:space="0" w:color="auto"/>
                <w:left w:val="none" w:sz="0" w:space="0" w:color="auto"/>
                <w:bottom w:val="none" w:sz="0" w:space="0" w:color="auto"/>
                <w:right w:val="none" w:sz="0" w:space="0" w:color="auto"/>
              </w:divBdr>
            </w:div>
            <w:div w:id="895973060">
              <w:marLeft w:val="0"/>
              <w:marRight w:val="0"/>
              <w:marTop w:val="0"/>
              <w:marBottom w:val="0"/>
              <w:divBdr>
                <w:top w:val="none" w:sz="0" w:space="0" w:color="auto"/>
                <w:left w:val="none" w:sz="0" w:space="0" w:color="auto"/>
                <w:bottom w:val="none" w:sz="0" w:space="0" w:color="auto"/>
                <w:right w:val="none" w:sz="0" w:space="0" w:color="auto"/>
              </w:divBdr>
            </w:div>
            <w:div w:id="597951016">
              <w:marLeft w:val="0"/>
              <w:marRight w:val="0"/>
              <w:marTop w:val="0"/>
              <w:marBottom w:val="0"/>
              <w:divBdr>
                <w:top w:val="none" w:sz="0" w:space="0" w:color="auto"/>
                <w:left w:val="none" w:sz="0" w:space="0" w:color="auto"/>
                <w:bottom w:val="none" w:sz="0" w:space="0" w:color="auto"/>
                <w:right w:val="none" w:sz="0" w:space="0" w:color="auto"/>
              </w:divBdr>
              <w:divsChild>
                <w:div w:id="1918632821">
                  <w:marLeft w:val="0"/>
                  <w:marRight w:val="0"/>
                  <w:marTop w:val="0"/>
                  <w:marBottom w:val="150"/>
                  <w:divBdr>
                    <w:top w:val="single" w:sz="6" w:space="8" w:color="BBBEC0"/>
                    <w:left w:val="single" w:sz="6" w:space="8" w:color="BBBEC0"/>
                    <w:bottom w:val="single" w:sz="6" w:space="8" w:color="BBBEC0"/>
                    <w:right w:val="single" w:sz="6" w:space="8" w:color="BBBEC0"/>
                  </w:divBdr>
                </w:div>
              </w:divsChild>
            </w:div>
          </w:divsChild>
        </w:div>
        <w:div w:id="1715958396">
          <w:marLeft w:val="300"/>
          <w:marRight w:val="0"/>
          <w:marTop w:val="0"/>
          <w:marBottom w:val="0"/>
          <w:divBdr>
            <w:top w:val="none" w:sz="0" w:space="0" w:color="auto"/>
            <w:left w:val="none" w:sz="0" w:space="0" w:color="auto"/>
            <w:bottom w:val="none" w:sz="0" w:space="0" w:color="auto"/>
            <w:right w:val="none" w:sz="0" w:space="0" w:color="auto"/>
          </w:divBdr>
        </w:div>
        <w:div w:id="965619119">
          <w:marLeft w:val="0"/>
          <w:marRight w:val="300"/>
          <w:marTop w:val="0"/>
          <w:marBottom w:val="0"/>
          <w:divBdr>
            <w:top w:val="none" w:sz="0" w:space="0" w:color="auto"/>
            <w:left w:val="none" w:sz="0" w:space="0" w:color="auto"/>
            <w:bottom w:val="none" w:sz="0" w:space="0" w:color="auto"/>
            <w:right w:val="none" w:sz="0" w:space="0" w:color="auto"/>
          </w:divBdr>
        </w:div>
      </w:divsChild>
    </w:div>
    <w:div w:id="950434681">
      <w:bodyDiv w:val="1"/>
      <w:marLeft w:val="0"/>
      <w:marRight w:val="0"/>
      <w:marTop w:val="0"/>
      <w:marBottom w:val="0"/>
      <w:divBdr>
        <w:top w:val="none" w:sz="0" w:space="0" w:color="auto"/>
        <w:left w:val="none" w:sz="0" w:space="0" w:color="auto"/>
        <w:bottom w:val="none" w:sz="0" w:space="0" w:color="auto"/>
        <w:right w:val="none" w:sz="0" w:space="0" w:color="auto"/>
      </w:divBdr>
    </w:div>
    <w:div w:id="983973617">
      <w:bodyDiv w:val="1"/>
      <w:marLeft w:val="0"/>
      <w:marRight w:val="0"/>
      <w:marTop w:val="0"/>
      <w:marBottom w:val="0"/>
      <w:divBdr>
        <w:top w:val="none" w:sz="0" w:space="0" w:color="auto"/>
        <w:left w:val="none" w:sz="0" w:space="0" w:color="auto"/>
        <w:bottom w:val="none" w:sz="0" w:space="0" w:color="auto"/>
        <w:right w:val="none" w:sz="0" w:space="0" w:color="auto"/>
      </w:divBdr>
    </w:div>
    <w:div w:id="988755299">
      <w:bodyDiv w:val="1"/>
      <w:marLeft w:val="0"/>
      <w:marRight w:val="0"/>
      <w:marTop w:val="0"/>
      <w:marBottom w:val="0"/>
      <w:divBdr>
        <w:top w:val="none" w:sz="0" w:space="0" w:color="auto"/>
        <w:left w:val="none" w:sz="0" w:space="0" w:color="auto"/>
        <w:bottom w:val="none" w:sz="0" w:space="0" w:color="auto"/>
        <w:right w:val="none" w:sz="0" w:space="0" w:color="auto"/>
      </w:divBdr>
      <w:divsChild>
        <w:div w:id="457533289">
          <w:blockQuote w:val="1"/>
          <w:marLeft w:val="450"/>
          <w:marRight w:val="450"/>
          <w:marTop w:val="0"/>
          <w:marBottom w:val="0"/>
          <w:divBdr>
            <w:top w:val="none" w:sz="0" w:space="0" w:color="auto"/>
            <w:left w:val="none" w:sz="0" w:space="0" w:color="auto"/>
            <w:bottom w:val="none" w:sz="0" w:space="0" w:color="auto"/>
            <w:right w:val="none" w:sz="0" w:space="0" w:color="auto"/>
          </w:divBdr>
        </w:div>
        <w:div w:id="1511485085">
          <w:blockQuote w:val="1"/>
          <w:marLeft w:val="450"/>
          <w:marRight w:val="450"/>
          <w:marTop w:val="0"/>
          <w:marBottom w:val="0"/>
          <w:divBdr>
            <w:top w:val="none" w:sz="0" w:space="0" w:color="auto"/>
            <w:left w:val="none" w:sz="0" w:space="0" w:color="auto"/>
            <w:bottom w:val="none" w:sz="0" w:space="0" w:color="auto"/>
            <w:right w:val="none" w:sz="0" w:space="0" w:color="auto"/>
          </w:divBdr>
        </w:div>
        <w:div w:id="613635095">
          <w:blockQuote w:val="1"/>
          <w:marLeft w:val="450"/>
          <w:marRight w:val="450"/>
          <w:marTop w:val="0"/>
          <w:marBottom w:val="0"/>
          <w:divBdr>
            <w:top w:val="none" w:sz="0" w:space="0" w:color="auto"/>
            <w:left w:val="none" w:sz="0" w:space="0" w:color="auto"/>
            <w:bottom w:val="none" w:sz="0" w:space="0" w:color="auto"/>
            <w:right w:val="none" w:sz="0" w:space="0" w:color="auto"/>
          </w:divBdr>
        </w:div>
        <w:div w:id="45031780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007097445">
      <w:bodyDiv w:val="1"/>
      <w:marLeft w:val="0"/>
      <w:marRight w:val="0"/>
      <w:marTop w:val="0"/>
      <w:marBottom w:val="0"/>
      <w:divBdr>
        <w:top w:val="none" w:sz="0" w:space="0" w:color="auto"/>
        <w:left w:val="none" w:sz="0" w:space="0" w:color="auto"/>
        <w:bottom w:val="none" w:sz="0" w:space="0" w:color="auto"/>
        <w:right w:val="none" w:sz="0" w:space="0" w:color="auto"/>
      </w:divBdr>
    </w:div>
    <w:div w:id="1020471778">
      <w:bodyDiv w:val="1"/>
      <w:marLeft w:val="0"/>
      <w:marRight w:val="0"/>
      <w:marTop w:val="0"/>
      <w:marBottom w:val="0"/>
      <w:divBdr>
        <w:top w:val="none" w:sz="0" w:space="0" w:color="auto"/>
        <w:left w:val="none" w:sz="0" w:space="0" w:color="auto"/>
        <w:bottom w:val="none" w:sz="0" w:space="0" w:color="auto"/>
        <w:right w:val="none" w:sz="0" w:space="0" w:color="auto"/>
      </w:divBdr>
    </w:div>
    <w:div w:id="1072121594">
      <w:bodyDiv w:val="1"/>
      <w:marLeft w:val="0"/>
      <w:marRight w:val="0"/>
      <w:marTop w:val="0"/>
      <w:marBottom w:val="0"/>
      <w:divBdr>
        <w:top w:val="none" w:sz="0" w:space="0" w:color="auto"/>
        <w:left w:val="none" w:sz="0" w:space="0" w:color="auto"/>
        <w:bottom w:val="none" w:sz="0" w:space="0" w:color="auto"/>
        <w:right w:val="none" w:sz="0" w:space="0" w:color="auto"/>
      </w:divBdr>
    </w:div>
    <w:div w:id="1083994855">
      <w:bodyDiv w:val="1"/>
      <w:marLeft w:val="0"/>
      <w:marRight w:val="0"/>
      <w:marTop w:val="0"/>
      <w:marBottom w:val="0"/>
      <w:divBdr>
        <w:top w:val="none" w:sz="0" w:space="0" w:color="auto"/>
        <w:left w:val="none" w:sz="0" w:space="0" w:color="auto"/>
        <w:bottom w:val="none" w:sz="0" w:space="0" w:color="auto"/>
        <w:right w:val="none" w:sz="0" w:space="0" w:color="auto"/>
      </w:divBdr>
      <w:divsChild>
        <w:div w:id="528378559">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118836406">
      <w:bodyDiv w:val="1"/>
      <w:marLeft w:val="0"/>
      <w:marRight w:val="0"/>
      <w:marTop w:val="0"/>
      <w:marBottom w:val="0"/>
      <w:divBdr>
        <w:top w:val="none" w:sz="0" w:space="0" w:color="auto"/>
        <w:left w:val="none" w:sz="0" w:space="0" w:color="auto"/>
        <w:bottom w:val="none" w:sz="0" w:space="0" w:color="auto"/>
        <w:right w:val="none" w:sz="0" w:space="0" w:color="auto"/>
      </w:divBdr>
    </w:div>
    <w:div w:id="1120883076">
      <w:bodyDiv w:val="1"/>
      <w:marLeft w:val="0"/>
      <w:marRight w:val="0"/>
      <w:marTop w:val="0"/>
      <w:marBottom w:val="0"/>
      <w:divBdr>
        <w:top w:val="none" w:sz="0" w:space="0" w:color="auto"/>
        <w:left w:val="none" w:sz="0" w:space="0" w:color="auto"/>
        <w:bottom w:val="none" w:sz="0" w:space="0" w:color="auto"/>
        <w:right w:val="none" w:sz="0" w:space="0" w:color="auto"/>
      </w:divBdr>
    </w:div>
    <w:div w:id="1122729801">
      <w:bodyDiv w:val="1"/>
      <w:marLeft w:val="0"/>
      <w:marRight w:val="0"/>
      <w:marTop w:val="0"/>
      <w:marBottom w:val="0"/>
      <w:divBdr>
        <w:top w:val="none" w:sz="0" w:space="0" w:color="auto"/>
        <w:left w:val="none" w:sz="0" w:space="0" w:color="auto"/>
        <w:bottom w:val="none" w:sz="0" w:space="0" w:color="auto"/>
        <w:right w:val="none" w:sz="0" w:space="0" w:color="auto"/>
      </w:divBdr>
      <w:divsChild>
        <w:div w:id="80682444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149321715">
      <w:bodyDiv w:val="1"/>
      <w:marLeft w:val="0"/>
      <w:marRight w:val="0"/>
      <w:marTop w:val="0"/>
      <w:marBottom w:val="0"/>
      <w:divBdr>
        <w:top w:val="none" w:sz="0" w:space="0" w:color="auto"/>
        <w:left w:val="none" w:sz="0" w:space="0" w:color="auto"/>
        <w:bottom w:val="none" w:sz="0" w:space="0" w:color="auto"/>
        <w:right w:val="none" w:sz="0" w:space="0" w:color="auto"/>
      </w:divBdr>
    </w:div>
    <w:div w:id="1174808185">
      <w:bodyDiv w:val="1"/>
      <w:marLeft w:val="0"/>
      <w:marRight w:val="0"/>
      <w:marTop w:val="0"/>
      <w:marBottom w:val="0"/>
      <w:divBdr>
        <w:top w:val="none" w:sz="0" w:space="0" w:color="auto"/>
        <w:left w:val="none" w:sz="0" w:space="0" w:color="auto"/>
        <w:bottom w:val="none" w:sz="0" w:space="0" w:color="auto"/>
        <w:right w:val="none" w:sz="0" w:space="0" w:color="auto"/>
      </w:divBdr>
      <w:divsChild>
        <w:div w:id="1814519705">
          <w:marLeft w:val="0"/>
          <w:marRight w:val="0"/>
          <w:marTop w:val="0"/>
          <w:marBottom w:val="0"/>
          <w:divBdr>
            <w:top w:val="none" w:sz="0" w:space="0" w:color="auto"/>
            <w:left w:val="none" w:sz="0" w:space="0" w:color="auto"/>
            <w:bottom w:val="none" w:sz="0" w:space="0" w:color="auto"/>
            <w:right w:val="none" w:sz="0" w:space="0" w:color="auto"/>
          </w:divBdr>
        </w:div>
        <w:div w:id="76556128">
          <w:marLeft w:val="0"/>
          <w:marRight w:val="0"/>
          <w:marTop w:val="0"/>
          <w:marBottom w:val="0"/>
          <w:divBdr>
            <w:top w:val="none" w:sz="0" w:space="0" w:color="auto"/>
            <w:left w:val="none" w:sz="0" w:space="0" w:color="auto"/>
            <w:bottom w:val="none" w:sz="0" w:space="0" w:color="auto"/>
            <w:right w:val="none" w:sz="0" w:space="0" w:color="auto"/>
          </w:divBdr>
        </w:div>
        <w:div w:id="676200503">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175224303">
      <w:bodyDiv w:val="1"/>
      <w:marLeft w:val="0"/>
      <w:marRight w:val="0"/>
      <w:marTop w:val="0"/>
      <w:marBottom w:val="0"/>
      <w:divBdr>
        <w:top w:val="none" w:sz="0" w:space="0" w:color="auto"/>
        <w:left w:val="none" w:sz="0" w:space="0" w:color="auto"/>
        <w:bottom w:val="none" w:sz="0" w:space="0" w:color="auto"/>
        <w:right w:val="none" w:sz="0" w:space="0" w:color="auto"/>
      </w:divBdr>
      <w:divsChild>
        <w:div w:id="2030641503">
          <w:marLeft w:val="0"/>
          <w:marRight w:val="0"/>
          <w:marTop w:val="0"/>
          <w:marBottom w:val="0"/>
          <w:divBdr>
            <w:top w:val="none" w:sz="0" w:space="0" w:color="auto"/>
            <w:left w:val="none" w:sz="0" w:space="0" w:color="auto"/>
            <w:bottom w:val="none" w:sz="0" w:space="0" w:color="auto"/>
            <w:right w:val="none" w:sz="0" w:space="0" w:color="auto"/>
          </w:divBdr>
        </w:div>
        <w:div w:id="1264069245">
          <w:marLeft w:val="0"/>
          <w:marRight w:val="0"/>
          <w:marTop w:val="0"/>
          <w:marBottom w:val="0"/>
          <w:divBdr>
            <w:top w:val="none" w:sz="0" w:space="0" w:color="auto"/>
            <w:left w:val="none" w:sz="0" w:space="0" w:color="auto"/>
            <w:bottom w:val="none" w:sz="0" w:space="0" w:color="auto"/>
            <w:right w:val="none" w:sz="0" w:space="0" w:color="auto"/>
          </w:divBdr>
        </w:div>
        <w:div w:id="89279962">
          <w:marLeft w:val="0"/>
          <w:marRight w:val="0"/>
          <w:marTop w:val="0"/>
          <w:marBottom w:val="0"/>
          <w:divBdr>
            <w:top w:val="none" w:sz="0" w:space="0" w:color="auto"/>
            <w:left w:val="none" w:sz="0" w:space="0" w:color="auto"/>
            <w:bottom w:val="none" w:sz="0" w:space="0" w:color="auto"/>
            <w:right w:val="none" w:sz="0" w:space="0" w:color="auto"/>
          </w:divBdr>
        </w:div>
        <w:div w:id="1508981110">
          <w:marLeft w:val="0"/>
          <w:marRight w:val="0"/>
          <w:marTop w:val="0"/>
          <w:marBottom w:val="0"/>
          <w:divBdr>
            <w:top w:val="none" w:sz="0" w:space="0" w:color="auto"/>
            <w:left w:val="none" w:sz="0" w:space="0" w:color="auto"/>
            <w:bottom w:val="none" w:sz="0" w:space="0" w:color="auto"/>
            <w:right w:val="none" w:sz="0" w:space="0" w:color="auto"/>
          </w:divBdr>
          <w:divsChild>
            <w:div w:id="842012756">
              <w:marLeft w:val="0"/>
              <w:marRight w:val="0"/>
              <w:marTop w:val="0"/>
              <w:marBottom w:val="0"/>
              <w:divBdr>
                <w:top w:val="none" w:sz="0" w:space="0" w:color="auto"/>
                <w:left w:val="none" w:sz="0" w:space="0" w:color="auto"/>
                <w:bottom w:val="none" w:sz="0" w:space="0" w:color="auto"/>
                <w:right w:val="none" w:sz="0" w:space="0" w:color="auto"/>
              </w:divBdr>
            </w:div>
          </w:divsChild>
        </w:div>
        <w:div w:id="1349067420">
          <w:marLeft w:val="0"/>
          <w:marRight w:val="0"/>
          <w:marTop w:val="0"/>
          <w:marBottom w:val="0"/>
          <w:divBdr>
            <w:top w:val="none" w:sz="0" w:space="0" w:color="auto"/>
            <w:left w:val="none" w:sz="0" w:space="0" w:color="auto"/>
            <w:bottom w:val="none" w:sz="0" w:space="0" w:color="auto"/>
            <w:right w:val="none" w:sz="0" w:space="0" w:color="auto"/>
          </w:divBdr>
        </w:div>
        <w:div w:id="1692606274">
          <w:marLeft w:val="0"/>
          <w:marRight w:val="0"/>
          <w:marTop w:val="0"/>
          <w:marBottom w:val="0"/>
          <w:divBdr>
            <w:top w:val="none" w:sz="0" w:space="0" w:color="auto"/>
            <w:left w:val="none" w:sz="0" w:space="0" w:color="auto"/>
            <w:bottom w:val="none" w:sz="0" w:space="0" w:color="auto"/>
            <w:right w:val="none" w:sz="0" w:space="0" w:color="auto"/>
          </w:divBdr>
        </w:div>
        <w:div w:id="277568041">
          <w:marLeft w:val="0"/>
          <w:marRight w:val="0"/>
          <w:marTop w:val="0"/>
          <w:marBottom w:val="0"/>
          <w:divBdr>
            <w:top w:val="none" w:sz="0" w:space="0" w:color="auto"/>
            <w:left w:val="none" w:sz="0" w:space="0" w:color="auto"/>
            <w:bottom w:val="none" w:sz="0" w:space="0" w:color="auto"/>
            <w:right w:val="none" w:sz="0" w:space="0" w:color="auto"/>
          </w:divBdr>
        </w:div>
        <w:div w:id="1879313054">
          <w:marLeft w:val="0"/>
          <w:marRight w:val="0"/>
          <w:marTop w:val="0"/>
          <w:marBottom w:val="0"/>
          <w:divBdr>
            <w:top w:val="none" w:sz="0" w:space="0" w:color="auto"/>
            <w:left w:val="none" w:sz="0" w:space="0" w:color="auto"/>
            <w:bottom w:val="none" w:sz="0" w:space="0" w:color="auto"/>
            <w:right w:val="none" w:sz="0" w:space="0" w:color="auto"/>
          </w:divBdr>
        </w:div>
        <w:div w:id="1570187171">
          <w:marLeft w:val="0"/>
          <w:marRight w:val="0"/>
          <w:marTop w:val="0"/>
          <w:marBottom w:val="0"/>
          <w:divBdr>
            <w:top w:val="none" w:sz="0" w:space="0" w:color="auto"/>
            <w:left w:val="none" w:sz="0" w:space="0" w:color="auto"/>
            <w:bottom w:val="none" w:sz="0" w:space="0" w:color="auto"/>
            <w:right w:val="none" w:sz="0" w:space="0" w:color="auto"/>
          </w:divBdr>
        </w:div>
        <w:div w:id="716509657">
          <w:marLeft w:val="0"/>
          <w:marRight w:val="0"/>
          <w:marTop w:val="0"/>
          <w:marBottom w:val="0"/>
          <w:divBdr>
            <w:top w:val="none" w:sz="0" w:space="0" w:color="auto"/>
            <w:left w:val="none" w:sz="0" w:space="0" w:color="auto"/>
            <w:bottom w:val="none" w:sz="0" w:space="0" w:color="auto"/>
            <w:right w:val="none" w:sz="0" w:space="0" w:color="auto"/>
          </w:divBdr>
        </w:div>
      </w:divsChild>
    </w:div>
    <w:div w:id="1193806661">
      <w:bodyDiv w:val="1"/>
      <w:marLeft w:val="0"/>
      <w:marRight w:val="0"/>
      <w:marTop w:val="0"/>
      <w:marBottom w:val="0"/>
      <w:divBdr>
        <w:top w:val="none" w:sz="0" w:space="0" w:color="auto"/>
        <w:left w:val="none" w:sz="0" w:space="0" w:color="auto"/>
        <w:bottom w:val="none" w:sz="0" w:space="0" w:color="auto"/>
        <w:right w:val="none" w:sz="0" w:space="0" w:color="auto"/>
      </w:divBdr>
    </w:div>
    <w:div w:id="1229339585">
      <w:bodyDiv w:val="1"/>
      <w:marLeft w:val="0"/>
      <w:marRight w:val="0"/>
      <w:marTop w:val="0"/>
      <w:marBottom w:val="0"/>
      <w:divBdr>
        <w:top w:val="none" w:sz="0" w:space="0" w:color="auto"/>
        <w:left w:val="none" w:sz="0" w:space="0" w:color="auto"/>
        <w:bottom w:val="none" w:sz="0" w:space="0" w:color="auto"/>
        <w:right w:val="none" w:sz="0" w:space="0" w:color="auto"/>
      </w:divBdr>
    </w:div>
    <w:div w:id="1229538189">
      <w:bodyDiv w:val="1"/>
      <w:marLeft w:val="0"/>
      <w:marRight w:val="0"/>
      <w:marTop w:val="0"/>
      <w:marBottom w:val="0"/>
      <w:divBdr>
        <w:top w:val="none" w:sz="0" w:space="0" w:color="auto"/>
        <w:left w:val="none" w:sz="0" w:space="0" w:color="auto"/>
        <w:bottom w:val="none" w:sz="0" w:space="0" w:color="auto"/>
        <w:right w:val="none" w:sz="0" w:space="0" w:color="auto"/>
      </w:divBdr>
      <w:divsChild>
        <w:div w:id="329991091">
          <w:marLeft w:val="0"/>
          <w:marRight w:val="0"/>
          <w:marTop w:val="0"/>
          <w:marBottom w:val="0"/>
          <w:divBdr>
            <w:top w:val="none" w:sz="0" w:space="0" w:color="auto"/>
            <w:left w:val="none" w:sz="0" w:space="0" w:color="auto"/>
            <w:bottom w:val="none" w:sz="0" w:space="0" w:color="auto"/>
            <w:right w:val="none" w:sz="0" w:space="0" w:color="auto"/>
          </w:divBdr>
        </w:div>
        <w:div w:id="874200089">
          <w:marLeft w:val="0"/>
          <w:marRight w:val="0"/>
          <w:marTop w:val="0"/>
          <w:marBottom w:val="0"/>
          <w:divBdr>
            <w:top w:val="none" w:sz="0" w:space="0" w:color="auto"/>
            <w:left w:val="none" w:sz="0" w:space="0" w:color="auto"/>
            <w:bottom w:val="none" w:sz="0" w:space="0" w:color="auto"/>
            <w:right w:val="none" w:sz="0" w:space="0" w:color="auto"/>
          </w:divBdr>
        </w:div>
        <w:div w:id="702293006">
          <w:marLeft w:val="0"/>
          <w:marRight w:val="0"/>
          <w:marTop w:val="0"/>
          <w:marBottom w:val="0"/>
          <w:divBdr>
            <w:top w:val="none" w:sz="0" w:space="0" w:color="auto"/>
            <w:left w:val="none" w:sz="0" w:space="0" w:color="auto"/>
            <w:bottom w:val="none" w:sz="0" w:space="0" w:color="auto"/>
            <w:right w:val="none" w:sz="0" w:space="0" w:color="auto"/>
          </w:divBdr>
        </w:div>
      </w:divsChild>
    </w:div>
    <w:div w:id="1265773458">
      <w:bodyDiv w:val="1"/>
      <w:marLeft w:val="0"/>
      <w:marRight w:val="0"/>
      <w:marTop w:val="0"/>
      <w:marBottom w:val="0"/>
      <w:divBdr>
        <w:top w:val="none" w:sz="0" w:space="0" w:color="auto"/>
        <w:left w:val="none" w:sz="0" w:space="0" w:color="auto"/>
        <w:bottom w:val="none" w:sz="0" w:space="0" w:color="auto"/>
        <w:right w:val="none" w:sz="0" w:space="0" w:color="auto"/>
      </w:divBdr>
    </w:div>
    <w:div w:id="1276255374">
      <w:bodyDiv w:val="1"/>
      <w:marLeft w:val="0"/>
      <w:marRight w:val="0"/>
      <w:marTop w:val="0"/>
      <w:marBottom w:val="0"/>
      <w:divBdr>
        <w:top w:val="none" w:sz="0" w:space="0" w:color="auto"/>
        <w:left w:val="none" w:sz="0" w:space="0" w:color="auto"/>
        <w:bottom w:val="none" w:sz="0" w:space="0" w:color="auto"/>
        <w:right w:val="none" w:sz="0" w:space="0" w:color="auto"/>
      </w:divBdr>
    </w:div>
    <w:div w:id="1280408592">
      <w:bodyDiv w:val="1"/>
      <w:marLeft w:val="0"/>
      <w:marRight w:val="0"/>
      <w:marTop w:val="0"/>
      <w:marBottom w:val="0"/>
      <w:divBdr>
        <w:top w:val="none" w:sz="0" w:space="0" w:color="auto"/>
        <w:left w:val="none" w:sz="0" w:space="0" w:color="auto"/>
        <w:bottom w:val="none" w:sz="0" w:space="0" w:color="auto"/>
        <w:right w:val="none" w:sz="0" w:space="0" w:color="auto"/>
      </w:divBdr>
      <w:divsChild>
        <w:div w:id="18152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79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566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55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9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017749">
      <w:bodyDiv w:val="1"/>
      <w:marLeft w:val="0"/>
      <w:marRight w:val="0"/>
      <w:marTop w:val="0"/>
      <w:marBottom w:val="0"/>
      <w:divBdr>
        <w:top w:val="none" w:sz="0" w:space="0" w:color="auto"/>
        <w:left w:val="none" w:sz="0" w:space="0" w:color="auto"/>
        <w:bottom w:val="none" w:sz="0" w:space="0" w:color="auto"/>
        <w:right w:val="none" w:sz="0" w:space="0" w:color="auto"/>
      </w:divBdr>
    </w:div>
    <w:div w:id="1392341398">
      <w:bodyDiv w:val="1"/>
      <w:marLeft w:val="0"/>
      <w:marRight w:val="0"/>
      <w:marTop w:val="0"/>
      <w:marBottom w:val="0"/>
      <w:divBdr>
        <w:top w:val="none" w:sz="0" w:space="0" w:color="auto"/>
        <w:left w:val="none" w:sz="0" w:space="0" w:color="auto"/>
        <w:bottom w:val="none" w:sz="0" w:space="0" w:color="auto"/>
        <w:right w:val="none" w:sz="0" w:space="0" w:color="auto"/>
      </w:divBdr>
      <w:divsChild>
        <w:div w:id="774789639">
          <w:marLeft w:val="0"/>
          <w:marRight w:val="0"/>
          <w:marTop w:val="0"/>
          <w:marBottom w:val="0"/>
          <w:divBdr>
            <w:top w:val="none" w:sz="0" w:space="0" w:color="auto"/>
            <w:left w:val="none" w:sz="0" w:space="0" w:color="auto"/>
            <w:bottom w:val="none" w:sz="0" w:space="0" w:color="auto"/>
            <w:right w:val="none" w:sz="0" w:space="0" w:color="auto"/>
          </w:divBdr>
          <w:divsChild>
            <w:div w:id="954099248">
              <w:blockQuote w:val="1"/>
              <w:marLeft w:val="450"/>
              <w:marRight w:val="450"/>
              <w:marTop w:val="0"/>
              <w:marBottom w:val="0"/>
              <w:divBdr>
                <w:top w:val="none" w:sz="0" w:space="0" w:color="auto"/>
                <w:left w:val="none" w:sz="0" w:space="0" w:color="auto"/>
                <w:bottom w:val="none" w:sz="0" w:space="0" w:color="auto"/>
                <w:right w:val="none" w:sz="0" w:space="0" w:color="auto"/>
              </w:divBdr>
            </w:div>
            <w:div w:id="1781413128">
              <w:blockQuote w:val="1"/>
              <w:marLeft w:val="450"/>
              <w:marRight w:val="450"/>
              <w:marTop w:val="0"/>
              <w:marBottom w:val="0"/>
              <w:divBdr>
                <w:top w:val="none" w:sz="0" w:space="0" w:color="auto"/>
                <w:left w:val="none" w:sz="0" w:space="0" w:color="auto"/>
                <w:bottom w:val="none" w:sz="0" w:space="0" w:color="auto"/>
                <w:right w:val="none" w:sz="0" w:space="0" w:color="auto"/>
              </w:divBdr>
            </w:div>
            <w:div w:id="320431880">
              <w:blockQuote w:val="1"/>
              <w:marLeft w:val="450"/>
              <w:marRight w:val="450"/>
              <w:marTop w:val="0"/>
              <w:marBottom w:val="0"/>
              <w:divBdr>
                <w:top w:val="none" w:sz="0" w:space="0" w:color="auto"/>
                <w:left w:val="none" w:sz="0" w:space="0" w:color="auto"/>
                <w:bottom w:val="none" w:sz="0" w:space="0" w:color="auto"/>
                <w:right w:val="none" w:sz="0" w:space="0" w:color="auto"/>
              </w:divBdr>
            </w:div>
            <w:div w:id="110214089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429425525">
          <w:marLeft w:val="0"/>
          <w:marRight w:val="0"/>
          <w:marTop w:val="0"/>
          <w:marBottom w:val="0"/>
          <w:divBdr>
            <w:top w:val="none" w:sz="0" w:space="0" w:color="auto"/>
            <w:left w:val="none" w:sz="0" w:space="0" w:color="auto"/>
            <w:bottom w:val="none" w:sz="0" w:space="0" w:color="auto"/>
            <w:right w:val="none" w:sz="0" w:space="0" w:color="auto"/>
          </w:divBdr>
        </w:div>
        <w:div w:id="777261537">
          <w:marLeft w:val="0"/>
          <w:marRight w:val="0"/>
          <w:marTop w:val="0"/>
          <w:marBottom w:val="0"/>
          <w:divBdr>
            <w:top w:val="none" w:sz="0" w:space="0" w:color="auto"/>
            <w:left w:val="none" w:sz="0" w:space="0" w:color="auto"/>
            <w:bottom w:val="none" w:sz="0" w:space="0" w:color="auto"/>
            <w:right w:val="none" w:sz="0" w:space="0" w:color="auto"/>
          </w:divBdr>
        </w:div>
        <w:div w:id="1696996787">
          <w:marLeft w:val="0"/>
          <w:marRight w:val="0"/>
          <w:marTop w:val="0"/>
          <w:marBottom w:val="0"/>
          <w:divBdr>
            <w:top w:val="none" w:sz="0" w:space="0" w:color="auto"/>
            <w:left w:val="none" w:sz="0" w:space="0" w:color="auto"/>
            <w:bottom w:val="none" w:sz="0" w:space="0" w:color="auto"/>
            <w:right w:val="none" w:sz="0" w:space="0" w:color="auto"/>
          </w:divBdr>
        </w:div>
        <w:div w:id="2057704906">
          <w:marLeft w:val="0"/>
          <w:marRight w:val="0"/>
          <w:marTop w:val="0"/>
          <w:marBottom w:val="0"/>
          <w:divBdr>
            <w:top w:val="none" w:sz="0" w:space="0" w:color="auto"/>
            <w:left w:val="none" w:sz="0" w:space="0" w:color="auto"/>
            <w:bottom w:val="none" w:sz="0" w:space="0" w:color="auto"/>
            <w:right w:val="none" w:sz="0" w:space="0" w:color="auto"/>
          </w:divBdr>
        </w:div>
        <w:div w:id="132990109">
          <w:marLeft w:val="0"/>
          <w:marRight w:val="0"/>
          <w:marTop w:val="0"/>
          <w:marBottom w:val="0"/>
          <w:divBdr>
            <w:top w:val="none" w:sz="0" w:space="0" w:color="auto"/>
            <w:left w:val="none" w:sz="0" w:space="0" w:color="auto"/>
            <w:bottom w:val="none" w:sz="0" w:space="0" w:color="auto"/>
            <w:right w:val="none" w:sz="0" w:space="0" w:color="auto"/>
          </w:divBdr>
        </w:div>
        <w:div w:id="1327126353">
          <w:marLeft w:val="0"/>
          <w:marRight w:val="0"/>
          <w:marTop w:val="0"/>
          <w:marBottom w:val="0"/>
          <w:divBdr>
            <w:top w:val="none" w:sz="0" w:space="0" w:color="auto"/>
            <w:left w:val="none" w:sz="0" w:space="0" w:color="auto"/>
            <w:bottom w:val="none" w:sz="0" w:space="0" w:color="auto"/>
            <w:right w:val="none" w:sz="0" w:space="0" w:color="auto"/>
          </w:divBdr>
        </w:div>
      </w:divsChild>
    </w:div>
    <w:div w:id="1404334965">
      <w:bodyDiv w:val="1"/>
      <w:marLeft w:val="0"/>
      <w:marRight w:val="0"/>
      <w:marTop w:val="0"/>
      <w:marBottom w:val="0"/>
      <w:divBdr>
        <w:top w:val="none" w:sz="0" w:space="0" w:color="auto"/>
        <w:left w:val="none" w:sz="0" w:space="0" w:color="auto"/>
        <w:bottom w:val="none" w:sz="0" w:space="0" w:color="auto"/>
        <w:right w:val="none" w:sz="0" w:space="0" w:color="auto"/>
      </w:divBdr>
    </w:div>
    <w:div w:id="1415786529">
      <w:bodyDiv w:val="1"/>
      <w:marLeft w:val="0"/>
      <w:marRight w:val="0"/>
      <w:marTop w:val="0"/>
      <w:marBottom w:val="0"/>
      <w:divBdr>
        <w:top w:val="none" w:sz="0" w:space="0" w:color="auto"/>
        <w:left w:val="none" w:sz="0" w:space="0" w:color="auto"/>
        <w:bottom w:val="none" w:sz="0" w:space="0" w:color="auto"/>
        <w:right w:val="none" w:sz="0" w:space="0" w:color="auto"/>
      </w:divBdr>
      <w:divsChild>
        <w:div w:id="155075102">
          <w:blockQuote w:val="1"/>
          <w:marLeft w:val="450"/>
          <w:marRight w:val="450"/>
          <w:marTop w:val="0"/>
          <w:marBottom w:val="0"/>
          <w:divBdr>
            <w:top w:val="none" w:sz="0" w:space="0" w:color="auto"/>
            <w:left w:val="none" w:sz="0" w:space="0" w:color="auto"/>
            <w:bottom w:val="none" w:sz="0" w:space="0" w:color="auto"/>
            <w:right w:val="none" w:sz="0" w:space="0" w:color="auto"/>
          </w:divBdr>
        </w:div>
        <w:div w:id="428475239">
          <w:blockQuote w:val="1"/>
          <w:marLeft w:val="450"/>
          <w:marRight w:val="450"/>
          <w:marTop w:val="0"/>
          <w:marBottom w:val="0"/>
          <w:divBdr>
            <w:top w:val="none" w:sz="0" w:space="0" w:color="auto"/>
            <w:left w:val="none" w:sz="0" w:space="0" w:color="auto"/>
            <w:bottom w:val="none" w:sz="0" w:space="0" w:color="auto"/>
            <w:right w:val="none" w:sz="0" w:space="0" w:color="auto"/>
          </w:divBdr>
        </w:div>
        <w:div w:id="460422790">
          <w:blockQuote w:val="1"/>
          <w:marLeft w:val="450"/>
          <w:marRight w:val="450"/>
          <w:marTop w:val="0"/>
          <w:marBottom w:val="0"/>
          <w:divBdr>
            <w:top w:val="none" w:sz="0" w:space="0" w:color="auto"/>
            <w:left w:val="none" w:sz="0" w:space="0" w:color="auto"/>
            <w:bottom w:val="none" w:sz="0" w:space="0" w:color="auto"/>
            <w:right w:val="none" w:sz="0" w:space="0" w:color="auto"/>
          </w:divBdr>
        </w:div>
        <w:div w:id="239561675">
          <w:blockQuote w:val="1"/>
          <w:marLeft w:val="450"/>
          <w:marRight w:val="450"/>
          <w:marTop w:val="0"/>
          <w:marBottom w:val="0"/>
          <w:divBdr>
            <w:top w:val="none" w:sz="0" w:space="0" w:color="auto"/>
            <w:left w:val="none" w:sz="0" w:space="0" w:color="auto"/>
            <w:bottom w:val="none" w:sz="0" w:space="0" w:color="auto"/>
            <w:right w:val="none" w:sz="0" w:space="0" w:color="auto"/>
          </w:divBdr>
        </w:div>
        <w:div w:id="214284773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429694954">
      <w:bodyDiv w:val="1"/>
      <w:marLeft w:val="0"/>
      <w:marRight w:val="0"/>
      <w:marTop w:val="0"/>
      <w:marBottom w:val="0"/>
      <w:divBdr>
        <w:top w:val="none" w:sz="0" w:space="0" w:color="auto"/>
        <w:left w:val="none" w:sz="0" w:space="0" w:color="auto"/>
        <w:bottom w:val="none" w:sz="0" w:space="0" w:color="auto"/>
        <w:right w:val="none" w:sz="0" w:space="0" w:color="auto"/>
      </w:divBdr>
    </w:div>
    <w:div w:id="1440760691">
      <w:bodyDiv w:val="1"/>
      <w:marLeft w:val="0"/>
      <w:marRight w:val="0"/>
      <w:marTop w:val="0"/>
      <w:marBottom w:val="0"/>
      <w:divBdr>
        <w:top w:val="none" w:sz="0" w:space="0" w:color="auto"/>
        <w:left w:val="none" w:sz="0" w:space="0" w:color="auto"/>
        <w:bottom w:val="none" w:sz="0" w:space="0" w:color="auto"/>
        <w:right w:val="none" w:sz="0" w:space="0" w:color="auto"/>
      </w:divBdr>
    </w:div>
    <w:div w:id="1442728351">
      <w:bodyDiv w:val="1"/>
      <w:marLeft w:val="0"/>
      <w:marRight w:val="0"/>
      <w:marTop w:val="0"/>
      <w:marBottom w:val="0"/>
      <w:divBdr>
        <w:top w:val="none" w:sz="0" w:space="0" w:color="auto"/>
        <w:left w:val="none" w:sz="0" w:space="0" w:color="auto"/>
        <w:bottom w:val="none" w:sz="0" w:space="0" w:color="auto"/>
        <w:right w:val="none" w:sz="0" w:space="0" w:color="auto"/>
      </w:divBdr>
    </w:div>
    <w:div w:id="1445075803">
      <w:bodyDiv w:val="1"/>
      <w:marLeft w:val="0"/>
      <w:marRight w:val="0"/>
      <w:marTop w:val="0"/>
      <w:marBottom w:val="0"/>
      <w:divBdr>
        <w:top w:val="none" w:sz="0" w:space="0" w:color="auto"/>
        <w:left w:val="none" w:sz="0" w:space="0" w:color="auto"/>
        <w:bottom w:val="none" w:sz="0" w:space="0" w:color="auto"/>
        <w:right w:val="none" w:sz="0" w:space="0" w:color="auto"/>
      </w:divBdr>
    </w:div>
    <w:div w:id="1447458501">
      <w:bodyDiv w:val="1"/>
      <w:marLeft w:val="0"/>
      <w:marRight w:val="0"/>
      <w:marTop w:val="0"/>
      <w:marBottom w:val="0"/>
      <w:divBdr>
        <w:top w:val="none" w:sz="0" w:space="0" w:color="auto"/>
        <w:left w:val="none" w:sz="0" w:space="0" w:color="auto"/>
        <w:bottom w:val="none" w:sz="0" w:space="0" w:color="auto"/>
        <w:right w:val="none" w:sz="0" w:space="0" w:color="auto"/>
      </w:divBdr>
    </w:div>
    <w:div w:id="1498884017">
      <w:bodyDiv w:val="1"/>
      <w:marLeft w:val="0"/>
      <w:marRight w:val="0"/>
      <w:marTop w:val="0"/>
      <w:marBottom w:val="0"/>
      <w:divBdr>
        <w:top w:val="none" w:sz="0" w:space="0" w:color="auto"/>
        <w:left w:val="none" w:sz="0" w:space="0" w:color="auto"/>
        <w:bottom w:val="none" w:sz="0" w:space="0" w:color="auto"/>
        <w:right w:val="none" w:sz="0" w:space="0" w:color="auto"/>
      </w:divBdr>
      <w:divsChild>
        <w:div w:id="192842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619231">
      <w:bodyDiv w:val="1"/>
      <w:marLeft w:val="0"/>
      <w:marRight w:val="0"/>
      <w:marTop w:val="0"/>
      <w:marBottom w:val="0"/>
      <w:divBdr>
        <w:top w:val="none" w:sz="0" w:space="0" w:color="auto"/>
        <w:left w:val="none" w:sz="0" w:space="0" w:color="auto"/>
        <w:bottom w:val="none" w:sz="0" w:space="0" w:color="auto"/>
        <w:right w:val="none" w:sz="0" w:space="0" w:color="auto"/>
      </w:divBdr>
    </w:div>
    <w:div w:id="1520896763">
      <w:bodyDiv w:val="1"/>
      <w:marLeft w:val="0"/>
      <w:marRight w:val="0"/>
      <w:marTop w:val="0"/>
      <w:marBottom w:val="0"/>
      <w:divBdr>
        <w:top w:val="none" w:sz="0" w:space="0" w:color="auto"/>
        <w:left w:val="none" w:sz="0" w:space="0" w:color="auto"/>
        <w:bottom w:val="none" w:sz="0" w:space="0" w:color="auto"/>
        <w:right w:val="none" w:sz="0" w:space="0" w:color="auto"/>
      </w:divBdr>
    </w:div>
    <w:div w:id="1539781305">
      <w:bodyDiv w:val="1"/>
      <w:marLeft w:val="0"/>
      <w:marRight w:val="0"/>
      <w:marTop w:val="0"/>
      <w:marBottom w:val="0"/>
      <w:divBdr>
        <w:top w:val="none" w:sz="0" w:space="0" w:color="auto"/>
        <w:left w:val="none" w:sz="0" w:space="0" w:color="auto"/>
        <w:bottom w:val="none" w:sz="0" w:space="0" w:color="auto"/>
        <w:right w:val="none" w:sz="0" w:space="0" w:color="auto"/>
      </w:divBdr>
      <w:divsChild>
        <w:div w:id="1953706883">
          <w:marLeft w:val="0"/>
          <w:marRight w:val="0"/>
          <w:marTop w:val="0"/>
          <w:marBottom w:val="0"/>
          <w:divBdr>
            <w:top w:val="none" w:sz="0" w:space="0" w:color="auto"/>
            <w:left w:val="none" w:sz="0" w:space="0" w:color="auto"/>
            <w:bottom w:val="none" w:sz="0" w:space="0" w:color="auto"/>
            <w:right w:val="none" w:sz="0" w:space="0" w:color="auto"/>
          </w:divBdr>
          <w:divsChild>
            <w:div w:id="206649903">
              <w:marLeft w:val="0"/>
              <w:marRight w:val="0"/>
              <w:marTop w:val="0"/>
              <w:marBottom w:val="0"/>
              <w:divBdr>
                <w:top w:val="none" w:sz="0" w:space="0" w:color="auto"/>
                <w:left w:val="none" w:sz="0" w:space="0" w:color="auto"/>
                <w:bottom w:val="none" w:sz="0" w:space="0" w:color="auto"/>
                <w:right w:val="none" w:sz="0" w:space="0" w:color="auto"/>
              </w:divBdr>
            </w:div>
            <w:div w:id="787621895">
              <w:marLeft w:val="0"/>
              <w:marRight w:val="0"/>
              <w:marTop w:val="0"/>
              <w:marBottom w:val="0"/>
              <w:divBdr>
                <w:top w:val="none" w:sz="0" w:space="0" w:color="auto"/>
                <w:left w:val="none" w:sz="0" w:space="0" w:color="auto"/>
                <w:bottom w:val="none" w:sz="0" w:space="0" w:color="auto"/>
                <w:right w:val="none" w:sz="0" w:space="0" w:color="auto"/>
              </w:divBdr>
            </w:div>
            <w:div w:id="376440980">
              <w:marLeft w:val="0"/>
              <w:marRight w:val="0"/>
              <w:marTop w:val="0"/>
              <w:marBottom w:val="0"/>
              <w:divBdr>
                <w:top w:val="none" w:sz="0" w:space="0" w:color="auto"/>
                <w:left w:val="none" w:sz="0" w:space="0" w:color="auto"/>
                <w:bottom w:val="none" w:sz="0" w:space="0" w:color="auto"/>
                <w:right w:val="none" w:sz="0" w:space="0" w:color="auto"/>
              </w:divBdr>
            </w:div>
            <w:div w:id="513496981">
              <w:marLeft w:val="0"/>
              <w:marRight w:val="0"/>
              <w:marTop w:val="0"/>
              <w:marBottom w:val="0"/>
              <w:divBdr>
                <w:top w:val="none" w:sz="0" w:space="0" w:color="auto"/>
                <w:left w:val="none" w:sz="0" w:space="0" w:color="auto"/>
                <w:bottom w:val="none" w:sz="0" w:space="0" w:color="auto"/>
                <w:right w:val="none" w:sz="0" w:space="0" w:color="auto"/>
              </w:divBdr>
            </w:div>
            <w:div w:id="127826745">
              <w:marLeft w:val="0"/>
              <w:marRight w:val="0"/>
              <w:marTop w:val="0"/>
              <w:marBottom w:val="0"/>
              <w:divBdr>
                <w:top w:val="none" w:sz="0" w:space="0" w:color="auto"/>
                <w:left w:val="none" w:sz="0" w:space="0" w:color="auto"/>
                <w:bottom w:val="none" w:sz="0" w:space="0" w:color="auto"/>
                <w:right w:val="none" w:sz="0" w:space="0" w:color="auto"/>
              </w:divBdr>
            </w:div>
          </w:divsChild>
        </w:div>
        <w:div w:id="187647335">
          <w:marLeft w:val="0"/>
          <w:marRight w:val="0"/>
          <w:marTop w:val="0"/>
          <w:marBottom w:val="0"/>
          <w:divBdr>
            <w:top w:val="none" w:sz="0" w:space="0" w:color="auto"/>
            <w:left w:val="none" w:sz="0" w:space="0" w:color="auto"/>
            <w:bottom w:val="none" w:sz="0" w:space="0" w:color="auto"/>
            <w:right w:val="none" w:sz="0" w:space="0" w:color="auto"/>
          </w:divBdr>
          <w:divsChild>
            <w:div w:id="853567402">
              <w:marLeft w:val="0"/>
              <w:marRight w:val="0"/>
              <w:marTop w:val="0"/>
              <w:marBottom w:val="0"/>
              <w:divBdr>
                <w:top w:val="none" w:sz="0" w:space="0" w:color="auto"/>
                <w:left w:val="none" w:sz="0" w:space="0" w:color="auto"/>
                <w:bottom w:val="none" w:sz="0" w:space="0" w:color="auto"/>
                <w:right w:val="none" w:sz="0" w:space="0" w:color="auto"/>
              </w:divBdr>
            </w:div>
            <w:div w:id="195774724">
              <w:marLeft w:val="0"/>
              <w:marRight w:val="0"/>
              <w:marTop w:val="0"/>
              <w:marBottom w:val="0"/>
              <w:divBdr>
                <w:top w:val="none" w:sz="0" w:space="0" w:color="auto"/>
                <w:left w:val="none" w:sz="0" w:space="0" w:color="auto"/>
                <w:bottom w:val="none" w:sz="0" w:space="0" w:color="auto"/>
                <w:right w:val="none" w:sz="0" w:space="0" w:color="auto"/>
              </w:divBdr>
            </w:div>
            <w:div w:id="1011907157">
              <w:marLeft w:val="0"/>
              <w:marRight w:val="0"/>
              <w:marTop w:val="0"/>
              <w:marBottom w:val="0"/>
              <w:divBdr>
                <w:top w:val="none" w:sz="0" w:space="0" w:color="auto"/>
                <w:left w:val="none" w:sz="0" w:space="0" w:color="auto"/>
                <w:bottom w:val="none" w:sz="0" w:space="0" w:color="auto"/>
                <w:right w:val="none" w:sz="0" w:space="0" w:color="auto"/>
              </w:divBdr>
            </w:div>
            <w:div w:id="1104107567">
              <w:marLeft w:val="0"/>
              <w:marRight w:val="0"/>
              <w:marTop w:val="0"/>
              <w:marBottom w:val="0"/>
              <w:divBdr>
                <w:top w:val="none" w:sz="0" w:space="0" w:color="auto"/>
                <w:left w:val="none" w:sz="0" w:space="0" w:color="auto"/>
                <w:bottom w:val="none" w:sz="0" w:space="0" w:color="auto"/>
                <w:right w:val="none" w:sz="0" w:space="0" w:color="auto"/>
              </w:divBdr>
            </w:div>
            <w:div w:id="596792538">
              <w:marLeft w:val="0"/>
              <w:marRight w:val="0"/>
              <w:marTop w:val="0"/>
              <w:marBottom w:val="0"/>
              <w:divBdr>
                <w:top w:val="none" w:sz="0" w:space="0" w:color="auto"/>
                <w:left w:val="none" w:sz="0" w:space="0" w:color="auto"/>
                <w:bottom w:val="none" w:sz="0" w:space="0" w:color="auto"/>
                <w:right w:val="none" w:sz="0" w:space="0" w:color="auto"/>
              </w:divBdr>
            </w:div>
            <w:div w:id="1201476012">
              <w:marLeft w:val="0"/>
              <w:marRight w:val="0"/>
              <w:marTop w:val="0"/>
              <w:marBottom w:val="0"/>
              <w:divBdr>
                <w:top w:val="none" w:sz="0" w:space="0" w:color="auto"/>
                <w:left w:val="none" w:sz="0" w:space="0" w:color="auto"/>
                <w:bottom w:val="none" w:sz="0" w:space="0" w:color="auto"/>
                <w:right w:val="none" w:sz="0" w:space="0" w:color="auto"/>
              </w:divBdr>
            </w:div>
          </w:divsChild>
        </w:div>
        <w:div w:id="1423067766">
          <w:marLeft w:val="0"/>
          <w:marRight w:val="0"/>
          <w:marTop w:val="0"/>
          <w:marBottom w:val="0"/>
          <w:divBdr>
            <w:top w:val="none" w:sz="0" w:space="0" w:color="auto"/>
            <w:left w:val="none" w:sz="0" w:space="0" w:color="auto"/>
            <w:bottom w:val="none" w:sz="0" w:space="0" w:color="auto"/>
            <w:right w:val="none" w:sz="0" w:space="0" w:color="auto"/>
          </w:divBdr>
          <w:divsChild>
            <w:div w:id="743794017">
              <w:marLeft w:val="0"/>
              <w:marRight w:val="0"/>
              <w:marTop w:val="0"/>
              <w:marBottom w:val="0"/>
              <w:divBdr>
                <w:top w:val="none" w:sz="0" w:space="0" w:color="auto"/>
                <w:left w:val="none" w:sz="0" w:space="0" w:color="auto"/>
                <w:bottom w:val="none" w:sz="0" w:space="0" w:color="auto"/>
                <w:right w:val="none" w:sz="0" w:space="0" w:color="auto"/>
              </w:divBdr>
            </w:div>
            <w:div w:id="1322154845">
              <w:marLeft w:val="0"/>
              <w:marRight w:val="0"/>
              <w:marTop w:val="0"/>
              <w:marBottom w:val="0"/>
              <w:divBdr>
                <w:top w:val="none" w:sz="0" w:space="0" w:color="auto"/>
                <w:left w:val="none" w:sz="0" w:space="0" w:color="auto"/>
                <w:bottom w:val="none" w:sz="0" w:space="0" w:color="auto"/>
                <w:right w:val="none" w:sz="0" w:space="0" w:color="auto"/>
              </w:divBdr>
            </w:div>
            <w:div w:id="1410497526">
              <w:marLeft w:val="0"/>
              <w:marRight w:val="0"/>
              <w:marTop w:val="0"/>
              <w:marBottom w:val="0"/>
              <w:divBdr>
                <w:top w:val="none" w:sz="0" w:space="0" w:color="auto"/>
                <w:left w:val="none" w:sz="0" w:space="0" w:color="auto"/>
                <w:bottom w:val="none" w:sz="0" w:space="0" w:color="auto"/>
                <w:right w:val="none" w:sz="0" w:space="0" w:color="auto"/>
              </w:divBdr>
            </w:div>
            <w:div w:id="1013653931">
              <w:marLeft w:val="0"/>
              <w:marRight w:val="0"/>
              <w:marTop w:val="0"/>
              <w:marBottom w:val="0"/>
              <w:divBdr>
                <w:top w:val="none" w:sz="0" w:space="0" w:color="auto"/>
                <w:left w:val="none" w:sz="0" w:space="0" w:color="auto"/>
                <w:bottom w:val="none" w:sz="0" w:space="0" w:color="auto"/>
                <w:right w:val="none" w:sz="0" w:space="0" w:color="auto"/>
              </w:divBdr>
            </w:div>
            <w:div w:id="652489754">
              <w:marLeft w:val="0"/>
              <w:marRight w:val="0"/>
              <w:marTop w:val="0"/>
              <w:marBottom w:val="0"/>
              <w:divBdr>
                <w:top w:val="none" w:sz="0" w:space="0" w:color="auto"/>
                <w:left w:val="none" w:sz="0" w:space="0" w:color="auto"/>
                <w:bottom w:val="none" w:sz="0" w:space="0" w:color="auto"/>
                <w:right w:val="none" w:sz="0" w:space="0" w:color="auto"/>
              </w:divBdr>
            </w:div>
          </w:divsChild>
        </w:div>
        <w:div w:id="1783383347">
          <w:marLeft w:val="0"/>
          <w:marRight w:val="0"/>
          <w:marTop w:val="0"/>
          <w:marBottom w:val="0"/>
          <w:divBdr>
            <w:top w:val="none" w:sz="0" w:space="0" w:color="auto"/>
            <w:left w:val="none" w:sz="0" w:space="0" w:color="auto"/>
            <w:bottom w:val="none" w:sz="0" w:space="0" w:color="auto"/>
            <w:right w:val="none" w:sz="0" w:space="0" w:color="auto"/>
          </w:divBdr>
          <w:divsChild>
            <w:div w:id="805703929">
              <w:marLeft w:val="0"/>
              <w:marRight w:val="0"/>
              <w:marTop w:val="0"/>
              <w:marBottom w:val="0"/>
              <w:divBdr>
                <w:top w:val="none" w:sz="0" w:space="0" w:color="auto"/>
                <w:left w:val="none" w:sz="0" w:space="0" w:color="auto"/>
                <w:bottom w:val="none" w:sz="0" w:space="0" w:color="auto"/>
                <w:right w:val="none" w:sz="0" w:space="0" w:color="auto"/>
              </w:divBdr>
            </w:div>
            <w:div w:id="540630729">
              <w:marLeft w:val="0"/>
              <w:marRight w:val="0"/>
              <w:marTop w:val="0"/>
              <w:marBottom w:val="0"/>
              <w:divBdr>
                <w:top w:val="none" w:sz="0" w:space="0" w:color="auto"/>
                <w:left w:val="none" w:sz="0" w:space="0" w:color="auto"/>
                <w:bottom w:val="none" w:sz="0" w:space="0" w:color="auto"/>
                <w:right w:val="none" w:sz="0" w:space="0" w:color="auto"/>
              </w:divBdr>
            </w:div>
            <w:div w:id="1894345605">
              <w:marLeft w:val="0"/>
              <w:marRight w:val="0"/>
              <w:marTop w:val="0"/>
              <w:marBottom w:val="0"/>
              <w:divBdr>
                <w:top w:val="none" w:sz="0" w:space="0" w:color="auto"/>
                <w:left w:val="none" w:sz="0" w:space="0" w:color="auto"/>
                <w:bottom w:val="none" w:sz="0" w:space="0" w:color="auto"/>
                <w:right w:val="none" w:sz="0" w:space="0" w:color="auto"/>
              </w:divBdr>
            </w:div>
          </w:divsChild>
        </w:div>
        <w:div w:id="1672482886">
          <w:marLeft w:val="0"/>
          <w:marRight w:val="0"/>
          <w:marTop w:val="0"/>
          <w:marBottom w:val="0"/>
          <w:divBdr>
            <w:top w:val="none" w:sz="0" w:space="0" w:color="auto"/>
            <w:left w:val="none" w:sz="0" w:space="0" w:color="auto"/>
            <w:bottom w:val="none" w:sz="0" w:space="0" w:color="auto"/>
            <w:right w:val="none" w:sz="0" w:space="0" w:color="auto"/>
          </w:divBdr>
          <w:divsChild>
            <w:div w:id="1440561524">
              <w:marLeft w:val="0"/>
              <w:marRight w:val="0"/>
              <w:marTop w:val="0"/>
              <w:marBottom w:val="0"/>
              <w:divBdr>
                <w:top w:val="none" w:sz="0" w:space="0" w:color="auto"/>
                <w:left w:val="none" w:sz="0" w:space="0" w:color="auto"/>
                <w:bottom w:val="none" w:sz="0" w:space="0" w:color="auto"/>
                <w:right w:val="none" w:sz="0" w:space="0" w:color="auto"/>
              </w:divBdr>
            </w:div>
            <w:div w:id="1045525992">
              <w:marLeft w:val="0"/>
              <w:marRight w:val="0"/>
              <w:marTop w:val="0"/>
              <w:marBottom w:val="0"/>
              <w:divBdr>
                <w:top w:val="none" w:sz="0" w:space="0" w:color="auto"/>
                <w:left w:val="none" w:sz="0" w:space="0" w:color="auto"/>
                <w:bottom w:val="none" w:sz="0" w:space="0" w:color="auto"/>
                <w:right w:val="none" w:sz="0" w:space="0" w:color="auto"/>
              </w:divBdr>
            </w:div>
            <w:div w:id="1631934563">
              <w:marLeft w:val="0"/>
              <w:marRight w:val="0"/>
              <w:marTop w:val="0"/>
              <w:marBottom w:val="0"/>
              <w:divBdr>
                <w:top w:val="none" w:sz="0" w:space="0" w:color="auto"/>
                <w:left w:val="none" w:sz="0" w:space="0" w:color="auto"/>
                <w:bottom w:val="none" w:sz="0" w:space="0" w:color="auto"/>
                <w:right w:val="none" w:sz="0" w:space="0" w:color="auto"/>
              </w:divBdr>
            </w:div>
            <w:div w:id="2014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2341">
      <w:bodyDiv w:val="1"/>
      <w:marLeft w:val="0"/>
      <w:marRight w:val="0"/>
      <w:marTop w:val="0"/>
      <w:marBottom w:val="0"/>
      <w:divBdr>
        <w:top w:val="none" w:sz="0" w:space="0" w:color="auto"/>
        <w:left w:val="none" w:sz="0" w:space="0" w:color="auto"/>
        <w:bottom w:val="none" w:sz="0" w:space="0" w:color="auto"/>
        <w:right w:val="none" w:sz="0" w:space="0" w:color="auto"/>
      </w:divBdr>
    </w:div>
    <w:div w:id="1568568262">
      <w:bodyDiv w:val="1"/>
      <w:marLeft w:val="0"/>
      <w:marRight w:val="0"/>
      <w:marTop w:val="0"/>
      <w:marBottom w:val="0"/>
      <w:divBdr>
        <w:top w:val="none" w:sz="0" w:space="0" w:color="auto"/>
        <w:left w:val="none" w:sz="0" w:space="0" w:color="auto"/>
        <w:bottom w:val="none" w:sz="0" w:space="0" w:color="auto"/>
        <w:right w:val="none" w:sz="0" w:space="0" w:color="auto"/>
      </w:divBdr>
      <w:divsChild>
        <w:div w:id="20522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158789">
      <w:bodyDiv w:val="1"/>
      <w:marLeft w:val="0"/>
      <w:marRight w:val="0"/>
      <w:marTop w:val="0"/>
      <w:marBottom w:val="0"/>
      <w:divBdr>
        <w:top w:val="none" w:sz="0" w:space="0" w:color="auto"/>
        <w:left w:val="none" w:sz="0" w:space="0" w:color="auto"/>
        <w:bottom w:val="none" w:sz="0" w:space="0" w:color="auto"/>
        <w:right w:val="none" w:sz="0" w:space="0" w:color="auto"/>
      </w:divBdr>
      <w:divsChild>
        <w:div w:id="1455752007">
          <w:blockQuote w:val="1"/>
          <w:marLeft w:val="450"/>
          <w:marRight w:val="450"/>
          <w:marTop w:val="0"/>
          <w:marBottom w:val="0"/>
          <w:divBdr>
            <w:top w:val="none" w:sz="0" w:space="0" w:color="auto"/>
            <w:left w:val="none" w:sz="0" w:space="0" w:color="auto"/>
            <w:bottom w:val="none" w:sz="0" w:space="0" w:color="auto"/>
            <w:right w:val="none" w:sz="0" w:space="0" w:color="auto"/>
          </w:divBdr>
        </w:div>
        <w:div w:id="992484021">
          <w:blockQuote w:val="1"/>
          <w:marLeft w:val="450"/>
          <w:marRight w:val="450"/>
          <w:marTop w:val="0"/>
          <w:marBottom w:val="0"/>
          <w:divBdr>
            <w:top w:val="none" w:sz="0" w:space="0" w:color="auto"/>
            <w:left w:val="none" w:sz="0" w:space="0" w:color="auto"/>
            <w:bottom w:val="none" w:sz="0" w:space="0" w:color="auto"/>
            <w:right w:val="none" w:sz="0" w:space="0" w:color="auto"/>
          </w:divBdr>
        </w:div>
        <w:div w:id="782190203">
          <w:blockQuote w:val="1"/>
          <w:marLeft w:val="450"/>
          <w:marRight w:val="450"/>
          <w:marTop w:val="0"/>
          <w:marBottom w:val="0"/>
          <w:divBdr>
            <w:top w:val="none" w:sz="0" w:space="0" w:color="auto"/>
            <w:left w:val="none" w:sz="0" w:space="0" w:color="auto"/>
            <w:bottom w:val="none" w:sz="0" w:space="0" w:color="auto"/>
            <w:right w:val="none" w:sz="0" w:space="0" w:color="auto"/>
          </w:divBdr>
        </w:div>
        <w:div w:id="2095784588">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575624785">
      <w:bodyDiv w:val="1"/>
      <w:marLeft w:val="0"/>
      <w:marRight w:val="0"/>
      <w:marTop w:val="0"/>
      <w:marBottom w:val="0"/>
      <w:divBdr>
        <w:top w:val="none" w:sz="0" w:space="0" w:color="auto"/>
        <w:left w:val="none" w:sz="0" w:space="0" w:color="auto"/>
        <w:bottom w:val="none" w:sz="0" w:space="0" w:color="auto"/>
        <w:right w:val="none" w:sz="0" w:space="0" w:color="auto"/>
      </w:divBdr>
    </w:div>
    <w:div w:id="1612931245">
      <w:bodyDiv w:val="1"/>
      <w:marLeft w:val="0"/>
      <w:marRight w:val="0"/>
      <w:marTop w:val="0"/>
      <w:marBottom w:val="0"/>
      <w:divBdr>
        <w:top w:val="none" w:sz="0" w:space="0" w:color="auto"/>
        <w:left w:val="none" w:sz="0" w:space="0" w:color="auto"/>
        <w:bottom w:val="none" w:sz="0" w:space="0" w:color="auto"/>
        <w:right w:val="none" w:sz="0" w:space="0" w:color="auto"/>
      </w:divBdr>
    </w:div>
    <w:div w:id="1616671546">
      <w:bodyDiv w:val="1"/>
      <w:marLeft w:val="0"/>
      <w:marRight w:val="0"/>
      <w:marTop w:val="0"/>
      <w:marBottom w:val="0"/>
      <w:divBdr>
        <w:top w:val="none" w:sz="0" w:space="0" w:color="auto"/>
        <w:left w:val="none" w:sz="0" w:space="0" w:color="auto"/>
        <w:bottom w:val="none" w:sz="0" w:space="0" w:color="auto"/>
        <w:right w:val="none" w:sz="0" w:space="0" w:color="auto"/>
      </w:divBdr>
    </w:div>
    <w:div w:id="1617906911">
      <w:bodyDiv w:val="1"/>
      <w:marLeft w:val="0"/>
      <w:marRight w:val="0"/>
      <w:marTop w:val="0"/>
      <w:marBottom w:val="0"/>
      <w:divBdr>
        <w:top w:val="none" w:sz="0" w:space="0" w:color="auto"/>
        <w:left w:val="none" w:sz="0" w:space="0" w:color="auto"/>
        <w:bottom w:val="none" w:sz="0" w:space="0" w:color="auto"/>
        <w:right w:val="none" w:sz="0" w:space="0" w:color="auto"/>
      </w:divBdr>
    </w:div>
    <w:div w:id="1623615120">
      <w:bodyDiv w:val="1"/>
      <w:marLeft w:val="0"/>
      <w:marRight w:val="0"/>
      <w:marTop w:val="0"/>
      <w:marBottom w:val="0"/>
      <w:divBdr>
        <w:top w:val="none" w:sz="0" w:space="0" w:color="auto"/>
        <w:left w:val="none" w:sz="0" w:space="0" w:color="auto"/>
        <w:bottom w:val="none" w:sz="0" w:space="0" w:color="auto"/>
        <w:right w:val="none" w:sz="0" w:space="0" w:color="auto"/>
      </w:divBdr>
    </w:div>
    <w:div w:id="1655336856">
      <w:bodyDiv w:val="1"/>
      <w:marLeft w:val="0"/>
      <w:marRight w:val="0"/>
      <w:marTop w:val="0"/>
      <w:marBottom w:val="0"/>
      <w:divBdr>
        <w:top w:val="none" w:sz="0" w:space="0" w:color="auto"/>
        <w:left w:val="none" w:sz="0" w:space="0" w:color="auto"/>
        <w:bottom w:val="none" w:sz="0" w:space="0" w:color="auto"/>
        <w:right w:val="none" w:sz="0" w:space="0" w:color="auto"/>
      </w:divBdr>
    </w:div>
    <w:div w:id="1656448623">
      <w:bodyDiv w:val="1"/>
      <w:marLeft w:val="0"/>
      <w:marRight w:val="0"/>
      <w:marTop w:val="0"/>
      <w:marBottom w:val="0"/>
      <w:divBdr>
        <w:top w:val="none" w:sz="0" w:space="0" w:color="auto"/>
        <w:left w:val="none" w:sz="0" w:space="0" w:color="auto"/>
        <w:bottom w:val="none" w:sz="0" w:space="0" w:color="auto"/>
        <w:right w:val="none" w:sz="0" w:space="0" w:color="auto"/>
      </w:divBdr>
    </w:div>
    <w:div w:id="1664240727">
      <w:bodyDiv w:val="1"/>
      <w:marLeft w:val="0"/>
      <w:marRight w:val="0"/>
      <w:marTop w:val="0"/>
      <w:marBottom w:val="0"/>
      <w:divBdr>
        <w:top w:val="none" w:sz="0" w:space="0" w:color="auto"/>
        <w:left w:val="none" w:sz="0" w:space="0" w:color="auto"/>
        <w:bottom w:val="none" w:sz="0" w:space="0" w:color="auto"/>
        <w:right w:val="none" w:sz="0" w:space="0" w:color="auto"/>
      </w:divBdr>
    </w:div>
    <w:div w:id="1672374527">
      <w:bodyDiv w:val="1"/>
      <w:marLeft w:val="0"/>
      <w:marRight w:val="0"/>
      <w:marTop w:val="0"/>
      <w:marBottom w:val="0"/>
      <w:divBdr>
        <w:top w:val="none" w:sz="0" w:space="0" w:color="auto"/>
        <w:left w:val="none" w:sz="0" w:space="0" w:color="auto"/>
        <w:bottom w:val="none" w:sz="0" w:space="0" w:color="auto"/>
        <w:right w:val="none" w:sz="0" w:space="0" w:color="auto"/>
      </w:divBdr>
    </w:div>
    <w:div w:id="1672753034">
      <w:bodyDiv w:val="1"/>
      <w:marLeft w:val="0"/>
      <w:marRight w:val="0"/>
      <w:marTop w:val="0"/>
      <w:marBottom w:val="0"/>
      <w:divBdr>
        <w:top w:val="none" w:sz="0" w:space="0" w:color="auto"/>
        <w:left w:val="none" w:sz="0" w:space="0" w:color="auto"/>
        <w:bottom w:val="none" w:sz="0" w:space="0" w:color="auto"/>
        <w:right w:val="none" w:sz="0" w:space="0" w:color="auto"/>
      </w:divBdr>
    </w:div>
    <w:div w:id="1679387488">
      <w:bodyDiv w:val="1"/>
      <w:marLeft w:val="0"/>
      <w:marRight w:val="0"/>
      <w:marTop w:val="0"/>
      <w:marBottom w:val="0"/>
      <w:divBdr>
        <w:top w:val="none" w:sz="0" w:space="0" w:color="auto"/>
        <w:left w:val="none" w:sz="0" w:space="0" w:color="auto"/>
        <w:bottom w:val="none" w:sz="0" w:space="0" w:color="auto"/>
        <w:right w:val="none" w:sz="0" w:space="0" w:color="auto"/>
      </w:divBdr>
    </w:div>
    <w:div w:id="1682538361">
      <w:bodyDiv w:val="1"/>
      <w:marLeft w:val="0"/>
      <w:marRight w:val="0"/>
      <w:marTop w:val="0"/>
      <w:marBottom w:val="0"/>
      <w:divBdr>
        <w:top w:val="none" w:sz="0" w:space="0" w:color="auto"/>
        <w:left w:val="none" w:sz="0" w:space="0" w:color="auto"/>
        <w:bottom w:val="none" w:sz="0" w:space="0" w:color="auto"/>
        <w:right w:val="none" w:sz="0" w:space="0" w:color="auto"/>
      </w:divBdr>
      <w:divsChild>
        <w:div w:id="1435247938">
          <w:marLeft w:val="0"/>
          <w:marRight w:val="0"/>
          <w:marTop w:val="0"/>
          <w:marBottom w:val="0"/>
          <w:divBdr>
            <w:top w:val="none" w:sz="0" w:space="0" w:color="auto"/>
            <w:left w:val="none" w:sz="0" w:space="0" w:color="auto"/>
            <w:bottom w:val="none" w:sz="0" w:space="0" w:color="auto"/>
            <w:right w:val="none" w:sz="0" w:space="0" w:color="auto"/>
          </w:divBdr>
        </w:div>
      </w:divsChild>
    </w:div>
    <w:div w:id="1703087292">
      <w:bodyDiv w:val="1"/>
      <w:marLeft w:val="0"/>
      <w:marRight w:val="0"/>
      <w:marTop w:val="0"/>
      <w:marBottom w:val="0"/>
      <w:divBdr>
        <w:top w:val="none" w:sz="0" w:space="0" w:color="auto"/>
        <w:left w:val="none" w:sz="0" w:space="0" w:color="auto"/>
        <w:bottom w:val="none" w:sz="0" w:space="0" w:color="auto"/>
        <w:right w:val="none" w:sz="0" w:space="0" w:color="auto"/>
      </w:divBdr>
    </w:div>
    <w:div w:id="1725567103">
      <w:bodyDiv w:val="1"/>
      <w:marLeft w:val="0"/>
      <w:marRight w:val="0"/>
      <w:marTop w:val="0"/>
      <w:marBottom w:val="0"/>
      <w:divBdr>
        <w:top w:val="none" w:sz="0" w:space="0" w:color="auto"/>
        <w:left w:val="none" w:sz="0" w:space="0" w:color="auto"/>
        <w:bottom w:val="none" w:sz="0" w:space="0" w:color="auto"/>
        <w:right w:val="none" w:sz="0" w:space="0" w:color="auto"/>
      </w:divBdr>
      <w:divsChild>
        <w:div w:id="1071391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12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780798">
      <w:bodyDiv w:val="1"/>
      <w:marLeft w:val="0"/>
      <w:marRight w:val="0"/>
      <w:marTop w:val="0"/>
      <w:marBottom w:val="0"/>
      <w:divBdr>
        <w:top w:val="none" w:sz="0" w:space="0" w:color="auto"/>
        <w:left w:val="none" w:sz="0" w:space="0" w:color="auto"/>
        <w:bottom w:val="none" w:sz="0" w:space="0" w:color="auto"/>
        <w:right w:val="none" w:sz="0" w:space="0" w:color="auto"/>
      </w:divBdr>
    </w:div>
    <w:div w:id="1778744799">
      <w:bodyDiv w:val="1"/>
      <w:marLeft w:val="0"/>
      <w:marRight w:val="0"/>
      <w:marTop w:val="0"/>
      <w:marBottom w:val="0"/>
      <w:divBdr>
        <w:top w:val="single" w:sz="18" w:space="15" w:color="191970"/>
        <w:left w:val="none" w:sz="0" w:space="0" w:color="auto"/>
        <w:bottom w:val="none" w:sz="0" w:space="0" w:color="auto"/>
        <w:right w:val="none" w:sz="0" w:space="0" w:color="auto"/>
      </w:divBdr>
      <w:divsChild>
        <w:div w:id="819229844">
          <w:marLeft w:val="0"/>
          <w:marRight w:val="0"/>
          <w:marTop w:val="0"/>
          <w:marBottom w:val="0"/>
          <w:divBdr>
            <w:top w:val="none" w:sz="0" w:space="0" w:color="auto"/>
            <w:left w:val="none" w:sz="0" w:space="0" w:color="auto"/>
            <w:bottom w:val="none" w:sz="0" w:space="0" w:color="auto"/>
            <w:right w:val="none" w:sz="0" w:space="0" w:color="auto"/>
          </w:divBdr>
          <w:divsChild>
            <w:div w:id="1094939944">
              <w:marLeft w:val="0"/>
              <w:marRight w:val="0"/>
              <w:marTop w:val="0"/>
              <w:marBottom w:val="0"/>
              <w:divBdr>
                <w:top w:val="none" w:sz="0" w:space="0" w:color="auto"/>
                <w:left w:val="none" w:sz="0" w:space="0" w:color="auto"/>
                <w:bottom w:val="none" w:sz="0" w:space="0" w:color="auto"/>
                <w:right w:val="none" w:sz="0" w:space="0" w:color="auto"/>
              </w:divBdr>
              <w:divsChild>
                <w:div w:id="1451240356">
                  <w:marLeft w:val="0"/>
                  <w:marRight w:val="0"/>
                  <w:marTop w:val="0"/>
                  <w:marBottom w:val="0"/>
                  <w:divBdr>
                    <w:top w:val="none" w:sz="0" w:space="0" w:color="auto"/>
                    <w:left w:val="none" w:sz="0" w:space="0" w:color="auto"/>
                    <w:bottom w:val="none" w:sz="0" w:space="0" w:color="auto"/>
                    <w:right w:val="none" w:sz="0" w:space="0" w:color="auto"/>
                  </w:divBdr>
                  <w:divsChild>
                    <w:div w:id="18728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62539">
      <w:bodyDiv w:val="1"/>
      <w:marLeft w:val="0"/>
      <w:marRight w:val="0"/>
      <w:marTop w:val="0"/>
      <w:marBottom w:val="0"/>
      <w:divBdr>
        <w:top w:val="none" w:sz="0" w:space="0" w:color="auto"/>
        <w:left w:val="none" w:sz="0" w:space="0" w:color="auto"/>
        <w:bottom w:val="none" w:sz="0" w:space="0" w:color="auto"/>
        <w:right w:val="none" w:sz="0" w:space="0" w:color="auto"/>
      </w:divBdr>
    </w:div>
    <w:div w:id="1901673932">
      <w:bodyDiv w:val="1"/>
      <w:marLeft w:val="0"/>
      <w:marRight w:val="0"/>
      <w:marTop w:val="0"/>
      <w:marBottom w:val="0"/>
      <w:divBdr>
        <w:top w:val="none" w:sz="0" w:space="0" w:color="auto"/>
        <w:left w:val="none" w:sz="0" w:space="0" w:color="auto"/>
        <w:bottom w:val="none" w:sz="0" w:space="0" w:color="auto"/>
        <w:right w:val="none" w:sz="0" w:space="0" w:color="auto"/>
      </w:divBdr>
    </w:div>
    <w:div w:id="1910727208">
      <w:bodyDiv w:val="1"/>
      <w:marLeft w:val="0"/>
      <w:marRight w:val="0"/>
      <w:marTop w:val="0"/>
      <w:marBottom w:val="0"/>
      <w:divBdr>
        <w:top w:val="none" w:sz="0" w:space="0" w:color="auto"/>
        <w:left w:val="none" w:sz="0" w:space="0" w:color="auto"/>
        <w:bottom w:val="none" w:sz="0" w:space="0" w:color="auto"/>
        <w:right w:val="none" w:sz="0" w:space="0" w:color="auto"/>
      </w:divBdr>
    </w:div>
    <w:div w:id="1921987212">
      <w:bodyDiv w:val="1"/>
      <w:marLeft w:val="0"/>
      <w:marRight w:val="0"/>
      <w:marTop w:val="0"/>
      <w:marBottom w:val="0"/>
      <w:divBdr>
        <w:top w:val="none" w:sz="0" w:space="0" w:color="auto"/>
        <w:left w:val="none" w:sz="0" w:space="0" w:color="auto"/>
        <w:bottom w:val="none" w:sz="0" w:space="0" w:color="auto"/>
        <w:right w:val="none" w:sz="0" w:space="0" w:color="auto"/>
      </w:divBdr>
    </w:div>
    <w:div w:id="1929578736">
      <w:bodyDiv w:val="1"/>
      <w:marLeft w:val="0"/>
      <w:marRight w:val="0"/>
      <w:marTop w:val="0"/>
      <w:marBottom w:val="0"/>
      <w:divBdr>
        <w:top w:val="single" w:sz="18" w:space="15" w:color="191970"/>
        <w:left w:val="none" w:sz="0" w:space="0" w:color="auto"/>
        <w:bottom w:val="none" w:sz="0" w:space="0" w:color="auto"/>
        <w:right w:val="none" w:sz="0" w:space="0" w:color="auto"/>
      </w:divBdr>
      <w:divsChild>
        <w:div w:id="1913737088">
          <w:marLeft w:val="0"/>
          <w:marRight w:val="0"/>
          <w:marTop w:val="0"/>
          <w:marBottom w:val="0"/>
          <w:divBdr>
            <w:top w:val="none" w:sz="0" w:space="0" w:color="auto"/>
            <w:left w:val="none" w:sz="0" w:space="0" w:color="auto"/>
            <w:bottom w:val="none" w:sz="0" w:space="0" w:color="auto"/>
            <w:right w:val="none" w:sz="0" w:space="0" w:color="auto"/>
          </w:divBdr>
          <w:divsChild>
            <w:div w:id="729040410">
              <w:marLeft w:val="0"/>
              <w:marRight w:val="0"/>
              <w:marTop w:val="0"/>
              <w:marBottom w:val="0"/>
              <w:divBdr>
                <w:top w:val="none" w:sz="0" w:space="0" w:color="auto"/>
                <w:left w:val="none" w:sz="0" w:space="0" w:color="auto"/>
                <w:bottom w:val="none" w:sz="0" w:space="0" w:color="auto"/>
                <w:right w:val="none" w:sz="0" w:space="0" w:color="auto"/>
              </w:divBdr>
              <w:divsChild>
                <w:div w:id="905799328">
                  <w:marLeft w:val="0"/>
                  <w:marRight w:val="0"/>
                  <w:marTop w:val="0"/>
                  <w:marBottom w:val="0"/>
                  <w:divBdr>
                    <w:top w:val="none" w:sz="0" w:space="0" w:color="auto"/>
                    <w:left w:val="none" w:sz="0" w:space="0" w:color="auto"/>
                    <w:bottom w:val="none" w:sz="0" w:space="0" w:color="auto"/>
                    <w:right w:val="none" w:sz="0" w:space="0" w:color="auto"/>
                  </w:divBdr>
                  <w:divsChild>
                    <w:div w:id="9546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10367">
      <w:bodyDiv w:val="1"/>
      <w:marLeft w:val="0"/>
      <w:marRight w:val="0"/>
      <w:marTop w:val="0"/>
      <w:marBottom w:val="0"/>
      <w:divBdr>
        <w:top w:val="none" w:sz="0" w:space="0" w:color="auto"/>
        <w:left w:val="none" w:sz="0" w:space="0" w:color="auto"/>
        <w:bottom w:val="none" w:sz="0" w:space="0" w:color="auto"/>
        <w:right w:val="none" w:sz="0" w:space="0" w:color="auto"/>
      </w:divBdr>
      <w:divsChild>
        <w:div w:id="8762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461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246126">
      <w:bodyDiv w:val="1"/>
      <w:marLeft w:val="0"/>
      <w:marRight w:val="0"/>
      <w:marTop w:val="0"/>
      <w:marBottom w:val="0"/>
      <w:divBdr>
        <w:top w:val="none" w:sz="0" w:space="0" w:color="auto"/>
        <w:left w:val="none" w:sz="0" w:space="0" w:color="auto"/>
        <w:bottom w:val="none" w:sz="0" w:space="0" w:color="auto"/>
        <w:right w:val="none" w:sz="0" w:space="0" w:color="auto"/>
      </w:divBdr>
    </w:div>
    <w:div w:id="1996756197">
      <w:bodyDiv w:val="1"/>
      <w:marLeft w:val="0"/>
      <w:marRight w:val="0"/>
      <w:marTop w:val="0"/>
      <w:marBottom w:val="0"/>
      <w:divBdr>
        <w:top w:val="none" w:sz="0" w:space="0" w:color="auto"/>
        <w:left w:val="none" w:sz="0" w:space="0" w:color="auto"/>
        <w:bottom w:val="none" w:sz="0" w:space="0" w:color="auto"/>
        <w:right w:val="none" w:sz="0" w:space="0" w:color="auto"/>
      </w:divBdr>
      <w:divsChild>
        <w:div w:id="2004816660">
          <w:marLeft w:val="0"/>
          <w:marRight w:val="0"/>
          <w:marTop w:val="0"/>
          <w:marBottom w:val="0"/>
          <w:divBdr>
            <w:top w:val="none" w:sz="0" w:space="0" w:color="auto"/>
            <w:left w:val="none" w:sz="0" w:space="0" w:color="auto"/>
            <w:bottom w:val="none" w:sz="0" w:space="0" w:color="auto"/>
            <w:right w:val="none" w:sz="0" w:space="0" w:color="auto"/>
          </w:divBdr>
        </w:div>
      </w:divsChild>
    </w:div>
    <w:div w:id="2019848823">
      <w:bodyDiv w:val="1"/>
      <w:marLeft w:val="0"/>
      <w:marRight w:val="0"/>
      <w:marTop w:val="0"/>
      <w:marBottom w:val="0"/>
      <w:divBdr>
        <w:top w:val="none" w:sz="0" w:space="0" w:color="auto"/>
        <w:left w:val="none" w:sz="0" w:space="0" w:color="auto"/>
        <w:bottom w:val="none" w:sz="0" w:space="0" w:color="auto"/>
        <w:right w:val="none" w:sz="0" w:space="0" w:color="auto"/>
      </w:divBdr>
    </w:div>
    <w:div w:id="2032684229">
      <w:bodyDiv w:val="1"/>
      <w:marLeft w:val="0"/>
      <w:marRight w:val="0"/>
      <w:marTop w:val="0"/>
      <w:marBottom w:val="0"/>
      <w:divBdr>
        <w:top w:val="none" w:sz="0" w:space="0" w:color="auto"/>
        <w:left w:val="none" w:sz="0" w:space="0" w:color="auto"/>
        <w:bottom w:val="none" w:sz="0" w:space="0" w:color="auto"/>
        <w:right w:val="none" w:sz="0" w:space="0" w:color="auto"/>
      </w:divBdr>
    </w:div>
    <w:div w:id="2044476458">
      <w:bodyDiv w:val="1"/>
      <w:marLeft w:val="0"/>
      <w:marRight w:val="0"/>
      <w:marTop w:val="0"/>
      <w:marBottom w:val="0"/>
      <w:divBdr>
        <w:top w:val="none" w:sz="0" w:space="0" w:color="auto"/>
        <w:left w:val="none" w:sz="0" w:space="0" w:color="auto"/>
        <w:bottom w:val="none" w:sz="0" w:space="0" w:color="auto"/>
        <w:right w:val="none" w:sz="0" w:space="0" w:color="auto"/>
      </w:divBdr>
    </w:div>
    <w:div w:id="2076005181">
      <w:bodyDiv w:val="1"/>
      <w:marLeft w:val="0"/>
      <w:marRight w:val="0"/>
      <w:marTop w:val="0"/>
      <w:marBottom w:val="0"/>
      <w:divBdr>
        <w:top w:val="none" w:sz="0" w:space="0" w:color="auto"/>
        <w:left w:val="none" w:sz="0" w:space="0" w:color="auto"/>
        <w:bottom w:val="none" w:sz="0" w:space="0" w:color="auto"/>
        <w:right w:val="none" w:sz="0" w:space="0" w:color="auto"/>
      </w:divBdr>
    </w:div>
    <w:div w:id="2091385707">
      <w:bodyDiv w:val="1"/>
      <w:marLeft w:val="0"/>
      <w:marRight w:val="0"/>
      <w:marTop w:val="0"/>
      <w:marBottom w:val="0"/>
      <w:divBdr>
        <w:top w:val="none" w:sz="0" w:space="0" w:color="auto"/>
        <w:left w:val="none" w:sz="0" w:space="0" w:color="auto"/>
        <w:bottom w:val="none" w:sz="0" w:space="0" w:color="auto"/>
        <w:right w:val="none" w:sz="0" w:space="0" w:color="auto"/>
      </w:divBdr>
    </w:div>
    <w:div w:id="2110619338">
      <w:bodyDiv w:val="1"/>
      <w:marLeft w:val="0"/>
      <w:marRight w:val="0"/>
      <w:marTop w:val="0"/>
      <w:marBottom w:val="0"/>
      <w:divBdr>
        <w:top w:val="none" w:sz="0" w:space="0" w:color="auto"/>
        <w:left w:val="none" w:sz="0" w:space="0" w:color="auto"/>
        <w:bottom w:val="none" w:sz="0" w:space="0" w:color="auto"/>
        <w:right w:val="none" w:sz="0" w:space="0" w:color="auto"/>
      </w:divBdr>
    </w:div>
    <w:div w:id="2130393041">
      <w:bodyDiv w:val="1"/>
      <w:marLeft w:val="0"/>
      <w:marRight w:val="0"/>
      <w:marTop w:val="0"/>
      <w:marBottom w:val="0"/>
      <w:divBdr>
        <w:top w:val="none" w:sz="0" w:space="0" w:color="auto"/>
        <w:left w:val="none" w:sz="0" w:space="0" w:color="auto"/>
        <w:bottom w:val="none" w:sz="0" w:space="0" w:color="auto"/>
        <w:right w:val="none" w:sz="0" w:space="0" w:color="auto"/>
      </w:divBdr>
    </w:div>
    <w:div w:id="2146652893">
      <w:bodyDiv w:val="1"/>
      <w:marLeft w:val="0"/>
      <w:marRight w:val="0"/>
      <w:marTop w:val="0"/>
      <w:marBottom w:val="0"/>
      <w:divBdr>
        <w:top w:val="none" w:sz="0" w:space="0" w:color="auto"/>
        <w:left w:val="none" w:sz="0" w:space="0" w:color="auto"/>
        <w:bottom w:val="none" w:sz="0" w:space="0" w:color="auto"/>
        <w:right w:val="none" w:sz="0" w:space="0" w:color="auto"/>
      </w:divBdr>
      <w:divsChild>
        <w:div w:id="187708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spending-review-and-autumn-statement-2015-documents/spending-review-and-autumn-statement-2015" TargetMode="External"/><Relationship Id="rId1" Type="http://schemas.openxmlformats.org/officeDocument/2006/relationships/hyperlink" Target="https://www.lexisnexis.com/uk/legal/search/enhRunRemoteLink.do?service=citator&amp;csi=279841&amp;remotekey2=%5B1989%5D+1+All+ER+621&amp;remotekey1=REPORT-CITATION&amp;ersKey=23_T22740264245&amp;backKey=20_T22740268313&amp;citatorCC=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B8EB-9DDB-4C1B-B88B-05958FDE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10228</Words>
  <Characters>58306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Michael;Rebecca</dc:creator>
  <cp:lastModifiedBy>Ay Okpokam</cp:lastModifiedBy>
  <cp:revision>2</cp:revision>
  <cp:lastPrinted>2016-10-13T13:17:00Z</cp:lastPrinted>
  <dcterms:created xsi:type="dcterms:W3CDTF">2017-01-17T15:31:00Z</dcterms:created>
  <dcterms:modified xsi:type="dcterms:W3CDTF">2017-01-17T15:31:00Z</dcterms:modified>
</cp:coreProperties>
</file>