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6D" w:rsidRDefault="00D25D2F" w:rsidP="008942EF">
      <w:pPr>
        <w:spacing w:after="0" w:line="480" w:lineRule="auto"/>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Governing sex work through crime: creating the context for violence and exploitation</w:t>
      </w:r>
    </w:p>
    <w:p w:rsidR="0021512C" w:rsidRPr="00D25D2F" w:rsidRDefault="0021512C" w:rsidP="008942EF">
      <w:pPr>
        <w:spacing w:after="0" w:line="480" w:lineRule="auto"/>
        <w:jc w:val="both"/>
        <w:rPr>
          <w:rFonts w:ascii="Times New Roman" w:hAnsi="Times New Roman" w:cs="Times New Roman"/>
          <w:sz w:val="24"/>
          <w:szCs w:val="24"/>
        </w:rPr>
      </w:pPr>
    </w:p>
    <w:p w:rsidR="00A24B97" w:rsidRDefault="00A24B97" w:rsidP="008942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A24B97" w:rsidRPr="00A24B97" w:rsidRDefault="00A24B97" w:rsidP="008942EF">
      <w:pPr>
        <w:spacing w:after="0" w:line="480" w:lineRule="auto"/>
        <w:jc w:val="both"/>
        <w:rPr>
          <w:rFonts w:ascii="Times New Roman" w:hAnsi="Times New Roman" w:cs="Times New Roman"/>
          <w:sz w:val="24"/>
          <w:szCs w:val="24"/>
        </w:rPr>
      </w:pPr>
      <w:r w:rsidRPr="00A24B97">
        <w:rPr>
          <w:rFonts w:ascii="Times New Roman" w:hAnsi="Times New Roman" w:cs="Times New Roman"/>
          <w:bCs/>
          <w:sz w:val="24"/>
          <w:szCs w:val="24"/>
        </w:rPr>
        <w:t>This article uses Jonathan Simon’s concept of ‘governing through crime’ as a f</w:t>
      </w:r>
      <w:r w:rsidR="0058002B">
        <w:rPr>
          <w:rFonts w:ascii="Times New Roman" w:hAnsi="Times New Roman" w:cs="Times New Roman"/>
          <w:bCs/>
          <w:sz w:val="24"/>
          <w:szCs w:val="24"/>
        </w:rPr>
        <w:t>ramework to argue that the state</w:t>
      </w:r>
      <w:r w:rsidRPr="00A24B97">
        <w:rPr>
          <w:rFonts w:ascii="Times New Roman" w:hAnsi="Times New Roman" w:cs="Times New Roman"/>
          <w:bCs/>
          <w:sz w:val="24"/>
          <w:szCs w:val="24"/>
        </w:rPr>
        <w:t xml:space="preserve"> has framed sex work, and its surrounding problems</w:t>
      </w:r>
      <w:r w:rsidR="0058002B">
        <w:rPr>
          <w:rFonts w:ascii="Times New Roman" w:hAnsi="Times New Roman" w:cs="Times New Roman"/>
          <w:bCs/>
          <w:sz w:val="24"/>
          <w:szCs w:val="24"/>
        </w:rPr>
        <w:t>,</w:t>
      </w:r>
      <w:r w:rsidRPr="00A24B97">
        <w:rPr>
          <w:rFonts w:ascii="Times New Roman" w:hAnsi="Times New Roman" w:cs="Times New Roman"/>
          <w:bCs/>
          <w:sz w:val="24"/>
          <w:szCs w:val="24"/>
        </w:rPr>
        <w:t xml:space="preserve"> as issues of crime. There has been a privileging and proliferation of criminal justice responses to sex work</w:t>
      </w:r>
      <w:r w:rsidR="0058002B">
        <w:rPr>
          <w:rFonts w:ascii="Times New Roman" w:hAnsi="Times New Roman" w:cs="Times New Roman"/>
          <w:bCs/>
          <w:sz w:val="24"/>
          <w:szCs w:val="24"/>
        </w:rPr>
        <w:t xml:space="preserve"> in England and Wales</w:t>
      </w:r>
      <w:r w:rsidRPr="00A24B97">
        <w:rPr>
          <w:rFonts w:ascii="Times New Roman" w:hAnsi="Times New Roman" w:cs="Times New Roman"/>
          <w:bCs/>
          <w:sz w:val="24"/>
          <w:szCs w:val="24"/>
        </w:rPr>
        <w:t xml:space="preserve">, at the expense of more social or welfare based responses, and at the expense of creating safer environments for sex workers to work. </w:t>
      </w:r>
      <w:r w:rsidR="0058002B">
        <w:rPr>
          <w:rFonts w:ascii="Times New Roman" w:hAnsi="Times New Roman" w:cs="Times New Roman"/>
          <w:bCs/>
          <w:sz w:val="24"/>
          <w:szCs w:val="24"/>
        </w:rPr>
        <w:t>C</w:t>
      </w:r>
      <w:r w:rsidRPr="00A24B97">
        <w:rPr>
          <w:rFonts w:ascii="Times New Roman" w:hAnsi="Times New Roman" w:cs="Times New Roman"/>
          <w:bCs/>
          <w:sz w:val="24"/>
          <w:szCs w:val="24"/>
        </w:rPr>
        <w:t>riminal law is used to manage and control sex work, to reinforce other policies, such as immigration and border control, and to appear to be doing something about the ‘problem’ of sex work without providing rights to sex workers. By framing sex work as an issue of crime, with sex workers being both the perpetrators of crime and the potential victims of exploitative crime, the state is able to legitimise its actions against sex workers, while ignoring the harm done to sex workers by the state.</w:t>
      </w:r>
    </w:p>
    <w:p w:rsidR="00A24B97" w:rsidRDefault="00A24B97" w:rsidP="008942EF">
      <w:pPr>
        <w:spacing w:after="0" w:line="480" w:lineRule="auto"/>
        <w:jc w:val="both"/>
        <w:rPr>
          <w:rFonts w:ascii="Times New Roman" w:hAnsi="Times New Roman" w:cs="Times New Roman"/>
          <w:b/>
          <w:sz w:val="24"/>
          <w:szCs w:val="24"/>
        </w:rPr>
      </w:pPr>
    </w:p>
    <w:p w:rsidR="00A24B97" w:rsidRPr="00A24B97" w:rsidRDefault="00A24B97" w:rsidP="00A24B9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Key Words:</w:t>
      </w:r>
      <w:r w:rsidRPr="00A24B97">
        <w:t xml:space="preserve"> </w:t>
      </w:r>
      <w:r w:rsidRPr="00A24B97">
        <w:rPr>
          <w:rFonts w:ascii="Times New Roman" w:hAnsi="Times New Roman" w:cs="Times New Roman"/>
          <w:sz w:val="24"/>
          <w:szCs w:val="24"/>
        </w:rPr>
        <w:t>Governing through Crime; Sex Work; Crime; Viol</w:t>
      </w:r>
      <w:r w:rsidR="0058002B">
        <w:rPr>
          <w:rFonts w:ascii="Times New Roman" w:hAnsi="Times New Roman" w:cs="Times New Roman"/>
          <w:sz w:val="24"/>
          <w:szCs w:val="24"/>
        </w:rPr>
        <w:t>ence; Exploitation</w:t>
      </w:r>
    </w:p>
    <w:p w:rsidR="00A24B97" w:rsidRDefault="00A24B97" w:rsidP="008942EF">
      <w:pPr>
        <w:spacing w:after="0" w:line="480" w:lineRule="auto"/>
        <w:jc w:val="both"/>
        <w:rPr>
          <w:rFonts w:ascii="Times New Roman" w:hAnsi="Times New Roman" w:cs="Times New Roman"/>
          <w:b/>
          <w:sz w:val="24"/>
          <w:szCs w:val="24"/>
        </w:rPr>
      </w:pPr>
    </w:p>
    <w:p w:rsidR="00A24B97" w:rsidRDefault="00A24B97" w:rsidP="008942EF">
      <w:pPr>
        <w:spacing w:after="0" w:line="480" w:lineRule="auto"/>
        <w:jc w:val="both"/>
        <w:rPr>
          <w:rFonts w:ascii="Times New Roman" w:hAnsi="Times New Roman" w:cs="Times New Roman"/>
          <w:b/>
          <w:sz w:val="24"/>
          <w:szCs w:val="24"/>
        </w:rPr>
      </w:pPr>
    </w:p>
    <w:p w:rsidR="00A24B97" w:rsidRDefault="00A24B97" w:rsidP="008942EF">
      <w:pPr>
        <w:spacing w:after="0" w:line="480" w:lineRule="auto"/>
        <w:jc w:val="both"/>
        <w:rPr>
          <w:rFonts w:ascii="Times New Roman" w:hAnsi="Times New Roman" w:cs="Times New Roman"/>
          <w:b/>
          <w:sz w:val="24"/>
          <w:szCs w:val="24"/>
        </w:rPr>
      </w:pPr>
    </w:p>
    <w:p w:rsidR="00A24B97" w:rsidRDefault="00A24B97" w:rsidP="008942EF">
      <w:pPr>
        <w:spacing w:after="0" w:line="480" w:lineRule="auto"/>
        <w:jc w:val="both"/>
        <w:rPr>
          <w:rFonts w:ascii="Times New Roman" w:hAnsi="Times New Roman" w:cs="Times New Roman"/>
          <w:b/>
          <w:sz w:val="24"/>
          <w:szCs w:val="24"/>
        </w:rPr>
      </w:pPr>
    </w:p>
    <w:p w:rsidR="00A24B97" w:rsidRDefault="00A24B97" w:rsidP="008942EF">
      <w:pPr>
        <w:spacing w:after="0" w:line="480" w:lineRule="auto"/>
        <w:jc w:val="both"/>
        <w:rPr>
          <w:rFonts w:ascii="Times New Roman" w:hAnsi="Times New Roman" w:cs="Times New Roman"/>
          <w:b/>
          <w:sz w:val="24"/>
          <w:szCs w:val="24"/>
        </w:rPr>
      </w:pPr>
    </w:p>
    <w:p w:rsidR="00A24B97" w:rsidRDefault="00A24B97" w:rsidP="008942EF">
      <w:pPr>
        <w:spacing w:after="0" w:line="480" w:lineRule="auto"/>
        <w:jc w:val="both"/>
        <w:rPr>
          <w:rFonts w:ascii="Times New Roman" w:hAnsi="Times New Roman" w:cs="Times New Roman"/>
          <w:b/>
          <w:sz w:val="24"/>
          <w:szCs w:val="24"/>
        </w:rPr>
      </w:pPr>
    </w:p>
    <w:p w:rsidR="0058002B" w:rsidRDefault="0058002B" w:rsidP="008942EF">
      <w:pPr>
        <w:spacing w:after="0" w:line="480" w:lineRule="auto"/>
        <w:jc w:val="both"/>
        <w:rPr>
          <w:rFonts w:ascii="Times New Roman" w:hAnsi="Times New Roman" w:cs="Times New Roman"/>
          <w:b/>
          <w:sz w:val="24"/>
          <w:szCs w:val="24"/>
        </w:rPr>
      </w:pPr>
    </w:p>
    <w:p w:rsidR="0058002B" w:rsidRDefault="0058002B" w:rsidP="008942EF">
      <w:pPr>
        <w:spacing w:after="0" w:line="480" w:lineRule="auto"/>
        <w:jc w:val="both"/>
        <w:rPr>
          <w:rFonts w:ascii="Times New Roman" w:hAnsi="Times New Roman" w:cs="Times New Roman"/>
          <w:b/>
          <w:sz w:val="24"/>
          <w:szCs w:val="24"/>
        </w:rPr>
      </w:pPr>
    </w:p>
    <w:p w:rsidR="0058002B" w:rsidRDefault="0058002B" w:rsidP="008942EF">
      <w:pPr>
        <w:spacing w:after="0" w:line="480" w:lineRule="auto"/>
        <w:jc w:val="both"/>
        <w:rPr>
          <w:rFonts w:ascii="Times New Roman" w:hAnsi="Times New Roman" w:cs="Times New Roman"/>
          <w:b/>
          <w:sz w:val="24"/>
          <w:szCs w:val="24"/>
        </w:rPr>
      </w:pPr>
    </w:p>
    <w:p w:rsidR="000E0C7A" w:rsidRDefault="000E0C7A" w:rsidP="008942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0E0C7A" w:rsidRDefault="000E0C7A" w:rsidP="008942EF">
      <w:pPr>
        <w:spacing w:after="0" w:line="480" w:lineRule="auto"/>
        <w:jc w:val="both"/>
        <w:rPr>
          <w:rFonts w:ascii="Times New Roman" w:hAnsi="Times New Roman" w:cs="Times New Roman"/>
          <w:b/>
          <w:sz w:val="24"/>
          <w:szCs w:val="24"/>
        </w:rPr>
      </w:pPr>
    </w:p>
    <w:p w:rsidR="006578C9" w:rsidRPr="00A71ABF" w:rsidRDefault="00BD74FD" w:rsidP="008942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Early in</w:t>
      </w:r>
      <w:r w:rsidR="006578C9" w:rsidRPr="006578C9">
        <w:rPr>
          <w:rFonts w:ascii="Times New Roman" w:hAnsi="Times New Roman" w:cs="Times New Roman"/>
          <w:sz w:val="24"/>
          <w:szCs w:val="24"/>
        </w:rPr>
        <w:t xml:space="preserve"> 2016, the Government launched an inquiry to assess whether the </w:t>
      </w:r>
      <w:r w:rsidR="00B71C79">
        <w:rPr>
          <w:rFonts w:ascii="Times New Roman" w:hAnsi="Times New Roman" w:cs="Times New Roman"/>
          <w:sz w:val="24"/>
          <w:szCs w:val="24"/>
        </w:rPr>
        <w:t>‘</w:t>
      </w:r>
      <w:r w:rsidR="006578C9" w:rsidRPr="006578C9">
        <w:rPr>
          <w:rFonts w:ascii="Times New Roman" w:hAnsi="Times New Roman" w:cs="Times New Roman"/>
          <w:sz w:val="24"/>
          <w:szCs w:val="24"/>
        </w:rPr>
        <w:t>burden of criminality</w:t>
      </w:r>
      <w:r w:rsidR="00B71C79">
        <w:rPr>
          <w:rFonts w:ascii="Times New Roman" w:hAnsi="Times New Roman" w:cs="Times New Roman"/>
          <w:sz w:val="24"/>
          <w:szCs w:val="24"/>
        </w:rPr>
        <w:t>’</w:t>
      </w:r>
      <w:r w:rsidR="006578C9">
        <w:rPr>
          <w:rFonts w:ascii="Times New Roman" w:hAnsi="Times New Roman" w:cs="Times New Roman"/>
          <w:sz w:val="24"/>
          <w:szCs w:val="24"/>
        </w:rPr>
        <w:t xml:space="preserve"> in sex work</w:t>
      </w:r>
      <w:r>
        <w:rPr>
          <w:rStyle w:val="FootnoteReference"/>
          <w:rFonts w:ascii="Times New Roman" w:hAnsi="Times New Roman" w:cs="Times New Roman"/>
          <w:sz w:val="24"/>
          <w:szCs w:val="24"/>
        </w:rPr>
        <w:footnoteReference w:id="1"/>
      </w:r>
      <w:r w:rsidR="006578C9" w:rsidRPr="006578C9">
        <w:rPr>
          <w:rFonts w:ascii="Times New Roman" w:hAnsi="Times New Roman" w:cs="Times New Roman"/>
          <w:sz w:val="24"/>
          <w:szCs w:val="24"/>
        </w:rPr>
        <w:t xml:space="preserve"> ‘should be shifted to those who </w:t>
      </w:r>
      <w:r w:rsidR="006578C9" w:rsidRPr="006578C9">
        <w:rPr>
          <w:rFonts w:ascii="Times New Roman" w:hAnsi="Times New Roman" w:cs="Times New Roman"/>
          <w:bCs/>
          <w:sz w:val="24"/>
          <w:szCs w:val="24"/>
        </w:rPr>
        <w:t xml:space="preserve">pay for sex rather than those who sell it’, in order to ‘discourage demand which drives </w:t>
      </w:r>
      <w:r w:rsidR="000877C9">
        <w:rPr>
          <w:rFonts w:ascii="Times New Roman" w:hAnsi="Times New Roman" w:cs="Times New Roman"/>
          <w:bCs/>
          <w:sz w:val="24"/>
          <w:szCs w:val="24"/>
        </w:rPr>
        <w:t>commercial sexual exploitation’</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2"/>
      </w:r>
      <w:r w:rsidR="006578C9" w:rsidRPr="006578C9">
        <w:rPr>
          <w:rFonts w:ascii="Times New Roman" w:hAnsi="Times New Roman" w:cs="Times New Roman"/>
          <w:bCs/>
          <w:sz w:val="24"/>
          <w:szCs w:val="24"/>
        </w:rPr>
        <w:t xml:space="preserve"> </w:t>
      </w:r>
      <w:r>
        <w:rPr>
          <w:rFonts w:ascii="Times New Roman" w:hAnsi="Times New Roman" w:cs="Times New Roman"/>
          <w:bCs/>
          <w:sz w:val="24"/>
          <w:szCs w:val="24"/>
        </w:rPr>
        <w:t>The</w:t>
      </w:r>
      <w:r w:rsidR="006578C9">
        <w:rPr>
          <w:rFonts w:ascii="Times New Roman" w:hAnsi="Times New Roman" w:cs="Times New Roman"/>
          <w:bCs/>
          <w:sz w:val="24"/>
          <w:szCs w:val="24"/>
        </w:rPr>
        <w:t xml:space="preserve"> </w:t>
      </w:r>
      <w:r>
        <w:rPr>
          <w:rFonts w:ascii="Times New Roman" w:hAnsi="Times New Roman" w:cs="Times New Roman"/>
          <w:bCs/>
          <w:sz w:val="24"/>
          <w:szCs w:val="24"/>
        </w:rPr>
        <w:t>inquiry was</w:t>
      </w:r>
      <w:r w:rsidR="00B71C79">
        <w:rPr>
          <w:rFonts w:ascii="Times New Roman" w:hAnsi="Times New Roman" w:cs="Times New Roman"/>
          <w:bCs/>
          <w:sz w:val="24"/>
          <w:szCs w:val="24"/>
        </w:rPr>
        <w:t xml:space="preserve"> the</w:t>
      </w:r>
      <w:r w:rsidR="006578C9">
        <w:rPr>
          <w:rFonts w:ascii="Times New Roman" w:hAnsi="Times New Roman" w:cs="Times New Roman"/>
          <w:bCs/>
          <w:sz w:val="24"/>
          <w:szCs w:val="24"/>
        </w:rPr>
        <w:t xml:space="preserve"> latest step in </w:t>
      </w:r>
      <w:r w:rsidR="00B71C79">
        <w:rPr>
          <w:rFonts w:ascii="Times New Roman" w:hAnsi="Times New Roman" w:cs="Times New Roman"/>
          <w:bCs/>
          <w:sz w:val="24"/>
          <w:szCs w:val="24"/>
        </w:rPr>
        <w:t xml:space="preserve">a decade-long public </w:t>
      </w:r>
      <w:r w:rsidR="006578C9">
        <w:rPr>
          <w:rFonts w:ascii="Times New Roman" w:hAnsi="Times New Roman" w:cs="Times New Roman"/>
          <w:bCs/>
          <w:sz w:val="24"/>
          <w:szCs w:val="24"/>
        </w:rPr>
        <w:t xml:space="preserve">re-examination of sex work </w:t>
      </w:r>
      <w:r w:rsidR="00B71C79">
        <w:rPr>
          <w:rFonts w:ascii="Times New Roman" w:hAnsi="Times New Roman" w:cs="Times New Roman"/>
          <w:bCs/>
          <w:sz w:val="24"/>
          <w:szCs w:val="24"/>
        </w:rPr>
        <w:t xml:space="preserve">in </w:t>
      </w:r>
      <w:r w:rsidR="006578C9" w:rsidRPr="006578C9">
        <w:rPr>
          <w:rFonts w:ascii="Times New Roman" w:hAnsi="Times New Roman" w:cs="Times New Roman"/>
          <w:sz w:val="24"/>
          <w:szCs w:val="24"/>
        </w:rPr>
        <w:t xml:space="preserve">England and </w:t>
      </w:r>
      <w:r w:rsidR="006578C9">
        <w:rPr>
          <w:rFonts w:ascii="Times New Roman" w:hAnsi="Times New Roman" w:cs="Times New Roman"/>
          <w:sz w:val="24"/>
          <w:szCs w:val="24"/>
        </w:rPr>
        <w:t>Wale</w:t>
      </w:r>
      <w:r w:rsidR="00B71C79">
        <w:rPr>
          <w:rFonts w:ascii="Times New Roman" w:hAnsi="Times New Roman" w:cs="Times New Roman"/>
          <w:sz w:val="24"/>
          <w:szCs w:val="24"/>
        </w:rPr>
        <w: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000877C9">
        <w:rPr>
          <w:rFonts w:ascii="Times New Roman" w:hAnsi="Times New Roman" w:cs="Times New Roman"/>
          <w:sz w:val="24"/>
          <w:szCs w:val="24"/>
        </w:rPr>
        <w:t xml:space="preserve"> </w:t>
      </w:r>
      <w:r>
        <w:rPr>
          <w:rFonts w:ascii="Times New Roman" w:hAnsi="Times New Roman" w:cs="Times New Roman"/>
          <w:sz w:val="24"/>
          <w:szCs w:val="24"/>
        </w:rPr>
        <w:t>Deviating from the more punitive approaches taken</w:t>
      </w:r>
      <w:r w:rsidR="00A71ABF">
        <w:rPr>
          <w:rFonts w:ascii="Times New Roman" w:hAnsi="Times New Roman" w:cs="Times New Roman"/>
          <w:sz w:val="24"/>
          <w:szCs w:val="24"/>
        </w:rPr>
        <w:t xml:space="preserve"> previously</w:t>
      </w:r>
      <w:r>
        <w:rPr>
          <w:rFonts w:ascii="Times New Roman" w:hAnsi="Times New Roman" w:cs="Times New Roman"/>
          <w:sz w:val="24"/>
          <w:szCs w:val="24"/>
        </w:rPr>
        <w:t xml:space="preserve">, the </w:t>
      </w:r>
      <w:r w:rsidR="00A71ABF">
        <w:rPr>
          <w:rFonts w:ascii="Times New Roman" w:hAnsi="Times New Roman" w:cs="Times New Roman"/>
          <w:sz w:val="24"/>
          <w:szCs w:val="24"/>
        </w:rPr>
        <w:t xml:space="preserve">Home Affairs Select Committee, which is undertaking the inquiry, </w:t>
      </w:r>
      <w:r>
        <w:rPr>
          <w:rFonts w:ascii="Times New Roman" w:hAnsi="Times New Roman" w:cs="Times New Roman"/>
          <w:sz w:val="24"/>
          <w:szCs w:val="24"/>
        </w:rPr>
        <w:t xml:space="preserve">recommended </w:t>
      </w:r>
      <w:r w:rsidR="0035087F">
        <w:rPr>
          <w:rFonts w:ascii="Times New Roman" w:hAnsi="Times New Roman" w:cs="Times New Roman"/>
          <w:sz w:val="24"/>
          <w:szCs w:val="24"/>
        </w:rPr>
        <w:t xml:space="preserve">in June 2016 </w:t>
      </w:r>
      <w:r>
        <w:rPr>
          <w:rFonts w:ascii="Times New Roman" w:hAnsi="Times New Roman" w:cs="Times New Roman"/>
          <w:sz w:val="24"/>
          <w:szCs w:val="24"/>
        </w:rPr>
        <w:t xml:space="preserve">that elements of the law relating to sex work – namely brothel keeping and soliciting – be </w:t>
      </w:r>
      <w:r w:rsidR="00A71ABF">
        <w:rPr>
          <w:rFonts w:ascii="Times New Roman" w:hAnsi="Times New Roman" w:cs="Times New Roman"/>
          <w:sz w:val="24"/>
          <w:szCs w:val="24"/>
        </w:rPr>
        <w:t>decriminalised to remove the criminal burden from sex workers and promote their safety</w:t>
      </w:r>
      <w:r>
        <w:rPr>
          <w:rFonts w:ascii="Times New Roman" w:hAnsi="Times New Roman" w:cs="Times New Roman"/>
          <w:sz w:val="24"/>
          <w:szCs w:val="24"/>
        </w:rPr>
        <w:t>.</w:t>
      </w:r>
      <w:r w:rsidR="00A71ABF">
        <w:rPr>
          <w:rStyle w:val="FootnoteReference"/>
          <w:rFonts w:ascii="Times New Roman" w:hAnsi="Times New Roman" w:cs="Times New Roman"/>
          <w:sz w:val="24"/>
          <w:szCs w:val="24"/>
        </w:rPr>
        <w:footnoteReference w:id="4"/>
      </w:r>
      <w:r w:rsidR="00A71ABF">
        <w:rPr>
          <w:rFonts w:ascii="Times New Roman" w:hAnsi="Times New Roman" w:cs="Times New Roman"/>
          <w:sz w:val="24"/>
          <w:szCs w:val="24"/>
        </w:rPr>
        <w:t xml:space="preserve"> The inquiry, however, has yet to be completed and no action has yet been taken by the Government in response to the report. </w:t>
      </w:r>
      <w:r w:rsidR="006578C9">
        <w:rPr>
          <w:rFonts w:ascii="Times New Roman" w:hAnsi="Times New Roman" w:cs="Times New Roman"/>
          <w:sz w:val="24"/>
          <w:szCs w:val="24"/>
        </w:rPr>
        <w:t>It is, therefore, timely and important to e</w:t>
      </w:r>
      <w:r w:rsidR="00A71ABF">
        <w:rPr>
          <w:rFonts w:ascii="Times New Roman" w:hAnsi="Times New Roman" w:cs="Times New Roman"/>
          <w:sz w:val="24"/>
          <w:szCs w:val="24"/>
        </w:rPr>
        <w:t>xplore</w:t>
      </w:r>
      <w:r w:rsidR="006578C9">
        <w:rPr>
          <w:rFonts w:ascii="Times New Roman" w:hAnsi="Times New Roman" w:cs="Times New Roman"/>
          <w:sz w:val="24"/>
          <w:szCs w:val="24"/>
        </w:rPr>
        <w:t xml:space="preserve"> whether a continued reliance on </w:t>
      </w:r>
      <w:r w:rsidR="00267C3A">
        <w:rPr>
          <w:rFonts w:ascii="Times New Roman" w:hAnsi="Times New Roman" w:cs="Times New Roman"/>
          <w:sz w:val="24"/>
          <w:szCs w:val="24"/>
        </w:rPr>
        <w:t>a</w:t>
      </w:r>
      <w:r w:rsidR="00A71ABF">
        <w:rPr>
          <w:rFonts w:ascii="Times New Roman" w:hAnsi="Times New Roman" w:cs="Times New Roman"/>
          <w:sz w:val="24"/>
          <w:szCs w:val="24"/>
        </w:rPr>
        <w:t>ny</w:t>
      </w:r>
      <w:r w:rsidR="00267C3A">
        <w:rPr>
          <w:rFonts w:ascii="Times New Roman" w:hAnsi="Times New Roman" w:cs="Times New Roman"/>
          <w:sz w:val="24"/>
          <w:szCs w:val="24"/>
        </w:rPr>
        <w:t xml:space="preserve"> ‘burden of criminality’</w:t>
      </w:r>
      <w:r w:rsidR="006578C9">
        <w:rPr>
          <w:rFonts w:ascii="Times New Roman" w:hAnsi="Times New Roman" w:cs="Times New Roman"/>
          <w:sz w:val="24"/>
          <w:szCs w:val="24"/>
        </w:rPr>
        <w:t xml:space="preserve"> is advisable in the regulation of sex work. </w:t>
      </w:r>
      <w:r w:rsidR="006578C9" w:rsidRPr="006578C9">
        <w:rPr>
          <w:rFonts w:ascii="Times New Roman" w:hAnsi="Times New Roman" w:cs="Times New Roman"/>
          <w:bCs/>
          <w:sz w:val="24"/>
          <w:szCs w:val="24"/>
        </w:rPr>
        <w:t xml:space="preserve">This article will argue that </w:t>
      </w:r>
      <w:r w:rsidR="00EF444B">
        <w:rPr>
          <w:rFonts w:ascii="Times New Roman" w:hAnsi="Times New Roman" w:cs="Times New Roman"/>
          <w:bCs/>
          <w:sz w:val="24"/>
          <w:szCs w:val="24"/>
        </w:rPr>
        <w:t>th</w:t>
      </w:r>
      <w:r w:rsidR="00A71ABF">
        <w:rPr>
          <w:rFonts w:ascii="Times New Roman" w:hAnsi="Times New Roman" w:cs="Times New Roman"/>
          <w:bCs/>
          <w:sz w:val="24"/>
          <w:szCs w:val="24"/>
        </w:rPr>
        <w:t>e continued overreliance on criminal law to respond to sex work</w:t>
      </w:r>
      <w:r w:rsidR="00EF444B">
        <w:rPr>
          <w:rFonts w:ascii="Times New Roman" w:hAnsi="Times New Roman" w:cs="Times New Roman"/>
          <w:bCs/>
          <w:sz w:val="24"/>
          <w:szCs w:val="24"/>
        </w:rPr>
        <w:t xml:space="preserve"> is misjudged</w:t>
      </w:r>
      <w:r w:rsidR="006578C9" w:rsidRPr="006578C9">
        <w:rPr>
          <w:rFonts w:ascii="Times New Roman" w:hAnsi="Times New Roman" w:cs="Times New Roman"/>
          <w:bCs/>
          <w:sz w:val="24"/>
          <w:szCs w:val="24"/>
        </w:rPr>
        <w:t xml:space="preserve"> and that, </w:t>
      </w:r>
      <w:r w:rsidR="00267C3A">
        <w:rPr>
          <w:rFonts w:ascii="Times New Roman" w:hAnsi="Times New Roman" w:cs="Times New Roman"/>
          <w:bCs/>
          <w:sz w:val="24"/>
          <w:szCs w:val="24"/>
        </w:rPr>
        <w:t>rather than protecting sex workers from exploitation</w:t>
      </w:r>
      <w:r w:rsidR="006578C9" w:rsidRPr="006578C9">
        <w:rPr>
          <w:rFonts w:ascii="Times New Roman" w:hAnsi="Times New Roman" w:cs="Times New Roman"/>
          <w:bCs/>
          <w:sz w:val="24"/>
          <w:szCs w:val="24"/>
        </w:rPr>
        <w:t>, governing sex work through crime creates a context within which violence and exploitation is able to flourish in the sex industry.</w:t>
      </w:r>
    </w:p>
    <w:p w:rsidR="006578C9" w:rsidRDefault="006578C9" w:rsidP="008942EF">
      <w:pPr>
        <w:spacing w:after="0" w:line="480" w:lineRule="auto"/>
        <w:jc w:val="both"/>
        <w:rPr>
          <w:rFonts w:ascii="Times New Roman" w:hAnsi="Times New Roman" w:cs="Times New Roman"/>
          <w:bCs/>
          <w:sz w:val="24"/>
          <w:szCs w:val="24"/>
        </w:rPr>
      </w:pPr>
    </w:p>
    <w:p w:rsidR="00E36EB4" w:rsidRPr="006578C9" w:rsidRDefault="006578C9" w:rsidP="008942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Currently, sex work </w:t>
      </w:r>
      <w:r w:rsidR="00DB5E1B">
        <w:rPr>
          <w:rFonts w:ascii="Times New Roman" w:hAnsi="Times New Roman" w:cs="Times New Roman"/>
          <w:sz w:val="24"/>
          <w:szCs w:val="24"/>
        </w:rPr>
        <w:t>is regulated</w:t>
      </w:r>
      <w:r w:rsidR="005B5CA5" w:rsidRPr="008942EF">
        <w:rPr>
          <w:rFonts w:ascii="Times New Roman" w:hAnsi="Times New Roman" w:cs="Times New Roman"/>
          <w:sz w:val="24"/>
          <w:szCs w:val="24"/>
        </w:rPr>
        <w:t xml:space="preserve"> through a range of </w:t>
      </w:r>
      <w:r w:rsidR="00267C3A">
        <w:rPr>
          <w:rFonts w:ascii="Times New Roman" w:hAnsi="Times New Roman" w:cs="Times New Roman"/>
          <w:sz w:val="24"/>
          <w:szCs w:val="24"/>
        </w:rPr>
        <w:t>(primarily criminal) laws</w:t>
      </w:r>
      <w:r w:rsidR="005B5CA5">
        <w:rPr>
          <w:rFonts w:ascii="Times New Roman" w:hAnsi="Times New Roman" w:cs="Times New Roman"/>
          <w:sz w:val="24"/>
          <w:szCs w:val="24"/>
        </w:rPr>
        <w:t xml:space="preserve"> </w:t>
      </w:r>
      <w:r w:rsidR="006E1D31">
        <w:rPr>
          <w:rFonts w:ascii="Times New Roman" w:hAnsi="Times New Roman" w:cs="Times New Roman"/>
          <w:sz w:val="24"/>
          <w:szCs w:val="24"/>
        </w:rPr>
        <w:t>whereby the selling and buying of sexual services is legal</w:t>
      </w:r>
      <w:r w:rsidR="005B5CA5">
        <w:rPr>
          <w:rFonts w:ascii="Times New Roman" w:hAnsi="Times New Roman" w:cs="Times New Roman"/>
          <w:sz w:val="24"/>
          <w:szCs w:val="24"/>
        </w:rPr>
        <w:t xml:space="preserve">, but a range of activities related to </w:t>
      </w:r>
      <w:r w:rsidR="00924B71">
        <w:rPr>
          <w:rFonts w:ascii="Times New Roman" w:hAnsi="Times New Roman" w:cs="Times New Roman"/>
          <w:sz w:val="24"/>
          <w:szCs w:val="24"/>
        </w:rPr>
        <w:t>it</w:t>
      </w:r>
      <w:r w:rsidR="006E1D31">
        <w:rPr>
          <w:rFonts w:ascii="Times New Roman" w:hAnsi="Times New Roman" w:cs="Times New Roman"/>
          <w:sz w:val="24"/>
          <w:szCs w:val="24"/>
        </w:rPr>
        <w:t xml:space="preserve"> is criminalised. This leaves it possible</w:t>
      </w:r>
      <w:r w:rsidR="005B5CA5">
        <w:rPr>
          <w:rFonts w:ascii="Times New Roman" w:hAnsi="Times New Roman" w:cs="Times New Roman"/>
          <w:sz w:val="24"/>
          <w:szCs w:val="24"/>
        </w:rPr>
        <w:t xml:space="preserve"> to sell sex legally </w:t>
      </w:r>
      <w:r w:rsidR="00332843">
        <w:rPr>
          <w:rFonts w:ascii="Times New Roman" w:hAnsi="Times New Roman" w:cs="Times New Roman"/>
          <w:sz w:val="24"/>
          <w:szCs w:val="24"/>
        </w:rPr>
        <w:t xml:space="preserve">only </w:t>
      </w:r>
      <w:r w:rsidR="005B5CA5">
        <w:rPr>
          <w:rFonts w:ascii="Times New Roman" w:hAnsi="Times New Roman" w:cs="Times New Roman"/>
          <w:sz w:val="24"/>
          <w:szCs w:val="24"/>
        </w:rPr>
        <w:t>if the sex worker is</w:t>
      </w:r>
      <w:r w:rsidR="005B5CA5" w:rsidRPr="005B5CA5">
        <w:rPr>
          <w:rFonts w:ascii="Arial" w:eastAsia="Times New Roman" w:hAnsi="Arial" w:cs="Arial"/>
          <w:sz w:val="29"/>
          <w:szCs w:val="29"/>
          <w:lang w:eastAsia="en-GB"/>
        </w:rPr>
        <w:t xml:space="preserve"> </w:t>
      </w:r>
      <w:r w:rsidR="005B5CA5">
        <w:rPr>
          <w:rFonts w:ascii="Arial" w:eastAsia="Times New Roman" w:hAnsi="Arial" w:cs="Arial"/>
          <w:sz w:val="29"/>
          <w:szCs w:val="29"/>
          <w:lang w:eastAsia="en-GB"/>
        </w:rPr>
        <w:t>‘</w:t>
      </w:r>
      <w:r w:rsidR="005B5CA5" w:rsidRPr="005B5CA5">
        <w:rPr>
          <w:rFonts w:ascii="Times New Roman" w:hAnsi="Times New Roman" w:cs="Times New Roman"/>
          <w:sz w:val="24"/>
          <w:szCs w:val="24"/>
        </w:rPr>
        <w:t xml:space="preserve">working </w:t>
      </w:r>
      <w:r w:rsidR="005B5CA5" w:rsidRPr="005B5CA5">
        <w:rPr>
          <w:rFonts w:ascii="Times New Roman" w:hAnsi="Times New Roman" w:cs="Times New Roman"/>
          <w:sz w:val="24"/>
          <w:szCs w:val="24"/>
        </w:rPr>
        <w:lastRenderedPageBreak/>
        <w:t>alone, in a property she owns, without explic</w:t>
      </w:r>
      <w:r w:rsidR="005B5CA5">
        <w:rPr>
          <w:rFonts w:ascii="Times New Roman" w:hAnsi="Times New Roman" w:cs="Times New Roman"/>
          <w:sz w:val="24"/>
          <w:szCs w:val="24"/>
        </w:rPr>
        <w:t>itly advertising or financially supporting another person’</w:t>
      </w:r>
      <w:r w:rsidR="00A71ABF">
        <w:rPr>
          <w:rFonts w:ascii="Times New Roman" w:hAnsi="Times New Roman" w:cs="Times New Roman"/>
          <w:sz w:val="24"/>
          <w:szCs w:val="24"/>
        </w:rPr>
        <w:t>.</w:t>
      </w:r>
      <w:r w:rsidR="00A71ABF">
        <w:rPr>
          <w:rStyle w:val="FootnoteReference"/>
          <w:rFonts w:ascii="Times New Roman" w:hAnsi="Times New Roman" w:cs="Times New Roman"/>
          <w:sz w:val="24"/>
          <w:szCs w:val="24"/>
        </w:rPr>
        <w:footnoteReference w:id="5"/>
      </w:r>
      <w:r w:rsidR="00862759">
        <w:rPr>
          <w:rFonts w:ascii="Times New Roman" w:hAnsi="Times New Roman" w:cs="Times New Roman"/>
          <w:sz w:val="24"/>
          <w:szCs w:val="24"/>
        </w:rPr>
        <w:t xml:space="preserve"> </w:t>
      </w:r>
      <w:r>
        <w:rPr>
          <w:rFonts w:ascii="Times New Roman" w:hAnsi="Times New Roman" w:cs="Times New Roman"/>
          <w:sz w:val="24"/>
          <w:szCs w:val="24"/>
        </w:rPr>
        <w:t>Sex</w:t>
      </w:r>
      <w:r w:rsidRPr="006578C9">
        <w:rPr>
          <w:rFonts w:ascii="Times New Roman" w:hAnsi="Times New Roman" w:cs="Times New Roman"/>
          <w:sz w:val="24"/>
          <w:szCs w:val="24"/>
        </w:rPr>
        <w:t xml:space="preserve"> workers’ power to negotiate the industry is</w:t>
      </w:r>
      <w:r w:rsidR="00F0685C">
        <w:rPr>
          <w:rFonts w:ascii="Times New Roman" w:hAnsi="Times New Roman" w:cs="Times New Roman"/>
          <w:sz w:val="24"/>
          <w:szCs w:val="24"/>
        </w:rPr>
        <w:t>, as such,</w:t>
      </w:r>
      <w:r w:rsidRPr="006578C9">
        <w:rPr>
          <w:rFonts w:ascii="Times New Roman" w:hAnsi="Times New Roman" w:cs="Times New Roman"/>
          <w:sz w:val="24"/>
          <w:szCs w:val="24"/>
        </w:rPr>
        <w:t xml:space="preserve"> weakened by potential prosecution and a lack of labour rights and protections. </w:t>
      </w:r>
      <w:r w:rsidR="00267C3A">
        <w:rPr>
          <w:rFonts w:ascii="Times New Roman" w:hAnsi="Times New Roman" w:cs="Times New Roman"/>
          <w:sz w:val="24"/>
          <w:szCs w:val="24"/>
        </w:rPr>
        <w:t>Moreover,</w:t>
      </w:r>
      <w:r w:rsidR="00F0685C">
        <w:rPr>
          <w:rFonts w:ascii="Times New Roman" w:hAnsi="Times New Roman" w:cs="Times New Roman"/>
          <w:sz w:val="24"/>
          <w:szCs w:val="24"/>
        </w:rPr>
        <w:t xml:space="preserve"> s</w:t>
      </w:r>
      <w:r w:rsidRPr="006578C9">
        <w:rPr>
          <w:rFonts w:ascii="Times New Roman" w:hAnsi="Times New Roman" w:cs="Times New Roman"/>
          <w:sz w:val="24"/>
          <w:szCs w:val="24"/>
        </w:rPr>
        <w:t>tate reticence to legitimise commercial sex through more active regulation of the industry has permitted the growth of unregulated sex markets that are open to coercion</w:t>
      </w:r>
      <w:r w:rsidR="00D4593F">
        <w:rPr>
          <w:rFonts w:ascii="Times New Roman" w:hAnsi="Times New Roman" w:cs="Times New Roman"/>
          <w:sz w:val="24"/>
          <w:szCs w:val="24"/>
        </w:rPr>
        <w:t>,</w:t>
      </w:r>
      <w:r w:rsidR="00A71ABF">
        <w:rPr>
          <w:rStyle w:val="FootnoteReference"/>
          <w:rFonts w:ascii="Times New Roman" w:hAnsi="Times New Roman" w:cs="Times New Roman"/>
          <w:sz w:val="24"/>
          <w:szCs w:val="24"/>
        </w:rPr>
        <w:footnoteReference w:id="6"/>
      </w:r>
      <w:r w:rsidR="00D4593F">
        <w:rPr>
          <w:rFonts w:ascii="Times New Roman" w:hAnsi="Times New Roman" w:cs="Times New Roman"/>
          <w:sz w:val="24"/>
          <w:szCs w:val="24"/>
        </w:rPr>
        <w:t xml:space="preserve"> </w:t>
      </w:r>
      <w:r w:rsidRPr="006578C9">
        <w:rPr>
          <w:rFonts w:ascii="Times New Roman" w:hAnsi="Times New Roman" w:cs="Times New Roman"/>
          <w:sz w:val="24"/>
          <w:szCs w:val="24"/>
        </w:rPr>
        <w:t xml:space="preserve">and </w:t>
      </w:r>
      <w:r w:rsidR="0038786A">
        <w:rPr>
          <w:rFonts w:ascii="Times New Roman" w:hAnsi="Times New Roman" w:cs="Times New Roman"/>
          <w:sz w:val="24"/>
          <w:szCs w:val="24"/>
        </w:rPr>
        <w:t xml:space="preserve">wherein workers are </w:t>
      </w:r>
      <w:r w:rsidRPr="006578C9">
        <w:rPr>
          <w:rFonts w:ascii="Times New Roman" w:hAnsi="Times New Roman" w:cs="Times New Roman"/>
          <w:sz w:val="24"/>
          <w:szCs w:val="24"/>
        </w:rPr>
        <w:t xml:space="preserve">at </w:t>
      </w:r>
      <w:r w:rsidR="0038786A">
        <w:rPr>
          <w:rFonts w:ascii="Times New Roman" w:hAnsi="Times New Roman" w:cs="Times New Roman"/>
          <w:sz w:val="24"/>
          <w:szCs w:val="24"/>
        </w:rPr>
        <w:t xml:space="preserve">heightened </w:t>
      </w:r>
      <w:r w:rsidRPr="006578C9">
        <w:rPr>
          <w:rFonts w:ascii="Times New Roman" w:hAnsi="Times New Roman" w:cs="Times New Roman"/>
          <w:sz w:val="24"/>
          <w:szCs w:val="24"/>
        </w:rPr>
        <w:t>risk of exploitation</w:t>
      </w:r>
      <w:r w:rsidR="00D4593F">
        <w:rPr>
          <w:rFonts w:ascii="Times New Roman" w:hAnsi="Times New Roman" w:cs="Times New Roman"/>
          <w:sz w:val="24"/>
          <w:szCs w:val="24"/>
        </w:rPr>
        <w:t>.</w:t>
      </w:r>
      <w:r w:rsidR="00D4593F">
        <w:rPr>
          <w:rStyle w:val="FootnoteReference"/>
          <w:rFonts w:ascii="Times New Roman" w:hAnsi="Times New Roman" w:cs="Times New Roman"/>
          <w:sz w:val="24"/>
          <w:szCs w:val="24"/>
        </w:rPr>
        <w:footnoteReference w:id="7"/>
      </w:r>
    </w:p>
    <w:p w:rsidR="00B601DA" w:rsidRDefault="00B601DA" w:rsidP="008942EF">
      <w:pPr>
        <w:spacing w:after="0" w:line="480" w:lineRule="auto"/>
        <w:jc w:val="both"/>
        <w:rPr>
          <w:rFonts w:ascii="Times New Roman" w:hAnsi="Times New Roman" w:cs="Times New Roman"/>
          <w:bCs/>
          <w:sz w:val="24"/>
          <w:szCs w:val="24"/>
        </w:rPr>
      </w:pPr>
    </w:p>
    <w:p w:rsidR="00DB5E1B" w:rsidRPr="00DB5E1B" w:rsidRDefault="00DB5E1B" w:rsidP="00DB5E1B">
      <w:pPr>
        <w:spacing w:after="0" w:line="480" w:lineRule="auto"/>
        <w:jc w:val="both"/>
        <w:rPr>
          <w:rFonts w:ascii="Times New Roman" w:hAnsi="Times New Roman" w:cs="Times New Roman"/>
          <w:bCs/>
          <w:sz w:val="24"/>
          <w:szCs w:val="24"/>
        </w:rPr>
      </w:pPr>
      <w:r w:rsidRPr="00DB5E1B">
        <w:rPr>
          <w:rFonts w:ascii="Times New Roman" w:hAnsi="Times New Roman" w:cs="Times New Roman"/>
          <w:bCs/>
          <w:sz w:val="24"/>
          <w:szCs w:val="24"/>
        </w:rPr>
        <w:t xml:space="preserve">This article </w:t>
      </w:r>
      <w:r w:rsidR="006279E0">
        <w:rPr>
          <w:rFonts w:ascii="Times New Roman" w:hAnsi="Times New Roman" w:cs="Times New Roman"/>
          <w:bCs/>
          <w:sz w:val="24"/>
          <w:szCs w:val="24"/>
        </w:rPr>
        <w:t xml:space="preserve">uses </w:t>
      </w:r>
      <w:r w:rsidRPr="00DB5E1B">
        <w:rPr>
          <w:rFonts w:ascii="Times New Roman" w:hAnsi="Times New Roman" w:cs="Times New Roman"/>
          <w:bCs/>
          <w:sz w:val="24"/>
          <w:szCs w:val="24"/>
        </w:rPr>
        <w:t>Jonathan Simon’s concept of ‘governing through crime’</w:t>
      </w:r>
      <w:r w:rsidR="006279E0">
        <w:rPr>
          <w:rStyle w:val="FootnoteReference"/>
          <w:rFonts w:ascii="Times New Roman" w:hAnsi="Times New Roman" w:cs="Times New Roman"/>
          <w:bCs/>
          <w:sz w:val="24"/>
          <w:szCs w:val="24"/>
        </w:rPr>
        <w:footnoteReference w:id="8"/>
      </w:r>
      <w:r w:rsidRPr="00DB5E1B">
        <w:rPr>
          <w:rFonts w:ascii="Times New Roman" w:hAnsi="Times New Roman" w:cs="Times New Roman"/>
          <w:bCs/>
          <w:sz w:val="24"/>
          <w:szCs w:val="24"/>
        </w:rPr>
        <w:t xml:space="preserve"> as a framework to argue that the state has framed sex wor</w:t>
      </w:r>
      <w:r w:rsidR="00267C3A">
        <w:rPr>
          <w:rFonts w:ascii="Times New Roman" w:hAnsi="Times New Roman" w:cs="Times New Roman"/>
          <w:bCs/>
          <w:sz w:val="24"/>
          <w:szCs w:val="24"/>
        </w:rPr>
        <w:t>k, and its surrounding problems</w:t>
      </w:r>
      <w:r w:rsidRPr="00DB5E1B">
        <w:rPr>
          <w:rFonts w:ascii="Times New Roman" w:hAnsi="Times New Roman" w:cs="Times New Roman"/>
          <w:bCs/>
          <w:sz w:val="24"/>
          <w:szCs w:val="24"/>
        </w:rPr>
        <w:t xml:space="preserve"> as issues of crime. </w:t>
      </w:r>
      <w:r>
        <w:rPr>
          <w:rFonts w:ascii="Times New Roman" w:hAnsi="Times New Roman" w:cs="Times New Roman"/>
          <w:bCs/>
          <w:sz w:val="24"/>
          <w:szCs w:val="24"/>
        </w:rPr>
        <w:t>T</w:t>
      </w:r>
      <w:r w:rsidRPr="00DB5E1B">
        <w:rPr>
          <w:rFonts w:ascii="Times New Roman" w:hAnsi="Times New Roman" w:cs="Times New Roman"/>
          <w:bCs/>
          <w:sz w:val="24"/>
          <w:szCs w:val="24"/>
        </w:rPr>
        <w:t>here has been a privileging and proliferation of crimina</w:t>
      </w:r>
      <w:r>
        <w:rPr>
          <w:rFonts w:ascii="Times New Roman" w:hAnsi="Times New Roman" w:cs="Times New Roman"/>
          <w:bCs/>
          <w:sz w:val="24"/>
          <w:szCs w:val="24"/>
        </w:rPr>
        <w:t>l justice responses to sex work, at</w:t>
      </w:r>
      <w:r w:rsidRPr="00DB5E1B">
        <w:rPr>
          <w:rFonts w:ascii="Times New Roman" w:hAnsi="Times New Roman" w:cs="Times New Roman"/>
          <w:bCs/>
          <w:sz w:val="24"/>
          <w:szCs w:val="24"/>
        </w:rPr>
        <w:t xml:space="preserve"> the expense of more social or welfare based responses, and at the expense of creating safer environments for sex workers to work</w:t>
      </w:r>
      <w:r w:rsidR="006279E0">
        <w:rPr>
          <w:rFonts w:ascii="Times New Roman" w:hAnsi="Times New Roman" w:cs="Times New Roman"/>
          <w:bCs/>
          <w:sz w:val="24"/>
          <w:szCs w:val="24"/>
        </w:rPr>
        <w:t>.</w:t>
      </w:r>
      <w:r w:rsidR="006279E0">
        <w:rPr>
          <w:rStyle w:val="FootnoteReference"/>
          <w:rFonts w:ascii="Times New Roman" w:hAnsi="Times New Roman" w:cs="Times New Roman"/>
          <w:bCs/>
          <w:sz w:val="24"/>
          <w:szCs w:val="24"/>
        </w:rPr>
        <w:footnoteReference w:id="9"/>
      </w:r>
      <w:r w:rsidR="006279E0">
        <w:rPr>
          <w:rFonts w:ascii="Times New Roman" w:hAnsi="Times New Roman" w:cs="Times New Roman"/>
          <w:bCs/>
          <w:sz w:val="24"/>
          <w:szCs w:val="24"/>
        </w:rPr>
        <w:t xml:space="preserve"> </w:t>
      </w:r>
      <w:r w:rsidR="00267C3A">
        <w:rPr>
          <w:rFonts w:ascii="Times New Roman" w:hAnsi="Times New Roman" w:cs="Times New Roman"/>
          <w:bCs/>
          <w:sz w:val="24"/>
          <w:szCs w:val="24"/>
        </w:rPr>
        <w:t>The ‘governing through crime’</w:t>
      </w:r>
      <w:r w:rsidRPr="00DB5E1B">
        <w:rPr>
          <w:rFonts w:ascii="Times New Roman" w:hAnsi="Times New Roman" w:cs="Times New Roman"/>
          <w:bCs/>
          <w:sz w:val="24"/>
          <w:szCs w:val="24"/>
        </w:rPr>
        <w:t xml:space="preserve"> framework</w:t>
      </w:r>
      <w:r>
        <w:rPr>
          <w:rFonts w:ascii="Times New Roman" w:hAnsi="Times New Roman" w:cs="Times New Roman"/>
          <w:bCs/>
          <w:sz w:val="24"/>
          <w:szCs w:val="24"/>
        </w:rPr>
        <w:t xml:space="preserve"> is used</w:t>
      </w:r>
      <w:r w:rsidRPr="00DB5E1B">
        <w:rPr>
          <w:rFonts w:ascii="Times New Roman" w:hAnsi="Times New Roman" w:cs="Times New Roman"/>
          <w:bCs/>
          <w:sz w:val="24"/>
          <w:szCs w:val="24"/>
        </w:rPr>
        <w:t xml:space="preserve"> to argue that the law is not simply governing crime - that is, the state responding in a way that is ‘proximate and proportionate to the crime threat experienced’</w:t>
      </w:r>
      <w:r w:rsidR="006279E0">
        <w:rPr>
          <w:rFonts w:ascii="Times New Roman" w:hAnsi="Times New Roman" w:cs="Times New Roman"/>
          <w:bCs/>
          <w:sz w:val="24"/>
          <w:szCs w:val="24"/>
        </w:rPr>
        <w:t>.</w:t>
      </w:r>
      <w:r w:rsidR="006279E0">
        <w:rPr>
          <w:rStyle w:val="FootnoteReference"/>
          <w:rFonts w:ascii="Times New Roman" w:hAnsi="Times New Roman" w:cs="Times New Roman"/>
          <w:bCs/>
          <w:sz w:val="24"/>
          <w:szCs w:val="24"/>
        </w:rPr>
        <w:footnoteReference w:id="10"/>
      </w:r>
      <w:r w:rsidR="003B540C">
        <w:rPr>
          <w:rFonts w:ascii="Times New Roman" w:hAnsi="Times New Roman" w:cs="Times New Roman"/>
          <w:bCs/>
          <w:sz w:val="24"/>
          <w:szCs w:val="24"/>
        </w:rPr>
        <w:t xml:space="preserve"> </w:t>
      </w:r>
      <w:r w:rsidRPr="00DB5E1B">
        <w:rPr>
          <w:rFonts w:ascii="Times New Roman" w:hAnsi="Times New Roman" w:cs="Times New Roman"/>
          <w:bCs/>
          <w:sz w:val="24"/>
          <w:szCs w:val="24"/>
        </w:rPr>
        <w:t>Rather, criminal law is used to manage and control sex work, to reinforce other policies, such a</w:t>
      </w:r>
      <w:r w:rsidR="00147AB0">
        <w:rPr>
          <w:rFonts w:ascii="Times New Roman" w:hAnsi="Times New Roman" w:cs="Times New Roman"/>
          <w:bCs/>
          <w:sz w:val="24"/>
          <w:szCs w:val="24"/>
        </w:rPr>
        <w:t>s immigration and border control</w:t>
      </w:r>
      <w:r w:rsidRPr="00DB5E1B">
        <w:rPr>
          <w:rFonts w:ascii="Times New Roman" w:hAnsi="Times New Roman" w:cs="Times New Roman"/>
          <w:bCs/>
          <w:sz w:val="24"/>
          <w:szCs w:val="24"/>
        </w:rPr>
        <w:t>,</w:t>
      </w:r>
      <w:r w:rsidR="00147AB0">
        <w:rPr>
          <w:rStyle w:val="FootnoteReference"/>
          <w:rFonts w:ascii="Times New Roman" w:hAnsi="Times New Roman" w:cs="Times New Roman"/>
          <w:bCs/>
          <w:sz w:val="24"/>
          <w:szCs w:val="24"/>
        </w:rPr>
        <w:footnoteReference w:id="11"/>
      </w:r>
      <w:r w:rsidRPr="00DB5E1B">
        <w:rPr>
          <w:rFonts w:ascii="Times New Roman" w:hAnsi="Times New Roman" w:cs="Times New Roman"/>
          <w:bCs/>
          <w:sz w:val="24"/>
          <w:szCs w:val="24"/>
        </w:rPr>
        <w:t xml:space="preserve"> and to appear to be doing something about the ‘problem’ of sex work without providing rights to sex workers. </w:t>
      </w:r>
      <w:r w:rsidR="006578C9" w:rsidRPr="006578C9">
        <w:rPr>
          <w:rFonts w:ascii="Times New Roman" w:hAnsi="Times New Roman" w:cs="Times New Roman"/>
          <w:bCs/>
          <w:sz w:val="24"/>
          <w:szCs w:val="24"/>
        </w:rPr>
        <w:t xml:space="preserve">By framing sex work as an issue of crime, with sex workers being both the perpetrators of crime and the potential victims of exploitative crime, the state </w:t>
      </w:r>
      <w:r w:rsidR="006578C9" w:rsidRPr="006578C9">
        <w:rPr>
          <w:rFonts w:ascii="Times New Roman" w:hAnsi="Times New Roman" w:cs="Times New Roman"/>
          <w:bCs/>
          <w:sz w:val="24"/>
          <w:szCs w:val="24"/>
        </w:rPr>
        <w:lastRenderedPageBreak/>
        <w:t>is able to legitimise its actions against sex workers, while ignoring the harm done to sex workers by the state.</w:t>
      </w:r>
      <w:r w:rsidR="006578C9">
        <w:rPr>
          <w:rFonts w:ascii="Times New Roman" w:hAnsi="Times New Roman" w:cs="Times New Roman"/>
          <w:bCs/>
          <w:sz w:val="24"/>
          <w:szCs w:val="24"/>
        </w:rPr>
        <w:t xml:space="preserve"> </w:t>
      </w:r>
    </w:p>
    <w:p w:rsidR="008942EF" w:rsidRPr="008942EF" w:rsidRDefault="008942EF" w:rsidP="008942EF">
      <w:pPr>
        <w:spacing w:after="0" w:line="480" w:lineRule="auto"/>
        <w:jc w:val="both"/>
        <w:rPr>
          <w:rFonts w:ascii="Times New Roman" w:hAnsi="Times New Roman" w:cs="Times New Roman"/>
          <w:sz w:val="24"/>
          <w:szCs w:val="24"/>
        </w:rPr>
      </w:pPr>
    </w:p>
    <w:p w:rsidR="008942EF" w:rsidRPr="008942EF" w:rsidRDefault="00EF444B" w:rsidP="008942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 begin, </w:t>
      </w:r>
      <w:r w:rsidR="008942EF" w:rsidRPr="008942EF">
        <w:rPr>
          <w:rFonts w:ascii="Times New Roman" w:hAnsi="Times New Roman" w:cs="Times New Roman"/>
          <w:sz w:val="24"/>
          <w:szCs w:val="24"/>
        </w:rPr>
        <w:t xml:space="preserve">Jonathan Simon’s argument in </w:t>
      </w:r>
      <w:r w:rsidR="008942EF" w:rsidRPr="008942EF">
        <w:rPr>
          <w:rFonts w:ascii="Times New Roman" w:hAnsi="Times New Roman" w:cs="Times New Roman"/>
          <w:i/>
          <w:sz w:val="24"/>
          <w:szCs w:val="24"/>
        </w:rPr>
        <w:t>Governing Through Crime</w:t>
      </w:r>
      <w:r w:rsidR="008942EF" w:rsidRPr="008942EF">
        <w:rPr>
          <w:rFonts w:ascii="Times New Roman" w:hAnsi="Times New Roman" w:cs="Times New Roman"/>
          <w:sz w:val="24"/>
          <w:szCs w:val="24"/>
        </w:rPr>
        <w:t xml:space="preserve"> </w:t>
      </w:r>
      <w:r w:rsidR="0038786A">
        <w:rPr>
          <w:rFonts w:ascii="Times New Roman" w:hAnsi="Times New Roman" w:cs="Times New Roman"/>
          <w:sz w:val="24"/>
          <w:szCs w:val="24"/>
        </w:rPr>
        <w:t xml:space="preserve">is outlined </w:t>
      </w:r>
      <w:r w:rsidR="008942EF" w:rsidRPr="008942EF">
        <w:rPr>
          <w:rFonts w:ascii="Times New Roman" w:hAnsi="Times New Roman" w:cs="Times New Roman"/>
          <w:sz w:val="24"/>
          <w:szCs w:val="24"/>
        </w:rPr>
        <w:t xml:space="preserve">to provide a clearer distinction between governing crime and governing through crime. </w:t>
      </w:r>
      <w:r w:rsidR="0038786A">
        <w:rPr>
          <w:rFonts w:ascii="Times New Roman" w:hAnsi="Times New Roman" w:cs="Times New Roman"/>
          <w:sz w:val="24"/>
          <w:szCs w:val="24"/>
        </w:rPr>
        <w:t xml:space="preserve">The </w:t>
      </w:r>
      <w:r w:rsidR="00F0685C">
        <w:rPr>
          <w:rFonts w:ascii="Times New Roman" w:hAnsi="Times New Roman" w:cs="Times New Roman"/>
          <w:sz w:val="24"/>
          <w:szCs w:val="24"/>
        </w:rPr>
        <w:t xml:space="preserve">framework of governing through crime </w:t>
      </w:r>
      <w:r w:rsidR="0038786A">
        <w:rPr>
          <w:rFonts w:ascii="Times New Roman" w:hAnsi="Times New Roman" w:cs="Times New Roman"/>
          <w:sz w:val="24"/>
          <w:szCs w:val="24"/>
        </w:rPr>
        <w:t xml:space="preserve">is then used </w:t>
      </w:r>
      <w:r w:rsidR="00F0685C">
        <w:rPr>
          <w:rFonts w:ascii="Times New Roman" w:hAnsi="Times New Roman" w:cs="Times New Roman"/>
          <w:sz w:val="24"/>
          <w:szCs w:val="24"/>
        </w:rPr>
        <w:t xml:space="preserve">to </w:t>
      </w:r>
      <w:r w:rsidR="00F97F51">
        <w:rPr>
          <w:rFonts w:ascii="Times New Roman" w:hAnsi="Times New Roman" w:cs="Times New Roman"/>
          <w:sz w:val="24"/>
          <w:szCs w:val="24"/>
        </w:rPr>
        <w:t>explore the way that sex work has been constructed as a crime, and sex workers as criminal,</w:t>
      </w:r>
      <w:r w:rsidR="00F0685C">
        <w:rPr>
          <w:rFonts w:ascii="Times New Roman" w:hAnsi="Times New Roman" w:cs="Times New Roman"/>
          <w:sz w:val="24"/>
          <w:szCs w:val="24"/>
        </w:rPr>
        <w:t xml:space="preserve"> since the Wolfenden Report in the 1950s.</w:t>
      </w:r>
      <w:r w:rsidR="00147AB0">
        <w:rPr>
          <w:rStyle w:val="FootnoteReference"/>
          <w:rFonts w:ascii="Times New Roman" w:hAnsi="Times New Roman" w:cs="Times New Roman"/>
          <w:sz w:val="24"/>
          <w:szCs w:val="24"/>
        </w:rPr>
        <w:footnoteReference w:id="12"/>
      </w:r>
      <w:r w:rsidR="00F0685C">
        <w:rPr>
          <w:rFonts w:ascii="Times New Roman" w:hAnsi="Times New Roman" w:cs="Times New Roman"/>
          <w:sz w:val="24"/>
          <w:szCs w:val="24"/>
        </w:rPr>
        <w:t xml:space="preserve"> The</w:t>
      </w:r>
      <w:r w:rsidR="008942EF" w:rsidRPr="008942EF">
        <w:rPr>
          <w:rFonts w:ascii="Times New Roman" w:hAnsi="Times New Roman" w:cs="Times New Roman"/>
          <w:sz w:val="24"/>
          <w:szCs w:val="24"/>
        </w:rPr>
        <w:t xml:space="preserve"> </w:t>
      </w:r>
      <w:r w:rsidR="006279E0">
        <w:rPr>
          <w:rFonts w:ascii="Times New Roman" w:hAnsi="Times New Roman" w:cs="Times New Roman"/>
          <w:sz w:val="24"/>
          <w:szCs w:val="24"/>
        </w:rPr>
        <w:t xml:space="preserve">relatively </w:t>
      </w:r>
      <w:r w:rsidR="00147AB0">
        <w:rPr>
          <w:rFonts w:ascii="Times New Roman" w:hAnsi="Times New Roman" w:cs="Times New Roman"/>
          <w:sz w:val="24"/>
          <w:szCs w:val="24"/>
        </w:rPr>
        <w:t>recent shift</w:t>
      </w:r>
      <w:r w:rsidR="00267C3A">
        <w:rPr>
          <w:rFonts w:ascii="Times New Roman" w:hAnsi="Times New Roman" w:cs="Times New Roman"/>
          <w:sz w:val="24"/>
          <w:szCs w:val="24"/>
        </w:rPr>
        <w:t xml:space="preserve"> </w:t>
      </w:r>
      <w:r w:rsidR="008942EF" w:rsidRPr="008942EF">
        <w:rPr>
          <w:rFonts w:ascii="Times New Roman" w:hAnsi="Times New Roman" w:cs="Times New Roman"/>
          <w:sz w:val="24"/>
          <w:szCs w:val="24"/>
        </w:rPr>
        <w:t xml:space="preserve">to framing sex work as sexual exploitation and linking it to trafficking </w:t>
      </w:r>
      <w:r w:rsidR="00FC4E5B">
        <w:rPr>
          <w:rFonts w:ascii="Times New Roman" w:hAnsi="Times New Roman" w:cs="Times New Roman"/>
          <w:sz w:val="24"/>
          <w:szCs w:val="24"/>
        </w:rPr>
        <w:t>is then examined.</w:t>
      </w:r>
      <w:r w:rsidR="00267C3A">
        <w:rPr>
          <w:rFonts w:ascii="Times New Roman" w:hAnsi="Times New Roman" w:cs="Times New Roman"/>
          <w:sz w:val="24"/>
          <w:szCs w:val="24"/>
        </w:rPr>
        <w:t xml:space="preserve"> It</w:t>
      </w:r>
      <w:r w:rsidR="0038786A">
        <w:rPr>
          <w:rFonts w:ascii="Times New Roman" w:hAnsi="Times New Roman" w:cs="Times New Roman"/>
          <w:sz w:val="24"/>
          <w:szCs w:val="24"/>
        </w:rPr>
        <w:t xml:space="preserve"> </w:t>
      </w:r>
      <w:r w:rsidR="00F0685C">
        <w:rPr>
          <w:rFonts w:ascii="Times New Roman" w:hAnsi="Times New Roman" w:cs="Times New Roman"/>
          <w:sz w:val="24"/>
          <w:szCs w:val="24"/>
        </w:rPr>
        <w:t>is argued that</w:t>
      </w:r>
      <w:r w:rsidR="00FC4E5B">
        <w:rPr>
          <w:rFonts w:ascii="Times New Roman" w:hAnsi="Times New Roman" w:cs="Times New Roman"/>
          <w:sz w:val="24"/>
          <w:szCs w:val="24"/>
        </w:rPr>
        <w:t xml:space="preserve"> </w:t>
      </w:r>
      <w:r w:rsidR="008942EF" w:rsidRPr="008942EF">
        <w:rPr>
          <w:rFonts w:ascii="Times New Roman" w:hAnsi="Times New Roman" w:cs="Times New Roman"/>
          <w:sz w:val="24"/>
          <w:szCs w:val="24"/>
        </w:rPr>
        <w:t>governing through crime</w:t>
      </w:r>
      <w:r w:rsidR="00FC4E5B">
        <w:rPr>
          <w:rFonts w:ascii="Times New Roman" w:hAnsi="Times New Roman" w:cs="Times New Roman"/>
          <w:sz w:val="24"/>
          <w:szCs w:val="24"/>
        </w:rPr>
        <w:t xml:space="preserve"> </w:t>
      </w:r>
      <w:r w:rsidR="00267C3A" w:rsidRPr="008942EF">
        <w:rPr>
          <w:rFonts w:ascii="Times New Roman" w:hAnsi="Times New Roman" w:cs="Times New Roman"/>
          <w:sz w:val="24"/>
          <w:szCs w:val="24"/>
        </w:rPr>
        <w:t>reinforce</w:t>
      </w:r>
      <w:r w:rsidR="00267C3A">
        <w:rPr>
          <w:rFonts w:ascii="Times New Roman" w:hAnsi="Times New Roman" w:cs="Times New Roman"/>
          <w:sz w:val="24"/>
          <w:szCs w:val="24"/>
        </w:rPr>
        <w:t>s</w:t>
      </w:r>
      <w:r w:rsidR="00267C3A" w:rsidRPr="008942EF">
        <w:rPr>
          <w:rFonts w:ascii="Times New Roman" w:hAnsi="Times New Roman" w:cs="Times New Roman"/>
          <w:sz w:val="24"/>
          <w:szCs w:val="24"/>
        </w:rPr>
        <w:t xml:space="preserve"> a culture of fear about crime</w:t>
      </w:r>
      <w:r w:rsidR="00267C3A">
        <w:rPr>
          <w:rFonts w:ascii="Times New Roman" w:hAnsi="Times New Roman" w:cs="Times New Roman"/>
          <w:sz w:val="24"/>
          <w:szCs w:val="24"/>
        </w:rPr>
        <w:t xml:space="preserve"> linked to sex work and</w:t>
      </w:r>
      <w:r w:rsidR="00267C3A" w:rsidRPr="00267C3A">
        <w:rPr>
          <w:rFonts w:ascii="Times New Roman" w:hAnsi="Times New Roman" w:cs="Times New Roman"/>
          <w:bCs/>
          <w:sz w:val="24"/>
          <w:szCs w:val="24"/>
        </w:rPr>
        <w:t xml:space="preserve"> exacerbates the risk of violence and exploitation by third parties</w:t>
      </w:r>
      <w:r w:rsidR="00267C3A">
        <w:rPr>
          <w:rFonts w:ascii="Times New Roman" w:hAnsi="Times New Roman" w:cs="Times New Roman"/>
          <w:sz w:val="24"/>
          <w:szCs w:val="24"/>
        </w:rPr>
        <w:t>.</w:t>
      </w:r>
    </w:p>
    <w:p w:rsidR="008942EF" w:rsidRDefault="008942EF" w:rsidP="008942EF">
      <w:pPr>
        <w:spacing w:after="0" w:line="480" w:lineRule="auto"/>
        <w:jc w:val="both"/>
        <w:rPr>
          <w:rFonts w:ascii="Times New Roman" w:hAnsi="Times New Roman" w:cs="Times New Roman"/>
          <w:b/>
          <w:sz w:val="24"/>
          <w:szCs w:val="24"/>
        </w:rPr>
      </w:pPr>
    </w:p>
    <w:p w:rsidR="000E0C7A" w:rsidRDefault="00D25D2F" w:rsidP="008942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Governing through c</w:t>
      </w:r>
      <w:r w:rsidR="000E0C7A">
        <w:rPr>
          <w:rFonts w:ascii="Times New Roman" w:hAnsi="Times New Roman" w:cs="Times New Roman"/>
          <w:b/>
          <w:sz w:val="24"/>
          <w:szCs w:val="24"/>
        </w:rPr>
        <w:t>rime</w:t>
      </w:r>
    </w:p>
    <w:p w:rsidR="000E0C7A" w:rsidRDefault="000E0C7A" w:rsidP="008942EF">
      <w:pPr>
        <w:spacing w:after="0" w:line="480" w:lineRule="auto"/>
        <w:jc w:val="both"/>
        <w:rPr>
          <w:rFonts w:ascii="Times New Roman" w:hAnsi="Times New Roman" w:cs="Times New Roman"/>
          <w:b/>
          <w:sz w:val="24"/>
          <w:szCs w:val="24"/>
        </w:rPr>
      </w:pPr>
    </w:p>
    <w:p w:rsidR="008942EF" w:rsidRPr="003D13AF" w:rsidRDefault="008942EF" w:rsidP="003D13AF">
      <w:pPr>
        <w:spacing w:line="480" w:lineRule="auto"/>
        <w:jc w:val="both"/>
        <w:rPr>
          <w:rFonts w:ascii="Times New Roman" w:hAnsi="Times New Roman" w:cs="Times New Roman"/>
          <w:iCs/>
          <w:sz w:val="24"/>
          <w:szCs w:val="24"/>
        </w:rPr>
      </w:pPr>
      <w:r w:rsidRPr="008942EF">
        <w:rPr>
          <w:rFonts w:ascii="Times New Roman" w:hAnsi="Times New Roman" w:cs="Times New Roman"/>
          <w:sz w:val="24"/>
          <w:szCs w:val="24"/>
        </w:rPr>
        <w:t xml:space="preserve">In his 2007 book, </w:t>
      </w:r>
      <w:r w:rsidRPr="008942EF">
        <w:rPr>
          <w:rFonts w:ascii="Times New Roman" w:hAnsi="Times New Roman" w:cs="Times New Roman"/>
          <w:i/>
          <w:sz w:val="24"/>
          <w:szCs w:val="24"/>
        </w:rPr>
        <w:t xml:space="preserve">Governing Through Crime, </w:t>
      </w:r>
      <w:r w:rsidRPr="008942EF">
        <w:rPr>
          <w:rFonts w:ascii="Times New Roman" w:hAnsi="Times New Roman" w:cs="Times New Roman"/>
          <w:sz w:val="24"/>
          <w:szCs w:val="24"/>
        </w:rPr>
        <w:t>Jonathan Simon maps the way that the American political and civil order has been structured around the problem of crime</w:t>
      </w:r>
      <w:r w:rsidR="00260035">
        <w:rPr>
          <w:rFonts w:ascii="Times New Roman" w:hAnsi="Times New Roman" w:cs="Times New Roman"/>
          <w:sz w:val="24"/>
          <w:szCs w:val="24"/>
        </w:rPr>
        <w:t>.</w:t>
      </w:r>
      <w:r w:rsidR="00147AB0">
        <w:rPr>
          <w:rStyle w:val="FootnoteReference"/>
          <w:rFonts w:ascii="Times New Roman" w:hAnsi="Times New Roman" w:cs="Times New Roman"/>
          <w:sz w:val="24"/>
          <w:szCs w:val="24"/>
        </w:rPr>
        <w:footnoteReference w:id="13"/>
      </w:r>
      <w:r w:rsidRPr="008942EF">
        <w:rPr>
          <w:rFonts w:ascii="Times New Roman" w:hAnsi="Times New Roman" w:cs="Times New Roman"/>
          <w:sz w:val="24"/>
          <w:szCs w:val="24"/>
        </w:rPr>
        <w:t xml:space="preserve"> He differentiates between </w:t>
      </w:r>
      <w:r w:rsidR="006500B0">
        <w:rPr>
          <w:rFonts w:ascii="Times New Roman" w:hAnsi="Times New Roman" w:cs="Times New Roman"/>
          <w:sz w:val="24"/>
          <w:szCs w:val="24"/>
        </w:rPr>
        <w:t>‘</w:t>
      </w:r>
      <w:r w:rsidRPr="008942EF">
        <w:rPr>
          <w:rFonts w:ascii="Times New Roman" w:hAnsi="Times New Roman" w:cs="Times New Roman"/>
          <w:sz w:val="24"/>
          <w:szCs w:val="24"/>
        </w:rPr>
        <w:t>governing crime</w:t>
      </w:r>
      <w:r w:rsidR="006500B0">
        <w:rPr>
          <w:rFonts w:ascii="Times New Roman" w:hAnsi="Times New Roman" w:cs="Times New Roman"/>
          <w:sz w:val="24"/>
          <w:szCs w:val="24"/>
        </w:rPr>
        <w:t>’</w:t>
      </w:r>
      <w:r w:rsidRPr="008942EF">
        <w:rPr>
          <w:rFonts w:ascii="Times New Roman" w:hAnsi="Times New Roman" w:cs="Times New Roman"/>
          <w:sz w:val="24"/>
          <w:szCs w:val="24"/>
        </w:rPr>
        <w:t xml:space="preserve"> and </w:t>
      </w:r>
      <w:r w:rsidR="006500B0">
        <w:rPr>
          <w:rFonts w:ascii="Times New Roman" w:hAnsi="Times New Roman" w:cs="Times New Roman"/>
          <w:sz w:val="24"/>
          <w:szCs w:val="24"/>
        </w:rPr>
        <w:t>‘</w:t>
      </w:r>
      <w:r w:rsidRPr="008942EF">
        <w:rPr>
          <w:rFonts w:ascii="Times New Roman" w:hAnsi="Times New Roman" w:cs="Times New Roman"/>
          <w:sz w:val="24"/>
          <w:szCs w:val="24"/>
        </w:rPr>
        <w:t xml:space="preserve">governing </w:t>
      </w:r>
      <w:r w:rsidRPr="0038786A">
        <w:rPr>
          <w:rFonts w:ascii="Times New Roman" w:hAnsi="Times New Roman" w:cs="Times New Roman"/>
          <w:i/>
          <w:sz w:val="24"/>
          <w:szCs w:val="24"/>
        </w:rPr>
        <w:t>through</w:t>
      </w:r>
      <w:r w:rsidRPr="008942EF">
        <w:rPr>
          <w:rFonts w:ascii="Times New Roman" w:hAnsi="Times New Roman" w:cs="Times New Roman"/>
          <w:sz w:val="24"/>
          <w:szCs w:val="24"/>
        </w:rPr>
        <w:t xml:space="preserve"> crime</w:t>
      </w:r>
      <w:r w:rsidR="006500B0">
        <w:rPr>
          <w:rFonts w:ascii="Times New Roman" w:hAnsi="Times New Roman" w:cs="Times New Roman"/>
          <w:sz w:val="24"/>
          <w:szCs w:val="24"/>
        </w:rPr>
        <w:t>’</w:t>
      </w:r>
      <w:r w:rsidRPr="008942EF">
        <w:rPr>
          <w:rFonts w:ascii="Times New Roman" w:hAnsi="Times New Roman" w:cs="Times New Roman"/>
          <w:sz w:val="24"/>
          <w:szCs w:val="24"/>
        </w:rPr>
        <w:t>, noting that responding to crime in a way that is ‘proximate and proportionate to the crime threat experienced’</w:t>
      </w:r>
      <w:r w:rsidR="00147AB0">
        <w:rPr>
          <w:rStyle w:val="FootnoteReference"/>
          <w:rFonts w:ascii="Times New Roman" w:hAnsi="Times New Roman" w:cs="Times New Roman"/>
          <w:sz w:val="24"/>
          <w:szCs w:val="24"/>
        </w:rPr>
        <w:footnoteReference w:id="14"/>
      </w:r>
      <w:r w:rsidR="00147AB0">
        <w:rPr>
          <w:rFonts w:ascii="Times New Roman" w:hAnsi="Times New Roman" w:cs="Times New Roman"/>
          <w:sz w:val="24"/>
          <w:szCs w:val="24"/>
        </w:rPr>
        <w:t xml:space="preserve"> </w:t>
      </w:r>
      <w:r w:rsidRPr="008942EF">
        <w:rPr>
          <w:rFonts w:ascii="Times New Roman" w:hAnsi="Times New Roman" w:cs="Times New Roman"/>
          <w:sz w:val="24"/>
          <w:szCs w:val="24"/>
        </w:rPr>
        <w:t xml:space="preserve">is not necessarily governing </w:t>
      </w:r>
      <w:r w:rsidR="0074109F">
        <w:rPr>
          <w:rFonts w:ascii="Times New Roman" w:hAnsi="Times New Roman" w:cs="Times New Roman"/>
          <w:sz w:val="24"/>
          <w:szCs w:val="24"/>
        </w:rPr>
        <w:t xml:space="preserve">through crime. </w:t>
      </w:r>
      <w:r w:rsidR="0074109F" w:rsidRPr="008942EF">
        <w:rPr>
          <w:rFonts w:ascii="Times New Roman" w:hAnsi="Times New Roman" w:cs="Times New Roman"/>
          <w:sz w:val="24"/>
          <w:szCs w:val="24"/>
        </w:rPr>
        <w:t>Simon acknowledges that there</w:t>
      </w:r>
      <w:r w:rsidR="002E68F3">
        <w:rPr>
          <w:rFonts w:ascii="Times New Roman" w:hAnsi="Times New Roman" w:cs="Times New Roman"/>
          <w:sz w:val="24"/>
          <w:szCs w:val="24"/>
        </w:rPr>
        <w:t>,</w:t>
      </w:r>
      <w:r w:rsidR="0074109F" w:rsidRPr="008942EF">
        <w:rPr>
          <w:rFonts w:ascii="Times New Roman" w:hAnsi="Times New Roman" w:cs="Times New Roman"/>
          <w:sz w:val="24"/>
          <w:szCs w:val="24"/>
        </w:rPr>
        <w:t xml:space="preserve"> of course</w:t>
      </w:r>
      <w:r w:rsidR="002E68F3">
        <w:rPr>
          <w:rFonts w:ascii="Times New Roman" w:hAnsi="Times New Roman" w:cs="Times New Roman"/>
          <w:sz w:val="24"/>
          <w:szCs w:val="24"/>
        </w:rPr>
        <w:t>,</w:t>
      </w:r>
      <w:r w:rsidR="0074109F" w:rsidRPr="008942EF">
        <w:rPr>
          <w:rFonts w:ascii="Times New Roman" w:hAnsi="Times New Roman" w:cs="Times New Roman"/>
          <w:sz w:val="24"/>
          <w:szCs w:val="24"/>
        </w:rPr>
        <w:t xml:space="preserve"> should be a state response when subjects’ per</w:t>
      </w:r>
      <w:r w:rsidR="003D13AF">
        <w:rPr>
          <w:rFonts w:ascii="Times New Roman" w:hAnsi="Times New Roman" w:cs="Times New Roman"/>
          <w:sz w:val="24"/>
          <w:szCs w:val="24"/>
        </w:rPr>
        <w:t>sons or property are threatened.</w:t>
      </w:r>
      <w:r w:rsidR="00147AB0">
        <w:rPr>
          <w:rStyle w:val="FootnoteReference"/>
          <w:rFonts w:ascii="Times New Roman" w:hAnsi="Times New Roman" w:cs="Times New Roman"/>
          <w:sz w:val="24"/>
          <w:szCs w:val="24"/>
        </w:rPr>
        <w:footnoteReference w:id="15"/>
      </w:r>
      <w:r w:rsidR="0074109F" w:rsidRPr="008942EF">
        <w:rPr>
          <w:rFonts w:ascii="Times New Roman" w:hAnsi="Times New Roman" w:cs="Times New Roman"/>
          <w:sz w:val="24"/>
          <w:szCs w:val="24"/>
        </w:rPr>
        <w:t xml:space="preserve"> </w:t>
      </w:r>
      <w:r w:rsidR="003D13AF">
        <w:rPr>
          <w:rFonts w:ascii="Times New Roman" w:hAnsi="Times New Roman" w:cs="Times New Roman"/>
          <w:sz w:val="24"/>
          <w:szCs w:val="24"/>
        </w:rPr>
        <w:t>H</w:t>
      </w:r>
      <w:r w:rsidR="0074109F">
        <w:rPr>
          <w:rFonts w:ascii="Times New Roman" w:hAnsi="Times New Roman" w:cs="Times New Roman"/>
          <w:sz w:val="24"/>
          <w:szCs w:val="24"/>
        </w:rPr>
        <w:t>e notes</w:t>
      </w:r>
      <w:r w:rsidR="003D13AF">
        <w:rPr>
          <w:rFonts w:ascii="Times New Roman" w:hAnsi="Times New Roman" w:cs="Times New Roman"/>
          <w:sz w:val="24"/>
          <w:szCs w:val="24"/>
        </w:rPr>
        <w:t>, however,</w:t>
      </w:r>
      <w:r w:rsidRPr="008942EF">
        <w:rPr>
          <w:rFonts w:ascii="Times New Roman" w:hAnsi="Times New Roman" w:cs="Times New Roman"/>
          <w:sz w:val="24"/>
          <w:szCs w:val="24"/>
        </w:rPr>
        <w:t xml:space="preserve"> that it is not always easy to discern when institutions are genuinely threatened by crime and when they are using crime to promote governance by legitimising </w:t>
      </w:r>
      <w:r w:rsidRPr="008942EF">
        <w:rPr>
          <w:rFonts w:ascii="Times New Roman" w:hAnsi="Times New Roman" w:cs="Times New Roman"/>
          <w:sz w:val="24"/>
          <w:szCs w:val="24"/>
        </w:rPr>
        <w:lastRenderedPageBreak/>
        <w:t>the exercise of power.</w:t>
      </w:r>
      <w:r w:rsidR="00147AB0">
        <w:rPr>
          <w:rStyle w:val="FootnoteReference"/>
          <w:rFonts w:ascii="Times New Roman" w:hAnsi="Times New Roman" w:cs="Times New Roman"/>
          <w:sz w:val="24"/>
          <w:szCs w:val="24"/>
        </w:rPr>
        <w:footnoteReference w:id="16"/>
      </w:r>
      <w:r w:rsidRPr="008942EF">
        <w:rPr>
          <w:rFonts w:ascii="Times New Roman" w:hAnsi="Times New Roman" w:cs="Times New Roman"/>
          <w:sz w:val="24"/>
          <w:szCs w:val="24"/>
        </w:rPr>
        <w:t xml:space="preserve"> His contention</w:t>
      </w:r>
      <w:r w:rsidR="0074109F">
        <w:rPr>
          <w:rFonts w:ascii="Times New Roman" w:hAnsi="Times New Roman" w:cs="Times New Roman"/>
          <w:sz w:val="24"/>
          <w:szCs w:val="24"/>
        </w:rPr>
        <w:t xml:space="preserve"> </w:t>
      </w:r>
      <w:r w:rsidRPr="008942EF">
        <w:rPr>
          <w:rFonts w:ascii="Times New Roman" w:hAnsi="Times New Roman" w:cs="Times New Roman"/>
          <w:sz w:val="24"/>
          <w:szCs w:val="24"/>
        </w:rPr>
        <w:t>is that</w:t>
      </w:r>
      <w:r w:rsidR="006C128D">
        <w:rPr>
          <w:rFonts w:ascii="Times New Roman" w:hAnsi="Times New Roman" w:cs="Times New Roman"/>
          <w:sz w:val="24"/>
          <w:szCs w:val="24"/>
        </w:rPr>
        <w:t>,</w:t>
      </w:r>
      <w:r w:rsidRPr="008942EF">
        <w:rPr>
          <w:rFonts w:ascii="Times New Roman" w:hAnsi="Times New Roman" w:cs="Times New Roman"/>
          <w:sz w:val="24"/>
          <w:szCs w:val="24"/>
        </w:rPr>
        <w:t xml:space="preserve"> increasingly, recourse to a crime model has become the first response to social issues.</w:t>
      </w:r>
      <w:r w:rsidR="00147AB0">
        <w:rPr>
          <w:rStyle w:val="FootnoteReference"/>
          <w:rFonts w:ascii="Times New Roman" w:hAnsi="Times New Roman" w:cs="Times New Roman"/>
          <w:sz w:val="24"/>
          <w:szCs w:val="24"/>
        </w:rPr>
        <w:footnoteReference w:id="17"/>
      </w:r>
      <w:r w:rsidRPr="008942EF">
        <w:rPr>
          <w:rFonts w:ascii="Times New Roman" w:hAnsi="Times New Roman" w:cs="Times New Roman"/>
          <w:sz w:val="24"/>
          <w:szCs w:val="24"/>
        </w:rPr>
        <w:t xml:space="preserve"> This is problematic because ‘the importance the state has assigned to crime nudges out other kinds of opportunities that a different hierarchy of public problems might produce’,</w:t>
      </w:r>
      <w:r w:rsidR="00147AB0">
        <w:rPr>
          <w:rStyle w:val="FootnoteReference"/>
          <w:rFonts w:ascii="Times New Roman" w:hAnsi="Times New Roman" w:cs="Times New Roman"/>
          <w:sz w:val="24"/>
          <w:szCs w:val="24"/>
        </w:rPr>
        <w:footnoteReference w:id="18"/>
      </w:r>
      <w:r w:rsidRPr="008942EF">
        <w:rPr>
          <w:rFonts w:ascii="Times New Roman" w:hAnsi="Times New Roman" w:cs="Times New Roman"/>
          <w:sz w:val="24"/>
          <w:szCs w:val="24"/>
        </w:rPr>
        <w:t xml:space="preserve"> meaning that by focusing on crime, we lose the opportunity to prioritise social issues such as poverty or education.</w:t>
      </w:r>
      <w:r w:rsidR="003D13AF" w:rsidRPr="003D13AF">
        <w:rPr>
          <w:rFonts w:ascii="Times New Roman" w:hAnsi="Times New Roman" w:cs="Times New Roman"/>
          <w:sz w:val="24"/>
          <w:szCs w:val="24"/>
        </w:rPr>
        <w:t xml:space="preserve"> </w:t>
      </w:r>
    </w:p>
    <w:p w:rsidR="008942EF" w:rsidRDefault="008942EF" w:rsidP="008942EF">
      <w:pPr>
        <w:spacing w:after="0" w:line="480" w:lineRule="auto"/>
        <w:jc w:val="both"/>
        <w:rPr>
          <w:rFonts w:ascii="Times New Roman" w:hAnsi="Times New Roman" w:cs="Times New Roman"/>
          <w:sz w:val="24"/>
          <w:szCs w:val="24"/>
        </w:rPr>
      </w:pPr>
      <w:r w:rsidRPr="008942EF">
        <w:rPr>
          <w:rFonts w:ascii="Times New Roman" w:hAnsi="Times New Roman" w:cs="Times New Roman"/>
          <w:sz w:val="24"/>
          <w:szCs w:val="24"/>
        </w:rPr>
        <w:t xml:space="preserve">Governing through crime, then, is not simply responding </w:t>
      </w:r>
      <w:r w:rsidR="003D13AF">
        <w:rPr>
          <w:rFonts w:ascii="Times New Roman" w:hAnsi="Times New Roman" w:cs="Times New Roman"/>
          <w:sz w:val="24"/>
          <w:szCs w:val="24"/>
        </w:rPr>
        <w:t xml:space="preserve">proportionately </w:t>
      </w:r>
      <w:r w:rsidRPr="008942EF">
        <w:rPr>
          <w:rFonts w:ascii="Times New Roman" w:hAnsi="Times New Roman" w:cs="Times New Roman"/>
          <w:sz w:val="24"/>
          <w:szCs w:val="24"/>
        </w:rPr>
        <w:t>to crime threats. Rather</w:t>
      </w:r>
      <w:r w:rsidR="003D13AF">
        <w:rPr>
          <w:rFonts w:ascii="Times New Roman" w:hAnsi="Times New Roman" w:cs="Times New Roman"/>
          <w:sz w:val="24"/>
          <w:szCs w:val="24"/>
        </w:rPr>
        <w:t>,</w:t>
      </w:r>
      <w:r w:rsidRPr="008942EF">
        <w:rPr>
          <w:rFonts w:ascii="Times New Roman" w:hAnsi="Times New Roman" w:cs="Times New Roman"/>
          <w:sz w:val="24"/>
          <w:szCs w:val="24"/>
        </w:rPr>
        <w:t xml:space="preserve"> it is the structuring of society around the fear of crime, meaning that ‘new forms of power [are] institutionalised and embraced’</w:t>
      </w:r>
      <w:r w:rsidR="00223E89">
        <w:rPr>
          <w:rStyle w:val="FootnoteReference"/>
          <w:rFonts w:ascii="Times New Roman" w:hAnsi="Times New Roman" w:cs="Times New Roman"/>
          <w:sz w:val="24"/>
          <w:szCs w:val="24"/>
        </w:rPr>
        <w:footnoteReference w:id="19"/>
      </w:r>
      <w:r w:rsidR="00223E89">
        <w:rPr>
          <w:rFonts w:ascii="Times New Roman" w:hAnsi="Times New Roman" w:cs="Times New Roman"/>
          <w:sz w:val="24"/>
          <w:szCs w:val="24"/>
        </w:rPr>
        <w:t xml:space="preserve"> </w:t>
      </w:r>
      <w:r w:rsidRPr="008942EF">
        <w:rPr>
          <w:rFonts w:ascii="Times New Roman" w:hAnsi="Times New Roman" w:cs="Times New Roman"/>
          <w:sz w:val="24"/>
          <w:szCs w:val="24"/>
        </w:rPr>
        <w:t>in the name of responding to ris</w:t>
      </w:r>
      <w:r w:rsidR="0074109F">
        <w:rPr>
          <w:rFonts w:ascii="Times New Roman" w:hAnsi="Times New Roman" w:cs="Times New Roman"/>
          <w:sz w:val="24"/>
          <w:szCs w:val="24"/>
        </w:rPr>
        <w:t>ks of crime. Simon looks beyond</w:t>
      </w:r>
      <w:r w:rsidRPr="008942EF">
        <w:rPr>
          <w:rFonts w:ascii="Times New Roman" w:hAnsi="Times New Roman" w:cs="Times New Roman"/>
          <w:sz w:val="24"/>
          <w:szCs w:val="24"/>
        </w:rPr>
        <w:t xml:space="preserve"> the criminal law to argue that metaphors for crime and criminal justice are apparent in other institutions. </w:t>
      </w:r>
      <w:r w:rsidR="0074109F">
        <w:rPr>
          <w:rFonts w:ascii="Times New Roman" w:hAnsi="Times New Roman" w:cs="Times New Roman"/>
          <w:sz w:val="24"/>
          <w:szCs w:val="24"/>
        </w:rPr>
        <w:t xml:space="preserve">An example used by Simon is the </w:t>
      </w:r>
      <w:r w:rsidR="002E68F3">
        <w:rPr>
          <w:rFonts w:ascii="Times New Roman" w:hAnsi="Times New Roman" w:cs="Times New Roman"/>
          <w:sz w:val="24"/>
          <w:szCs w:val="24"/>
        </w:rPr>
        <w:t>move towards ‘</w:t>
      </w:r>
      <w:r w:rsidR="0074109F">
        <w:rPr>
          <w:rFonts w:ascii="Times New Roman" w:hAnsi="Times New Roman" w:cs="Times New Roman"/>
          <w:sz w:val="24"/>
          <w:szCs w:val="24"/>
        </w:rPr>
        <w:t>safe schools</w:t>
      </w:r>
      <w:r w:rsidR="002E68F3">
        <w:rPr>
          <w:rFonts w:ascii="Times New Roman" w:hAnsi="Times New Roman" w:cs="Times New Roman"/>
          <w:sz w:val="24"/>
          <w:szCs w:val="24"/>
        </w:rPr>
        <w:t>’</w:t>
      </w:r>
      <w:r w:rsidR="0074109F">
        <w:rPr>
          <w:rFonts w:ascii="Times New Roman" w:hAnsi="Times New Roman" w:cs="Times New Roman"/>
          <w:sz w:val="24"/>
          <w:szCs w:val="24"/>
        </w:rPr>
        <w:t xml:space="preserve"> in the US; he argues that concerns around juvenile crime have led to the implementation of measures – such as mandatory drug testing, metal detectors and searches –</w:t>
      </w:r>
      <w:r w:rsidR="00CF755E">
        <w:rPr>
          <w:rFonts w:ascii="Times New Roman" w:hAnsi="Times New Roman" w:cs="Times New Roman"/>
          <w:sz w:val="24"/>
          <w:szCs w:val="24"/>
        </w:rPr>
        <w:t xml:space="preserve"> that construct </w:t>
      </w:r>
      <w:r w:rsidR="0074109F">
        <w:rPr>
          <w:rFonts w:ascii="Times New Roman" w:hAnsi="Times New Roman" w:cs="Times New Roman"/>
          <w:sz w:val="24"/>
          <w:szCs w:val="24"/>
        </w:rPr>
        <w:t>students as potential victims or perpetrators of crime.</w:t>
      </w:r>
      <w:r w:rsidR="00223E89">
        <w:rPr>
          <w:rStyle w:val="FootnoteReference"/>
          <w:rFonts w:ascii="Times New Roman" w:hAnsi="Times New Roman" w:cs="Times New Roman"/>
          <w:sz w:val="24"/>
          <w:szCs w:val="24"/>
        </w:rPr>
        <w:footnoteReference w:id="20"/>
      </w:r>
      <w:r w:rsidR="0074109F">
        <w:rPr>
          <w:rFonts w:ascii="Times New Roman" w:hAnsi="Times New Roman" w:cs="Times New Roman"/>
          <w:sz w:val="24"/>
          <w:szCs w:val="24"/>
        </w:rPr>
        <w:t xml:space="preserve"> </w:t>
      </w:r>
      <w:r w:rsidR="00260035">
        <w:rPr>
          <w:rFonts w:ascii="Times New Roman" w:hAnsi="Times New Roman" w:cs="Times New Roman"/>
          <w:sz w:val="24"/>
          <w:szCs w:val="24"/>
        </w:rPr>
        <w:t>R</w:t>
      </w:r>
      <w:r w:rsidR="002E68F3">
        <w:rPr>
          <w:rFonts w:ascii="Times New Roman" w:hAnsi="Times New Roman" w:cs="Times New Roman"/>
          <w:sz w:val="24"/>
          <w:szCs w:val="24"/>
        </w:rPr>
        <w:t>esources and attention are focused on criminal punishment rather than education as a matter of key importance in schools</w:t>
      </w:r>
      <w:r w:rsidR="00260035">
        <w:rPr>
          <w:rFonts w:ascii="Times New Roman" w:hAnsi="Times New Roman" w:cs="Times New Roman"/>
          <w:sz w:val="24"/>
          <w:szCs w:val="24"/>
        </w:rPr>
        <w:t>, allowing</w:t>
      </w:r>
      <w:r w:rsidR="002E68F3">
        <w:rPr>
          <w:rFonts w:ascii="Times New Roman" w:hAnsi="Times New Roman" w:cs="Times New Roman"/>
          <w:sz w:val="24"/>
          <w:szCs w:val="24"/>
        </w:rPr>
        <w:t xml:space="preserve"> the state to say that they are responding to concerns in schools, while not necessarily offering the tools to improve education. That is, crime rather than education becomes ‘</w:t>
      </w:r>
      <w:r w:rsidR="003D13AF">
        <w:rPr>
          <w:rFonts w:ascii="Times New Roman" w:hAnsi="Times New Roman" w:cs="Times New Roman"/>
          <w:sz w:val="24"/>
          <w:szCs w:val="24"/>
        </w:rPr>
        <w:t xml:space="preserve">the most important problem [schools] </w:t>
      </w:r>
      <w:r w:rsidR="002E68F3">
        <w:rPr>
          <w:rFonts w:ascii="Times New Roman" w:hAnsi="Times New Roman" w:cs="Times New Roman"/>
          <w:sz w:val="24"/>
          <w:szCs w:val="24"/>
        </w:rPr>
        <w:t>have to deal with’</w:t>
      </w:r>
      <w:r w:rsidR="00223E89">
        <w:rPr>
          <w:rFonts w:ascii="Times New Roman" w:hAnsi="Times New Roman" w:cs="Times New Roman"/>
          <w:sz w:val="24"/>
          <w:szCs w:val="24"/>
        </w:rPr>
        <w:t>.</w:t>
      </w:r>
      <w:r w:rsidR="00223E89">
        <w:rPr>
          <w:rStyle w:val="FootnoteReference"/>
          <w:rFonts w:ascii="Times New Roman" w:hAnsi="Times New Roman" w:cs="Times New Roman"/>
          <w:sz w:val="24"/>
          <w:szCs w:val="24"/>
        </w:rPr>
        <w:footnoteReference w:id="21"/>
      </w:r>
      <w:r w:rsidR="0025495C">
        <w:rPr>
          <w:rFonts w:ascii="Times New Roman" w:hAnsi="Times New Roman" w:cs="Times New Roman"/>
          <w:sz w:val="24"/>
          <w:szCs w:val="24"/>
        </w:rPr>
        <w:t xml:space="preserve"> </w:t>
      </w:r>
    </w:p>
    <w:p w:rsidR="00CF755E" w:rsidRPr="008942EF" w:rsidRDefault="00CF755E" w:rsidP="008942EF">
      <w:pPr>
        <w:spacing w:after="0" w:line="480" w:lineRule="auto"/>
        <w:jc w:val="both"/>
        <w:rPr>
          <w:rFonts w:ascii="Times New Roman" w:hAnsi="Times New Roman" w:cs="Times New Roman"/>
          <w:sz w:val="24"/>
          <w:szCs w:val="24"/>
        </w:rPr>
      </w:pPr>
    </w:p>
    <w:p w:rsidR="00CF755E" w:rsidRPr="00CF755E" w:rsidRDefault="00FC4E5B" w:rsidP="00CF75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008942EF" w:rsidRPr="008942EF">
        <w:rPr>
          <w:rFonts w:ascii="Times New Roman" w:hAnsi="Times New Roman" w:cs="Times New Roman"/>
          <w:sz w:val="24"/>
          <w:szCs w:val="24"/>
        </w:rPr>
        <w:t>rawing on Fouca</w:t>
      </w:r>
      <w:r w:rsidR="00A90DA0">
        <w:rPr>
          <w:rFonts w:ascii="Times New Roman" w:hAnsi="Times New Roman" w:cs="Times New Roman"/>
          <w:sz w:val="24"/>
          <w:szCs w:val="24"/>
        </w:rPr>
        <w:t>ult’s (1978) theory of governmentality</w:t>
      </w:r>
      <w:r w:rsidR="00A90DA0">
        <w:rPr>
          <w:rFonts w:ascii="Times New Roman" w:hAnsi="Times New Roman" w:cs="Times New Roman"/>
        </w:rPr>
        <w:t>,</w:t>
      </w:r>
      <w:r w:rsidR="00223E89">
        <w:rPr>
          <w:rStyle w:val="FootnoteReference"/>
          <w:rFonts w:ascii="Times New Roman" w:hAnsi="Times New Roman" w:cs="Times New Roman"/>
        </w:rPr>
        <w:footnoteReference w:id="22"/>
      </w:r>
      <w:r w:rsidR="008942EF" w:rsidRPr="008942EF">
        <w:rPr>
          <w:rFonts w:ascii="Times New Roman" w:hAnsi="Times New Roman" w:cs="Times New Roman"/>
          <w:sz w:val="24"/>
          <w:szCs w:val="24"/>
        </w:rPr>
        <w:t xml:space="preserve"> </w:t>
      </w:r>
      <w:r>
        <w:rPr>
          <w:rFonts w:ascii="Times New Roman" w:hAnsi="Times New Roman" w:cs="Times New Roman"/>
          <w:sz w:val="24"/>
          <w:szCs w:val="24"/>
        </w:rPr>
        <w:t xml:space="preserve">Simon </w:t>
      </w:r>
      <w:r w:rsidR="00A90DA0">
        <w:rPr>
          <w:rFonts w:ascii="Times New Roman" w:hAnsi="Times New Roman" w:cs="Times New Roman"/>
          <w:sz w:val="24"/>
          <w:szCs w:val="24"/>
        </w:rPr>
        <w:t>argue</w:t>
      </w:r>
      <w:r>
        <w:rPr>
          <w:rFonts w:ascii="Times New Roman" w:hAnsi="Times New Roman" w:cs="Times New Roman"/>
          <w:sz w:val="24"/>
          <w:szCs w:val="24"/>
        </w:rPr>
        <w:t>s</w:t>
      </w:r>
      <w:r w:rsidR="00A90DA0">
        <w:rPr>
          <w:rFonts w:ascii="Times New Roman" w:hAnsi="Times New Roman" w:cs="Times New Roman"/>
          <w:sz w:val="24"/>
          <w:szCs w:val="24"/>
        </w:rPr>
        <w:t xml:space="preserve"> that</w:t>
      </w:r>
      <w:r w:rsidR="008942EF" w:rsidRPr="008942EF">
        <w:rPr>
          <w:rFonts w:ascii="Times New Roman" w:hAnsi="Times New Roman" w:cs="Times New Roman"/>
          <w:sz w:val="24"/>
          <w:szCs w:val="24"/>
        </w:rPr>
        <w:t xml:space="preserve"> by imagining the needs of citizens as ‘framed by the problem of crime’,</w:t>
      </w:r>
      <w:r w:rsidR="00A90DA0" w:rsidRPr="008942EF">
        <w:rPr>
          <w:rFonts w:ascii="Times New Roman" w:hAnsi="Times New Roman" w:cs="Times New Roman"/>
          <w:sz w:val="24"/>
          <w:szCs w:val="24"/>
        </w:rPr>
        <w:t xml:space="preserve"> </w:t>
      </w:r>
      <w:r w:rsidR="00A90DA0">
        <w:rPr>
          <w:rFonts w:ascii="Times New Roman" w:hAnsi="Times New Roman" w:cs="Times New Roman"/>
          <w:sz w:val="24"/>
          <w:szCs w:val="24"/>
        </w:rPr>
        <w:t xml:space="preserve">the state has privileged </w:t>
      </w:r>
      <w:r w:rsidR="008942EF" w:rsidRPr="008942EF">
        <w:rPr>
          <w:rFonts w:ascii="Times New Roman" w:hAnsi="Times New Roman" w:cs="Times New Roman"/>
          <w:sz w:val="24"/>
          <w:szCs w:val="24"/>
        </w:rPr>
        <w:t xml:space="preserve">crime and fear of crime </w:t>
      </w:r>
      <w:r w:rsidR="00A90DA0">
        <w:rPr>
          <w:rFonts w:ascii="Times New Roman" w:hAnsi="Times New Roman" w:cs="Times New Roman"/>
          <w:sz w:val="24"/>
          <w:szCs w:val="24"/>
        </w:rPr>
        <w:t>so that its</w:t>
      </w:r>
      <w:r w:rsidR="008942EF" w:rsidRPr="008942EF">
        <w:rPr>
          <w:rFonts w:ascii="Times New Roman" w:hAnsi="Times New Roman" w:cs="Times New Roman"/>
          <w:sz w:val="24"/>
          <w:szCs w:val="24"/>
        </w:rPr>
        <w:t xml:space="preserve"> relationship to its citizens has been shaped around protection from </w:t>
      </w:r>
      <w:r w:rsidR="008942EF" w:rsidRPr="008942EF">
        <w:rPr>
          <w:rFonts w:ascii="Times New Roman" w:hAnsi="Times New Roman" w:cs="Times New Roman"/>
          <w:sz w:val="24"/>
          <w:szCs w:val="24"/>
        </w:rPr>
        <w:lastRenderedPageBreak/>
        <w:t>this perceived risk.</w:t>
      </w:r>
      <w:r w:rsidR="00223E89">
        <w:rPr>
          <w:rStyle w:val="FootnoteReference"/>
          <w:rFonts w:ascii="Times New Roman" w:hAnsi="Times New Roman" w:cs="Times New Roman"/>
          <w:sz w:val="24"/>
          <w:szCs w:val="24"/>
        </w:rPr>
        <w:footnoteReference w:id="23"/>
      </w:r>
      <w:r w:rsidR="008942EF" w:rsidRPr="008942EF">
        <w:rPr>
          <w:rFonts w:ascii="Times New Roman" w:hAnsi="Times New Roman" w:cs="Times New Roman"/>
          <w:sz w:val="24"/>
          <w:szCs w:val="24"/>
        </w:rPr>
        <w:t xml:space="preserve"> </w:t>
      </w:r>
      <w:r w:rsidR="002A2535">
        <w:rPr>
          <w:rFonts w:ascii="Times New Roman" w:hAnsi="Times New Roman" w:cs="Times New Roman"/>
          <w:sz w:val="24"/>
          <w:szCs w:val="24"/>
        </w:rPr>
        <w:t>The</w:t>
      </w:r>
      <w:r w:rsidR="008942EF" w:rsidRPr="008942EF">
        <w:rPr>
          <w:rFonts w:ascii="Times New Roman" w:hAnsi="Times New Roman" w:cs="Times New Roman"/>
          <w:sz w:val="24"/>
          <w:szCs w:val="24"/>
        </w:rPr>
        <w:t xml:space="preserve"> actual result</w:t>
      </w:r>
      <w:r w:rsidR="002A2535">
        <w:rPr>
          <w:rFonts w:ascii="Times New Roman" w:hAnsi="Times New Roman" w:cs="Times New Roman"/>
          <w:sz w:val="24"/>
          <w:szCs w:val="24"/>
        </w:rPr>
        <w:t>, however, is</w:t>
      </w:r>
      <w:r w:rsidR="008942EF" w:rsidRPr="008942EF">
        <w:rPr>
          <w:rFonts w:ascii="Times New Roman" w:hAnsi="Times New Roman" w:cs="Times New Roman"/>
          <w:sz w:val="24"/>
          <w:szCs w:val="24"/>
        </w:rPr>
        <w:t xml:space="preserve"> using crime to further stigmatise some communities and make other communities so fearful of crime that they tolerate more and more state control, as well as regulating their own behaviour to avoid crime</w:t>
      </w:r>
      <w:r w:rsidR="00223E89">
        <w:rPr>
          <w:rFonts w:ascii="Times New Roman" w:hAnsi="Times New Roman" w:cs="Times New Roman"/>
          <w:sz w:val="24"/>
          <w:szCs w:val="24"/>
        </w:rPr>
        <w:t>.</w:t>
      </w:r>
      <w:r w:rsidR="00223E89">
        <w:rPr>
          <w:rStyle w:val="FootnoteReference"/>
          <w:rFonts w:ascii="Times New Roman" w:hAnsi="Times New Roman" w:cs="Times New Roman"/>
          <w:sz w:val="24"/>
          <w:szCs w:val="24"/>
        </w:rPr>
        <w:footnoteReference w:id="24"/>
      </w:r>
      <w:r w:rsidR="00A90DA0">
        <w:rPr>
          <w:rFonts w:ascii="Times New Roman" w:hAnsi="Times New Roman" w:cs="Times New Roman"/>
          <w:sz w:val="24"/>
          <w:szCs w:val="24"/>
        </w:rPr>
        <w:t xml:space="preserve"> </w:t>
      </w:r>
      <w:r w:rsidR="008942EF" w:rsidRPr="008942EF">
        <w:rPr>
          <w:rFonts w:ascii="Times New Roman" w:hAnsi="Times New Roman" w:cs="Times New Roman"/>
          <w:sz w:val="24"/>
          <w:szCs w:val="24"/>
        </w:rPr>
        <w:t>In his words, ‘by writing laws that implicitly and increasingly explicitly say that we are the victims and potential victims, lawmakers have defined the crime victim as an idealized political subject, the model subject, whose circumstances and experiences have come</w:t>
      </w:r>
      <w:r w:rsidR="00A90DA0">
        <w:rPr>
          <w:rFonts w:ascii="Times New Roman" w:hAnsi="Times New Roman" w:cs="Times New Roman"/>
          <w:sz w:val="24"/>
          <w:szCs w:val="24"/>
        </w:rPr>
        <w:t xml:space="preserve"> to stand for the general good’.</w:t>
      </w:r>
      <w:r w:rsidR="00223E89">
        <w:rPr>
          <w:rStyle w:val="FootnoteReference"/>
          <w:rFonts w:ascii="Times New Roman" w:hAnsi="Times New Roman" w:cs="Times New Roman"/>
          <w:sz w:val="24"/>
          <w:szCs w:val="24"/>
        </w:rPr>
        <w:footnoteReference w:id="25"/>
      </w:r>
      <w:r w:rsidR="00A90DA0" w:rsidRPr="008942EF">
        <w:rPr>
          <w:rFonts w:ascii="Times New Roman" w:hAnsi="Times New Roman" w:cs="Times New Roman"/>
          <w:sz w:val="24"/>
          <w:szCs w:val="24"/>
        </w:rPr>
        <w:t xml:space="preserve"> </w:t>
      </w:r>
      <w:r w:rsidR="00260035">
        <w:rPr>
          <w:rFonts w:ascii="Times New Roman" w:hAnsi="Times New Roman" w:cs="Times New Roman"/>
          <w:sz w:val="24"/>
          <w:szCs w:val="24"/>
        </w:rPr>
        <w:t>P</w:t>
      </w:r>
      <w:r w:rsidR="008942EF" w:rsidRPr="008942EF">
        <w:rPr>
          <w:rFonts w:ascii="Times New Roman" w:hAnsi="Times New Roman" w:cs="Times New Roman"/>
          <w:sz w:val="24"/>
          <w:szCs w:val="24"/>
        </w:rPr>
        <w:t>erhaps more dangerously, people ‘deploy the category of crime to legitimate interventions that have other motivations’, because they are seen to be acting legitimately when the purported aim is to prevent crimes or ‘other troubling behaviours that can be closely analogized to crimes’.</w:t>
      </w:r>
      <w:r w:rsidR="00223E89">
        <w:rPr>
          <w:rStyle w:val="FootnoteReference"/>
          <w:rFonts w:ascii="Times New Roman" w:hAnsi="Times New Roman" w:cs="Times New Roman"/>
          <w:sz w:val="24"/>
          <w:szCs w:val="24"/>
        </w:rPr>
        <w:footnoteReference w:id="26"/>
      </w:r>
      <w:r w:rsidR="00CF755E" w:rsidRPr="00CF755E">
        <w:rPr>
          <w:rFonts w:ascii="Times New Roman" w:hAnsi="Times New Roman" w:cs="Times New Roman"/>
          <w:sz w:val="24"/>
          <w:szCs w:val="24"/>
        </w:rPr>
        <w:t xml:space="preserve"> </w:t>
      </w:r>
      <w:r w:rsidR="00BC3B37">
        <w:rPr>
          <w:rFonts w:ascii="Times New Roman" w:hAnsi="Times New Roman" w:cs="Times New Roman"/>
          <w:sz w:val="24"/>
          <w:szCs w:val="24"/>
        </w:rPr>
        <w:t>Simon</w:t>
      </w:r>
      <w:r w:rsidR="00BC3B37" w:rsidRPr="00CF755E">
        <w:rPr>
          <w:rFonts w:ascii="Times New Roman" w:hAnsi="Times New Roman" w:cs="Times New Roman"/>
          <w:sz w:val="24"/>
          <w:szCs w:val="24"/>
        </w:rPr>
        <w:t xml:space="preserve"> uses the example of legislation ‘making an assault on a pregnant woman that causes death or harm to the foetus a distinct federal crime</w:t>
      </w:r>
      <w:r w:rsidR="00BC3B37">
        <w:rPr>
          <w:rFonts w:ascii="Times New Roman" w:hAnsi="Times New Roman" w:cs="Times New Roman"/>
          <w:sz w:val="24"/>
          <w:szCs w:val="24"/>
        </w:rPr>
        <w:t>, [that]</w:t>
      </w:r>
      <w:r w:rsidR="00BC3B37" w:rsidRPr="00CF755E">
        <w:rPr>
          <w:rFonts w:ascii="Times New Roman" w:hAnsi="Times New Roman" w:cs="Times New Roman"/>
          <w:sz w:val="24"/>
          <w:szCs w:val="24"/>
        </w:rPr>
        <w:t xml:space="preserve"> has more to do with the politics of abortion rights than crime’, but that because it is ‘directed at criminals</w:t>
      </w:r>
      <w:r w:rsidR="00BC3B37">
        <w:rPr>
          <w:rFonts w:ascii="Times New Roman" w:hAnsi="Times New Roman" w:cs="Times New Roman"/>
          <w:sz w:val="24"/>
          <w:szCs w:val="24"/>
        </w:rPr>
        <w:t>,</w:t>
      </w:r>
      <w:r w:rsidR="00BC3B37" w:rsidRPr="00CF755E">
        <w:rPr>
          <w:rFonts w:ascii="Times New Roman" w:hAnsi="Times New Roman" w:cs="Times New Roman"/>
          <w:sz w:val="24"/>
          <w:szCs w:val="24"/>
        </w:rPr>
        <w:t xml:space="preserve"> it can achieve majority support despite polarization on the choice issue’.</w:t>
      </w:r>
      <w:r w:rsidR="00223E89">
        <w:rPr>
          <w:rStyle w:val="FootnoteReference"/>
          <w:rFonts w:ascii="Times New Roman" w:hAnsi="Times New Roman" w:cs="Times New Roman"/>
          <w:sz w:val="24"/>
          <w:szCs w:val="24"/>
        </w:rPr>
        <w:footnoteReference w:id="27"/>
      </w:r>
      <w:r w:rsidR="00BC3B37" w:rsidRPr="00CF755E">
        <w:rPr>
          <w:rFonts w:ascii="Times New Roman" w:hAnsi="Times New Roman" w:cs="Times New Roman"/>
          <w:sz w:val="24"/>
          <w:szCs w:val="24"/>
        </w:rPr>
        <w:t xml:space="preserve"> </w:t>
      </w:r>
      <w:r w:rsidR="00CF755E">
        <w:rPr>
          <w:rFonts w:ascii="Times New Roman" w:hAnsi="Times New Roman" w:cs="Times New Roman"/>
          <w:sz w:val="24"/>
          <w:szCs w:val="24"/>
        </w:rPr>
        <w:t>That is,</w:t>
      </w:r>
      <w:r w:rsidR="00BC3B37">
        <w:rPr>
          <w:rFonts w:ascii="Times New Roman" w:hAnsi="Times New Roman" w:cs="Times New Roman"/>
          <w:sz w:val="24"/>
          <w:szCs w:val="24"/>
        </w:rPr>
        <w:t xml:space="preserve"> often more political</w:t>
      </w:r>
      <w:r w:rsidR="00CF755E" w:rsidRPr="00CF755E">
        <w:rPr>
          <w:rFonts w:ascii="Times New Roman" w:hAnsi="Times New Roman" w:cs="Times New Roman"/>
          <w:sz w:val="24"/>
          <w:szCs w:val="24"/>
        </w:rPr>
        <w:t xml:space="preserve"> and controversial, motivations are masked by deploying the category of crime. </w:t>
      </w:r>
    </w:p>
    <w:p w:rsidR="00EF4610" w:rsidRPr="008942EF" w:rsidRDefault="00EF4610" w:rsidP="008942EF">
      <w:pPr>
        <w:spacing w:after="0" w:line="480" w:lineRule="auto"/>
        <w:jc w:val="both"/>
        <w:rPr>
          <w:rFonts w:ascii="Times New Roman" w:hAnsi="Times New Roman" w:cs="Times New Roman"/>
          <w:sz w:val="24"/>
          <w:szCs w:val="24"/>
        </w:rPr>
      </w:pPr>
    </w:p>
    <w:p w:rsidR="008942EF" w:rsidRDefault="00EF4610" w:rsidP="008942EF">
      <w:pPr>
        <w:spacing w:after="0" w:line="480" w:lineRule="auto"/>
        <w:jc w:val="both"/>
        <w:rPr>
          <w:rFonts w:ascii="Times New Roman" w:hAnsi="Times New Roman" w:cs="Times New Roman"/>
          <w:b/>
          <w:sz w:val="24"/>
          <w:szCs w:val="24"/>
        </w:rPr>
      </w:pPr>
      <w:r w:rsidRPr="008942EF">
        <w:rPr>
          <w:rFonts w:ascii="Times New Roman" w:hAnsi="Times New Roman" w:cs="Times New Roman"/>
          <w:sz w:val="24"/>
          <w:szCs w:val="24"/>
        </w:rPr>
        <w:t xml:space="preserve">The </w:t>
      </w:r>
      <w:r w:rsidR="00CF755E">
        <w:rPr>
          <w:rFonts w:ascii="Times New Roman" w:hAnsi="Times New Roman" w:cs="Times New Roman"/>
          <w:sz w:val="24"/>
          <w:szCs w:val="24"/>
        </w:rPr>
        <w:t xml:space="preserve">following sections demonstrate how the </w:t>
      </w:r>
      <w:r w:rsidRPr="008942EF">
        <w:rPr>
          <w:rFonts w:ascii="Times New Roman" w:hAnsi="Times New Roman" w:cs="Times New Roman"/>
          <w:sz w:val="24"/>
          <w:szCs w:val="24"/>
        </w:rPr>
        <w:t xml:space="preserve">concept of governing through crime can be used as a lens </w:t>
      </w:r>
      <w:r w:rsidR="00260035">
        <w:rPr>
          <w:rFonts w:ascii="Times New Roman" w:hAnsi="Times New Roman" w:cs="Times New Roman"/>
          <w:sz w:val="24"/>
          <w:szCs w:val="24"/>
        </w:rPr>
        <w:t xml:space="preserve">through which </w:t>
      </w:r>
      <w:r w:rsidRPr="008942EF">
        <w:rPr>
          <w:rFonts w:ascii="Times New Roman" w:hAnsi="Times New Roman" w:cs="Times New Roman"/>
          <w:sz w:val="24"/>
          <w:szCs w:val="24"/>
        </w:rPr>
        <w:t>to understand the ways sex work has been con</w:t>
      </w:r>
      <w:r w:rsidR="00F53856">
        <w:rPr>
          <w:rFonts w:ascii="Times New Roman" w:hAnsi="Times New Roman" w:cs="Times New Roman"/>
          <w:sz w:val="24"/>
          <w:szCs w:val="24"/>
        </w:rPr>
        <w:t>structed and regulated in England and Wales</w:t>
      </w:r>
      <w:r w:rsidRPr="008942EF">
        <w:rPr>
          <w:rFonts w:ascii="Times New Roman" w:hAnsi="Times New Roman" w:cs="Times New Roman"/>
          <w:sz w:val="24"/>
          <w:szCs w:val="24"/>
        </w:rPr>
        <w:t>, and how alternative methods of regulating the sex industry that might promote sex worker safety have been side-lined in favour of a criminal justice approach.</w:t>
      </w:r>
      <w:r w:rsidR="00BC3B37">
        <w:rPr>
          <w:rFonts w:ascii="Times New Roman" w:hAnsi="Times New Roman" w:cs="Times New Roman"/>
          <w:sz w:val="24"/>
          <w:szCs w:val="24"/>
        </w:rPr>
        <w:t xml:space="preserve"> </w:t>
      </w:r>
    </w:p>
    <w:p w:rsidR="008942EF" w:rsidRDefault="008942EF" w:rsidP="008942EF">
      <w:pPr>
        <w:spacing w:after="0" w:line="480" w:lineRule="auto"/>
        <w:jc w:val="both"/>
        <w:rPr>
          <w:rFonts w:ascii="Times New Roman" w:hAnsi="Times New Roman" w:cs="Times New Roman"/>
          <w:b/>
          <w:sz w:val="24"/>
          <w:szCs w:val="24"/>
        </w:rPr>
      </w:pPr>
    </w:p>
    <w:p w:rsidR="008942EF" w:rsidRDefault="00D25D2F" w:rsidP="008942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Governing street sex work through crime: sex work as c</w:t>
      </w:r>
      <w:r w:rsidR="000E0C7A">
        <w:rPr>
          <w:rFonts w:ascii="Times New Roman" w:hAnsi="Times New Roman" w:cs="Times New Roman"/>
          <w:b/>
          <w:sz w:val="24"/>
          <w:szCs w:val="24"/>
        </w:rPr>
        <w:t>rime</w:t>
      </w:r>
    </w:p>
    <w:p w:rsidR="00260035" w:rsidRPr="00260035" w:rsidRDefault="00260035" w:rsidP="008942EF">
      <w:pPr>
        <w:spacing w:after="0" w:line="480" w:lineRule="auto"/>
        <w:jc w:val="both"/>
        <w:rPr>
          <w:rFonts w:ascii="Times New Roman" w:hAnsi="Times New Roman" w:cs="Times New Roman"/>
          <w:b/>
          <w:sz w:val="24"/>
          <w:szCs w:val="24"/>
        </w:rPr>
      </w:pPr>
    </w:p>
    <w:p w:rsidR="000E0C7A" w:rsidRDefault="00D25D2F" w:rsidP="008942EF">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lastRenderedPageBreak/>
        <w:t>Framing sex workers as non-c</w:t>
      </w:r>
      <w:r w:rsidR="000E0C7A">
        <w:rPr>
          <w:rFonts w:ascii="Times New Roman" w:hAnsi="Times New Roman" w:cs="Times New Roman"/>
          <w:i/>
          <w:sz w:val="24"/>
          <w:szCs w:val="24"/>
        </w:rPr>
        <w:t>itizens</w:t>
      </w:r>
    </w:p>
    <w:p w:rsidR="00260035" w:rsidRDefault="00260035" w:rsidP="008942EF">
      <w:pPr>
        <w:spacing w:after="0" w:line="480" w:lineRule="auto"/>
        <w:jc w:val="both"/>
        <w:rPr>
          <w:rFonts w:ascii="Times New Roman" w:hAnsi="Times New Roman" w:cs="Times New Roman"/>
          <w:i/>
          <w:sz w:val="24"/>
          <w:szCs w:val="24"/>
        </w:rPr>
      </w:pPr>
    </w:p>
    <w:p w:rsidR="008942EF" w:rsidRPr="008942EF" w:rsidRDefault="008942EF" w:rsidP="008942EF">
      <w:pPr>
        <w:spacing w:after="0" w:line="480" w:lineRule="auto"/>
        <w:jc w:val="both"/>
        <w:rPr>
          <w:rFonts w:ascii="Times New Roman" w:hAnsi="Times New Roman" w:cs="Times New Roman"/>
          <w:sz w:val="24"/>
          <w:szCs w:val="24"/>
        </w:rPr>
      </w:pPr>
      <w:r w:rsidRPr="008942EF">
        <w:rPr>
          <w:rFonts w:ascii="Times New Roman" w:hAnsi="Times New Roman" w:cs="Times New Roman"/>
          <w:sz w:val="24"/>
          <w:szCs w:val="24"/>
        </w:rPr>
        <w:t xml:space="preserve">While </w:t>
      </w:r>
      <w:r w:rsidR="004A680C">
        <w:rPr>
          <w:rFonts w:ascii="Times New Roman" w:hAnsi="Times New Roman" w:cs="Times New Roman"/>
          <w:sz w:val="24"/>
          <w:szCs w:val="24"/>
        </w:rPr>
        <w:t>sex work</w:t>
      </w:r>
      <w:r w:rsidRPr="008942EF">
        <w:rPr>
          <w:rFonts w:ascii="Times New Roman" w:hAnsi="Times New Roman" w:cs="Times New Roman"/>
          <w:sz w:val="24"/>
          <w:szCs w:val="24"/>
        </w:rPr>
        <w:t xml:space="preserve"> was already the subject of legislation prior to the 1950s, the Wolfenden Report formed the basis upon which much of the legislation relating to sex work now stands.  The Report made a distinction between private morality and public nuisance and, while </w:t>
      </w:r>
      <w:r w:rsidR="00260035">
        <w:rPr>
          <w:rFonts w:ascii="Times New Roman" w:hAnsi="Times New Roman" w:cs="Times New Roman"/>
          <w:sz w:val="24"/>
          <w:szCs w:val="24"/>
        </w:rPr>
        <w:t>not</w:t>
      </w:r>
      <w:r w:rsidRPr="008942EF">
        <w:rPr>
          <w:rFonts w:ascii="Times New Roman" w:hAnsi="Times New Roman" w:cs="Times New Roman"/>
          <w:sz w:val="24"/>
          <w:szCs w:val="24"/>
        </w:rPr>
        <w:t xml:space="preserve"> support</w:t>
      </w:r>
      <w:r w:rsidR="00260035">
        <w:rPr>
          <w:rFonts w:ascii="Times New Roman" w:hAnsi="Times New Roman" w:cs="Times New Roman"/>
          <w:sz w:val="24"/>
          <w:szCs w:val="24"/>
        </w:rPr>
        <w:t>ing</w:t>
      </w:r>
      <w:r w:rsidRPr="008942EF">
        <w:rPr>
          <w:rFonts w:ascii="Times New Roman" w:hAnsi="Times New Roman" w:cs="Times New Roman"/>
          <w:sz w:val="24"/>
          <w:szCs w:val="24"/>
        </w:rPr>
        <w:t xml:space="preserve"> the criminalisation of ‘private morals’, recommended using the criminal law to manage the more visible elements of the industry in order to ‘to preserve public order and decency, to protect the citizen from what is offensive and injurious’.</w:t>
      </w:r>
      <w:r w:rsidR="00223E89">
        <w:rPr>
          <w:rStyle w:val="FootnoteReference"/>
          <w:rFonts w:ascii="Times New Roman" w:hAnsi="Times New Roman" w:cs="Times New Roman"/>
          <w:sz w:val="24"/>
          <w:szCs w:val="24"/>
        </w:rPr>
        <w:footnoteReference w:id="28"/>
      </w:r>
      <w:r w:rsidRPr="008942EF">
        <w:rPr>
          <w:rFonts w:ascii="Times New Roman" w:hAnsi="Times New Roman" w:cs="Times New Roman"/>
          <w:sz w:val="24"/>
          <w:szCs w:val="24"/>
        </w:rPr>
        <w:t xml:space="preserve"> As Simon</w:t>
      </w:r>
      <w:r w:rsidR="00A90DA0">
        <w:rPr>
          <w:rFonts w:ascii="Times New Roman" w:hAnsi="Times New Roman" w:cs="Times New Roman"/>
          <w:sz w:val="24"/>
          <w:szCs w:val="24"/>
        </w:rPr>
        <w:t xml:space="preserve"> </w:t>
      </w:r>
      <w:r w:rsidRPr="008942EF">
        <w:rPr>
          <w:rFonts w:ascii="Times New Roman" w:hAnsi="Times New Roman" w:cs="Times New Roman"/>
          <w:sz w:val="24"/>
          <w:szCs w:val="24"/>
        </w:rPr>
        <w:t xml:space="preserve">notes, in constructing citizens around crime and fear of crime, certain identities are invested with stigma and others are </w:t>
      </w:r>
      <w:r w:rsidR="003C34C5" w:rsidRPr="008942EF">
        <w:rPr>
          <w:rFonts w:ascii="Times New Roman" w:hAnsi="Times New Roman" w:cs="Times New Roman"/>
          <w:sz w:val="24"/>
          <w:szCs w:val="24"/>
        </w:rPr>
        <w:t>valo</w:t>
      </w:r>
      <w:r w:rsidR="003C34C5">
        <w:rPr>
          <w:rFonts w:ascii="Times New Roman" w:hAnsi="Times New Roman" w:cs="Times New Roman"/>
          <w:sz w:val="24"/>
          <w:szCs w:val="24"/>
        </w:rPr>
        <w:t>r</w:t>
      </w:r>
      <w:r w:rsidR="003C34C5" w:rsidRPr="008942EF">
        <w:rPr>
          <w:rFonts w:ascii="Times New Roman" w:hAnsi="Times New Roman" w:cs="Times New Roman"/>
          <w:sz w:val="24"/>
          <w:szCs w:val="24"/>
        </w:rPr>
        <w:t>ised</w:t>
      </w:r>
      <w:r w:rsidRPr="008942EF">
        <w:rPr>
          <w:rFonts w:ascii="Times New Roman" w:hAnsi="Times New Roman" w:cs="Times New Roman"/>
          <w:sz w:val="24"/>
          <w:szCs w:val="24"/>
        </w:rPr>
        <w:t>.</w:t>
      </w:r>
      <w:r w:rsidR="00223E89">
        <w:rPr>
          <w:rStyle w:val="FootnoteReference"/>
          <w:rFonts w:ascii="Times New Roman" w:hAnsi="Times New Roman" w:cs="Times New Roman"/>
          <w:sz w:val="24"/>
          <w:szCs w:val="24"/>
        </w:rPr>
        <w:footnoteReference w:id="29"/>
      </w:r>
      <w:r w:rsidRPr="008942EF">
        <w:rPr>
          <w:rFonts w:ascii="Times New Roman" w:hAnsi="Times New Roman" w:cs="Times New Roman"/>
          <w:sz w:val="24"/>
          <w:szCs w:val="24"/>
        </w:rPr>
        <w:t xml:space="preserve"> This </w:t>
      </w:r>
      <w:r w:rsidR="009D13EC">
        <w:rPr>
          <w:rFonts w:ascii="Times New Roman" w:hAnsi="Times New Roman" w:cs="Times New Roman"/>
          <w:sz w:val="24"/>
          <w:szCs w:val="24"/>
        </w:rPr>
        <w:t>is reflected</w:t>
      </w:r>
      <w:r w:rsidRPr="008942EF">
        <w:rPr>
          <w:rFonts w:ascii="Times New Roman" w:hAnsi="Times New Roman" w:cs="Times New Roman"/>
          <w:sz w:val="24"/>
          <w:szCs w:val="24"/>
        </w:rPr>
        <w:t xml:space="preserve"> in the Wolfenden Report’s formulation, </w:t>
      </w:r>
      <w:r w:rsidR="00EA3D6E">
        <w:rPr>
          <w:rFonts w:ascii="Times New Roman" w:hAnsi="Times New Roman" w:cs="Times New Roman"/>
          <w:sz w:val="24"/>
          <w:szCs w:val="24"/>
        </w:rPr>
        <w:t>which bases</w:t>
      </w:r>
      <w:r w:rsidRPr="008942EF">
        <w:rPr>
          <w:rFonts w:ascii="Times New Roman" w:hAnsi="Times New Roman" w:cs="Times New Roman"/>
          <w:sz w:val="24"/>
          <w:szCs w:val="24"/>
        </w:rPr>
        <w:t xml:space="preserve"> the law around the protection of the ‘ordinary citizen’, the constructed victim of crime and nuisance, while refusing the same protection to the sex </w:t>
      </w:r>
      <w:r w:rsidR="00EA3D6E">
        <w:rPr>
          <w:rFonts w:ascii="Times New Roman" w:hAnsi="Times New Roman" w:cs="Times New Roman"/>
          <w:sz w:val="24"/>
          <w:szCs w:val="24"/>
        </w:rPr>
        <w:t>worker. In doing so,</w:t>
      </w:r>
      <w:r w:rsidRPr="008942EF">
        <w:rPr>
          <w:rFonts w:ascii="Times New Roman" w:hAnsi="Times New Roman" w:cs="Times New Roman"/>
          <w:sz w:val="24"/>
          <w:szCs w:val="24"/>
        </w:rPr>
        <w:t xml:space="preserve"> the criminal law is used to symbolically and physically separate the ‘common prostitute’ from the citizenry. The state,</w:t>
      </w:r>
      <w:r w:rsidR="00260035">
        <w:rPr>
          <w:rFonts w:ascii="Times New Roman" w:hAnsi="Times New Roman" w:cs="Times New Roman"/>
          <w:sz w:val="24"/>
          <w:szCs w:val="24"/>
        </w:rPr>
        <w:t xml:space="preserve"> therefore,</w:t>
      </w:r>
      <w:r w:rsidRPr="008942EF">
        <w:rPr>
          <w:rFonts w:ascii="Times New Roman" w:hAnsi="Times New Roman" w:cs="Times New Roman"/>
          <w:sz w:val="24"/>
          <w:szCs w:val="24"/>
        </w:rPr>
        <w:t xml:space="preserve"> helps to constitute the interests of the citizen and reinforce the fear that they will be victimised by crime</w:t>
      </w:r>
      <w:r w:rsidR="00223E89">
        <w:rPr>
          <w:rFonts w:ascii="Times New Roman" w:hAnsi="Times New Roman" w:cs="Times New Roman"/>
          <w:sz w:val="24"/>
          <w:szCs w:val="24"/>
        </w:rPr>
        <w:t>.</w:t>
      </w:r>
      <w:r w:rsidR="00223E89">
        <w:rPr>
          <w:rStyle w:val="FootnoteReference"/>
          <w:rFonts w:ascii="Times New Roman" w:hAnsi="Times New Roman" w:cs="Times New Roman"/>
          <w:sz w:val="24"/>
          <w:szCs w:val="24"/>
        </w:rPr>
        <w:footnoteReference w:id="30"/>
      </w:r>
      <w:r w:rsidR="00A90DA0">
        <w:rPr>
          <w:rFonts w:ascii="Times New Roman" w:hAnsi="Times New Roman" w:cs="Times New Roman"/>
          <w:sz w:val="24"/>
          <w:szCs w:val="24"/>
        </w:rPr>
        <w:t xml:space="preserve"> </w:t>
      </w:r>
    </w:p>
    <w:p w:rsidR="008942EF" w:rsidRPr="008942EF" w:rsidRDefault="008942EF" w:rsidP="008942EF">
      <w:pPr>
        <w:spacing w:after="0" w:line="480" w:lineRule="auto"/>
        <w:jc w:val="both"/>
        <w:rPr>
          <w:rFonts w:ascii="Times New Roman" w:hAnsi="Times New Roman" w:cs="Times New Roman"/>
          <w:sz w:val="24"/>
          <w:szCs w:val="24"/>
        </w:rPr>
      </w:pPr>
    </w:p>
    <w:p w:rsidR="00EA3D6E" w:rsidRDefault="008942EF" w:rsidP="008942EF">
      <w:pPr>
        <w:spacing w:after="0" w:line="480" w:lineRule="auto"/>
        <w:jc w:val="both"/>
        <w:rPr>
          <w:rFonts w:ascii="Times New Roman" w:hAnsi="Times New Roman" w:cs="Times New Roman"/>
          <w:sz w:val="24"/>
          <w:szCs w:val="24"/>
        </w:rPr>
      </w:pPr>
      <w:r w:rsidRPr="008942EF">
        <w:rPr>
          <w:rFonts w:ascii="Times New Roman" w:hAnsi="Times New Roman" w:cs="Times New Roman"/>
          <w:sz w:val="24"/>
          <w:szCs w:val="24"/>
        </w:rPr>
        <w:t xml:space="preserve">The </w:t>
      </w:r>
      <w:r w:rsidR="00EA3D6E">
        <w:rPr>
          <w:rFonts w:ascii="Times New Roman" w:hAnsi="Times New Roman" w:cs="Times New Roman"/>
          <w:sz w:val="24"/>
          <w:szCs w:val="24"/>
        </w:rPr>
        <w:t xml:space="preserve">following </w:t>
      </w:r>
      <w:r w:rsidRPr="008942EF">
        <w:rPr>
          <w:rFonts w:ascii="Times New Roman" w:hAnsi="Times New Roman" w:cs="Times New Roman"/>
          <w:sz w:val="24"/>
          <w:szCs w:val="24"/>
        </w:rPr>
        <w:t>Street Offences Act 1959</w:t>
      </w:r>
      <w:r w:rsidR="00223E89">
        <w:rPr>
          <w:rStyle w:val="FootnoteReference"/>
          <w:rFonts w:ascii="Times New Roman" w:hAnsi="Times New Roman" w:cs="Times New Roman"/>
          <w:sz w:val="24"/>
          <w:szCs w:val="24"/>
        </w:rPr>
        <w:footnoteReference w:id="31"/>
      </w:r>
      <w:r w:rsidRPr="008942EF">
        <w:rPr>
          <w:rFonts w:ascii="Times New Roman" w:hAnsi="Times New Roman" w:cs="Times New Roman"/>
          <w:sz w:val="24"/>
          <w:szCs w:val="24"/>
        </w:rPr>
        <w:t xml:space="preserve"> added to this by allowing arrest where the police have a reasonable suspicion that a ‘common prostitute’</w:t>
      </w:r>
      <w:r w:rsidR="00223E89">
        <w:rPr>
          <w:rStyle w:val="FootnoteReference"/>
          <w:rFonts w:ascii="Times New Roman" w:hAnsi="Times New Roman" w:cs="Times New Roman"/>
          <w:sz w:val="24"/>
          <w:szCs w:val="24"/>
        </w:rPr>
        <w:footnoteReference w:id="32"/>
      </w:r>
      <w:r w:rsidRPr="008942EF">
        <w:rPr>
          <w:rFonts w:ascii="Times New Roman" w:hAnsi="Times New Roman" w:cs="Times New Roman"/>
          <w:sz w:val="24"/>
          <w:szCs w:val="24"/>
        </w:rPr>
        <w:t xml:space="preserve"> </w:t>
      </w:r>
      <w:r w:rsidR="009D13EC">
        <w:rPr>
          <w:rFonts w:ascii="Times New Roman" w:hAnsi="Times New Roman" w:cs="Times New Roman"/>
          <w:sz w:val="24"/>
          <w:szCs w:val="24"/>
        </w:rPr>
        <w:t>is</w:t>
      </w:r>
      <w:r w:rsidRPr="008942EF">
        <w:rPr>
          <w:rFonts w:ascii="Times New Roman" w:hAnsi="Times New Roman" w:cs="Times New Roman"/>
          <w:sz w:val="24"/>
          <w:szCs w:val="24"/>
        </w:rPr>
        <w:t xml:space="preserve"> soliciting or loitering,</w:t>
      </w:r>
      <w:r w:rsidR="00F85695" w:rsidRPr="008942EF">
        <w:rPr>
          <w:rFonts w:ascii="Times New Roman" w:hAnsi="Times New Roman" w:cs="Times New Roman"/>
          <w:sz w:val="24"/>
          <w:szCs w:val="24"/>
        </w:rPr>
        <w:t xml:space="preserve"> </w:t>
      </w:r>
      <w:r w:rsidRPr="008942EF">
        <w:rPr>
          <w:rFonts w:ascii="Times New Roman" w:hAnsi="Times New Roman" w:cs="Times New Roman"/>
          <w:sz w:val="24"/>
          <w:szCs w:val="24"/>
        </w:rPr>
        <w:t xml:space="preserve">meaning that, after the first arrest, all that is needed to prosecute a street sex worker is the evidence of one police officer. </w:t>
      </w:r>
      <w:r w:rsidR="00EA3D6E">
        <w:rPr>
          <w:rFonts w:ascii="Times New Roman" w:hAnsi="Times New Roman" w:cs="Times New Roman"/>
          <w:sz w:val="24"/>
          <w:szCs w:val="24"/>
        </w:rPr>
        <w:t>T</w:t>
      </w:r>
      <w:r w:rsidR="00EA3D6E" w:rsidRPr="00EA3D6E">
        <w:rPr>
          <w:rFonts w:ascii="Times New Roman" w:hAnsi="Times New Roman" w:cs="Times New Roman"/>
          <w:sz w:val="24"/>
          <w:szCs w:val="24"/>
        </w:rPr>
        <w:t xml:space="preserve">he need to prove ‘annoyance’ was considered by the Wolfenden Committee to be unnecessary to demonstrate a punishable offence - it was often inferred in the absence of a witness statement; and did not need to be attributed to an individual sex </w:t>
      </w:r>
      <w:r w:rsidR="00EA3D6E" w:rsidRPr="00EA3D6E">
        <w:rPr>
          <w:rFonts w:ascii="Times New Roman" w:hAnsi="Times New Roman" w:cs="Times New Roman"/>
          <w:sz w:val="24"/>
          <w:szCs w:val="24"/>
        </w:rPr>
        <w:lastRenderedPageBreak/>
        <w:t>worker, but rather to the presence of sex work/ers in general.</w:t>
      </w:r>
      <w:r w:rsidR="00223E89">
        <w:rPr>
          <w:rStyle w:val="FootnoteReference"/>
          <w:rFonts w:ascii="Times New Roman" w:hAnsi="Times New Roman" w:cs="Times New Roman"/>
          <w:sz w:val="24"/>
          <w:szCs w:val="24"/>
        </w:rPr>
        <w:footnoteReference w:id="33"/>
      </w:r>
      <w:r w:rsidR="00EA3D6E" w:rsidRPr="00EA3D6E">
        <w:rPr>
          <w:rFonts w:ascii="Times New Roman" w:hAnsi="Times New Roman" w:cs="Times New Roman"/>
          <w:sz w:val="24"/>
          <w:szCs w:val="24"/>
        </w:rPr>
        <w:t xml:space="preserve"> </w:t>
      </w:r>
      <w:r w:rsidR="00EA3D6E" w:rsidRPr="008942EF">
        <w:rPr>
          <w:rFonts w:ascii="Times New Roman" w:hAnsi="Times New Roman" w:cs="Times New Roman"/>
          <w:sz w:val="24"/>
          <w:szCs w:val="24"/>
        </w:rPr>
        <w:t>On this basis, arrests have been made of sex workers not just for working but simply for being in public space.</w:t>
      </w:r>
      <w:r w:rsidR="00223E89">
        <w:rPr>
          <w:rStyle w:val="FootnoteReference"/>
          <w:rFonts w:ascii="Times New Roman" w:hAnsi="Times New Roman" w:cs="Times New Roman"/>
          <w:sz w:val="24"/>
          <w:szCs w:val="24"/>
        </w:rPr>
        <w:footnoteReference w:id="34"/>
      </w:r>
      <w:r w:rsidR="00EA3D6E" w:rsidRPr="008942EF">
        <w:rPr>
          <w:rFonts w:ascii="Times New Roman" w:hAnsi="Times New Roman" w:cs="Times New Roman"/>
          <w:sz w:val="24"/>
          <w:szCs w:val="24"/>
        </w:rPr>
        <w:t xml:space="preserve"> </w:t>
      </w:r>
      <w:r w:rsidR="00EA3D6E" w:rsidRPr="00EA3D6E">
        <w:rPr>
          <w:rFonts w:ascii="Times New Roman" w:hAnsi="Times New Roman" w:cs="Times New Roman"/>
          <w:sz w:val="24"/>
          <w:szCs w:val="24"/>
        </w:rPr>
        <w:t xml:space="preserve">The existence of sex workers on a street is, therefore, constructed as nuisance and criminal </w:t>
      </w:r>
      <w:r w:rsidR="00EA3D6E" w:rsidRPr="00EA3D6E">
        <w:rPr>
          <w:rFonts w:ascii="Times New Roman" w:hAnsi="Times New Roman" w:cs="Times New Roman"/>
          <w:i/>
          <w:sz w:val="24"/>
          <w:szCs w:val="24"/>
        </w:rPr>
        <w:t>in itself</w:t>
      </w:r>
      <w:r w:rsidR="00EA3D6E" w:rsidRPr="00EA3D6E">
        <w:rPr>
          <w:rFonts w:ascii="Times New Roman" w:hAnsi="Times New Roman" w:cs="Times New Roman"/>
          <w:sz w:val="24"/>
          <w:szCs w:val="24"/>
        </w:rPr>
        <w:t>, even though selling sex is not in itself a crime.</w:t>
      </w:r>
      <w:r w:rsidR="00EA3D6E">
        <w:rPr>
          <w:rFonts w:ascii="Times New Roman" w:hAnsi="Times New Roman" w:cs="Times New Roman"/>
          <w:sz w:val="24"/>
          <w:szCs w:val="24"/>
        </w:rPr>
        <w:t xml:space="preserve"> </w:t>
      </w:r>
    </w:p>
    <w:p w:rsidR="00EA3D6E" w:rsidRDefault="00EA3D6E" w:rsidP="008942EF">
      <w:pPr>
        <w:spacing w:after="0" w:line="480" w:lineRule="auto"/>
        <w:jc w:val="both"/>
        <w:rPr>
          <w:rFonts w:ascii="Times New Roman" w:hAnsi="Times New Roman" w:cs="Times New Roman"/>
          <w:sz w:val="24"/>
          <w:szCs w:val="24"/>
        </w:rPr>
      </w:pPr>
    </w:p>
    <w:p w:rsidR="008942EF" w:rsidRPr="008942EF" w:rsidRDefault="008942EF" w:rsidP="008942EF">
      <w:pPr>
        <w:spacing w:after="0" w:line="480" w:lineRule="auto"/>
        <w:jc w:val="both"/>
        <w:rPr>
          <w:rFonts w:ascii="Times New Roman" w:hAnsi="Times New Roman" w:cs="Times New Roman"/>
          <w:sz w:val="24"/>
          <w:szCs w:val="24"/>
        </w:rPr>
      </w:pPr>
      <w:r w:rsidRPr="008942EF">
        <w:rPr>
          <w:rFonts w:ascii="Times New Roman" w:hAnsi="Times New Roman" w:cs="Times New Roman"/>
          <w:sz w:val="24"/>
          <w:szCs w:val="24"/>
        </w:rPr>
        <w:t xml:space="preserve">The focus on punishing transgressions in public space fails to deal with the structural economic and social reasons why sex workers might be selling sex on the streets, and thus </w:t>
      </w:r>
      <w:r w:rsidR="00EA3D6E">
        <w:rPr>
          <w:rFonts w:ascii="Times New Roman" w:hAnsi="Times New Roman" w:cs="Times New Roman"/>
          <w:sz w:val="24"/>
          <w:szCs w:val="24"/>
        </w:rPr>
        <w:t>is</w:t>
      </w:r>
      <w:r w:rsidRPr="008942EF">
        <w:rPr>
          <w:rFonts w:ascii="Times New Roman" w:hAnsi="Times New Roman" w:cs="Times New Roman"/>
          <w:sz w:val="24"/>
          <w:szCs w:val="24"/>
        </w:rPr>
        <w:t xml:space="preserve"> </w:t>
      </w:r>
      <w:r w:rsidR="00EA3D6E">
        <w:rPr>
          <w:rFonts w:ascii="Times New Roman" w:hAnsi="Times New Roman" w:cs="Times New Roman"/>
          <w:sz w:val="24"/>
          <w:szCs w:val="24"/>
        </w:rPr>
        <w:t>un</w:t>
      </w:r>
      <w:r w:rsidRPr="008942EF">
        <w:rPr>
          <w:rFonts w:ascii="Times New Roman" w:hAnsi="Times New Roman" w:cs="Times New Roman"/>
          <w:sz w:val="24"/>
          <w:szCs w:val="24"/>
        </w:rPr>
        <w:t>successful as a tactic to eliminate the street sex industry. In fact, sex workers return to the streets to pay off their fines creating a ‘revolving door’ situation, and, if anything, enforcing loitering and soliciting offences simply displaces street sex work to alternative locations.</w:t>
      </w:r>
      <w:r w:rsidR="009A7832">
        <w:rPr>
          <w:rStyle w:val="FootnoteReference"/>
          <w:rFonts w:ascii="Times New Roman" w:hAnsi="Times New Roman" w:cs="Times New Roman"/>
          <w:sz w:val="24"/>
          <w:szCs w:val="24"/>
        </w:rPr>
        <w:footnoteReference w:id="35"/>
      </w:r>
      <w:r w:rsidR="00F85695" w:rsidRPr="008942EF">
        <w:rPr>
          <w:rFonts w:ascii="Times New Roman" w:hAnsi="Times New Roman" w:cs="Times New Roman"/>
          <w:sz w:val="24"/>
          <w:szCs w:val="24"/>
        </w:rPr>
        <w:t xml:space="preserve"> </w:t>
      </w:r>
      <w:r w:rsidRPr="008942EF">
        <w:rPr>
          <w:rFonts w:ascii="Times New Roman" w:hAnsi="Times New Roman" w:cs="Times New Roman"/>
          <w:sz w:val="24"/>
          <w:szCs w:val="24"/>
        </w:rPr>
        <w:t>This, and the fact that</w:t>
      </w:r>
      <w:r w:rsidRPr="008942EF">
        <w:rPr>
          <w:rFonts w:ascii="Times New Roman" w:hAnsi="Times New Roman" w:cs="Times New Roman"/>
          <w:sz w:val="24"/>
          <w:szCs w:val="24"/>
          <w:vertAlign w:val="superscript"/>
        </w:rPr>
        <w:t xml:space="preserve"> </w:t>
      </w:r>
      <w:r w:rsidRPr="008942EF">
        <w:rPr>
          <w:rFonts w:ascii="Times New Roman" w:hAnsi="Times New Roman" w:cs="Times New Roman"/>
          <w:sz w:val="24"/>
          <w:szCs w:val="24"/>
        </w:rPr>
        <w:t>prosecutions for prostitution-related offences remain on criminal records as sex offences, create significant barriers for sex workers to finding alternative employment.</w:t>
      </w:r>
      <w:r w:rsidR="009A7832">
        <w:rPr>
          <w:rStyle w:val="FootnoteReference"/>
          <w:rFonts w:ascii="Times New Roman" w:hAnsi="Times New Roman" w:cs="Times New Roman"/>
          <w:sz w:val="24"/>
          <w:szCs w:val="24"/>
        </w:rPr>
        <w:footnoteReference w:id="36"/>
      </w:r>
      <w:r w:rsidRPr="008942EF">
        <w:rPr>
          <w:rFonts w:ascii="Times New Roman" w:hAnsi="Times New Roman" w:cs="Times New Roman"/>
          <w:sz w:val="24"/>
          <w:szCs w:val="24"/>
        </w:rPr>
        <w:t xml:space="preserve"> Taken together then, it can be seen that, at the expense of creating a context where sex workers have more control over their decisions to sell sex and to whom, crime is used to spatially manage sex workers, pushing them out of areas which are seen to cause most nuisance and offence to communities.</w:t>
      </w:r>
    </w:p>
    <w:p w:rsidR="008942EF" w:rsidRPr="008942EF" w:rsidRDefault="008942EF" w:rsidP="008942EF">
      <w:pPr>
        <w:spacing w:after="0" w:line="480" w:lineRule="auto"/>
        <w:jc w:val="both"/>
        <w:rPr>
          <w:rFonts w:ascii="Times New Roman" w:hAnsi="Times New Roman" w:cs="Times New Roman"/>
          <w:sz w:val="24"/>
          <w:szCs w:val="24"/>
        </w:rPr>
      </w:pPr>
    </w:p>
    <w:p w:rsidR="00296B94" w:rsidRDefault="008942EF" w:rsidP="008942EF">
      <w:pPr>
        <w:spacing w:after="0" w:line="480" w:lineRule="auto"/>
        <w:jc w:val="both"/>
        <w:rPr>
          <w:rFonts w:ascii="Times New Roman" w:hAnsi="Times New Roman" w:cs="Times New Roman"/>
          <w:sz w:val="24"/>
          <w:szCs w:val="24"/>
        </w:rPr>
      </w:pPr>
      <w:r w:rsidRPr="008942EF">
        <w:rPr>
          <w:rFonts w:ascii="Times New Roman" w:hAnsi="Times New Roman" w:cs="Times New Roman"/>
          <w:sz w:val="24"/>
          <w:szCs w:val="24"/>
        </w:rPr>
        <w:t xml:space="preserve">As the fear of crime is cultivated in its citizenry, Simon </w:t>
      </w:r>
      <w:r w:rsidR="00F85695">
        <w:rPr>
          <w:rFonts w:ascii="Times New Roman" w:hAnsi="Times New Roman" w:cs="Times New Roman"/>
          <w:sz w:val="24"/>
          <w:szCs w:val="24"/>
        </w:rPr>
        <w:t xml:space="preserve"> </w:t>
      </w:r>
      <w:r w:rsidRPr="008942EF">
        <w:rPr>
          <w:rFonts w:ascii="Times New Roman" w:hAnsi="Times New Roman" w:cs="Times New Roman"/>
          <w:sz w:val="24"/>
          <w:szCs w:val="24"/>
        </w:rPr>
        <w:t>argues, part of the imperative of governing through crime is that legislators show that they are on the side of victims and law enforcement.</w:t>
      </w:r>
      <w:r w:rsidR="003C10C1">
        <w:rPr>
          <w:rStyle w:val="FootnoteReference"/>
          <w:rFonts w:ascii="Times New Roman" w:hAnsi="Times New Roman" w:cs="Times New Roman"/>
          <w:sz w:val="24"/>
          <w:szCs w:val="24"/>
        </w:rPr>
        <w:footnoteReference w:id="37"/>
      </w:r>
      <w:r w:rsidRPr="008942EF">
        <w:rPr>
          <w:rFonts w:ascii="Times New Roman" w:hAnsi="Times New Roman" w:cs="Times New Roman"/>
          <w:sz w:val="24"/>
          <w:szCs w:val="24"/>
        </w:rPr>
        <w:t xml:space="preserve"> This makes the focus on protecting communities from the ills of </w:t>
      </w:r>
      <w:r w:rsidR="00260035">
        <w:rPr>
          <w:rFonts w:ascii="Times New Roman" w:hAnsi="Times New Roman" w:cs="Times New Roman"/>
          <w:sz w:val="24"/>
          <w:szCs w:val="24"/>
        </w:rPr>
        <w:t>sex work</w:t>
      </w:r>
      <w:r w:rsidRPr="008942EF">
        <w:rPr>
          <w:rFonts w:ascii="Times New Roman" w:hAnsi="Times New Roman" w:cs="Times New Roman"/>
          <w:sz w:val="24"/>
          <w:szCs w:val="24"/>
        </w:rPr>
        <w:t xml:space="preserve"> continually significant. This can be seen in </w:t>
      </w:r>
      <w:r w:rsidR="00296B94">
        <w:rPr>
          <w:rFonts w:ascii="Times New Roman" w:hAnsi="Times New Roman" w:cs="Times New Roman"/>
          <w:sz w:val="24"/>
          <w:szCs w:val="24"/>
        </w:rPr>
        <w:t>the last decade’s</w:t>
      </w:r>
      <w:r w:rsidRPr="008942EF">
        <w:rPr>
          <w:rFonts w:ascii="Times New Roman" w:hAnsi="Times New Roman" w:cs="Times New Roman"/>
          <w:sz w:val="24"/>
          <w:szCs w:val="24"/>
        </w:rPr>
        <w:t xml:space="preserve"> governm</w:t>
      </w:r>
      <w:r w:rsidR="00260035">
        <w:rPr>
          <w:rFonts w:ascii="Times New Roman" w:hAnsi="Times New Roman" w:cs="Times New Roman"/>
          <w:sz w:val="24"/>
          <w:szCs w:val="24"/>
        </w:rPr>
        <w:t xml:space="preserve">ent policies and </w:t>
      </w:r>
      <w:r w:rsidR="00260035">
        <w:rPr>
          <w:rFonts w:ascii="Times New Roman" w:hAnsi="Times New Roman" w:cs="Times New Roman"/>
          <w:sz w:val="24"/>
          <w:szCs w:val="24"/>
        </w:rPr>
        <w:lastRenderedPageBreak/>
        <w:t xml:space="preserve">consultations - </w:t>
      </w:r>
      <w:r w:rsidR="00260035" w:rsidRPr="008942EF">
        <w:rPr>
          <w:rFonts w:ascii="Times New Roman" w:hAnsi="Times New Roman" w:cs="Times New Roman"/>
          <w:i/>
          <w:sz w:val="24"/>
          <w:szCs w:val="24"/>
        </w:rPr>
        <w:t>Paying the Price: A Consultation Paper on Prostitution</w:t>
      </w:r>
      <w:r w:rsidR="003C10C1">
        <w:rPr>
          <w:rStyle w:val="FootnoteReference"/>
          <w:rFonts w:ascii="Times New Roman" w:hAnsi="Times New Roman" w:cs="Times New Roman"/>
          <w:i/>
          <w:sz w:val="24"/>
          <w:szCs w:val="24"/>
        </w:rPr>
        <w:footnoteReference w:id="38"/>
      </w:r>
      <w:r w:rsidR="00260035" w:rsidRPr="008942EF">
        <w:rPr>
          <w:rFonts w:ascii="Times New Roman" w:hAnsi="Times New Roman" w:cs="Times New Roman"/>
          <w:sz w:val="24"/>
          <w:szCs w:val="24"/>
        </w:rPr>
        <w:t xml:space="preserve"> </w:t>
      </w:r>
      <w:r w:rsidR="00260035">
        <w:rPr>
          <w:rFonts w:ascii="Times New Roman" w:hAnsi="Times New Roman" w:cs="Times New Roman"/>
          <w:sz w:val="24"/>
          <w:szCs w:val="24"/>
        </w:rPr>
        <w:t>is</w:t>
      </w:r>
      <w:r w:rsidR="00260035" w:rsidRPr="008942EF">
        <w:rPr>
          <w:rFonts w:ascii="Times New Roman" w:hAnsi="Times New Roman" w:cs="Times New Roman"/>
          <w:sz w:val="24"/>
          <w:szCs w:val="24"/>
        </w:rPr>
        <w:t xml:space="preserve"> dedicated to ‘Protecting Communities’, the Government’s </w:t>
      </w:r>
      <w:r w:rsidR="00260035" w:rsidRPr="008942EF">
        <w:rPr>
          <w:rFonts w:ascii="Times New Roman" w:hAnsi="Times New Roman" w:cs="Times New Roman"/>
          <w:i/>
          <w:sz w:val="24"/>
          <w:szCs w:val="24"/>
        </w:rPr>
        <w:t>Coordinated Prostitution Strategy</w:t>
      </w:r>
      <w:r w:rsidR="003C10C1">
        <w:rPr>
          <w:rFonts w:ascii="Times New Roman" w:hAnsi="Times New Roman" w:cs="Times New Roman"/>
          <w:sz w:val="24"/>
          <w:szCs w:val="24"/>
        </w:rPr>
        <w:t>,</w:t>
      </w:r>
      <w:r w:rsidR="003C10C1">
        <w:rPr>
          <w:rStyle w:val="FootnoteReference"/>
          <w:rFonts w:ascii="Times New Roman" w:hAnsi="Times New Roman" w:cs="Times New Roman"/>
          <w:sz w:val="24"/>
          <w:szCs w:val="24"/>
        </w:rPr>
        <w:footnoteReference w:id="39"/>
      </w:r>
      <w:r w:rsidR="00260035">
        <w:rPr>
          <w:rFonts w:ascii="Times New Roman" w:hAnsi="Times New Roman" w:cs="Times New Roman"/>
          <w:sz w:val="24"/>
          <w:szCs w:val="24"/>
        </w:rPr>
        <w:t xml:space="preserve"> </w:t>
      </w:r>
      <w:r w:rsidR="00260035" w:rsidRPr="008942EF">
        <w:rPr>
          <w:rFonts w:ascii="Times New Roman" w:hAnsi="Times New Roman" w:cs="Times New Roman"/>
          <w:sz w:val="24"/>
          <w:szCs w:val="24"/>
        </w:rPr>
        <w:t xml:space="preserve">and </w:t>
      </w:r>
      <w:r w:rsidR="00260035" w:rsidRPr="008942EF">
        <w:rPr>
          <w:rFonts w:ascii="Times New Roman" w:hAnsi="Times New Roman" w:cs="Times New Roman"/>
          <w:i/>
          <w:sz w:val="24"/>
          <w:szCs w:val="24"/>
        </w:rPr>
        <w:t>Tackling the Demand</w:t>
      </w:r>
      <w:r w:rsidR="003C10C1" w:rsidRPr="003C10C1">
        <w:rPr>
          <w:rStyle w:val="FootnoteReference"/>
          <w:rFonts w:ascii="Times New Roman" w:hAnsi="Times New Roman" w:cs="Times New Roman"/>
          <w:sz w:val="24"/>
          <w:szCs w:val="24"/>
        </w:rPr>
        <w:footnoteReference w:id="40"/>
      </w:r>
      <w:r w:rsidR="00260035">
        <w:rPr>
          <w:rFonts w:ascii="Times New Roman" w:hAnsi="Times New Roman" w:cs="Times New Roman"/>
          <w:sz w:val="24"/>
          <w:szCs w:val="24"/>
        </w:rPr>
        <w:t xml:space="preserve"> -</w:t>
      </w:r>
      <w:r w:rsidR="003C10C1">
        <w:rPr>
          <w:rFonts w:ascii="Times New Roman" w:hAnsi="Times New Roman" w:cs="Times New Roman"/>
          <w:sz w:val="24"/>
          <w:szCs w:val="24"/>
        </w:rPr>
        <w:t xml:space="preserve"> </w:t>
      </w:r>
      <w:r w:rsidRPr="008942EF">
        <w:rPr>
          <w:rFonts w:ascii="Times New Roman" w:hAnsi="Times New Roman" w:cs="Times New Roman"/>
          <w:sz w:val="24"/>
          <w:szCs w:val="24"/>
        </w:rPr>
        <w:t xml:space="preserve">where protecting the public from prostitution remained a primary focus. </w:t>
      </w:r>
    </w:p>
    <w:p w:rsidR="00260035" w:rsidRDefault="00260035" w:rsidP="008942EF">
      <w:pPr>
        <w:spacing w:after="0" w:line="480" w:lineRule="auto"/>
        <w:jc w:val="both"/>
        <w:rPr>
          <w:rFonts w:ascii="Times New Roman" w:hAnsi="Times New Roman" w:cs="Times New Roman"/>
          <w:sz w:val="24"/>
          <w:szCs w:val="24"/>
        </w:rPr>
      </w:pPr>
    </w:p>
    <w:p w:rsidR="008942EF" w:rsidRPr="008942EF" w:rsidRDefault="009D13EC" w:rsidP="008942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three government</w:t>
      </w:r>
      <w:r w:rsidR="00886FDC">
        <w:rPr>
          <w:rFonts w:ascii="Times New Roman" w:hAnsi="Times New Roman" w:cs="Times New Roman"/>
          <w:sz w:val="24"/>
          <w:szCs w:val="24"/>
        </w:rPr>
        <w:t xml:space="preserve"> </w:t>
      </w:r>
      <w:r>
        <w:rPr>
          <w:rFonts w:ascii="Times New Roman" w:hAnsi="Times New Roman" w:cs="Times New Roman"/>
          <w:sz w:val="24"/>
          <w:szCs w:val="24"/>
        </w:rPr>
        <w:t>publications</w:t>
      </w:r>
      <w:r w:rsidR="00886FDC">
        <w:rPr>
          <w:rFonts w:ascii="Times New Roman" w:hAnsi="Times New Roman" w:cs="Times New Roman"/>
          <w:sz w:val="24"/>
          <w:szCs w:val="24"/>
        </w:rPr>
        <w:t xml:space="preserve"> lay</w:t>
      </w:r>
      <w:r w:rsidR="008942EF" w:rsidRPr="008942EF">
        <w:rPr>
          <w:rFonts w:ascii="Times New Roman" w:hAnsi="Times New Roman" w:cs="Times New Roman"/>
          <w:sz w:val="24"/>
          <w:szCs w:val="24"/>
        </w:rPr>
        <w:t xml:space="preserve"> out three particular issues</w:t>
      </w:r>
      <w:r w:rsidR="00886FDC">
        <w:rPr>
          <w:rFonts w:ascii="Times New Roman" w:hAnsi="Times New Roman" w:cs="Times New Roman"/>
          <w:sz w:val="24"/>
          <w:szCs w:val="24"/>
        </w:rPr>
        <w:t xml:space="preserve"> from which communities require</w:t>
      </w:r>
      <w:r w:rsidR="008942EF" w:rsidRPr="008942EF">
        <w:rPr>
          <w:rFonts w:ascii="Times New Roman" w:hAnsi="Times New Roman" w:cs="Times New Roman"/>
          <w:sz w:val="24"/>
          <w:szCs w:val="24"/>
        </w:rPr>
        <w:t xml:space="preserve"> protection. First, nuisance is identified through the physical remnants of sex work in a community - that it leaves a litter of ‘used condoms, dirty needles and other drug paraphernalia’ in the public places where it takes place.</w:t>
      </w:r>
      <w:r w:rsidR="003C10C1">
        <w:rPr>
          <w:rStyle w:val="FootnoteReference"/>
          <w:rFonts w:ascii="Times New Roman" w:hAnsi="Times New Roman" w:cs="Times New Roman"/>
          <w:sz w:val="24"/>
          <w:szCs w:val="24"/>
        </w:rPr>
        <w:footnoteReference w:id="41"/>
      </w:r>
      <w:r w:rsidR="008942EF" w:rsidRPr="008942EF">
        <w:rPr>
          <w:rFonts w:ascii="Times New Roman" w:hAnsi="Times New Roman" w:cs="Times New Roman"/>
          <w:sz w:val="24"/>
          <w:szCs w:val="24"/>
        </w:rPr>
        <w:t xml:space="preserve"> Second, there is a fear of links to serious and violent crime, particularly those relating to drug dealing and gangs - the </w:t>
      </w:r>
      <w:r w:rsidR="00886FDC">
        <w:rPr>
          <w:rFonts w:ascii="Times New Roman" w:hAnsi="Times New Roman" w:cs="Times New Roman"/>
          <w:sz w:val="24"/>
          <w:szCs w:val="24"/>
        </w:rPr>
        <w:t>Government notes</w:t>
      </w:r>
      <w:r w:rsidR="008942EF" w:rsidRPr="008942EF">
        <w:rPr>
          <w:rFonts w:ascii="Times New Roman" w:hAnsi="Times New Roman" w:cs="Times New Roman"/>
          <w:sz w:val="24"/>
          <w:szCs w:val="24"/>
        </w:rPr>
        <w:t xml:space="preserve"> in </w:t>
      </w:r>
      <w:r w:rsidR="008942EF" w:rsidRPr="008942EF">
        <w:rPr>
          <w:rFonts w:ascii="Times New Roman" w:hAnsi="Times New Roman" w:cs="Times New Roman"/>
          <w:i/>
          <w:sz w:val="24"/>
          <w:szCs w:val="24"/>
        </w:rPr>
        <w:t>Paying the Price</w:t>
      </w:r>
      <w:r w:rsidR="008942EF" w:rsidRPr="008942EF">
        <w:rPr>
          <w:rFonts w:ascii="Times New Roman" w:hAnsi="Times New Roman" w:cs="Times New Roman"/>
          <w:sz w:val="24"/>
          <w:szCs w:val="24"/>
        </w:rPr>
        <w:t xml:space="preserve"> that ‘[s]treet prostitution is often associated with local drug markets, bringing Class A drugs and gun culture to local communities’.</w:t>
      </w:r>
      <w:r w:rsidR="003C10C1">
        <w:rPr>
          <w:rStyle w:val="FootnoteReference"/>
          <w:rFonts w:ascii="Times New Roman" w:hAnsi="Times New Roman" w:cs="Times New Roman"/>
          <w:sz w:val="24"/>
          <w:szCs w:val="24"/>
        </w:rPr>
        <w:footnoteReference w:id="42"/>
      </w:r>
      <w:r w:rsidR="008942EF" w:rsidRPr="008942EF">
        <w:rPr>
          <w:rFonts w:ascii="Times New Roman" w:hAnsi="Times New Roman" w:cs="Times New Roman"/>
          <w:sz w:val="24"/>
          <w:szCs w:val="24"/>
        </w:rPr>
        <w:t xml:space="preserve"> According to the Home Office, ‘dealing effectively with prostitution could have a dramatic effect on reducing more serious crime and help to stifle drug supply’.</w:t>
      </w:r>
      <w:r w:rsidR="003C10C1">
        <w:rPr>
          <w:rStyle w:val="FootnoteReference"/>
          <w:rFonts w:ascii="Times New Roman" w:hAnsi="Times New Roman" w:cs="Times New Roman"/>
          <w:sz w:val="24"/>
          <w:szCs w:val="24"/>
        </w:rPr>
        <w:footnoteReference w:id="43"/>
      </w:r>
      <w:r w:rsidR="008942EF" w:rsidRPr="008942EF">
        <w:rPr>
          <w:rFonts w:ascii="Times New Roman" w:hAnsi="Times New Roman" w:cs="Times New Roman"/>
          <w:sz w:val="24"/>
          <w:szCs w:val="24"/>
        </w:rPr>
        <w:t xml:space="preserve"> Third, these recent documents again identif</w:t>
      </w:r>
      <w:r w:rsidR="00886FDC">
        <w:rPr>
          <w:rFonts w:ascii="Times New Roman" w:hAnsi="Times New Roman" w:cs="Times New Roman"/>
          <w:sz w:val="24"/>
          <w:szCs w:val="24"/>
        </w:rPr>
        <w:t>y</w:t>
      </w:r>
      <w:r w:rsidR="008942EF" w:rsidRPr="008942EF">
        <w:rPr>
          <w:rFonts w:ascii="Times New Roman" w:hAnsi="Times New Roman" w:cs="Times New Roman"/>
          <w:sz w:val="24"/>
          <w:szCs w:val="24"/>
        </w:rPr>
        <w:t xml:space="preserve"> a need for community protection from the mere presence of sex work in communities – the </w:t>
      </w:r>
      <w:r w:rsidR="008942EF" w:rsidRPr="008942EF">
        <w:rPr>
          <w:rFonts w:ascii="Times New Roman" w:hAnsi="Times New Roman" w:cs="Times New Roman"/>
          <w:i/>
          <w:sz w:val="24"/>
          <w:szCs w:val="24"/>
        </w:rPr>
        <w:t xml:space="preserve">Coordinated Prostitution Strategy </w:t>
      </w:r>
      <w:r w:rsidR="008942EF" w:rsidRPr="008942EF">
        <w:rPr>
          <w:rFonts w:ascii="Times New Roman" w:hAnsi="Times New Roman" w:cs="Times New Roman"/>
          <w:sz w:val="24"/>
          <w:szCs w:val="24"/>
        </w:rPr>
        <w:t>refers to the ‘general degradation of areas used for street prostitution’,</w:t>
      </w:r>
      <w:r w:rsidR="003C10C1">
        <w:rPr>
          <w:rStyle w:val="FootnoteReference"/>
          <w:rFonts w:ascii="Times New Roman" w:hAnsi="Times New Roman" w:cs="Times New Roman"/>
          <w:sz w:val="24"/>
          <w:szCs w:val="24"/>
        </w:rPr>
        <w:footnoteReference w:id="44"/>
      </w:r>
      <w:r w:rsidR="00F85695" w:rsidRPr="008942EF">
        <w:rPr>
          <w:rFonts w:ascii="Times New Roman" w:hAnsi="Times New Roman" w:cs="Times New Roman"/>
          <w:sz w:val="24"/>
          <w:szCs w:val="24"/>
        </w:rPr>
        <w:t xml:space="preserve"> </w:t>
      </w:r>
      <w:r w:rsidR="008942EF" w:rsidRPr="008942EF">
        <w:rPr>
          <w:rFonts w:ascii="Times New Roman" w:hAnsi="Times New Roman" w:cs="Times New Roman"/>
          <w:sz w:val="24"/>
          <w:szCs w:val="24"/>
        </w:rPr>
        <w:t xml:space="preserve">while </w:t>
      </w:r>
      <w:r w:rsidR="008942EF" w:rsidRPr="008942EF">
        <w:rPr>
          <w:rFonts w:ascii="Times New Roman" w:hAnsi="Times New Roman" w:cs="Times New Roman"/>
          <w:i/>
          <w:sz w:val="24"/>
          <w:szCs w:val="24"/>
        </w:rPr>
        <w:t xml:space="preserve">Paying the Price </w:t>
      </w:r>
      <w:r w:rsidR="008942EF" w:rsidRPr="008942EF">
        <w:rPr>
          <w:rFonts w:ascii="Times New Roman" w:hAnsi="Times New Roman" w:cs="Times New Roman"/>
          <w:sz w:val="24"/>
          <w:szCs w:val="24"/>
        </w:rPr>
        <w:t>states that, due to the presence of sex work, ‘an area becomes undesirable, unpleasant and unsafe, deterring families and businesses from moving in, contributing to a spiral of decline’.</w:t>
      </w:r>
      <w:r w:rsidR="003C10C1">
        <w:rPr>
          <w:rStyle w:val="FootnoteReference"/>
          <w:rFonts w:ascii="Times New Roman" w:hAnsi="Times New Roman" w:cs="Times New Roman"/>
          <w:sz w:val="24"/>
          <w:szCs w:val="24"/>
        </w:rPr>
        <w:footnoteReference w:id="45"/>
      </w:r>
      <w:r w:rsidR="008942EF" w:rsidRPr="008942EF">
        <w:rPr>
          <w:rFonts w:ascii="Times New Roman" w:hAnsi="Times New Roman" w:cs="Times New Roman"/>
          <w:sz w:val="24"/>
          <w:szCs w:val="24"/>
        </w:rPr>
        <w:t xml:space="preserve"> By framing its approach as a means of preventing and challenging violent crime in communities, and protecting communities from the pollution</w:t>
      </w:r>
      <w:r w:rsidR="00F85695">
        <w:rPr>
          <w:rFonts w:ascii="Times New Roman" w:hAnsi="Times New Roman" w:cs="Times New Roman"/>
          <w:sz w:val="24"/>
          <w:szCs w:val="24"/>
        </w:rPr>
        <w:t xml:space="preserve"> </w:t>
      </w:r>
      <w:r w:rsidR="008942EF" w:rsidRPr="008942EF">
        <w:rPr>
          <w:rFonts w:ascii="Times New Roman" w:hAnsi="Times New Roman" w:cs="Times New Roman"/>
          <w:sz w:val="24"/>
          <w:szCs w:val="24"/>
        </w:rPr>
        <w:t>of prostitut</w:t>
      </w:r>
      <w:r>
        <w:rPr>
          <w:rFonts w:ascii="Times New Roman" w:hAnsi="Times New Roman" w:cs="Times New Roman"/>
          <w:sz w:val="24"/>
          <w:szCs w:val="24"/>
        </w:rPr>
        <w:t>ion, the Home Office legitimised</w:t>
      </w:r>
      <w:r w:rsidR="008942EF" w:rsidRPr="008942EF">
        <w:rPr>
          <w:rFonts w:ascii="Times New Roman" w:hAnsi="Times New Roman" w:cs="Times New Roman"/>
          <w:sz w:val="24"/>
          <w:szCs w:val="24"/>
        </w:rPr>
        <w:t xml:space="preserve"> its approach to </w:t>
      </w:r>
      <w:r w:rsidR="008942EF" w:rsidRPr="008942EF">
        <w:rPr>
          <w:rFonts w:ascii="Times New Roman" w:hAnsi="Times New Roman" w:cs="Times New Roman"/>
          <w:sz w:val="24"/>
          <w:szCs w:val="24"/>
        </w:rPr>
        <w:lastRenderedPageBreak/>
        <w:t>the sex worker as someone to be ‘controlled, regulated and kept under continual surveillance’,</w:t>
      </w:r>
      <w:r w:rsidR="003C10C1">
        <w:rPr>
          <w:rStyle w:val="FootnoteReference"/>
          <w:rFonts w:ascii="Times New Roman" w:hAnsi="Times New Roman" w:cs="Times New Roman"/>
          <w:sz w:val="24"/>
          <w:szCs w:val="24"/>
        </w:rPr>
        <w:footnoteReference w:id="46"/>
      </w:r>
      <w:r w:rsidR="00F85695" w:rsidRPr="008942EF">
        <w:rPr>
          <w:rFonts w:ascii="Times New Roman" w:hAnsi="Times New Roman" w:cs="Times New Roman"/>
          <w:sz w:val="24"/>
          <w:szCs w:val="24"/>
        </w:rPr>
        <w:t xml:space="preserve"> </w:t>
      </w:r>
      <w:r w:rsidR="008942EF" w:rsidRPr="008942EF">
        <w:rPr>
          <w:rFonts w:ascii="Times New Roman" w:hAnsi="Times New Roman" w:cs="Times New Roman"/>
          <w:sz w:val="24"/>
          <w:szCs w:val="24"/>
        </w:rPr>
        <w:t xml:space="preserve">while preserving moral undertones against the deviant behaviour of sex work. This reflects Simon’s argument that institutions frame issues as matters of crime to </w:t>
      </w:r>
      <w:r w:rsidR="00296B94">
        <w:rPr>
          <w:rFonts w:ascii="Times New Roman" w:hAnsi="Times New Roman" w:cs="Times New Roman"/>
          <w:sz w:val="24"/>
          <w:szCs w:val="24"/>
        </w:rPr>
        <w:t>legitimise control of the issue</w:t>
      </w:r>
      <w:r w:rsidR="008942EF" w:rsidRPr="008942EF">
        <w:rPr>
          <w:rFonts w:ascii="Times New Roman" w:hAnsi="Times New Roman" w:cs="Times New Roman"/>
          <w:sz w:val="24"/>
          <w:szCs w:val="24"/>
        </w:rPr>
        <w:t xml:space="preserve"> and infringements into the lives of those constructed as ‘criminal’.</w:t>
      </w:r>
    </w:p>
    <w:p w:rsidR="008942EF" w:rsidRPr="008942EF" w:rsidRDefault="008942EF" w:rsidP="008942EF">
      <w:pPr>
        <w:spacing w:after="0" w:line="480" w:lineRule="auto"/>
        <w:jc w:val="both"/>
        <w:rPr>
          <w:rFonts w:ascii="Times New Roman" w:hAnsi="Times New Roman" w:cs="Times New Roman"/>
          <w:sz w:val="24"/>
          <w:szCs w:val="24"/>
        </w:rPr>
      </w:pPr>
    </w:p>
    <w:p w:rsidR="00BE40B6" w:rsidRDefault="008942EF" w:rsidP="008942EF">
      <w:pPr>
        <w:spacing w:after="0" w:line="480" w:lineRule="auto"/>
        <w:jc w:val="both"/>
        <w:rPr>
          <w:rFonts w:ascii="Times New Roman" w:hAnsi="Times New Roman" w:cs="Times New Roman"/>
          <w:sz w:val="24"/>
          <w:szCs w:val="24"/>
        </w:rPr>
      </w:pPr>
      <w:r w:rsidRPr="008942EF">
        <w:rPr>
          <w:rFonts w:ascii="Times New Roman" w:hAnsi="Times New Roman" w:cs="Times New Roman"/>
          <w:sz w:val="24"/>
          <w:szCs w:val="24"/>
        </w:rPr>
        <w:t>While genuine concerns for community safety should</w:t>
      </w:r>
      <w:r w:rsidR="00EA3D6E">
        <w:rPr>
          <w:rFonts w:ascii="Times New Roman" w:hAnsi="Times New Roman" w:cs="Times New Roman"/>
          <w:sz w:val="24"/>
          <w:szCs w:val="24"/>
        </w:rPr>
        <w:t>,</w:t>
      </w:r>
      <w:r w:rsidRPr="008942EF">
        <w:rPr>
          <w:rFonts w:ascii="Times New Roman" w:hAnsi="Times New Roman" w:cs="Times New Roman"/>
          <w:sz w:val="24"/>
          <w:szCs w:val="24"/>
        </w:rPr>
        <w:t xml:space="preserve"> of course</w:t>
      </w:r>
      <w:r w:rsidR="00EA3D6E">
        <w:rPr>
          <w:rFonts w:ascii="Times New Roman" w:hAnsi="Times New Roman" w:cs="Times New Roman"/>
          <w:sz w:val="24"/>
          <w:szCs w:val="24"/>
        </w:rPr>
        <w:t>,</w:t>
      </w:r>
      <w:r w:rsidRPr="008942EF">
        <w:rPr>
          <w:rFonts w:ascii="Times New Roman" w:hAnsi="Times New Roman" w:cs="Times New Roman"/>
          <w:sz w:val="24"/>
          <w:szCs w:val="24"/>
        </w:rPr>
        <w:t xml:space="preserve"> be one priority in the regulation of street sex work, this construction of victimised communities leaves little room to understand the complex relationships between sex workers and the neighbourhoods </w:t>
      </w:r>
      <w:r w:rsidR="00BE40B6">
        <w:rPr>
          <w:rFonts w:ascii="Times New Roman" w:hAnsi="Times New Roman" w:cs="Times New Roman"/>
          <w:sz w:val="24"/>
          <w:szCs w:val="24"/>
        </w:rPr>
        <w:t>in which they work</w:t>
      </w:r>
      <w:r w:rsidRPr="008942EF">
        <w:rPr>
          <w:rFonts w:ascii="Times New Roman" w:hAnsi="Times New Roman" w:cs="Times New Roman"/>
          <w:sz w:val="24"/>
          <w:szCs w:val="24"/>
        </w:rPr>
        <w:t xml:space="preserve">. </w:t>
      </w:r>
      <w:r w:rsidR="00301876">
        <w:rPr>
          <w:rFonts w:ascii="Times New Roman" w:hAnsi="Times New Roman" w:cs="Times New Roman"/>
          <w:sz w:val="24"/>
          <w:szCs w:val="24"/>
        </w:rPr>
        <w:t xml:space="preserve">Maggie </w:t>
      </w:r>
      <w:r w:rsidRPr="008942EF">
        <w:rPr>
          <w:rFonts w:ascii="Times New Roman" w:hAnsi="Times New Roman" w:cs="Times New Roman"/>
          <w:sz w:val="24"/>
          <w:szCs w:val="24"/>
        </w:rPr>
        <w:t xml:space="preserve">O’Neill </w:t>
      </w:r>
      <w:r w:rsidRPr="008942EF">
        <w:rPr>
          <w:rFonts w:ascii="Times New Roman" w:hAnsi="Times New Roman" w:cs="Times New Roman"/>
          <w:i/>
          <w:sz w:val="24"/>
          <w:szCs w:val="24"/>
        </w:rPr>
        <w:t>et al</w:t>
      </w:r>
      <w:r w:rsidRPr="008942EF">
        <w:rPr>
          <w:rFonts w:ascii="Times New Roman" w:hAnsi="Times New Roman" w:cs="Times New Roman"/>
          <w:sz w:val="24"/>
          <w:szCs w:val="24"/>
        </w:rPr>
        <w:t xml:space="preserve"> have noted that the Home Office documents have used the term ‘community’ in a ‘homogenous fashion that erases difference and complexity’.</w:t>
      </w:r>
      <w:r w:rsidR="003C10C1">
        <w:rPr>
          <w:rStyle w:val="FootnoteReference"/>
          <w:rFonts w:ascii="Times New Roman" w:hAnsi="Times New Roman" w:cs="Times New Roman"/>
          <w:sz w:val="24"/>
          <w:szCs w:val="24"/>
        </w:rPr>
        <w:footnoteReference w:id="47"/>
      </w:r>
      <w:r w:rsidRPr="008942EF">
        <w:rPr>
          <w:rFonts w:ascii="Times New Roman" w:hAnsi="Times New Roman" w:cs="Times New Roman"/>
          <w:sz w:val="24"/>
          <w:szCs w:val="24"/>
        </w:rPr>
        <w:t xml:space="preserve"> Communities are constructed as a solid entity, brought together through their shared experiences of victimisation – in this way, as Simon </w:t>
      </w:r>
      <w:r w:rsidR="000B157E">
        <w:rPr>
          <w:rFonts w:ascii="Times New Roman" w:hAnsi="Times New Roman" w:cs="Times New Roman"/>
          <w:sz w:val="24"/>
          <w:szCs w:val="24"/>
        </w:rPr>
        <w:t>puts it, ‘the threat of crime</w:t>
      </w:r>
      <w:r w:rsidRPr="008942EF">
        <w:rPr>
          <w:rFonts w:ascii="Times New Roman" w:hAnsi="Times New Roman" w:cs="Times New Roman"/>
          <w:sz w:val="24"/>
          <w:szCs w:val="24"/>
        </w:rPr>
        <w:t xml:space="preserve"> simultaneously de-emphasizes their differences and authorizes them to take dramatic political steps’.</w:t>
      </w:r>
      <w:r w:rsidR="006E77FA">
        <w:rPr>
          <w:rStyle w:val="FootnoteReference"/>
          <w:rFonts w:ascii="Times New Roman" w:hAnsi="Times New Roman" w:cs="Times New Roman"/>
          <w:sz w:val="24"/>
          <w:szCs w:val="24"/>
        </w:rPr>
        <w:footnoteReference w:id="48"/>
      </w:r>
      <w:r w:rsidRPr="008942EF">
        <w:rPr>
          <w:rFonts w:ascii="Times New Roman" w:hAnsi="Times New Roman" w:cs="Times New Roman"/>
          <w:sz w:val="24"/>
          <w:szCs w:val="24"/>
        </w:rPr>
        <w:t xml:space="preserve"> Sex workers are rarely constructed as part of this community,</w:t>
      </w:r>
      <w:r w:rsidR="00B260CE">
        <w:rPr>
          <w:rFonts w:ascii="Times New Roman" w:hAnsi="Times New Roman" w:cs="Times New Roman"/>
          <w:sz w:val="24"/>
          <w:szCs w:val="24"/>
        </w:rPr>
        <w:t xml:space="preserve"> </w:t>
      </w:r>
      <w:r w:rsidRPr="008942EF">
        <w:rPr>
          <w:rFonts w:ascii="Times New Roman" w:hAnsi="Times New Roman" w:cs="Times New Roman"/>
          <w:sz w:val="24"/>
          <w:szCs w:val="24"/>
        </w:rPr>
        <w:t>even when they work and live in those very neighbourhoods.</w:t>
      </w:r>
      <w:r w:rsidR="006E77FA">
        <w:rPr>
          <w:rStyle w:val="FootnoteReference"/>
          <w:rFonts w:ascii="Times New Roman" w:hAnsi="Times New Roman" w:cs="Times New Roman"/>
          <w:sz w:val="24"/>
          <w:szCs w:val="24"/>
        </w:rPr>
        <w:footnoteReference w:id="49"/>
      </w:r>
      <w:r w:rsidRPr="008942EF">
        <w:rPr>
          <w:rFonts w:ascii="Times New Roman" w:hAnsi="Times New Roman" w:cs="Times New Roman"/>
          <w:sz w:val="24"/>
          <w:szCs w:val="24"/>
        </w:rPr>
        <w:t xml:space="preserve"> </w:t>
      </w:r>
    </w:p>
    <w:p w:rsidR="00BE40B6" w:rsidRDefault="00BE40B6" w:rsidP="008942EF">
      <w:pPr>
        <w:spacing w:after="0" w:line="480" w:lineRule="auto"/>
        <w:jc w:val="both"/>
        <w:rPr>
          <w:rFonts w:ascii="Times New Roman" w:hAnsi="Times New Roman" w:cs="Times New Roman"/>
          <w:sz w:val="24"/>
          <w:szCs w:val="24"/>
        </w:rPr>
      </w:pPr>
    </w:p>
    <w:p w:rsidR="008942EF" w:rsidRPr="008942EF" w:rsidRDefault="00BE40B6" w:rsidP="008942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Moreover, l</w:t>
      </w:r>
      <w:r w:rsidR="008942EF" w:rsidRPr="008942EF">
        <w:rPr>
          <w:rFonts w:ascii="Times New Roman" w:hAnsi="Times New Roman" w:cs="Times New Roman"/>
          <w:sz w:val="24"/>
          <w:szCs w:val="24"/>
        </w:rPr>
        <w:t>ittle attention is given to the ways that some street sex workers may attempt to mitigate the nuisance created, by working less visibly and keeping their transactions as unobtrusive as possible.</w:t>
      </w:r>
      <w:r w:rsidR="006E77FA">
        <w:rPr>
          <w:rStyle w:val="FootnoteReference"/>
          <w:rFonts w:ascii="Times New Roman" w:hAnsi="Times New Roman" w:cs="Times New Roman"/>
          <w:sz w:val="24"/>
          <w:szCs w:val="24"/>
        </w:rPr>
        <w:footnoteReference w:id="50"/>
      </w:r>
      <w:r w:rsidR="008942EF" w:rsidRPr="008942EF">
        <w:rPr>
          <w:rFonts w:ascii="Times New Roman" w:hAnsi="Times New Roman" w:cs="Times New Roman"/>
          <w:sz w:val="24"/>
          <w:szCs w:val="24"/>
        </w:rPr>
        <w:t xml:space="preserve"> Nor is much attention paid to those voices in the community who are more tolerant of street sex work. For instance, </w:t>
      </w:r>
      <w:r w:rsidR="0071029D">
        <w:rPr>
          <w:rFonts w:ascii="Times New Roman" w:hAnsi="Times New Roman" w:cs="Times New Roman"/>
          <w:sz w:val="24"/>
          <w:szCs w:val="24"/>
        </w:rPr>
        <w:t xml:space="preserve">Jane </w:t>
      </w:r>
      <w:r w:rsidR="008942EF" w:rsidRPr="008942EF">
        <w:rPr>
          <w:rFonts w:ascii="Times New Roman" w:hAnsi="Times New Roman" w:cs="Times New Roman"/>
          <w:sz w:val="24"/>
          <w:szCs w:val="24"/>
        </w:rPr>
        <w:t xml:space="preserve">Pitcher </w:t>
      </w:r>
      <w:r w:rsidR="008942EF" w:rsidRPr="008942EF">
        <w:rPr>
          <w:rFonts w:ascii="Times New Roman" w:hAnsi="Times New Roman" w:cs="Times New Roman"/>
          <w:i/>
          <w:sz w:val="24"/>
          <w:szCs w:val="24"/>
        </w:rPr>
        <w:t>et al</w:t>
      </w:r>
      <w:r w:rsidR="006E77FA">
        <w:rPr>
          <w:rFonts w:ascii="Times New Roman" w:hAnsi="Times New Roman" w:cs="Times New Roman"/>
          <w:sz w:val="24"/>
          <w:szCs w:val="24"/>
        </w:rPr>
        <w:t>’s</w:t>
      </w:r>
      <w:r w:rsidR="00B260CE">
        <w:rPr>
          <w:rFonts w:ascii="Times New Roman" w:hAnsi="Times New Roman" w:cs="Times New Roman"/>
          <w:sz w:val="24"/>
          <w:szCs w:val="24"/>
        </w:rPr>
        <w:t xml:space="preserve"> </w:t>
      </w:r>
      <w:r w:rsidR="008942EF" w:rsidRPr="008942EF">
        <w:rPr>
          <w:rFonts w:ascii="Times New Roman" w:hAnsi="Times New Roman" w:cs="Times New Roman"/>
          <w:sz w:val="24"/>
          <w:szCs w:val="24"/>
        </w:rPr>
        <w:t xml:space="preserve">research in five neighbourhoods found that, for many residents, ‘sex work was not considered a high priority </w:t>
      </w:r>
      <w:r w:rsidR="008942EF" w:rsidRPr="008942EF">
        <w:rPr>
          <w:rFonts w:ascii="Times New Roman" w:hAnsi="Times New Roman" w:cs="Times New Roman"/>
          <w:sz w:val="24"/>
          <w:szCs w:val="24"/>
        </w:rPr>
        <w:lastRenderedPageBreak/>
        <w:t>in terms of their overall quality of life’.</w:t>
      </w:r>
      <w:r w:rsidR="006E77FA">
        <w:rPr>
          <w:rStyle w:val="FootnoteReference"/>
          <w:rFonts w:ascii="Times New Roman" w:hAnsi="Times New Roman" w:cs="Times New Roman"/>
          <w:sz w:val="24"/>
          <w:szCs w:val="24"/>
        </w:rPr>
        <w:footnoteReference w:id="51"/>
      </w:r>
      <w:r w:rsidR="008942EF" w:rsidRPr="008942EF">
        <w:rPr>
          <w:rFonts w:ascii="Times New Roman" w:hAnsi="Times New Roman" w:cs="Times New Roman"/>
          <w:sz w:val="24"/>
          <w:szCs w:val="24"/>
        </w:rPr>
        <w:t xml:space="preserve"> That is, while street sex work tends to be found in relatively deprived neighbourhoods, not all residents blame sex workers for local deprivation and disorder.</w:t>
      </w:r>
      <w:r w:rsidR="006E77FA">
        <w:rPr>
          <w:rStyle w:val="FootnoteReference"/>
          <w:rFonts w:ascii="Times New Roman" w:hAnsi="Times New Roman" w:cs="Times New Roman"/>
          <w:sz w:val="24"/>
          <w:szCs w:val="24"/>
        </w:rPr>
        <w:footnoteReference w:id="52"/>
      </w:r>
      <w:r w:rsidR="00B260CE" w:rsidRPr="008942EF">
        <w:rPr>
          <w:rFonts w:ascii="Times New Roman" w:hAnsi="Times New Roman" w:cs="Times New Roman"/>
          <w:sz w:val="24"/>
          <w:szCs w:val="24"/>
        </w:rPr>
        <w:t xml:space="preserve"> </w:t>
      </w:r>
      <w:r w:rsidR="008942EF" w:rsidRPr="008942EF">
        <w:rPr>
          <w:rFonts w:ascii="Times New Roman" w:hAnsi="Times New Roman" w:cs="Times New Roman"/>
          <w:sz w:val="24"/>
          <w:szCs w:val="24"/>
        </w:rPr>
        <w:t>By excluding sex workers from the construction of the community, there is also a marginalisation of the corollary ways that the neighbourhood may, in fact, be dangerous for sex workers, for the reasons expressed by other residents, such as fear of violent or serious crime,</w:t>
      </w:r>
      <w:r w:rsidR="00AD39C4">
        <w:rPr>
          <w:rStyle w:val="FootnoteReference"/>
          <w:rFonts w:ascii="Times New Roman" w:hAnsi="Times New Roman" w:cs="Times New Roman"/>
          <w:sz w:val="24"/>
          <w:szCs w:val="24"/>
        </w:rPr>
        <w:footnoteReference w:id="53"/>
      </w:r>
      <w:r w:rsidR="008942EF" w:rsidRPr="008942EF">
        <w:rPr>
          <w:rFonts w:ascii="Times New Roman" w:hAnsi="Times New Roman" w:cs="Times New Roman"/>
          <w:sz w:val="24"/>
          <w:szCs w:val="24"/>
        </w:rPr>
        <w:t xml:space="preserve"> and because of residents’ vigilante attacks on sex workers.</w:t>
      </w:r>
      <w:r w:rsidR="00AD39C4">
        <w:rPr>
          <w:rStyle w:val="FootnoteReference"/>
          <w:rFonts w:ascii="Times New Roman" w:hAnsi="Times New Roman" w:cs="Times New Roman"/>
          <w:sz w:val="24"/>
          <w:szCs w:val="24"/>
        </w:rPr>
        <w:footnoteReference w:id="54"/>
      </w:r>
      <w:r w:rsidR="008942EF" w:rsidRPr="008942EF">
        <w:rPr>
          <w:rFonts w:ascii="Times New Roman" w:hAnsi="Times New Roman" w:cs="Times New Roman"/>
          <w:sz w:val="24"/>
          <w:szCs w:val="24"/>
        </w:rPr>
        <w:t xml:space="preserve"> </w:t>
      </w:r>
    </w:p>
    <w:p w:rsidR="008942EF" w:rsidRPr="008942EF" w:rsidRDefault="008942EF" w:rsidP="008942EF">
      <w:pPr>
        <w:spacing w:after="0" w:line="480" w:lineRule="auto"/>
        <w:jc w:val="both"/>
        <w:rPr>
          <w:rFonts w:ascii="Times New Roman" w:hAnsi="Times New Roman" w:cs="Times New Roman"/>
          <w:sz w:val="24"/>
          <w:szCs w:val="24"/>
        </w:rPr>
      </w:pPr>
    </w:p>
    <w:p w:rsidR="000E0C7A" w:rsidRDefault="00D25D2F" w:rsidP="008942EF">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The enforcement and proliferation of sex work l</w:t>
      </w:r>
      <w:r w:rsidR="000E0C7A">
        <w:rPr>
          <w:rFonts w:ascii="Times New Roman" w:hAnsi="Times New Roman" w:cs="Times New Roman"/>
          <w:i/>
          <w:sz w:val="24"/>
          <w:szCs w:val="24"/>
        </w:rPr>
        <w:t>aws</w:t>
      </w:r>
    </w:p>
    <w:p w:rsidR="0071029D" w:rsidRPr="0071029D" w:rsidRDefault="0071029D" w:rsidP="008942EF">
      <w:pPr>
        <w:spacing w:after="0" w:line="480" w:lineRule="auto"/>
        <w:jc w:val="both"/>
        <w:rPr>
          <w:rFonts w:ascii="Times New Roman" w:hAnsi="Times New Roman" w:cs="Times New Roman"/>
          <w:sz w:val="24"/>
          <w:szCs w:val="24"/>
        </w:rPr>
      </w:pPr>
    </w:p>
    <w:p w:rsidR="0071029D" w:rsidRPr="008942EF" w:rsidRDefault="0071029D" w:rsidP="0071029D">
      <w:pPr>
        <w:spacing w:after="0" w:line="480" w:lineRule="auto"/>
        <w:jc w:val="both"/>
        <w:rPr>
          <w:rFonts w:ascii="Times New Roman" w:hAnsi="Times New Roman" w:cs="Times New Roman"/>
          <w:sz w:val="24"/>
          <w:szCs w:val="24"/>
        </w:rPr>
      </w:pPr>
      <w:r w:rsidRPr="008942EF">
        <w:rPr>
          <w:rFonts w:ascii="Times New Roman" w:hAnsi="Times New Roman" w:cs="Times New Roman"/>
          <w:sz w:val="24"/>
          <w:szCs w:val="24"/>
        </w:rPr>
        <w:t xml:space="preserve">Despite the legislative focus on removing nuisance from the victimised community, and the framing of the community as victims of crime, the enforcement of these laws has not been uniform. As </w:t>
      </w:r>
      <w:r>
        <w:rPr>
          <w:rFonts w:ascii="Times New Roman" w:hAnsi="Times New Roman" w:cs="Times New Roman"/>
          <w:sz w:val="24"/>
          <w:szCs w:val="24"/>
        </w:rPr>
        <w:t xml:space="preserve">Hillary </w:t>
      </w:r>
      <w:r w:rsidR="003C108A">
        <w:rPr>
          <w:rFonts w:ascii="Times New Roman" w:hAnsi="Times New Roman" w:cs="Times New Roman"/>
          <w:sz w:val="24"/>
          <w:szCs w:val="24"/>
        </w:rPr>
        <w:t>Kinnell</w:t>
      </w:r>
      <w:r w:rsidR="00B260CE">
        <w:rPr>
          <w:rFonts w:ascii="Times New Roman" w:hAnsi="Times New Roman" w:cs="Times New Roman"/>
          <w:sz w:val="24"/>
          <w:szCs w:val="24"/>
        </w:rPr>
        <w:t xml:space="preserve"> </w:t>
      </w:r>
      <w:r w:rsidRPr="008942EF">
        <w:rPr>
          <w:rFonts w:ascii="Times New Roman" w:hAnsi="Times New Roman" w:cs="Times New Roman"/>
          <w:sz w:val="24"/>
          <w:szCs w:val="24"/>
        </w:rPr>
        <w:t>has noted, ‘if the location of street work has not offended senior police officers or local residents, sex workers have avoided arrest by working in informally designated areas and at certain times of the day’.</w:t>
      </w:r>
      <w:r w:rsidR="003C108A">
        <w:rPr>
          <w:rStyle w:val="FootnoteReference"/>
          <w:rFonts w:ascii="Times New Roman" w:hAnsi="Times New Roman" w:cs="Times New Roman"/>
          <w:sz w:val="24"/>
          <w:szCs w:val="24"/>
        </w:rPr>
        <w:footnoteReference w:id="55"/>
      </w:r>
      <w:r w:rsidRPr="008942EF">
        <w:rPr>
          <w:rFonts w:ascii="Times New Roman" w:hAnsi="Times New Roman" w:cs="Times New Roman"/>
          <w:sz w:val="24"/>
          <w:szCs w:val="24"/>
        </w:rPr>
        <w:t xml:space="preserve"> In a number of cities, there are unofficial tolerance zones where police are happy to allow street </w:t>
      </w:r>
      <w:r>
        <w:rPr>
          <w:rFonts w:ascii="Times New Roman" w:hAnsi="Times New Roman" w:cs="Times New Roman"/>
          <w:sz w:val="24"/>
          <w:szCs w:val="24"/>
        </w:rPr>
        <w:t>sex work</w:t>
      </w:r>
      <w:r w:rsidRPr="008942EF">
        <w:rPr>
          <w:rFonts w:ascii="Times New Roman" w:hAnsi="Times New Roman" w:cs="Times New Roman"/>
          <w:sz w:val="24"/>
          <w:szCs w:val="24"/>
        </w:rPr>
        <w:t xml:space="preserve"> to remain as it is contained in a few streets that can be more </w:t>
      </w:r>
      <w:r w:rsidR="000B6018">
        <w:rPr>
          <w:rFonts w:ascii="Times New Roman" w:hAnsi="Times New Roman" w:cs="Times New Roman"/>
          <w:sz w:val="24"/>
          <w:szCs w:val="24"/>
        </w:rPr>
        <w:t>easily monitored and controlled.</w:t>
      </w:r>
      <w:r w:rsidR="003C108A">
        <w:rPr>
          <w:rStyle w:val="FootnoteReference"/>
          <w:rFonts w:ascii="Times New Roman" w:hAnsi="Times New Roman" w:cs="Times New Roman"/>
          <w:sz w:val="24"/>
          <w:szCs w:val="24"/>
        </w:rPr>
        <w:footnoteReference w:id="56"/>
      </w:r>
      <w:r w:rsidR="000B6018">
        <w:rPr>
          <w:rFonts w:ascii="Times New Roman" w:hAnsi="Times New Roman" w:cs="Times New Roman"/>
          <w:sz w:val="24"/>
          <w:szCs w:val="24"/>
        </w:rPr>
        <w:t xml:space="preserve"> </w:t>
      </w:r>
      <w:r w:rsidRPr="008942EF">
        <w:rPr>
          <w:rFonts w:ascii="Times New Roman" w:hAnsi="Times New Roman" w:cs="Times New Roman"/>
          <w:sz w:val="24"/>
          <w:szCs w:val="24"/>
        </w:rPr>
        <w:t>Policing policy tends to revolve around responding to neighbourhood complaints and managing street sex work. This has the effect of keeping sex work from ‘spilling over’</w:t>
      </w:r>
      <w:r w:rsidR="003C108A">
        <w:rPr>
          <w:rStyle w:val="FootnoteReference"/>
          <w:rFonts w:ascii="Times New Roman" w:hAnsi="Times New Roman" w:cs="Times New Roman"/>
          <w:sz w:val="24"/>
          <w:szCs w:val="24"/>
        </w:rPr>
        <w:footnoteReference w:id="57"/>
      </w:r>
      <w:r w:rsidR="003C108A">
        <w:rPr>
          <w:rFonts w:ascii="Times New Roman" w:hAnsi="Times New Roman" w:cs="Times New Roman"/>
          <w:sz w:val="24"/>
          <w:szCs w:val="24"/>
        </w:rPr>
        <w:t xml:space="preserve"> </w:t>
      </w:r>
      <w:r w:rsidRPr="008942EF">
        <w:rPr>
          <w:rFonts w:ascii="Times New Roman" w:hAnsi="Times New Roman" w:cs="Times New Roman"/>
          <w:sz w:val="24"/>
          <w:szCs w:val="24"/>
        </w:rPr>
        <w:t xml:space="preserve">into better-off neighbourhoods, as those ‘wielding the most political and social power [are] generally most effective in </w:t>
      </w:r>
      <w:r w:rsidRPr="008942EF">
        <w:rPr>
          <w:rFonts w:ascii="Times New Roman" w:hAnsi="Times New Roman" w:cs="Times New Roman"/>
          <w:sz w:val="24"/>
          <w:szCs w:val="24"/>
        </w:rPr>
        <w:lastRenderedPageBreak/>
        <w:t>prompting police surveillance and repression’.</w:t>
      </w:r>
      <w:r w:rsidR="003C108A">
        <w:rPr>
          <w:rStyle w:val="FootnoteReference"/>
          <w:rFonts w:ascii="Times New Roman" w:hAnsi="Times New Roman" w:cs="Times New Roman"/>
          <w:sz w:val="24"/>
          <w:szCs w:val="24"/>
        </w:rPr>
        <w:footnoteReference w:id="58"/>
      </w:r>
      <w:r w:rsidR="00B260CE">
        <w:rPr>
          <w:rFonts w:ascii="Times New Roman" w:hAnsi="Times New Roman" w:cs="Times New Roman"/>
          <w:sz w:val="24"/>
          <w:szCs w:val="24"/>
          <w:vertAlign w:val="superscript"/>
        </w:rPr>
        <w:t xml:space="preserve"> </w:t>
      </w:r>
      <w:r w:rsidR="00B260CE" w:rsidRPr="008942EF">
        <w:rPr>
          <w:rFonts w:ascii="Times New Roman" w:hAnsi="Times New Roman" w:cs="Times New Roman"/>
          <w:sz w:val="24"/>
          <w:szCs w:val="24"/>
        </w:rPr>
        <w:t xml:space="preserve"> </w:t>
      </w:r>
      <w:r w:rsidRPr="008942EF">
        <w:rPr>
          <w:rFonts w:ascii="Times New Roman" w:hAnsi="Times New Roman" w:cs="Times New Roman"/>
          <w:sz w:val="24"/>
          <w:szCs w:val="24"/>
        </w:rPr>
        <w:t>Notably, these neighbourhoods are nearly always ‘wealthier, whiter and more politically articulate’.</w:t>
      </w:r>
      <w:r w:rsidR="003C108A">
        <w:rPr>
          <w:rStyle w:val="FootnoteReference"/>
          <w:rFonts w:ascii="Times New Roman" w:hAnsi="Times New Roman" w:cs="Times New Roman"/>
          <w:sz w:val="24"/>
          <w:szCs w:val="24"/>
        </w:rPr>
        <w:footnoteReference w:id="59"/>
      </w:r>
      <w:r w:rsidRPr="008942EF">
        <w:rPr>
          <w:rFonts w:ascii="Times New Roman" w:hAnsi="Times New Roman" w:cs="Times New Roman"/>
          <w:sz w:val="24"/>
          <w:szCs w:val="24"/>
        </w:rPr>
        <w:t xml:space="preserve"> Given that it often keeps sex work in more socially deprived areas</w:t>
      </w:r>
      <w:r w:rsidR="00BE40B6">
        <w:rPr>
          <w:rFonts w:ascii="Times New Roman" w:hAnsi="Times New Roman" w:cs="Times New Roman"/>
          <w:sz w:val="24"/>
          <w:szCs w:val="24"/>
        </w:rPr>
        <w:t>,</w:t>
      </w:r>
      <w:r w:rsidR="00B260CE" w:rsidRPr="008942EF">
        <w:rPr>
          <w:rFonts w:ascii="Times New Roman" w:hAnsi="Times New Roman" w:cs="Times New Roman"/>
          <w:sz w:val="24"/>
          <w:szCs w:val="24"/>
        </w:rPr>
        <w:t xml:space="preserve"> </w:t>
      </w:r>
      <w:r w:rsidRPr="008942EF">
        <w:rPr>
          <w:rFonts w:ascii="Times New Roman" w:hAnsi="Times New Roman" w:cs="Times New Roman"/>
          <w:sz w:val="24"/>
          <w:szCs w:val="24"/>
        </w:rPr>
        <w:t>this selective enforcement supports Simon’s argument that in governing through crime, crime ‘actively reshapes how power is exercised throughout hierarchies of class, race, ethnicity and gender’.</w:t>
      </w:r>
      <w:r w:rsidR="003C108A">
        <w:rPr>
          <w:rStyle w:val="FootnoteReference"/>
          <w:rFonts w:ascii="Times New Roman" w:hAnsi="Times New Roman" w:cs="Times New Roman"/>
          <w:sz w:val="24"/>
          <w:szCs w:val="24"/>
        </w:rPr>
        <w:footnoteReference w:id="60"/>
      </w:r>
      <w:r w:rsidRPr="008942EF">
        <w:rPr>
          <w:rFonts w:ascii="Times New Roman" w:hAnsi="Times New Roman" w:cs="Times New Roman"/>
          <w:sz w:val="24"/>
          <w:szCs w:val="24"/>
        </w:rPr>
        <w:t xml:space="preserve"> To put it another way, using the enforcement of criminal sanctions to keep street sex work in certain areas reinforces hegemonic structures where the more affluent and powerful citizens are given the most protection from deviant behaviour and nuisance, while those with less power, including street sex workers, are ignored or further stigmatised through their association with ‘crime’. In a sense, then, the policing of sex work acts as a ‘gate’ to particular communities, securitising specific geographical locations, speaking to the regulative presence of fear of crime.</w:t>
      </w:r>
      <w:r w:rsidR="003C108A">
        <w:rPr>
          <w:rStyle w:val="FootnoteReference"/>
          <w:rFonts w:ascii="Times New Roman" w:hAnsi="Times New Roman" w:cs="Times New Roman"/>
          <w:sz w:val="24"/>
          <w:szCs w:val="24"/>
        </w:rPr>
        <w:footnoteReference w:id="61"/>
      </w:r>
      <w:r w:rsidRPr="008942EF">
        <w:rPr>
          <w:rFonts w:ascii="Times New Roman" w:hAnsi="Times New Roman" w:cs="Times New Roman"/>
          <w:sz w:val="24"/>
          <w:szCs w:val="24"/>
        </w:rPr>
        <w:t xml:space="preserve"> </w:t>
      </w:r>
    </w:p>
    <w:p w:rsidR="000E0C7A" w:rsidRDefault="000E0C7A" w:rsidP="008942EF">
      <w:pPr>
        <w:spacing w:after="0" w:line="480" w:lineRule="auto"/>
        <w:jc w:val="both"/>
        <w:rPr>
          <w:rFonts w:ascii="Times New Roman" w:hAnsi="Times New Roman" w:cs="Times New Roman"/>
          <w:i/>
          <w:sz w:val="24"/>
          <w:szCs w:val="24"/>
        </w:rPr>
      </w:pPr>
    </w:p>
    <w:p w:rsidR="0071029D" w:rsidRDefault="008942EF" w:rsidP="008942EF">
      <w:pPr>
        <w:spacing w:after="0" w:line="480" w:lineRule="auto"/>
        <w:jc w:val="both"/>
        <w:rPr>
          <w:rFonts w:ascii="Times New Roman" w:hAnsi="Times New Roman" w:cs="Times New Roman"/>
          <w:sz w:val="24"/>
          <w:szCs w:val="24"/>
        </w:rPr>
      </w:pPr>
      <w:r w:rsidRPr="008942EF">
        <w:rPr>
          <w:rFonts w:ascii="Times New Roman" w:hAnsi="Times New Roman" w:cs="Times New Roman"/>
          <w:sz w:val="24"/>
          <w:szCs w:val="24"/>
        </w:rPr>
        <w:t>Enforcement policies also vary across different cities and change over time. For instance, the West End of London has seen a shift from unofficial police tolerance to ‘zero tolerance’ policies, ‘bolstered by a rhetoric of spatial cleansing and purification’, in an attempt to deal with both street and off-street sex work.</w:t>
      </w:r>
      <w:r w:rsidR="003C108A">
        <w:rPr>
          <w:rStyle w:val="FootnoteReference"/>
          <w:rFonts w:ascii="Times New Roman" w:hAnsi="Times New Roman" w:cs="Times New Roman"/>
          <w:sz w:val="24"/>
          <w:szCs w:val="24"/>
        </w:rPr>
        <w:footnoteReference w:id="62"/>
      </w:r>
      <w:r w:rsidRPr="008942EF">
        <w:rPr>
          <w:rFonts w:ascii="Times New Roman" w:hAnsi="Times New Roman" w:cs="Times New Roman"/>
          <w:sz w:val="24"/>
          <w:szCs w:val="24"/>
        </w:rPr>
        <w:t xml:space="preserve"> In some areas, such as Balsall Heath in Birmingham, periodic ‘crackdowns’ have taken place, which have the effect of shifting sex work out of the area temporarily until the police presence has died down and the sex workers return to their beats.</w:t>
      </w:r>
      <w:r w:rsidR="003C108A">
        <w:rPr>
          <w:rStyle w:val="FootnoteReference"/>
          <w:rFonts w:ascii="Times New Roman" w:hAnsi="Times New Roman" w:cs="Times New Roman"/>
          <w:sz w:val="24"/>
          <w:szCs w:val="24"/>
        </w:rPr>
        <w:footnoteReference w:id="63"/>
      </w:r>
      <w:r w:rsidRPr="008942EF">
        <w:rPr>
          <w:rFonts w:ascii="Times New Roman" w:hAnsi="Times New Roman" w:cs="Times New Roman"/>
          <w:sz w:val="24"/>
          <w:szCs w:val="24"/>
        </w:rPr>
        <w:t xml:space="preserve"> This reflects the self-regulatory ways that sex workers respond to legislative and enforcement patterns, supporting Simon’s claims that governing through crime controls and produces responses in the citizenry. </w:t>
      </w:r>
    </w:p>
    <w:p w:rsidR="0071029D" w:rsidRDefault="0071029D" w:rsidP="008942EF">
      <w:pPr>
        <w:spacing w:after="0" w:line="480" w:lineRule="auto"/>
        <w:jc w:val="both"/>
        <w:rPr>
          <w:rFonts w:ascii="Times New Roman" w:hAnsi="Times New Roman" w:cs="Times New Roman"/>
          <w:sz w:val="24"/>
          <w:szCs w:val="24"/>
        </w:rPr>
      </w:pPr>
    </w:p>
    <w:p w:rsidR="008942EF" w:rsidRPr="008942EF" w:rsidRDefault="00BE40B6" w:rsidP="008942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w:t>
      </w:r>
      <w:r w:rsidR="008942EF" w:rsidRPr="008942EF">
        <w:rPr>
          <w:rFonts w:ascii="Times New Roman" w:hAnsi="Times New Roman" w:cs="Times New Roman"/>
          <w:sz w:val="24"/>
          <w:szCs w:val="24"/>
        </w:rPr>
        <w:t xml:space="preserve"> Home Office has promoted zero tolerance to street sex work as the preferred enforcement strategy, stating that ‘[s]treet prostitution is not an activity that we can tolerate in our towns and cities’.</w:t>
      </w:r>
      <w:r w:rsidR="003C108A">
        <w:rPr>
          <w:rStyle w:val="FootnoteReference"/>
          <w:rFonts w:ascii="Times New Roman" w:hAnsi="Times New Roman" w:cs="Times New Roman"/>
          <w:sz w:val="24"/>
          <w:szCs w:val="24"/>
        </w:rPr>
        <w:footnoteReference w:id="64"/>
      </w:r>
      <w:r w:rsidR="003C108A">
        <w:rPr>
          <w:rFonts w:ascii="Times New Roman" w:hAnsi="Times New Roman" w:cs="Times New Roman"/>
          <w:sz w:val="24"/>
          <w:szCs w:val="24"/>
        </w:rPr>
        <w:t xml:space="preserve"> As Simon</w:t>
      </w:r>
      <w:r w:rsidR="00D25BC1">
        <w:rPr>
          <w:rFonts w:ascii="Times New Roman" w:hAnsi="Times New Roman" w:cs="Times New Roman"/>
          <w:sz w:val="24"/>
          <w:szCs w:val="24"/>
        </w:rPr>
        <w:t xml:space="preserve"> </w:t>
      </w:r>
      <w:r w:rsidR="008942EF" w:rsidRPr="008942EF">
        <w:rPr>
          <w:rFonts w:ascii="Times New Roman" w:hAnsi="Times New Roman" w:cs="Times New Roman"/>
          <w:sz w:val="24"/>
          <w:szCs w:val="24"/>
        </w:rPr>
        <w:t>notes, ‘discretion… is viewed as something being used to favor criminals. Reform has taken the form of “zero-tolerance rules” that make favourable discretion impossible’.</w:t>
      </w:r>
      <w:r w:rsidR="003C108A">
        <w:rPr>
          <w:rStyle w:val="FootnoteReference"/>
          <w:rFonts w:ascii="Times New Roman" w:hAnsi="Times New Roman" w:cs="Times New Roman"/>
          <w:sz w:val="24"/>
          <w:szCs w:val="24"/>
        </w:rPr>
        <w:footnoteReference w:id="65"/>
      </w:r>
      <w:r w:rsidR="008942EF" w:rsidRPr="008942EF">
        <w:rPr>
          <w:rFonts w:ascii="Times New Roman" w:hAnsi="Times New Roman" w:cs="Times New Roman"/>
          <w:sz w:val="24"/>
          <w:szCs w:val="24"/>
        </w:rPr>
        <w:t xml:space="preserve"> A shift to ‘zero tolerance’ of sex work therefore reflects the political need to demonstrate that authorities are on the side of the ‘victim’ citizens rather than the </w:t>
      </w:r>
      <w:r w:rsidR="0071029D">
        <w:rPr>
          <w:rFonts w:ascii="Times New Roman" w:hAnsi="Times New Roman" w:cs="Times New Roman"/>
          <w:sz w:val="24"/>
          <w:szCs w:val="24"/>
        </w:rPr>
        <w:t xml:space="preserve">‘criminal’ </w:t>
      </w:r>
      <w:r w:rsidR="008942EF" w:rsidRPr="008942EF">
        <w:rPr>
          <w:rFonts w:ascii="Times New Roman" w:hAnsi="Times New Roman" w:cs="Times New Roman"/>
          <w:sz w:val="24"/>
          <w:szCs w:val="24"/>
        </w:rPr>
        <w:t xml:space="preserve">sex workers. An alternative approach can be seen in Liverpool, where police have worked with sex work NGOs to create a progressive policy focused on reducing violent crimes against sex workers, in 2006 appointing a sex work liaison officer and agreeing a policy that all crimes against sex workers </w:t>
      </w:r>
      <w:r w:rsidR="00720BFC">
        <w:rPr>
          <w:rFonts w:ascii="Times New Roman" w:hAnsi="Times New Roman" w:cs="Times New Roman"/>
          <w:sz w:val="24"/>
          <w:szCs w:val="24"/>
        </w:rPr>
        <w:t xml:space="preserve">should </w:t>
      </w:r>
      <w:r w:rsidR="008942EF" w:rsidRPr="008942EF">
        <w:rPr>
          <w:rFonts w:ascii="Times New Roman" w:hAnsi="Times New Roman" w:cs="Times New Roman"/>
          <w:sz w:val="24"/>
          <w:szCs w:val="24"/>
        </w:rPr>
        <w:t>be treated as hate crimes.</w:t>
      </w:r>
      <w:r w:rsidR="003C108A">
        <w:rPr>
          <w:rStyle w:val="FootnoteReference"/>
          <w:rFonts w:ascii="Times New Roman" w:hAnsi="Times New Roman" w:cs="Times New Roman"/>
          <w:sz w:val="24"/>
          <w:szCs w:val="24"/>
        </w:rPr>
        <w:footnoteReference w:id="66"/>
      </w:r>
      <w:r w:rsidR="008942EF" w:rsidRPr="008942EF">
        <w:rPr>
          <w:rFonts w:ascii="Times New Roman" w:hAnsi="Times New Roman" w:cs="Times New Roman"/>
          <w:sz w:val="24"/>
          <w:szCs w:val="24"/>
        </w:rPr>
        <w:t xml:space="preserve"> </w:t>
      </w:r>
      <w:r w:rsidR="00720BFC">
        <w:rPr>
          <w:rFonts w:ascii="Times New Roman" w:hAnsi="Times New Roman" w:cs="Times New Roman"/>
          <w:sz w:val="24"/>
          <w:szCs w:val="24"/>
        </w:rPr>
        <w:t>Liverpool’s approach</w:t>
      </w:r>
      <w:r w:rsidR="008942EF" w:rsidRPr="008942EF">
        <w:rPr>
          <w:rFonts w:ascii="Times New Roman" w:hAnsi="Times New Roman" w:cs="Times New Roman"/>
          <w:sz w:val="24"/>
          <w:szCs w:val="24"/>
        </w:rPr>
        <w:t xml:space="preserve"> demonstrates that repres</w:t>
      </w:r>
      <w:r>
        <w:rPr>
          <w:rFonts w:ascii="Times New Roman" w:hAnsi="Times New Roman" w:cs="Times New Roman"/>
          <w:sz w:val="24"/>
          <w:szCs w:val="24"/>
        </w:rPr>
        <w:t>sive policies are not necessary</w:t>
      </w:r>
      <w:r w:rsidR="008942EF" w:rsidRPr="008942EF">
        <w:rPr>
          <w:rFonts w:ascii="Times New Roman" w:hAnsi="Times New Roman" w:cs="Times New Roman"/>
          <w:sz w:val="24"/>
          <w:szCs w:val="24"/>
        </w:rPr>
        <w:t xml:space="preserve"> to respond to crimes associated with sex work, and that by understanding sex workers as part of the community rather than outside it, there is potential to respond to actual incidences of crime rather than to the fear of it. </w:t>
      </w:r>
    </w:p>
    <w:p w:rsidR="008942EF" w:rsidRPr="008942EF" w:rsidRDefault="008942EF" w:rsidP="008942EF">
      <w:pPr>
        <w:spacing w:after="0" w:line="480" w:lineRule="auto"/>
        <w:jc w:val="both"/>
        <w:rPr>
          <w:rFonts w:ascii="Times New Roman" w:hAnsi="Times New Roman" w:cs="Times New Roman"/>
          <w:sz w:val="24"/>
          <w:szCs w:val="24"/>
        </w:rPr>
      </w:pPr>
    </w:p>
    <w:p w:rsidR="00FA67EF" w:rsidRDefault="00BE40B6" w:rsidP="008942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8942EF" w:rsidRPr="008942EF">
        <w:rPr>
          <w:rFonts w:ascii="Times New Roman" w:hAnsi="Times New Roman" w:cs="Times New Roman"/>
          <w:sz w:val="24"/>
          <w:szCs w:val="24"/>
        </w:rPr>
        <w:t>he Liverpool approach</w:t>
      </w:r>
      <w:r w:rsidR="00AB1C30" w:rsidRPr="008942EF">
        <w:rPr>
          <w:rFonts w:ascii="Times New Roman" w:hAnsi="Times New Roman" w:cs="Times New Roman"/>
          <w:sz w:val="24"/>
          <w:szCs w:val="24"/>
        </w:rPr>
        <w:t xml:space="preserve"> is</w:t>
      </w:r>
      <w:r>
        <w:rPr>
          <w:rFonts w:ascii="Times New Roman" w:hAnsi="Times New Roman" w:cs="Times New Roman"/>
          <w:sz w:val="24"/>
          <w:szCs w:val="24"/>
        </w:rPr>
        <w:t>,</w:t>
      </w:r>
      <w:r w:rsidR="008942EF" w:rsidRPr="008942EF">
        <w:rPr>
          <w:rFonts w:ascii="Times New Roman" w:hAnsi="Times New Roman" w:cs="Times New Roman"/>
          <w:sz w:val="24"/>
          <w:szCs w:val="24"/>
        </w:rPr>
        <w:t xml:space="preserve"> </w:t>
      </w:r>
      <w:r>
        <w:rPr>
          <w:rFonts w:ascii="Times New Roman" w:hAnsi="Times New Roman" w:cs="Times New Roman"/>
          <w:sz w:val="24"/>
          <w:szCs w:val="24"/>
        </w:rPr>
        <w:t>u</w:t>
      </w:r>
      <w:r w:rsidRPr="008942EF">
        <w:rPr>
          <w:rFonts w:ascii="Times New Roman" w:hAnsi="Times New Roman" w:cs="Times New Roman"/>
          <w:sz w:val="24"/>
          <w:szCs w:val="24"/>
        </w:rPr>
        <w:t>nfortunately,</w:t>
      </w:r>
      <w:r w:rsidR="008942EF" w:rsidRPr="008942EF">
        <w:rPr>
          <w:rFonts w:ascii="Times New Roman" w:hAnsi="Times New Roman" w:cs="Times New Roman"/>
          <w:sz w:val="24"/>
          <w:szCs w:val="24"/>
        </w:rPr>
        <w:t xml:space="preserve"> very localised. Renewed national interest in ‘tackling’ street sex work has led to a number of new approaches to managing street sex work. </w:t>
      </w:r>
      <w:r w:rsidR="001219B9">
        <w:rPr>
          <w:rFonts w:ascii="Times New Roman" w:hAnsi="Times New Roman" w:cs="Times New Roman"/>
          <w:sz w:val="24"/>
          <w:szCs w:val="24"/>
        </w:rPr>
        <w:t>One</w:t>
      </w:r>
      <w:r w:rsidR="008942EF" w:rsidRPr="008942EF">
        <w:rPr>
          <w:rFonts w:ascii="Times New Roman" w:hAnsi="Times New Roman" w:cs="Times New Roman"/>
          <w:sz w:val="24"/>
          <w:szCs w:val="24"/>
        </w:rPr>
        <w:t xml:space="preserve"> method</w:t>
      </w:r>
      <w:r w:rsidR="00F6183C">
        <w:rPr>
          <w:rFonts w:ascii="Times New Roman" w:hAnsi="Times New Roman" w:cs="Times New Roman"/>
          <w:sz w:val="24"/>
          <w:szCs w:val="24"/>
        </w:rPr>
        <w:t xml:space="preserve"> of control</w:t>
      </w:r>
      <w:r w:rsidR="008942EF" w:rsidRPr="008942EF">
        <w:rPr>
          <w:rFonts w:ascii="Times New Roman" w:hAnsi="Times New Roman" w:cs="Times New Roman"/>
          <w:sz w:val="24"/>
          <w:szCs w:val="24"/>
        </w:rPr>
        <w:t xml:space="preserve"> is through</w:t>
      </w:r>
      <w:r w:rsidR="00E1462E">
        <w:rPr>
          <w:rFonts w:ascii="Times New Roman" w:hAnsi="Times New Roman" w:cs="Times New Roman"/>
          <w:sz w:val="24"/>
          <w:szCs w:val="24"/>
        </w:rPr>
        <w:t xml:space="preserve"> Criminal Behaviour Orders</w:t>
      </w:r>
      <w:r w:rsidR="00DF3B38">
        <w:rPr>
          <w:rStyle w:val="FootnoteReference"/>
          <w:rFonts w:ascii="Times New Roman" w:hAnsi="Times New Roman" w:cs="Times New Roman"/>
          <w:sz w:val="24"/>
          <w:szCs w:val="24"/>
        </w:rPr>
        <w:footnoteReference w:id="67"/>
      </w:r>
      <w:r w:rsidR="008942EF" w:rsidRPr="008942EF">
        <w:rPr>
          <w:rFonts w:ascii="Times New Roman" w:hAnsi="Times New Roman" w:cs="Times New Roman"/>
          <w:sz w:val="24"/>
          <w:szCs w:val="24"/>
        </w:rPr>
        <w:t xml:space="preserve"> </w:t>
      </w:r>
      <w:r w:rsidR="00E1462E">
        <w:rPr>
          <w:rFonts w:ascii="Times New Roman" w:hAnsi="Times New Roman" w:cs="Times New Roman"/>
          <w:sz w:val="24"/>
          <w:szCs w:val="24"/>
        </w:rPr>
        <w:t xml:space="preserve">and, previously, </w:t>
      </w:r>
      <w:r w:rsidR="008942EF" w:rsidRPr="008942EF">
        <w:rPr>
          <w:rFonts w:ascii="Times New Roman" w:hAnsi="Times New Roman" w:cs="Times New Roman"/>
          <w:sz w:val="24"/>
          <w:szCs w:val="24"/>
        </w:rPr>
        <w:t>Anti-Social Behaviour Orders</w:t>
      </w:r>
      <w:r w:rsidR="00DF3B38">
        <w:rPr>
          <w:rFonts w:ascii="Times New Roman" w:hAnsi="Times New Roman" w:cs="Times New Roman"/>
          <w:sz w:val="24"/>
          <w:szCs w:val="24"/>
        </w:rPr>
        <w:t>.</w:t>
      </w:r>
      <w:r w:rsidR="00DF3B38">
        <w:rPr>
          <w:rStyle w:val="FootnoteReference"/>
          <w:rFonts w:ascii="Times New Roman" w:hAnsi="Times New Roman" w:cs="Times New Roman"/>
          <w:sz w:val="24"/>
          <w:szCs w:val="24"/>
        </w:rPr>
        <w:footnoteReference w:id="68"/>
      </w:r>
      <w:r w:rsidR="008942EF" w:rsidRPr="008942EF">
        <w:rPr>
          <w:rFonts w:ascii="Times New Roman" w:hAnsi="Times New Roman" w:cs="Times New Roman"/>
          <w:sz w:val="24"/>
          <w:szCs w:val="24"/>
        </w:rPr>
        <w:t xml:space="preserve"> </w:t>
      </w:r>
      <w:r w:rsidR="00AB1C30">
        <w:rPr>
          <w:rFonts w:ascii="Times New Roman" w:hAnsi="Times New Roman" w:cs="Times New Roman"/>
          <w:sz w:val="24"/>
          <w:szCs w:val="24"/>
        </w:rPr>
        <w:t>These</w:t>
      </w:r>
      <w:r w:rsidR="008942EF" w:rsidRPr="008942EF">
        <w:rPr>
          <w:rFonts w:ascii="Times New Roman" w:hAnsi="Times New Roman" w:cs="Times New Roman"/>
          <w:sz w:val="24"/>
          <w:szCs w:val="24"/>
        </w:rPr>
        <w:t xml:space="preserve"> have been used against ‘persistent offenders’ to exclude </w:t>
      </w:r>
      <w:r w:rsidR="008942EF" w:rsidRPr="008942EF">
        <w:rPr>
          <w:rFonts w:ascii="Times New Roman" w:hAnsi="Times New Roman" w:cs="Times New Roman"/>
          <w:sz w:val="24"/>
          <w:szCs w:val="24"/>
        </w:rPr>
        <w:lastRenderedPageBreak/>
        <w:t>them from designated areas where they work.</w:t>
      </w:r>
      <w:r w:rsidR="00DF3B38">
        <w:rPr>
          <w:rStyle w:val="FootnoteReference"/>
          <w:rFonts w:ascii="Times New Roman" w:hAnsi="Times New Roman" w:cs="Times New Roman"/>
          <w:sz w:val="24"/>
          <w:szCs w:val="24"/>
        </w:rPr>
        <w:footnoteReference w:id="69"/>
      </w:r>
      <w:r w:rsidR="008942EF" w:rsidRPr="008942EF">
        <w:rPr>
          <w:rFonts w:ascii="Times New Roman" w:hAnsi="Times New Roman" w:cs="Times New Roman"/>
          <w:sz w:val="24"/>
          <w:szCs w:val="24"/>
        </w:rPr>
        <w:t xml:space="preserve"> </w:t>
      </w:r>
      <w:r w:rsidR="00AB1C30">
        <w:rPr>
          <w:rFonts w:ascii="Times New Roman" w:hAnsi="Times New Roman" w:cs="Times New Roman"/>
          <w:sz w:val="24"/>
          <w:szCs w:val="24"/>
        </w:rPr>
        <w:t>As</w:t>
      </w:r>
      <w:r w:rsidR="008942EF" w:rsidRPr="008942EF">
        <w:rPr>
          <w:rFonts w:ascii="Times New Roman" w:hAnsi="Times New Roman" w:cs="Times New Roman"/>
          <w:sz w:val="24"/>
          <w:szCs w:val="24"/>
        </w:rPr>
        <w:t xml:space="preserve"> sex workers </w:t>
      </w:r>
      <w:r w:rsidR="00AB1C30">
        <w:rPr>
          <w:rFonts w:ascii="Times New Roman" w:hAnsi="Times New Roman" w:cs="Times New Roman"/>
          <w:sz w:val="24"/>
          <w:szCs w:val="24"/>
        </w:rPr>
        <w:t xml:space="preserve">often </w:t>
      </w:r>
      <w:r w:rsidR="008942EF" w:rsidRPr="008942EF">
        <w:rPr>
          <w:rFonts w:ascii="Times New Roman" w:hAnsi="Times New Roman" w:cs="Times New Roman"/>
          <w:sz w:val="24"/>
          <w:szCs w:val="24"/>
        </w:rPr>
        <w:t xml:space="preserve">live in the same areas as they work, ASBOs </w:t>
      </w:r>
      <w:r w:rsidR="00E1462E">
        <w:rPr>
          <w:rFonts w:ascii="Times New Roman" w:hAnsi="Times New Roman" w:cs="Times New Roman"/>
          <w:sz w:val="24"/>
          <w:szCs w:val="24"/>
        </w:rPr>
        <w:t xml:space="preserve">and CBOs </w:t>
      </w:r>
      <w:r w:rsidR="008942EF" w:rsidRPr="008942EF">
        <w:rPr>
          <w:rFonts w:ascii="Times New Roman" w:hAnsi="Times New Roman" w:cs="Times New Roman"/>
          <w:sz w:val="24"/>
          <w:szCs w:val="24"/>
        </w:rPr>
        <w:t>have the effect of banning them from public space in their own neighbourhoods</w:t>
      </w:r>
      <w:r w:rsidR="00DF3B38">
        <w:rPr>
          <w:rFonts w:ascii="Times New Roman" w:hAnsi="Times New Roman" w:cs="Times New Roman"/>
          <w:sz w:val="24"/>
          <w:szCs w:val="24"/>
        </w:rPr>
        <w:t>.</w:t>
      </w:r>
      <w:r w:rsidR="00DF3B38" w:rsidRPr="008942EF">
        <w:rPr>
          <w:rFonts w:ascii="Times New Roman" w:hAnsi="Times New Roman" w:cs="Times New Roman"/>
          <w:sz w:val="24"/>
          <w:szCs w:val="24"/>
        </w:rPr>
        <w:t xml:space="preserve"> </w:t>
      </w:r>
      <w:r w:rsidR="008942EF" w:rsidRPr="008942EF">
        <w:rPr>
          <w:rFonts w:ascii="Times New Roman" w:hAnsi="Times New Roman" w:cs="Times New Roman"/>
          <w:sz w:val="24"/>
          <w:szCs w:val="24"/>
        </w:rPr>
        <w:t xml:space="preserve">This is </w:t>
      </w:r>
      <w:r w:rsidR="00AB1C30">
        <w:rPr>
          <w:rFonts w:ascii="Times New Roman" w:hAnsi="Times New Roman" w:cs="Times New Roman"/>
          <w:sz w:val="24"/>
          <w:szCs w:val="24"/>
        </w:rPr>
        <w:t>worsen</w:t>
      </w:r>
      <w:r w:rsidR="008942EF" w:rsidRPr="008942EF">
        <w:rPr>
          <w:rFonts w:ascii="Times New Roman" w:hAnsi="Times New Roman" w:cs="Times New Roman"/>
          <w:sz w:val="24"/>
          <w:szCs w:val="24"/>
        </w:rPr>
        <w:t xml:space="preserve">ed by the decision in </w:t>
      </w:r>
      <w:r w:rsidR="008942EF" w:rsidRPr="008942EF">
        <w:rPr>
          <w:rFonts w:ascii="Times New Roman" w:hAnsi="Times New Roman" w:cs="Times New Roman"/>
          <w:i/>
          <w:sz w:val="24"/>
          <w:szCs w:val="24"/>
        </w:rPr>
        <w:t>Chief Constable of Manchester v Potter</w:t>
      </w:r>
      <w:r w:rsidR="0089206E">
        <w:rPr>
          <w:rFonts w:ascii="Times New Roman" w:hAnsi="Times New Roman" w:cs="Times New Roman"/>
          <w:sz w:val="24"/>
          <w:szCs w:val="24"/>
        </w:rPr>
        <w:t>,</w:t>
      </w:r>
      <w:r w:rsidR="008942EF" w:rsidRPr="008942EF">
        <w:rPr>
          <w:rFonts w:ascii="Times New Roman" w:hAnsi="Times New Roman" w:cs="Times New Roman"/>
          <w:sz w:val="24"/>
          <w:szCs w:val="24"/>
        </w:rPr>
        <w:t xml:space="preserve"> where</w:t>
      </w:r>
      <w:r w:rsidR="00D44288">
        <w:rPr>
          <w:rFonts w:ascii="Times New Roman" w:hAnsi="Times New Roman" w:cs="Times New Roman"/>
          <w:sz w:val="24"/>
          <w:szCs w:val="24"/>
        </w:rPr>
        <w:t xml:space="preserve"> the court </w:t>
      </w:r>
      <w:r w:rsidR="00720BFC">
        <w:rPr>
          <w:rFonts w:ascii="Times New Roman" w:hAnsi="Times New Roman" w:cs="Times New Roman"/>
          <w:sz w:val="24"/>
          <w:szCs w:val="24"/>
        </w:rPr>
        <w:t xml:space="preserve">held </w:t>
      </w:r>
      <w:r w:rsidR="00D44288">
        <w:rPr>
          <w:rFonts w:ascii="Times New Roman" w:hAnsi="Times New Roman" w:cs="Times New Roman"/>
          <w:sz w:val="24"/>
          <w:szCs w:val="24"/>
        </w:rPr>
        <w:t>that the appellant ‘</w:t>
      </w:r>
      <w:r w:rsidR="00D44288" w:rsidRPr="00D44288">
        <w:rPr>
          <w:rFonts w:ascii="Times New Roman" w:hAnsi="Times New Roman" w:cs="Times New Roman"/>
          <w:sz w:val="24"/>
          <w:szCs w:val="24"/>
        </w:rPr>
        <w:t xml:space="preserve">by her mere </w:t>
      </w:r>
      <w:r w:rsidR="00D44288">
        <w:rPr>
          <w:rFonts w:ascii="Times New Roman" w:hAnsi="Times New Roman" w:cs="Times New Roman"/>
          <w:sz w:val="24"/>
          <w:szCs w:val="24"/>
        </w:rPr>
        <w:t>presence there for that purpose,</w:t>
      </w:r>
      <w:r w:rsidR="00D44288" w:rsidRPr="00D44288">
        <w:rPr>
          <w:rFonts w:ascii="Times New Roman" w:hAnsi="Times New Roman" w:cs="Times New Roman"/>
          <w:sz w:val="24"/>
          <w:szCs w:val="24"/>
        </w:rPr>
        <w:t xml:space="preserve"> caused, in the sense of contributed, to the problem, albeit that there were other contributors and her contribution was relatively small</w:t>
      </w:r>
      <w:r w:rsidR="00D44288">
        <w:rPr>
          <w:rFonts w:ascii="Times New Roman" w:hAnsi="Times New Roman" w:cs="Times New Roman"/>
          <w:sz w:val="24"/>
          <w:szCs w:val="24"/>
        </w:rPr>
        <w:t>’</w:t>
      </w:r>
      <w:r w:rsidR="00DF3B38">
        <w:rPr>
          <w:rFonts w:ascii="Times New Roman" w:hAnsi="Times New Roman" w:cs="Times New Roman"/>
          <w:sz w:val="24"/>
          <w:szCs w:val="24"/>
        </w:rPr>
        <w:t>.</w:t>
      </w:r>
      <w:r w:rsidR="00DF3B38">
        <w:rPr>
          <w:rStyle w:val="FootnoteReference"/>
          <w:rFonts w:ascii="Times New Roman" w:hAnsi="Times New Roman" w:cs="Times New Roman"/>
          <w:sz w:val="24"/>
          <w:szCs w:val="24"/>
        </w:rPr>
        <w:footnoteReference w:id="70"/>
      </w:r>
      <w:r w:rsidR="00D44288">
        <w:rPr>
          <w:rFonts w:ascii="Times New Roman" w:hAnsi="Times New Roman" w:cs="Times New Roman"/>
          <w:sz w:val="24"/>
          <w:szCs w:val="24"/>
        </w:rPr>
        <w:t xml:space="preserve"> </w:t>
      </w:r>
      <w:r w:rsidR="0035087F">
        <w:rPr>
          <w:rFonts w:ascii="Times New Roman" w:hAnsi="Times New Roman" w:cs="Times New Roman"/>
          <w:sz w:val="24"/>
          <w:szCs w:val="24"/>
        </w:rPr>
        <w:t>That is, o</w:t>
      </w:r>
      <w:r w:rsidR="00AB1C30">
        <w:rPr>
          <w:rFonts w:ascii="Times New Roman" w:hAnsi="Times New Roman" w:cs="Times New Roman"/>
          <w:sz w:val="24"/>
          <w:szCs w:val="24"/>
        </w:rPr>
        <w:t xml:space="preserve">ther </w:t>
      </w:r>
      <w:r w:rsidR="008942EF" w:rsidRPr="008942EF">
        <w:rPr>
          <w:rFonts w:ascii="Times New Roman" w:hAnsi="Times New Roman" w:cs="Times New Roman"/>
          <w:sz w:val="24"/>
          <w:szCs w:val="24"/>
        </w:rPr>
        <w:t xml:space="preserve">sex workers’ activity could be used in conjunction with the individual’s behaviour to support the provision of an ASBO, meaning that the sex worker need not create harassment, alarm or distress but only be in the area of sex work to be at risk of an order. </w:t>
      </w:r>
    </w:p>
    <w:p w:rsidR="00FA67EF" w:rsidRDefault="00FA67EF" w:rsidP="008942EF">
      <w:pPr>
        <w:spacing w:after="0" w:line="480" w:lineRule="auto"/>
        <w:jc w:val="both"/>
        <w:rPr>
          <w:rFonts w:ascii="Times New Roman" w:hAnsi="Times New Roman" w:cs="Times New Roman"/>
          <w:sz w:val="24"/>
          <w:szCs w:val="24"/>
        </w:rPr>
      </w:pPr>
    </w:p>
    <w:p w:rsidR="00FA67EF" w:rsidRDefault="008942EF" w:rsidP="008942EF">
      <w:pPr>
        <w:spacing w:after="0" w:line="480" w:lineRule="auto"/>
        <w:jc w:val="both"/>
        <w:rPr>
          <w:rFonts w:ascii="Times New Roman" w:hAnsi="Times New Roman" w:cs="Times New Roman"/>
          <w:sz w:val="24"/>
          <w:szCs w:val="24"/>
        </w:rPr>
      </w:pPr>
      <w:r w:rsidRPr="008942EF">
        <w:rPr>
          <w:rFonts w:ascii="Times New Roman" w:hAnsi="Times New Roman" w:cs="Times New Roman"/>
          <w:sz w:val="24"/>
          <w:szCs w:val="24"/>
        </w:rPr>
        <w:t xml:space="preserve">Although </w:t>
      </w:r>
      <w:r w:rsidR="00E1462E">
        <w:rPr>
          <w:rFonts w:ascii="Times New Roman" w:hAnsi="Times New Roman" w:cs="Times New Roman"/>
          <w:sz w:val="24"/>
          <w:szCs w:val="24"/>
        </w:rPr>
        <w:t>these</w:t>
      </w:r>
      <w:r w:rsidRPr="008942EF">
        <w:rPr>
          <w:rFonts w:ascii="Times New Roman" w:hAnsi="Times New Roman" w:cs="Times New Roman"/>
          <w:sz w:val="24"/>
          <w:szCs w:val="24"/>
        </w:rPr>
        <w:t xml:space="preserve"> are civil orders, breaching </w:t>
      </w:r>
      <w:r w:rsidR="0089206E">
        <w:rPr>
          <w:rFonts w:ascii="Times New Roman" w:hAnsi="Times New Roman" w:cs="Times New Roman"/>
          <w:sz w:val="24"/>
          <w:szCs w:val="24"/>
        </w:rPr>
        <w:t>one</w:t>
      </w:r>
      <w:r w:rsidRPr="008942EF">
        <w:rPr>
          <w:rFonts w:ascii="Times New Roman" w:hAnsi="Times New Roman" w:cs="Times New Roman"/>
          <w:sz w:val="24"/>
          <w:szCs w:val="24"/>
        </w:rPr>
        <w:t xml:space="preserve"> can result in a criminal sanction of up to five years imprisonment,</w:t>
      </w:r>
      <w:r w:rsidR="00DF3B38">
        <w:rPr>
          <w:rStyle w:val="FootnoteReference"/>
          <w:rFonts w:ascii="Times New Roman" w:hAnsi="Times New Roman" w:cs="Times New Roman"/>
          <w:sz w:val="24"/>
          <w:szCs w:val="24"/>
        </w:rPr>
        <w:footnoteReference w:id="71"/>
      </w:r>
      <w:r w:rsidRPr="008942EF">
        <w:rPr>
          <w:rFonts w:ascii="Times New Roman" w:hAnsi="Times New Roman" w:cs="Times New Roman"/>
          <w:sz w:val="24"/>
          <w:szCs w:val="24"/>
        </w:rPr>
        <w:t xml:space="preserve"> and sex workers have received custodial sentences for doing so.</w:t>
      </w:r>
      <w:r w:rsidR="00DF3B38">
        <w:rPr>
          <w:rStyle w:val="FootnoteReference"/>
          <w:rFonts w:ascii="Times New Roman" w:hAnsi="Times New Roman" w:cs="Times New Roman"/>
          <w:sz w:val="24"/>
          <w:szCs w:val="24"/>
        </w:rPr>
        <w:footnoteReference w:id="72"/>
      </w:r>
      <w:r w:rsidRPr="008942EF">
        <w:rPr>
          <w:rFonts w:ascii="Times New Roman" w:hAnsi="Times New Roman" w:cs="Times New Roman"/>
          <w:sz w:val="24"/>
          <w:szCs w:val="24"/>
        </w:rPr>
        <w:t xml:space="preserve"> Therefore, while the use of civil orders might suggest a decentring of criminal justice responses, </w:t>
      </w:r>
      <w:r w:rsidR="0089206E">
        <w:rPr>
          <w:rFonts w:ascii="Times New Roman" w:hAnsi="Times New Roman" w:cs="Times New Roman"/>
          <w:sz w:val="24"/>
          <w:szCs w:val="24"/>
        </w:rPr>
        <w:t>it is instead</w:t>
      </w:r>
      <w:r w:rsidRPr="008942EF">
        <w:rPr>
          <w:rFonts w:ascii="Times New Roman" w:hAnsi="Times New Roman" w:cs="Times New Roman"/>
          <w:sz w:val="24"/>
          <w:szCs w:val="24"/>
        </w:rPr>
        <w:t xml:space="preserve"> a more insidious way of using criminal justice, without the safeguards of due process usually afforded before the imposition of criminal sanctions</w:t>
      </w:r>
      <w:r w:rsidR="00AB1C30">
        <w:rPr>
          <w:rFonts w:ascii="Times New Roman" w:hAnsi="Times New Roman" w:cs="Times New Roman"/>
          <w:sz w:val="24"/>
          <w:szCs w:val="24"/>
        </w:rPr>
        <w:t xml:space="preserve">. </w:t>
      </w:r>
      <w:r w:rsidRPr="008942EF">
        <w:rPr>
          <w:rFonts w:ascii="Times New Roman" w:hAnsi="Times New Roman" w:cs="Times New Roman"/>
          <w:sz w:val="24"/>
          <w:szCs w:val="24"/>
        </w:rPr>
        <w:t xml:space="preserve">In fact, research suggests that police in some areas have demonstrated a preference for using </w:t>
      </w:r>
      <w:r w:rsidR="00E1462E">
        <w:rPr>
          <w:rFonts w:ascii="Times New Roman" w:hAnsi="Times New Roman" w:cs="Times New Roman"/>
          <w:sz w:val="24"/>
          <w:szCs w:val="24"/>
        </w:rPr>
        <w:t>civil orders</w:t>
      </w:r>
      <w:r w:rsidRPr="008942EF">
        <w:rPr>
          <w:rFonts w:ascii="Times New Roman" w:hAnsi="Times New Roman" w:cs="Times New Roman"/>
          <w:sz w:val="24"/>
          <w:szCs w:val="24"/>
        </w:rPr>
        <w:t xml:space="preserve"> because the standard</w:t>
      </w:r>
      <w:r w:rsidR="0035087F">
        <w:rPr>
          <w:rFonts w:ascii="Times New Roman" w:hAnsi="Times New Roman" w:cs="Times New Roman"/>
          <w:sz w:val="24"/>
          <w:szCs w:val="24"/>
        </w:rPr>
        <w:t xml:space="preserve"> of proof needed to give one</w:t>
      </w:r>
      <w:r w:rsidRPr="008942EF">
        <w:rPr>
          <w:rFonts w:ascii="Times New Roman" w:hAnsi="Times New Roman" w:cs="Times New Roman"/>
          <w:sz w:val="24"/>
          <w:szCs w:val="24"/>
        </w:rPr>
        <w:t xml:space="preserve"> is lower than the criminal trial,</w:t>
      </w:r>
      <w:r w:rsidR="00DF3B38">
        <w:rPr>
          <w:rStyle w:val="FootnoteReference"/>
          <w:rFonts w:ascii="Times New Roman" w:hAnsi="Times New Roman" w:cs="Times New Roman"/>
          <w:sz w:val="24"/>
          <w:szCs w:val="24"/>
        </w:rPr>
        <w:footnoteReference w:id="73"/>
      </w:r>
      <w:r w:rsidR="0089206E" w:rsidRPr="008942EF">
        <w:rPr>
          <w:rFonts w:ascii="Times New Roman" w:hAnsi="Times New Roman" w:cs="Times New Roman"/>
          <w:sz w:val="24"/>
          <w:szCs w:val="24"/>
        </w:rPr>
        <w:t xml:space="preserve"> </w:t>
      </w:r>
      <w:r w:rsidRPr="008942EF">
        <w:rPr>
          <w:rFonts w:ascii="Times New Roman" w:hAnsi="Times New Roman" w:cs="Times New Roman"/>
          <w:sz w:val="24"/>
          <w:szCs w:val="24"/>
        </w:rPr>
        <w:t>meaning that they are seen as more efficient than a fine in removing sex workers from certain areas</w:t>
      </w:r>
      <w:r w:rsidR="00E1462E">
        <w:rPr>
          <w:rFonts w:ascii="Times New Roman" w:hAnsi="Times New Roman" w:cs="Times New Roman"/>
          <w:sz w:val="24"/>
          <w:szCs w:val="24"/>
        </w:rPr>
        <w:t>.</w:t>
      </w:r>
      <w:r w:rsidR="00DF3B38">
        <w:rPr>
          <w:rStyle w:val="FootnoteReference"/>
          <w:rFonts w:ascii="Times New Roman" w:hAnsi="Times New Roman" w:cs="Times New Roman"/>
          <w:sz w:val="24"/>
          <w:szCs w:val="24"/>
        </w:rPr>
        <w:footnoteReference w:id="74"/>
      </w:r>
      <w:r w:rsidR="00E1462E">
        <w:rPr>
          <w:rFonts w:ascii="Times New Roman" w:hAnsi="Times New Roman" w:cs="Times New Roman"/>
          <w:sz w:val="24"/>
          <w:szCs w:val="24"/>
        </w:rPr>
        <w:t xml:space="preserve"> Their use </w:t>
      </w:r>
      <w:r w:rsidRPr="008942EF">
        <w:rPr>
          <w:rFonts w:ascii="Times New Roman" w:hAnsi="Times New Roman" w:cs="Times New Roman"/>
          <w:sz w:val="24"/>
          <w:szCs w:val="24"/>
        </w:rPr>
        <w:t>where the sex worker is doing no more than entering public space demonstrates that these are not being used as a proportionate response to fear of crime or other anti-social behaviour, but as a method of controlling sex work</w:t>
      </w:r>
      <w:r w:rsidR="00254A0B">
        <w:rPr>
          <w:rFonts w:ascii="Times New Roman" w:hAnsi="Times New Roman" w:cs="Times New Roman"/>
          <w:sz w:val="24"/>
          <w:szCs w:val="24"/>
        </w:rPr>
        <w:t>/ers</w:t>
      </w:r>
      <w:r w:rsidRPr="008942EF">
        <w:rPr>
          <w:rFonts w:ascii="Times New Roman" w:hAnsi="Times New Roman" w:cs="Times New Roman"/>
          <w:sz w:val="24"/>
          <w:szCs w:val="24"/>
        </w:rPr>
        <w:t xml:space="preserve"> out of particular areas. </w:t>
      </w:r>
    </w:p>
    <w:p w:rsidR="00FA67EF" w:rsidRDefault="00FA67EF" w:rsidP="008942EF">
      <w:pPr>
        <w:spacing w:after="0" w:line="480" w:lineRule="auto"/>
        <w:jc w:val="both"/>
        <w:rPr>
          <w:rFonts w:ascii="Times New Roman" w:hAnsi="Times New Roman" w:cs="Times New Roman"/>
          <w:sz w:val="24"/>
          <w:szCs w:val="24"/>
        </w:rPr>
      </w:pPr>
    </w:p>
    <w:p w:rsidR="00293FF5" w:rsidRPr="00EF0E16" w:rsidRDefault="00EF0E16" w:rsidP="00293FF5">
      <w:pPr>
        <w:spacing w:after="0" w:line="480" w:lineRule="auto"/>
        <w:jc w:val="both"/>
        <w:rPr>
          <w:rFonts w:ascii="Times New Roman" w:hAnsi="Times New Roman" w:cs="Times New Roman"/>
          <w:sz w:val="24"/>
          <w:szCs w:val="24"/>
        </w:rPr>
      </w:pPr>
      <w:r w:rsidRPr="00EF0E16">
        <w:rPr>
          <w:rFonts w:ascii="Times New Roman" w:hAnsi="Times New Roman" w:cs="Times New Roman"/>
          <w:sz w:val="24"/>
          <w:szCs w:val="24"/>
        </w:rPr>
        <w:t>The Policing</w:t>
      </w:r>
      <w:r w:rsidR="007A2640">
        <w:rPr>
          <w:rFonts w:ascii="Times New Roman" w:hAnsi="Times New Roman" w:cs="Times New Roman"/>
          <w:sz w:val="24"/>
          <w:szCs w:val="24"/>
        </w:rPr>
        <w:t xml:space="preserve"> and Crime Act 2009 also creates</w:t>
      </w:r>
      <w:r w:rsidRPr="00EF0E16">
        <w:rPr>
          <w:rFonts w:ascii="Times New Roman" w:hAnsi="Times New Roman" w:cs="Times New Roman"/>
          <w:sz w:val="24"/>
          <w:szCs w:val="24"/>
        </w:rPr>
        <w:t xml:space="preserve"> Engagement and</w:t>
      </w:r>
      <w:r w:rsidR="00293FF5">
        <w:rPr>
          <w:rFonts w:ascii="Times New Roman" w:hAnsi="Times New Roman" w:cs="Times New Roman"/>
          <w:sz w:val="24"/>
          <w:szCs w:val="24"/>
        </w:rPr>
        <w:t xml:space="preserve"> Support Orders (ESO) for sex workers</w:t>
      </w:r>
      <w:r w:rsidRPr="00EF0E16">
        <w:rPr>
          <w:rFonts w:ascii="Times New Roman" w:hAnsi="Times New Roman" w:cs="Times New Roman"/>
          <w:sz w:val="24"/>
          <w:szCs w:val="24"/>
        </w:rPr>
        <w:t xml:space="preserve"> as an alternative disposal for sex workers </w:t>
      </w:r>
      <w:r w:rsidR="00D44288">
        <w:rPr>
          <w:rFonts w:ascii="Times New Roman" w:hAnsi="Times New Roman" w:cs="Times New Roman"/>
          <w:sz w:val="24"/>
          <w:szCs w:val="24"/>
        </w:rPr>
        <w:t>convicted for</w:t>
      </w:r>
      <w:r w:rsidRPr="00EF0E16">
        <w:rPr>
          <w:rFonts w:ascii="Times New Roman" w:hAnsi="Times New Roman" w:cs="Times New Roman"/>
          <w:sz w:val="24"/>
          <w:szCs w:val="24"/>
        </w:rPr>
        <w:t xml:space="preserve"> soliciting</w:t>
      </w:r>
      <w:r w:rsidR="00D44288">
        <w:rPr>
          <w:rFonts w:ascii="Times New Roman" w:hAnsi="Times New Roman" w:cs="Times New Roman"/>
          <w:sz w:val="24"/>
          <w:szCs w:val="24"/>
        </w:rPr>
        <w:t xml:space="preserve"> and loitering</w:t>
      </w:r>
      <w:r w:rsidRPr="00EF0E16">
        <w:rPr>
          <w:rFonts w:ascii="Times New Roman" w:hAnsi="Times New Roman" w:cs="Times New Roman"/>
          <w:sz w:val="24"/>
          <w:szCs w:val="24"/>
        </w:rPr>
        <w:t>.</w:t>
      </w:r>
      <w:r w:rsidR="00DF3B38">
        <w:rPr>
          <w:rStyle w:val="FootnoteReference"/>
          <w:rFonts w:ascii="Times New Roman" w:hAnsi="Times New Roman" w:cs="Times New Roman"/>
          <w:sz w:val="24"/>
          <w:szCs w:val="24"/>
        </w:rPr>
        <w:footnoteReference w:id="75"/>
      </w:r>
      <w:r>
        <w:rPr>
          <w:rFonts w:ascii="Times New Roman" w:hAnsi="Times New Roman" w:cs="Times New Roman"/>
          <w:sz w:val="24"/>
          <w:szCs w:val="24"/>
        </w:rPr>
        <w:t xml:space="preserve"> These orders, given instead of a </w:t>
      </w:r>
      <w:r w:rsidR="00D44288">
        <w:rPr>
          <w:rFonts w:ascii="Times New Roman" w:hAnsi="Times New Roman" w:cs="Times New Roman"/>
          <w:sz w:val="24"/>
          <w:szCs w:val="24"/>
        </w:rPr>
        <w:t>fine</w:t>
      </w:r>
      <w:r>
        <w:rPr>
          <w:rFonts w:ascii="Times New Roman" w:hAnsi="Times New Roman" w:cs="Times New Roman"/>
          <w:sz w:val="24"/>
          <w:szCs w:val="24"/>
        </w:rPr>
        <w:t>, require the sex worker to attend three meetings with a designated supervisor to ‘help them address the underlying causes of their engagement in prostitution’ and ‘find ways to cease engaging in such conduct in the future’.</w:t>
      </w:r>
      <w:r w:rsidR="00DF3B38">
        <w:rPr>
          <w:rStyle w:val="FootnoteReference"/>
          <w:rFonts w:ascii="Times New Roman" w:hAnsi="Times New Roman" w:cs="Times New Roman"/>
          <w:sz w:val="24"/>
          <w:szCs w:val="24"/>
        </w:rPr>
        <w:footnoteReference w:id="76"/>
      </w:r>
      <w:r>
        <w:rPr>
          <w:rFonts w:ascii="Times New Roman" w:hAnsi="Times New Roman" w:cs="Times New Roman"/>
          <w:sz w:val="24"/>
          <w:szCs w:val="24"/>
        </w:rPr>
        <w:t xml:space="preserve"> </w:t>
      </w:r>
      <w:r w:rsidR="004D3215">
        <w:rPr>
          <w:rFonts w:ascii="Times New Roman" w:hAnsi="Times New Roman" w:cs="Times New Roman"/>
          <w:sz w:val="24"/>
          <w:szCs w:val="24"/>
        </w:rPr>
        <w:t xml:space="preserve">Sanders argues that these orders are a form of </w:t>
      </w:r>
      <w:r w:rsidR="00293FF5">
        <w:rPr>
          <w:rFonts w:ascii="Times New Roman" w:hAnsi="Times New Roman" w:cs="Times New Roman"/>
          <w:sz w:val="24"/>
          <w:szCs w:val="24"/>
        </w:rPr>
        <w:t>‘f</w:t>
      </w:r>
      <w:r w:rsidR="004D3215" w:rsidRPr="004D3215">
        <w:rPr>
          <w:rFonts w:ascii="Times New Roman" w:hAnsi="Times New Roman" w:cs="Times New Roman"/>
          <w:sz w:val="24"/>
          <w:szCs w:val="24"/>
        </w:rPr>
        <w:t xml:space="preserve">orced welfarism’ – </w:t>
      </w:r>
      <w:r w:rsidR="004D3215">
        <w:rPr>
          <w:rFonts w:ascii="Times New Roman" w:hAnsi="Times New Roman" w:cs="Times New Roman"/>
          <w:sz w:val="24"/>
          <w:szCs w:val="24"/>
        </w:rPr>
        <w:t xml:space="preserve">that is, a </w:t>
      </w:r>
      <w:r w:rsidR="004D3215" w:rsidRPr="004D3215">
        <w:rPr>
          <w:rFonts w:ascii="Times New Roman" w:hAnsi="Times New Roman" w:cs="Times New Roman"/>
          <w:sz w:val="24"/>
          <w:szCs w:val="24"/>
        </w:rPr>
        <w:t>criminal sanction that orders women to make changes to their lives for their own good and to be rehabilitated back into the community.</w:t>
      </w:r>
      <w:r w:rsidR="00DF3B38">
        <w:rPr>
          <w:rStyle w:val="FootnoteReference"/>
          <w:rFonts w:ascii="Times New Roman" w:hAnsi="Times New Roman" w:cs="Times New Roman"/>
          <w:sz w:val="24"/>
          <w:szCs w:val="24"/>
        </w:rPr>
        <w:footnoteReference w:id="77"/>
      </w:r>
      <w:r w:rsidR="004D3215">
        <w:rPr>
          <w:rFonts w:ascii="Times New Roman" w:hAnsi="Times New Roman" w:cs="Times New Roman"/>
          <w:sz w:val="24"/>
          <w:szCs w:val="24"/>
        </w:rPr>
        <w:t xml:space="preserve"> This is based on the idea that sex work is the result of individual failings,</w:t>
      </w:r>
      <w:r w:rsidR="00293FF5">
        <w:rPr>
          <w:rFonts w:ascii="Times New Roman" w:hAnsi="Times New Roman" w:cs="Times New Roman"/>
          <w:sz w:val="24"/>
          <w:szCs w:val="24"/>
        </w:rPr>
        <w:t xml:space="preserve"> and so, </w:t>
      </w:r>
      <w:r w:rsidR="00AB1C30">
        <w:rPr>
          <w:rFonts w:ascii="Times New Roman" w:hAnsi="Times New Roman" w:cs="Times New Roman"/>
          <w:sz w:val="24"/>
          <w:szCs w:val="24"/>
        </w:rPr>
        <w:t>allow the state to appear</w:t>
      </w:r>
      <w:r w:rsidR="00293FF5">
        <w:rPr>
          <w:rFonts w:ascii="Times New Roman" w:hAnsi="Times New Roman" w:cs="Times New Roman"/>
          <w:sz w:val="24"/>
          <w:szCs w:val="24"/>
        </w:rPr>
        <w:t xml:space="preserve"> to be doing something to ‘help’ sex workers out of sex work, while not addressing the underlying structural and social reasons that sex workers choose to sell sex.</w:t>
      </w:r>
      <w:r w:rsidR="00DF3B38">
        <w:rPr>
          <w:rStyle w:val="FootnoteReference"/>
          <w:rFonts w:ascii="Times New Roman" w:hAnsi="Times New Roman" w:cs="Times New Roman"/>
          <w:sz w:val="24"/>
          <w:szCs w:val="24"/>
        </w:rPr>
        <w:footnoteReference w:id="78"/>
      </w:r>
      <w:r w:rsidR="00293FF5">
        <w:rPr>
          <w:rFonts w:ascii="Times New Roman" w:hAnsi="Times New Roman" w:cs="Times New Roman"/>
          <w:sz w:val="24"/>
          <w:szCs w:val="24"/>
        </w:rPr>
        <w:t xml:space="preserve"> As Maggie O’Neill and Jane Scoular</w:t>
      </w:r>
      <w:r w:rsidR="00254A0B">
        <w:rPr>
          <w:rFonts w:ascii="Times New Roman" w:hAnsi="Times New Roman" w:cs="Times New Roman"/>
          <w:sz w:val="24"/>
          <w:szCs w:val="24"/>
        </w:rPr>
        <w:t xml:space="preserve"> </w:t>
      </w:r>
      <w:r w:rsidR="00293FF5">
        <w:rPr>
          <w:rFonts w:ascii="Times New Roman" w:hAnsi="Times New Roman" w:cs="Times New Roman"/>
          <w:sz w:val="24"/>
          <w:szCs w:val="24"/>
        </w:rPr>
        <w:t>put it, ‘t</w:t>
      </w:r>
      <w:r w:rsidR="00293FF5" w:rsidRPr="00EF0E16">
        <w:rPr>
          <w:rFonts w:ascii="Times New Roman" w:hAnsi="Times New Roman" w:cs="Times New Roman"/>
          <w:sz w:val="24"/>
          <w:szCs w:val="24"/>
        </w:rPr>
        <w:t>he realities of violence and vulnerability are not the focus of policy but instead removing uncivil individuals from the streets and communities is the priority’.</w:t>
      </w:r>
      <w:r w:rsidR="00DF3B38">
        <w:rPr>
          <w:rStyle w:val="FootnoteReference"/>
          <w:rFonts w:ascii="Times New Roman" w:hAnsi="Times New Roman" w:cs="Times New Roman"/>
          <w:sz w:val="24"/>
          <w:szCs w:val="24"/>
        </w:rPr>
        <w:footnoteReference w:id="79"/>
      </w:r>
    </w:p>
    <w:p w:rsidR="004D3215" w:rsidRDefault="004D3215" w:rsidP="00EF0E16">
      <w:pPr>
        <w:spacing w:after="0" w:line="480" w:lineRule="auto"/>
        <w:jc w:val="both"/>
        <w:rPr>
          <w:rFonts w:ascii="Times New Roman" w:hAnsi="Times New Roman" w:cs="Times New Roman"/>
          <w:sz w:val="24"/>
          <w:szCs w:val="24"/>
        </w:rPr>
      </w:pPr>
    </w:p>
    <w:p w:rsidR="00C46C8B" w:rsidRDefault="00EF0E16" w:rsidP="00EF0E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Home Office </w:t>
      </w:r>
      <w:r w:rsidR="00840F03">
        <w:rPr>
          <w:rFonts w:ascii="Times New Roman" w:hAnsi="Times New Roman" w:cs="Times New Roman"/>
          <w:sz w:val="24"/>
          <w:szCs w:val="24"/>
        </w:rPr>
        <w:t xml:space="preserve">(2010: 39) </w:t>
      </w:r>
      <w:r>
        <w:rPr>
          <w:rFonts w:ascii="Times New Roman" w:hAnsi="Times New Roman" w:cs="Times New Roman"/>
          <w:sz w:val="24"/>
          <w:szCs w:val="24"/>
        </w:rPr>
        <w:t>recognises that ‘exit’ is unlikely to happen after three meetings and so repeat orders may be made.</w:t>
      </w:r>
      <w:r w:rsidR="00293FF5">
        <w:rPr>
          <w:rFonts w:ascii="Times New Roman" w:hAnsi="Times New Roman" w:cs="Times New Roman"/>
          <w:sz w:val="24"/>
          <w:szCs w:val="24"/>
        </w:rPr>
        <w:t xml:space="preserve"> In Anna Carline and Jane Scoular’s study of the use of ESOs, it was noted by one police officer respondent that if someone does not engage with the first order, they are unlikely to engage with a second, and yet, it is becoming practice in many </w:t>
      </w:r>
      <w:r w:rsidR="00C46C8B">
        <w:rPr>
          <w:rFonts w:ascii="Times New Roman" w:hAnsi="Times New Roman" w:cs="Times New Roman"/>
          <w:sz w:val="24"/>
          <w:szCs w:val="24"/>
        </w:rPr>
        <w:t xml:space="preserve">police </w:t>
      </w:r>
      <w:r w:rsidR="00293FF5">
        <w:rPr>
          <w:rFonts w:ascii="Times New Roman" w:hAnsi="Times New Roman" w:cs="Times New Roman"/>
          <w:sz w:val="24"/>
          <w:szCs w:val="24"/>
        </w:rPr>
        <w:t xml:space="preserve">forces to give two </w:t>
      </w:r>
      <w:r w:rsidR="00E1090E">
        <w:rPr>
          <w:rFonts w:ascii="Times New Roman" w:hAnsi="Times New Roman" w:cs="Times New Roman"/>
          <w:sz w:val="24"/>
          <w:szCs w:val="24"/>
        </w:rPr>
        <w:t>ESOs, and</w:t>
      </w:r>
      <w:r w:rsidR="00720BFC">
        <w:rPr>
          <w:rFonts w:ascii="Times New Roman" w:hAnsi="Times New Roman" w:cs="Times New Roman"/>
          <w:sz w:val="24"/>
          <w:szCs w:val="24"/>
        </w:rPr>
        <w:t>,</w:t>
      </w:r>
      <w:r w:rsidR="00E1090E">
        <w:rPr>
          <w:rFonts w:ascii="Times New Roman" w:hAnsi="Times New Roman" w:cs="Times New Roman"/>
          <w:sz w:val="24"/>
          <w:szCs w:val="24"/>
        </w:rPr>
        <w:t xml:space="preserve"> if they are not followed, to give an ASBO</w:t>
      </w:r>
      <w:r w:rsidR="00E1462E">
        <w:rPr>
          <w:rFonts w:ascii="Times New Roman" w:hAnsi="Times New Roman" w:cs="Times New Roman"/>
          <w:sz w:val="24"/>
          <w:szCs w:val="24"/>
        </w:rPr>
        <w:t xml:space="preserve"> (or now a </w:t>
      </w:r>
      <w:r w:rsidR="00E1462E">
        <w:rPr>
          <w:rFonts w:ascii="Times New Roman" w:hAnsi="Times New Roman" w:cs="Times New Roman"/>
          <w:sz w:val="24"/>
          <w:szCs w:val="24"/>
        </w:rPr>
        <w:lastRenderedPageBreak/>
        <w:t>CBO)</w:t>
      </w:r>
      <w:r w:rsidR="00E1090E">
        <w:rPr>
          <w:rFonts w:ascii="Times New Roman" w:hAnsi="Times New Roman" w:cs="Times New Roman"/>
          <w:sz w:val="24"/>
          <w:szCs w:val="24"/>
        </w:rPr>
        <w:t>.</w:t>
      </w:r>
      <w:r w:rsidR="00492F90">
        <w:rPr>
          <w:rStyle w:val="FootnoteReference"/>
          <w:rFonts w:ascii="Times New Roman" w:hAnsi="Times New Roman" w:cs="Times New Roman"/>
          <w:sz w:val="24"/>
          <w:szCs w:val="24"/>
        </w:rPr>
        <w:footnoteReference w:id="80"/>
      </w:r>
      <w:r w:rsidR="00E1090E">
        <w:rPr>
          <w:rFonts w:ascii="Times New Roman" w:hAnsi="Times New Roman" w:cs="Times New Roman"/>
          <w:sz w:val="24"/>
          <w:szCs w:val="24"/>
        </w:rPr>
        <w:t xml:space="preserve"> Breach of an order leads to either another order or a fine.</w:t>
      </w:r>
      <w:r w:rsidR="00492F90">
        <w:rPr>
          <w:rStyle w:val="FootnoteReference"/>
          <w:rFonts w:ascii="Times New Roman" w:hAnsi="Times New Roman" w:cs="Times New Roman"/>
          <w:sz w:val="24"/>
          <w:szCs w:val="24"/>
        </w:rPr>
        <w:footnoteReference w:id="81"/>
      </w:r>
      <w:r w:rsidR="00E1090E">
        <w:rPr>
          <w:rFonts w:ascii="Times New Roman" w:hAnsi="Times New Roman" w:cs="Times New Roman"/>
          <w:sz w:val="24"/>
          <w:szCs w:val="24"/>
        </w:rPr>
        <w:t xml:space="preserve"> The use of fines and ASBOs</w:t>
      </w:r>
      <w:r w:rsidR="00E1462E">
        <w:rPr>
          <w:rFonts w:ascii="Times New Roman" w:hAnsi="Times New Roman" w:cs="Times New Roman"/>
          <w:sz w:val="24"/>
          <w:szCs w:val="24"/>
        </w:rPr>
        <w:t>/CBOs</w:t>
      </w:r>
      <w:r w:rsidR="00E1090E">
        <w:rPr>
          <w:rFonts w:ascii="Times New Roman" w:hAnsi="Times New Roman" w:cs="Times New Roman"/>
          <w:sz w:val="24"/>
          <w:szCs w:val="24"/>
        </w:rPr>
        <w:t xml:space="preserve"> as punishments for not ‘being helped’ reflects ‘the conditionality of welfare’, where ‘support is only offered with deterrence, containment and discipline’</w:t>
      </w:r>
      <w:r w:rsidR="00492F90">
        <w:rPr>
          <w:rStyle w:val="FootnoteReference"/>
          <w:rFonts w:ascii="Times New Roman" w:hAnsi="Times New Roman" w:cs="Times New Roman"/>
          <w:sz w:val="24"/>
          <w:szCs w:val="24"/>
        </w:rPr>
        <w:footnoteReference w:id="82"/>
      </w:r>
      <w:r w:rsidR="006E1F68">
        <w:rPr>
          <w:rFonts w:ascii="Times New Roman" w:hAnsi="Times New Roman" w:cs="Times New Roman"/>
          <w:sz w:val="24"/>
          <w:szCs w:val="24"/>
        </w:rPr>
        <w:t xml:space="preserve"> Moreover, </w:t>
      </w:r>
      <w:r w:rsidR="00840F03">
        <w:rPr>
          <w:rFonts w:ascii="Times New Roman" w:hAnsi="Times New Roman" w:cs="Times New Roman"/>
          <w:sz w:val="24"/>
          <w:szCs w:val="24"/>
        </w:rPr>
        <w:t xml:space="preserve">under the Policing and Crime Act, Schedule 1, 2(1), </w:t>
      </w:r>
      <w:r w:rsidR="006E1F68">
        <w:rPr>
          <w:rFonts w:ascii="Times New Roman" w:hAnsi="Times New Roman" w:cs="Times New Roman"/>
          <w:sz w:val="24"/>
          <w:szCs w:val="24"/>
        </w:rPr>
        <w:t xml:space="preserve">the </w:t>
      </w:r>
      <w:r w:rsidR="00720BFC">
        <w:rPr>
          <w:rFonts w:ascii="Times New Roman" w:hAnsi="Times New Roman" w:cs="Times New Roman"/>
          <w:sz w:val="24"/>
          <w:szCs w:val="24"/>
        </w:rPr>
        <w:t xml:space="preserve">order’s </w:t>
      </w:r>
      <w:r w:rsidR="006E1F68">
        <w:rPr>
          <w:rFonts w:ascii="Times New Roman" w:hAnsi="Times New Roman" w:cs="Times New Roman"/>
          <w:sz w:val="24"/>
          <w:szCs w:val="24"/>
        </w:rPr>
        <w:t>‘supervisor’ is under a duty to inform the court if the sex worker fails to comply with an order. Often the ‘supervisor’</w:t>
      </w:r>
      <w:r w:rsidR="007A2640">
        <w:rPr>
          <w:rFonts w:ascii="Times New Roman" w:hAnsi="Times New Roman" w:cs="Times New Roman"/>
          <w:sz w:val="24"/>
          <w:szCs w:val="24"/>
        </w:rPr>
        <w:t xml:space="preserve"> is someone who works with a sex work outreach project already, meaning that by o</w:t>
      </w:r>
      <w:r w:rsidR="00D44288">
        <w:rPr>
          <w:rFonts w:ascii="Times New Roman" w:hAnsi="Times New Roman" w:cs="Times New Roman"/>
          <w:sz w:val="24"/>
          <w:szCs w:val="24"/>
        </w:rPr>
        <w:t>bliging them to report a breach</w:t>
      </w:r>
      <w:r w:rsidR="007A2640">
        <w:rPr>
          <w:rFonts w:ascii="Times New Roman" w:hAnsi="Times New Roman" w:cs="Times New Roman"/>
          <w:sz w:val="24"/>
          <w:szCs w:val="24"/>
        </w:rPr>
        <w:t xml:space="preserve"> they are forced into becoming agents of the state.</w:t>
      </w:r>
      <w:r w:rsidR="00492F90">
        <w:rPr>
          <w:rStyle w:val="FootnoteReference"/>
          <w:rFonts w:ascii="Times New Roman" w:hAnsi="Times New Roman" w:cs="Times New Roman"/>
          <w:sz w:val="24"/>
          <w:szCs w:val="24"/>
        </w:rPr>
        <w:footnoteReference w:id="83"/>
      </w:r>
      <w:r w:rsidR="00D44288">
        <w:rPr>
          <w:rFonts w:ascii="Times New Roman" w:hAnsi="Times New Roman" w:cs="Times New Roman"/>
          <w:sz w:val="24"/>
          <w:szCs w:val="24"/>
        </w:rPr>
        <w:t xml:space="preserve"> </w:t>
      </w:r>
      <w:r w:rsidR="00C46C8B">
        <w:rPr>
          <w:rFonts w:ascii="Times New Roman" w:hAnsi="Times New Roman" w:cs="Times New Roman"/>
          <w:sz w:val="24"/>
          <w:szCs w:val="24"/>
        </w:rPr>
        <w:t>Many supervisors who are also support workers are concerned about informing about a breach as this then affects their ‘street cred’</w:t>
      </w:r>
      <w:r w:rsidR="00D44288">
        <w:rPr>
          <w:rFonts w:ascii="Times New Roman" w:hAnsi="Times New Roman" w:cs="Times New Roman"/>
          <w:sz w:val="24"/>
          <w:szCs w:val="24"/>
        </w:rPr>
        <w:t>,</w:t>
      </w:r>
      <w:r w:rsidR="00C46C8B">
        <w:rPr>
          <w:rFonts w:ascii="Times New Roman" w:hAnsi="Times New Roman" w:cs="Times New Roman"/>
          <w:sz w:val="24"/>
          <w:szCs w:val="24"/>
        </w:rPr>
        <w:t xml:space="preserve"> the trust placed in them by sex workers,</w:t>
      </w:r>
      <w:r w:rsidR="00492F90">
        <w:rPr>
          <w:rStyle w:val="FootnoteReference"/>
          <w:rFonts w:ascii="Times New Roman" w:hAnsi="Times New Roman" w:cs="Times New Roman"/>
          <w:sz w:val="24"/>
          <w:szCs w:val="24"/>
        </w:rPr>
        <w:footnoteReference w:id="84"/>
      </w:r>
      <w:r w:rsidR="00C46C8B">
        <w:rPr>
          <w:rFonts w:ascii="Times New Roman" w:hAnsi="Times New Roman" w:cs="Times New Roman"/>
          <w:sz w:val="24"/>
          <w:szCs w:val="24"/>
        </w:rPr>
        <w:t xml:space="preserve"> making it more difficult for the projects to support sex workers in a long-term capacity. As such, by making engagement with these agencies and projects mandatory, the ESOs may in fact be reducing the effectiveness of engagement.</w:t>
      </w:r>
    </w:p>
    <w:p w:rsidR="00C46C8B" w:rsidRPr="00EF0E16" w:rsidRDefault="00C46C8B" w:rsidP="00EF0E16">
      <w:pPr>
        <w:spacing w:after="0" w:line="480" w:lineRule="auto"/>
        <w:jc w:val="both"/>
        <w:rPr>
          <w:rFonts w:ascii="Times New Roman" w:hAnsi="Times New Roman" w:cs="Times New Roman"/>
          <w:sz w:val="24"/>
          <w:szCs w:val="24"/>
        </w:rPr>
      </w:pPr>
    </w:p>
    <w:p w:rsidR="00BC5FBA" w:rsidRDefault="00C46C8B" w:rsidP="008942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use of projects in</w:t>
      </w:r>
      <w:r w:rsidR="00117C7D">
        <w:rPr>
          <w:rFonts w:ascii="Times New Roman" w:hAnsi="Times New Roman" w:cs="Times New Roman"/>
          <w:sz w:val="24"/>
          <w:szCs w:val="24"/>
        </w:rPr>
        <w:t xml:space="preserve"> supervising</w:t>
      </w:r>
      <w:r>
        <w:rPr>
          <w:rFonts w:ascii="Times New Roman" w:hAnsi="Times New Roman" w:cs="Times New Roman"/>
          <w:sz w:val="24"/>
          <w:szCs w:val="24"/>
        </w:rPr>
        <w:t xml:space="preserve"> ESOs is an example of what Simon calls ‘multiple centers of power’</w:t>
      </w:r>
      <w:r w:rsidR="000C55F6">
        <w:rPr>
          <w:rFonts w:ascii="Times New Roman" w:hAnsi="Times New Roman" w:cs="Times New Roman"/>
          <w:sz w:val="24"/>
          <w:szCs w:val="24"/>
        </w:rPr>
        <w:t xml:space="preserve">, </w:t>
      </w:r>
      <w:r>
        <w:rPr>
          <w:rFonts w:ascii="Times New Roman" w:hAnsi="Times New Roman" w:cs="Times New Roman"/>
          <w:sz w:val="24"/>
          <w:szCs w:val="24"/>
        </w:rPr>
        <w:t>whereby rather than simply growing the state’s role in criminal justice, governing through crime requires an increase of governance by those in ‘positions of “responsibility” for others’, casting multiple agents as actors in the system of governing.</w:t>
      </w:r>
      <w:r w:rsidR="000925B7">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w:t>
      </w:r>
      <w:r w:rsidR="008942EF" w:rsidRPr="008942EF">
        <w:rPr>
          <w:rFonts w:ascii="Times New Roman" w:hAnsi="Times New Roman" w:cs="Times New Roman"/>
          <w:sz w:val="24"/>
          <w:szCs w:val="24"/>
        </w:rPr>
        <w:t>These part</w:t>
      </w:r>
      <w:r w:rsidR="00BC5FBA">
        <w:rPr>
          <w:rFonts w:ascii="Times New Roman" w:hAnsi="Times New Roman" w:cs="Times New Roman"/>
          <w:sz w:val="24"/>
          <w:szCs w:val="24"/>
        </w:rPr>
        <w:t>nerships ‘devolve power’</w:t>
      </w:r>
      <w:r w:rsidR="000925B7">
        <w:rPr>
          <w:rStyle w:val="FootnoteReference"/>
          <w:rFonts w:ascii="Times New Roman" w:hAnsi="Times New Roman" w:cs="Times New Roman"/>
          <w:sz w:val="24"/>
          <w:szCs w:val="24"/>
        </w:rPr>
        <w:footnoteReference w:id="86"/>
      </w:r>
      <w:r w:rsidR="000C55F6">
        <w:rPr>
          <w:rFonts w:ascii="Times New Roman" w:hAnsi="Times New Roman" w:cs="Times New Roman"/>
          <w:sz w:val="24"/>
          <w:szCs w:val="24"/>
        </w:rPr>
        <w:t xml:space="preserve"> </w:t>
      </w:r>
      <w:r w:rsidR="00BC5FBA">
        <w:rPr>
          <w:rFonts w:ascii="Times New Roman" w:hAnsi="Times New Roman" w:cs="Times New Roman"/>
          <w:sz w:val="24"/>
          <w:szCs w:val="24"/>
        </w:rPr>
        <w:t>and increase</w:t>
      </w:r>
      <w:r w:rsidR="00BC5FBA" w:rsidRPr="00BC5FBA">
        <w:rPr>
          <w:rFonts w:ascii="Times New Roman" w:hAnsi="Times New Roman" w:cs="Times New Roman"/>
          <w:sz w:val="24"/>
          <w:szCs w:val="24"/>
        </w:rPr>
        <w:t xml:space="preserve"> surveillance</w:t>
      </w:r>
      <w:r w:rsidR="00AB1C30">
        <w:rPr>
          <w:rFonts w:ascii="Times New Roman" w:hAnsi="Times New Roman" w:cs="Times New Roman"/>
          <w:sz w:val="24"/>
          <w:szCs w:val="24"/>
        </w:rPr>
        <w:t>,</w:t>
      </w:r>
      <w:r w:rsidR="000925B7">
        <w:rPr>
          <w:rStyle w:val="FootnoteReference"/>
          <w:rFonts w:ascii="Times New Roman" w:hAnsi="Times New Roman" w:cs="Times New Roman"/>
          <w:sz w:val="24"/>
          <w:szCs w:val="24"/>
        </w:rPr>
        <w:footnoteReference w:id="87"/>
      </w:r>
      <w:r w:rsidR="00BC5FBA" w:rsidRPr="00BC5FBA">
        <w:rPr>
          <w:rFonts w:ascii="Times New Roman" w:hAnsi="Times New Roman" w:cs="Times New Roman"/>
          <w:sz w:val="24"/>
          <w:szCs w:val="24"/>
        </w:rPr>
        <w:t xml:space="preserve"> </w:t>
      </w:r>
      <w:r w:rsidR="008942EF" w:rsidRPr="008942EF">
        <w:rPr>
          <w:rFonts w:ascii="Times New Roman" w:hAnsi="Times New Roman" w:cs="Times New Roman"/>
          <w:sz w:val="24"/>
          <w:szCs w:val="24"/>
        </w:rPr>
        <w:t xml:space="preserve">meaning that a greater range of agencies have </w:t>
      </w:r>
      <w:r w:rsidR="00E1462E">
        <w:rPr>
          <w:rFonts w:ascii="Times New Roman" w:hAnsi="Times New Roman" w:cs="Times New Roman"/>
          <w:sz w:val="24"/>
          <w:szCs w:val="24"/>
        </w:rPr>
        <w:t>a hand in criminal enforcement.</w:t>
      </w:r>
      <w:r w:rsidR="008942EF" w:rsidRPr="008942EF">
        <w:rPr>
          <w:rFonts w:ascii="Times New Roman" w:hAnsi="Times New Roman" w:cs="Times New Roman"/>
          <w:sz w:val="24"/>
          <w:szCs w:val="24"/>
        </w:rPr>
        <w:t xml:space="preserve"> The wider range of approaches beyond the traditional enforcement of criminal laws does not, therefore, suggest that street sex work is </w:t>
      </w:r>
      <w:r w:rsidR="00117C7D">
        <w:rPr>
          <w:rFonts w:ascii="Times New Roman" w:hAnsi="Times New Roman" w:cs="Times New Roman"/>
          <w:sz w:val="24"/>
          <w:szCs w:val="24"/>
        </w:rPr>
        <w:t xml:space="preserve">being </w:t>
      </w:r>
      <w:r w:rsidR="00117C7D">
        <w:rPr>
          <w:rFonts w:ascii="Times New Roman" w:hAnsi="Times New Roman" w:cs="Times New Roman"/>
          <w:sz w:val="24"/>
          <w:szCs w:val="24"/>
        </w:rPr>
        <w:lastRenderedPageBreak/>
        <w:t>governed by non-crime mechanisms</w:t>
      </w:r>
      <w:r w:rsidR="008942EF" w:rsidRPr="008942EF">
        <w:rPr>
          <w:rFonts w:ascii="Times New Roman" w:hAnsi="Times New Roman" w:cs="Times New Roman"/>
          <w:sz w:val="24"/>
          <w:szCs w:val="24"/>
        </w:rPr>
        <w:t>, but rather that criminal justice is being used in novel ways to remove sex workers from the street.</w:t>
      </w:r>
    </w:p>
    <w:p w:rsidR="00BC5FBA" w:rsidRDefault="00BC5FBA" w:rsidP="008942EF">
      <w:pPr>
        <w:spacing w:after="0" w:line="480" w:lineRule="auto"/>
        <w:jc w:val="both"/>
        <w:rPr>
          <w:rFonts w:ascii="Times New Roman" w:hAnsi="Times New Roman" w:cs="Times New Roman"/>
          <w:sz w:val="24"/>
          <w:szCs w:val="24"/>
        </w:rPr>
      </w:pPr>
    </w:p>
    <w:p w:rsidR="000E0C7A" w:rsidRDefault="00D25D2F" w:rsidP="008942EF">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The effects of governing through crime: creating the context for crime against sex w</w:t>
      </w:r>
      <w:r w:rsidR="000E0C7A">
        <w:rPr>
          <w:rFonts w:ascii="Times New Roman" w:hAnsi="Times New Roman" w:cs="Times New Roman"/>
          <w:i/>
          <w:sz w:val="24"/>
          <w:szCs w:val="24"/>
        </w:rPr>
        <w:t>orkers</w:t>
      </w:r>
    </w:p>
    <w:p w:rsidR="000E0C7A" w:rsidRDefault="000E0C7A" w:rsidP="008942EF">
      <w:pPr>
        <w:spacing w:after="0" w:line="480" w:lineRule="auto"/>
        <w:jc w:val="both"/>
        <w:rPr>
          <w:rFonts w:ascii="Times New Roman" w:hAnsi="Times New Roman" w:cs="Times New Roman"/>
          <w:i/>
          <w:sz w:val="24"/>
          <w:szCs w:val="24"/>
        </w:rPr>
      </w:pPr>
    </w:p>
    <w:p w:rsidR="008942EF" w:rsidRPr="008942EF" w:rsidRDefault="008942EF" w:rsidP="008942EF">
      <w:pPr>
        <w:spacing w:after="0" w:line="480" w:lineRule="auto"/>
        <w:jc w:val="both"/>
        <w:rPr>
          <w:rFonts w:ascii="Times New Roman" w:hAnsi="Times New Roman" w:cs="Times New Roman"/>
          <w:sz w:val="24"/>
          <w:szCs w:val="24"/>
        </w:rPr>
      </w:pPr>
      <w:r w:rsidRPr="008942EF">
        <w:rPr>
          <w:rFonts w:ascii="Times New Roman" w:hAnsi="Times New Roman" w:cs="Times New Roman"/>
          <w:sz w:val="24"/>
          <w:szCs w:val="24"/>
        </w:rPr>
        <w:t xml:space="preserve">So what is so problematic about the proliferation of criminal justice responses aimed at protecting </w:t>
      </w:r>
      <w:r w:rsidR="00924B71">
        <w:rPr>
          <w:rFonts w:ascii="Times New Roman" w:hAnsi="Times New Roman" w:cs="Times New Roman"/>
          <w:sz w:val="24"/>
          <w:szCs w:val="24"/>
        </w:rPr>
        <w:t xml:space="preserve">‘victim’ </w:t>
      </w:r>
      <w:r w:rsidRPr="008942EF">
        <w:rPr>
          <w:rFonts w:ascii="Times New Roman" w:hAnsi="Times New Roman" w:cs="Times New Roman"/>
          <w:sz w:val="24"/>
          <w:szCs w:val="24"/>
        </w:rPr>
        <w:t>communities from street sex work? First, zero tolerance responses rarely offer effective solutions to neighbourhoods and communities, but they do serve to heighten the vulnerability of sex workers. Crackdowns often simply provide reassurance to neighbourhoods that something is being done to deal with the perceived problem, while ‘sending out a message to new sex workers and clients that the area is off limits’.</w:t>
      </w:r>
      <w:r w:rsidR="000925B7">
        <w:rPr>
          <w:rStyle w:val="FootnoteReference"/>
          <w:rFonts w:ascii="Times New Roman" w:hAnsi="Times New Roman" w:cs="Times New Roman"/>
          <w:sz w:val="24"/>
          <w:szCs w:val="24"/>
        </w:rPr>
        <w:footnoteReference w:id="88"/>
      </w:r>
      <w:r w:rsidR="000C55F6" w:rsidRPr="008942EF">
        <w:rPr>
          <w:rFonts w:ascii="Times New Roman" w:hAnsi="Times New Roman" w:cs="Times New Roman"/>
          <w:sz w:val="24"/>
          <w:szCs w:val="24"/>
        </w:rPr>
        <w:t xml:space="preserve"> </w:t>
      </w:r>
      <w:r w:rsidRPr="008942EF">
        <w:rPr>
          <w:rFonts w:ascii="Times New Roman" w:hAnsi="Times New Roman" w:cs="Times New Roman"/>
          <w:sz w:val="24"/>
          <w:szCs w:val="24"/>
        </w:rPr>
        <w:t xml:space="preserve">Taking a zero tolerance approach to sex work alleviates fears that the authorities might be on the side of the sex workers as opposed to the residents. The alternative, Simon argues, ‘means siding against victims and law enforcement in a zero-sum game in which any gain for prisoners or criminals is experienced as a loss </w:t>
      </w:r>
      <w:r w:rsidR="000925B7">
        <w:rPr>
          <w:rFonts w:ascii="Times New Roman" w:hAnsi="Times New Roman" w:cs="Times New Roman"/>
          <w:sz w:val="24"/>
          <w:szCs w:val="24"/>
        </w:rPr>
        <w:t>for law enforcement and victims</w:t>
      </w:r>
      <w:r w:rsidRPr="008942EF">
        <w:rPr>
          <w:rFonts w:ascii="Times New Roman" w:hAnsi="Times New Roman" w:cs="Times New Roman"/>
          <w:sz w:val="24"/>
          <w:szCs w:val="24"/>
        </w:rPr>
        <w:t>’</w:t>
      </w:r>
      <w:r w:rsidR="000925B7">
        <w:rPr>
          <w:rFonts w:ascii="Times New Roman" w:hAnsi="Times New Roman" w:cs="Times New Roman"/>
          <w:sz w:val="24"/>
          <w:szCs w:val="24"/>
        </w:rPr>
        <w:t>.</w:t>
      </w:r>
      <w:r w:rsidR="000925B7">
        <w:rPr>
          <w:rStyle w:val="FootnoteReference"/>
          <w:rFonts w:ascii="Times New Roman" w:hAnsi="Times New Roman" w:cs="Times New Roman"/>
          <w:sz w:val="24"/>
          <w:szCs w:val="24"/>
        </w:rPr>
        <w:footnoteReference w:id="89"/>
      </w:r>
      <w:r w:rsidRPr="008942EF">
        <w:rPr>
          <w:rFonts w:ascii="Times New Roman" w:hAnsi="Times New Roman" w:cs="Times New Roman"/>
          <w:sz w:val="24"/>
          <w:szCs w:val="24"/>
        </w:rPr>
        <w:t xml:space="preserve"> Yet, crackdowns rarely last and are rarely successful. Many sex workers prefer to work on the streets due to the high levels of flexibility, with only some working regular hours</w:t>
      </w:r>
      <w:r w:rsidR="000C55F6">
        <w:rPr>
          <w:rFonts w:ascii="Times New Roman" w:hAnsi="Times New Roman" w:cs="Times New Roman"/>
          <w:sz w:val="24"/>
          <w:szCs w:val="24"/>
        </w:rPr>
        <w:t xml:space="preserve"> </w:t>
      </w:r>
      <w:r w:rsidRPr="008942EF">
        <w:rPr>
          <w:rFonts w:ascii="Times New Roman" w:hAnsi="Times New Roman" w:cs="Times New Roman"/>
          <w:sz w:val="24"/>
          <w:szCs w:val="24"/>
        </w:rPr>
        <w:t>and many more with little pattern to their work.</w:t>
      </w:r>
      <w:r w:rsidR="000925B7">
        <w:rPr>
          <w:rStyle w:val="FootnoteReference"/>
          <w:rFonts w:ascii="Times New Roman" w:hAnsi="Times New Roman" w:cs="Times New Roman"/>
          <w:sz w:val="24"/>
          <w:szCs w:val="24"/>
        </w:rPr>
        <w:footnoteReference w:id="90"/>
      </w:r>
      <w:r w:rsidRPr="008942EF">
        <w:rPr>
          <w:rFonts w:ascii="Times New Roman" w:hAnsi="Times New Roman" w:cs="Times New Roman"/>
          <w:sz w:val="24"/>
          <w:szCs w:val="24"/>
        </w:rPr>
        <w:t xml:space="preserve"> Others simply cannot access a private space for sex work, either beca</w:t>
      </w:r>
      <w:r w:rsidR="003D3505">
        <w:rPr>
          <w:rFonts w:ascii="Times New Roman" w:hAnsi="Times New Roman" w:cs="Times New Roman"/>
          <w:sz w:val="24"/>
          <w:szCs w:val="24"/>
        </w:rPr>
        <w:t xml:space="preserve">use of the cost of rent or fees, </w:t>
      </w:r>
      <w:r w:rsidRPr="008942EF">
        <w:rPr>
          <w:rFonts w:ascii="Times New Roman" w:hAnsi="Times New Roman" w:cs="Times New Roman"/>
          <w:sz w:val="24"/>
          <w:szCs w:val="24"/>
        </w:rPr>
        <w:t>or because of reluctance from indoor sex work establishments to employ people with substance dependencies</w:t>
      </w:r>
      <w:r w:rsidR="00AC13BC">
        <w:rPr>
          <w:rFonts w:ascii="Times New Roman" w:hAnsi="Times New Roman" w:cs="Times New Roman"/>
          <w:sz w:val="24"/>
          <w:szCs w:val="24"/>
        </w:rPr>
        <w:t>.</w:t>
      </w:r>
      <w:r w:rsidR="000925B7">
        <w:rPr>
          <w:rStyle w:val="FootnoteReference"/>
          <w:rFonts w:ascii="Times New Roman" w:hAnsi="Times New Roman" w:cs="Times New Roman"/>
          <w:sz w:val="24"/>
          <w:szCs w:val="24"/>
        </w:rPr>
        <w:footnoteReference w:id="91"/>
      </w:r>
      <w:r w:rsidRPr="008942EF">
        <w:rPr>
          <w:rFonts w:ascii="Times New Roman" w:hAnsi="Times New Roman" w:cs="Times New Roman"/>
          <w:sz w:val="24"/>
          <w:szCs w:val="24"/>
        </w:rPr>
        <w:t xml:space="preserve"> Therefore, when crackdowns occur, street sex workers do not leave the streets but are often simply displaced to other, more marginal, and less well surveyed areas. This happens both when the sex workers are the focus of the </w:t>
      </w:r>
      <w:r w:rsidRPr="008942EF">
        <w:rPr>
          <w:rFonts w:ascii="Times New Roman" w:hAnsi="Times New Roman" w:cs="Times New Roman"/>
          <w:sz w:val="24"/>
          <w:szCs w:val="24"/>
        </w:rPr>
        <w:lastRenderedPageBreak/>
        <w:t>crackdowns and also when their clients are</w:t>
      </w:r>
      <w:r w:rsidR="00720BFC">
        <w:rPr>
          <w:rFonts w:ascii="Times New Roman" w:hAnsi="Times New Roman" w:cs="Times New Roman"/>
          <w:sz w:val="24"/>
          <w:szCs w:val="24"/>
        </w:rPr>
        <w:t>, something perhaps overlooked by the latest Government inquiry</w:t>
      </w:r>
      <w:r w:rsidRPr="008942EF">
        <w:rPr>
          <w:rFonts w:ascii="Times New Roman" w:hAnsi="Times New Roman" w:cs="Times New Roman"/>
          <w:sz w:val="24"/>
          <w:szCs w:val="24"/>
        </w:rPr>
        <w:t xml:space="preserve">. </w:t>
      </w:r>
    </w:p>
    <w:p w:rsidR="008942EF" w:rsidRPr="008942EF" w:rsidRDefault="008942EF" w:rsidP="008942EF">
      <w:pPr>
        <w:spacing w:after="0" w:line="480" w:lineRule="auto"/>
        <w:jc w:val="both"/>
        <w:rPr>
          <w:rFonts w:ascii="Times New Roman" w:hAnsi="Times New Roman" w:cs="Times New Roman"/>
          <w:sz w:val="24"/>
          <w:szCs w:val="24"/>
        </w:rPr>
      </w:pPr>
    </w:p>
    <w:p w:rsidR="008942EF" w:rsidRPr="008942EF" w:rsidRDefault="008942EF" w:rsidP="008942EF">
      <w:pPr>
        <w:spacing w:after="0" w:line="480" w:lineRule="auto"/>
        <w:jc w:val="both"/>
        <w:rPr>
          <w:rFonts w:ascii="Times New Roman" w:hAnsi="Times New Roman" w:cs="Times New Roman"/>
          <w:sz w:val="24"/>
          <w:szCs w:val="24"/>
        </w:rPr>
      </w:pPr>
      <w:r w:rsidRPr="008942EF">
        <w:rPr>
          <w:rFonts w:ascii="Times New Roman" w:hAnsi="Times New Roman" w:cs="Times New Roman"/>
          <w:sz w:val="24"/>
          <w:szCs w:val="24"/>
        </w:rPr>
        <w:t>‘Cracking down’ leads both sex workers and their clients to act in a self-disciplining way</w:t>
      </w:r>
      <w:r w:rsidR="00AC13BC">
        <w:rPr>
          <w:rFonts w:ascii="Times New Roman" w:hAnsi="Times New Roman" w:cs="Times New Roman"/>
          <w:sz w:val="24"/>
          <w:szCs w:val="24"/>
        </w:rPr>
        <w:t>.</w:t>
      </w:r>
      <w:r w:rsidRPr="008942EF">
        <w:rPr>
          <w:rFonts w:ascii="Times New Roman" w:hAnsi="Times New Roman" w:cs="Times New Roman"/>
          <w:sz w:val="24"/>
          <w:szCs w:val="24"/>
        </w:rPr>
        <w:t xml:space="preserve"> Doing so relies on internal, ‘‘self-regulatory’ mechanisms of ordering the individual’,</w:t>
      </w:r>
      <w:r w:rsidR="00AC13BC">
        <w:rPr>
          <w:rStyle w:val="FootnoteReference"/>
          <w:rFonts w:ascii="Times New Roman" w:hAnsi="Times New Roman" w:cs="Times New Roman"/>
          <w:sz w:val="24"/>
          <w:szCs w:val="24"/>
        </w:rPr>
        <w:footnoteReference w:id="92"/>
      </w:r>
      <w:r w:rsidRPr="008942EF">
        <w:rPr>
          <w:rFonts w:ascii="Times New Roman" w:hAnsi="Times New Roman" w:cs="Times New Roman"/>
          <w:sz w:val="24"/>
          <w:szCs w:val="24"/>
        </w:rPr>
        <w:t xml:space="preserve"> whereby, in the knowledge that some areas are ‘out-of-bounds’, sex workers will move to avoid arrest or police surveillance. This is also true of clients – while </w:t>
      </w:r>
      <w:r w:rsidR="00AB1C30">
        <w:rPr>
          <w:rFonts w:ascii="Times New Roman" w:hAnsi="Times New Roman" w:cs="Times New Roman"/>
          <w:sz w:val="24"/>
          <w:szCs w:val="24"/>
        </w:rPr>
        <w:t xml:space="preserve">currently </w:t>
      </w:r>
      <w:r w:rsidRPr="008942EF">
        <w:rPr>
          <w:rFonts w:ascii="Times New Roman" w:hAnsi="Times New Roman" w:cs="Times New Roman"/>
          <w:sz w:val="24"/>
          <w:szCs w:val="24"/>
        </w:rPr>
        <w:t>less likely to face arrest than sex workers, even during periods of ‘crackdowns’,</w:t>
      </w:r>
      <w:r w:rsidR="00AC13BC">
        <w:rPr>
          <w:rStyle w:val="FootnoteReference"/>
          <w:rFonts w:ascii="Times New Roman" w:hAnsi="Times New Roman" w:cs="Times New Roman"/>
          <w:sz w:val="24"/>
          <w:szCs w:val="24"/>
        </w:rPr>
        <w:footnoteReference w:id="93"/>
      </w:r>
      <w:r w:rsidR="00D25C8B">
        <w:rPr>
          <w:rFonts w:ascii="Times New Roman" w:hAnsi="Times New Roman" w:cs="Times New Roman"/>
          <w:sz w:val="24"/>
          <w:szCs w:val="24"/>
        </w:rPr>
        <w:t xml:space="preserve"> </w:t>
      </w:r>
      <w:r w:rsidRPr="008942EF">
        <w:rPr>
          <w:rFonts w:ascii="Times New Roman" w:hAnsi="Times New Roman" w:cs="Times New Roman"/>
          <w:sz w:val="24"/>
          <w:szCs w:val="24"/>
        </w:rPr>
        <w:t>risk-averse clients will simply re-adjust their activities in terms of time and space.</w:t>
      </w:r>
      <w:r w:rsidR="00AC13BC">
        <w:rPr>
          <w:rStyle w:val="FootnoteReference"/>
          <w:rFonts w:ascii="Times New Roman" w:hAnsi="Times New Roman" w:cs="Times New Roman"/>
          <w:sz w:val="24"/>
          <w:szCs w:val="24"/>
        </w:rPr>
        <w:footnoteReference w:id="94"/>
      </w:r>
      <w:r w:rsidR="00D25C8B">
        <w:rPr>
          <w:rFonts w:ascii="Times New Roman" w:hAnsi="Times New Roman" w:cs="Times New Roman"/>
          <w:sz w:val="24"/>
          <w:szCs w:val="24"/>
        </w:rPr>
        <w:t xml:space="preserve"> E</w:t>
      </w:r>
      <w:r w:rsidRPr="008942EF">
        <w:rPr>
          <w:rFonts w:ascii="Times New Roman" w:hAnsi="Times New Roman" w:cs="Times New Roman"/>
          <w:sz w:val="24"/>
          <w:szCs w:val="24"/>
        </w:rPr>
        <w:t>vidence suggests</w:t>
      </w:r>
      <w:r w:rsidR="00D25C8B">
        <w:rPr>
          <w:rFonts w:ascii="Times New Roman" w:hAnsi="Times New Roman" w:cs="Times New Roman"/>
          <w:sz w:val="24"/>
          <w:szCs w:val="24"/>
        </w:rPr>
        <w:t>, however,</w:t>
      </w:r>
      <w:r w:rsidRPr="008942EF">
        <w:rPr>
          <w:rFonts w:ascii="Times New Roman" w:hAnsi="Times New Roman" w:cs="Times New Roman"/>
          <w:sz w:val="24"/>
          <w:szCs w:val="24"/>
        </w:rPr>
        <w:t xml:space="preserve"> that punitive policing and crackdowns on kerb crawling may cause the prostitution to disappear from the area targeted, but only to resurface in another area.</w:t>
      </w:r>
      <w:r w:rsidR="00AC13BC">
        <w:rPr>
          <w:rStyle w:val="FootnoteReference"/>
          <w:rFonts w:ascii="Times New Roman" w:hAnsi="Times New Roman" w:cs="Times New Roman"/>
          <w:sz w:val="24"/>
          <w:szCs w:val="24"/>
        </w:rPr>
        <w:footnoteReference w:id="95"/>
      </w:r>
      <w:r w:rsidRPr="008942EF">
        <w:rPr>
          <w:rFonts w:ascii="Times New Roman" w:hAnsi="Times New Roman" w:cs="Times New Roman"/>
          <w:sz w:val="24"/>
          <w:szCs w:val="24"/>
        </w:rPr>
        <w:t xml:space="preserve"> Sex workers will follow the clients and work in ‘different beats’</w:t>
      </w:r>
      <w:r w:rsidR="00AC13BC">
        <w:rPr>
          <w:rFonts w:ascii="Times New Roman" w:hAnsi="Times New Roman" w:cs="Times New Roman"/>
          <w:sz w:val="24"/>
          <w:szCs w:val="24"/>
        </w:rPr>
        <w:t>.</w:t>
      </w:r>
      <w:r w:rsidR="00AC13BC">
        <w:rPr>
          <w:rStyle w:val="FootnoteReference"/>
          <w:rFonts w:ascii="Times New Roman" w:hAnsi="Times New Roman" w:cs="Times New Roman"/>
          <w:sz w:val="24"/>
          <w:szCs w:val="24"/>
        </w:rPr>
        <w:footnoteReference w:id="96"/>
      </w:r>
      <w:r w:rsidR="00AC13BC">
        <w:rPr>
          <w:rFonts w:ascii="Times New Roman" w:hAnsi="Times New Roman" w:cs="Times New Roman"/>
          <w:sz w:val="24"/>
          <w:szCs w:val="24"/>
        </w:rPr>
        <w:t xml:space="preserve"> </w:t>
      </w:r>
      <w:r w:rsidRPr="008942EF">
        <w:rPr>
          <w:rFonts w:ascii="Times New Roman" w:hAnsi="Times New Roman" w:cs="Times New Roman"/>
          <w:sz w:val="24"/>
          <w:szCs w:val="24"/>
        </w:rPr>
        <w:t>This reflects what Simon</w:t>
      </w:r>
      <w:r w:rsidR="00D25C8B">
        <w:rPr>
          <w:rFonts w:ascii="Times New Roman" w:hAnsi="Times New Roman" w:cs="Times New Roman"/>
          <w:sz w:val="24"/>
          <w:szCs w:val="24"/>
        </w:rPr>
        <w:t xml:space="preserve"> </w:t>
      </w:r>
      <w:r w:rsidRPr="008942EF">
        <w:rPr>
          <w:rFonts w:ascii="Times New Roman" w:hAnsi="Times New Roman" w:cs="Times New Roman"/>
          <w:sz w:val="24"/>
          <w:szCs w:val="24"/>
        </w:rPr>
        <w:t>calls ‘technologies of exile’, whereby the fear of crime and criminal justice responses to it control residential settings shutting some people in and shutting other people out.</w:t>
      </w:r>
      <w:r w:rsidR="00AC13BC">
        <w:rPr>
          <w:rStyle w:val="FootnoteReference"/>
          <w:rFonts w:ascii="Times New Roman" w:hAnsi="Times New Roman" w:cs="Times New Roman"/>
          <w:sz w:val="24"/>
          <w:szCs w:val="24"/>
        </w:rPr>
        <w:footnoteReference w:id="97"/>
      </w:r>
      <w:r w:rsidRPr="008942EF">
        <w:rPr>
          <w:rFonts w:ascii="Times New Roman" w:hAnsi="Times New Roman" w:cs="Times New Roman"/>
          <w:sz w:val="24"/>
          <w:szCs w:val="24"/>
        </w:rPr>
        <w:t xml:space="preserve"> Residents are kept in sex work-free areas through fear of crime, and sex workers</w:t>
      </w:r>
      <w:r w:rsidR="003D3505">
        <w:rPr>
          <w:rFonts w:ascii="Times New Roman" w:hAnsi="Times New Roman" w:cs="Times New Roman"/>
          <w:sz w:val="24"/>
          <w:szCs w:val="24"/>
        </w:rPr>
        <w:t>,</w:t>
      </w:r>
      <w:r w:rsidRPr="008942EF">
        <w:rPr>
          <w:rFonts w:ascii="Times New Roman" w:hAnsi="Times New Roman" w:cs="Times New Roman"/>
          <w:sz w:val="24"/>
          <w:szCs w:val="24"/>
        </w:rPr>
        <w:t xml:space="preserve"> as the perceived creators of risk</w:t>
      </w:r>
      <w:r w:rsidR="003D3505">
        <w:rPr>
          <w:rFonts w:ascii="Times New Roman" w:hAnsi="Times New Roman" w:cs="Times New Roman"/>
          <w:sz w:val="24"/>
          <w:szCs w:val="24"/>
        </w:rPr>
        <w:t>,</w:t>
      </w:r>
      <w:r w:rsidRPr="008942EF">
        <w:rPr>
          <w:rFonts w:ascii="Times New Roman" w:hAnsi="Times New Roman" w:cs="Times New Roman"/>
          <w:sz w:val="24"/>
          <w:szCs w:val="24"/>
        </w:rPr>
        <w:t xml:space="preserve"> are shut out of their usual neighbourhoods through fear of arrest.</w:t>
      </w:r>
    </w:p>
    <w:p w:rsidR="008942EF" w:rsidRPr="008942EF" w:rsidRDefault="008942EF" w:rsidP="008942EF">
      <w:pPr>
        <w:spacing w:after="0" w:line="480" w:lineRule="auto"/>
        <w:jc w:val="both"/>
        <w:rPr>
          <w:rFonts w:ascii="Times New Roman" w:hAnsi="Times New Roman" w:cs="Times New Roman"/>
          <w:sz w:val="24"/>
          <w:szCs w:val="24"/>
        </w:rPr>
      </w:pPr>
    </w:p>
    <w:p w:rsidR="003D3505" w:rsidRDefault="00924B71" w:rsidP="008942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Displacement</w:t>
      </w:r>
      <w:r w:rsidR="008942EF" w:rsidRPr="008942EF">
        <w:rPr>
          <w:rFonts w:ascii="Times New Roman" w:hAnsi="Times New Roman" w:cs="Times New Roman"/>
          <w:sz w:val="24"/>
          <w:szCs w:val="24"/>
        </w:rPr>
        <w:t xml:space="preserve"> of </w:t>
      </w:r>
      <w:r w:rsidR="00AB1C30">
        <w:rPr>
          <w:rFonts w:ascii="Times New Roman" w:hAnsi="Times New Roman" w:cs="Times New Roman"/>
          <w:sz w:val="24"/>
          <w:szCs w:val="24"/>
        </w:rPr>
        <w:t>sex work</w:t>
      </w:r>
      <w:r w:rsidR="008942EF" w:rsidRPr="008942EF">
        <w:rPr>
          <w:rFonts w:ascii="Times New Roman" w:hAnsi="Times New Roman" w:cs="Times New Roman"/>
          <w:sz w:val="24"/>
          <w:szCs w:val="24"/>
        </w:rPr>
        <w:t xml:space="preserve"> into more marginal areas disrupts contact between sex workers and their regular clients, who they know are safe, and increases the likelihood of encountering </w:t>
      </w:r>
      <w:r w:rsidR="008942EF" w:rsidRPr="008942EF">
        <w:rPr>
          <w:rFonts w:ascii="Times New Roman" w:hAnsi="Times New Roman" w:cs="Times New Roman"/>
          <w:sz w:val="24"/>
          <w:szCs w:val="24"/>
        </w:rPr>
        <w:lastRenderedPageBreak/>
        <w:t>dangerous clients</w:t>
      </w:r>
      <w:r w:rsidR="00AC13BC">
        <w:rPr>
          <w:rFonts w:ascii="Times New Roman" w:hAnsi="Times New Roman" w:cs="Times New Roman"/>
          <w:sz w:val="24"/>
          <w:szCs w:val="24"/>
        </w:rPr>
        <w:t>.</w:t>
      </w:r>
      <w:r w:rsidR="00AC13BC">
        <w:rPr>
          <w:rStyle w:val="FootnoteReference"/>
          <w:rFonts w:ascii="Times New Roman" w:hAnsi="Times New Roman" w:cs="Times New Roman"/>
          <w:sz w:val="24"/>
          <w:szCs w:val="24"/>
        </w:rPr>
        <w:footnoteReference w:id="98"/>
      </w:r>
      <w:r w:rsidR="00AC13BC" w:rsidRPr="008942EF">
        <w:rPr>
          <w:rFonts w:ascii="Times New Roman" w:hAnsi="Times New Roman" w:cs="Times New Roman"/>
          <w:sz w:val="24"/>
          <w:szCs w:val="24"/>
        </w:rPr>
        <w:t xml:space="preserve"> </w:t>
      </w:r>
      <w:r w:rsidR="00AC13BC">
        <w:rPr>
          <w:rFonts w:ascii="Times New Roman" w:hAnsi="Times New Roman" w:cs="Times New Roman"/>
          <w:sz w:val="24"/>
          <w:szCs w:val="24"/>
        </w:rPr>
        <w:t xml:space="preserve"> </w:t>
      </w:r>
      <w:r w:rsidR="008942EF" w:rsidRPr="008942EF">
        <w:rPr>
          <w:rFonts w:ascii="Times New Roman" w:hAnsi="Times New Roman" w:cs="Times New Roman"/>
          <w:sz w:val="24"/>
          <w:szCs w:val="24"/>
        </w:rPr>
        <w:t>The safeguards used by sex workers to lessen risks of violence, abuse, and harassment are also threatened by overly punitive responses to sex work. For instance, the process of screening clients, which allows the sex worker to use their intuition and past experience to assess whether a client is likely to be violent or refuse to pay,</w:t>
      </w:r>
      <w:r w:rsidR="00AC13BC">
        <w:rPr>
          <w:rStyle w:val="FootnoteReference"/>
          <w:rFonts w:ascii="Times New Roman" w:hAnsi="Times New Roman" w:cs="Times New Roman"/>
          <w:sz w:val="24"/>
          <w:szCs w:val="24"/>
        </w:rPr>
        <w:footnoteReference w:id="99"/>
      </w:r>
      <w:r w:rsidR="008942EF" w:rsidRPr="008942EF">
        <w:rPr>
          <w:rFonts w:ascii="Times New Roman" w:hAnsi="Times New Roman" w:cs="Times New Roman"/>
          <w:sz w:val="24"/>
          <w:szCs w:val="24"/>
        </w:rPr>
        <w:t xml:space="preserve"> might be disrupted if the client or the sex worker is afraid of being arrested. Under circumstances where there is less time for the sex worker to screen potential customers, they are at greater risk of picking a ‘dodgy’ customer.</w:t>
      </w:r>
      <w:r w:rsidR="00AC13BC">
        <w:rPr>
          <w:rStyle w:val="FootnoteReference"/>
          <w:rFonts w:ascii="Times New Roman" w:hAnsi="Times New Roman" w:cs="Times New Roman"/>
          <w:sz w:val="24"/>
          <w:szCs w:val="24"/>
        </w:rPr>
        <w:footnoteReference w:id="100"/>
      </w:r>
      <w:r w:rsidR="008942EF" w:rsidRPr="008942EF">
        <w:rPr>
          <w:rFonts w:ascii="Times New Roman" w:hAnsi="Times New Roman" w:cs="Times New Roman"/>
          <w:sz w:val="24"/>
          <w:szCs w:val="24"/>
        </w:rPr>
        <w:t xml:space="preserve"> </w:t>
      </w:r>
    </w:p>
    <w:p w:rsidR="003D3505" w:rsidRDefault="003D3505" w:rsidP="008942EF">
      <w:pPr>
        <w:spacing w:after="0" w:line="480" w:lineRule="auto"/>
        <w:jc w:val="both"/>
        <w:rPr>
          <w:rFonts w:ascii="Times New Roman" w:hAnsi="Times New Roman" w:cs="Times New Roman"/>
          <w:sz w:val="24"/>
          <w:szCs w:val="24"/>
        </w:rPr>
      </w:pPr>
    </w:p>
    <w:p w:rsidR="008942EF" w:rsidRPr="008942EF" w:rsidRDefault="008942EF" w:rsidP="008942EF">
      <w:pPr>
        <w:spacing w:after="0" w:line="480" w:lineRule="auto"/>
        <w:jc w:val="both"/>
        <w:rPr>
          <w:rFonts w:ascii="Times New Roman" w:hAnsi="Times New Roman" w:cs="Times New Roman"/>
          <w:sz w:val="24"/>
          <w:szCs w:val="24"/>
        </w:rPr>
      </w:pPr>
      <w:r w:rsidRPr="008942EF">
        <w:rPr>
          <w:rFonts w:ascii="Times New Roman" w:hAnsi="Times New Roman" w:cs="Times New Roman"/>
          <w:sz w:val="24"/>
          <w:szCs w:val="24"/>
        </w:rPr>
        <w:t xml:space="preserve">Working in unfamiliar and less populated environments also breaks up peer networks which are used by </w:t>
      </w:r>
      <w:r w:rsidR="0096603A">
        <w:rPr>
          <w:rFonts w:ascii="Times New Roman" w:hAnsi="Times New Roman" w:cs="Times New Roman"/>
          <w:sz w:val="24"/>
          <w:szCs w:val="24"/>
        </w:rPr>
        <w:t>sex workers</w:t>
      </w:r>
      <w:r w:rsidRPr="008942EF">
        <w:rPr>
          <w:rFonts w:ascii="Times New Roman" w:hAnsi="Times New Roman" w:cs="Times New Roman"/>
          <w:sz w:val="24"/>
          <w:szCs w:val="24"/>
        </w:rPr>
        <w:t xml:space="preserve"> as safeguards, and breaks contact between sex workers and sex worker support services, </w:t>
      </w:r>
      <w:r w:rsidR="0096603A">
        <w:rPr>
          <w:rFonts w:ascii="Times New Roman" w:hAnsi="Times New Roman" w:cs="Times New Roman"/>
          <w:sz w:val="24"/>
          <w:szCs w:val="24"/>
        </w:rPr>
        <w:t>increasing</w:t>
      </w:r>
      <w:r w:rsidRPr="008942EF">
        <w:rPr>
          <w:rFonts w:ascii="Times New Roman" w:hAnsi="Times New Roman" w:cs="Times New Roman"/>
          <w:sz w:val="24"/>
          <w:szCs w:val="24"/>
        </w:rPr>
        <w:t xml:space="preserve"> health risks.</w:t>
      </w:r>
      <w:r w:rsidR="00AC13BC">
        <w:rPr>
          <w:rStyle w:val="FootnoteReference"/>
          <w:rFonts w:ascii="Times New Roman" w:hAnsi="Times New Roman" w:cs="Times New Roman"/>
          <w:sz w:val="24"/>
          <w:szCs w:val="24"/>
        </w:rPr>
        <w:footnoteReference w:id="101"/>
      </w:r>
      <w:r w:rsidRPr="008942EF">
        <w:rPr>
          <w:rFonts w:ascii="Times New Roman" w:hAnsi="Times New Roman" w:cs="Times New Roman"/>
          <w:sz w:val="24"/>
          <w:szCs w:val="24"/>
        </w:rPr>
        <w:t xml:space="preserve"> This disruption also means that sex workers might have to work for longer hours to make their money.</w:t>
      </w:r>
      <w:r w:rsidR="00AC13BC">
        <w:rPr>
          <w:rStyle w:val="FootnoteReference"/>
          <w:rFonts w:ascii="Times New Roman" w:hAnsi="Times New Roman" w:cs="Times New Roman"/>
          <w:sz w:val="24"/>
          <w:szCs w:val="24"/>
        </w:rPr>
        <w:footnoteReference w:id="102"/>
      </w:r>
      <w:r w:rsidRPr="008942EF">
        <w:rPr>
          <w:rFonts w:ascii="Times New Roman" w:hAnsi="Times New Roman" w:cs="Times New Roman"/>
          <w:sz w:val="24"/>
          <w:szCs w:val="24"/>
        </w:rPr>
        <w:t xml:space="preserve"> Apart from the potential </w:t>
      </w:r>
      <w:r w:rsidR="001E500E">
        <w:rPr>
          <w:rFonts w:ascii="Times New Roman" w:hAnsi="Times New Roman" w:cs="Times New Roman"/>
          <w:sz w:val="24"/>
          <w:szCs w:val="24"/>
        </w:rPr>
        <w:t>for economic exploitation by</w:t>
      </w:r>
      <w:r w:rsidRPr="008942EF">
        <w:rPr>
          <w:rFonts w:ascii="Times New Roman" w:hAnsi="Times New Roman" w:cs="Times New Roman"/>
          <w:sz w:val="24"/>
          <w:szCs w:val="24"/>
        </w:rPr>
        <w:t xml:space="preserve"> pimp</w:t>
      </w:r>
      <w:r w:rsidR="001E500E">
        <w:rPr>
          <w:rFonts w:ascii="Times New Roman" w:hAnsi="Times New Roman" w:cs="Times New Roman"/>
          <w:sz w:val="24"/>
          <w:szCs w:val="24"/>
        </w:rPr>
        <w:t>s</w:t>
      </w:r>
      <w:r w:rsidRPr="008942EF">
        <w:rPr>
          <w:rFonts w:ascii="Times New Roman" w:hAnsi="Times New Roman" w:cs="Times New Roman"/>
          <w:sz w:val="24"/>
          <w:szCs w:val="24"/>
        </w:rPr>
        <w:t xml:space="preserve">, </w:t>
      </w:r>
      <w:r w:rsidR="001E500E">
        <w:rPr>
          <w:rFonts w:ascii="Times New Roman" w:hAnsi="Times New Roman" w:cs="Times New Roman"/>
          <w:sz w:val="24"/>
          <w:szCs w:val="24"/>
        </w:rPr>
        <w:t xml:space="preserve">on whom some sex workers rely for protection, </w:t>
      </w:r>
      <w:r w:rsidRPr="008942EF">
        <w:rPr>
          <w:rFonts w:ascii="Times New Roman" w:hAnsi="Times New Roman" w:cs="Times New Roman"/>
          <w:sz w:val="24"/>
          <w:szCs w:val="24"/>
        </w:rPr>
        <w:t xml:space="preserve">displacing sex workers and their clients from usual beats may create a shortage of custom and money that could </w:t>
      </w:r>
      <w:r w:rsidR="0096603A">
        <w:rPr>
          <w:rFonts w:ascii="Times New Roman" w:hAnsi="Times New Roman" w:cs="Times New Roman"/>
          <w:sz w:val="24"/>
          <w:szCs w:val="24"/>
        </w:rPr>
        <w:t>increase the</w:t>
      </w:r>
      <w:r w:rsidRPr="008942EF">
        <w:rPr>
          <w:rFonts w:ascii="Times New Roman" w:hAnsi="Times New Roman" w:cs="Times New Roman"/>
          <w:sz w:val="24"/>
          <w:szCs w:val="24"/>
        </w:rPr>
        <w:t xml:space="preserve"> likelihood of pimp violence.</w:t>
      </w:r>
      <w:r w:rsidR="001E500E">
        <w:rPr>
          <w:rStyle w:val="FootnoteReference"/>
          <w:rFonts w:ascii="Times New Roman" w:hAnsi="Times New Roman" w:cs="Times New Roman"/>
          <w:sz w:val="24"/>
          <w:szCs w:val="24"/>
        </w:rPr>
        <w:footnoteReference w:id="103"/>
      </w:r>
      <w:r w:rsidR="0096603A">
        <w:rPr>
          <w:rFonts w:ascii="Times New Roman" w:hAnsi="Times New Roman" w:cs="Times New Roman"/>
          <w:sz w:val="24"/>
          <w:szCs w:val="24"/>
        </w:rPr>
        <w:t xml:space="preserve"> Protecting</w:t>
      </w:r>
      <w:r w:rsidRPr="008942EF">
        <w:rPr>
          <w:rFonts w:ascii="Times New Roman" w:hAnsi="Times New Roman" w:cs="Times New Roman"/>
          <w:sz w:val="24"/>
          <w:szCs w:val="24"/>
        </w:rPr>
        <w:t xml:space="preserve"> the rest of the ‘community’ from perceived risk of crime can</w:t>
      </w:r>
      <w:r w:rsidR="0096603A">
        <w:rPr>
          <w:rFonts w:ascii="Times New Roman" w:hAnsi="Times New Roman" w:cs="Times New Roman"/>
          <w:sz w:val="24"/>
          <w:szCs w:val="24"/>
        </w:rPr>
        <w:t>, therefore,</w:t>
      </w:r>
      <w:r w:rsidRPr="008942EF">
        <w:rPr>
          <w:rFonts w:ascii="Times New Roman" w:hAnsi="Times New Roman" w:cs="Times New Roman"/>
          <w:sz w:val="24"/>
          <w:szCs w:val="24"/>
        </w:rPr>
        <w:t xml:space="preserve"> increase the likelihood of actual crime against an already marginalised group. </w:t>
      </w:r>
    </w:p>
    <w:p w:rsidR="008942EF" w:rsidRPr="008942EF" w:rsidRDefault="008942EF" w:rsidP="008942EF">
      <w:pPr>
        <w:spacing w:after="0" w:line="480" w:lineRule="auto"/>
        <w:jc w:val="both"/>
        <w:rPr>
          <w:rFonts w:ascii="Times New Roman" w:hAnsi="Times New Roman" w:cs="Times New Roman"/>
          <w:sz w:val="24"/>
          <w:szCs w:val="24"/>
        </w:rPr>
      </w:pPr>
    </w:p>
    <w:p w:rsidR="003D3505" w:rsidRDefault="008A247B" w:rsidP="008942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Moreover,</w:t>
      </w:r>
      <w:r w:rsidR="008942EF" w:rsidRPr="008942EF">
        <w:rPr>
          <w:rFonts w:ascii="Times New Roman" w:hAnsi="Times New Roman" w:cs="Times New Roman"/>
          <w:sz w:val="24"/>
          <w:szCs w:val="24"/>
        </w:rPr>
        <w:t xml:space="preserve"> constructing and regulating sex work as a form of crime, and linking it to other serious crimes, feeds fear in the communities, leading to an increased likelihood of </w:t>
      </w:r>
      <w:r w:rsidR="008942EF" w:rsidRPr="008942EF">
        <w:rPr>
          <w:rFonts w:ascii="Times New Roman" w:hAnsi="Times New Roman" w:cs="Times New Roman"/>
          <w:sz w:val="24"/>
          <w:szCs w:val="24"/>
        </w:rPr>
        <w:lastRenderedPageBreak/>
        <w:t>vigilantism. Simon contends that ‘government programs not only serve citizen interests, they help constitute them’.</w:t>
      </w:r>
      <w:r w:rsidR="001E500E">
        <w:rPr>
          <w:rStyle w:val="FootnoteReference"/>
          <w:rFonts w:ascii="Times New Roman" w:hAnsi="Times New Roman" w:cs="Times New Roman"/>
          <w:sz w:val="24"/>
          <w:szCs w:val="24"/>
        </w:rPr>
        <w:footnoteReference w:id="104"/>
      </w:r>
      <w:r w:rsidR="008942EF" w:rsidRPr="008942EF">
        <w:rPr>
          <w:rFonts w:ascii="Times New Roman" w:hAnsi="Times New Roman" w:cs="Times New Roman"/>
          <w:sz w:val="24"/>
          <w:szCs w:val="24"/>
        </w:rPr>
        <w:t xml:space="preserve"> This is reflected in the reasons given for community campaigns and vigilante activity, which echo the representations of sex work and the community given in official documents and policy. For instance, in Balsall Heath, where community picketing and street watch campaigns were used to contest sex work, organisers and media reports stated that their actions were taken ‘for the sake of decent residents’, to protect from ‘human scavengers plaguing our streets’, and to challenge the ‘strong and volatile link between vice and drugs’.</w:t>
      </w:r>
      <w:r w:rsidR="001E500E">
        <w:rPr>
          <w:rStyle w:val="FootnoteReference"/>
          <w:rFonts w:ascii="Times New Roman" w:hAnsi="Times New Roman" w:cs="Times New Roman"/>
          <w:sz w:val="24"/>
          <w:szCs w:val="24"/>
        </w:rPr>
        <w:footnoteReference w:id="105"/>
      </w:r>
      <w:r w:rsidR="008942EF" w:rsidRPr="008942EF">
        <w:rPr>
          <w:rFonts w:ascii="Times New Roman" w:hAnsi="Times New Roman" w:cs="Times New Roman"/>
          <w:sz w:val="24"/>
          <w:szCs w:val="24"/>
        </w:rPr>
        <w:t xml:space="preserve"> </w:t>
      </w:r>
    </w:p>
    <w:p w:rsidR="003D3505" w:rsidRDefault="003D3505" w:rsidP="008942EF">
      <w:pPr>
        <w:spacing w:after="0" w:line="480" w:lineRule="auto"/>
        <w:jc w:val="both"/>
        <w:rPr>
          <w:rFonts w:ascii="Times New Roman" w:hAnsi="Times New Roman" w:cs="Times New Roman"/>
          <w:sz w:val="24"/>
          <w:szCs w:val="24"/>
        </w:rPr>
      </w:pPr>
    </w:p>
    <w:p w:rsidR="008942EF" w:rsidRPr="008942EF" w:rsidRDefault="008942EF" w:rsidP="008942EF">
      <w:pPr>
        <w:spacing w:after="0" w:line="480" w:lineRule="auto"/>
        <w:jc w:val="both"/>
        <w:rPr>
          <w:rFonts w:ascii="Times New Roman" w:hAnsi="Times New Roman" w:cs="Times New Roman"/>
          <w:sz w:val="24"/>
          <w:szCs w:val="24"/>
        </w:rPr>
      </w:pPr>
      <w:r w:rsidRPr="008942EF">
        <w:rPr>
          <w:rFonts w:ascii="Times New Roman" w:hAnsi="Times New Roman" w:cs="Times New Roman"/>
          <w:sz w:val="24"/>
          <w:szCs w:val="24"/>
        </w:rPr>
        <w:t>When sex workers are conceptualised as</w:t>
      </w:r>
      <w:r w:rsidR="00924B71">
        <w:rPr>
          <w:rFonts w:ascii="Times New Roman" w:hAnsi="Times New Roman" w:cs="Times New Roman"/>
          <w:sz w:val="24"/>
          <w:szCs w:val="24"/>
        </w:rPr>
        <w:t xml:space="preserve"> </w:t>
      </w:r>
      <w:r w:rsidRPr="008942EF">
        <w:rPr>
          <w:rFonts w:ascii="Times New Roman" w:hAnsi="Times New Roman" w:cs="Times New Roman"/>
          <w:sz w:val="24"/>
          <w:szCs w:val="24"/>
        </w:rPr>
        <w:t>outside of the community</w:t>
      </w:r>
      <w:r w:rsidR="0020755D">
        <w:rPr>
          <w:rFonts w:ascii="Times New Roman" w:hAnsi="Times New Roman" w:cs="Times New Roman"/>
          <w:sz w:val="24"/>
          <w:szCs w:val="24"/>
        </w:rPr>
        <w:t>,</w:t>
      </w:r>
      <w:r w:rsidRPr="008942EF">
        <w:rPr>
          <w:rFonts w:ascii="Times New Roman" w:hAnsi="Times New Roman" w:cs="Times New Roman"/>
          <w:sz w:val="24"/>
          <w:szCs w:val="24"/>
        </w:rPr>
        <w:t xml:space="preserve"> or the causes of crime, they are arguably more susceptible to attack. Violence from members of the public is frequent, with verbal abuse, spitting and having objects thrown at them regular occurrences.</w:t>
      </w:r>
      <w:r w:rsidR="001E500E">
        <w:rPr>
          <w:rStyle w:val="FootnoteReference"/>
          <w:rFonts w:ascii="Times New Roman" w:hAnsi="Times New Roman" w:cs="Times New Roman"/>
          <w:sz w:val="24"/>
          <w:szCs w:val="24"/>
        </w:rPr>
        <w:footnoteReference w:id="106"/>
      </w:r>
      <w:r w:rsidRPr="008942EF">
        <w:rPr>
          <w:rFonts w:ascii="Times New Roman" w:hAnsi="Times New Roman" w:cs="Times New Roman"/>
          <w:sz w:val="24"/>
          <w:szCs w:val="24"/>
        </w:rPr>
        <w:t xml:space="preserve"> Evidence from the Balsall Heath campaign demonstrates not only that sex workers faced high levels of violence, abuse and harassment, but that some other residents felt more at risk when the picketers were there than before they began their campaign.</w:t>
      </w:r>
      <w:r w:rsidR="001E500E">
        <w:rPr>
          <w:rStyle w:val="FootnoteReference"/>
          <w:rFonts w:ascii="Times New Roman" w:hAnsi="Times New Roman" w:cs="Times New Roman"/>
          <w:sz w:val="24"/>
          <w:szCs w:val="24"/>
        </w:rPr>
        <w:footnoteReference w:id="107"/>
      </w:r>
      <w:r w:rsidRPr="008942EF">
        <w:rPr>
          <w:rFonts w:ascii="Times New Roman" w:hAnsi="Times New Roman" w:cs="Times New Roman"/>
          <w:sz w:val="24"/>
          <w:szCs w:val="24"/>
        </w:rPr>
        <w:t xml:space="preserve"> The incidence of other crimes also failed to fall.</w:t>
      </w:r>
      <w:r w:rsidR="001E500E">
        <w:rPr>
          <w:rStyle w:val="FootnoteReference"/>
          <w:rFonts w:ascii="Times New Roman" w:hAnsi="Times New Roman" w:cs="Times New Roman"/>
          <w:sz w:val="24"/>
          <w:szCs w:val="24"/>
        </w:rPr>
        <w:footnoteReference w:id="108"/>
      </w:r>
      <w:r w:rsidRPr="008942EF">
        <w:rPr>
          <w:rFonts w:ascii="Times New Roman" w:hAnsi="Times New Roman" w:cs="Times New Roman"/>
          <w:sz w:val="24"/>
          <w:szCs w:val="24"/>
        </w:rPr>
        <w:t xml:space="preserve"> Research from other cities where community campaigns have taken place suggests the same thing, supporting the notion that the presence of sex work might actually at times reduce the incidence of other crimes due to the sex workers watching the streets, and the police surveying the sex workers when they are not ‘cracking down’.</w:t>
      </w:r>
      <w:r w:rsidR="001E500E">
        <w:rPr>
          <w:rStyle w:val="FootnoteReference"/>
          <w:rFonts w:ascii="Times New Roman" w:hAnsi="Times New Roman" w:cs="Times New Roman"/>
          <w:sz w:val="24"/>
          <w:szCs w:val="24"/>
        </w:rPr>
        <w:footnoteReference w:id="109"/>
      </w:r>
      <w:r w:rsidRPr="008942EF">
        <w:rPr>
          <w:rFonts w:ascii="Times New Roman" w:hAnsi="Times New Roman" w:cs="Times New Roman"/>
          <w:sz w:val="24"/>
          <w:szCs w:val="24"/>
        </w:rPr>
        <w:t xml:space="preserve"> Therefore, not only does this expansion of coercive and punitive action </w:t>
      </w:r>
      <w:r w:rsidRPr="008942EF">
        <w:rPr>
          <w:rFonts w:ascii="Times New Roman" w:hAnsi="Times New Roman" w:cs="Times New Roman"/>
          <w:sz w:val="24"/>
          <w:szCs w:val="24"/>
        </w:rPr>
        <w:lastRenderedPageBreak/>
        <w:t>increase the risk of actual crime against sex workers, it does little to increase feelings of, and actual, safety amongst the rest of the community.</w:t>
      </w:r>
    </w:p>
    <w:p w:rsidR="008942EF" w:rsidRPr="008942EF" w:rsidRDefault="008942EF" w:rsidP="008942EF">
      <w:pPr>
        <w:spacing w:after="0" w:line="480" w:lineRule="auto"/>
        <w:jc w:val="both"/>
        <w:rPr>
          <w:rFonts w:ascii="Times New Roman" w:hAnsi="Times New Roman" w:cs="Times New Roman"/>
          <w:sz w:val="24"/>
          <w:szCs w:val="24"/>
        </w:rPr>
      </w:pPr>
    </w:p>
    <w:p w:rsidR="003D3505" w:rsidRDefault="008942EF" w:rsidP="008942EF">
      <w:pPr>
        <w:spacing w:after="0" w:line="480" w:lineRule="auto"/>
        <w:jc w:val="both"/>
        <w:rPr>
          <w:rFonts w:ascii="Times New Roman" w:hAnsi="Times New Roman" w:cs="Times New Roman"/>
          <w:sz w:val="24"/>
          <w:szCs w:val="24"/>
        </w:rPr>
      </w:pPr>
      <w:r w:rsidRPr="008942EF">
        <w:rPr>
          <w:rFonts w:ascii="Times New Roman" w:hAnsi="Times New Roman" w:cs="Times New Roman"/>
          <w:sz w:val="24"/>
          <w:szCs w:val="24"/>
        </w:rPr>
        <w:t>Official tolerance and even support for these campaigns, even when violent tactics or harassment are used against sex workers and other residents, means that vigilantes are rarely, held accountable for their criminal activities</w:t>
      </w:r>
      <w:r w:rsidR="00C651BF">
        <w:rPr>
          <w:rFonts w:ascii="Times New Roman" w:hAnsi="Times New Roman" w:cs="Times New Roman"/>
          <w:sz w:val="24"/>
          <w:szCs w:val="24"/>
        </w:rPr>
        <w:t xml:space="preserve">. </w:t>
      </w:r>
      <w:r w:rsidRPr="008942EF">
        <w:rPr>
          <w:rFonts w:ascii="Times New Roman" w:hAnsi="Times New Roman" w:cs="Times New Roman"/>
          <w:sz w:val="24"/>
          <w:szCs w:val="24"/>
        </w:rPr>
        <w:t>Sex workers are unlikely to report violence from either the public or dodgy customers to the police because they do not expect sympathetic treatment and do not wish to identify themselves as sex workers at the risk of potential criminal consequences or increased surveillance.</w:t>
      </w:r>
      <w:r w:rsidR="00C651BF">
        <w:rPr>
          <w:rStyle w:val="FootnoteReference"/>
          <w:rFonts w:ascii="Times New Roman" w:hAnsi="Times New Roman" w:cs="Times New Roman"/>
          <w:sz w:val="24"/>
          <w:szCs w:val="24"/>
        </w:rPr>
        <w:footnoteReference w:id="110"/>
      </w:r>
      <w:r w:rsidRPr="008942EF">
        <w:rPr>
          <w:rFonts w:ascii="Times New Roman" w:hAnsi="Times New Roman" w:cs="Times New Roman"/>
          <w:sz w:val="24"/>
          <w:szCs w:val="24"/>
        </w:rPr>
        <w:t xml:space="preserve"> Violent customers, fake customers, and the public may be encouraged to commit violence in the knowledge that they probably will not be reported and because they consider that sex workers deserve it more than other people.</w:t>
      </w:r>
      <w:r w:rsidR="0005141F">
        <w:rPr>
          <w:rStyle w:val="FootnoteReference"/>
          <w:rFonts w:ascii="Times New Roman" w:hAnsi="Times New Roman" w:cs="Times New Roman"/>
          <w:sz w:val="24"/>
          <w:szCs w:val="24"/>
        </w:rPr>
        <w:footnoteReference w:id="111"/>
      </w:r>
      <w:r w:rsidRPr="008942EF">
        <w:rPr>
          <w:rFonts w:ascii="Times New Roman" w:hAnsi="Times New Roman" w:cs="Times New Roman"/>
          <w:sz w:val="24"/>
          <w:szCs w:val="24"/>
        </w:rPr>
        <w:t xml:space="preserve"> When sex workers are conceptualised as ‘immoral’ or ‘fallen’ women, they are arguably more susceptible to attack. </w:t>
      </w:r>
      <w:r w:rsidR="003D3505">
        <w:rPr>
          <w:rFonts w:ascii="Times New Roman" w:hAnsi="Times New Roman" w:cs="Times New Roman"/>
          <w:sz w:val="24"/>
          <w:szCs w:val="24"/>
        </w:rPr>
        <w:t xml:space="preserve">Hillary </w:t>
      </w:r>
      <w:r w:rsidRPr="008942EF">
        <w:rPr>
          <w:rFonts w:ascii="Times New Roman" w:hAnsi="Times New Roman" w:cs="Times New Roman"/>
          <w:sz w:val="24"/>
          <w:szCs w:val="24"/>
        </w:rPr>
        <w:t>Kinnell reports that one of the most cited justifications by attackers in trial reports is that ‘they deserve to be raped’.</w:t>
      </w:r>
      <w:r w:rsidR="0005141F">
        <w:rPr>
          <w:rStyle w:val="FootnoteReference"/>
          <w:rFonts w:ascii="Times New Roman" w:hAnsi="Times New Roman" w:cs="Times New Roman"/>
          <w:sz w:val="24"/>
          <w:szCs w:val="24"/>
        </w:rPr>
        <w:footnoteReference w:id="112"/>
      </w:r>
      <w:r w:rsidRPr="008942EF">
        <w:rPr>
          <w:rFonts w:ascii="Times New Roman" w:hAnsi="Times New Roman" w:cs="Times New Roman"/>
          <w:sz w:val="24"/>
          <w:szCs w:val="24"/>
        </w:rPr>
        <w:t xml:space="preserve"> </w:t>
      </w:r>
    </w:p>
    <w:p w:rsidR="003D3505" w:rsidRDefault="003D3505" w:rsidP="008942EF">
      <w:pPr>
        <w:spacing w:after="0" w:line="480" w:lineRule="auto"/>
        <w:jc w:val="both"/>
        <w:rPr>
          <w:rFonts w:ascii="Times New Roman" w:hAnsi="Times New Roman" w:cs="Times New Roman"/>
          <w:sz w:val="24"/>
          <w:szCs w:val="24"/>
        </w:rPr>
      </w:pPr>
    </w:p>
    <w:p w:rsidR="008942EF" w:rsidRPr="008942EF" w:rsidRDefault="008942EF" w:rsidP="008942EF">
      <w:pPr>
        <w:spacing w:after="0" w:line="480" w:lineRule="auto"/>
        <w:jc w:val="both"/>
        <w:rPr>
          <w:rFonts w:ascii="Times New Roman" w:hAnsi="Times New Roman" w:cs="Times New Roman"/>
          <w:sz w:val="24"/>
          <w:szCs w:val="24"/>
        </w:rPr>
      </w:pPr>
      <w:r w:rsidRPr="008942EF">
        <w:rPr>
          <w:rFonts w:ascii="Times New Roman" w:hAnsi="Times New Roman" w:cs="Times New Roman"/>
          <w:sz w:val="24"/>
          <w:szCs w:val="24"/>
        </w:rPr>
        <w:t>Taking these consequences and impacts of over-criminalisation of street sex work together then, we can see the ways that street sex work becomes situated in a context of violence, marginalisation, and abuse. As long as regulation of street sex work revolves around criminalisation of sex work activities and criminal justice responses, instead of attempts to make street sex work safer, this is unlikely to change.</w:t>
      </w:r>
    </w:p>
    <w:p w:rsidR="008942EF" w:rsidRDefault="008942EF" w:rsidP="008942EF">
      <w:pPr>
        <w:spacing w:after="0" w:line="480" w:lineRule="auto"/>
        <w:jc w:val="both"/>
        <w:rPr>
          <w:rFonts w:ascii="Times New Roman" w:hAnsi="Times New Roman" w:cs="Times New Roman"/>
          <w:i/>
          <w:sz w:val="24"/>
          <w:szCs w:val="24"/>
        </w:rPr>
      </w:pPr>
    </w:p>
    <w:p w:rsidR="000E0C7A" w:rsidRDefault="00D25D2F" w:rsidP="008942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Governing off-street sex work through crime: the rise of e</w:t>
      </w:r>
      <w:r w:rsidR="000E0C7A">
        <w:rPr>
          <w:rFonts w:ascii="Times New Roman" w:hAnsi="Times New Roman" w:cs="Times New Roman"/>
          <w:b/>
          <w:sz w:val="24"/>
          <w:szCs w:val="24"/>
        </w:rPr>
        <w:t>xploitation</w:t>
      </w:r>
    </w:p>
    <w:p w:rsidR="000E0C7A" w:rsidRDefault="000E0C7A" w:rsidP="008942EF">
      <w:pPr>
        <w:spacing w:after="0" w:line="480" w:lineRule="auto"/>
        <w:jc w:val="both"/>
        <w:rPr>
          <w:rFonts w:ascii="Times New Roman" w:hAnsi="Times New Roman" w:cs="Times New Roman"/>
          <w:b/>
          <w:sz w:val="24"/>
          <w:szCs w:val="24"/>
        </w:rPr>
      </w:pPr>
    </w:p>
    <w:p w:rsidR="008942EF" w:rsidRPr="008942EF" w:rsidRDefault="0096603A" w:rsidP="008942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Although the Wolfenden Report focused on street sex work, governing through crime</w:t>
      </w:r>
      <w:r w:rsidR="008942EF" w:rsidRPr="008942EF">
        <w:rPr>
          <w:rFonts w:ascii="Times New Roman" w:hAnsi="Times New Roman" w:cs="Times New Roman"/>
          <w:sz w:val="24"/>
          <w:szCs w:val="24"/>
        </w:rPr>
        <w:t xml:space="preserve"> has</w:t>
      </w:r>
      <w:r>
        <w:rPr>
          <w:rFonts w:ascii="Times New Roman" w:hAnsi="Times New Roman" w:cs="Times New Roman"/>
          <w:sz w:val="24"/>
          <w:szCs w:val="24"/>
        </w:rPr>
        <w:t xml:space="preserve"> significantly</w:t>
      </w:r>
      <w:r w:rsidR="008942EF" w:rsidRPr="008942EF">
        <w:rPr>
          <w:rFonts w:ascii="Times New Roman" w:hAnsi="Times New Roman" w:cs="Times New Roman"/>
          <w:sz w:val="24"/>
          <w:szCs w:val="24"/>
        </w:rPr>
        <w:t xml:space="preserve"> shaped the orga</w:t>
      </w:r>
      <w:r>
        <w:rPr>
          <w:rFonts w:ascii="Times New Roman" w:hAnsi="Times New Roman" w:cs="Times New Roman"/>
          <w:sz w:val="24"/>
          <w:szCs w:val="24"/>
        </w:rPr>
        <w:t>nisation of off-street sex work, increasing the</w:t>
      </w:r>
      <w:r w:rsidR="008942EF" w:rsidRPr="008942EF">
        <w:rPr>
          <w:rFonts w:ascii="Times New Roman" w:hAnsi="Times New Roman" w:cs="Times New Roman"/>
          <w:sz w:val="24"/>
          <w:szCs w:val="24"/>
        </w:rPr>
        <w:t xml:space="preserve"> likelihood of exploitation and violence. </w:t>
      </w:r>
      <w:r>
        <w:rPr>
          <w:rFonts w:ascii="Times New Roman" w:hAnsi="Times New Roman" w:cs="Times New Roman"/>
          <w:sz w:val="24"/>
          <w:szCs w:val="24"/>
        </w:rPr>
        <w:t xml:space="preserve">Criminal </w:t>
      </w:r>
      <w:r w:rsidR="008942EF" w:rsidRPr="008942EF">
        <w:rPr>
          <w:rFonts w:ascii="Times New Roman" w:hAnsi="Times New Roman" w:cs="Times New Roman"/>
          <w:sz w:val="24"/>
          <w:szCs w:val="24"/>
        </w:rPr>
        <w:t>justice responses and powers have been augmented</w:t>
      </w:r>
      <w:r>
        <w:rPr>
          <w:rFonts w:ascii="Times New Roman" w:hAnsi="Times New Roman" w:cs="Times New Roman"/>
          <w:sz w:val="24"/>
          <w:szCs w:val="24"/>
        </w:rPr>
        <w:t xml:space="preserve"> and legitimised</w:t>
      </w:r>
      <w:r w:rsidR="008942EF" w:rsidRPr="008942EF">
        <w:rPr>
          <w:rFonts w:ascii="Times New Roman" w:hAnsi="Times New Roman" w:cs="Times New Roman"/>
          <w:sz w:val="24"/>
          <w:szCs w:val="24"/>
        </w:rPr>
        <w:t xml:space="preserve"> due to the spectre of trafficking</w:t>
      </w:r>
      <w:r>
        <w:rPr>
          <w:rFonts w:ascii="Times New Roman" w:hAnsi="Times New Roman" w:cs="Times New Roman"/>
          <w:sz w:val="24"/>
          <w:szCs w:val="24"/>
        </w:rPr>
        <w:t>,</w:t>
      </w:r>
      <w:r w:rsidR="0005141F">
        <w:rPr>
          <w:rStyle w:val="FootnoteReference"/>
          <w:rFonts w:ascii="Times New Roman" w:hAnsi="Times New Roman" w:cs="Times New Roman"/>
          <w:sz w:val="24"/>
          <w:szCs w:val="24"/>
        </w:rPr>
        <w:footnoteReference w:id="113"/>
      </w:r>
      <w:r>
        <w:rPr>
          <w:rFonts w:ascii="Times New Roman" w:hAnsi="Times New Roman" w:cs="Times New Roman"/>
          <w:sz w:val="24"/>
          <w:szCs w:val="24"/>
        </w:rPr>
        <w:t xml:space="preserve"> </w:t>
      </w:r>
      <w:r w:rsidR="008942EF" w:rsidRPr="008942EF">
        <w:rPr>
          <w:rFonts w:ascii="Times New Roman" w:hAnsi="Times New Roman" w:cs="Times New Roman"/>
          <w:sz w:val="24"/>
          <w:szCs w:val="24"/>
        </w:rPr>
        <w:t>‘exploitation’,</w:t>
      </w:r>
      <w:r w:rsidR="0005141F">
        <w:rPr>
          <w:rStyle w:val="FootnoteReference"/>
          <w:rFonts w:ascii="Times New Roman" w:hAnsi="Times New Roman" w:cs="Times New Roman"/>
          <w:sz w:val="24"/>
          <w:szCs w:val="24"/>
        </w:rPr>
        <w:footnoteReference w:id="114"/>
      </w:r>
      <w:r w:rsidR="008942EF" w:rsidRPr="008942EF">
        <w:rPr>
          <w:rFonts w:ascii="Times New Roman" w:hAnsi="Times New Roman" w:cs="Times New Roman"/>
          <w:sz w:val="24"/>
          <w:szCs w:val="24"/>
        </w:rPr>
        <w:t xml:space="preserve"> and the rising concern about sex workers’ ‘vulnerability’</w:t>
      </w:r>
      <w:r>
        <w:rPr>
          <w:rFonts w:ascii="Times New Roman" w:hAnsi="Times New Roman" w:cs="Times New Roman"/>
          <w:sz w:val="24"/>
          <w:szCs w:val="24"/>
        </w:rPr>
        <w:t>.</w:t>
      </w:r>
      <w:r w:rsidR="0005141F">
        <w:rPr>
          <w:rStyle w:val="FootnoteReference"/>
          <w:rFonts w:ascii="Times New Roman" w:hAnsi="Times New Roman" w:cs="Times New Roman"/>
          <w:sz w:val="24"/>
          <w:szCs w:val="24"/>
        </w:rPr>
        <w:footnoteReference w:id="115"/>
      </w:r>
      <w:r>
        <w:rPr>
          <w:rFonts w:ascii="Times New Roman" w:hAnsi="Times New Roman" w:cs="Times New Roman"/>
          <w:sz w:val="24"/>
          <w:szCs w:val="24"/>
        </w:rPr>
        <w:t xml:space="preserve"> </w:t>
      </w:r>
      <w:r w:rsidR="008942EF" w:rsidRPr="008942EF">
        <w:rPr>
          <w:rFonts w:ascii="Times New Roman" w:hAnsi="Times New Roman" w:cs="Times New Roman"/>
          <w:sz w:val="24"/>
          <w:szCs w:val="24"/>
        </w:rPr>
        <w:t>This allows the Government to appear to be tackling issues related to extreme exploitation of sex workers without giving sex workers any rights or protections in the face of ‘everyday’ exploitation.</w:t>
      </w:r>
      <w:r w:rsidR="008942EF" w:rsidRPr="008942EF">
        <w:rPr>
          <w:rFonts w:ascii="Times New Roman" w:hAnsi="Times New Roman" w:cs="Times New Roman"/>
          <w:sz w:val="24"/>
          <w:szCs w:val="24"/>
          <w:lang w:val="en"/>
        </w:rPr>
        <w:t xml:space="preserve"> As notes, ‘virtually any increase in security for the public, no matter how small or speculative, suffices to justify virtually any risk for criminal offenders, no matter how substantial or certain’.</w:t>
      </w:r>
      <w:r w:rsidR="0005141F">
        <w:rPr>
          <w:rStyle w:val="FootnoteReference"/>
          <w:rFonts w:ascii="Times New Roman" w:hAnsi="Times New Roman" w:cs="Times New Roman"/>
          <w:sz w:val="24"/>
          <w:szCs w:val="24"/>
          <w:lang w:val="en"/>
        </w:rPr>
        <w:footnoteReference w:id="116"/>
      </w:r>
      <w:r w:rsidR="008942EF" w:rsidRPr="008942EF">
        <w:rPr>
          <w:rFonts w:ascii="Times New Roman" w:hAnsi="Times New Roman" w:cs="Times New Roman"/>
          <w:sz w:val="24"/>
          <w:szCs w:val="24"/>
          <w:lang w:val="en"/>
        </w:rPr>
        <w:t xml:space="preserve"> This is reflected in responses to the fear of trafficking </w:t>
      </w:r>
      <w:r w:rsidR="00A73C7D">
        <w:rPr>
          <w:rFonts w:ascii="Times New Roman" w:hAnsi="Times New Roman" w:cs="Times New Roman"/>
          <w:sz w:val="24"/>
          <w:szCs w:val="24"/>
          <w:lang w:val="en"/>
        </w:rPr>
        <w:t xml:space="preserve">and sexual exploitation </w:t>
      </w:r>
      <w:r w:rsidR="008942EF" w:rsidRPr="008942EF">
        <w:rPr>
          <w:rFonts w:ascii="Times New Roman" w:hAnsi="Times New Roman" w:cs="Times New Roman"/>
          <w:sz w:val="24"/>
          <w:szCs w:val="24"/>
          <w:lang w:val="en"/>
        </w:rPr>
        <w:t xml:space="preserve">– any interference into the lives of sex workers is seen as legitimate to respond to the possibility of a trafficking </w:t>
      </w:r>
      <w:r w:rsidR="00A73C7D">
        <w:rPr>
          <w:rFonts w:ascii="Times New Roman" w:hAnsi="Times New Roman" w:cs="Times New Roman"/>
          <w:sz w:val="24"/>
          <w:szCs w:val="24"/>
          <w:lang w:val="en"/>
        </w:rPr>
        <w:t xml:space="preserve">or sexually exploited </w:t>
      </w:r>
      <w:r w:rsidR="008942EF" w:rsidRPr="008942EF">
        <w:rPr>
          <w:rFonts w:ascii="Times New Roman" w:hAnsi="Times New Roman" w:cs="Times New Roman"/>
          <w:sz w:val="24"/>
          <w:szCs w:val="24"/>
          <w:lang w:val="en"/>
        </w:rPr>
        <w:t>victim being found.</w:t>
      </w:r>
    </w:p>
    <w:p w:rsidR="008942EF" w:rsidRDefault="008942EF" w:rsidP="008942EF">
      <w:pPr>
        <w:spacing w:after="0" w:line="480" w:lineRule="auto"/>
        <w:jc w:val="both"/>
        <w:rPr>
          <w:rFonts w:ascii="Times New Roman" w:hAnsi="Times New Roman" w:cs="Times New Roman"/>
          <w:b/>
          <w:sz w:val="24"/>
          <w:szCs w:val="24"/>
        </w:rPr>
      </w:pPr>
    </w:p>
    <w:p w:rsidR="000E0C7A" w:rsidRDefault="002379DB" w:rsidP="008942EF">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The c</w:t>
      </w:r>
      <w:r w:rsidR="0072512F">
        <w:rPr>
          <w:rFonts w:ascii="Times New Roman" w:hAnsi="Times New Roman" w:cs="Times New Roman"/>
          <w:i/>
          <w:sz w:val="24"/>
          <w:szCs w:val="24"/>
        </w:rPr>
        <w:t>riminality</w:t>
      </w:r>
      <w:r w:rsidR="00D25D2F">
        <w:rPr>
          <w:rFonts w:ascii="Times New Roman" w:hAnsi="Times New Roman" w:cs="Times New Roman"/>
          <w:i/>
          <w:sz w:val="24"/>
          <w:szCs w:val="24"/>
        </w:rPr>
        <w:t xml:space="preserve"> of off-street sex w</w:t>
      </w:r>
      <w:r w:rsidR="000E0C7A">
        <w:rPr>
          <w:rFonts w:ascii="Times New Roman" w:hAnsi="Times New Roman" w:cs="Times New Roman"/>
          <w:i/>
          <w:sz w:val="24"/>
          <w:szCs w:val="24"/>
        </w:rPr>
        <w:t>ork</w:t>
      </w:r>
    </w:p>
    <w:p w:rsidR="000E0C7A" w:rsidRDefault="000E0C7A" w:rsidP="008942EF">
      <w:pPr>
        <w:spacing w:after="0" w:line="480" w:lineRule="auto"/>
        <w:jc w:val="both"/>
        <w:rPr>
          <w:rFonts w:ascii="Times New Roman" w:hAnsi="Times New Roman" w:cs="Times New Roman"/>
          <w:i/>
          <w:sz w:val="24"/>
          <w:szCs w:val="24"/>
        </w:rPr>
      </w:pPr>
    </w:p>
    <w:p w:rsidR="00AC5184" w:rsidRDefault="008942EF" w:rsidP="008942EF">
      <w:pPr>
        <w:spacing w:after="0" w:line="480" w:lineRule="auto"/>
        <w:jc w:val="both"/>
        <w:rPr>
          <w:rFonts w:ascii="Times New Roman" w:hAnsi="Times New Roman" w:cs="Times New Roman"/>
          <w:sz w:val="24"/>
          <w:szCs w:val="24"/>
        </w:rPr>
      </w:pPr>
      <w:r w:rsidRPr="008942EF">
        <w:rPr>
          <w:rFonts w:ascii="Times New Roman" w:hAnsi="Times New Roman" w:cs="Times New Roman"/>
          <w:sz w:val="24"/>
          <w:szCs w:val="24"/>
        </w:rPr>
        <w:t>The focus since the Wolfenden Report on nuisance has encouraged more sex workers to work indoors</w:t>
      </w:r>
      <w:r w:rsidR="00A04493">
        <w:rPr>
          <w:rFonts w:ascii="Times New Roman" w:hAnsi="Times New Roman" w:cs="Times New Roman"/>
          <w:sz w:val="24"/>
          <w:szCs w:val="24"/>
        </w:rPr>
        <w:t xml:space="preserve"> </w:t>
      </w:r>
      <w:r w:rsidRPr="008942EF">
        <w:rPr>
          <w:rFonts w:ascii="Times New Roman" w:hAnsi="Times New Roman" w:cs="Times New Roman"/>
          <w:sz w:val="24"/>
          <w:szCs w:val="24"/>
        </w:rPr>
        <w:t>where they are less visible and less likely to have to deal wit</w:t>
      </w:r>
      <w:r w:rsidR="001219B9">
        <w:rPr>
          <w:rFonts w:ascii="Times New Roman" w:hAnsi="Times New Roman" w:cs="Times New Roman"/>
          <w:sz w:val="24"/>
          <w:szCs w:val="24"/>
        </w:rPr>
        <w:t>h the police on a regular basis.</w:t>
      </w:r>
      <w:r w:rsidR="0005141F">
        <w:rPr>
          <w:rStyle w:val="FootnoteReference"/>
          <w:rFonts w:ascii="Times New Roman" w:hAnsi="Times New Roman" w:cs="Times New Roman"/>
          <w:sz w:val="24"/>
          <w:szCs w:val="24"/>
        </w:rPr>
        <w:footnoteReference w:id="117"/>
      </w:r>
      <w:r w:rsidR="001219B9">
        <w:rPr>
          <w:rFonts w:ascii="Times New Roman" w:hAnsi="Times New Roman" w:cs="Times New Roman"/>
          <w:sz w:val="24"/>
          <w:szCs w:val="24"/>
        </w:rPr>
        <w:t xml:space="preserve"> </w:t>
      </w:r>
      <w:r w:rsidR="00663103">
        <w:rPr>
          <w:rFonts w:ascii="Times New Roman" w:hAnsi="Times New Roman" w:cs="Times New Roman"/>
          <w:sz w:val="24"/>
          <w:szCs w:val="24"/>
        </w:rPr>
        <w:t>Yet, d</w:t>
      </w:r>
      <w:r w:rsidRPr="008942EF">
        <w:rPr>
          <w:rFonts w:ascii="Times New Roman" w:hAnsi="Times New Roman" w:cs="Times New Roman"/>
          <w:sz w:val="24"/>
          <w:szCs w:val="24"/>
        </w:rPr>
        <w:t>espite the focus on publically offensive behaviour</w:t>
      </w:r>
      <w:r w:rsidR="001219B9">
        <w:rPr>
          <w:rFonts w:ascii="Times New Roman" w:hAnsi="Times New Roman" w:cs="Times New Roman"/>
          <w:sz w:val="24"/>
          <w:szCs w:val="24"/>
        </w:rPr>
        <w:t xml:space="preserve">, </w:t>
      </w:r>
      <w:r w:rsidRPr="008942EF">
        <w:rPr>
          <w:rFonts w:ascii="Times New Roman" w:hAnsi="Times New Roman" w:cs="Times New Roman"/>
          <w:sz w:val="24"/>
          <w:szCs w:val="24"/>
        </w:rPr>
        <w:t xml:space="preserve">indoor sex work has </w:t>
      </w:r>
      <w:r w:rsidR="00C7260A">
        <w:rPr>
          <w:rFonts w:ascii="Times New Roman" w:hAnsi="Times New Roman" w:cs="Times New Roman"/>
          <w:sz w:val="24"/>
          <w:szCs w:val="24"/>
        </w:rPr>
        <w:t>far from</w:t>
      </w:r>
      <w:r w:rsidRPr="008942EF">
        <w:rPr>
          <w:rFonts w:ascii="Times New Roman" w:hAnsi="Times New Roman" w:cs="Times New Roman"/>
          <w:sz w:val="24"/>
          <w:szCs w:val="24"/>
        </w:rPr>
        <w:t xml:space="preserve"> escaped the remit of crime and governing through crime. </w:t>
      </w:r>
      <w:r w:rsidR="009C03A9" w:rsidRPr="009C03A9">
        <w:rPr>
          <w:rFonts w:ascii="Times New Roman" w:hAnsi="Times New Roman" w:cs="Times New Roman"/>
          <w:sz w:val="24"/>
          <w:szCs w:val="24"/>
        </w:rPr>
        <w:t xml:space="preserve">In fact, even at the time of the Wolfenden Report, indoor sex work was subject to a range of criminal offences under the </w:t>
      </w:r>
      <w:r w:rsidR="009C03A9" w:rsidRPr="009C03A9">
        <w:rPr>
          <w:rFonts w:ascii="Times New Roman" w:hAnsi="Times New Roman" w:cs="Times New Roman"/>
          <w:sz w:val="24"/>
          <w:szCs w:val="24"/>
        </w:rPr>
        <w:lastRenderedPageBreak/>
        <w:t xml:space="preserve">Sexual Offences Act 1956, </w:t>
      </w:r>
      <w:r w:rsidR="001219B9">
        <w:rPr>
          <w:rFonts w:ascii="Times New Roman" w:hAnsi="Times New Roman" w:cs="Times New Roman"/>
          <w:sz w:val="24"/>
          <w:szCs w:val="24"/>
        </w:rPr>
        <w:t xml:space="preserve">relating largely to brothel keeping (ss33-34), causing prostitution (s 22) and living off the earnings of prostitution (s 22). </w:t>
      </w:r>
      <w:r w:rsidR="00663103">
        <w:rPr>
          <w:rFonts w:ascii="Times New Roman" w:hAnsi="Times New Roman" w:cs="Times New Roman"/>
          <w:sz w:val="24"/>
          <w:szCs w:val="24"/>
        </w:rPr>
        <w:t>While it could</w:t>
      </w:r>
      <w:r w:rsidR="001219B9">
        <w:rPr>
          <w:rFonts w:ascii="Times New Roman" w:hAnsi="Times New Roman" w:cs="Times New Roman"/>
          <w:sz w:val="24"/>
          <w:szCs w:val="24"/>
        </w:rPr>
        <w:t xml:space="preserve"> be argued that t</w:t>
      </w:r>
      <w:r w:rsidR="009C03A9">
        <w:rPr>
          <w:rFonts w:ascii="Times New Roman" w:hAnsi="Times New Roman" w:cs="Times New Roman"/>
          <w:sz w:val="24"/>
          <w:szCs w:val="24"/>
        </w:rPr>
        <w:t>hese offences, which were modernised by the Sexual Offences Act 2003</w:t>
      </w:r>
      <w:r w:rsidR="00344EE9">
        <w:rPr>
          <w:rFonts w:ascii="Times New Roman" w:hAnsi="Times New Roman" w:cs="Times New Roman"/>
          <w:sz w:val="24"/>
          <w:szCs w:val="24"/>
        </w:rPr>
        <w:t xml:space="preserve"> ss52-55</w:t>
      </w:r>
      <w:r w:rsidR="009C03A9">
        <w:rPr>
          <w:rFonts w:ascii="Times New Roman" w:hAnsi="Times New Roman" w:cs="Times New Roman"/>
          <w:sz w:val="24"/>
          <w:szCs w:val="24"/>
        </w:rPr>
        <w:t xml:space="preserve">, </w:t>
      </w:r>
      <w:r w:rsidRPr="008942EF">
        <w:rPr>
          <w:rFonts w:ascii="Times New Roman" w:hAnsi="Times New Roman" w:cs="Times New Roman"/>
          <w:sz w:val="24"/>
          <w:szCs w:val="24"/>
        </w:rPr>
        <w:t xml:space="preserve">are not focused on sex workers or sex work </w:t>
      </w:r>
      <w:r w:rsidRPr="008942EF">
        <w:rPr>
          <w:rFonts w:ascii="Times New Roman" w:hAnsi="Times New Roman" w:cs="Times New Roman"/>
          <w:i/>
          <w:sz w:val="24"/>
          <w:szCs w:val="24"/>
        </w:rPr>
        <w:t>per se</w:t>
      </w:r>
      <w:r w:rsidRPr="008942EF">
        <w:rPr>
          <w:rFonts w:ascii="Times New Roman" w:hAnsi="Times New Roman" w:cs="Times New Roman"/>
          <w:sz w:val="24"/>
          <w:szCs w:val="24"/>
        </w:rPr>
        <w:t>, they do in fact have wide-reaching effects that allow the criminal law to regulate and organise sex work and sex workers. For instance, it is not only pimps and exploiters who could fall foul of these offences, but a whole range of working and family relationships that might be caught and prosecuted</w:t>
      </w:r>
      <w:r w:rsidR="001219B9">
        <w:rPr>
          <w:rFonts w:ascii="Times New Roman" w:hAnsi="Times New Roman" w:cs="Times New Roman"/>
          <w:sz w:val="24"/>
          <w:szCs w:val="24"/>
        </w:rPr>
        <w:t>, including children, dependent parents</w:t>
      </w:r>
      <w:r w:rsidR="00663103">
        <w:rPr>
          <w:rFonts w:ascii="Times New Roman" w:hAnsi="Times New Roman" w:cs="Times New Roman"/>
          <w:sz w:val="24"/>
          <w:szCs w:val="24"/>
        </w:rPr>
        <w:t>,</w:t>
      </w:r>
      <w:r w:rsidR="001219B9">
        <w:rPr>
          <w:rFonts w:ascii="Times New Roman" w:hAnsi="Times New Roman" w:cs="Times New Roman"/>
          <w:sz w:val="24"/>
          <w:szCs w:val="24"/>
        </w:rPr>
        <w:t xml:space="preserve"> and managers.</w:t>
      </w:r>
      <w:r w:rsidR="0005141F">
        <w:rPr>
          <w:rStyle w:val="FootnoteReference"/>
          <w:rFonts w:ascii="Times New Roman" w:hAnsi="Times New Roman" w:cs="Times New Roman"/>
          <w:sz w:val="24"/>
          <w:szCs w:val="24"/>
        </w:rPr>
        <w:footnoteReference w:id="118"/>
      </w:r>
      <w:r w:rsidR="001219B9">
        <w:rPr>
          <w:rFonts w:ascii="Times New Roman" w:hAnsi="Times New Roman" w:cs="Times New Roman"/>
          <w:sz w:val="24"/>
          <w:szCs w:val="24"/>
        </w:rPr>
        <w:t xml:space="preserve"> Without differentiating between dependence and exploitation,</w:t>
      </w:r>
      <w:r w:rsidRPr="008942EF">
        <w:rPr>
          <w:rFonts w:ascii="Times New Roman" w:hAnsi="Times New Roman" w:cs="Times New Roman"/>
          <w:sz w:val="24"/>
          <w:szCs w:val="24"/>
        </w:rPr>
        <w:t xml:space="preserve"> these offences potentially allow for almost unlimited state intervention into sex workers’ living arrangements, family lives, and relationships. </w:t>
      </w:r>
    </w:p>
    <w:p w:rsidR="002379DB" w:rsidRDefault="002379DB" w:rsidP="008942EF">
      <w:pPr>
        <w:spacing w:after="0" w:line="480" w:lineRule="auto"/>
        <w:jc w:val="both"/>
        <w:rPr>
          <w:rFonts w:ascii="Times New Roman" w:hAnsi="Times New Roman" w:cs="Times New Roman"/>
          <w:sz w:val="24"/>
          <w:szCs w:val="24"/>
        </w:rPr>
      </w:pPr>
    </w:p>
    <w:p w:rsidR="002379DB" w:rsidRPr="002379DB" w:rsidRDefault="002379DB" w:rsidP="002379DB">
      <w:pPr>
        <w:spacing w:after="0" w:line="480" w:lineRule="auto"/>
        <w:jc w:val="both"/>
        <w:rPr>
          <w:rFonts w:ascii="Times New Roman" w:hAnsi="Times New Roman" w:cs="Times New Roman"/>
          <w:sz w:val="24"/>
          <w:szCs w:val="24"/>
        </w:rPr>
      </w:pPr>
      <w:r w:rsidRPr="002379DB">
        <w:rPr>
          <w:rFonts w:ascii="Times New Roman" w:hAnsi="Times New Roman" w:cs="Times New Roman"/>
          <w:sz w:val="24"/>
          <w:szCs w:val="24"/>
        </w:rPr>
        <w:t xml:space="preserve">The role of state intervention is reinforced by these offences since the decision of </w:t>
      </w:r>
      <w:r w:rsidRPr="002379DB">
        <w:rPr>
          <w:rFonts w:ascii="Times New Roman" w:hAnsi="Times New Roman" w:cs="Times New Roman"/>
          <w:i/>
          <w:sz w:val="24"/>
          <w:szCs w:val="24"/>
        </w:rPr>
        <w:t>R v Massey</w:t>
      </w:r>
      <w:r w:rsidRPr="002379DB">
        <w:rPr>
          <w:rFonts w:ascii="Times New Roman" w:hAnsi="Times New Roman" w:cs="Times New Roman"/>
          <w:sz w:val="24"/>
          <w:szCs w:val="24"/>
        </w:rPr>
        <w:t>, in which the Court of Appeal held that the word ‘control’ - which forms part of the offence of controlling prostitution for gain</w:t>
      </w:r>
      <w:r>
        <w:rPr>
          <w:rFonts w:ascii="Times New Roman" w:hAnsi="Times New Roman" w:cs="Times New Roman"/>
          <w:sz w:val="24"/>
          <w:szCs w:val="24"/>
        </w:rPr>
        <w:t xml:space="preserve"> under the Sexual Offences Act 2003 s 53</w:t>
      </w:r>
      <w:r w:rsidRPr="002379DB">
        <w:rPr>
          <w:rFonts w:ascii="Times New Roman" w:hAnsi="Times New Roman" w:cs="Times New Roman"/>
          <w:sz w:val="24"/>
          <w:szCs w:val="24"/>
        </w:rPr>
        <w:t xml:space="preserve"> - does not require any force or coercion, and can be fulfilled where a ‘defendant instructs or directs the other person to carry out the relevant activity or do it in a particular way’.</w:t>
      </w:r>
      <w:r w:rsidR="0005141F">
        <w:rPr>
          <w:rStyle w:val="FootnoteReference"/>
          <w:rFonts w:ascii="Times New Roman" w:hAnsi="Times New Roman" w:cs="Times New Roman"/>
          <w:sz w:val="24"/>
          <w:szCs w:val="24"/>
        </w:rPr>
        <w:footnoteReference w:id="119"/>
      </w:r>
      <w:r w:rsidRPr="002379DB">
        <w:rPr>
          <w:rFonts w:ascii="Times New Roman" w:hAnsi="Times New Roman" w:cs="Times New Roman"/>
          <w:sz w:val="24"/>
          <w:szCs w:val="24"/>
        </w:rPr>
        <w:t xml:space="preserve"> This broadens out the offence beyond controlling the sex worker’s ‘prostitution’ to controlling any activities related to that prostitution.</w:t>
      </w:r>
      <w:r w:rsidR="0005141F">
        <w:rPr>
          <w:rStyle w:val="FootnoteReference"/>
          <w:rFonts w:ascii="Times New Roman" w:hAnsi="Times New Roman" w:cs="Times New Roman"/>
          <w:sz w:val="24"/>
          <w:szCs w:val="24"/>
        </w:rPr>
        <w:footnoteReference w:id="120"/>
      </w:r>
      <w:r w:rsidRPr="002379DB">
        <w:rPr>
          <w:rFonts w:ascii="Times New Roman" w:hAnsi="Times New Roman" w:cs="Times New Roman"/>
          <w:sz w:val="24"/>
          <w:szCs w:val="24"/>
        </w:rPr>
        <w:t xml:space="preserve"> Moreover, the lack of clear definition set out by either the offence or the Court of Appeal means that any person who directs a sex worker in any way (this could be keeping their diary, for example), in order to make a gain (wages from the sex worker employing them, for example), could be covered by this offence. As such, far from private immorality ‘not being the law’s business’, the criminal law now ‘rules the lives’</w:t>
      </w:r>
      <w:r w:rsidR="0005141F">
        <w:rPr>
          <w:rStyle w:val="FootnoteReference"/>
          <w:rFonts w:ascii="Times New Roman" w:hAnsi="Times New Roman" w:cs="Times New Roman"/>
          <w:sz w:val="24"/>
          <w:szCs w:val="24"/>
        </w:rPr>
        <w:footnoteReference w:id="121"/>
      </w:r>
      <w:r w:rsidRPr="002379DB">
        <w:rPr>
          <w:rFonts w:ascii="Times New Roman" w:hAnsi="Times New Roman" w:cs="Times New Roman"/>
          <w:sz w:val="24"/>
          <w:szCs w:val="24"/>
        </w:rPr>
        <w:t xml:space="preserve">  of those </w:t>
      </w:r>
      <w:r w:rsidRPr="002379DB">
        <w:rPr>
          <w:rFonts w:ascii="Times New Roman" w:hAnsi="Times New Roman" w:cs="Times New Roman"/>
          <w:sz w:val="24"/>
          <w:szCs w:val="24"/>
        </w:rPr>
        <w:lastRenderedPageBreak/>
        <w:t>in indoor sex work. In fact, the supposed private lives of indoor sex workers are ‘now a zone in which potential responsibility for criminal action is even greater than in other contexts’.</w:t>
      </w:r>
      <w:r w:rsidR="0005141F">
        <w:rPr>
          <w:rStyle w:val="FootnoteReference"/>
          <w:rFonts w:ascii="Times New Roman" w:hAnsi="Times New Roman" w:cs="Times New Roman"/>
          <w:sz w:val="24"/>
          <w:szCs w:val="24"/>
        </w:rPr>
        <w:footnoteReference w:id="122"/>
      </w:r>
    </w:p>
    <w:p w:rsidR="00B23F46" w:rsidRDefault="00B23F46" w:rsidP="008942EF">
      <w:pPr>
        <w:spacing w:after="0" w:line="480" w:lineRule="auto"/>
        <w:jc w:val="both"/>
        <w:rPr>
          <w:rFonts w:ascii="Times New Roman" w:hAnsi="Times New Roman" w:cs="Times New Roman"/>
          <w:sz w:val="24"/>
          <w:szCs w:val="24"/>
        </w:rPr>
      </w:pPr>
    </w:p>
    <w:p w:rsidR="008942EF" w:rsidRPr="00663103" w:rsidRDefault="00663103" w:rsidP="008942EF">
      <w:pPr>
        <w:spacing w:after="0" w:line="480" w:lineRule="auto"/>
        <w:jc w:val="both"/>
        <w:rPr>
          <w:rFonts w:ascii="Times New Roman" w:hAnsi="Times New Roman" w:cs="Times New Roman"/>
          <w:sz w:val="24"/>
          <w:szCs w:val="24"/>
          <w:lang w:val="en"/>
        </w:rPr>
      </w:pPr>
      <w:r>
        <w:rPr>
          <w:rFonts w:ascii="Times New Roman" w:hAnsi="Times New Roman" w:cs="Times New Roman"/>
          <w:sz w:val="24"/>
          <w:szCs w:val="24"/>
        </w:rPr>
        <w:t>While attempting to criminalise ‘exploitation</w:t>
      </w:r>
      <w:r w:rsidR="002379DB">
        <w:rPr>
          <w:rFonts w:ascii="Times New Roman" w:hAnsi="Times New Roman" w:cs="Times New Roman"/>
          <w:sz w:val="24"/>
          <w:szCs w:val="24"/>
        </w:rPr>
        <w:t>’</w:t>
      </w:r>
      <w:r>
        <w:rPr>
          <w:rFonts w:ascii="Times New Roman" w:hAnsi="Times New Roman" w:cs="Times New Roman"/>
          <w:sz w:val="24"/>
          <w:szCs w:val="24"/>
        </w:rPr>
        <w:t xml:space="preserve"> of sex workers, these offences do not </w:t>
      </w:r>
      <w:r w:rsidR="002379DB">
        <w:rPr>
          <w:rFonts w:ascii="Times New Roman" w:hAnsi="Times New Roman" w:cs="Times New Roman"/>
          <w:sz w:val="24"/>
          <w:szCs w:val="24"/>
        </w:rPr>
        <w:t>construct</w:t>
      </w:r>
      <w:r>
        <w:rPr>
          <w:rFonts w:ascii="Times New Roman" w:hAnsi="Times New Roman" w:cs="Times New Roman"/>
          <w:sz w:val="24"/>
          <w:szCs w:val="24"/>
        </w:rPr>
        <w:t xml:space="preserve"> sex workers </w:t>
      </w:r>
      <w:r w:rsidR="002379DB">
        <w:rPr>
          <w:rFonts w:ascii="Times New Roman" w:hAnsi="Times New Roman" w:cs="Times New Roman"/>
          <w:sz w:val="24"/>
          <w:szCs w:val="24"/>
        </w:rPr>
        <w:t>as part of</w:t>
      </w:r>
      <w:r>
        <w:rPr>
          <w:rFonts w:ascii="Times New Roman" w:hAnsi="Times New Roman" w:cs="Times New Roman"/>
          <w:sz w:val="24"/>
          <w:szCs w:val="24"/>
        </w:rPr>
        <w:t xml:space="preserve"> the ‘victim’ citizenry. </w:t>
      </w:r>
      <w:r w:rsidR="008942EF" w:rsidRPr="008942EF">
        <w:rPr>
          <w:rFonts w:ascii="Times New Roman" w:hAnsi="Times New Roman" w:cs="Times New Roman"/>
          <w:sz w:val="24"/>
          <w:szCs w:val="24"/>
          <w:lang w:val="en"/>
        </w:rPr>
        <w:t xml:space="preserve">Many of these offences </w:t>
      </w:r>
      <w:r w:rsidR="009C03A9">
        <w:rPr>
          <w:rFonts w:ascii="Times New Roman" w:hAnsi="Times New Roman" w:cs="Times New Roman"/>
          <w:sz w:val="24"/>
          <w:szCs w:val="24"/>
          <w:lang w:val="en"/>
        </w:rPr>
        <w:t>ar</w:t>
      </w:r>
      <w:r w:rsidR="008942EF" w:rsidRPr="008942EF">
        <w:rPr>
          <w:rFonts w:ascii="Times New Roman" w:hAnsi="Times New Roman" w:cs="Times New Roman"/>
          <w:sz w:val="24"/>
          <w:szCs w:val="24"/>
          <w:lang w:val="en"/>
        </w:rPr>
        <w:t>e simply the consolidated revisions of offences found in the Criminal Amendment Act 1885, which was passed in the context of a moral panic around the ‘White Slave Trade’</w:t>
      </w:r>
      <w:r>
        <w:rPr>
          <w:rFonts w:ascii="Times New Roman" w:hAnsi="Times New Roman" w:cs="Times New Roman"/>
          <w:sz w:val="24"/>
          <w:szCs w:val="24"/>
          <w:lang w:val="en"/>
        </w:rPr>
        <w:t xml:space="preserve"> and the fear that white women were being abducted in large numbers</w:t>
      </w:r>
      <w:r w:rsidR="00541F8F">
        <w:rPr>
          <w:rFonts w:ascii="Times New Roman" w:hAnsi="Times New Roman" w:cs="Times New Roman"/>
          <w:sz w:val="24"/>
          <w:szCs w:val="24"/>
          <w:lang w:val="en"/>
        </w:rPr>
        <w:t>.</w:t>
      </w:r>
      <w:r w:rsidR="0005141F">
        <w:rPr>
          <w:rStyle w:val="FootnoteReference"/>
          <w:rFonts w:ascii="Times New Roman" w:hAnsi="Times New Roman" w:cs="Times New Roman"/>
          <w:sz w:val="24"/>
          <w:szCs w:val="24"/>
          <w:lang w:val="en"/>
        </w:rPr>
        <w:footnoteReference w:id="123"/>
      </w:r>
      <w:r w:rsidR="00541F8F">
        <w:rPr>
          <w:rFonts w:ascii="Times New Roman" w:hAnsi="Times New Roman" w:cs="Times New Roman"/>
          <w:sz w:val="24"/>
          <w:szCs w:val="24"/>
          <w:lang w:val="en"/>
        </w:rPr>
        <w:t xml:space="preserve"> </w:t>
      </w:r>
      <w:r w:rsidR="008942EF" w:rsidRPr="008942EF">
        <w:rPr>
          <w:rFonts w:ascii="Times New Roman" w:hAnsi="Times New Roman" w:cs="Times New Roman"/>
          <w:sz w:val="24"/>
          <w:szCs w:val="24"/>
          <w:lang w:val="en"/>
        </w:rPr>
        <w:t>Yet, notably, under the 1885 Act</w:t>
      </w:r>
      <w:r>
        <w:rPr>
          <w:rFonts w:ascii="Times New Roman" w:hAnsi="Times New Roman" w:cs="Times New Roman"/>
          <w:sz w:val="24"/>
          <w:szCs w:val="24"/>
          <w:lang w:val="en"/>
        </w:rPr>
        <w:t xml:space="preserve"> (ss 2-3)</w:t>
      </w:r>
      <w:r w:rsidR="008942EF" w:rsidRPr="008942EF">
        <w:rPr>
          <w:rFonts w:ascii="Times New Roman" w:hAnsi="Times New Roman" w:cs="Times New Roman"/>
          <w:sz w:val="24"/>
          <w:szCs w:val="24"/>
          <w:lang w:val="en"/>
        </w:rPr>
        <w:t xml:space="preserve">, the </w:t>
      </w:r>
      <w:r>
        <w:rPr>
          <w:rFonts w:ascii="Times New Roman" w:hAnsi="Times New Roman" w:cs="Times New Roman"/>
          <w:sz w:val="24"/>
          <w:szCs w:val="24"/>
          <w:lang w:val="en"/>
        </w:rPr>
        <w:t>protective laws</w:t>
      </w:r>
      <w:r w:rsidR="008942EF" w:rsidRPr="008942EF">
        <w:rPr>
          <w:rFonts w:ascii="Times New Roman" w:hAnsi="Times New Roman" w:cs="Times New Roman"/>
          <w:sz w:val="24"/>
          <w:szCs w:val="24"/>
          <w:lang w:val="en"/>
        </w:rPr>
        <w:t xml:space="preserve"> excluded any woman or girl who was a ‘common prostitute’ or a girl of ‘known immoral character’. This meant that if a woman was already a </w:t>
      </w:r>
      <w:r>
        <w:rPr>
          <w:rFonts w:ascii="Times New Roman" w:hAnsi="Times New Roman" w:cs="Times New Roman"/>
          <w:sz w:val="24"/>
          <w:szCs w:val="24"/>
          <w:lang w:val="en"/>
        </w:rPr>
        <w:t>‘</w:t>
      </w:r>
      <w:r w:rsidR="008942EF" w:rsidRPr="008942EF">
        <w:rPr>
          <w:rFonts w:ascii="Times New Roman" w:hAnsi="Times New Roman" w:cs="Times New Roman"/>
          <w:sz w:val="24"/>
          <w:szCs w:val="24"/>
          <w:lang w:val="en"/>
        </w:rPr>
        <w:t>prostitute</w:t>
      </w:r>
      <w:r>
        <w:rPr>
          <w:rFonts w:ascii="Times New Roman" w:hAnsi="Times New Roman" w:cs="Times New Roman"/>
          <w:sz w:val="24"/>
          <w:szCs w:val="24"/>
          <w:lang w:val="en"/>
        </w:rPr>
        <w:t>’</w:t>
      </w:r>
      <w:r w:rsidR="008942EF" w:rsidRPr="008942EF">
        <w:rPr>
          <w:rFonts w:ascii="Times New Roman" w:hAnsi="Times New Roman" w:cs="Times New Roman"/>
          <w:sz w:val="24"/>
          <w:szCs w:val="24"/>
          <w:lang w:val="en"/>
        </w:rPr>
        <w:t>, she could not be protected from trafficking, deception, or controlling under these offences. Sex workers’ exclusion from this protection suggests that rather than an interest in reducing victimisation and exploitation of sex workers, these offences were concerned with protecting the morality and purity of women and girls who had not already been tainted by prostitution. Moreover, the passage of these Acts and the repression of off-street prostitution were pushed by powerful ‘social purity’ organisations whose aim was to remove vice from society.</w:t>
      </w:r>
      <w:r w:rsidR="009B57E6">
        <w:rPr>
          <w:rStyle w:val="FootnoteReference"/>
          <w:rFonts w:ascii="Times New Roman" w:hAnsi="Times New Roman" w:cs="Times New Roman"/>
          <w:sz w:val="24"/>
          <w:szCs w:val="24"/>
          <w:lang w:val="en"/>
        </w:rPr>
        <w:footnoteReference w:id="124"/>
      </w:r>
      <w:r w:rsidR="008942EF" w:rsidRPr="008942EF">
        <w:rPr>
          <w:rFonts w:ascii="Times New Roman" w:hAnsi="Times New Roman" w:cs="Times New Roman"/>
          <w:sz w:val="24"/>
          <w:szCs w:val="24"/>
          <w:lang w:val="en"/>
        </w:rPr>
        <w:t xml:space="preserve"> In this way, sex workers were again clearly constructed as outside the citizenry that needed protection and the sex industry was portrayed as inherently linked to external forces of organised crime – part of what Simon calls the ‘catalog of “monsters”… [that] forms a constantly renewed rationale for legislative action’.</w:t>
      </w:r>
      <w:r w:rsidR="009B57E6">
        <w:rPr>
          <w:rStyle w:val="FootnoteReference"/>
          <w:rFonts w:ascii="Times New Roman" w:hAnsi="Times New Roman" w:cs="Times New Roman"/>
          <w:sz w:val="24"/>
          <w:szCs w:val="24"/>
          <w:lang w:val="en"/>
        </w:rPr>
        <w:footnoteReference w:id="125"/>
      </w:r>
    </w:p>
    <w:p w:rsidR="00C7260A" w:rsidRDefault="00C7260A" w:rsidP="008942EF">
      <w:pPr>
        <w:spacing w:after="0" w:line="480" w:lineRule="auto"/>
        <w:jc w:val="both"/>
        <w:rPr>
          <w:rFonts w:ascii="Times New Roman" w:hAnsi="Times New Roman" w:cs="Times New Roman"/>
          <w:i/>
          <w:sz w:val="24"/>
          <w:szCs w:val="24"/>
        </w:rPr>
      </w:pPr>
    </w:p>
    <w:p w:rsidR="000E0C7A" w:rsidRDefault="00D25D2F" w:rsidP="008942EF">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The shift to ‘e</w:t>
      </w:r>
      <w:r w:rsidR="0072512F">
        <w:rPr>
          <w:rFonts w:ascii="Times New Roman" w:hAnsi="Times New Roman" w:cs="Times New Roman"/>
          <w:i/>
          <w:sz w:val="24"/>
          <w:szCs w:val="24"/>
        </w:rPr>
        <w:t>xploitation</w:t>
      </w:r>
      <w:r w:rsidR="000E0C7A">
        <w:rPr>
          <w:rFonts w:ascii="Times New Roman" w:hAnsi="Times New Roman" w:cs="Times New Roman"/>
          <w:i/>
          <w:sz w:val="24"/>
          <w:szCs w:val="24"/>
        </w:rPr>
        <w:t>’</w:t>
      </w:r>
      <w:r>
        <w:rPr>
          <w:rFonts w:ascii="Times New Roman" w:hAnsi="Times New Roman" w:cs="Times New Roman"/>
          <w:i/>
          <w:sz w:val="24"/>
          <w:szCs w:val="24"/>
        </w:rPr>
        <w:t>: sex w</w:t>
      </w:r>
      <w:r w:rsidR="0072512F">
        <w:rPr>
          <w:rFonts w:ascii="Times New Roman" w:hAnsi="Times New Roman" w:cs="Times New Roman"/>
          <w:i/>
          <w:sz w:val="24"/>
          <w:szCs w:val="24"/>
        </w:rPr>
        <w:t xml:space="preserve">orkers </w:t>
      </w:r>
      <w:r>
        <w:rPr>
          <w:rFonts w:ascii="Times New Roman" w:hAnsi="Times New Roman" w:cs="Times New Roman"/>
          <w:i/>
          <w:sz w:val="24"/>
          <w:szCs w:val="24"/>
        </w:rPr>
        <w:t>and v</w:t>
      </w:r>
      <w:r w:rsidR="0072512F">
        <w:rPr>
          <w:rFonts w:ascii="Times New Roman" w:hAnsi="Times New Roman" w:cs="Times New Roman"/>
          <w:i/>
          <w:sz w:val="24"/>
          <w:szCs w:val="24"/>
        </w:rPr>
        <w:t>ictimhood</w:t>
      </w:r>
    </w:p>
    <w:p w:rsidR="000E0C7A" w:rsidRDefault="000E0C7A" w:rsidP="008942EF">
      <w:pPr>
        <w:spacing w:after="0" w:line="480" w:lineRule="auto"/>
        <w:jc w:val="both"/>
        <w:rPr>
          <w:rFonts w:ascii="Times New Roman" w:hAnsi="Times New Roman" w:cs="Times New Roman"/>
          <w:sz w:val="24"/>
          <w:szCs w:val="24"/>
        </w:rPr>
      </w:pPr>
    </w:p>
    <w:p w:rsidR="003F186B" w:rsidRDefault="002379DB" w:rsidP="008942EF">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
        </w:rPr>
        <w:t>Reflecting the 19</w:t>
      </w:r>
      <w:r w:rsidRPr="002379DB">
        <w:rPr>
          <w:rFonts w:ascii="Times New Roman" w:hAnsi="Times New Roman" w:cs="Times New Roman"/>
          <w:sz w:val="24"/>
          <w:szCs w:val="24"/>
          <w:vertAlign w:val="superscript"/>
          <w:lang w:val="en"/>
        </w:rPr>
        <w:t>th</w:t>
      </w:r>
      <w:r>
        <w:rPr>
          <w:rFonts w:ascii="Times New Roman" w:hAnsi="Times New Roman" w:cs="Times New Roman"/>
          <w:sz w:val="24"/>
          <w:szCs w:val="24"/>
          <w:lang w:val="en"/>
        </w:rPr>
        <w:t xml:space="preserve"> century panic around the White Slave Trade,</w:t>
      </w:r>
      <w:r w:rsidR="008942EF" w:rsidRPr="008942EF">
        <w:rPr>
          <w:rFonts w:ascii="Times New Roman" w:hAnsi="Times New Roman" w:cs="Times New Roman"/>
          <w:sz w:val="24"/>
          <w:szCs w:val="24"/>
          <w:lang w:val="en"/>
        </w:rPr>
        <w:t xml:space="preserve"> fear of trafficking and macro levels of exploitation has been renewed in the past two decades. </w:t>
      </w:r>
      <w:r w:rsidR="008942EF" w:rsidRPr="008942EF">
        <w:rPr>
          <w:rFonts w:ascii="Times New Roman" w:hAnsi="Times New Roman" w:cs="Times New Roman"/>
          <w:sz w:val="24"/>
          <w:szCs w:val="24"/>
        </w:rPr>
        <w:t>The significance of this debate can be seen in the Government focus on ‘victims of trafficking’ and exploitation,</w:t>
      </w:r>
      <w:r w:rsidR="009B57E6">
        <w:rPr>
          <w:rStyle w:val="FootnoteReference"/>
          <w:rFonts w:ascii="Times New Roman" w:hAnsi="Times New Roman" w:cs="Times New Roman"/>
          <w:sz w:val="24"/>
          <w:szCs w:val="24"/>
        </w:rPr>
        <w:footnoteReference w:id="126"/>
      </w:r>
      <w:r w:rsidR="008942EF" w:rsidRPr="008942EF">
        <w:rPr>
          <w:rFonts w:ascii="Times New Roman" w:hAnsi="Times New Roman" w:cs="Times New Roman"/>
          <w:sz w:val="24"/>
          <w:szCs w:val="24"/>
        </w:rPr>
        <w:t xml:space="preserve"> which tends to assume that migrant sex workers have been ‘duped’ or ‘deceived’ and are unaware that the jobs that they will be doing are in the sex industry.</w:t>
      </w:r>
      <w:r w:rsidR="009B57E6">
        <w:rPr>
          <w:rStyle w:val="FootnoteReference"/>
          <w:rFonts w:ascii="Times New Roman" w:hAnsi="Times New Roman" w:cs="Times New Roman"/>
          <w:sz w:val="24"/>
          <w:szCs w:val="24"/>
        </w:rPr>
        <w:footnoteReference w:id="127"/>
      </w:r>
      <w:r w:rsidR="008942EF" w:rsidRPr="008942EF">
        <w:rPr>
          <w:rFonts w:ascii="Times New Roman" w:hAnsi="Times New Roman" w:cs="Times New Roman"/>
          <w:sz w:val="24"/>
          <w:szCs w:val="24"/>
        </w:rPr>
        <w:t xml:space="preserve"> </w:t>
      </w:r>
      <w:r w:rsidR="003F186B">
        <w:rPr>
          <w:rFonts w:ascii="Times New Roman" w:hAnsi="Times New Roman" w:cs="Times New Roman"/>
          <w:sz w:val="24"/>
          <w:szCs w:val="24"/>
        </w:rPr>
        <w:t xml:space="preserve">As </w:t>
      </w:r>
      <w:r w:rsidR="0072512F">
        <w:rPr>
          <w:rFonts w:ascii="Times New Roman" w:hAnsi="Times New Roman" w:cs="Times New Roman"/>
          <w:sz w:val="24"/>
          <w:szCs w:val="24"/>
        </w:rPr>
        <w:t xml:space="preserve">Ronald </w:t>
      </w:r>
      <w:r w:rsidR="008942EF" w:rsidRPr="008942EF">
        <w:rPr>
          <w:rFonts w:ascii="Times New Roman" w:hAnsi="Times New Roman" w:cs="Times New Roman"/>
          <w:sz w:val="24"/>
          <w:szCs w:val="24"/>
        </w:rPr>
        <w:t xml:space="preserve">Weitzer and </w:t>
      </w:r>
      <w:r w:rsidR="0072512F">
        <w:rPr>
          <w:rFonts w:ascii="Times New Roman" w:hAnsi="Times New Roman" w:cs="Times New Roman"/>
          <w:sz w:val="24"/>
          <w:szCs w:val="24"/>
        </w:rPr>
        <w:t xml:space="preserve">Melissa </w:t>
      </w:r>
      <w:r w:rsidR="008942EF" w:rsidRPr="008942EF">
        <w:rPr>
          <w:rFonts w:ascii="Times New Roman" w:hAnsi="Times New Roman" w:cs="Times New Roman"/>
          <w:sz w:val="24"/>
          <w:szCs w:val="24"/>
        </w:rPr>
        <w:t xml:space="preserve">Ditmore </w:t>
      </w:r>
      <w:r w:rsidR="003F186B">
        <w:rPr>
          <w:rFonts w:ascii="Times New Roman" w:hAnsi="Times New Roman" w:cs="Times New Roman"/>
          <w:sz w:val="24"/>
          <w:szCs w:val="24"/>
        </w:rPr>
        <w:t xml:space="preserve">state, </w:t>
      </w:r>
      <w:r w:rsidR="008942EF" w:rsidRPr="008942EF">
        <w:rPr>
          <w:rFonts w:ascii="Times New Roman" w:hAnsi="Times New Roman" w:cs="Times New Roman"/>
          <w:sz w:val="24"/>
          <w:szCs w:val="24"/>
        </w:rPr>
        <w:t>‘we know that there are victims of coercive or deceptive enticement into the sex trade: people are transported, without their consent or fully informed consent, to locations where they are forced to engage in prostitution’.</w:t>
      </w:r>
      <w:r w:rsidR="009B57E6">
        <w:rPr>
          <w:rStyle w:val="FootnoteReference"/>
          <w:rFonts w:ascii="Times New Roman" w:hAnsi="Times New Roman" w:cs="Times New Roman"/>
          <w:sz w:val="24"/>
          <w:szCs w:val="24"/>
        </w:rPr>
        <w:footnoteReference w:id="128"/>
      </w:r>
      <w:r w:rsidR="008942EF" w:rsidRPr="008942EF">
        <w:rPr>
          <w:rFonts w:ascii="Times New Roman" w:hAnsi="Times New Roman" w:cs="Times New Roman"/>
          <w:sz w:val="24"/>
          <w:szCs w:val="24"/>
        </w:rPr>
        <w:t xml:space="preserve"> Yet, there is very limited knowledge on how many sex workers have, in fact, been trafficked into prostitution, with reported figures ranging between 142 and 1, 420 women and children;</w:t>
      </w:r>
      <w:r w:rsidR="009B57E6">
        <w:rPr>
          <w:rStyle w:val="FootnoteReference"/>
          <w:rFonts w:ascii="Times New Roman" w:hAnsi="Times New Roman" w:cs="Times New Roman"/>
          <w:sz w:val="24"/>
          <w:szCs w:val="24"/>
        </w:rPr>
        <w:footnoteReference w:id="129"/>
      </w:r>
      <w:r w:rsidR="008942EF" w:rsidRPr="008942EF">
        <w:rPr>
          <w:rFonts w:ascii="Times New Roman" w:hAnsi="Times New Roman" w:cs="Times New Roman"/>
          <w:sz w:val="24"/>
          <w:szCs w:val="24"/>
        </w:rPr>
        <w:t xml:space="preserve"> 4,000 people;</w:t>
      </w:r>
      <w:r w:rsidR="009B57E6">
        <w:rPr>
          <w:rStyle w:val="FootnoteReference"/>
          <w:rFonts w:ascii="Times New Roman" w:hAnsi="Times New Roman" w:cs="Times New Roman"/>
          <w:sz w:val="24"/>
          <w:szCs w:val="24"/>
        </w:rPr>
        <w:footnoteReference w:id="130"/>
      </w:r>
      <w:r w:rsidR="008942EF" w:rsidRPr="008942EF">
        <w:rPr>
          <w:rFonts w:ascii="Times New Roman" w:hAnsi="Times New Roman" w:cs="Times New Roman"/>
          <w:sz w:val="24"/>
          <w:szCs w:val="24"/>
        </w:rPr>
        <w:t xml:space="preserve"> and 25,000 victims of trafficking in the UK.</w:t>
      </w:r>
      <w:r w:rsidR="009B57E6">
        <w:rPr>
          <w:rStyle w:val="FootnoteReference"/>
          <w:rFonts w:ascii="Times New Roman" w:hAnsi="Times New Roman" w:cs="Times New Roman"/>
          <w:sz w:val="24"/>
          <w:szCs w:val="24"/>
        </w:rPr>
        <w:footnoteReference w:id="131"/>
      </w:r>
      <w:r w:rsidR="008942EF" w:rsidRPr="008942EF">
        <w:rPr>
          <w:rFonts w:ascii="Times New Roman" w:hAnsi="Times New Roman" w:cs="Times New Roman"/>
          <w:sz w:val="24"/>
          <w:szCs w:val="24"/>
        </w:rPr>
        <w:t xml:space="preserve"> These figures have been presented often without a source, and at other times with very questionable methodology.</w:t>
      </w:r>
      <w:r w:rsidR="009B57E6">
        <w:rPr>
          <w:rStyle w:val="FootnoteReference"/>
          <w:rFonts w:ascii="Times New Roman" w:hAnsi="Times New Roman" w:cs="Times New Roman"/>
          <w:sz w:val="24"/>
          <w:szCs w:val="24"/>
        </w:rPr>
        <w:footnoteReference w:id="132"/>
      </w:r>
      <w:r w:rsidR="008942EF" w:rsidRPr="008942EF">
        <w:rPr>
          <w:rFonts w:ascii="Times New Roman" w:hAnsi="Times New Roman" w:cs="Times New Roman"/>
          <w:sz w:val="24"/>
          <w:szCs w:val="24"/>
        </w:rPr>
        <w:t xml:space="preserve"> </w:t>
      </w:r>
      <w:r w:rsidR="00663103" w:rsidRPr="008942EF">
        <w:rPr>
          <w:rFonts w:ascii="Times New Roman" w:hAnsi="Times New Roman" w:cs="Times New Roman"/>
          <w:sz w:val="24"/>
          <w:szCs w:val="24"/>
        </w:rPr>
        <w:t xml:space="preserve">Although finding and helping genuine victims of trafficking and exploitation should be a priority for the Government – </w:t>
      </w:r>
      <w:r w:rsidR="00663103">
        <w:rPr>
          <w:rFonts w:ascii="Times New Roman" w:hAnsi="Times New Roman" w:cs="Times New Roman"/>
          <w:sz w:val="24"/>
          <w:szCs w:val="24"/>
        </w:rPr>
        <w:t xml:space="preserve">that is, </w:t>
      </w:r>
      <w:r w:rsidR="00663103" w:rsidRPr="008942EF">
        <w:rPr>
          <w:rFonts w:ascii="Times New Roman" w:hAnsi="Times New Roman" w:cs="Times New Roman"/>
          <w:sz w:val="24"/>
          <w:szCs w:val="24"/>
        </w:rPr>
        <w:t>governing crime - by exaggerating or guessing the numbers to be found, and conflating all  migrant sex workers with trafficking victims, it will arguably become harder to find the most vulnerable individuals</w:t>
      </w:r>
      <w:r w:rsidR="00663103">
        <w:rPr>
          <w:rFonts w:ascii="Times New Roman" w:hAnsi="Times New Roman" w:cs="Times New Roman"/>
          <w:sz w:val="24"/>
          <w:szCs w:val="24"/>
        </w:rPr>
        <w:t xml:space="preserve"> (Brooks-Gordon, 2009)</w:t>
      </w:r>
      <w:r w:rsidR="00663103" w:rsidRPr="008942EF">
        <w:rPr>
          <w:rFonts w:ascii="Times New Roman" w:hAnsi="Times New Roman" w:cs="Times New Roman"/>
          <w:sz w:val="24"/>
          <w:szCs w:val="24"/>
        </w:rPr>
        <w:t>.</w:t>
      </w:r>
      <w:r w:rsidR="00143A6A">
        <w:rPr>
          <w:rStyle w:val="FootnoteReference"/>
          <w:rFonts w:ascii="Times New Roman" w:hAnsi="Times New Roman" w:cs="Times New Roman"/>
          <w:sz w:val="24"/>
          <w:szCs w:val="24"/>
        </w:rPr>
        <w:footnoteReference w:id="133"/>
      </w:r>
      <w:r w:rsidR="00663103">
        <w:rPr>
          <w:rFonts w:ascii="Times New Roman" w:hAnsi="Times New Roman" w:cs="Times New Roman"/>
          <w:sz w:val="24"/>
          <w:szCs w:val="24"/>
        </w:rPr>
        <w:t xml:space="preserve">  Yet, t</w:t>
      </w:r>
      <w:r w:rsidR="008942EF" w:rsidRPr="008942EF">
        <w:rPr>
          <w:rFonts w:ascii="Times New Roman" w:hAnsi="Times New Roman" w:cs="Times New Roman"/>
          <w:sz w:val="24"/>
          <w:szCs w:val="24"/>
        </w:rPr>
        <w:t xml:space="preserve">his </w:t>
      </w:r>
      <w:r w:rsidR="008942EF" w:rsidRPr="008942EF">
        <w:rPr>
          <w:rFonts w:ascii="Times New Roman" w:hAnsi="Times New Roman" w:cs="Times New Roman"/>
          <w:sz w:val="24"/>
          <w:szCs w:val="24"/>
        </w:rPr>
        <w:lastRenderedPageBreak/>
        <w:t xml:space="preserve">rhetoric of the growing problem of trafficking and sexual exploitation has clearly influenced </w:t>
      </w:r>
      <w:r w:rsidR="00663103">
        <w:rPr>
          <w:rFonts w:ascii="Times New Roman" w:hAnsi="Times New Roman" w:cs="Times New Roman"/>
          <w:sz w:val="24"/>
          <w:szCs w:val="24"/>
        </w:rPr>
        <w:t>sex work</w:t>
      </w:r>
      <w:r w:rsidR="008942EF" w:rsidRPr="008942EF">
        <w:rPr>
          <w:rFonts w:ascii="Times New Roman" w:hAnsi="Times New Roman" w:cs="Times New Roman"/>
          <w:sz w:val="24"/>
          <w:szCs w:val="24"/>
        </w:rPr>
        <w:t xml:space="preserve"> policy to a great degree</w:t>
      </w:r>
      <w:r w:rsidR="003F186B">
        <w:rPr>
          <w:rFonts w:ascii="Times New Roman" w:hAnsi="Times New Roman" w:cs="Times New Roman"/>
          <w:sz w:val="24"/>
          <w:szCs w:val="24"/>
        </w:rPr>
        <w:t>, and forms the basis of the 2016 inquiry</w:t>
      </w:r>
      <w:r w:rsidR="008942EF" w:rsidRPr="008942EF">
        <w:rPr>
          <w:rFonts w:ascii="Times New Roman" w:hAnsi="Times New Roman" w:cs="Times New Roman"/>
          <w:sz w:val="24"/>
          <w:szCs w:val="24"/>
        </w:rPr>
        <w:t xml:space="preserve">. </w:t>
      </w:r>
    </w:p>
    <w:p w:rsidR="00663103" w:rsidRDefault="00663103" w:rsidP="008942EF">
      <w:pPr>
        <w:spacing w:after="0" w:line="480" w:lineRule="auto"/>
        <w:jc w:val="both"/>
        <w:rPr>
          <w:rFonts w:ascii="Times New Roman" w:hAnsi="Times New Roman" w:cs="Times New Roman"/>
          <w:sz w:val="24"/>
          <w:szCs w:val="24"/>
        </w:rPr>
      </w:pPr>
    </w:p>
    <w:p w:rsidR="00B23F46" w:rsidRDefault="00A56C5F" w:rsidP="00A56C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Discourses</w:t>
      </w:r>
      <w:r w:rsidR="008942EF" w:rsidRPr="008942EF">
        <w:rPr>
          <w:rFonts w:ascii="Times New Roman" w:hAnsi="Times New Roman" w:cs="Times New Roman"/>
          <w:sz w:val="24"/>
          <w:szCs w:val="24"/>
        </w:rPr>
        <w:t xml:space="preserve"> about trafficking focus on the cons</w:t>
      </w:r>
      <w:r>
        <w:rPr>
          <w:rFonts w:ascii="Times New Roman" w:hAnsi="Times New Roman" w:cs="Times New Roman"/>
          <w:sz w:val="24"/>
          <w:szCs w:val="24"/>
        </w:rPr>
        <w:t xml:space="preserve">ent of the individuals involved, </w:t>
      </w:r>
      <w:r w:rsidR="008942EF" w:rsidRPr="008942EF">
        <w:rPr>
          <w:rFonts w:ascii="Times New Roman" w:hAnsi="Times New Roman" w:cs="Times New Roman"/>
          <w:sz w:val="24"/>
          <w:szCs w:val="24"/>
        </w:rPr>
        <w:t>separating ‘innocent’ trafficking victims from deviant sex workers</w:t>
      </w:r>
      <w:r w:rsidR="00240C98">
        <w:rPr>
          <w:rFonts w:ascii="Times New Roman" w:hAnsi="Times New Roman" w:cs="Times New Roman"/>
          <w:sz w:val="24"/>
          <w:szCs w:val="24"/>
        </w:rPr>
        <w:t>, and disregarding poor working conditions of those who have, in fact, chosen to work as sex workers</w:t>
      </w:r>
      <w:r w:rsidR="0045052E">
        <w:rPr>
          <w:rFonts w:ascii="Times New Roman" w:hAnsi="Times New Roman" w:cs="Times New Roman"/>
          <w:sz w:val="24"/>
          <w:szCs w:val="24"/>
        </w:rPr>
        <w:t xml:space="preserve"> </w:t>
      </w:r>
      <w:r w:rsidR="002379DB">
        <w:rPr>
          <w:rFonts w:ascii="Times New Roman" w:hAnsi="Times New Roman" w:cs="Times New Roman"/>
          <w:sz w:val="24"/>
          <w:szCs w:val="24"/>
        </w:rPr>
        <w:t>in much the same way as the 1885 Act</w:t>
      </w:r>
      <w:r w:rsidR="008942EF" w:rsidRPr="008942EF">
        <w:rPr>
          <w:rFonts w:ascii="Times New Roman" w:hAnsi="Times New Roman" w:cs="Times New Roman"/>
          <w:sz w:val="24"/>
          <w:szCs w:val="24"/>
        </w:rPr>
        <w:t>.</w:t>
      </w:r>
      <w:r w:rsidR="001C1C7E">
        <w:rPr>
          <w:rStyle w:val="FootnoteReference"/>
          <w:rFonts w:ascii="Times New Roman" w:hAnsi="Times New Roman" w:cs="Times New Roman"/>
          <w:sz w:val="24"/>
          <w:szCs w:val="24"/>
        </w:rPr>
        <w:footnoteReference w:id="134"/>
      </w:r>
      <w:r w:rsidR="008942EF" w:rsidRPr="008942EF">
        <w:rPr>
          <w:rFonts w:ascii="Times New Roman" w:hAnsi="Times New Roman" w:cs="Times New Roman"/>
          <w:sz w:val="24"/>
          <w:szCs w:val="24"/>
        </w:rPr>
        <w:t xml:space="preserve"> Because the ‘trafficking victims’ have been duped or deceived, their plight is universalised – they have done nothing to deserve what has happened to them – so the fear that this could happen to any other citizens is increased. To use Simon’s language, this leads to the public’s embrace of the ‘promise to protect the victims, and potential victims’, especially because the security effect is generalised to the whole state.</w:t>
      </w:r>
      <w:r w:rsidR="001C1C7E">
        <w:rPr>
          <w:rStyle w:val="FootnoteReference"/>
          <w:rFonts w:ascii="Times New Roman" w:hAnsi="Times New Roman" w:cs="Times New Roman"/>
          <w:sz w:val="24"/>
          <w:szCs w:val="24"/>
        </w:rPr>
        <w:footnoteReference w:id="135"/>
      </w:r>
      <w:r w:rsidR="008942EF" w:rsidRPr="008942EF">
        <w:rPr>
          <w:rFonts w:ascii="Times New Roman" w:hAnsi="Times New Roman" w:cs="Times New Roman"/>
          <w:sz w:val="24"/>
          <w:szCs w:val="24"/>
        </w:rPr>
        <w:t xml:space="preserve">  Framing the discussion in terms of protection from crime disguises any other bases for strict crackdowns on trafficking such as concerns about borders and immigration,</w:t>
      </w:r>
      <w:r w:rsidR="001C1C7E">
        <w:rPr>
          <w:rStyle w:val="FootnoteReference"/>
          <w:rFonts w:ascii="Times New Roman" w:hAnsi="Times New Roman" w:cs="Times New Roman"/>
          <w:sz w:val="24"/>
          <w:szCs w:val="24"/>
        </w:rPr>
        <w:footnoteReference w:id="136"/>
      </w:r>
      <w:r w:rsidR="008942EF" w:rsidRPr="008942EF">
        <w:rPr>
          <w:rFonts w:ascii="Times New Roman" w:hAnsi="Times New Roman" w:cs="Times New Roman"/>
          <w:sz w:val="24"/>
          <w:szCs w:val="24"/>
        </w:rPr>
        <w:t xml:space="preserve"> and creates almost universal support of a policy where framing it in terms of immigration might have a more mixed reaction. </w:t>
      </w:r>
    </w:p>
    <w:p w:rsidR="008942EF" w:rsidRPr="008942EF" w:rsidRDefault="008942EF" w:rsidP="008942EF">
      <w:pPr>
        <w:spacing w:after="0" w:line="480" w:lineRule="auto"/>
        <w:jc w:val="both"/>
        <w:rPr>
          <w:rFonts w:ascii="Times New Roman" w:hAnsi="Times New Roman" w:cs="Times New Roman"/>
          <w:sz w:val="24"/>
          <w:szCs w:val="24"/>
          <w:lang w:val="en"/>
        </w:rPr>
      </w:pPr>
      <w:r w:rsidRPr="008942EF">
        <w:rPr>
          <w:rFonts w:ascii="Times New Roman" w:hAnsi="Times New Roman" w:cs="Times New Roman"/>
          <w:sz w:val="24"/>
          <w:szCs w:val="24"/>
          <w:lang w:val="en"/>
        </w:rPr>
        <w:tab/>
      </w:r>
    </w:p>
    <w:p w:rsidR="00B23F46" w:rsidRDefault="008942EF" w:rsidP="00B23F46">
      <w:pPr>
        <w:spacing w:after="0" w:line="480" w:lineRule="auto"/>
        <w:jc w:val="both"/>
        <w:rPr>
          <w:rFonts w:ascii="Times New Roman" w:hAnsi="Times New Roman" w:cs="Times New Roman"/>
          <w:sz w:val="24"/>
          <w:szCs w:val="24"/>
        </w:rPr>
      </w:pPr>
      <w:r w:rsidRPr="008942EF">
        <w:rPr>
          <w:rFonts w:ascii="Times New Roman" w:hAnsi="Times New Roman" w:cs="Times New Roman"/>
          <w:sz w:val="24"/>
          <w:szCs w:val="24"/>
          <w:lang w:val="en"/>
        </w:rPr>
        <w:t>In light of this growing rhetoric, indoor offences were consolidated and expanded in the Sexual Offences Act 2003, which included the offences of causing and inciting prostitution for gain</w:t>
      </w:r>
      <w:r w:rsidR="0045052E">
        <w:rPr>
          <w:rFonts w:ascii="Times New Roman" w:hAnsi="Times New Roman" w:cs="Times New Roman"/>
          <w:sz w:val="24"/>
          <w:szCs w:val="24"/>
          <w:lang w:val="en"/>
        </w:rPr>
        <w:t xml:space="preserve"> (s 52)</w:t>
      </w:r>
      <w:r w:rsidRPr="008942EF">
        <w:rPr>
          <w:rFonts w:ascii="Times New Roman" w:hAnsi="Times New Roman" w:cs="Times New Roman"/>
          <w:sz w:val="24"/>
          <w:szCs w:val="24"/>
          <w:lang w:val="en"/>
        </w:rPr>
        <w:t>; controlling prostitution for gain</w:t>
      </w:r>
      <w:r w:rsidR="0045052E">
        <w:rPr>
          <w:rFonts w:ascii="Times New Roman" w:hAnsi="Times New Roman" w:cs="Times New Roman"/>
          <w:sz w:val="24"/>
          <w:szCs w:val="24"/>
          <w:lang w:val="en"/>
        </w:rPr>
        <w:t xml:space="preserve"> (s 53)</w:t>
      </w:r>
      <w:r w:rsidRPr="008942EF">
        <w:rPr>
          <w:rFonts w:ascii="Times New Roman" w:hAnsi="Times New Roman" w:cs="Times New Roman"/>
          <w:sz w:val="24"/>
          <w:szCs w:val="24"/>
          <w:lang w:val="en"/>
        </w:rPr>
        <w:t>; and created an offence of keeping a brothel fo</w:t>
      </w:r>
      <w:r w:rsidR="00A56C5F">
        <w:rPr>
          <w:rFonts w:ascii="Times New Roman" w:hAnsi="Times New Roman" w:cs="Times New Roman"/>
          <w:sz w:val="24"/>
          <w:szCs w:val="24"/>
          <w:lang w:val="en"/>
        </w:rPr>
        <w:t xml:space="preserve">r the purposes of prostitution </w:t>
      </w:r>
      <w:r w:rsidR="0045052E">
        <w:rPr>
          <w:rFonts w:ascii="Times New Roman" w:hAnsi="Times New Roman" w:cs="Times New Roman"/>
          <w:sz w:val="24"/>
          <w:szCs w:val="24"/>
          <w:lang w:val="en"/>
        </w:rPr>
        <w:t>(s 55)</w:t>
      </w:r>
      <w:r w:rsidRPr="008942EF">
        <w:rPr>
          <w:rFonts w:ascii="Times New Roman" w:hAnsi="Times New Roman" w:cs="Times New Roman"/>
          <w:sz w:val="24"/>
          <w:szCs w:val="24"/>
          <w:lang w:val="en"/>
        </w:rPr>
        <w:t>.</w:t>
      </w:r>
      <w:r w:rsidRPr="008942EF">
        <w:rPr>
          <w:rFonts w:ascii="Times New Roman" w:hAnsi="Times New Roman" w:cs="Times New Roman"/>
          <w:sz w:val="24"/>
          <w:szCs w:val="24"/>
        </w:rPr>
        <w:t xml:space="preserve"> </w:t>
      </w:r>
      <w:r w:rsidR="003F186B">
        <w:rPr>
          <w:rFonts w:ascii="Times New Roman" w:hAnsi="Times New Roman" w:cs="Times New Roman"/>
          <w:sz w:val="24"/>
          <w:szCs w:val="24"/>
        </w:rPr>
        <w:t>The</w:t>
      </w:r>
      <w:r w:rsidRPr="008942EF">
        <w:rPr>
          <w:rFonts w:ascii="Times New Roman" w:hAnsi="Times New Roman" w:cs="Times New Roman"/>
          <w:sz w:val="24"/>
          <w:szCs w:val="24"/>
        </w:rPr>
        <w:t xml:space="preserve"> combination of these laws and criminalisation of other prostitution-related activities has the effect of creating a loophole whereby the only way to legally sell sex is if </w:t>
      </w:r>
      <w:r w:rsidR="003F186B">
        <w:rPr>
          <w:rFonts w:ascii="Times New Roman" w:hAnsi="Times New Roman" w:cs="Times New Roman"/>
          <w:sz w:val="24"/>
          <w:szCs w:val="24"/>
        </w:rPr>
        <w:t>by working alone with no security or support staff</w:t>
      </w:r>
      <w:r w:rsidRPr="008942EF">
        <w:rPr>
          <w:rFonts w:ascii="Times New Roman" w:hAnsi="Times New Roman" w:cs="Times New Roman"/>
          <w:sz w:val="24"/>
          <w:szCs w:val="24"/>
        </w:rPr>
        <w:t>.</w:t>
      </w:r>
      <w:r w:rsidR="001C1C7E">
        <w:rPr>
          <w:rStyle w:val="FootnoteReference"/>
          <w:rFonts w:ascii="Times New Roman" w:hAnsi="Times New Roman" w:cs="Times New Roman"/>
          <w:sz w:val="24"/>
          <w:szCs w:val="24"/>
        </w:rPr>
        <w:footnoteReference w:id="137"/>
      </w:r>
      <w:r w:rsidRPr="008942EF">
        <w:rPr>
          <w:rFonts w:ascii="Times New Roman" w:hAnsi="Times New Roman" w:cs="Times New Roman"/>
          <w:sz w:val="24"/>
          <w:szCs w:val="24"/>
        </w:rPr>
        <w:t xml:space="preserve"> Sanders</w:t>
      </w:r>
      <w:r w:rsidR="00240C98">
        <w:rPr>
          <w:rFonts w:ascii="Times New Roman" w:hAnsi="Times New Roman" w:cs="Times New Roman"/>
          <w:sz w:val="24"/>
          <w:szCs w:val="24"/>
        </w:rPr>
        <w:t>’</w:t>
      </w:r>
      <w:r w:rsidRPr="008942EF">
        <w:rPr>
          <w:rFonts w:ascii="Times New Roman" w:hAnsi="Times New Roman" w:cs="Times New Roman"/>
          <w:sz w:val="24"/>
          <w:szCs w:val="24"/>
        </w:rPr>
        <w:t xml:space="preserve"> research with indoor sex workers reflects the heightened risk and </w:t>
      </w:r>
      <w:r w:rsidRPr="008942EF">
        <w:rPr>
          <w:rFonts w:ascii="Times New Roman" w:hAnsi="Times New Roman" w:cs="Times New Roman"/>
          <w:sz w:val="24"/>
          <w:szCs w:val="24"/>
        </w:rPr>
        <w:lastRenderedPageBreak/>
        <w:t>vulnerability associated with working alone, with respondents stating that they favoured collective working environments because of the risk that clients might become violent.</w:t>
      </w:r>
      <w:r w:rsidR="001C1C7E">
        <w:rPr>
          <w:rStyle w:val="FootnoteReference"/>
          <w:rFonts w:ascii="Times New Roman" w:hAnsi="Times New Roman" w:cs="Times New Roman"/>
          <w:sz w:val="24"/>
          <w:szCs w:val="24"/>
        </w:rPr>
        <w:footnoteReference w:id="138"/>
      </w:r>
      <w:r w:rsidRPr="008942EF">
        <w:rPr>
          <w:rFonts w:ascii="Times New Roman" w:hAnsi="Times New Roman" w:cs="Times New Roman"/>
          <w:sz w:val="24"/>
          <w:szCs w:val="24"/>
        </w:rPr>
        <w:t xml:space="preserve"> In this way, governing through crime has a significant impact on how off-street sex work is organised, and creates a context wherein the sex worker</w:t>
      </w:r>
      <w:r w:rsidR="000C06DD">
        <w:rPr>
          <w:rFonts w:ascii="Times New Roman" w:hAnsi="Times New Roman" w:cs="Times New Roman"/>
          <w:sz w:val="24"/>
          <w:szCs w:val="24"/>
        </w:rPr>
        <w:t xml:space="preserve"> </w:t>
      </w:r>
      <w:r w:rsidRPr="008942EF">
        <w:rPr>
          <w:rFonts w:ascii="Times New Roman" w:hAnsi="Times New Roman" w:cs="Times New Roman"/>
          <w:sz w:val="24"/>
          <w:szCs w:val="24"/>
        </w:rPr>
        <w:t xml:space="preserve">is working in an illegitimate industry, and the only way to work legally is to increase their likelihood of facing violence and exploitation. </w:t>
      </w:r>
    </w:p>
    <w:p w:rsidR="002379DB" w:rsidRDefault="002379DB" w:rsidP="00B23F46">
      <w:pPr>
        <w:spacing w:after="0" w:line="480" w:lineRule="auto"/>
        <w:jc w:val="both"/>
        <w:rPr>
          <w:rFonts w:ascii="Times New Roman" w:hAnsi="Times New Roman" w:cs="Times New Roman"/>
          <w:sz w:val="24"/>
          <w:szCs w:val="24"/>
        </w:rPr>
      </w:pPr>
    </w:p>
    <w:p w:rsidR="00B23F46" w:rsidRPr="00B23F46" w:rsidRDefault="00B23F46" w:rsidP="00B23F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the face of this choice between working safely and working legally, many sex workers choose to work together or with management in illegal settings. Because of this illegitimacy, they have no legal rights and protections and therefore are at greater risk of exploitation by third parties</w:t>
      </w:r>
      <w:r w:rsidR="001C1C7E">
        <w:rPr>
          <w:rFonts w:ascii="Times New Roman" w:hAnsi="Times New Roman" w:cs="Times New Roman"/>
          <w:sz w:val="24"/>
          <w:szCs w:val="24"/>
        </w:rPr>
        <w:t xml:space="preserve">. </w:t>
      </w:r>
      <w:r w:rsidRPr="00B23F46">
        <w:rPr>
          <w:rFonts w:ascii="Times New Roman" w:hAnsi="Times New Roman" w:cs="Times New Roman"/>
          <w:sz w:val="24"/>
          <w:szCs w:val="24"/>
        </w:rPr>
        <w:t>Where sex workers work with a third party</w:t>
      </w:r>
      <w:r w:rsidR="002379DB">
        <w:rPr>
          <w:rFonts w:ascii="Times New Roman" w:hAnsi="Times New Roman" w:cs="Times New Roman"/>
          <w:sz w:val="24"/>
          <w:szCs w:val="24"/>
        </w:rPr>
        <w:t>,</w:t>
      </w:r>
      <w:r w:rsidRPr="00B23F46">
        <w:rPr>
          <w:rFonts w:ascii="Times New Roman" w:hAnsi="Times New Roman" w:cs="Times New Roman"/>
          <w:sz w:val="24"/>
          <w:szCs w:val="24"/>
        </w:rPr>
        <w:t xml:space="preserve"> whether they are working for a ‘pimp’ or they are working under the ‘house rules’ of brothels,</w:t>
      </w:r>
      <w:r w:rsidR="001C1C7E">
        <w:rPr>
          <w:rStyle w:val="FootnoteReference"/>
          <w:rFonts w:ascii="Times New Roman" w:hAnsi="Times New Roman" w:cs="Times New Roman"/>
          <w:sz w:val="24"/>
          <w:szCs w:val="24"/>
        </w:rPr>
        <w:footnoteReference w:id="139"/>
      </w:r>
      <w:r w:rsidRPr="00B23F46">
        <w:rPr>
          <w:rFonts w:ascii="Times New Roman" w:hAnsi="Times New Roman" w:cs="Times New Roman"/>
          <w:sz w:val="24"/>
          <w:szCs w:val="24"/>
        </w:rPr>
        <w:t xml:space="preserve"> they are vulnerable to economic exploitation and poor working condition</w:t>
      </w:r>
      <w:r w:rsidR="009630A6">
        <w:rPr>
          <w:rFonts w:ascii="Times New Roman" w:hAnsi="Times New Roman" w:cs="Times New Roman"/>
          <w:sz w:val="24"/>
          <w:szCs w:val="24"/>
        </w:rPr>
        <w:t>s.</w:t>
      </w:r>
      <w:r w:rsidRPr="00B23F46">
        <w:rPr>
          <w:rFonts w:ascii="Times New Roman" w:hAnsi="Times New Roman" w:cs="Times New Roman"/>
          <w:sz w:val="24"/>
          <w:szCs w:val="24"/>
        </w:rPr>
        <w:t xml:space="preserve"> </w:t>
      </w:r>
      <w:r>
        <w:rPr>
          <w:rFonts w:ascii="Times New Roman" w:hAnsi="Times New Roman" w:cs="Times New Roman"/>
          <w:sz w:val="24"/>
          <w:szCs w:val="24"/>
        </w:rPr>
        <w:t xml:space="preserve">As well as </w:t>
      </w:r>
      <w:r w:rsidRPr="00B23F46">
        <w:rPr>
          <w:rFonts w:ascii="Times New Roman" w:hAnsi="Times New Roman" w:cs="Times New Roman"/>
          <w:sz w:val="24"/>
          <w:szCs w:val="24"/>
        </w:rPr>
        <w:t xml:space="preserve">working conditions and </w:t>
      </w:r>
      <w:r>
        <w:rPr>
          <w:rFonts w:ascii="Times New Roman" w:hAnsi="Times New Roman" w:cs="Times New Roman"/>
          <w:sz w:val="24"/>
          <w:szCs w:val="24"/>
        </w:rPr>
        <w:t xml:space="preserve">limited control over </w:t>
      </w:r>
      <w:r w:rsidR="002379DB">
        <w:rPr>
          <w:rFonts w:ascii="Times New Roman" w:hAnsi="Times New Roman" w:cs="Times New Roman"/>
          <w:sz w:val="24"/>
          <w:szCs w:val="24"/>
        </w:rPr>
        <w:t>choice of customer</w:t>
      </w:r>
      <w:r w:rsidRPr="00B23F46">
        <w:rPr>
          <w:rFonts w:ascii="Times New Roman" w:hAnsi="Times New Roman" w:cs="Times New Roman"/>
          <w:sz w:val="24"/>
          <w:szCs w:val="24"/>
        </w:rPr>
        <w:t>,</w:t>
      </w:r>
      <w:r w:rsidR="001C1C7E">
        <w:rPr>
          <w:rStyle w:val="FootnoteReference"/>
          <w:rFonts w:ascii="Times New Roman" w:hAnsi="Times New Roman" w:cs="Times New Roman"/>
          <w:sz w:val="24"/>
          <w:szCs w:val="24"/>
        </w:rPr>
        <w:footnoteReference w:id="140"/>
      </w:r>
      <w:r w:rsidRPr="00B23F46">
        <w:rPr>
          <w:rFonts w:ascii="Times New Roman" w:hAnsi="Times New Roman" w:cs="Times New Roman"/>
          <w:sz w:val="24"/>
          <w:szCs w:val="24"/>
        </w:rPr>
        <w:t xml:space="preserve"> working in an indoor establishment can cost sex workers </w:t>
      </w:r>
      <w:r w:rsidR="002379DB">
        <w:rPr>
          <w:rFonts w:ascii="Times New Roman" w:hAnsi="Times New Roman" w:cs="Times New Roman"/>
          <w:sz w:val="24"/>
          <w:szCs w:val="24"/>
        </w:rPr>
        <w:t>economically</w:t>
      </w:r>
      <w:r w:rsidRPr="00B23F46">
        <w:rPr>
          <w:rFonts w:ascii="Times New Roman" w:hAnsi="Times New Roman" w:cs="Times New Roman"/>
          <w:sz w:val="24"/>
          <w:szCs w:val="24"/>
        </w:rPr>
        <w:t xml:space="preserve">. </w:t>
      </w:r>
      <w:r w:rsidR="002379DB">
        <w:rPr>
          <w:rFonts w:ascii="Times New Roman" w:hAnsi="Times New Roman" w:cs="Times New Roman"/>
          <w:sz w:val="24"/>
          <w:szCs w:val="24"/>
        </w:rPr>
        <w:t>Sex</w:t>
      </w:r>
      <w:r w:rsidRPr="00B23F46">
        <w:rPr>
          <w:rFonts w:ascii="Times New Roman" w:hAnsi="Times New Roman" w:cs="Times New Roman"/>
          <w:sz w:val="24"/>
          <w:szCs w:val="24"/>
        </w:rPr>
        <w:t xml:space="preserve"> worker</w:t>
      </w:r>
      <w:r w:rsidR="002379DB">
        <w:rPr>
          <w:rFonts w:ascii="Times New Roman" w:hAnsi="Times New Roman" w:cs="Times New Roman"/>
          <w:sz w:val="24"/>
          <w:szCs w:val="24"/>
        </w:rPr>
        <w:t>s tend</w:t>
      </w:r>
      <w:r w:rsidRPr="00B23F46">
        <w:rPr>
          <w:rFonts w:ascii="Times New Roman" w:hAnsi="Times New Roman" w:cs="Times New Roman"/>
          <w:sz w:val="24"/>
          <w:szCs w:val="24"/>
        </w:rPr>
        <w:t xml:space="preserve"> to pay a shift fee to the sauna or massage parlour to cover the expenses of running the parlour.</w:t>
      </w:r>
      <w:r w:rsidR="001C1C7E">
        <w:rPr>
          <w:rStyle w:val="FootnoteReference"/>
          <w:rFonts w:ascii="Times New Roman" w:hAnsi="Times New Roman" w:cs="Times New Roman"/>
          <w:sz w:val="24"/>
          <w:szCs w:val="24"/>
        </w:rPr>
        <w:footnoteReference w:id="141"/>
      </w:r>
      <w:r w:rsidRPr="00B23F46">
        <w:rPr>
          <w:rFonts w:ascii="Times New Roman" w:hAnsi="Times New Roman" w:cs="Times New Roman"/>
          <w:sz w:val="24"/>
          <w:szCs w:val="24"/>
        </w:rPr>
        <w:t xml:space="preserve"> There are also often set prices and high ‘massage fees’ paid directly to the owner of the building from the client.</w:t>
      </w:r>
      <w:r w:rsidR="001C1C7E">
        <w:rPr>
          <w:rStyle w:val="FootnoteReference"/>
          <w:rFonts w:ascii="Times New Roman" w:hAnsi="Times New Roman" w:cs="Times New Roman"/>
          <w:sz w:val="24"/>
          <w:szCs w:val="24"/>
        </w:rPr>
        <w:footnoteReference w:id="142"/>
      </w:r>
      <w:r w:rsidRPr="00B23F46">
        <w:rPr>
          <w:rFonts w:ascii="Times New Roman" w:hAnsi="Times New Roman" w:cs="Times New Roman"/>
          <w:sz w:val="24"/>
          <w:szCs w:val="24"/>
        </w:rPr>
        <w:t xml:space="preserve"> This mean</w:t>
      </w:r>
      <w:r>
        <w:rPr>
          <w:rFonts w:ascii="Times New Roman" w:hAnsi="Times New Roman" w:cs="Times New Roman"/>
          <w:sz w:val="24"/>
          <w:szCs w:val="24"/>
        </w:rPr>
        <w:t>s</w:t>
      </w:r>
      <w:r w:rsidRPr="00B23F46">
        <w:rPr>
          <w:rFonts w:ascii="Times New Roman" w:hAnsi="Times New Roman" w:cs="Times New Roman"/>
          <w:sz w:val="24"/>
          <w:szCs w:val="24"/>
        </w:rPr>
        <w:t xml:space="preserve"> that sex workers who do not receive much business in a day might well pay more to work a shift than they earn.</w:t>
      </w:r>
      <w:r w:rsidR="001C1C7E">
        <w:rPr>
          <w:rStyle w:val="FootnoteReference"/>
          <w:rFonts w:ascii="Times New Roman" w:hAnsi="Times New Roman" w:cs="Times New Roman"/>
          <w:sz w:val="24"/>
          <w:szCs w:val="24"/>
        </w:rPr>
        <w:footnoteReference w:id="143"/>
      </w:r>
      <w:r w:rsidRPr="00B23F46">
        <w:rPr>
          <w:rFonts w:ascii="Times New Roman" w:hAnsi="Times New Roman" w:cs="Times New Roman"/>
          <w:sz w:val="24"/>
          <w:szCs w:val="24"/>
        </w:rPr>
        <w:t xml:space="preserve"> Exploitation is not inherent in this market, and clearly materialistic forms of power and control from the sauna or brothel owner vary widely across the market.</w:t>
      </w:r>
      <w:r w:rsidR="001C1C7E">
        <w:rPr>
          <w:rStyle w:val="FootnoteReference"/>
          <w:rFonts w:ascii="Times New Roman" w:hAnsi="Times New Roman" w:cs="Times New Roman"/>
          <w:sz w:val="24"/>
          <w:szCs w:val="24"/>
        </w:rPr>
        <w:footnoteReference w:id="144"/>
      </w:r>
      <w:r w:rsidRPr="00B23F46">
        <w:rPr>
          <w:rFonts w:ascii="Times New Roman" w:hAnsi="Times New Roman" w:cs="Times New Roman"/>
          <w:sz w:val="24"/>
          <w:szCs w:val="24"/>
        </w:rPr>
        <w:t xml:space="preserve"> What can be seen, however, is that the tight criminal controls over the indoor sex market do not in fact remove exploitation from the lives of indoor sex workers. Rather, sex workers are forced </w:t>
      </w:r>
      <w:r w:rsidRPr="00B23F46">
        <w:rPr>
          <w:rFonts w:ascii="Times New Roman" w:hAnsi="Times New Roman" w:cs="Times New Roman"/>
          <w:sz w:val="24"/>
          <w:szCs w:val="24"/>
        </w:rPr>
        <w:lastRenderedPageBreak/>
        <w:t xml:space="preserve">to rely on third parties whose actions are not regulated by the law. Governing through crime here has the effect of making sex workers more vulnerable while failing </w:t>
      </w:r>
      <w:r w:rsidR="0035087F">
        <w:rPr>
          <w:rFonts w:ascii="Times New Roman" w:hAnsi="Times New Roman" w:cs="Times New Roman"/>
          <w:sz w:val="24"/>
          <w:szCs w:val="24"/>
        </w:rPr>
        <w:t>to provide them with protection, a point which has been noted by the 2016 Home Affairs report.</w:t>
      </w:r>
    </w:p>
    <w:p w:rsidR="00A56C5F" w:rsidRDefault="00A56C5F" w:rsidP="008942EF">
      <w:pPr>
        <w:spacing w:after="0" w:line="480" w:lineRule="auto"/>
        <w:jc w:val="both"/>
        <w:rPr>
          <w:rFonts w:ascii="Times New Roman" w:hAnsi="Times New Roman" w:cs="Times New Roman"/>
          <w:sz w:val="24"/>
          <w:szCs w:val="24"/>
        </w:rPr>
      </w:pPr>
    </w:p>
    <w:p w:rsidR="008942EF" w:rsidRPr="008942EF" w:rsidRDefault="008942EF" w:rsidP="008942EF">
      <w:pPr>
        <w:spacing w:after="0" w:line="480" w:lineRule="auto"/>
        <w:jc w:val="both"/>
        <w:rPr>
          <w:rFonts w:ascii="Times New Roman" w:hAnsi="Times New Roman" w:cs="Times New Roman"/>
          <w:sz w:val="24"/>
          <w:szCs w:val="24"/>
          <w:lang w:val="en"/>
        </w:rPr>
      </w:pPr>
      <w:r w:rsidRPr="008942EF">
        <w:rPr>
          <w:rFonts w:ascii="Times New Roman" w:hAnsi="Times New Roman" w:cs="Times New Roman"/>
          <w:sz w:val="24"/>
          <w:szCs w:val="24"/>
          <w:lang w:val="en"/>
        </w:rPr>
        <w:t>The Polic</w:t>
      </w:r>
      <w:r w:rsidR="00240C98">
        <w:rPr>
          <w:rFonts w:ascii="Times New Roman" w:hAnsi="Times New Roman" w:cs="Times New Roman"/>
          <w:sz w:val="24"/>
          <w:szCs w:val="24"/>
          <w:lang w:val="en"/>
        </w:rPr>
        <w:t xml:space="preserve">ing and Crime Act 2009 </w:t>
      </w:r>
      <w:r w:rsidR="00A56C5F">
        <w:rPr>
          <w:rFonts w:ascii="Times New Roman" w:hAnsi="Times New Roman" w:cs="Times New Roman"/>
          <w:sz w:val="24"/>
          <w:szCs w:val="24"/>
          <w:lang w:val="en"/>
        </w:rPr>
        <w:t xml:space="preserve">s 21 </w:t>
      </w:r>
      <w:r w:rsidR="00240C98">
        <w:rPr>
          <w:rFonts w:ascii="Times New Roman" w:hAnsi="Times New Roman" w:cs="Times New Roman"/>
          <w:sz w:val="24"/>
          <w:szCs w:val="24"/>
          <w:lang w:val="en"/>
        </w:rPr>
        <w:t>also uses</w:t>
      </w:r>
      <w:r w:rsidRPr="008942EF">
        <w:rPr>
          <w:rFonts w:ascii="Times New Roman" w:hAnsi="Times New Roman" w:cs="Times New Roman"/>
          <w:sz w:val="24"/>
          <w:szCs w:val="24"/>
          <w:lang w:val="en"/>
        </w:rPr>
        <w:t xml:space="preserve"> the rhetoric of trafficking and sexual exploitation to support increased police powers against indoor sex establishments, giving them the power to close sex work establishments</w:t>
      </w:r>
      <w:r w:rsidR="0045052E">
        <w:rPr>
          <w:rFonts w:ascii="Times New Roman" w:hAnsi="Times New Roman" w:cs="Times New Roman"/>
          <w:sz w:val="24"/>
          <w:szCs w:val="24"/>
          <w:lang w:val="en"/>
        </w:rPr>
        <w:t>.</w:t>
      </w:r>
      <w:r w:rsidRPr="008942EF">
        <w:rPr>
          <w:rFonts w:ascii="Times New Roman" w:hAnsi="Times New Roman" w:cs="Times New Roman"/>
          <w:sz w:val="24"/>
          <w:szCs w:val="24"/>
          <w:lang w:val="en"/>
        </w:rPr>
        <w:t xml:space="preserve"> </w:t>
      </w:r>
      <w:r w:rsidR="009630A6">
        <w:rPr>
          <w:rFonts w:ascii="Times New Roman" w:hAnsi="Times New Roman" w:cs="Times New Roman"/>
          <w:sz w:val="24"/>
          <w:szCs w:val="24"/>
          <w:lang w:val="en"/>
        </w:rPr>
        <w:t>If</w:t>
      </w:r>
      <w:r w:rsidRPr="008942EF">
        <w:rPr>
          <w:rFonts w:ascii="Times New Roman" w:hAnsi="Times New Roman" w:cs="Times New Roman"/>
          <w:sz w:val="24"/>
          <w:szCs w:val="24"/>
          <w:lang w:val="en"/>
        </w:rPr>
        <w:t xml:space="preserve"> it suspected that an indoor establishment houses or employs a victim of trafficking, the police can raid and close it. This has led to raids on sex work establishments in the guise of cracking down on trafficking, even when </w:t>
      </w:r>
      <w:r w:rsidR="003F186B">
        <w:rPr>
          <w:rFonts w:ascii="Times New Roman" w:hAnsi="Times New Roman" w:cs="Times New Roman"/>
          <w:sz w:val="24"/>
          <w:szCs w:val="24"/>
          <w:lang w:val="en"/>
        </w:rPr>
        <w:t>the suspected</w:t>
      </w:r>
      <w:r w:rsidRPr="008942EF">
        <w:rPr>
          <w:rFonts w:ascii="Times New Roman" w:hAnsi="Times New Roman" w:cs="Times New Roman"/>
          <w:sz w:val="24"/>
          <w:szCs w:val="24"/>
          <w:lang w:val="en"/>
        </w:rPr>
        <w:t xml:space="preserve"> ‘trafficking victims’ have stated that they are migrant sex workers not victims.</w:t>
      </w:r>
      <w:r w:rsidR="001C1C7E">
        <w:rPr>
          <w:rStyle w:val="FootnoteReference"/>
          <w:rFonts w:ascii="Times New Roman" w:hAnsi="Times New Roman" w:cs="Times New Roman"/>
          <w:sz w:val="24"/>
          <w:szCs w:val="24"/>
          <w:lang w:val="en"/>
        </w:rPr>
        <w:footnoteReference w:id="145"/>
      </w:r>
      <w:r w:rsidRPr="008942EF">
        <w:rPr>
          <w:rFonts w:ascii="Times New Roman" w:hAnsi="Times New Roman" w:cs="Times New Roman"/>
          <w:sz w:val="24"/>
          <w:szCs w:val="24"/>
          <w:lang w:val="en"/>
        </w:rPr>
        <w:t xml:space="preserve"> Many of the ‘trafficking victims’ taken in these raids are then sent to detention centres and deported,</w:t>
      </w:r>
      <w:r w:rsidR="001C1C7E">
        <w:rPr>
          <w:rStyle w:val="FootnoteReference"/>
          <w:rFonts w:ascii="Times New Roman" w:hAnsi="Times New Roman" w:cs="Times New Roman"/>
          <w:sz w:val="24"/>
          <w:szCs w:val="24"/>
          <w:lang w:val="en"/>
        </w:rPr>
        <w:footnoteReference w:id="146"/>
      </w:r>
      <w:r w:rsidRPr="008942EF">
        <w:rPr>
          <w:rFonts w:ascii="Times New Roman" w:hAnsi="Times New Roman" w:cs="Times New Roman"/>
          <w:sz w:val="24"/>
          <w:szCs w:val="24"/>
          <w:lang w:val="en"/>
        </w:rPr>
        <w:t xml:space="preserve"> suggesting that the protection of these individuals is far from a paramount concern to the government during these crackdowns. The increased fear of crime which accompanies trafficking discourses </w:t>
      </w:r>
      <w:r w:rsidR="009630A6">
        <w:rPr>
          <w:rFonts w:ascii="Times New Roman" w:hAnsi="Times New Roman" w:cs="Times New Roman"/>
          <w:sz w:val="24"/>
          <w:szCs w:val="24"/>
          <w:lang w:val="en"/>
        </w:rPr>
        <w:t xml:space="preserve">does not, therefore, </w:t>
      </w:r>
      <w:r w:rsidRPr="008942EF">
        <w:rPr>
          <w:rFonts w:ascii="Times New Roman" w:hAnsi="Times New Roman" w:cs="Times New Roman"/>
          <w:sz w:val="24"/>
          <w:szCs w:val="24"/>
          <w:lang w:val="en"/>
        </w:rPr>
        <w:t>translate to increased protection, but can rather be seen as a disguise for immigration policies and attacks on sex workers as deviant and illegitimate.</w:t>
      </w:r>
    </w:p>
    <w:p w:rsidR="008942EF" w:rsidRDefault="008942EF" w:rsidP="008942EF">
      <w:pPr>
        <w:spacing w:after="0" w:line="480" w:lineRule="auto"/>
        <w:jc w:val="both"/>
        <w:rPr>
          <w:rFonts w:ascii="Times New Roman" w:hAnsi="Times New Roman" w:cs="Times New Roman"/>
          <w:i/>
          <w:sz w:val="24"/>
          <w:szCs w:val="24"/>
        </w:rPr>
      </w:pPr>
    </w:p>
    <w:p w:rsidR="00A56C5F" w:rsidRDefault="00816ECE" w:rsidP="0072512F">
      <w:pPr>
        <w:spacing w:after="0" w:line="480" w:lineRule="auto"/>
        <w:jc w:val="both"/>
        <w:rPr>
          <w:rFonts w:ascii="Times New Roman" w:hAnsi="Times New Roman" w:cs="Times New Roman"/>
          <w:sz w:val="24"/>
          <w:szCs w:val="24"/>
        </w:rPr>
      </w:pPr>
      <w:r w:rsidRPr="00816ECE">
        <w:rPr>
          <w:rFonts w:ascii="Times New Roman" w:hAnsi="Times New Roman" w:cs="Times New Roman"/>
          <w:sz w:val="24"/>
          <w:szCs w:val="24"/>
        </w:rPr>
        <w:t xml:space="preserve">The focus of much recent legislation </w:t>
      </w:r>
      <w:r w:rsidR="009630A6">
        <w:rPr>
          <w:rFonts w:ascii="Times New Roman" w:hAnsi="Times New Roman" w:cs="Times New Roman"/>
          <w:sz w:val="24"/>
          <w:szCs w:val="24"/>
        </w:rPr>
        <w:t>accepts the</w:t>
      </w:r>
      <w:r w:rsidR="008E25DE">
        <w:rPr>
          <w:rFonts w:ascii="Times New Roman" w:hAnsi="Times New Roman" w:cs="Times New Roman"/>
          <w:sz w:val="24"/>
          <w:szCs w:val="24"/>
        </w:rPr>
        <w:t xml:space="preserve"> </w:t>
      </w:r>
      <w:r w:rsidRPr="00816ECE">
        <w:rPr>
          <w:rFonts w:ascii="Times New Roman" w:hAnsi="Times New Roman" w:cs="Times New Roman"/>
          <w:sz w:val="24"/>
          <w:szCs w:val="24"/>
        </w:rPr>
        <w:t xml:space="preserve">conceptualisation of sex work as inherently exploitative </w:t>
      </w:r>
      <w:r w:rsidR="00A56C5F">
        <w:rPr>
          <w:rFonts w:ascii="Times New Roman" w:hAnsi="Times New Roman" w:cs="Times New Roman"/>
          <w:sz w:val="24"/>
          <w:szCs w:val="24"/>
        </w:rPr>
        <w:t>and aims to cut off demand for sex work</w:t>
      </w:r>
      <w:r w:rsidRPr="00816ECE">
        <w:rPr>
          <w:rFonts w:ascii="Times New Roman" w:hAnsi="Times New Roman" w:cs="Times New Roman"/>
          <w:sz w:val="24"/>
          <w:szCs w:val="24"/>
        </w:rPr>
        <w:t>.</w:t>
      </w:r>
      <w:r w:rsidR="001C1C7E">
        <w:rPr>
          <w:rStyle w:val="FootnoteReference"/>
          <w:rFonts w:ascii="Times New Roman" w:hAnsi="Times New Roman" w:cs="Times New Roman"/>
          <w:sz w:val="24"/>
          <w:szCs w:val="24"/>
        </w:rPr>
        <w:footnoteReference w:id="147"/>
      </w:r>
      <w:r w:rsidRPr="00816ECE">
        <w:rPr>
          <w:rFonts w:ascii="Times New Roman" w:hAnsi="Times New Roman" w:cs="Times New Roman"/>
          <w:sz w:val="24"/>
          <w:szCs w:val="24"/>
        </w:rPr>
        <w:t xml:space="preserve"> </w:t>
      </w:r>
      <w:r w:rsidR="008E25DE">
        <w:rPr>
          <w:rFonts w:ascii="Times New Roman" w:hAnsi="Times New Roman" w:cs="Times New Roman"/>
          <w:sz w:val="24"/>
          <w:szCs w:val="24"/>
        </w:rPr>
        <w:t>T</w:t>
      </w:r>
      <w:r w:rsidR="00B7111F">
        <w:rPr>
          <w:rFonts w:ascii="Times New Roman" w:hAnsi="Times New Roman" w:cs="Times New Roman"/>
          <w:sz w:val="24"/>
          <w:szCs w:val="24"/>
        </w:rPr>
        <w:t>his can be seen in t</w:t>
      </w:r>
      <w:r w:rsidR="008E25DE">
        <w:rPr>
          <w:rFonts w:ascii="Times New Roman" w:hAnsi="Times New Roman" w:cs="Times New Roman"/>
          <w:sz w:val="24"/>
          <w:szCs w:val="24"/>
        </w:rPr>
        <w:t>he Policing and Crime Act</w:t>
      </w:r>
      <w:r w:rsidR="00B7111F">
        <w:rPr>
          <w:rFonts w:ascii="Times New Roman" w:hAnsi="Times New Roman" w:cs="Times New Roman"/>
          <w:sz w:val="24"/>
          <w:szCs w:val="24"/>
        </w:rPr>
        <w:t xml:space="preserve">’s </w:t>
      </w:r>
      <w:r w:rsidR="0045052E">
        <w:rPr>
          <w:rFonts w:ascii="Times New Roman" w:hAnsi="Times New Roman" w:cs="Times New Roman"/>
          <w:sz w:val="24"/>
          <w:szCs w:val="24"/>
        </w:rPr>
        <w:t xml:space="preserve">s 14 </w:t>
      </w:r>
      <w:r w:rsidRPr="00816ECE">
        <w:rPr>
          <w:rFonts w:ascii="Times New Roman" w:hAnsi="Times New Roman" w:cs="Times New Roman"/>
          <w:sz w:val="24"/>
          <w:szCs w:val="24"/>
        </w:rPr>
        <w:t>strict liability offence of paying for sexual services of a prostitute subject to force, threats, coercion or deception</w:t>
      </w:r>
      <w:r w:rsidR="00B7111F">
        <w:rPr>
          <w:rFonts w:ascii="Times New Roman" w:hAnsi="Times New Roman" w:cs="Times New Roman"/>
          <w:sz w:val="24"/>
          <w:szCs w:val="24"/>
        </w:rPr>
        <w:t>.</w:t>
      </w:r>
      <w:r w:rsidRPr="00816ECE">
        <w:rPr>
          <w:rFonts w:ascii="Times New Roman" w:hAnsi="Times New Roman" w:cs="Times New Roman"/>
          <w:sz w:val="24"/>
          <w:szCs w:val="24"/>
        </w:rPr>
        <w:t xml:space="preserve"> </w:t>
      </w:r>
      <w:r w:rsidR="00B7111F">
        <w:rPr>
          <w:rFonts w:ascii="Times New Roman" w:hAnsi="Times New Roman" w:cs="Times New Roman"/>
          <w:sz w:val="24"/>
          <w:szCs w:val="24"/>
        </w:rPr>
        <w:t xml:space="preserve">The strict liability element of the offence was included </w:t>
      </w:r>
      <w:r w:rsidR="00A56C5F">
        <w:rPr>
          <w:rFonts w:ascii="Times New Roman" w:hAnsi="Times New Roman" w:cs="Times New Roman"/>
          <w:sz w:val="24"/>
          <w:szCs w:val="24"/>
        </w:rPr>
        <w:t>to increase the likelihood of convictions but</w:t>
      </w:r>
      <w:r w:rsidR="00C5759F">
        <w:rPr>
          <w:rFonts w:ascii="Times New Roman" w:hAnsi="Times New Roman" w:cs="Times New Roman"/>
          <w:sz w:val="24"/>
          <w:szCs w:val="24"/>
        </w:rPr>
        <w:t xml:space="preserve"> means that purchasers can be punished even </w:t>
      </w:r>
      <w:r w:rsidR="00C5759F">
        <w:rPr>
          <w:rFonts w:ascii="Times New Roman" w:hAnsi="Times New Roman" w:cs="Times New Roman"/>
          <w:sz w:val="24"/>
          <w:szCs w:val="24"/>
        </w:rPr>
        <w:lastRenderedPageBreak/>
        <w:t>when there is no way of knowing that the sex worker is subject to force.</w:t>
      </w:r>
      <w:r w:rsidR="002036DD">
        <w:rPr>
          <w:rStyle w:val="FootnoteReference"/>
          <w:rFonts w:ascii="Times New Roman" w:hAnsi="Times New Roman" w:cs="Times New Roman"/>
          <w:sz w:val="24"/>
          <w:szCs w:val="24"/>
        </w:rPr>
        <w:footnoteReference w:id="148"/>
      </w:r>
      <w:r w:rsidR="00C5759F">
        <w:rPr>
          <w:rFonts w:ascii="Times New Roman" w:hAnsi="Times New Roman" w:cs="Times New Roman"/>
          <w:sz w:val="24"/>
          <w:szCs w:val="24"/>
        </w:rPr>
        <w:t xml:space="preserve"> This is particularly problematic given that the police themselves are rarely able to determine whether a sex worker is subject to force, so, in effect, every person who purchases sex may be open to prosecution under s 14.</w:t>
      </w:r>
      <w:r w:rsidR="002036DD">
        <w:rPr>
          <w:rStyle w:val="FootnoteReference"/>
          <w:rFonts w:ascii="Times New Roman" w:hAnsi="Times New Roman" w:cs="Times New Roman"/>
          <w:sz w:val="24"/>
          <w:szCs w:val="24"/>
        </w:rPr>
        <w:footnoteReference w:id="149"/>
      </w:r>
      <w:r w:rsidR="00C5759F">
        <w:rPr>
          <w:rFonts w:ascii="Times New Roman" w:hAnsi="Times New Roman" w:cs="Times New Roman"/>
          <w:sz w:val="24"/>
          <w:szCs w:val="24"/>
        </w:rPr>
        <w:t xml:space="preserve">  As such, it becomes apparent that one of the key aims of this provision is to alter the behaviour of sex work</w:t>
      </w:r>
      <w:r w:rsidR="003F186B">
        <w:rPr>
          <w:rFonts w:ascii="Times New Roman" w:hAnsi="Times New Roman" w:cs="Times New Roman"/>
          <w:sz w:val="24"/>
          <w:szCs w:val="24"/>
        </w:rPr>
        <w:t>ers’</w:t>
      </w:r>
      <w:r w:rsidR="00C5759F">
        <w:rPr>
          <w:rFonts w:ascii="Times New Roman" w:hAnsi="Times New Roman" w:cs="Times New Roman"/>
          <w:sz w:val="24"/>
          <w:szCs w:val="24"/>
        </w:rPr>
        <w:t xml:space="preserve"> clients by deterring them from purchasing sex</w:t>
      </w:r>
      <w:r w:rsidR="00700E2A">
        <w:rPr>
          <w:rFonts w:ascii="Times New Roman" w:hAnsi="Times New Roman" w:cs="Times New Roman"/>
          <w:sz w:val="24"/>
          <w:szCs w:val="24"/>
        </w:rPr>
        <w:t xml:space="preserve"> at all</w:t>
      </w:r>
      <w:r w:rsidR="00C5759F">
        <w:rPr>
          <w:rFonts w:ascii="Times New Roman" w:hAnsi="Times New Roman" w:cs="Times New Roman"/>
          <w:sz w:val="24"/>
          <w:szCs w:val="24"/>
        </w:rPr>
        <w:t xml:space="preserve"> through fear of this risk. In this way, s 14 </w:t>
      </w:r>
      <w:r w:rsidR="00CC6ED3">
        <w:rPr>
          <w:rFonts w:ascii="Times New Roman" w:hAnsi="Times New Roman" w:cs="Times New Roman"/>
          <w:sz w:val="24"/>
          <w:szCs w:val="24"/>
        </w:rPr>
        <w:t>reflects Simon’s argument that governing through crime is about managing citizens’ behaviour through systems of governance.</w:t>
      </w:r>
      <w:r w:rsidR="002036DD">
        <w:rPr>
          <w:rStyle w:val="FootnoteReference"/>
          <w:rFonts w:ascii="Times New Roman" w:hAnsi="Times New Roman" w:cs="Times New Roman"/>
          <w:sz w:val="24"/>
          <w:szCs w:val="24"/>
        </w:rPr>
        <w:footnoteReference w:id="150"/>
      </w:r>
      <w:r w:rsidR="00CC6ED3">
        <w:rPr>
          <w:rFonts w:ascii="Times New Roman" w:hAnsi="Times New Roman" w:cs="Times New Roman"/>
          <w:sz w:val="24"/>
          <w:szCs w:val="24"/>
        </w:rPr>
        <w:t xml:space="preserve"> </w:t>
      </w:r>
    </w:p>
    <w:p w:rsidR="00A56C5F" w:rsidRDefault="00A56C5F" w:rsidP="0072512F">
      <w:pPr>
        <w:spacing w:after="0" w:line="480" w:lineRule="auto"/>
        <w:jc w:val="both"/>
        <w:rPr>
          <w:rFonts w:ascii="Times New Roman" w:hAnsi="Times New Roman" w:cs="Times New Roman"/>
          <w:sz w:val="24"/>
          <w:szCs w:val="24"/>
        </w:rPr>
      </w:pPr>
    </w:p>
    <w:p w:rsidR="00F56068" w:rsidRDefault="00CC6ED3" w:rsidP="008942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Notably, in Sarah Kingston and Terry Thomas’ </w:t>
      </w:r>
      <w:r w:rsidR="00A874EF">
        <w:rPr>
          <w:rFonts w:ascii="Times New Roman" w:hAnsi="Times New Roman" w:cs="Times New Roman"/>
          <w:sz w:val="24"/>
          <w:szCs w:val="24"/>
        </w:rPr>
        <w:t>study</w:t>
      </w:r>
      <w:r>
        <w:rPr>
          <w:rFonts w:ascii="Times New Roman" w:hAnsi="Times New Roman" w:cs="Times New Roman"/>
          <w:sz w:val="24"/>
          <w:szCs w:val="24"/>
        </w:rPr>
        <w:t>, s</w:t>
      </w:r>
      <w:r w:rsidRPr="000578F5">
        <w:rPr>
          <w:rFonts w:ascii="Times New Roman" w:hAnsi="Times New Roman" w:cs="Times New Roman"/>
          <w:sz w:val="24"/>
          <w:szCs w:val="24"/>
        </w:rPr>
        <w:t xml:space="preserve"> 14 had</w:t>
      </w:r>
      <w:r>
        <w:rPr>
          <w:rFonts w:ascii="Times New Roman" w:hAnsi="Times New Roman" w:cs="Times New Roman"/>
          <w:sz w:val="24"/>
          <w:szCs w:val="24"/>
        </w:rPr>
        <w:t xml:space="preserve"> </w:t>
      </w:r>
      <w:r w:rsidRPr="000578F5">
        <w:rPr>
          <w:rFonts w:ascii="Times New Roman" w:hAnsi="Times New Roman" w:cs="Times New Roman"/>
          <w:sz w:val="24"/>
          <w:szCs w:val="24"/>
        </w:rPr>
        <w:t xml:space="preserve">not been used by </w:t>
      </w:r>
      <w:r>
        <w:rPr>
          <w:rFonts w:ascii="Times New Roman" w:hAnsi="Times New Roman" w:cs="Times New Roman"/>
          <w:sz w:val="24"/>
          <w:szCs w:val="24"/>
        </w:rPr>
        <w:t>81%</w:t>
      </w:r>
      <w:r w:rsidRPr="000578F5">
        <w:rPr>
          <w:rFonts w:ascii="Times New Roman" w:hAnsi="Times New Roman" w:cs="Times New Roman"/>
          <w:sz w:val="24"/>
          <w:szCs w:val="24"/>
        </w:rPr>
        <w:t xml:space="preserve"> of police forces across England and</w:t>
      </w:r>
      <w:r>
        <w:rPr>
          <w:rFonts w:ascii="Times New Roman" w:hAnsi="Times New Roman" w:cs="Times New Roman"/>
          <w:sz w:val="24"/>
          <w:szCs w:val="24"/>
        </w:rPr>
        <w:t xml:space="preserve"> </w:t>
      </w:r>
      <w:r w:rsidRPr="000578F5">
        <w:rPr>
          <w:rFonts w:ascii="Times New Roman" w:hAnsi="Times New Roman" w:cs="Times New Roman"/>
          <w:sz w:val="24"/>
          <w:szCs w:val="24"/>
        </w:rPr>
        <w:t xml:space="preserve">Wales, </w:t>
      </w:r>
      <w:r>
        <w:rPr>
          <w:rFonts w:ascii="Times New Roman" w:hAnsi="Times New Roman" w:cs="Times New Roman"/>
          <w:sz w:val="24"/>
          <w:szCs w:val="24"/>
        </w:rPr>
        <w:t>‘</w:t>
      </w:r>
      <w:r w:rsidRPr="000578F5">
        <w:rPr>
          <w:rFonts w:ascii="Times New Roman" w:hAnsi="Times New Roman" w:cs="Times New Roman"/>
          <w:sz w:val="24"/>
          <w:szCs w:val="24"/>
        </w:rPr>
        <w:t>which in itself questions the need for the new strict liability offence</w:t>
      </w:r>
      <w:r>
        <w:rPr>
          <w:rFonts w:ascii="Times New Roman" w:hAnsi="Times New Roman" w:cs="Times New Roman"/>
          <w:sz w:val="24"/>
          <w:szCs w:val="24"/>
        </w:rPr>
        <w:t>’.</w:t>
      </w:r>
      <w:r w:rsidR="002036DD">
        <w:rPr>
          <w:rStyle w:val="FootnoteReference"/>
          <w:rFonts w:ascii="Times New Roman" w:hAnsi="Times New Roman" w:cs="Times New Roman"/>
          <w:sz w:val="24"/>
          <w:szCs w:val="24"/>
        </w:rPr>
        <w:footnoteReference w:id="151"/>
      </w:r>
      <w:r>
        <w:rPr>
          <w:rFonts w:ascii="Times New Roman" w:hAnsi="Times New Roman" w:cs="Times New Roman"/>
          <w:sz w:val="24"/>
          <w:szCs w:val="24"/>
        </w:rPr>
        <w:t xml:space="preserve"> As such, the ‘protection’ afforded to the potential victims of forced prostitution by s14 appears</w:t>
      </w:r>
      <w:r w:rsidR="00A874EF">
        <w:rPr>
          <w:rFonts w:ascii="Times New Roman" w:hAnsi="Times New Roman" w:cs="Times New Roman"/>
          <w:sz w:val="24"/>
          <w:szCs w:val="24"/>
        </w:rPr>
        <w:t xml:space="preserve"> to be minimal, supporting </w:t>
      </w:r>
      <w:r>
        <w:rPr>
          <w:rFonts w:ascii="Times New Roman" w:hAnsi="Times New Roman" w:cs="Times New Roman"/>
          <w:sz w:val="24"/>
          <w:szCs w:val="24"/>
        </w:rPr>
        <w:t>Carline’s assertion that the provision is more about morality than protection.</w:t>
      </w:r>
      <w:r w:rsidR="002036DD">
        <w:rPr>
          <w:rStyle w:val="FootnoteReference"/>
          <w:rFonts w:ascii="Times New Roman" w:hAnsi="Times New Roman" w:cs="Times New Roman"/>
          <w:sz w:val="24"/>
          <w:szCs w:val="24"/>
        </w:rPr>
        <w:footnoteReference w:id="152"/>
      </w:r>
      <w:r>
        <w:rPr>
          <w:rFonts w:ascii="Times New Roman" w:hAnsi="Times New Roman" w:cs="Times New Roman"/>
          <w:sz w:val="24"/>
          <w:szCs w:val="24"/>
        </w:rPr>
        <w:t xml:space="preserve"> </w:t>
      </w:r>
      <w:r w:rsidR="00A874EF">
        <w:rPr>
          <w:rFonts w:ascii="Times New Roman" w:hAnsi="Times New Roman" w:cs="Times New Roman"/>
          <w:sz w:val="24"/>
          <w:szCs w:val="24"/>
        </w:rPr>
        <w:t xml:space="preserve">Moreover, as Sanders and </w:t>
      </w:r>
      <w:r w:rsidR="00700E2A">
        <w:rPr>
          <w:rFonts w:ascii="Times New Roman" w:hAnsi="Times New Roman" w:cs="Times New Roman"/>
          <w:sz w:val="24"/>
          <w:szCs w:val="24"/>
        </w:rPr>
        <w:t xml:space="preserve">Campbell </w:t>
      </w:r>
      <w:r w:rsidR="003F186B">
        <w:rPr>
          <w:rFonts w:ascii="Times New Roman" w:hAnsi="Times New Roman" w:cs="Times New Roman"/>
          <w:sz w:val="24"/>
          <w:szCs w:val="24"/>
        </w:rPr>
        <w:t>suggest</w:t>
      </w:r>
      <w:r w:rsidR="00700E2A">
        <w:rPr>
          <w:rFonts w:ascii="Times New Roman" w:hAnsi="Times New Roman" w:cs="Times New Roman"/>
          <w:sz w:val="24"/>
          <w:szCs w:val="24"/>
        </w:rPr>
        <w:t>, increased criminalisation supports an environment of criminal activity and exploitation.</w:t>
      </w:r>
      <w:r w:rsidR="002036DD">
        <w:rPr>
          <w:rStyle w:val="FootnoteReference"/>
          <w:rFonts w:ascii="Times New Roman" w:hAnsi="Times New Roman" w:cs="Times New Roman"/>
          <w:sz w:val="24"/>
          <w:szCs w:val="24"/>
        </w:rPr>
        <w:footnoteReference w:id="153"/>
      </w:r>
      <w:r w:rsidR="00700E2A">
        <w:rPr>
          <w:rFonts w:ascii="Times New Roman" w:hAnsi="Times New Roman" w:cs="Times New Roman"/>
          <w:sz w:val="24"/>
          <w:szCs w:val="24"/>
        </w:rPr>
        <w:t xml:space="preserve"> For instance, clients may be deterred from reporting suspected exploitation because of the fear of </w:t>
      </w:r>
      <w:r w:rsidR="009630A6">
        <w:rPr>
          <w:rFonts w:ascii="Times New Roman" w:hAnsi="Times New Roman" w:cs="Times New Roman"/>
          <w:sz w:val="24"/>
          <w:szCs w:val="24"/>
        </w:rPr>
        <w:t>being arrested</w:t>
      </w:r>
      <w:r w:rsidR="002036DD">
        <w:rPr>
          <w:rFonts w:ascii="Times New Roman" w:hAnsi="Times New Roman" w:cs="Times New Roman"/>
          <w:sz w:val="24"/>
          <w:szCs w:val="24"/>
        </w:rPr>
        <w:t>.</w:t>
      </w:r>
      <w:r w:rsidR="009630A6">
        <w:rPr>
          <w:rFonts w:ascii="Times New Roman" w:hAnsi="Times New Roman" w:cs="Times New Roman"/>
          <w:sz w:val="24"/>
          <w:szCs w:val="24"/>
        </w:rPr>
        <w:t xml:space="preserve"> This puts</w:t>
      </w:r>
      <w:r w:rsidR="00C4330D">
        <w:rPr>
          <w:rFonts w:ascii="Times New Roman" w:hAnsi="Times New Roman" w:cs="Times New Roman"/>
          <w:sz w:val="24"/>
          <w:szCs w:val="24"/>
        </w:rPr>
        <w:t xml:space="preserve"> sex workers</w:t>
      </w:r>
      <w:r w:rsidR="00C50BCD">
        <w:rPr>
          <w:rFonts w:ascii="Times New Roman" w:hAnsi="Times New Roman" w:cs="Times New Roman"/>
          <w:sz w:val="24"/>
          <w:szCs w:val="24"/>
        </w:rPr>
        <w:t xml:space="preserve"> </w:t>
      </w:r>
      <w:r w:rsidR="00A56C5F">
        <w:rPr>
          <w:rFonts w:ascii="Times New Roman" w:hAnsi="Times New Roman" w:cs="Times New Roman"/>
          <w:sz w:val="24"/>
          <w:szCs w:val="24"/>
        </w:rPr>
        <w:t>at</w:t>
      </w:r>
      <w:r w:rsidR="00700E2A">
        <w:rPr>
          <w:rFonts w:ascii="Times New Roman" w:hAnsi="Times New Roman" w:cs="Times New Roman"/>
          <w:sz w:val="24"/>
          <w:szCs w:val="24"/>
        </w:rPr>
        <w:t xml:space="preserve"> increased </w:t>
      </w:r>
      <w:r w:rsidR="00A56C5F">
        <w:rPr>
          <w:rFonts w:ascii="Times New Roman" w:hAnsi="Times New Roman" w:cs="Times New Roman"/>
          <w:sz w:val="24"/>
          <w:szCs w:val="24"/>
        </w:rPr>
        <w:t>risk</w:t>
      </w:r>
      <w:r w:rsidR="00700E2A">
        <w:rPr>
          <w:rFonts w:ascii="Times New Roman" w:hAnsi="Times New Roman" w:cs="Times New Roman"/>
          <w:sz w:val="24"/>
          <w:szCs w:val="24"/>
        </w:rPr>
        <w:t xml:space="preserve"> of harm </w:t>
      </w:r>
      <w:r w:rsidR="00C50BCD">
        <w:rPr>
          <w:rFonts w:ascii="Times New Roman" w:hAnsi="Times New Roman" w:cs="Times New Roman"/>
          <w:sz w:val="24"/>
          <w:szCs w:val="24"/>
        </w:rPr>
        <w:t>due to their increasing invisibility</w:t>
      </w:r>
      <w:r w:rsidR="009630A6">
        <w:rPr>
          <w:rFonts w:ascii="Times New Roman" w:hAnsi="Times New Roman" w:cs="Times New Roman"/>
          <w:sz w:val="24"/>
          <w:szCs w:val="24"/>
        </w:rPr>
        <w:t>. A</w:t>
      </w:r>
      <w:r w:rsidR="00700E2A">
        <w:rPr>
          <w:rFonts w:ascii="Times New Roman" w:hAnsi="Times New Roman" w:cs="Times New Roman"/>
          <w:sz w:val="24"/>
          <w:szCs w:val="24"/>
        </w:rPr>
        <w:t>s Simon states, when governing through crime, even when the benefit to the ‘crime victim’, in this case the ‘forced prostitute’ is minimal, any incursion into the lives of the ‘offender’, in this case both the sex purchaser and the ‘voluntary’ sex worker, can be justified to the public.</w:t>
      </w:r>
      <w:r w:rsidR="002036DD">
        <w:rPr>
          <w:rStyle w:val="FootnoteReference"/>
          <w:rFonts w:ascii="Times New Roman" w:hAnsi="Times New Roman" w:cs="Times New Roman"/>
          <w:sz w:val="24"/>
          <w:szCs w:val="24"/>
        </w:rPr>
        <w:footnoteReference w:id="154"/>
      </w:r>
    </w:p>
    <w:p w:rsidR="00E35AC4" w:rsidRPr="008942EF" w:rsidRDefault="00E35AC4" w:rsidP="008942EF">
      <w:pPr>
        <w:spacing w:after="0" w:line="480" w:lineRule="auto"/>
        <w:jc w:val="both"/>
        <w:rPr>
          <w:rFonts w:ascii="Times New Roman" w:hAnsi="Times New Roman" w:cs="Times New Roman"/>
          <w:sz w:val="24"/>
          <w:szCs w:val="24"/>
        </w:rPr>
      </w:pPr>
    </w:p>
    <w:p w:rsidR="000E0C7A" w:rsidRDefault="000E0C7A" w:rsidP="008942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8942EF" w:rsidRDefault="008942EF" w:rsidP="008942EF">
      <w:pPr>
        <w:spacing w:after="0" w:line="480" w:lineRule="auto"/>
        <w:jc w:val="both"/>
        <w:rPr>
          <w:rFonts w:ascii="Times New Roman" w:hAnsi="Times New Roman" w:cs="Times New Roman"/>
          <w:b/>
          <w:sz w:val="24"/>
          <w:szCs w:val="24"/>
        </w:rPr>
      </w:pPr>
    </w:p>
    <w:p w:rsidR="008942EF" w:rsidRPr="008942EF" w:rsidRDefault="008942EF" w:rsidP="008942EF">
      <w:pPr>
        <w:spacing w:after="0" w:line="480" w:lineRule="auto"/>
        <w:jc w:val="both"/>
        <w:rPr>
          <w:rFonts w:ascii="Times New Roman" w:hAnsi="Times New Roman" w:cs="Times New Roman"/>
          <w:sz w:val="24"/>
          <w:szCs w:val="24"/>
          <w:lang w:val="en"/>
        </w:rPr>
      </w:pPr>
      <w:r w:rsidRPr="008942EF">
        <w:rPr>
          <w:rFonts w:ascii="Times New Roman" w:hAnsi="Times New Roman" w:cs="Times New Roman"/>
          <w:sz w:val="24"/>
          <w:szCs w:val="24"/>
          <w:lang w:val="en"/>
        </w:rPr>
        <w:t>In this</w:t>
      </w:r>
      <w:r w:rsidR="003F186B">
        <w:rPr>
          <w:rFonts w:ascii="Times New Roman" w:hAnsi="Times New Roman" w:cs="Times New Roman"/>
          <w:sz w:val="24"/>
          <w:szCs w:val="24"/>
          <w:lang w:val="en"/>
        </w:rPr>
        <w:t xml:space="preserve"> article</w:t>
      </w:r>
      <w:r w:rsidRPr="008942EF">
        <w:rPr>
          <w:rFonts w:ascii="Times New Roman" w:hAnsi="Times New Roman" w:cs="Times New Roman"/>
          <w:sz w:val="24"/>
          <w:szCs w:val="24"/>
          <w:lang w:val="en"/>
        </w:rPr>
        <w:t xml:space="preserve">, I have used Jonathan Simon’s framework to argue that sex work is governed through crime. Governing through crime uses the fear of crime to create a culture of regulation and control, without regard to the actual consequences of increased focus on crime and criminal justice. Governing through crime distinguishes between the idealised victim of crime and the criminal, and policies and laws which focus on protecting the victim are supported no matter the infringement on the lives of the criminals. In sex work policy, sex workers are framed as the creators of crime, particularly on the street, and therefore increased surveillance and criminal measures taken against sex workers are legitimised. </w:t>
      </w:r>
      <w:r w:rsidR="009630A6">
        <w:rPr>
          <w:rFonts w:ascii="Times New Roman" w:hAnsi="Times New Roman" w:cs="Times New Roman"/>
          <w:sz w:val="24"/>
          <w:szCs w:val="24"/>
          <w:lang w:val="en"/>
        </w:rPr>
        <w:t>Policies aimed at protecting innocent victims of sexual exploitation</w:t>
      </w:r>
      <w:r w:rsidRPr="008942EF">
        <w:rPr>
          <w:rFonts w:ascii="Times New Roman" w:hAnsi="Times New Roman" w:cs="Times New Roman"/>
          <w:sz w:val="24"/>
          <w:szCs w:val="24"/>
          <w:lang w:val="en"/>
        </w:rPr>
        <w:t xml:space="preserve"> gain popularity because the innocence of the victims means that</w:t>
      </w:r>
      <w:r w:rsidR="009630A6">
        <w:rPr>
          <w:rFonts w:ascii="Times New Roman" w:hAnsi="Times New Roman" w:cs="Times New Roman"/>
          <w:sz w:val="24"/>
          <w:szCs w:val="24"/>
          <w:lang w:val="en"/>
        </w:rPr>
        <w:t xml:space="preserve"> their plight is universalisable.</w:t>
      </w:r>
      <w:r w:rsidRPr="008942EF">
        <w:rPr>
          <w:rFonts w:ascii="Times New Roman" w:hAnsi="Times New Roman" w:cs="Times New Roman"/>
          <w:sz w:val="24"/>
          <w:szCs w:val="24"/>
          <w:lang w:val="en"/>
        </w:rPr>
        <w:t xml:space="preserve">. However, if sex workers do not fit the model of idealised victim in these circumstances, one that is innocent and duped, then they are not afforded the protections associated with being a victim of crime. Rather, they face crackdowns, </w:t>
      </w:r>
      <w:r w:rsidR="009630A6" w:rsidRPr="008942EF">
        <w:rPr>
          <w:rFonts w:ascii="Times New Roman" w:hAnsi="Times New Roman" w:cs="Times New Roman"/>
          <w:sz w:val="24"/>
          <w:szCs w:val="24"/>
          <w:lang w:val="en"/>
        </w:rPr>
        <w:t>criminalisation</w:t>
      </w:r>
      <w:r w:rsidR="009630A6">
        <w:rPr>
          <w:rFonts w:ascii="Times New Roman" w:hAnsi="Times New Roman" w:cs="Times New Roman"/>
          <w:sz w:val="24"/>
          <w:szCs w:val="24"/>
          <w:lang w:val="en"/>
        </w:rPr>
        <w:t>,</w:t>
      </w:r>
      <w:r w:rsidRPr="008942EF">
        <w:rPr>
          <w:rFonts w:ascii="Times New Roman" w:hAnsi="Times New Roman" w:cs="Times New Roman"/>
          <w:sz w:val="24"/>
          <w:szCs w:val="24"/>
          <w:lang w:val="en"/>
        </w:rPr>
        <w:t xml:space="preserve"> and potential </w:t>
      </w:r>
      <w:r w:rsidR="009630A6" w:rsidRPr="008942EF">
        <w:rPr>
          <w:rFonts w:ascii="Times New Roman" w:hAnsi="Times New Roman" w:cs="Times New Roman"/>
          <w:sz w:val="24"/>
          <w:szCs w:val="24"/>
          <w:lang w:val="en"/>
        </w:rPr>
        <w:t>deportation</w:t>
      </w:r>
      <w:r w:rsidRPr="008942EF">
        <w:rPr>
          <w:rFonts w:ascii="Times New Roman" w:hAnsi="Times New Roman" w:cs="Times New Roman"/>
          <w:sz w:val="24"/>
          <w:szCs w:val="24"/>
          <w:lang w:val="en"/>
        </w:rPr>
        <w:t xml:space="preserve">. </w:t>
      </w:r>
    </w:p>
    <w:p w:rsidR="008942EF" w:rsidRPr="008942EF" w:rsidRDefault="008942EF" w:rsidP="008942EF">
      <w:pPr>
        <w:spacing w:after="0" w:line="480" w:lineRule="auto"/>
        <w:jc w:val="both"/>
        <w:rPr>
          <w:rFonts w:ascii="Times New Roman" w:hAnsi="Times New Roman" w:cs="Times New Roman"/>
          <w:sz w:val="24"/>
          <w:szCs w:val="24"/>
          <w:lang w:val="en"/>
        </w:rPr>
      </w:pPr>
    </w:p>
    <w:p w:rsidR="00816ECE" w:rsidRPr="009630A6" w:rsidRDefault="00505785" w:rsidP="00816ECE">
      <w:pPr>
        <w:spacing w:after="0"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Governing</w:t>
      </w:r>
      <w:r w:rsidR="008942EF" w:rsidRPr="008942EF">
        <w:rPr>
          <w:rFonts w:ascii="Times New Roman" w:hAnsi="Times New Roman" w:cs="Times New Roman"/>
          <w:sz w:val="24"/>
          <w:szCs w:val="24"/>
          <w:lang w:val="en"/>
        </w:rPr>
        <w:t xml:space="preserve"> sex work through crime increases the vulnerability of sex workers. On the streets, criminalisation of sex work activities and clients pushes sex workers into marginalised areas, away from regular clients and shortens the time available to assess clients. In off-street sex work, sex workers often choose to work alone and increase their vulnerability to violence, or work within potentially economically exploitative conditions to gain protection from a third party. Therefore, while governing for the fear of crime, criminal law actually might increase the reality of crime for sex workers.</w:t>
      </w:r>
      <w:r w:rsidR="009630A6">
        <w:rPr>
          <w:rFonts w:ascii="Times New Roman" w:hAnsi="Times New Roman" w:cs="Times New Roman"/>
          <w:sz w:val="24"/>
          <w:szCs w:val="24"/>
          <w:lang w:val="en"/>
        </w:rPr>
        <w:t xml:space="preserve"> </w:t>
      </w:r>
      <w:r>
        <w:rPr>
          <w:rFonts w:ascii="Times New Roman" w:hAnsi="Times New Roman" w:cs="Times New Roman"/>
          <w:sz w:val="24"/>
          <w:szCs w:val="24"/>
        </w:rPr>
        <w:t>The Government should therefore think twice about ‘shifting the burde</w:t>
      </w:r>
      <w:r w:rsidR="0035087F">
        <w:rPr>
          <w:rFonts w:ascii="Times New Roman" w:hAnsi="Times New Roman" w:cs="Times New Roman"/>
          <w:sz w:val="24"/>
          <w:szCs w:val="24"/>
        </w:rPr>
        <w:t xml:space="preserve">n of criminality’ in sex work and seriously consider the possibility of following a decriminalisation model; </w:t>
      </w:r>
      <w:r>
        <w:rPr>
          <w:rFonts w:ascii="Times New Roman" w:hAnsi="Times New Roman" w:cs="Times New Roman"/>
          <w:sz w:val="24"/>
          <w:szCs w:val="24"/>
        </w:rPr>
        <w:t>no matter who is criminalised, g</w:t>
      </w:r>
      <w:r w:rsidR="0071133D">
        <w:rPr>
          <w:rFonts w:ascii="Times New Roman" w:hAnsi="Times New Roman" w:cs="Times New Roman"/>
          <w:sz w:val="24"/>
          <w:szCs w:val="24"/>
        </w:rPr>
        <w:t>overning through crime</w:t>
      </w:r>
      <w:r>
        <w:rPr>
          <w:rFonts w:ascii="Times New Roman" w:hAnsi="Times New Roman" w:cs="Times New Roman"/>
          <w:sz w:val="24"/>
          <w:szCs w:val="24"/>
        </w:rPr>
        <w:t xml:space="preserve"> </w:t>
      </w:r>
      <w:r w:rsidR="0071133D">
        <w:rPr>
          <w:rFonts w:ascii="Times New Roman" w:hAnsi="Times New Roman" w:cs="Times New Roman"/>
          <w:sz w:val="24"/>
          <w:szCs w:val="24"/>
        </w:rPr>
        <w:lastRenderedPageBreak/>
        <w:t>creates and perpetuates the conditions of violence, exploitatio</w:t>
      </w:r>
      <w:r>
        <w:rPr>
          <w:rFonts w:ascii="Times New Roman" w:hAnsi="Times New Roman" w:cs="Times New Roman"/>
          <w:sz w:val="24"/>
          <w:szCs w:val="24"/>
        </w:rPr>
        <w:t>n and exclusion for sex workers.</w:t>
      </w:r>
      <w:r w:rsidR="003F186B">
        <w:rPr>
          <w:rFonts w:ascii="Times New Roman" w:hAnsi="Times New Roman" w:cs="Times New Roman"/>
          <w:sz w:val="24"/>
          <w:szCs w:val="24"/>
        </w:rPr>
        <w:t xml:space="preserve"> </w:t>
      </w:r>
    </w:p>
    <w:p w:rsidR="00816ECE" w:rsidRDefault="00816ECE" w:rsidP="008942EF">
      <w:pPr>
        <w:spacing w:after="0" w:line="480" w:lineRule="auto"/>
        <w:jc w:val="both"/>
        <w:rPr>
          <w:rFonts w:ascii="Times New Roman" w:hAnsi="Times New Roman" w:cs="Times New Roman"/>
          <w:sz w:val="24"/>
          <w:szCs w:val="24"/>
        </w:rPr>
      </w:pPr>
    </w:p>
    <w:p w:rsidR="000B538A" w:rsidRPr="000B538A" w:rsidRDefault="000B538A" w:rsidP="002B549A">
      <w:pPr>
        <w:spacing w:after="0" w:line="240" w:lineRule="auto"/>
        <w:jc w:val="both"/>
        <w:rPr>
          <w:rFonts w:ascii="Times New Roman" w:hAnsi="Times New Roman" w:cs="Times New Roman"/>
          <w:b/>
          <w:sz w:val="24"/>
          <w:szCs w:val="24"/>
        </w:rPr>
      </w:pPr>
    </w:p>
    <w:sectPr w:rsidR="000B538A" w:rsidRPr="000B538A">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FB0" w:rsidRDefault="00790FB0" w:rsidP="008942EF">
      <w:pPr>
        <w:spacing w:after="0" w:line="240" w:lineRule="auto"/>
      </w:pPr>
      <w:r>
        <w:separator/>
      </w:r>
    </w:p>
  </w:endnote>
  <w:endnote w:type="continuationSeparator" w:id="0">
    <w:p w:rsidR="00790FB0" w:rsidRDefault="00790FB0" w:rsidP="0089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73127"/>
      <w:docPartObj>
        <w:docPartGallery w:val="Page Numbers (Bottom of Page)"/>
        <w:docPartUnique/>
      </w:docPartObj>
    </w:sdtPr>
    <w:sdtEndPr>
      <w:rPr>
        <w:noProof/>
      </w:rPr>
    </w:sdtEndPr>
    <w:sdtContent>
      <w:p w:rsidR="0005141F" w:rsidRDefault="0005141F">
        <w:pPr>
          <w:pStyle w:val="Footer"/>
          <w:jc w:val="right"/>
        </w:pPr>
        <w:r>
          <w:fldChar w:fldCharType="begin"/>
        </w:r>
        <w:r>
          <w:instrText xml:space="preserve"> PAGE   \* MERGEFORMAT </w:instrText>
        </w:r>
        <w:r>
          <w:fldChar w:fldCharType="separate"/>
        </w:r>
        <w:r w:rsidR="00A00C05">
          <w:rPr>
            <w:noProof/>
          </w:rPr>
          <w:t>1</w:t>
        </w:r>
        <w:r>
          <w:rPr>
            <w:noProof/>
          </w:rPr>
          <w:fldChar w:fldCharType="end"/>
        </w:r>
      </w:p>
    </w:sdtContent>
  </w:sdt>
  <w:p w:rsidR="0005141F" w:rsidRDefault="00051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FB0" w:rsidRDefault="00790FB0" w:rsidP="008942EF">
      <w:pPr>
        <w:spacing w:after="0" w:line="240" w:lineRule="auto"/>
      </w:pPr>
      <w:r>
        <w:separator/>
      </w:r>
    </w:p>
  </w:footnote>
  <w:footnote w:type="continuationSeparator" w:id="0">
    <w:p w:rsidR="00790FB0" w:rsidRDefault="00790FB0" w:rsidP="008942EF">
      <w:pPr>
        <w:spacing w:after="0" w:line="240" w:lineRule="auto"/>
      </w:pPr>
      <w:r>
        <w:continuationSeparator/>
      </w:r>
    </w:p>
  </w:footnote>
  <w:footnote w:id="1">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The  term  sex  work  is  used  in  this  article  to  refer to  the  provision  of  direct  sexual  services.</w:t>
      </w:r>
    </w:p>
  </w:footnote>
  <w:footnote w:id="2">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Home Affairs Committee Prostitution inquiry (2016). Available at:  </w:t>
      </w:r>
      <w:hyperlink r:id="rId1" w:history="1">
        <w:r w:rsidRPr="009A7832">
          <w:rPr>
            <w:rStyle w:val="Hyperlink"/>
            <w:rFonts w:ascii="Times New Roman" w:hAnsi="Times New Roman" w:cs="Times New Roman"/>
          </w:rPr>
          <w:t>http://www.parliament.uk/business/committees/committees-a-z/commons-select/home-affairs-committee/inquiries/parliament-2015/prostitution/</w:t>
        </w:r>
      </w:hyperlink>
      <w:r w:rsidRPr="009A7832">
        <w:rPr>
          <w:rFonts w:ascii="Times New Roman" w:hAnsi="Times New Roman" w:cs="Times New Roman"/>
        </w:rPr>
        <w:t xml:space="preserve"> (accessed 15 January 2016).</w:t>
      </w:r>
    </w:p>
  </w:footnote>
  <w:footnote w:id="3">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Home Office, Paying the Price: a Consultation Paper on Prostitution (Home Office: London, 2004); Home Office, </w:t>
      </w:r>
      <w:r w:rsidRPr="009A7832">
        <w:rPr>
          <w:rFonts w:ascii="Times New Roman" w:hAnsi="Times New Roman" w:cs="Times New Roman"/>
          <w:iCs/>
        </w:rPr>
        <w:t>A Coordinated Prostitution Strategy</w:t>
      </w:r>
      <w:r w:rsidRPr="009A7832">
        <w:rPr>
          <w:rFonts w:ascii="Times New Roman" w:hAnsi="Times New Roman" w:cs="Times New Roman"/>
          <w:i/>
          <w:iCs/>
        </w:rPr>
        <w:t xml:space="preserve"> </w:t>
      </w:r>
      <w:r w:rsidRPr="009A7832">
        <w:rPr>
          <w:rFonts w:ascii="Times New Roman" w:hAnsi="Times New Roman" w:cs="Times New Roman"/>
          <w:iCs/>
        </w:rPr>
        <w:t>(</w:t>
      </w:r>
      <w:r w:rsidRPr="009A7832">
        <w:rPr>
          <w:rFonts w:ascii="Times New Roman" w:hAnsi="Times New Roman" w:cs="Times New Roman"/>
        </w:rPr>
        <w:t xml:space="preserve">Home Office: London, 2006); Home Office, </w:t>
      </w:r>
      <w:r w:rsidRPr="009A7832">
        <w:rPr>
          <w:rFonts w:ascii="Times New Roman" w:hAnsi="Times New Roman" w:cs="Times New Roman"/>
          <w:iCs/>
        </w:rPr>
        <w:t>Tackling the Demand for Prostitution: a Review</w:t>
      </w:r>
      <w:r w:rsidRPr="009A7832">
        <w:rPr>
          <w:rFonts w:ascii="Times New Roman" w:hAnsi="Times New Roman" w:cs="Times New Roman"/>
          <w:i/>
          <w:iCs/>
        </w:rPr>
        <w:t xml:space="preserve"> </w:t>
      </w:r>
      <w:r w:rsidRPr="009A7832">
        <w:rPr>
          <w:rFonts w:ascii="Times New Roman" w:hAnsi="Times New Roman" w:cs="Times New Roman"/>
          <w:iCs/>
        </w:rPr>
        <w:t>(</w:t>
      </w:r>
      <w:r w:rsidRPr="009A7832">
        <w:rPr>
          <w:rFonts w:ascii="Times New Roman" w:hAnsi="Times New Roman" w:cs="Times New Roman"/>
        </w:rPr>
        <w:t>Home Office: London, 2008); All Party Parliamentary Group on Prostitution and the Global Sex Trade, Shifting the Burden: Inquiry to Assess the Operation of the Current Legal Settlement on Prostitution in England and Wales (APPG: London, 2014).</w:t>
      </w:r>
    </w:p>
  </w:footnote>
  <w:footnote w:id="4">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House of Commons Home Affairs Committee, Prostitution, HC 26 (2016), para. 102.</w:t>
      </w:r>
    </w:p>
  </w:footnote>
  <w:footnote w:id="5">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T. Sanders, Sex Work: A Risky Business</w:t>
      </w:r>
      <w:r w:rsidRPr="009A7832">
        <w:rPr>
          <w:rFonts w:ascii="Times New Roman" w:hAnsi="Times New Roman" w:cs="Times New Roman"/>
          <w:i/>
        </w:rPr>
        <w:t xml:space="preserve"> </w:t>
      </w:r>
      <w:r w:rsidRPr="009A7832">
        <w:rPr>
          <w:rFonts w:ascii="Times New Roman" w:hAnsi="Times New Roman" w:cs="Times New Roman"/>
        </w:rPr>
        <w:t>(Willan: Devon, 2005), 94.</w:t>
      </w:r>
    </w:p>
  </w:footnote>
  <w:footnote w:id="6">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A. Goldman, ‘Cultural and Economic Perspectives Concerning Protection of Workers’ Social Dignity’ in R. Blanpain (ed.), </w:t>
      </w:r>
      <w:r w:rsidRPr="009A7832">
        <w:rPr>
          <w:rFonts w:ascii="Times New Roman" w:hAnsi="Times New Roman" w:cs="Times New Roman"/>
          <w:iCs/>
        </w:rPr>
        <w:t>Labour Law, Human Right and Social Justice</w:t>
      </w:r>
      <w:r w:rsidRPr="009A7832">
        <w:rPr>
          <w:rFonts w:ascii="Times New Roman" w:hAnsi="Times New Roman" w:cs="Times New Roman"/>
          <w:i/>
          <w:iCs/>
        </w:rPr>
        <w:t xml:space="preserve"> </w:t>
      </w:r>
      <w:r w:rsidRPr="009A7832">
        <w:rPr>
          <w:rFonts w:ascii="Times New Roman" w:hAnsi="Times New Roman" w:cs="Times New Roman"/>
          <w:iCs/>
        </w:rPr>
        <w:t>(</w:t>
      </w:r>
      <w:r w:rsidRPr="009A7832">
        <w:rPr>
          <w:rFonts w:ascii="Times New Roman" w:hAnsi="Times New Roman" w:cs="Times New Roman"/>
        </w:rPr>
        <w:t>Kluwer Law International: The Hague, 2001) 9-29.</w:t>
      </w:r>
    </w:p>
  </w:footnote>
  <w:footnote w:id="7">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R. Hensman, ‘Defending Workers’ Rights in Subcontracted Workplaces’ in A. Hales and J. Wills (eds.), </w:t>
      </w:r>
      <w:r w:rsidRPr="009A7832">
        <w:rPr>
          <w:rFonts w:ascii="Times New Roman" w:hAnsi="Times New Roman" w:cs="Times New Roman"/>
          <w:iCs/>
        </w:rPr>
        <w:t>Threads of Labour: Garment Industry Supply Chains from the Workers’ Perspective</w:t>
      </w:r>
      <w:r w:rsidRPr="009A7832">
        <w:rPr>
          <w:rFonts w:ascii="Times New Roman" w:hAnsi="Times New Roman" w:cs="Times New Roman"/>
        </w:rPr>
        <w:t xml:space="preserve"> (Blackwell: Oxford, 2005) 189-209.</w:t>
      </w:r>
    </w:p>
  </w:footnote>
  <w:footnote w:id="8">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J. Simon, Governing Through Crime (OUP: New York, 2007).</w:t>
      </w:r>
    </w:p>
  </w:footnote>
  <w:footnote w:id="9">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J. Scoular and M. O’Neill, ‘Legal Incursions into Supply/Demand: Criminalising and Responsibilising the Buyers and Sellers of sex in the UK’, in V. Munro and M. Della Giusta (eds.), Demanding Sex: Critical Reflections on the Regulation of Prostitution</w:t>
      </w:r>
      <w:r w:rsidRPr="009A7832">
        <w:rPr>
          <w:rFonts w:ascii="Times New Roman" w:hAnsi="Times New Roman" w:cs="Times New Roman"/>
          <w:i/>
        </w:rPr>
        <w:t xml:space="preserve"> </w:t>
      </w:r>
      <w:r w:rsidRPr="009A7832">
        <w:rPr>
          <w:rFonts w:ascii="Times New Roman" w:hAnsi="Times New Roman" w:cs="Times New Roman"/>
        </w:rPr>
        <w:t>(Ashgate:</w:t>
      </w:r>
      <w:r w:rsidRPr="009A7832">
        <w:rPr>
          <w:rFonts w:ascii="Times New Roman" w:hAnsi="Times New Roman" w:cs="Times New Roman"/>
          <w:i/>
        </w:rPr>
        <w:t xml:space="preserve"> </w:t>
      </w:r>
      <w:r w:rsidRPr="009A7832">
        <w:rPr>
          <w:rFonts w:ascii="Times New Roman" w:hAnsi="Times New Roman" w:cs="Times New Roman"/>
        </w:rPr>
        <w:t>Aldershot, 2008) 13-34.</w:t>
      </w:r>
    </w:p>
  </w:footnote>
  <w:footnote w:id="10">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See Simon, above n 8 at 15.</w:t>
      </w:r>
    </w:p>
  </w:footnote>
  <w:footnote w:id="11">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S. Fitzgerald, ‘Vulnerability and Sex Trafficking in the United Kingdom’ in S. Fitzgerald (ed.), Regulating the International Movement of Women: From Protection to Control (Routledge: London, 2011) 154-175; V Munro, ‘A Tale of Two Servitudes: Defining and Implementing a Domestic Response to Trafficking of Women for Prostitution in the UK and Australia’ (2005) 14 </w:t>
      </w:r>
      <w:r w:rsidRPr="009A7832">
        <w:rPr>
          <w:rFonts w:ascii="Times New Roman" w:hAnsi="Times New Roman" w:cs="Times New Roman"/>
          <w:i/>
        </w:rPr>
        <w:t>Social and Legal Studies</w:t>
      </w:r>
      <w:r w:rsidRPr="009A7832">
        <w:rPr>
          <w:rFonts w:ascii="Times New Roman" w:hAnsi="Times New Roman" w:cs="Times New Roman"/>
        </w:rPr>
        <w:t xml:space="preserve"> 91.</w:t>
      </w:r>
    </w:p>
  </w:footnote>
  <w:footnote w:id="12">
    <w:p w:rsidR="0005141F" w:rsidRPr="009A7832" w:rsidRDefault="0005141F" w:rsidP="009A7832">
      <w:pPr>
        <w:spacing w:after="0" w:line="240" w:lineRule="auto"/>
        <w:rPr>
          <w:rFonts w:ascii="Times New Roman" w:hAnsi="Times New Roman" w:cs="Times New Roman"/>
          <w:sz w:val="20"/>
          <w:szCs w:val="20"/>
        </w:rPr>
      </w:pPr>
      <w:r w:rsidRPr="009A7832">
        <w:rPr>
          <w:rStyle w:val="FootnoteReference"/>
          <w:rFonts w:ascii="Times New Roman" w:hAnsi="Times New Roman" w:cs="Times New Roman"/>
          <w:sz w:val="20"/>
          <w:szCs w:val="20"/>
        </w:rPr>
        <w:footnoteRef/>
      </w:r>
      <w:r w:rsidRPr="009A7832">
        <w:rPr>
          <w:rFonts w:ascii="Times New Roman" w:hAnsi="Times New Roman" w:cs="Times New Roman"/>
          <w:sz w:val="20"/>
          <w:szCs w:val="20"/>
        </w:rPr>
        <w:t xml:space="preserve"> Home Office and Scottish Home Department, Report of the Committee on Homosexual Offences and Prostitution, Cmnd. 247 (1957).</w:t>
      </w:r>
    </w:p>
  </w:footnote>
  <w:footnote w:id="13">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Above n. 8 at 1.</w:t>
      </w:r>
    </w:p>
  </w:footnote>
  <w:footnote w:id="14">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Ibid. at 5.</w:t>
      </w:r>
    </w:p>
  </w:footnote>
  <w:footnote w:id="15">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Ibid. at 14.</w:t>
      </w:r>
    </w:p>
  </w:footnote>
  <w:footnote w:id="16">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Ibid. at 5.</w:t>
      </w:r>
    </w:p>
  </w:footnote>
  <w:footnote w:id="17">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Ibid. at 14.</w:t>
      </w:r>
    </w:p>
  </w:footnote>
  <w:footnote w:id="18">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Ibid. at 21.</w:t>
      </w:r>
    </w:p>
  </w:footnote>
  <w:footnote w:id="19">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Ibid. at 4.</w:t>
      </w:r>
    </w:p>
  </w:footnote>
  <w:footnote w:id="20">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Ibid. at 208.</w:t>
      </w:r>
    </w:p>
  </w:footnote>
  <w:footnote w:id="21">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Ibid. at 230-231.</w:t>
      </w:r>
    </w:p>
  </w:footnote>
  <w:footnote w:id="22">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M. Foucault, ‘Governmentality’ (1978) translation in G. Burchell, P. Miller and C. Gordon (eds.) The Foucault Effect: Studies in Governmentality (University of Chicago: Chicago, 1991) 87-105.</w:t>
      </w:r>
    </w:p>
  </w:footnote>
  <w:footnote w:id="23">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Above n.8 at 75.</w:t>
      </w:r>
    </w:p>
  </w:footnote>
  <w:footnote w:id="24">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Ibid. at 6.</w:t>
      </w:r>
    </w:p>
  </w:footnote>
  <w:footnote w:id="25">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Ibid. at 110.</w:t>
      </w:r>
    </w:p>
  </w:footnote>
  <w:footnote w:id="26">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Ibid.at 4.</w:t>
      </w:r>
    </w:p>
  </w:footnote>
  <w:footnote w:id="27">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Ibid. at 4.</w:t>
      </w:r>
    </w:p>
  </w:footnote>
  <w:footnote w:id="28">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Above n.12 at 9.</w:t>
      </w:r>
    </w:p>
  </w:footnote>
  <w:footnote w:id="29">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Above n.8 at 79.</w:t>
      </w:r>
    </w:p>
  </w:footnote>
  <w:footnote w:id="30">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Ibid. at 109.</w:t>
      </w:r>
    </w:p>
  </w:footnote>
  <w:footnote w:id="31">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S 1(1).</w:t>
      </w:r>
    </w:p>
  </w:footnote>
  <w:footnote w:id="32">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The term ‘common prostitute’ was removed by the Policing and Crime Act 2009, s 16(2).</w:t>
      </w:r>
    </w:p>
  </w:footnote>
  <w:footnote w:id="33">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Above n.12 at 86.</w:t>
      </w:r>
    </w:p>
  </w:footnote>
  <w:footnote w:id="34">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S. Day, On the Game: Women and Sex Work</w:t>
      </w:r>
      <w:r w:rsidRPr="009A7832">
        <w:rPr>
          <w:rFonts w:ascii="Times New Roman" w:hAnsi="Times New Roman" w:cs="Times New Roman"/>
          <w:i/>
        </w:rPr>
        <w:t xml:space="preserve"> </w:t>
      </w:r>
      <w:r w:rsidRPr="009A7832">
        <w:rPr>
          <w:rFonts w:ascii="Times New Roman" w:hAnsi="Times New Roman" w:cs="Times New Roman"/>
        </w:rPr>
        <w:t>(Pluto Press: London: 2007) 84.</w:t>
      </w:r>
    </w:p>
  </w:footnote>
  <w:footnote w:id="35">
    <w:p w:rsidR="0005141F" w:rsidRPr="009A7832" w:rsidRDefault="0005141F" w:rsidP="009A7832">
      <w:pPr>
        <w:pStyle w:val="FootnoteText"/>
        <w:rPr>
          <w:rFonts w:ascii="Times New Roman" w:hAnsi="Times New Roman" w:cs="Times New Roman"/>
        </w:rPr>
      </w:pPr>
      <w:r w:rsidRPr="009A7832">
        <w:rPr>
          <w:rStyle w:val="FootnoteReference"/>
          <w:rFonts w:ascii="Times New Roman" w:hAnsi="Times New Roman" w:cs="Times New Roman"/>
        </w:rPr>
        <w:footnoteRef/>
      </w:r>
      <w:r w:rsidRPr="009A7832">
        <w:rPr>
          <w:rFonts w:ascii="Times New Roman" w:hAnsi="Times New Roman" w:cs="Times New Roman"/>
        </w:rPr>
        <w:t xml:space="preserve"> P. Hubbard and T. Sanders, ‘Making Space for Sex Work: Female Street Prostitution and the Production of Urban Space’ (2003) 27 </w:t>
      </w:r>
      <w:r w:rsidRPr="009A7832">
        <w:rPr>
          <w:rFonts w:ascii="Times New Roman" w:hAnsi="Times New Roman" w:cs="Times New Roman"/>
          <w:i/>
        </w:rPr>
        <w:t>International Journal of Urban and Regional Research</w:t>
      </w:r>
      <w:r w:rsidRPr="009A7832">
        <w:rPr>
          <w:rFonts w:ascii="Times New Roman" w:hAnsi="Times New Roman" w:cs="Times New Roman"/>
        </w:rPr>
        <w:t xml:space="preserve"> 75.</w:t>
      </w:r>
    </w:p>
  </w:footnote>
  <w:footnote w:id="36">
    <w:p w:rsidR="0005141F" w:rsidRPr="009A7832" w:rsidRDefault="0005141F" w:rsidP="009A7832">
      <w:pPr>
        <w:spacing w:after="0" w:line="240" w:lineRule="auto"/>
        <w:rPr>
          <w:rFonts w:ascii="Times New Roman" w:hAnsi="Times New Roman" w:cs="Times New Roman"/>
          <w:sz w:val="20"/>
          <w:szCs w:val="20"/>
        </w:rPr>
      </w:pPr>
      <w:r w:rsidRPr="009A7832">
        <w:rPr>
          <w:rStyle w:val="FootnoteReference"/>
          <w:rFonts w:ascii="Times New Roman" w:hAnsi="Times New Roman" w:cs="Times New Roman"/>
          <w:sz w:val="20"/>
          <w:szCs w:val="20"/>
        </w:rPr>
        <w:footnoteRef/>
      </w:r>
      <w:r w:rsidRPr="009A7832">
        <w:rPr>
          <w:rFonts w:ascii="Times New Roman" w:hAnsi="Times New Roman" w:cs="Times New Roman"/>
          <w:sz w:val="20"/>
          <w:szCs w:val="20"/>
        </w:rPr>
        <w:t xml:space="preserve"> Home Office, A Review of Effective Practice in Responding to Prostitution (Home Office: London, 2011) 22.</w:t>
      </w:r>
    </w:p>
  </w:footnote>
  <w:footnote w:id="37">
    <w:p w:rsidR="0005141F" w:rsidRDefault="0005141F">
      <w:pPr>
        <w:pStyle w:val="FootnoteText"/>
      </w:pPr>
      <w:r>
        <w:rPr>
          <w:rStyle w:val="FootnoteReference"/>
        </w:rPr>
        <w:footnoteRef/>
      </w:r>
      <w:r>
        <w:t xml:space="preserve"> Above n.8 at 100.</w:t>
      </w:r>
    </w:p>
  </w:footnote>
  <w:footnote w:id="38">
    <w:p w:rsidR="0005141F" w:rsidRDefault="0005141F">
      <w:pPr>
        <w:pStyle w:val="FootnoteText"/>
      </w:pPr>
      <w:r>
        <w:rPr>
          <w:rStyle w:val="FootnoteReference"/>
        </w:rPr>
        <w:footnoteRef/>
      </w:r>
      <w:r>
        <w:t xml:space="preserve"> Home Office, above n.3 at Ch.7.</w:t>
      </w:r>
    </w:p>
  </w:footnote>
  <w:footnote w:id="39">
    <w:p w:rsidR="0005141F" w:rsidRDefault="0005141F">
      <w:pPr>
        <w:pStyle w:val="FootnoteText"/>
      </w:pPr>
      <w:r>
        <w:rPr>
          <w:rStyle w:val="FootnoteReference"/>
        </w:rPr>
        <w:footnoteRef/>
      </w:r>
      <w:r>
        <w:t xml:space="preserve"> Home Office, above n.3.</w:t>
      </w:r>
    </w:p>
  </w:footnote>
  <w:footnote w:id="40">
    <w:p w:rsidR="0005141F" w:rsidRDefault="0005141F">
      <w:pPr>
        <w:pStyle w:val="FootnoteText"/>
      </w:pPr>
      <w:r>
        <w:rPr>
          <w:rStyle w:val="FootnoteReference"/>
        </w:rPr>
        <w:footnoteRef/>
      </w:r>
      <w:r>
        <w:t xml:space="preserve"> </w:t>
      </w:r>
      <w:r w:rsidRPr="003C10C1">
        <w:t>Home Office, above n.3</w:t>
      </w:r>
      <w:r>
        <w:t>.</w:t>
      </w:r>
    </w:p>
  </w:footnote>
  <w:footnote w:id="41">
    <w:p w:rsidR="0005141F" w:rsidRDefault="0005141F">
      <w:pPr>
        <w:pStyle w:val="FootnoteText"/>
      </w:pPr>
      <w:r>
        <w:rPr>
          <w:rStyle w:val="FootnoteReference"/>
        </w:rPr>
        <w:footnoteRef/>
      </w:r>
      <w:r>
        <w:t xml:space="preserve"> Home Office (2004) above n.3 at 63.</w:t>
      </w:r>
    </w:p>
  </w:footnote>
  <w:footnote w:id="42">
    <w:p w:rsidR="0005141F" w:rsidRDefault="0005141F">
      <w:pPr>
        <w:pStyle w:val="FootnoteText"/>
      </w:pPr>
      <w:r>
        <w:rPr>
          <w:rStyle w:val="FootnoteReference"/>
        </w:rPr>
        <w:footnoteRef/>
      </w:r>
      <w:r>
        <w:t xml:space="preserve"> Ibid. at 74.</w:t>
      </w:r>
    </w:p>
  </w:footnote>
  <w:footnote w:id="43">
    <w:p w:rsidR="0005141F" w:rsidRDefault="0005141F">
      <w:pPr>
        <w:pStyle w:val="FootnoteText"/>
      </w:pPr>
      <w:r>
        <w:rPr>
          <w:rStyle w:val="FootnoteReference"/>
        </w:rPr>
        <w:footnoteRef/>
      </w:r>
      <w:r>
        <w:t xml:space="preserve"> Ibid.</w:t>
      </w:r>
    </w:p>
  </w:footnote>
  <w:footnote w:id="44">
    <w:p w:rsidR="0005141F" w:rsidRDefault="0005141F">
      <w:pPr>
        <w:pStyle w:val="FootnoteText"/>
      </w:pPr>
      <w:r>
        <w:rPr>
          <w:rStyle w:val="FootnoteReference"/>
        </w:rPr>
        <w:footnoteRef/>
      </w:r>
      <w:r>
        <w:t xml:space="preserve"> Home Office (2006), above n.3 at 13.</w:t>
      </w:r>
    </w:p>
  </w:footnote>
  <w:footnote w:id="45">
    <w:p w:rsidR="0005141F" w:rsidRDefault="0005141F">
      <w:pPr>
        <w:pStyle w:val="FootnoteText"/>
      </w:pPr>
      <w:r>
        <w:rPr>
          <w:rStyle w:val="FootnoteReference"/>
        </w:rPr>
        <w:footnoteRef/>
      </w:r>
      <w:r>
        <w:t xml:space="preserve"> Home Office (2004), above n.3 at 62.</w:t>
      </w:r>
    </w:p>
  </w:footnote>
  <w:footnote w:id="46">
    <w:p w:rsidR="0005141F" w:rsidRDefault="0005141F">
      <w:pPr>
        <w:pStyle w:val="FootnoteText"/>
      </w:pPr>
      <w:r>
        <w:rPr>
          <w:rStyle w:val="FootnoteReference"/>
        </w:rPr>
        <w:footnoteRef/>
      </w:r>
      <w:r>
        <w:t xml:space="preserve"> M. O’Neill </w:t>
      </w:r>
      <w:r w:rsidRPr="003C10C1">
        <w:t xml:space="preserve">and </w:t>
      </w:r>
      <w:r>
        <w:t>R. Campbell, ‘Street Sex W</w:t>
      </w:r>
      <w:r w:rsidRPr="003C10C1">
        <w:t>ork</w:t>
      </w:r>
      <w:r>
        <w:t xml:space="preserve"> and Local Communities: Creating Discursive Space for Genuine Consultation and Inclusion’ i</w:t>
      </w:r>
      <w:r w:rsidRPr="003C10C1">
        <w:t xml:space="preserve">n </w:t>
      </w:r>
      <w:r>
        <w:t>R.Campbell</w:t>
      </w:r>
      <w:r w:rsidRPr="003C10C1">
        <w:t xml:space="preserve"> and </w:t>
      </w:r>
      <w:r>
        <w:t xml:space="preserve">M. O’Neill </w:t>
      </w:r>
      <w:r w:rsidRPr="003C10C1">
        <w:t>(eds</w:t>
      </w:r>
      <w:r>
        <w:t>.) Sex Work Now (Willan: Devon, 2006) 39</w:t>
      </w:r>
      <w:r w:rsidRPr="003C10C1">
        <w:t>.</w:t>
      </w:r>
    </w:p>
  </w:footnote>
  <w:footnote w:id="47">
    <w:p w:rsidR="0005141F" w:rsidRDefault="0005141F">
      <w:pPr>
        <w:pStyle w:val="FootnoteText"/>
      </w:pPr>
      <w:r>
        <w:rPr>
          <w:rStyle w:val="FootnoteReference"/>
        </w:rPr>
        <w:footnoteRef/>
      </w:r>
      <w:r>
        <w:t xml:space="preserve"> M. O’Neill et al, ‘Living With the Other: Street Sex Work, Contingent C</w:t>
      </w:r>
      <w:r w:rsidRPr="003C10C1">
        <w:t>ommun</w:t>
      </w:r>
      <w:r>
        <w:t>ities and Degrees of Tolerance (2008) 4 Crime, Media and Culture 73, 80.</w:t>
      </w:r>
    </w:p>
  </w:footnote>
  <w:footnote w:id="48">
    <w:p w:rsidR="0005141F" w:rsidRDefault="0005141F">
      <w:pPr>
        <w:pStyle w:val="FootnoteText"/>
      </w:pPr>
      <w:r>
        <w:rPr>
          <w:rStyle w:val="FootnoteReference"/>
        </w:rPr>
        <w:footnoteRef/>
      </w:r>
      <w:r>
        <w:t xml:space="preserve"> Above n.8 at 75.</w:t>
      </w:r>
    </w:p>
  </w:footnote>
  <w:footnote w:id="49">
    <w:p w:rsidR="0005141F" w:rsidRDefault="0005141F">
      <w:pPr>
        <w:pStyle w:val="FootnoteText"/>
      </w:pPr>
      <w:r>
        <w:rPr>
          <w:rStyle w:val="FootnoteReference"/>
        </w:rPr>
        <w:footnoteRef/>
      </w:r>
      <w:r>
        <w:t xml:space="preserve"> Above n.46 at 38.</w:t>
      </w:r>
    </w:p>
  </w:footnote>
  <w:footnote w:id="50">
    <w:p w:rsidR="0005141F" w:rsidRDefault="0005141F">
      <w:pPr>
        <w:pStyle w:val="FootnoteText"/>
      </w:pPr>
      <w:r>
        <w:rPr>
          <w:rStyle w:val="FootnoteReference"/>
        </w:rPr>
        <w:footnoteRef/>
      </w:r>
      <w:r>
        <w:t xml:space="preserve"> T. Sanders</w:t>
      </w:r>
      <w:r w:rsidRPr="006E77FA">
        <w:t xml:space="preserve">, </w:t>
      </w:r>
      <w:r>
        <w:t>M. O’Neill</w:t>
      </w:r>
      <w:r w:rsidRPr="006E77FA">
        <w:t xml:space="preserve"> and </w:t>
      </w:r>
      <w:r>
        <w:t xml:space="preserve">J. Pitcher, </w:t>
      </w:r>
      <w:r w:rsidRPr="006E77FA">
        <w:t>Prostitutio</w:t>
      </w:r>
      <w:r>
        <w:t>n: Sex Work, Policy &amp; Politics (Sage: London: 2009) 133.</w:t>
      </w:r>
    </w:p>
  </w:footnote>
  <w:footnote w:id="51">
    <w:p w:rsidR="0005141F" w:rsidRDefault="0005141F">
      <w:pPr>
        <w:pStyle w:val="FootnoteText"/>
      </w:pPr>
      <w:r>
        <w:rPr>
          <w:rStyle w:val="FootnoteReference"/>
        </w:rPr>
        <w:footnoteRef/>
      </w:r>
      <w:r>
        <w:t xml:space="preserve"> J. Pitcher </w:t>
      </w:r>
      <w:r w:rsidRPr="006E77FA">
        <w:t>et al</w:t>
      </w:r>
      <w:r>
        <w:t xml:space="preserve">, </w:t>
      </w:r>
      <w:r w:rsidRPr="006E77FA">
        <w:t>Living and Working in Areas of Street Sex Work</w:t>
      </w:r>
      <w:r>
        <w:t>: From Conflict to Coexistence (The Policy Press: Bristol: 2006) 18.</w:t>
      </w:r>
    </w:p>
  </w:footnote>
  <w:footnote w:id="52">
    <w:p w:rsidR="0005141F" w:rsidRDefault="0005141F">
      <w:pPr>
        <w:pStyle w:val="FootnoteText"/>
      </w:pPr>
      <w:r>
        <w:rPr>
          <w:rStyle w:val="FootnoteReference"/>
        </w:rPr>
        <w:footnoteRef/>
      </w:r>
      <w:r>
        <w:t xml:space="preserve"> O’Neill et al, above n. 47; S. Kingston, </w:t>
      </w:r>
      <w:r w:rsidRPr="006E77FA">
        <w:t>Prostitution in the Community: At</w:t>
      </w:r>
      <w:r>
        <w:t>titudes, Action and Resistance (Routledge: Oxford, 2014).</w:t>
      </w:r>
    </w:p>
  </w:footnote>
  <w:footnote w:id="53">
    <w:p w:rsidR="0005141F" w:rsidRDefault="0005141F">
      <w:pPr>
        <w:pStyle w:val="FootnoteText"/>
      </w:pPr>
      <w:r>
        <w:rPr>
          <w:rStyle w:val="FootnoteReference"/>
        </w:rPr>
        <w:footnoteRef/>
      </w:r>
      <w:r>
        <w:t xml:space="preserve"> Pitcher et al, above n.51 at 19.</w:t>
      </w:r>
    </w:p>
  </w:footnote>
  <w:footnote w:id="54">
    <w:p w:rsidR="0005141F" w:rsidRDefault="0005141F">
      <w:pPr>
        <w:pStyle w:val="FootnoteText"/>
      </w:pPr>
      <w:r>
        <w:rPr>
          <w:rStyle w:val="FootnoteReference"/>
        </w:rPr>
        <w:footnoteRef/>
      </w:r>
      <w:r>
        <w:t xml:space="preserve"> H. Kinnell, </w:t>
      </w:r>
      <w:r w:rsidRPr="00AD39C4">
        <w:t>Vi</w:t>
      </w:r>
      <w:r>
        <w:t>olence and Sex Work in Britain (Willan: Devon, 2008) 89.</w:t>
      </w:r>
    </w:p>
  </w:footnote>
  <w:footnote w:id="55">
    <w:p w:rsidR="0005141F" w:rsidRDefault="0005141F">
      <w:pPr>
        <w:pStyle w:val="FootnoteText"/>
      </w:pPr>
      <w:r>
        <w:rPr>
          <w:rStyle w:val="FootnoteReference"/>
        </w:rPr>
        <w:footnoteRef/>
      </w:r>
      <w:r>
        <w:t xml:space="preserve"> Ibid. at 67.</w:t>
      </w:r>
    </w:p>
  </w:footnote>
  <w:footnote w:id="56">
    <w:p w:rsidR="0005141F" w:rsidRDefault="0005141F">
      <w:pPr>
        <w:pStyle w:val="FootnoteText"/>
      </w:pPr>
      <w:r>
        <w:rPr>
          <w:rStyle w:val="FootnoteReference"/>
        </w:rPr>
        <w:footnoteRef/>
      </w:r>
      <w:r>
        <w:t xml:space="preserve"> Hubbard and Sanders, above n.35 at 78.</w:t>
      </w:r>
    </w:p>
  </w:footnote>
  <w:footnote w:id="57">
    <w:p w:rsidR="0005141F" w:rsidRDefault="0005141F">
      <w:pPr>
        <w:pStyle w:val="FootnoteText"/>
      </w:pPr>
      <w:r>
        <w:rPr>
          <w:rStyle w:val="FootnoteReference"/>
        </w:rPr>
        <w:footnoteRef/>
      </w:r>
      <w:r>
        <w:t xml:space="preserve"> Ibid.</w:t>
      </w:r>
    </w:p>
  </w:footnote>
  <w:footnote w:id="58">
    <w:p w:rsidR="0005141F" w:rsidRDefault="0005141F">
      <w:pPr>
        <w:pStyle w:val="FootnoteText"/>
      </w:pPr>
      <w:r>
        <w:rPr>
          <w:rStyle w:val="FootnoteReference"/>
        </w:rPr>
        <w:footnoteRef/>
      </w:r>
      <w:r>
        <w:t xml:space="preserve"> P. Hubbard, ‘Community A</w:t>
      </w:r>
      <w:r w:rsidRPr="003C108A">
        <w:t xml:space="preserve">ction and </w:t>
      </w:r>
      <w:r>
        <w:t xml:space="preserve">the Displacement of Street Prostitution: Evidence from British Cities’ (1998) 29 </w:t>
      </w:r>
      <w:r w:rsidRPr="003C108A">
        <w:rPr>
          <w:i/>
        </w:rPr>
        <w:t xml:space="preserve">Geoforum </w:t>
      </w:r>
      <w:r>
        <w:t>269, 272.</w:t>
      </w:r>
    </w:p>
  </w:footnote>
  <w:footnote w:id="59">
    <w:p w:rsidR="0005141F" w:rsidRDefault="0005141F">
      <w:pPr>
        <w:pStyle w:val="FootnoteText"/>
      </w:pPr>
      <w:r>
        <w:rPr>
          <w:rStyle w:val="FootnoteReference"/>
        </w:rPr>
        <w:footnoteRef/>
      </w:r>
      <w:r>
        <w:t xml:space="preserve"> P. </w:t>
      </w:r>
      <w:r w:rsidRPr="003C108A">
        <w:t>Hubb</w:t>
      </w:r>
      <w:r>
        <w:t>ard, ‘Out of Touch and Out of Time? The Contemporary Policing of Sex Work’</w:t>
      </w:r>
      <w:r w:rsidRPr="003C108A">
        <w:t xml:space="preserve"> in R.Campbell and M. O’Neill (eds.) Sex Work Now (Willan: Devon, 2006) </w:t>
      </w:r>
      <w:r>
        <w:t>2.</w:t>
      </w:r>
    </w:p>
  </w:footnote>
  <w:footnote w:id="60">
    <w:p w:rsidR="0005141F" w:rsidRDefault="0005141F">
      <w:pPr>
        <w:pStyle w:val="FootnoteText"/>
      </w:pPr>
      <w:r>
        <w:rPr>
          <w:rStyle w:val="FootnoteReference"/>
        </w:rPr>
        <w:footnoteRef/>
      </w:r>
      <w:r>
        <w:t xml:space="preserve"> Above n.8 at 18.</w:t>
      </w:r>
    </w:p>
  </w:footnote>
  <w:footnote w:id="61">
    <w:p w:rsidR="0005141F" w:rsidRDefault="0005141F">
      <w:pPr>
        <w:pStyle w:val="FootnoteText"/>
      </w:pPr>
      <w:r>
        <w:rPr>
          <w:rStyle w:val="FootnoteReference"/>
        </w:rPr>
        <w:footnoteRef/>
      </w:r>
      <w:r>
        <w:t xml:space="preserve"> Ibid. at 19.</w:t>
      </w:r>
    </w:p>
  </w:footnote>
  <w:footnote w:id="62">
    <w:p w:rsidR="0005141F" w:rsidRDefault="0005141F">
      <w:pPr>
        <w:pStyle w:val="FootnoteText"/>
      </w:pPr>
      <w:r>
        <w:rPr>
          <w:rStyle w:val="FootnoteReference"/>
        </w:rPr>
        <w:footnoteRef/>
      </w:r>
      <w:r>
        <w:t xml:space="preserve"> P. Hubbard, ‘Cleansing the Metropolis: Sex Work and the Politics of Zero T</w:t>
      </w:r>
      <w:r w:rsidRPr="003C108A">
        <w:t>olerance</w:t>
      </w:r>
      <w:r>
        <w:t xml:space="preserve">’ (2004) 41 </w:t>
      </w:r>
      <w:r w:rsidRPr="003C108A">
        <w:rPr>
          <w:i/>
        </w:rPr>
        <w:t>Urban Studies</w:t>
      </w:r>
      <w:r>
        <w:t xml:space="preserve"> 1687, 1688</w:t>
      </w:r>
      <w:r w:rsidRPr="003C108A">
        <w:t>.</w:t>
      </w:r>
    </w:p>
  </w:footnote>
  <w:footnote w:id="63">
    <w:p w:rsidR="0005141F" w:rsidRDefault="0005141F">
      <w:pPr>
        <w:pStyle w:val="FootnoteText"/>
      </w:pPr>
      <w:r>
        <w:rPr>
          <w:rStyle w:val="FootnoteReference"/>
        </w:rPr>
        <w:footnoteRef/>
      </w:r>
      <w:r>
        <w:t xml:space="preserve"> Hubbard and Sanders, above n.35 at 78.</w:t>
      </w:r>
    </w:p>
  </w:footnote>
  <w:footnote w:id="64">
    <w:p w:rsidR="0005141F" w:rsidRDefault="0005141F">
      <w:pPr>
        <w:pStyle w:val="FootnoteText"/>
      </w:pPr>
      <w:r>
        <w:rPr>
          <w:rStyle w:val="FootnoteReference"/>
        </w:rPr>
        <w:footnoteRef/>
      </w:r>
      <w:r>
        <w:t xml:space="preserve"> (2006) above n.3 at 1.</w:t>
      </w:r>
    </w:p>
  </w:footnote>
  <w:footnote w:id="65">
    <w:p w:rsidR="0005141F" w:rsidRDefault="0005141F">
      <w:pPr>
        <w:pStyle w:val="FootnoteText"/>
      </w:pPr>
      <w:r>
        <w:rPr>
          <w:rStyle w:val="FootnoteReference"/>
        </w:rPr>
        <w:footnoteRef/>
      </w:r>
      <w:r>
        <w:t xml:space="preserve"> Above n.8 at 101.</w:t>
      </w:r>
    </w:p>
  </w:footnote>
  <w:footnote w:id="66">
    <w:p w:rsidR="0005141F" w:rsidRDefault="0005141F" w:rsidP="003C108A">
      <w:pPr>
        <w:pStyle w:val="FootnoteText"/>
      </w:pPr>
      <w:r>
        <w:rPr>
          <w:rStyle w:val="FootnoteReference"/>
        </w:rPr>
        <w:footnoteRef/>
      </w:r>
      <w:r>
        <w:t xml:space="preserve"> R. Campbell, ‘Not Getting Away With It: Linking Sex Work with Hate Crime in Merseyside’ in N. Chakraborti and J. Garland (eds.) Responding to Hate Crime: The Case for Connecting Policy and Research (Policy Press: Bristol, 2014) 57-72.</w:t>
      </w:r>
    </w:p>
  </w:footnote>
  <w:footnote w:id="67">
    <w:p w:rsidR="0005141F" w:rsidRDefault="0005141F">
      <w:pPr>
        <w:pStyle w:val="FootnoteText"/>
      </w:pPr>
      <w:r>
        <w:rPr>
          <w:rStyle w:val="FootnoteReference"/>
        </w:rPr>
        <w:footnoteRef/>
      </w:r>
      <w:r>
        <w:t xml:space="preserve"> </w:t>
      </w:r>
      <w:r w:rsidRPr="00DF3B38">
        <w:t>Anti-social Behaviour, Crime and Policing Act 2014</w:t>
      </w:r>
      <w:r>
        <w:t>, ss 22-33.</w:t>
      </w:r>
    </w:p>
  </w:footnote>
  <w:footnote w:id="68">
    <w:p w:rsidR="0005141F" w:rsidRDefault="0005141F">
      <w:pPr>
        <w:pStyle w:val="FootnoteText"/>
      </w:pPr>
      <w:r>
        <w:rPr>
          <w:rStyle w:val="FootnoteReference"/>
        </w:rPr>
        <w:footnoteRef/>
      </w:r>
      <w:r>
        <w:t xml:space="preserve"> </w:t>
      </w:r>
      <w:r w:rsidRPr="00DF3B38">
        <w:t>Crime and Disorder Act 1998, s 1 (1)</w:t>
      </w:r>
      <w:r>
        <w:t>.</w:t>
      </w:r>
    </w:p>
  </w:footnote>
  <w:footnote w:id="69">
    <w:p w:rsidR="0005141F" w:rsidRDefault="0005141F">
      <w:pPr>
        <w:pStyle w:val="FootnoteText"/>
      </w:pPr>
      <w:r>
        <w:rPr>
          <w:rStyle w:val="FootnoteReference"/>
        </w:rPr>
        <w:footnoteRef/>
      </w:r>
      <w:r>
        <w:t xml:space="preserve"> H. Jones </w:t>
      </w:r>
      <w:r w:rsidRPr="00DF3B38">
        <w:t xml:space="preserve">and </w:t>
      </w:r>
      <w:r>
        <w:t>T. Sagar, ‘Crime and Disorder Act 1998: P</w:t>
      </w:r>
      <w:r w:rsidRPr="00DF3B38">
        <w:t xml:space="preserve">rostitution and </w:t>
      </w:r>
      <w:r>
        <w:t>the Anti-Social Behaviour Order’</w:t>
      </w:r>
      <w:r w:rsidRPr="00DF3B38">
        <w:t xml:space="preserve"> </w:t>
      </w:r>
      <w:r>
        <w:t>(2001) CLR 873, 873.</w:t>
      </w:r>
    </w:p>
  </w:footnote>
  <w:footnote w:id="70">
    <w:p w:rsidR="0005141F" w:rsidRDefault="0005141F">
      <w:pPr>
        <w:pStyle w:val="FootnoteText"/>
      </w:pPr>
      <w:r>
        <w:rPr>
          <w:rStyle w:val="FootnoteReference"/>
        </w:rPr>
        <w:footnoteRef/>
      </w:r>
      <w:r>
        <w:t xml:space="preserve"> </w:t>
      </w:r>
      <w:r w:rsidRPr="00DF3B38">
        <w:t>[2003] EWHC 2272 (Admin)</w:t>
      </w:r>
      <w:r>
        <w:t>, [14].</w:t>
      </w:r>
    </w:p>
  </w:footnote>
  <w:footnote w:id="71">
    <w:p w:rsidR="0005141F" w:rsidRDefault="0005141F">
      <w:pPr>
        <w:pStyle w:val="FootnoteText"/>
      </w:pPr>
      <w:r>
        <w:rPr>
          <w:rStyle w:val="FootnoteReference"/>
        </w:rPr>
        <w:footnoteRef/>
      </w:r>
      <w:r>
        <w:t xml:space="preserve"> </w:t>
      </w:r>
      <w:r w:rsidRPr="00DF3B38">
        <w:t>Anti-social Behaviour, Crime and Policing Act 2014</w:t>
      </w:r>
      <w:r>
        <w:t xml:space="preserve">, s 30(1); </w:t>
      </w:r>
      <w:r w:rsidRPr="00DF3B38">
        <w:t>Crime and Disorder Act 1998, s 1 (1</w:t>
      </w:r>
      <w:r>
        <w:t>0</w:t>
      </w:r>
      <w:r w:rsidRPr="00DF3B38">
        <w:t>).</w:t>
      </w:r>
    </w:p>
  </w:footnote>
  <w:footnote w:id="72">
    <w:p w:rsidR="0005141F" w:rsidRDefault="0005141F">
      <w:pPr>
        <w:pStyle w:val="FootnoteText"/>
      </w:pPr>
      <w:r>
        <w:rPr>
          <w:rStyle w:val="FootnoteReference"/>
        </w:rPr>
        <w:footnoteRef/>
      </w:r>
      <w:r>
        <w:t xml:space="preserve"> Sanders, above n.4 at 96.</w:t>
      </w:r>
    </w:p>
  </w:footnote>
  <w:footnote w:id="73">
    <w:p w:rsidR="0005141F" w:rsidRDefault="0005141F">
      <w:pPr>
        <w:pStyle w:val="FootnoteText"/>
      </w:pPr>
      <w:r>
        <w:rPr>
          <w:rStyle w:val="FootnoteReference"/>
        </w:rPr>
        <w:footnoteRef/>
      </w:r>
      <w:r>
        <w:t xml:space="preserve"> P. Hubbard, R. Matthews </w:t>
      </w:r>
      <w:r w:rsidRPr="00DF3B38">
        <w:t xml:space="preserve">and </w:t>
      </w:r>
      <w:r>
        <w:t>J. Scoular, ‘Regulating Sex Work in the EU: Prostitute W</w:t>
      </w:r>
      <w:r w:rsidRPr="00DF3B38">
        <w:t xml:space="preserve">omen </w:t>
      </w:r>
      <w:r>
        <w:t>and the New Spaces of Exclusion (2008) 15</w:t>
      </w:r>
      <w:r w:rsidRPr="00DF3B38">
        <w:t xml:space="preserve"> </w:t>
      </w:r>
      <w:r w:rsidRPr="00DF3B38">
        <w:rPr>
          <w:i/>
        </w:rPr>
        <w:t>Gender, Place and Culture</w:t>
      </w:r>
      <w:r>
        <w:t xml:space="preserve"> 137, 144.</w:t>
      </w:r>
    </w:p>
  </w:footnote>
  <w:footnote w:id="74">
    <w:p w:rsidR="0005141F" w:rsidRDefault="0005141F">
      <w:pPr>
        <w:pStyle w:val="FootnoteText"/>
      </w:pPr>
      <w:r>
        <w:rPr>
          <w:rStyle w:val="FootnoteReference"/>
        </w:rPr>
        <w:footnoteRef/>
      </w:r>
      <w:r>
        <w:t xml:space="preserve"> T. Sagar, ‘Tackling On-Street Sex Work: Anti-Social Behaviour Orders, Sex Workers and Inclusive Inter-Agency Initiatives’ (2007) 7 </w:t>
      </w:r>
      <w:r w:rsidRPr="00DF3B38">
        <w:t>Crimin</w:t>
      </w:r>
      <w:r>
        <w:t>ology and Criminal Justice 153, 155</w:t>
      </w:r>
      <w:r w:rsidRPr="00DF3B38">
        <w:t>.</w:t>
      </w:r>
    </w:p>
  </w:footnote>
  <w:footnote w:id="75">
    <w:p w:rsidR="0005141F" w:rsidRDefault="0005141F">
      <w:pPr>
        <w:pStyle w:val="FootnoteText"/>
      </w:pPr>
      <w:r>
        <w:rPr>
          <w:rStyle w:val="FootnoteReference"/>
        </w:rPr>
        <w:footnoteRef/>
      </w:r>
      <w:r>
        <w:t xml:space="preserve"> S 17.</w:t>
      </w:r>
    </w:p>
  </w:footnote>
  <w:footnote w:id="76">
    <w:p w:rsidR="0005141F" w:rsidRDefault="0005141F">
      <w:pPr>
        <w:pStyle w:val="FootnoteText"/>
      </w:pPr>
      <w:r>
        <w:rPr>
          <w:rStyle w:val="FootnoteReference"/>
        </w:rPr>
        <w:footnoteRef/>
      </w:r>
      <w:r>
        <w:t xml:space="preserve"> Home Office ,</w:t>
      </w:r>
      <w:r w:rsidRPr="00DF3B38">
        <w:t xml:space="preserve"> Guidance on Section 17 Policing and Crime Act 2009: Engagement and Support Orders. </w:t>
      </w:r>
      <w:r>
        <w:t>(Home Office: London, 2010) 2, 37</w:t>
      </w:r>
      <w:r w:rsidRPr="00DF3B38">
        <w:t>.</w:t>
      </w:r>
    </w:p>
  </w:footnote>
  <w:footnote w:id="77">
    <w:p w:rsidR="0005141F" w:rsidRDefault="0005141F">
      <w:pPr>
        <w:pStyle w:val="FootnoteText"/>
      </w:pPr>
      <w:r>
        <w:rPr>
          <w:rStyle w:val="FootnoteReference"/>
        </w:rPr>
        <w:footnoteRef/>
      </w:r>
      <w:r>
        <w:t xml:space="preserve"> T. Sanders ‘Policing Commercial ‘Sex W</w:t>
      </w:r>
      <w:r w:rsidRPr="00DF3B38">
        <w:t>ork’ in England and Wales</w:t>
      </w:r>
      <w:r>
        <w:t>’ i</w:t>
      </w:r>
      <w:r w:rsidRPr="00DF3B38">
        <w:t xml:space="preserve">n </w:t>
      </w:r>
      <w:r>
        <w:t xml:space="preserve">P. Johnson </w:t>
      </w:r>
      <w:r w:rsidRPr="00DF3B38">
        <w:t xml:space="preserve">and </w:t>
      </w:r>
      <w:r>
        <w:t xml:space="preserve">D. Dalton </w:t>
      </w:r>
      <w:r w:rsidRPr="00DF3B38">
        <w:t>(eds</w:t>
      </w:r>
      <w:r>
        <w:t>.), Policing Sex (Routledge: Abingdon, 2012) 142.</w:t>
      </w:r>
    </w:p>
  </w:footnote>
  <w:footnote w:id="78">
    <w:p w:rsidR="0005141F" w:rsidRDefault="0005141F">
      <w:pPr>
        <w:pStyle w:val="FootnoteText"/>
      </w:pPr>
      <w:r>
        <w:rPr>
          <w:rStyle w:val="FootnoteReference"/>
        </w:rPr>
        <w:footnoteRef/>
      </w:r>
      <w:r>
        <w:t xml:space="preserve"> A Carline </w:t>
      </w:r>
      <w:r w:rsidRPr="00DF3B38">
        <w:t xml:space="preserve">and </w:t>
      </w:r>
      <w:r>
        <w:t>J Scoular, ‘Saving Fallen Women Now? Critical P</w:t>
      </w:r>
      <w:r w:rsidRPr="00DF3B38">
        <w:t>erspectives on Enforcement and Support Orders and th</w:t>
      </w:r>
      <w:r>
        <w:t xml:space="preserve">eir Policy of Forced Welfarism’ (2015) 14 </w:t>
      </w:r>
      <w:r w:rsidRPr="00DF3B38">
        <w:rPr>
          <w:i/>
        </w:rPr>
        <w:t>Social Policy and Society</w:t>
      </w:r>
      <w:r>
        <w:t xml:space="preserve"> 103, 108.</w:t>
      </w:r>
    </w:p>
  </w:footnote>
  <w:footnote w:id="79">
    <w:p w:rsidR="0005141F" w:rsidRDefault="0005141F">
      <w:pPr>
        <w:pStyle w:val="FootnoteText"/>
      </w:pPr>
      <w:r>
        <w:rPr>
          <w:rStyle w:val="FootnoteReference"/>
        </w:rPr>
        <w:footnoteRef/>
      </w:r>
      <w:r>
        <w:t xml:space="preserve"> J. Scoular </w:t>
      </w:r>
      <w:r w:rsidRPr="00DF3B38">
        <w:t xml:space="preserve">and </w:t>
      </w:r>
      <w:r>
        <w:t>M. O'Neill, ‘Regulating Prostitution: Social Inclusion, R</w:t>
      </w:r>
      <w:r w:rsidRPr="00DF3B38">
        <w:t xml:space="preserve">esponsibilization and the </w:t>
      </w:r>
      <w:r>
        <w:t>Politics of Prostitution Reform (2007) 47</w:t>
      </w:r>
      <w:r w:rsidRPr="00DF3B38">
        <w:t xml:space="preserve"> </w:t>
      </w:r>
      <w:r>
        <w:t xml:space="preserve">BJC </w:t>
      </w:r>
      <w:r w:rsidRPr="00DF3B38">
        <w:t>764</w:t>
      </w:r>
      <w:r>
        <w:t>, 770.</w:t>
      </w:r>
    </w:p>
  </w:footnote>
  <w:footnote w:id="80">
    <w:p w:rsidR="0005141F" w:rsidRDefault="0005141F">
      <w:pPr>
        <w:pStyle w:val="FootnoteText"/>
      </w:pPr>
      <w:r>
        <w:rPr>
          <w:rStyle w:val="FootnoteReference"/>
        </w:rPr>
        <w:footnoteRef/>
      </w:r>
      <w:r>
        <w:t xml:space="preserve"> Above n.78 at 107.</w:t>
      </w:r>
    </w:p>
  </w:footnote>
  <w:footnote w:id="81">
    <w:p w:rsidR="0005141F" w:rsidRDefault="0005141F">
      <w:pPr>
        <w:pStyle w:val="FootnoteText"/>
      </w:pPr>
      <w:r>
        <w:rPr>
          <w:rStyle w:val="FootnoteReference"/>
        </w:rPr>
        <w:footnoteRef/>
      </w:r>
      <w:r>
        <w:t xml:space="preserve"> Home Office, above n.76 at 29.</w:t>
      </w:r>
    </w:p>
  </w:footnote>
  <w:footnote w:id="82">
    <w:p w:rsidR="0005141F" w:rsidRDefault="0005141F">
      <w:pPr>
        <w:pStyle w:val="FootnoteText"/>
      </w:pPr>
      <w:r>
        <w:rPr>
          <w:rStyle w:val="FootnoteReference"/>
        </w:rPr>
        <w:footnoteRef/>
      </w:r>
      <w:r>
        <w:t xml:space="preserve"> Sanders, above n.77 at 144.</w:t>
      </w:r>
    </w:p>
  </w:footnote>
  <w:footnote w:id="83">
    <w:p w:rsidR="0005141F" w:rsidRDefault="0005141F">
      <w:pPr>
        <w:pStyle w:val="FootnoteText"/>
      </w:pPr>
      <w:r>
        <w:rPr>
          <w:rStyle w:val="FootnoteReference"/>
        </w:rPr>
        <w:footnoteRef/>
      </w:r>
      <w:r>
        <w:t xml:space="preserve"> Ibid. at 143.</w:t>
      </w:r>
    </w:p>
  </w:footnote>
  <w:footnote w:id="84">
    <w:p w:rsidR="0005141F" w:rsidRDefault="0005141F">
      <w:pPr>
        <w:pStyle w:val="FootnoteText"/>
      </w:pPr>
      <w:r>
        <w:rPr>
          <w:rStyle w:val="FootnoteReference"/>
        </w:rPr>
        <w:footnoteRef/>
      </w:r>
      <w:r>
        <w:t xml:space="preserve"> Carline and Scoular, n.78 above at 109.</w:t>
      </w:r>
    </w:p>
  </w:footnote>
  <w:footnote w:id="85">
    <w:p w:rsidR="0005141F" w:rsidRDefault="0005141F">
      <w:pPr>
        <w:pStyle w:val="FootnoteText"/>
      </w:pPr>
      <w:r>
        <w:rPr>
          <w:rStyle w:val="FootnoteReference"/>
        </w:rPr>
        <w:footnoteRef/>
      </w:r>
      <w:r>
        <w:t xml:space="preserve"> Simon, n.8 above at 21.</w:t>
      </w:r>
    </w:p>
  </w:footnote>
  <w:footnote w:id="86">
    <w:p w:rsidR="0005141F" w:rsidRDefault="0005141F">
      <w:pPr>
        <w:pStyle w:val="FootnoteText"/>
      </w:pPr>
      <w:r>
        <w:rPr>
          <w:rStyle w:val="FootnoteReference"/>
        </w:rPr>
        <w:footnoteRef/>
      </w:r>
      <w:r>
        <w:t xml:space="preserve"> Sanders, O’Neill and Pitcher, n.50 above at 120.</w:t>
      </w:r>
    </w:p>
  </w:footnote>
  <w:footnote w:id="87">
    <w:p w:rsidR="0005141F" w:rsidRDefault="0005141F">
      <w:pPr>
        <w:pStyle w:val="FootnoteText"/>
      </w:pPr>
      <w:r>
        <w:rPr>
          <w:rStyle w:val="FootnoteReference"/>
        </w:rPr>
        <w:footnoteRef/>
      </w:r>
      <w:r>
        <w:t xml:space="preserve"> Sanders, above n.77 at 142.</w:t>
      </w:r>
    </w:p>
  </w:footnote>
  <w:footnote w:id="88">
    <w:p w:rsidR="0005141F" w:rsidRDefault="0005141F">
      <w:pPr>
        <w:pStyle w:val="FootnoteText"/>
      </w:pPr>
      <w:r>
        <w:rPr>
          <w:rStyle w:val="FootnoteReference"/>
        </w:rPr>
        <w:footnoteRef/>
      </w:r>
      <w:r>
        <w:t xml:space="preserve"> Hubbard, n.59 above at 10.</w:t>
      </w:r>
    </w:p>
  </w:footnote>
  <w:footnote w:id="89">
    <w:p w:rsidR="0005141F" w:rsidRDefault="0005141F">
      <w:pPr>
        <w:pStyle w:val="FootnoteText"/>
      </w:pPr>
      <w:r>
        <w:rPr>
          <w:rStyle w:val="FootnoteReference"/>
        </w:rPr>
        <w:footnoteRef/>
      </w:r>
      <w:r>
        <w:t xml:space="preserve"> Above n.8 at 100.</w:t>
      </w:r>
    </w:p>
  </w:footnote>
  <w:footnote w:id="90">
    <w:p w:rsidR="0005141F" w:rsidRDefault="0005141F">
      <w:pPr>
        <w:pStyle w:val="FootnoteText"/>
      </w:pPr>
      <w:r>
        <w:rPr>
          <w:rStyle w:val="FootnoteReference"/>
        </w:rPr>
        <w:footnoteRef/>
      </w:r>
      <w:r>
        <w:t xml:space="preserve"> Sanders, above n.4 at 19.</w:t>
      </w:r>
    </w:p>
  </w:footnote>
  <w:footnote w:id="91">
    <w:p w:rsidR="0005141F" w:rsidRDefault="0005141F">
      <w:pPr>
        <w:pStyle w:val="FootnoteText"/>
      </w:pPr>
      <w:r>
        <w:rPr>
          <w:rStyle w:val="FootnoteReference"/>
        </w:rPr>
        <w:footnoteRef/>
      </w:r>
      <w:r>
        <w:t xml:space="preserve"> J. Porter </w:t>
      </w:r>
      <w:r w:rsidRPr="000925B7">
        <w:t xml:space="preserve">and </w:t>
      </w:r>
      <w:r>
        <w:t>L. Bonilla, ‘The Ecology of Street Prostitution’ i</w:t>
      </w:r>
      <w:r w:rsidRPr="000925B7">
        <w:t xml:space="preserve">n </w:t>
      </w:r>
      <w:r>
        <w:t xml:space="preserve">R. Weitzer </w:t>
      </w:r>
      <w:r w:rsidRPr="000925B7">
        <w:t>(ed</w:t>
      </w:r>
      <w:r>
        <w:t>.</w:t>
      </w:r>
      <w:r w:rsidRPr="000925B7">
        <w:t>), Sex for Sale: Prostitution, P</w:t>
      </w:r>
      <w:r>
        <w:t>ornography and the Sex Industry</w:t>
      </w:r>
      <w:r w:rsidRPr="000925B7">
        <w:t xml:space="preserve"> </w:t>
      </w:r>
      <w:r>
        <w:t>(Routledge: London, 2000) 164.</w:t>
      </w:r>
    </w:p>
  </w:footnote>
  <w:footnote w:id="92">
    <w:p w:rsidR="0005141F" w:rsidRDefault="0005141F">
      <w:pPr>
        <w:pStyle w:val="FootnoteText"/>
      </w:pPr>
      <w:r>
        <w:rPr>
          <w:rStyle w:val="FootnoteReference"/>
        </w:rPr>
        <w:footnoteRef/>
      </w:r>
      <w:r>
        <w:t xml:space="preserve"> B. Fischer </w:t>
      </w:r>
      <w:r w:rsidRPr="00AC13BC">
        <w:t xml:space="preserve">and </w:t>
      </w:r>
      <w:r>
        <w:t>B. Poland,</w:t>
      </w:r>
      <w:r w:rsidRPr="00AC13BC">
        <w:t xml:space="preserve"> </w:t>
      </w:r>
      <w:r>
        <w:t>‘Exclusion, Risk and Social Control: Reflections on Community Policing and Public Health’</w:t>
      </w:r>
      <w:r w:rsidRPr="00AC13BC">
        <w:t xml:space="preserve"> (1998) </w:t>
      </w:r>
      <w:r>
        <w:t xml:space="preserve">29 Geoforum </w:t>
      </w:r>
      <w:r w:rsidRPr="00AC13BC">
        <w:t>187</w:t>
      </w:r>
      <w:r>
        <w:t>, 187.</w:t>
      </w:r>
    </w:p>
  </w:footnote>
  <w:footnote w:id="93">
    <w:p w:rsidR="0005141F" w:rsidRDefault="0005141F">
      <w:pPr>
        <w:pStyle w:val="FootnoteText"/>
      </w:pPr>
      <w:r>
        <w:rPr>
          <w:rStyle w:val="FootnoteReference"/>
        </w:rPr>
        <w:footnoteRef/>
      </w:r>
      <w:r>
        <w:t xml:space="preserve"> H. Kinnell, ‘Clients of Female Sex Workers: Men or Monsters’ i</w:t>
      </w:r>
      <w:r w:rsidRPr="00AC13BC">
        <w:t xml:space="preserve">n </w:t>
      </w:r>
      <w:r>
        <w:t xml:space="preserve">R. Campbell </w:t>
      </w:r>
      <w:r w:rsidRPr="00AC13BC">
        <w:t xml:space="preserve">and </w:t>
      </w:r>
      <w:r>
        <w:t xml:space="preserve">M. O’Neill </w:t>
      </w:r>
      <w:r w:rsidRPr="00AC13BC">
        <w:t>(eds</w:t>
      </w:r>
      <w:r>
        <w:t>.</w:t>
      </w:r>
      <w:r w:rsidRPr="00AC13BC">
        <w:t xml:space="preserve">) </w:t>
      </w:r>
      <w:r w:rsidRPr="00AC13BC">
        <w:rPr>
          <w:i/>
        </w:rPr>
        <w:t>Sex Work Now</w:t>
      </w:r>
      <w:r>
        <w:t xml:space="preserve"> (Willan: </w:t>
      </w:r>
      <w:r w:rsidRPr="00AC13BC">
        <w:t>Devon</w:t>
      </w:r>
      <w:r>
        <w:t>, 2006) 231.</w:t>
      </w:r>
    </w:p>
  </w:footnote>
  <w:footnote w:id="94">
    <w:p w:rsidR="0005141F" w:rsidRDefault="0005141F">
      <w:pPr>
        <w:pStyle w:val="FootnoteText"/>
      </w:pPr>
      <w:r>
        <w:rPr>
          <w:rStyle w:val="FootnoteReference"/>
        </w:rPr>
        <w:footnoteRef/>
      </w:r>
      <w:r>
        <w:t xml:space="preserve"> A. Collins </w:t>
      </w:r>
      <w:r w:rsidRPr="00AC13BC">
        <w:t xml:space="preserve">and </w:t>
      </w:r>
      <w:r>
        <w:t>G. Judge, ‘Client Participation and the Regulatory Environment’ i</w:t>
      </w:r>
      <w:r w:rsidRPr="00AC13BC">
        <w:t xml:space="preserve">n </w:t>
      </w:r>
      <w:r>
        <w:t xml:space="preserve">V.Munro </w:t>
      </w:r>
      <w:r w:rsidRPr="00AC13BC">
        <w:t xml:space="preserve">and </w:t>
      </w:r>
      <w:r>
        <w:t>M. Della Giusta</w:t>
      </w:r>
      <w:r w:rsidRPr="00AC13BC">
        <w:t xml:space="preserve"> (eds</w:t>
      </w:r>
      <w:r>
        <w:t>.</w:t>
      </w:r>
      <w:r w:rsidRPr="00AC13BC">
        <w:t>)</w:t>
      </w:r>
      <w:r>
        <w:t>,</w:t>
      </w:r>
      <w:r w:rsidRPr="00AC13BC">
        <w:t xml:space="preserve"> Demanding Sex: Critical Reflections on </w:t>
      </w:r>
      <w:r>
        <w:t xml:space="preserve">the Regulation of Prostitution (Ashgate: Aldershot, </w:t>
      </w:r>
      <w:r w:rsidRPr="00AC13BC">
        <w:t xml:space="preserve">2008) </w:t>
      </w:r>
      <w:r>
        <w:t>143.</w:t>
      </w:r>
    </w:p>
  </w:footnote>
  <w:footnote w:id="95">
    <w:p w:rsidR="0005141F" w:rsidRDefault="0005141F">
      <w:pPr>
        <w:pStyle w:val="FootnoteText"/>
      </w:pPr>
      <w:r>
        <w:rPr>
          <w:rStyle w:val="FootnoteReference"/>
        </w:rPr>
        <w:footnoteRef/>
      </w:r>
      <w:r>
        <w:t xml:space="preserve"> P. </w:t>
      </w:r>
      <w:r w:rsidRPr="00AC13BC">
        <w:t>Hubbard</w:t>
      </w:r>
      <w:r>
        <w:t>,</w:t>
      </w:r>
      <w:r w:rsidRPr="00AC13BC">
        <w:t xml:space="preserve"> Sex and the City: Geographies of Prostitution in the</w:t>
      </w:r>
      <w:r>
        <w:t xml:space="preserve"> Urban West. (Aldershot: Ashgate, 1999) 131.</w:t>
      </w:r>
    </w:p>
  </w:footnote>
  <w:footnote w:id="96">
    <w:p w:rsidR="0005141F" w:rsidRDefault="0005141F">
      <w:pPr>
        <w:pStyle w:val="FootnoteText"/>
      </w:pPr>
      <w:r>
        <w:rPr>
          <w:rStyle w:val="FootnoteReference"/>
        </w:rPr>
        <w:footnoteRef/>
      </w:r>
      <w:r>
        <w:t xml:space="preserve"> Hubbard, above n.58 at 280.</w:t>
      </w:r>
    </w:p>
  </w:footnote>
  <w:footnote w:id="97">
    <w:p w:rsidR="0005141F" w:rsidRDefault="0005141F">
      <w:pPr>
        <w:pStyle w:val="FootnoteText"/>
      </w:pPr>
      <w:r>
        <w:rPr>
          <w:rStyle w:val="FootnoteReference"/>
        </w:rPr>
        <w:footnoteRef/>
      </w:r>
      <w:r>
        <w:t xml:space="preserve"> Above n.8 at 172.</w:t>
      </w:r>
    </w:p>
  </w:footnote>
  <w:footnote w:id="98">
    <w:p w:rsidR="0005141F" w:rsidRDefault="0005141F" w:rsidP="00AC13BC">
      <w:pPr>
        <w:pStyle w:val="FootnoteText"/>
      </w:pPr>
      <w:r>
        <w:rPr>
          <w:rStyle w:val="FootnoteReference"/>
        </w:rPr>
        <w:footnoteRef/>
      </w:r>
      <w:r>
        <w:t xml:space="preserve"> Kinnell, n.93 above at 147.</w:t>
      </w:r>
    </w:p>
  </w:footnote>
  <w:footnote w:id="99">
    <w:p w:rsidR="0005141F" w:rsidRDefault="0005141F">
      <w:pPr>
        <w:pStyle w:val="FootnoteText"/>
      </w:pPr>
      <w:r>
        <w:rPr>
          <w:rStyle w:val="FootnoteReference"/>
        </w:rPr>
        <w:footnoteRef/>
      </w:r>
      <w:r>
        <w:t xml:space="preserve"> Sanders, n.4 above at 57.</w:t>
      </w:r>
    </w:p>
  </w:footnote>
  <w:footnote w:id="100">
    <w:p w:rsidR="0005141F" w:rsidRDefault="0005141F">
      <w:pPr>
        <w:pStyle w:val="FootnoteText"/>
      </w:pPr>
      <w:r>
        <w:rPr>
          <w:rStyle w:val="FootnoteReference"/>
        </w:rPr>
        <w:footnoteRef/>
      </w:r>
      <w:r>
        <w:t xml:space="preserve"> </w:t>
      </w:r>
      <w:r w:rsidRPr="00AC13BC">
        <w:t>Kinnell, n.93 above at 147.</w:t>
      </w:r>
    </w:p>
  </w:footnote>
  <w:footnote w:id="101">
    <w:p w:rsidR="0005141F" w:rsidRDefault="0005141F">
      <w:pPr>
        <w:pStyle w:val="FootnoteText"/>
      </w:pPr>
      <w:r>
        <w:rPr>
          <w:rStyle w:val="FootnoteReference"/>
        </w:rPr>
        <w:footnoteRef/>
      </w:r>
      <w:r>
        <w:t xml:space="preserve"> L. Cusick </w:t>
      </w:r>
      <w:r w:rsidRPr="00AC13BC">
        <w:t xml:space="preserve">and </w:t>
      </w:r>
      <w:r>
        <w:t>L. Berney, ‘</w:t>
      </w:r>
      <w:r w:rsidRPr="00AC13BC">
        <w:t>Priori</w:t>
      </w:r>
      <w:r>
        <w:t>tizing Punitive Responses over Public Health: C</w:t>
      </w:r>
      <w:r w:rsidRPr="00AC13BC">
        <w:t>ommentary on the Home Office Consult</w:t>
      </w:r>
      <w:r>
        <w:t>ation Document Paying the Price’</w:t>
      </w:r>
      <w:r w:rsidRPr="00AC13BC">
        <w:t xml:space="preserve"> (2005) </w:t>
      </w:r>
      <w:r>
        <w:t xml:space="preserve">25 </w:t>
      </w:r>
      <w:r w:rsidRPr="00AC13BC">
        <w:t xml:space="preserve">Critical Social Policy </w:t>
      </w:r>
      <w:r>
        <w:t>596, 601.</w:t>
      </w:r>
    </w:p>
  </w:footnote>
  <w:footnote w:id="102">
    <w:p w:rsidR="0005141F" w:rsidRDefault="0005141F">
      <w:pPr>
        <w:pStyle w:val="FootnoteText"/>
      </w:pPr>
      <w:r>
        <w:rPr>
          <w:rStyle w:val="FootnoteReference"/>
        </w:rPr>
        <w:footnoteRef/>
      </w:r>
      <w:r>
        <w:t xml:space="preserve"> </w:t>
      </w:r>
      <w:r w:rsidRPr="001E500E">
        <w:t>Kinnell, n.93 above at 147</w:t>
      </w:r>
      <w:r>
        <w:t>.</w:t>
      </w:r>
    </w:p>
  </w:footnote>
  <w:footnote w:id="103">
    <w:p w:rsidR="0005141F" w:rsidRPr="001E500E" w:rsidRDefault="0005141F" w:rsidP="001E500E">
      <w:pPr>
        <w:pStyle w:val="FootnoteText"/>
      </w:pPr>
      <w:r>
        <w:rPr>
          <w:rStyle w:val="FootnoteReference"/>
        </w:rPr>
        <w:footnoteRef/>
      </w:r>
      <w:r>
        <w:t xml:space="preserve"> T. </w:t>
      </w:r>
      <w:r w:rsidRPr="001E500E">
        <w:t>Sand</w:t>
      </w:r>
      <w:r>
        <w:t xml:space="preserve">ers </w:t>
      </w:r>
      <w:r w:rsidRPr="001E500E">
        <w:t xml:space="preserve">and </w:t>
      </w:r>
      <w:r>
        <w:t>R. Campbell, ‘Why Hate Men who Pay for Sex? Exploring the S</w:t>
      </w:r>
      <w:r w:rsidRPr="001E500E">
        <w:t xml:space="preserve">hift </w:t>
      </w:r>
      <w:r>
        <w:t xml:space="preserve">to ‘Tackling Demand’ in the UK’ </w:t>
      </w:r>
      <w:r w:rsidRPr="001E500E">
        <w:t xml:space="preserve">in V.Munro and M. Della Giusta (eds.), Demanding Sex: Critical Reflections on the Regulation of Prostitution (Ashgate: Aldershot, 2008) </w:t>
      </w:r>
      <w:r>
        <w:t>175.</w:t>
      </w:r>
    </w:p>
    <w:p w:rsidR="0005141F" w:rsidRDefault="0005141F">
      <w:pPr>
        <w:pStyle w:val="FootnoteText"/>
      </w:pPr>
    </w:p>
  </w:footnote>
  <w:footnote w:id="104">
    <w:p w:rsidR="0005141F" w:rsidRDefault="0005141F">
      <w:pPr>
        <w:pStyle w:val="FootnoteText"/>
      </w:pPr>
      <w:r>
        <w:rPr>
          <w:rStyle w:val="FootnoteReference"/>
        </w:rPr>
        <w:footnoteRef/>
      </w:r>
      <w:r>
        <w:t xml:space="preserve"> Above n.8 at 109.</w:t>
      </w:r>
    </w:p>
  </w:footnote>
  <w:footnote w:id="105">
    <w:p w:rsidR="0005141F" w:rsidRDefault="0005141F">
      <w:pPr>
        <w:pStyle w:val="FootnoteText"/>
      </w:pPr>
      <w:r>
        <w:rPr>
          <w:rStyle w:val="FootnoteReference"/>
        </w:rPr>
        <w:footnoteRef/>
      </w:r>
      <w:r>
        <w:t xml:space="preserve"> P. Hubbard, ‘Sexuality, Immorality and the City: Red-Light Districts and the Marginalisation of Female Street P</w:t>
      </w:r>
      <w:r w:rsidRPr="001E500E">
        <w:t xml:space="preserve">rostitutes. </w:t>
      </w:r>
      <w:r>
        <w:t>(1998</w:t>
      </w:r>
      <w:r w:rsidRPr="001E500E">
        <w:t xml:space="preserve">) </w:t>
      </w:r>
      <w:r>
        <w:t xml:space="preserve">5 </w:t>
      </w:r>
      <w:r w:rsidRPr="001E500E">
        <w:rPr>
          <w:i/>
        </w:rPr>
        <w:t>Gender, Place and Culture</w:t>
      </w:r>
      <w:r w:rsidRPr="001E500E">
        <w:t xml:space="preserve"> </w:t>
      </w:r>
      <w:r>
        <w:t>55, 66-69</w:t>
      </w:r>
      <w:r w:rsidRPr="001E500E">
        <w:t>.</w:t>
      </w:r>
    </w:p>
  </w:footnote>
  <w:footnote w:id="106">
    <w:p w:rsidR="0005141F" w:rsidRDefault="0005141F">
      <w:pPr>
        <w:pStyle w:val="FootnoteText"/>
      </w:pPr>
      <w:r>
        <w:rPr>
          <w:rStyle w:val="FootnoteReference"/>
        </w:rPr>
        <w:footnoteRef/>
      </w:r>
      <w:r>
        <w:t xml:space="preserve"> Kinnell, n.93 above at 148.</w:t>
      </w:r>
    </w:p>
  </w:footnote>
  <w:footnote w:id="107">
    <w:p w:rsidR="0005141F" w:rsidRDefault="0005141F">
      <w:pPr>
        <w:pStyle w:val="FootnoteText"/>
      </w:pPr>
      <w:r>
        <w:rPr>
          <w:rStyle w:val="FootnoteReference"/>
        </w:rPr>
        <w:footnoteRef/>
      </w:r>
      <w:r>
        <w:t xml:space="preserve"> Kinnell, n.54 above, 104.</w:t>
      </w:r>
    </w:p>
  </w:footnote>
  <w:footnote w:id="108">
    <w:p w:rsidR="0005141F" w:rsidRDefault="0005141F">
      <w:pPr>
        <w:pStyle w:val="FootnoteText"/>
      </w:pPr>
      <w:r>
        <w:rPr>
          <w:rStyle w:val="FootnoteReference"/>
        </w:rPr>
        <w:footnoteRef/>
      </w:r>
      <w:r>
        <w:t xml:space="preserve"> Hubbard, n.105 above, 69.</w:t>
      </w:r>
    </w:p>
  </w:footnote>
  <w:footnote w:id="109">
    <w:p w:rsidR="0005141F" w:rsidRDefault="0005141F">
      <w:pPr>
        <w:pStyle w:val="FootnoteText"/>
      </w:pPr>
      <w:r>
        <w:rPr>
          <w:rStyle w:val="FootnoteReference"/>
        </w:rPr>
        <w:footnoteRef/>
      </w:r>
      <w:r>
        <w:t xml:space="preserve"> K. Williams, </w:t>
      </w:r>
      <w:r w:rsidRPr="001E500E">
        <w:t>F</w:t>
      </w:r>
      <w:r>
        <w:t>’rom the Oblivious to the Vigilante: the Views, Experiences and Responses of Residents Living in Areas of Street Sex Work’ i</w:t>
      </w:r>
      <w:r w:rsidRPr="001E500E">
        <w:t>n</w:t>
      </w:r>
      <w:r>
        <w:t xml:space="preserve"> G. Letherby </w:t>
      </w:r>
      <w:r w:rsidRPr="001E500E">
        <w:t>et al (eds</w:t>
      </w:r>
      <w:r>
        <w:t>.</w:t>
      </w:r>
      <w:r w:rsidRPr="001E500E">
        <w:t>)</w:t>
      </w:r>
      <w:r>
        <w:t xml:space="preserve">, Sex as Crime (Routledge: </w:t>
      </w:r>
      <w:r w:rsidRPr="001E500E">
        <w:t>Abingdon</w:t>
      </w:r>
      <w:r>
        <w:t>, 2011) 176</w:t>
      </w:r>
      <w:r w:rsidRPr="001E500E">
        <w:t>.</w:t>
      </w:r>
    </w:p>
  </w:footnote>
  <w:footnote w:id="110">
    <w:p w:rsidR="0005141F" w:rsidRDefault="0005141F">
      <w:pPr>
        <w:pStyle w:val="FootnoteText"/>
      </w:pPr>
      <w:r>
        <w:rPr>
          <w:rStyle w:val="FootnoteReference"/>
        </w:rPr>
        <w:footnoteRef/>
      </w:r>
      <w:r>
        <w:t xml:space="preserve"> B. </w:t>
      </w:r>
      <w:r w:rsidRPr="00C651BF">
        <w:t>Brooks-Gordon</w:t>
      </w:r>
      <w:r>
        <w:t xml:space="preserve">, </w:t>
      </w:r>
      <w:r w:rsidRPr="00C651BF">
        <w:t>The Price of Sex: Prostitution, policy and society (Devon: Willan, 2006)</w:t>
      </w:r>
      <w:r>
        <w:t xml:space="preserve"> 202.</w:t>
      </w:r>
    </w:p>
  </w:footnote>
  <w:footnote w:id="111">
    <w:p w:rsidR="0005141F" w:rsidRDefault="0005141F">
      <w:pPr>
        <w:pStyle w:val="FootnoteText"/>
      </w:pPr>
      <w:r>
        <w:rPr>
          <w:rStyle w:val="FootnoteReference"/>
        </w:rPr>
        <w:footnoteRef/>
      </w:r>
      <w:r>
        <w:t xml:space="preserve"> Kinnell, n.93 above at 142.</w:t>
      </w:r>
    </w:p>
  </w:footnote>
  <w:footnote w:id="112">
    <w:p w:rsidR="0005141F" w:rsidRDefault="0005141F">
      <w:pPr>
        <w:pStyle w:val="FootnoteText"/>
      </w:pPr>
      <w:r>
        <w:rPr>
          <w:rStyle w:val="FootnoteReference"/>
        </w:rPr>
        <w:footnoteRef/>
      </w:r>
      <w:r>
        <w:t xml:space="preserve"> </w:t>
      </w:r>
      <w:r w:rsidRPr="0005141F">
        <w:t xml:space="preserve">Kinnell, n.54 above, </w:t>
      </w:r>
      <w:r>
        <w:t>151.</w:t>
      </w:r>
    </w:p>
  </w:footnote>
  <w:footnote w:id="113">
    <w:p w:rsidR="0005141F" w:rsidRDefault="0005141F">
      <w:pPr>
        <w:pStyle w:val="FootnoteText"/>
      </w:pPr>
      <w:r>
        <w:rPr>
          <w:rStyle w:val="FootnoteReference"/>
        </w:rPr>
        <w:footnoteRef/>
      </w:r>
      <w:r>
        <w:t xml:space="preserve"> J. Berman, ‘(Un)Popular Strangers and Crises (Un)bounded: Discourses of Sex Trafficking, the European Political Community and the Panicked State of the Modern State’ </w:t>
      </w:r>
      <w:r w:rsidRPr="0005141F">
        <w:t xml:space="preserve">(2003) </w:t>
      </w:r>
      <w:r>
        <w:t xml:space="preserve">9 </w:t>
      </w:r>
      <w:r w:rsidRPr="0005141F">
        <w:rPr>
          <w:i/>
        </w:rPr>
        <w:t>European Journal of International Relations</w:t>
      </w:r>
      <w:r>
        <w:t xml:space="preserve"> 37.</w:t>
      </w:r>
    </w:p>
  </w:footnote>
  <w:footnote w:id="114">
    <w:p w:rsidR="0005141F" w:rsidRDefault="0005141F">
      <w:pPr>
        <w:pStyle w:val="FootnoteText"/>
      </w:pPr>
      <w:r>
        <w:rPr>
          <w:rStyle w:val="FootnoteReference"/>
        </w:rPr>
        <w:footnoteRef/>
      </w:r>
      <w:r>
        <w:t xml:space="preserve"> J. Phoenix, ‘Be Helped or Else! Economic E</w:t>
      </w:r>
      <w:r w:rsidRPr="0005141F">
        <w:t>xp</w:t>
      </w:r>
      <w:r>
        <w:t>loitation, Male Violence and Prostitution Policy in the UK’</w:t>
      </w:r>
      <w:r w:rsidRPr="0005141F">
        <w:t xml:space="preserve"> in V.Munro and M. Della Giusta (eds.), Demanding Sex: Critical Reflections on the Regulation of Prostitu</w:t>
      </w:r>
      <w:r>
        <w:t>tion (Ashgate: Aldershot, 2008).</w:t>
      </w:r>
    </w:p>
  </w:footnote>
  <w:footnote w:id="115">
    <w:p w:rsidR="0005141F" w:rsidRDefault="0005141F">
      <w:pPr>
        <w:pStyle w:val="FootnoteText"/>
      </w:pPr>
      <w:r>
        <w:rPr>
          <w:rStyle w:val="FootnoteReference"/>
        </w:rPr>
        <w:footnoteRef/>
      </w:r>
      <w:r>
        <w:t xml:space="preserve"> V. Munro</w:t>
      </w:r>
      <w:r w:rsidRPr="0005141F">
        <w:t xml:space="preserve"> and </w:t>
      </w:r>
      <w:r>
        <w:t>J. Scoular, ‘Abusing V</w:t>
      </w:r>
      <w:r w:rsidRPr="0005141F">
        <w:t>ulnerability?</w:t>
      </w:r>
      <w:r>
        <w:t xml:space="preserve"> Contemporary Law and Policy Responses to Sex Work in the UK’</w:t>
      </w:r>
      <w:r w:rsidRPr="0005141F">
        <w:t xml:space="preserve"> (2012) </w:t>
      </w:r>
      <w:r>
        <w:t>20 Feminist Legal Studies 189.</w:t>
      </w:r>
    </w:p>
  </w:footnote>
  <w:footnote w:id="116">
    <w:p w:rsidR="0005141F" w:rsidRDefault="0005141F">
      <w:pPr>
        <w:pStyle w:val="FootnoteText"/>
      </w:pPr>
      <w:r>
        <w:rPr>
          <w:rStyle w:val="FootnoteReference"/>
        </w:rPr>
        <w:footnoteRef/>
      </w:r>
      <w:r>
        <w:t xml:space="preserve"> Above, n.8 at 196.</w:t>
      </w:r>
    </w:p>
  </w:footnote>
  <w:footnote w:id="117">
    <w:p w:rsidR="0005141F" w:rsidRDefault="0005141F">
      <w:pPr>
        <w:pStyle w:val="FootnoteText"/>
      </w:pPr>
      <w:r>
        <w:rPr>
          <w:rStyle w:val="FootnoteReference"/>
        </w:rPr>
        <w:footnoteRef/>
      </w:r>
      <w:r>
        <w:t xml:space="preserve"> H.Self, </w:t>
      </w:r>
      <w:r w:rsidRPr="0005141F">
        <w:t>Prostitution, Women and the Misuse of the Law: The Fallen</w:t>
      </w:r>
      <w:r>
        <w:t xml:space="preserve"> Daughters of Eve (Cass:</w:t>
      </w:r>
      <w:r w:rsidRPr="0005141F">
        <w:t xml:space="preserve"> </w:t>
      </w:r>
      <w:r>
        <w:t xml:space="preserve">London, </w:t>
      </w:r>
      <w:r w:rsidRPr="0005141F">
        <w:t>2003)</w:t>
      </w:r>
      <w:r>
        <w:t xml:space="preserve"> 224.</w:t>
      </w:r>
    </w:p>
  </w:footnote>
  <w:footnote w:id="118">
    <w:p w:rsidR="0005141F" w:rsidRDefault="0005141F">
      <w:pPr>
        <w:pStyle w:val="FootnoteText"/>
      </w:pPr>
      <w:r>
        <w:rPr>
          <w:rStyle w:val="FootnoteReference"/>
        </w:rPr>
        <w:footnoteRef/>
      </w:r>
      <w:r>
        <w:t xml:space="preserve"> G. Pheterson, ‘The Whore Stigma: Female Dishonour and Male Unworthiness’</w:t>
      </w:r>
      <w:r w:rsidRPr="0005141F">
        <w:t xml:space="preserve"> (1993) 37</w:t>
      </w:r>
      <w:r>
        <w:t xml:space="preserve"> </w:t>
      </w:r>
      <w:r>
        <w:rPr>
          <w:i/>
        </w:rPr>
        <w:t xml:space="preserve">Social Text </w:t>
      </w:r>
      <w:r>
        <w:t>39, 45.</w:t>
      </w:r>
    </w:p>
  </w:footnote>
  <w:footnote w:id="119">
    <w:p w:rsidR="0005141F" w:rsidRDefault="0005141F">
      <w:pPr>
        <w:pStyle w:val="FootnoteText"/>
      </w:pPr>
      <w:r>
        <w:rPr>
          <w:rStyle w:val="FootnoteReference"/>
        </w:rPr>
        <w:footnoteRef/>
      </w:r>
      <w:r>
        <w:t xml:space="preserve"> </w:t>
      </w:r>
      <w:r w:rsidRPr="0005141F">
        <w:t>[2007] EWCA Crim 2664</w:t>
      </w:r>
      <w:r>
        <w:t>, [20].</w:t>
      </w:r>
    </w:p>
  </w:footnote>
  <w:footnote w:id="120">
    <w:p w:rsidR="0005141F" w:rsidRDefault="0005141F">
      <w:pPr>
        <w:pStyle w:val="FootnoteText"/>
      </w:pPr>
      <w:r>
        <w:rPr>
          <w:rStyle w:val="FootnoteReference"/>
        </w:rPr>
        <w:footnoteRef/>
      </w:r>
      <w:r>
        <w:t xml:space="preserve"> D. Ormerod, ‘Case Comment: Controlling a Prostitute for G</w:t>
      </w:r>
      <w:r w:rsidRPr="0005141F">
        <w:t>ain: Se</w:t>
      </w:r>
      <w:r>
        <w:t>xual Offences Act 2003 s.53 - "Control" – Meaning’</w:t>
      </w:r>
      <w:r w:rsidRPr="0005141F">
        <w:t xml:space="preserve"> (2008) </w:t>
      </w:r>
      <w:r>
        <w:t>CLR 719.</w:t>
      </w:r>
    </w:p>
  </w:footnote>
  <w:footnote w:id="121">
    <w:p w:rsidR="0005141F" w:rsidRDefault="0005141F">
      <w:pPr>
        <w:pStyle w:val="FootnoteText"/>
      </w:pPr>
      <w:r>
        <w:rPr>
          <w:rStyle w:val="FootnoteReference"/>
        </w:rPr>
        <w:footnoteRef/>
      </w:r>
      <w:r>
        <w:t xml:space="preserve"> Simon, above n.8 at 172.</w:t>
      </w:r>
    </w:p>
  </w:footnote>
  <w:footnote w:id="122">
    <w:p w:rsidR="0005141F" w:rsidRDefault="0005141F">
      <w:pPr>
        <w:pStyle w:val="FootnoteText"/>
      </w:pPr>
      <w:r>
        <w:rPr>
          <w:rStyle w:val="FootnoteReference"/>
        </w:rPr>
        <w:footnoteRef/>
      </w:r>
      <w:r>
        <w:t xml:space="preserve"> Ibid. at 177.</w:t>
      </w:r>
    </w:p>
  </w:footnote>
  <w:footnote w:id="123">
    <w:p w:rsidR="0005141F" w:rsidRDefault="0005141F">
      <w:pPr>
        <w:pStyle w:val="FootnoteText"/>
      </w:pPr>
      <w:r>
        <w:rPr>
          <w:rStyle w:val="FootnoteReference"/>
        </w:rPr>
        <w:footnoteRef/>
      </w:r>
      <w:r>
        <w:t xml:space="preserve"> W. Stead, ‘</w:t>
      </w:r>
      <w:r w:rsidRPr="0005141F">
        <w:rPr>
          <w:iCs/>
        </w:rPr>
        <w:t>The Maiden Tr</w:t>
      </w:r>
      <w:r>
        <w:rPr>
          <w:iCs/>
        </w:rPr>
        <w:t>ibute of Modern Babylon I: the Report of our Secret C</w:t>
      </w:r>
      <w:r w:rsidRPr="0005141F">
        <w:rPr>
          <w:iCs/>
        </w:rPr>
        <w:t>ommission</w:t>
      </w:r>
      <w:r>
        <w:rPr>
          <w:iCs/>
        </w:rPr>
        <w:t>’</w:t>
      </w:r>
      <w:r w:rsidRPr="0005141F">
        <w:rPr>
          <w:iCs/>
        </w:rPr>
        <w:t xml:space="preserve">. </w:t>
      </w:r>
      <w:r w:rsidRPr="0005141F">
        <w:rPr>
          <w:i/>
          <w:iCs/>
        </w:rPr>
        <w:t>The Pall Mall Gazette</w:t>
      </w:r>
      <w:r>
        <w:rPr>
          <w:iCs/>
        </w:rPr>
        <w:t>, July 6 1</w:t>
      </w:r>
      <w:r>
        <w:t xml:space="preserve">885; M. Ditmore, </w:t>
      </w:r>
      <w:r w:rsidRPr="0005141F">
        <w:t>Encyclopaedia of Prostitution and Sex Work: Volu</w:t>
      </w:r>
      <w:r>
        <w:t xml:space="preserve">me 2. </w:t>
      </w:r>
      <w:r w:rsidR="009B57E6">
        <w:t>(</w:t>
      </w:r>
      <w:r>
        <w:t>Greenwood Press:</w:t>
      </w:r>
      <w:r w:rsidRPr="0005141F">
        <w:t xml:space="preserve"> </w:t>
      </w:r>
      <w:r>
        <w:t xml:space="preserve">Westport, </w:t>
      </w:r>
      <w:r w:rsidRPr="0005141F">
        <w:t>2006)</w:t>
      </w:r>
      <w:r w:rsidR="009B57E6">
        <w:t>.</w:t>
      </w:r>
    </w:p>
  </w:footnote>
  <w:footnote w:id="124">
    <w:p w:rsidR="009B57E6" w:rsidRDefault="009B57E6">
      <w:pPr>
        <w:pStyle w:val="FootnoteText"/>
      </w:pPr>
      <w:r>
        <w:rPr>
          <w:rStyle w:val="FootnoteReference"/>
        </w:rPr>
        <w:footnoteRef/>
      </w:r>
      <w:r>
        <w:t xml:space="preserve"> J. Laite , </w:t>
      </w:r>
      <w:r w:rsidRPr="009B57E6">
        <w:t xml:space="preserve">Common Prostitutes and Ordinary Citizens: Commercial Sex </w:t>
      </w:r>
      <w:r>
        <w:t>in London 1885-1960.(</w:t>
      </w:r>
      <w:r w:rsidRPr="009B57E6">
        <w:t>Palgrave Macmillan: Basingstoke</w:t>
      </w:r>
      <w:r>
        <w:t xml:space="preserve">, </w:t>
      </w:r>
      <w:r w:rsidRPr="009B57E6">
        <w:t>2012)</w:t>
      </w:r>
      <w:r>
        <w:t xml:space="preserve"> 57.</w:t>
      </w:r>
    </w:p>
  </w:footnote>
  <w:footnote w:id="125">
    <w:p w:rsidR="009B57E6" w:rsidRDefault="009B57E6">
      <w:pPr>
        <w:pStyle w:val="FootnoteText"/>
      </w:pPr>
      <w:r>
        <w:rPr>
          <w:rStyle w:val="FootnoteReference"/>
        </w:rPr>
        <w:footnoteRef/>
      </w:r>
      <w:r>
        <w:t xml:space="preserve"> Above n.8 at 77.</w:t>
      </w:r>
    </w:p>
  </w:footnote>
  <w:footnote w:id="126">
    <w:p w:rsidR="009B57E6" w:rsidRDefault="009B57E6">
      <w:pPr>
        <w:pStyle w:val="FootnoteText"/>
      </w:pPr>
      <w:r>
        <w:rPr>
          <w:rStyle w:val="FootnoteReference"/>
        </w:rPr>
        <w:footnoteRef/>
      </w:r>
      <w:r>
        <w:t xml:space="preserve"> Home Office (2008), above n.3; V. Munro, ‘Exploring Exploitation: Trafficking in Sex, Work and Sex Work’</w:t>
      </w:r>
      <w:r w:rsidRPr="009B57E6">
        <w:t xml:space="preserve"> in V.Munro and M. Della Giusta (eds.), Demanding Sex: Critical Reflections on the Regulation of Prostitution (Ashgate: Aldershot, 2008).</w:t>
      </w:r>
    </w:p>
  </w:footnote>
  <w:footnote w:id="127">
    <w:p w:rsidR="009B57E6" w:rsidRDefault="009B57E6">
      <w:pPr>
        <w:pStyle w:val="FootnoteText"/>
      </w:pPr>
      <w:r>
        <w:rPr>
          <w:rStyle w:val="FootnoteReference"/>
        </w:rPr>
        <w:footnoteRef/>
      </w:r>
      <w:r>
        <w:t xml:space="preserve"> J. Doezema, ‘Loose W</w:t>
      </w:r>
      <w:r w:rsidRPr="009B57E6">
        <w:t xml:space="preserve">omen or </w:t>
      </w:r>
      <w:r>
        <w:t>Lost Women: the Re-emergence of the Myth of White Slavery in Contemporary Discourses of Trafficking in W</w:t>
      </w:r>
      <w:r w:rsidRPr="009B57E6">
        <w:t>omen. (2000) Gender Issues</w:t>
      </w:r>
      <w:r>
        <w:t xml:space="preserve"> 23, 33.</w:t>
      </w:r>
    </w:p>
  </w:footnote>
  <w:footnote w:id="128">
    <w:p w:rsidR="009B57E6" w:rsidRDefault="009B57E6">
      <w:pPr>
        <w:pStyle w:val="FootnoteText"/>
      </w:pPr>
      <w:r>
        <w:rPr>
          <w:rStyle w:val="FootnoteReference"/>
        </w:rPr>
        <w:footnoteRef/>
      </w:r>
      <w:r>
        <w:t xml:space="preserve"> R. Weitzer</w:t>
      </w:r>
      <w:r w:rsidRPr="009B57E6">
        <w:t xml:space="preserve"> and </w:t>
      </w:r>
      <w:r>
        <w:t>M. Ditmore, ‘Sex Trafficking: Facts and Fictions’ i</w:t>
      </w:r>
      <w:r w:rsidRPr="009B57E6">
        <w:t xml:space="preserve">n </w:t>
      </w:r>
      <w:r>
        <w:t xml:space="preserve">R. Weitzer, </w:t>
      </w:r>
      <w:r w:rsidRPr="009B57E6">
        <w:t>Sex for Sale: Prostitution, Po</w:t>
      </w:r>
      <w:r>
        <w:t xml:space="preserve">rnography and the Sex Industry (Routledge: </w:t>
      </w:r>
      <w:r w:rsidRPr="009B57E6">
        <w:t>London</w:t>
      </w:r>
      <w:r>
        <w:t xml:space="preserve">, </w:t>
      </w:r>
      <w:r w:rsidRPr="009B57E6">
        <w:t>2000)</w:t>
      </w:r>
      <w:r>
        <w:t xml:space="preserve"> 327</w:t>
      </w:r>
      <w:r w:rsidRPr="009B57E6">
        <w:t>.</w:t>
      </w:r>
    </w:p>
  </w:footnote>
  <w:footnote w:id="129">
    <w:p w:rsidR="009B57E6" w:rsidRDefault="009B57E6">
      <w:pPr>
        <w:pStyle w:val="FootnoteText"/>
      </w:pPr>
      <w:r>
        <w:rPr>
          <w:rStyle w:val="FootnoteReference"/>
        </w:rPr>
        <w:footnoteRef/>
      </w:r>
      <w:r>
        <w:t xml:space="preserve"> L. Kelly </w:t>
      </w:r>
      <w:r w:rsidRPr="009B57E6">
        <w:t xml:space="preserve">and </w:t>
      </w:r>
      <w:r>
        <w:t>L. Regan, ‘Stopping Traffic: Exploring the Extent of, and Responses to, Trafficking in Women for Sexual E</w:t>
      </w:r>
      <w:r w:rsidRPr="009B57E6">
        <w:t>xploitat</w:t>
      </w:r>
      <w:r>
        <w:t xml:space="preserve">ion in the UK’ </w:t>
      </w:r>
      <w:r w:rsidRPr="009B57E6">
        <w:t xml:space="preserve"> Police Research Series Paper 125, </w:t>
      </w:r>
      <w:r>
        <w:t>(Home Office:</w:t>
      </w:r>
      <w:r w:rsidRPr="009B57E6">
        <w:t xml:space="preserve"> </w:t>
      </w:r>
      <w:r>
        <w:t xml:space="preserve">London, </w:t>
      </w:r>
      <w:r w:rsidRPr="009B57E6">
        <w:t>2000)</w:t>
      </w:r>
      <w:r>
        <w:t xml:space="preserve"> 1.</w:t>
      </w:r>
    </w:p>
  </w:footnote>
  <w:footnote w:id="130">
    <w:p w:rsidR="009B57E6" w:rsidRDefault="009B57E6">
      <w:pPr>
        <w:pStyle w:val="FootnoteText"/>
      </w:pPr>
      <w:r>
        <w:rPr>
          <w:rStyle w:val="FootnoteReference"/>
        </w:rPr>
        <w:footnoteRef/>
      </w:r>
      <w:r>
        <w:t xml:space="preserve"> Home Office (2008), above n.3 at 6.</w:t>
      </w:r>
    </w:p>
  </w:footnote>
  <w:footnote w:id="131">
    <w:p w:rsidR="009B57E6" w:rsidRDefault="009B57E6">
      <w:pPr>
        <w:pStyle w:val="FootnoteText"/>
      </w:pPr>
      <w:r>
        <w:rPr>
          <w:rStyle w:val="FootnoteReference"/>
        </w:rPr>
        <w:footnoteRef/>
      </w:r>
      <w:r>
        <w:t xml:space="preserve"> L. </w:t>
      </w:r>
      <w:r w:rsidRPr="009B57E6">
        <w:t xml:space="preserve">Cusick </w:t>
      </w:r>
      <w:r>
        <w:t>at el, ‘Wild G</w:t>
      </w:r>
      <w:r w:rsidRPr="009B57E6">
        <w:t>u</w:t>
      </w:r>
      <w:r>
        <w:t xml:space="preserve">esses and Conflated Meanings? Estimating the Size of the Sex Worker Population in Britain’ </w:t>
      </w:r>
      <w:r w:rsidRPr="009B57E6">
        <w:t xml:space="preserve">(2009) </w:t>
      </w:r>
      <w:r>
        <w:t xml:space="preserve">29 </w:t>
      </w:r>
      <w:r w:rsidRPr="009B57E6">
        <w:t xml:space="preserve">Critical Social Policy </w:t>
      </w:r>
      <w:r>
        <w:t>703, 707.</w:t>
      </w:r>
    </w:p>
  </w:footnote>
  <w:footnote w:id="132">
    <w:p w:rsidR="009B57E6" w:rsidRDefault="009B57E6">
      <w:pPr>
        <w:pStyle w:val="FootnoteText"/>
      </w:pPr>
      <w:r>
        <w:rPr>
          <w:rStyle w:val="FootnoteReference"/>
        </w:rPr>
        <w:footnoteRef/>
      </w:r>
      <w:r>
        <w:t xml:space="preserve"> J. O’Connell Davidson,</w:t>
      </w:r>
      <w:r w:rsidRPr="009B57E6">
        <w:t xml:space="preserve"> </w:t>
      </w:r>
      <w:r>
        <w:t>‘Letters: Sex Slaves and the Reality of P</w:t>
      </w:r>
      <w:r w:rsidRPr="009B57E6">
        <w:t>rostit</w:t>
      </w:r>
      <w:r>
        <w:t xml:space="preserve">ution’. </w:t>
      </w:r>
      <w:r w:rsidRPr="009B57E6">
        <w:rPr>
          <w:i/>
        </w:rPr>
        <w:t>The Guardian</w:t>
      </w:r>
      <w:r>
        <w:t>, 28 December 2007.</w:t>
      </w:r>
    </w:p>
  </w:footnote>
  <w:footnote w:id="133">
    <w:p w:rsidR="00143A6A" w:rsidRDefault="00143A6A">
      <w:pPr>
        <w:pStyle w:val="FootnoteText"/>
      </w:pPr>
      <w:r>
        <w:rPr>
          <w:rStyle w:val="FootnoteReference"/>
        </w:rPr>
        <w:footnoteRef/>
      </w:r>
      <w:r>
        <w:t xml:space="preserve"> B. Brooks-Gordon, ‘Red Mist Obscures Red Light S</w:t>
      </w:r>
      <w:r w:rsidRPr="00143A6A">
        <w:t>t</w:t>
      </w:r>
      <w:r>
        <w:t xml:space="preserve">atistics’. </w:t>
      </w:r>
      <w:r w:rsidRPr="00143A6A">
        <w:rPr>
          <w:i/>
        </w:rPr>
        <w:t>The Guardian</w:t>
      </w:r>
      <w:r>
        <w:t xml:space="preserve">, 3 April 2009. </w:t>
      </w:r>
    </w:p>
  </w:footnote>
  <w:footnote w:id="134">
    <w:p w:rsidR="001C1C7E" w:rsidRDefault="001C1C7E">
      <w:pPr>
        <w:pStyle w:val="FootnoteText"/>
      </w:pPr>
      <w:r>
        <w:rPr>
          <w:rStyle w:val="FootnoteReference"/>
        </w:rPr>
        <w:footnoteRef/>
      </w:r>
      <w:r>
        <w:t xml:space="preserve"> J. O’Connell Davidson, ‘Will the Real Sex Slave Please Stand Up. (2006) 83 </w:t>
      </w:r>
      <w:r w:rsidRPr="001C1C7E">
        <w:t>Feminist Review 4</w:t>
      </w:r>
      <w:r>
        <w:t>, 19.</w:t>
      </w:r>
    </w:p>
  </w:footnote>
  <w:footnote w:id="135">
    <w:p w:rsidR="001C1C7E" w:rsidRDefault="001C1C7E">
      <w:pPr>
        <w:pStyle w:val="FootnoteText"/>
      </w:pPr>
      <w:r>
        <w:rPr>
          <w:rStyle w:val="FootnoteReference"/>
        </w:rPr>
        <w:footnoteRef/>
      </w:r>
      <w:r>
        <w:t xml:space="preserve"> Above n. 8 at 76.</w:t>
      </w:r>
    </w:p>
  </w:footnote>
  <w:footnote w:id="136">
    <w:p w:rsidR="001C1C7E" w:rsidRDefault="001C1C7E">
      <w:pPr>
        <w:pStyle w:val="FootnoteText"/>
      </w:pPr>
      <w:r>
        <w:rPr>
          <w:rStyle w:val="FootnoteReference"/>
        </w:rPr>
        <w:footnoteRef/>
      </w:r>
      <w:r>
        <w:t xml:space="preserve"> Fitzgerald, above n. 11; Munro, above n. 11.</w:t>
      </w:r>
    </w:p>
  </w:footnote>
  <w:footnote w:id="137">
    <w:p w:rsidR="001C1C7E" w:rsidRDefault="001C1C7E">
      <w:pPr>
        <w:pStyle w:val="FootnoteText"/>
      </w:pPr>
      <w:r>
        <w:rPr>
          <w:rStyle w:val="FootnoteReference"/>
        </w:rPr>
        <w:footnoteRef/>
      </w:r>
      <w:r>
        <w:t xml:space="preserve"> Sanders, above n.4 at 94.</w:t>
      </w:r>
    </w:p>
  </w:footnote>
  <w:footnote w:id="138">
    <w:p w:rsidR="001C1C7E" w:rsidRDefault="001C1C7E">
      <w:pPr>
        <w:pStyle w:val="FootnoteText"/>
      </w:pPr>
      <w:r>
        <w:rPr>
          <w:rStyle w:val="FootnoteReference"/>
        </w:rPr>
        <w:footnoteRef/>
      </w:r>
      <w:r>
        <w:t xml:space="preserve"> Ibid. at 78.</w:t>
      </w:r>
    </w:p>
  </w:footnote>
  <w:footnote w:id="139">
    <w:p w:rsidR="001C1C7E" w:rsidRDefault="001C1C7E">
      <w:pPr>
        <w:pStyle w:val="FootnoteText"/>
      </w:pPr>
      <w:r>
        <w:rPr>
          <w:rStyle w:val="FootnoteReference"/>
        </w:rPr>
        <w:footnoteRef/>
      </w:r>
      <w:r>
        <w:t xml:space="preserve"> W. Chapkis, </w:t>
      </w:r>
      <w:r w:rsidRPr="001C1C7E">
        <w:t xml:space="preserve"> Live Sex Acts: </w:t>
      </w:r>
      <w:r>
        <w:t>Women Performing Erotic Labour (Cassell: London, 1997) 100.</w:t>
      </w:r>
    </w:p>
  </w:footnote>
  <w:footnote w:id="140">
    <w:p w:rsidR="001C1C7E" w:rsidRDefault="001C1C7E">
      <w:pPr>
        <w:pStyle w:val="FootnoteText"/>
      </w:pPr>
      <w:r>
        <w:rPr>
          <w:rStyle w:val="FootnoteReference"/>
        </w:rPr>
        <w:footnoteRef/>
      </w:r>
      <w:r>
        <w:t xml:space="preserve"> O’Connell Davidson, above n. 134 at 19.</w:t>
      </w:r>
    </w:p>
  </w:footnote>
  <w:footnote w:id="141">
    <w:p w:rsidR="001C1C7E" w:rsidRDefault="001C1C7E">
      <w:pPr>
        <w:pStyle w:val="FootnoteText"/>
      </w:pPr>
      <w:r>
        <w:rPr>
          <w:rStyle w:val="FootnoteReference"/>
        </w:rPr>
        <w:footnoteRef/>
      </w:r>
      <w:r>
        <w:t xml:space="preserve"> J. O’Connell Davidson, Prostitution, Power and Freedom</w:t>
      </w:r>
      <w:r w:rsidRPr="001C1C7E">
        <w:t xml:space="preserve"> </w:t>
      </w:r>
      <w:r>
        <w:t xml:space="preserve">(Polity Press: Cambridge, </w:t>
      </w:r>
      <w:r w:rsidRPr="001C1C7E">
        <w:t>1998)</w:t>
      </w:r>
      <w:r>
        <w:t xml:space="preserve"> 22.</w:t>
      </w:r>
    </w:p>
  </w:footnote>
  <w:footnote w:id="142">
    <w:p w:rsidR="001C1C7E" w:rsidRDefault="001C1C7E">
      <w:pPr>
        <w:pStyle w:val="FootnoteText"/>
      </w:pPr>
      <w:r>
        <w:rPr>
          <w:rStyle w:val="FootnoteReference"/>
        </w:rPr>
        <w:footnoteRef/>
      </w:r>
      <w:r>
        <w:t xml:space="preserve"> Sanders, above n. 4 at 15.</w:t>
      </w:r>
    </w:p>
  </w:footnote>
  <w:footnote w:id="143">
    <w:p w:rsidR="001C1C7E" w:rsidRDefault="001C1C7E">
      <w:pPr>
        <w:pStyle w:val="FootnoteText"/>
      </w:pPr>
      <w:r>
        <w:rPr>
          <w:rStyle w:val="FootnoteReference"/>
        </w:rPr>
        <w:footnoteRef/>
      </w:r>
      <w:r>
        <w:t xml:space="preserve"> O’Connell Davidson, above n. 141 at 22. </w:t>
      </w:r>
    </w:p>
  </w:footnote>
  <w:footnote w:id="144">
    <w:p w:rsidR="001C1C7E" w:rsidRDefault="001C1C7E">
      <w:pPr>
        <w:pStyle w:val="FootnoteText"/>
      </w:pPr>
      <w:r>
        <w:rPr>
          <w:rStyle w:val="FootnoteReference"/>
        </w:rPr>
        <w:footnoteRef/>
      </w:r>
      <w:r>
        <w:t xml:space="preserve"> Ibid. at 17.</w:t>
      </w:r>
    </w:p>
  </w:footnote>
  <w:footnote w:id="145">
    <w:p w:rsidR="001C1C7E" w:rsidRDefault="001C1C7E">
      <w:pPr>
        <w:pStyle w:val="FootnoteText"/>
      </w:pPr>
      <w:r>
        <w:rPr>
          <w:rStyle w:val="FootnoteReference"/>
        </w:rPr>
        <w:footnoteRef/>
      </w:r>
      <w:r>
        <w:t xml:space="preserve"> M. Smith, ‘Soho Police Raids S</w:t>
      </w:r>
      <w:r w:rsidRPr="001C1C7E">
        <w:t xml:space="preserve">how </w:t>
      </w:r>
      <w:r>
        <w:t>Why Sex Workers Live in Fear of Being ‘R</w:t>
      </w:r>
      <w:r w:rsidRPr="001C1C7E">
        <w:t xml:space="preserve">escued’. </w:t>
      </w:r>
      <w:r w:rsidRPr="001C1C7E">
        <w:rPr>
          <w:i/>
        </w:rPr>
        <w:t>The Guardian</w:t>
      </w:r>
      <w:r w:rsidRPr="001C1C7E">
        <w:t>, 11 December 2013.</w:t>
      </w:r>
    </w:p>
  </w:footnote>
  <w:footnote w:id="146">
    <w:p w:rsidR="001C1C7E" w:rsidRDefault="001C1C7E">
      <w:pPr>
        <w:pStyle w:val="FootnoteText"/>
      </w:pPr>
      <w:r>
        <w:rPr>
          <w:rStyle w:val="FootnoteReference"/>
        </w:rPr>
        <w:footnoteRef/>
      </w:r>
      <w:r>
        <w:t xml:space="preserve"> N. Adams, ‘Anti-Trafficking Legislation: Protection or Deportation’</w:t>
      </w:r>
      <w:r w:rsidRPr="001C1C7E">
        <w:t xml:space="preserve"> (2003)</w:t>
      </w:r>
      <w:r>
        <w:t xml:space="preserve"> 73 Feminist Review 135; Smith, Ibid.</w:t>
      </w:r>
    </w:p>
  </w:footnote>
  <w:footnote w:id="147">
    <w:p w:rsidR="001C1C7E" w:rsidRDefault="001C1C7E">
      <w:pPr>
        <w:pStyle w:val="FootnoteText"/>
      </w:pPr>
      <w:r>
        <w:rPr>
          <w:rStyle w:val="FootnoteReference"/>
        </w:rPr>
        <w:footnoteRef/>
      </w:r>
      <w:r>
        <w:t xml:space="preserve"> Scoular and O’Neill, above n.9 at 15. </w:t>
      </w:r>
    </w:p>
  </w:footnote>
  <w:footnote w:id="148">
    <w:p w:rsidR="002036DD" w:rsidRDefault="002036DD">
      <w:pPr>
        <w:pStyle w:val="FootnoteText"/>
      </w:pPr>
      <w:r>
        <w:rPr>
          <w:rStyle w:val="FootnoteReference"/>
        </w:rPr>
        <w:footnoteRef/>
      </w:r>
      <w:r>
        <w:t xml:space="preserve"> S. Kingston </w:t>
      </w:r>
      <w:r w:rsidRPr="002036DD">
        <w:t xml:space="preserve">and </w:t>
      </w:r>
      <w:r>
        <w:t>T. Thomas, ‘The P</w:t>
      </w:r>
      <w:r w:rsidRPr="002036DD">
        <w:t xml:space="preserve">olice, </w:t>
      </w:r>
      <w:r>
        <w:t>Sex Work, and S</w:t>
      </w:r>
      <w:r w:rsidRPr="002036DD">
        <w:t xml:space="preserve">ection14 of </w:t>
      </w:r>
      <w:r>
        <w:t>the Policing and Crime Act 2009</w:t>
      </w:r>
      <w:r w:rsidRPr="002036DD">
        <w:t xml:space="preserve"> (2014) </w:t>
      </w:r>
      <w:r>
        <w:t xml:space="preserve">53 </w:t>
      </w:r>
      <w:r w:rsidRPr="002036DD">
        <w:rPr>
          <w:i/>
        </w:rPr>
        <w:t xml:space="preserve">Howard Journal of Criminal Justice </w:t>
      </w:r>
      <w:r>
        <w:t>255, 260.</w:t>
      </w:r>
    </w:p>
  </w:footnote>
  <w:footnote w:id="149">
    <w:p w:rsidR="002036DD" w:rsidRDefault="002036DD">
      <w:pPr>
        <w:pStyle w:val="FootnoteText"/>
      </w:pPr>
      <w:r>
        <w:rPr>
          <w:rStyle w:val="FootnoteReference"/>
        </w:rPr>
        <w:footnoteRef/>
      </w:r>
      <w:r>
        <w:t xml:space="preserve"> Ibid. at 262.</w:t>
      </w:r>
    </w:p>
  </w:footnote>
  <w:footnote w:id="150">
    <w:p w:rsidR="002036DD" w:rsidRDefault="002036DD">
      <w:pPr>
        <w:pStyle w:val="FootnoteText"/>
      </w:pPr>
      <w:r>
        <w:rPr>
          <w:rStyle w:val="FootnoteReference"/>
        </w:rPr>
        <w:footnoteRef/>
      </w:r>
      <w:r>
        <w:t xml:space="preserve"> Above n. 8 at 4.</w:t>
      </w:r>
    </w:p>
  </w:footnote>
  <w:footnote w:id="151">
    <w:p w:rsidR="002036DD" w:rsidRDefault="002036DD">
      <w:pPr>
        <w:pStyle w:val="FootnoteText"/>
      </w:pPr>
      <w:r>
        <w:rPr>
          <w:rStyle w:val="FootnoteReference"/>
        </w:rPr>
        <w:footnoteRef/>
      </w:r>
      <w:r>
        <w:t xml:space="preserve"> Kingston and Thome, above n.148 at 262.</w:t>
      </w:r>
    </w:p>
  </w:footnote>
  <w:footnote w:id="152">
    <w:p w:rsidR="002036DD" w:rsidRDefault="002036DD">
      <w:pPr>
        <w:pStyle w:val="FootnoteText"/>
      </w:pPr>
      <w:r>
        <w:rPr>
          <w:rStyle w:val="FootnoteReference"/>
        </w:rPr>
        <w:footnoteRef/>
      </w:r>
      <w:r>
        <w:t xml:space="preserve"> A Carline, ‘Critical P</w:t>
      </w:r>
      <w:r w:rsidRPr="002036DD">
        <w:t>erspectives on the P</w:t>
      </w:r>
      <w:r>
        <w:t>olicing and Crime Act 2009: an Unethical Approach to the Regulation of Prostitution?’(</w:t>
      </w:r>
      <w:r w:rsidRPr="002036DD">
        <w:t xml:space="preserve">2010) </w:t>
      </w:r>
      <w:r>
        <w:t xml:space="preserve">10 </w:t>
      </w:r>
      <w:r w:rsidRPr="002036DD">
        <w:rPr>
          <w:i/>
        </w:rPr>
        <w:t>Contemporary Issues in Law</w:t>
      </w:r>
      <w:r>
        <w:t xml:space="preserve"> </w:t>
      </w:r>
      <w:r w:rsidRPr="002036DD">
        <w:t>77</w:t>
      </w:r>
      <w:r>
        <w:t>.</w:t>
      </w:r>
    </w:p>
  </w:footnote>
  <w:footnote w:id="153">
    <w:p w:rsidR="002036DD" w:rsidRDefault="002036DD">
      <w:pPr>
        <w:pStyle w:val="FootnoteText"/>
      </w:pPr>
      <w:r>
        <w:rPr>
          <w:rStyle w:val="FootnoteReference"/>
        </w:rPr>
        <w:footnoteRef/>
      </w:r>
      <w:r>
        <w:t xml:space="preserve"> Above n.103.</w:t>
      </w:r>
    </w:p>
  </w:footnote>
  <w:footnote w:id="154">
    <w:p w:rsidR="002036DD" w:rsidRDefault="002036DD">
      <w:pPr>
        <w:pStyle w:val="FootnoteText"/>
      </w:pPr>
      <w:r>
        <w:rPr>
          <w:rStyle w:val="FootnoteReference"/>
        </w:rPr>
        <w:footnoteRef/>
      </w:r>
      <w:r>
        <w:t xml:space="preserve"> Above n. 8 at 196.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D52"/>
    <w:multiLevelType w:val="multilevel"/>
    <w:tmpl w:val="52F6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7A"/>
    <w:rsid w:val="000232A9"/>
    <w:rsid w:val="000270D9"/>
    <w:rsid w:val="000443DE"/>
    <w:rsid w:val="0005141F"/>
    <w:rsid w:val="00054035"/>
    <w:rsid w:val="000578F5"/>
    <w:rsid w:val="000877C9"/>
    <w:rsid w:val="000925B7"/>
    <w:rsid w:val="000B157E"/>
    <w:rsid w:val="000B2CA6"/>
    <w:rsid w:val="000B538A"/>
    <w:rsid w:val="000B6018"/>
    <w:rsid w:val="000C06DD"/>
    <w:rsid w:val="000C55F6"/>
    <w:rsid w:val="000E0C7A"/>
    <w:rsid w:val="00111D8E"/>
    <w:rsid w:val="00117C7D"/>
    <w:rsid w:val="001219B9"/>
    <w:rsid w:val="001416C3"/>
    <w:rsid w:val="00143A6A"/>
    <w:rsid w:val="00147AB0"/>
    <w:rsid w:val="001830C4"/>
    <w:rsid w:val="001C1C7E"/>
    <w:rsid w:val="001C40CB"/>
    <w:rsid w:val="001E500E"/>
    <w:rsid w:val="00201866"/>
    <w:rsid w:val="002036DD"/>
    <w:rsid w:val="0020755D"/>
    <w:rsid w:val="0021512C"/>
    <w:rsid w:val="00223E89"/>
    <w:rsid w:val="00226881"/>
    <w:rsid w:val="002379DB"/>
    <w:rsid w:val="00240C98"/>
    <w:rsid w:val="0025495C"/>
    <w:rsid w:val="00254A0B"/>
    <w:rsid w:val="00260035"/>
    <w:rsid w:val="00266CA4"/>
    <w:rsid w:val="00267C3A"/>
    <w:rsid w:val="00293FF5"/>
    <w:rsid w:val="00296B94"/>
    <w:rsid w:val="002A2535"/>
    <w:rsid w:val="002B1400"/>
    <w:rsid w:val="002B549A"/>
    <w:rsid w:val="002E68F3"/>
    <w:rsid w:val="002F1AB1"/>
    <w:rsid w:val="00301876"/>
    <w:rsid w:val="00332843"/>
    <w:rsid w:val="00344EE9"/>
    <w:rsid w:val="0035087F"/>
    <w:rsid w:val="0035720C"/>
    <w:rsid w:val="00363AA9"/>
    <w:rsid w:val="0036586D"/>
    <w:rsid w:val="003663F1"/>
    <w:rsid w:val="00386970"/>
    <w:rsid w:val="0038786A"/>
    <w:rsid w:val="003B540C"/>
    <w:rsid w:val="003C108A"/>
    <w:rsid w:val="003C10C1"/>
    <w:rsid w:val="003C34C5"/>
    <w:rsid w:val="003D13AF"/>
    <w:rsid w:val="003D3505"/>
    <w:rsid w:val="003F186B"/>
    <w:rsid w:val="00402B4D"/>
    <w:rsid w:val="004220C3"/>
    <w:rsid w:val="0045052E"/>
    <w:rsid w:val="004568C3"/>
    <w:rsid w:val="00470743"/>
    <w:rsid w:val="00492F90"/>
    <w:rsid w:val="004A680C"/>
    <w:rsid w:val="004C00F2"/>
    <w:rsid w:val="004D3215"/>
    <w:rsid w:val="00502D09"/>
    <w:rsid w:val="00505785"/>
    <w:rsid w:val="00532350"/>
    <w:rsid w:val="00541F8F"/>
    <w:rsid w:val="005578C2"/>
    <w:rsid w:val="00557F6B"/>
    <w:rsid w:val="0058002B"/>
    <w:rsid w:val="00593949"/>
    <w:rsid w:val="005A406A"/>
    <w:rsid w:val="005B5CA5"/>
    <w:rsid w:val="005B74FF"/>
    <w:rsid w:val="006279E0"/>
    <w:rsid w:val="00631B14"/>
    <w:rsid w:val="0063796E"/>
    <w:rsid w:val="006500B0"/>
    <w:rsid w:val="006578C9"/>
    <w:rsid w:val="00663103"/>
    <w:rsid w:val="00697513"/>
    <w:rsid w:val="006C128D"/>
    <w:rsid w:val="006C57FB"/>
    <w:rsid w:val="006E1D31"/>
    <w:rsid w:val="006E1F68"/>
    <w:rsid w:val="006E77FA"/>
    <w:rsid w:val="00700E2A"/>
    <w:rsid w:val="0071029D"/>
    <w:rsid w:val="0071133D"/>
    <w:rsid w:val="00720BFC"/>
    <w:rsid w:val="0072512F"/>
    <w:rsid w:val="0074109F"/>
    <w:rsid w:val="00790FB0"/>
    <w:rsid w:val="007A2640"/>
    <w:rsid w:val="007A700F"/>
    <w:rsid w:val="0081534F"/>
    <w:rsid w:val="00816ECE"/>
    <w:rsid w:val="00820A5F"/>
    <w:rsid w:val="00840F03"/>
    <w:rsid w:val="0085077F"/>
    <w:rsid w:val="00851970"/>
    <w:rsid w:val="00862759"/>
    <w:rsid w:val="008711E5"/>
    <w:rsid w:val="008855D9"/>
    <w:rsid w:val="00886FDC"/>
    <w:rsid w:val="0089206E"/>
    <w:rsid w:val="008942EF"/>
    <w:rsid w:val="008A247B"/>
    <w:rsid w:val="008D2FEF"/>
    <w:rsid w:val="008E25DE"/>
    <w:rsid w:val="008E6D27"/>
    <w:rsid w:val="008F4062"/>
    <w:rsid w:val="00924B71"/>
    <w:rsid w:val="00955D5A"/>
    <w:rsid w:val="009630A6"/>
    <w:rsid w:val="0096603A"/>
    <w:rsid w:val="009A7832"/>
    <w:rsid w:val="009B57E6"/>
    <w:rsid w:val="009C03A9"/>
    <w:rsid w:val="009C6359"/>
    <w:rsid w:val="009D13EC"/>
    <w:rsid w:val="00A00C05"/>
    <w:rsid w:val="00A04493"/>
    <w:rsid w:val="00A24B97"/>
    <w:rsid w:val="00A56C5F"/>
    <w:rsid w:val="00A71ABF"/>
    <w:rsid w:val="00A73C7D"/>
    <w:rsid w:val="00A874EF"/>
    <w:rsid w:val="00A90DA0"/>
    <w:rsid w:val="00AA2080"/>
    <w:rsid w:val="00AB1C30"/>
    <w:rsid w:val="00AC13BC"/>
    <w:rsid w:val="00AC5184"/>
    <w:rsid w:val="00AD088C"/>
    <w:rsid w:val="00AD39C4"/>
    <w:rsid w:val="00AF4FF5"/>
    <w:rsid w:val="00B06965"/>
    <w:rsid w:val="00B23F46"/>
    <w:rsid w:val="00B260CE"/>
    <w:rsid w:val="00B27B51"/>
    <w:rsid w:val="00B445BD"/>
    <w:rsid w:val="00B52ED3"/>
    <w:rsid w:val="00B601DA"/>
    <w:rsid w:val="00B7111F"/>
    <w:rsid w:val="00B71C79"/>
    <w:rsid w:val="00BB3BF9"/>
    <w:rsid w:val="00BC3B37"/>
    <w:rsid w:val="00BC5FBA"/>
    <w:rsid w:val="00BD74FD"/>
    <w:rsid w:val="00BE40B6"/>
    <w:rsid w:val="00BF6F43"/>
    <w:rsid w:val="00C32847"/>
    <w:rsid w:val="00C4330D"/>
    <w:rsid w:val="00C46C8B"/>
    <w:rsid w:val="00C50BCD"/>
    <w:rsid w:val="00C5759F"/>
    <w:rsid w:val="00C651BF"/>
    <w:rsid w:val="00C7260A"/>
    <w:rsid w:val="00C80A43"/>
    <w:rsid w:val="00CA5449"/>
    <w:rsid w:val="00CB1455"/>
    <w:rsid w:val="00CC6ED3"/>
    <w:rsid w:val="00CF755E"/>
    <w:rsid w:val="00D25BC1"/>
    <w:rsid w:val="00D25C8B"/>
    <w:rsid w:val="00D25D2F"/>
    <w:rsid w:val="00D44288"/>
    <w:rsid w:val="00D4593F"/>
    <w:rsid w:val="00DA53B4"/>
    <w:rsid w:val="00DB2FB8"/>
    <w:rsid w:val="00DB5E1B"/>
    <w:rsid w:val="00DC0CCC"/>
    <w:rsid w:val="00DD46E8"/>
    <w:rsid w:val="00DF3B38"/>
    <w:rsid w:val="00E1090E"/>
    <w:rsid w:val="00E1462E"/>
    <w:rsid w:val="00E35AC4"/>
    <w:rsid w:val="00E36EB4"/>
    <w:rsid w:val="00E42AFC"/>
    <w:rsid w:val="00E5711C"/>
    <w:rsid w:val="00E8102B"/>
    <w:rsid w:val="00E914B7"/>
    <w:rsid w:val="00EA3D6E"/>
    <w:rsid w:val="00ED330F"/>
    <w:rsid w:val="00EF07F0"/>
    <w:rsid w:val="00EF0E16"/>
    <w:rsid w:val="00EF444B"/>
    <w:rsid w:val="00EF4610"/>
    <w:rsid w:val="00F0685C"/>
    <w:rsid w:val="00F53856"/>
    <w:rsid w:val="00F56068"/>
    <w:rsid w:val="00F6183C"/>
    <w:rsid w:val="00F661BA"/>
    <w:rsid w:val="00F85695"/>
    <w:rsid w:val="00F868E1"/>
    <w:rsid w:val="00F97F51"/>
    <w:rsid w:val="00FA1250"/>
    <w:rsid w:val="00FA3077"/>
    <w:rsid w:val="00FA67EF"/>
    <w:rsid w:val="00FC4E5B"/>
    <w:rsid w:val="00FE0A92"/>
    <w:rsid w:val="00FF01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69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2A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942EF"/>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8942EF"/>
    <w:rPr>
      <w:rFonts w:ascii="Calibri" w:eastAsia="Calibri" w:hAnsi="Calibri" w:cs="Calibri"/>
      <w:sz w:val="20"/>
      <w:szCs w:val="20"/>
    </w:rPr>
  </w:style>
  <w:style w:type="character" w:styleId="FootnoteReference">
    <w:name w:val="footnote reference"/>
    <w:basedOn w:val="DefaultParagraphFont"/>
    <w:uiPriority w:val="99"/>
    <w:rsid w:val="008942EF"/>
    <w:rPr>
      <w:vertAlign w:val="superscript"/>
    </w:rPr>
  </w:style>
  <w:style w:type="character" w:styleId="CommentReference">
    <w:name w:val="annotation reference"/>
    <w:basedOn w:val="DefaultParagraphFont"/>
    <w:uiPriority w:val="99"/>
    <w:semiHidden/>
    <w:unhideWhenUsed/>
    <w:rsid w:val="008942EF"/>
    <w:rPr>
      <w:sz w:val="16"/>
      <w:szCs w:val="16"/>
    </w:rPr>
  </w:style>
  <w:style w:type="paragraph" w:styleId="CommentText">
    <w:name w:val="annotation text"/>
    <w:basedOn w:val="Normal"/>
    <w:link w:val="CommentTextChar"/>
    <w:uiPriority w:val="99"/>
    <w:semiHidden/>
    <w:unhideWhenUsed/>
    <w:rsid w:val="008942EF"/>
    <w:pPr>
      <w:spacing w:line="240" w:lineRule="auto"/>
    </w:pPr>
    <w:rPr>
      <w:sz w:val="20"/>
      <w:szCs w:val="20"/>
    </w:rPr>
  </w:style>
  <w:style w:type="character" w:customStyle="1" w:styleId="CommentTextChar">
    <w:name w:val="Comment Text Char"/>
    <w:basedOn w:val="DefaultParagraphFont"/>
    <w:link w:val="CommentText"/>
    <w:uiPriority w:val="99"/>
    <w:semiHidden/>
    <w:rsid w:val="008942EF"/>
    <w:rPr>
      <w:sz w:val="20"/>
      <w:szCs w:val="20"/>
    </w:rPr>
  </w:style>
  <w:style w:type="paragraph" w:styleId="BalloonText">
    <w:name w:val="Balloon Text"/>
    <w:basedOn w:val="Normal"/>
    <w:link w:val="BalloonTextChar"/>
    <w:uiPriority w:val="99"/>
    <w:semiHidden/>
    <w:unhideWhenUsed/>
    <w:rsid w:val="00894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2EF"/>
    <w:rPr>
      <w:rFonts w:ascii="Tahoma" w:hAnsi="Tahoma" w:cs="Tahoma"/>
      <w:sz w:val="16"/>
      <w:szCs w:val="16"/>
    </w:rPr>
  </w:style>
  <w:style w:type="character" w:styleId="Hyperlink">
    <w:name w:val="Hyperlink"/>
    <w:basedOn w:val="DefaultParagraphFont"/>
    <w:uiPriority w:val="99"/>
    <w:unhideWhenUsed/>
    <w:rsid w:val="008942EF"/>
    <w:rPr>
      <w:color w:val="0000FF" w:themeColor="hyperlink"/>
      <w:u w:val="single"/>
    </w:rPr>
  </w:style>
  <w:style w:type="character" w:customStyle="1" w:styleId="Heading2Char">
    <w:name w:val="Heading 2 Char"/>
    <w:basedOn w:val="DefaultParagraphFont"/>
    <w:link w:val="Heading2"/>
    <w:uiPriority w:val="9"/>
    <w:semiHidden/>
    <w:rsid w:val="00B069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42AF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57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8C2"/>
  </w:style>
  <w:style w:type="paragraph" w:styleId="Footer">
    <w:name w:val="footer"/>
    <w:basedOn w:val="Normal"/>
    <w:link w:val="FooterChar"/>
    <w:uiPriority w:val="99"/>
    <w:unhideWhenUsed/>
    <w:rsid w:val="00557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8C2"/>
  </w:style>
  <w:style w:type="character" w:customStyle="1" w:styleId="Heading1Char">
    <w:name w:val="Heading 1 Char"/>
    <w:basedOn w:val="DefaultParagraphFont"/>
    <w:link w:val="Heading1"/>
    <w:uiPriority w:val="9"/>
    <w:rsid w:val="00AC518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B71C79"/>
    <w:rPr>
      <w:color w:val="800080" w:themeColor="followedHyperlink"/>
      <w:u w:val="single"/>
    </w:rPr>
  </w:style>
  <w:style w:type="character" w:styleId="Emphasis">
    <w:name w:val="Emphasis"/>
    <w:basedOn w:val="DefaultParagraphFont"/>
    <w:uiPriority w:val="20"/>
    <w:qFormat/>
    <w:rsid w:val="000B6018"/>
    <w:rPr>
      <w:i/>
      <w:iCs/>
    </w:rPr>
  </w:style>
  <w:style w:type="character" w:customStyle="1" w:styleId="apple-converted-space">
    <w:name w:val="apple-converted-space"/>
    <w:basedOn w:val="DefaultParagraphFont"/>
    <w:rsid w:val="000B6018"/>
  </w:style>
  <w:style w:type="paragraph" w:styleId="EndnoteText">
    <w:name w:val="endnote text"/>
    <w:basedOn w:val="Normal"/>
    <w:link w:val="EndnoteTextChar"/>
    <w:uiPriority w:val="99"/>
    <w:semiHidden/>
    <w:unhideWhenUsed/>
    <w:rsid w:val="003658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86D"/>
    <w:rPr>
      <w:sz w:val="20"/>
      <w:szCs w:val="20"/>
    </w:rPr>
  </w:style>
  <w:style w:type="character" w:styleId="EndnoteReference">
    <w:name w:val="endnote reference"/>
    <w:basedOn w:val="DefaultParagraphFont"/>
    <w:uiPriority w:val="99"/>
    <w:semiHidden/>
    <w:unhideWhenUsed/>
    <w:rsid w:val="003658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69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2A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942EF"/>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8942EF"/>
    <w:rPr>
      <w:rFonts w:ascii="Calibri" w:eastAsia="Calibri" w:hAnsi="Calibri" w:cs="Calibri"/>
      <w:sz w:val="20"/>
      <w:szCs w:val="20"/>
    </w:rPr>
  </w:style>
  <w:style w:type="character" w:styleId="FootnoteReference">
    <w:name w:val="footnote reference"/>
    <w:basedOn w:val="DefaultParagraphFont"/>
    <w:uiPriority w:val="99"/>
    <w:rsid w:val="008942EF"/>
    <w:rPr>
      <w:vertAlign w:val="superscript"/>
    </w:rPr>
  </w:style>
  <w:style w:type="character" w:styleId="CommentReference">
    <w:name w:val="annotation reference"/>
    <w:basedOn w:val="DefaultParagraphFont"/>
    <w:uiPriority w:val="99"/>
    <w:semiHidden/>
    <w:unhideWhenUsed/>
    <w:rsid w:val="008942EF"/>
    <w:rPr>
      <w:sz w:val="16"/>
      <w:szCs w:val="16"/>
    </w:rPr>
  </w:style>
  <w:style w:type="paragraph" w:styleId="CommentText">
    <w:name w:val="annotation text"/>
    <w:basedOn w:val="Normal"/>
    <w:link w:val="CommentTextChar"/>
    <w:uiPriority w:val="99"/>
    <w:semiHidden/>
    <w:unhideWhenUsed/>
    <w:rsid w:val="008942EF"/>
    <w:pPr>
      <w:spacing w:line="240" w:lineRule="auto"/>
    </w:pPr>
    <w:rPr>
      <w:sz w:val="20"/>
      <w:szCs w:val="20"/>
    </w:rPr>
  </w:style>
  <w:style w:type="character" w:customStyle="1" w:styleId="CommentTextChar">
    <w:name w:val="Comment Text Char"/>
    <w:basedOn w:val="DefaultParagraphFont"/>
    <w:link w:val="CommentText"/>
    <w:uiPriority w:val="99"/>
    <w:semiHidden/>
    <w:rsid w:val="008942EF"/>
    <w:rPr>
      <w:sz w:val="20"/>
      <w:szCs w:val="20"/>
    </w:rPr>
  </w:style>
  <w:style w:type="paragraph" w:styleId="BalloonText">
    <w:name w:val="Balloon Text"/>
    <w:basedOn w:val="Normal"/>
    <w:link w:val="BalloonTextChar"/>
    <w:uiPriority w:val="99"/>
    <w:semiHidden/>
    <w:unhideWhenUsed/>
    <w:rsid w:val="00894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2EF"/>
    <w:rPr>
      <w:rFonts w:ascii="Tahoma" w:hAnsi="Tahoma" w:cs="Tahoma"/>
      <w:sz w:val="16"/>
      <w:szCs w:val="16"/>
    </w:rPr>
  </w:style>
  <w:style w:type="character" w:styleId="Hyperlink">
    <w:name w:val="Hyperlink"/>
    <w:basedOn w:val="DefaultParagraphFont"/>
    <w:uiPriority w:val="99"/>
    <w:unhideWhenUsed/>
    <w:rsid w:val="008942EF"/>
    <w:rPr>
      <w:color w:val="0000FF" w:themeColor="hyperlink"/>
      <w:u w:val="single"/>
    </w:rPr>
  </w:style>
  <w:style w:type="character" w:customStyle="1" w:styleId="Heading2Char">
    <w:name w:val="Heading 2 Char"/>
    <w:basedOn w:val="DefaultParagraphFont"/>
    <w:link w:val="Heading2"/>
    <w:uiPriority w:val="9"/>
    <w:semiHidden/>
    <w:rsid w:val="00B069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42AF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57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8C2"/>
  </w:style>
  <w:style w:type="paragraph" w:styleId="Footer">
    <w:name w:val="footer"/>
    <w:basedOn w:val="Normal"/>
    <w:link w:val="FooterChar"/>
    <w:uiPriority w:val="99"/>
    <w:unhideWhenUsed/>
    <w:rsid w:val="00557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8C2"/>
  </w:style>
  <w:style w:type="character" w:customStyle="1" w:styleId="Heading1Char">
    <w:name w:val="Heading 1 Char"/>
    <w:basedOn w:val="DefaultParagraphFont"/>
    <w:link w:val="Heading1"/>
    <w:uiPriority w:val="9"/>
    <w:rsid w:val="00AC518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B71C79"/>
    <w:rPr>
      <w:color w:val="800080" w:themeColor="followedHyperlink"/>
      <w:u w:val="single"/>
    </w:rPr>
  </w:style>
  <w:style w:type="character" w:styleId="Emphasis">
    <w:name w:val="Emphasis"/>
    <w:basedOn w:val="DefaultParagraphFont"/>
    <w:uiPriority w:val="20"/>
    <w:qFormat/>
    <w:rsid w:val="000B6018"/>
    <w:rPr>
      <w:i/>
      <w:iCs/>
    </w:rPr>
  </w:style>
  <w:style w:type="character" w:customStyle="1" w:styleId="apple-converted-space">
    <w:name w:val="apple-converted-space"/>
    <w:basedOn w:val="DefaultParagraphFont"/>
    <w:rsid w:val="000B6018"/>
  </w:style>
  <w:style w:type="paragraph" w:styleId="EndnoteText">
    <w:name w:val="endnote text"/>
    <w:basedOn w:val="Normal"/>
    <w:link w:val="EndnoteTextChar"/>
    <w:uiPriority w:val="99"/>
    <w:semiHidden/>
    <w:unhideWhenUsed/>
    <w:rsid w:val="003658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86D"/>
    <w:rPr>
      <w:sz w:val="20"/>
      <w:szCs w:val="20"/>
    </w:rPr>
  </w:style>
  <w:style w:type="character" w:styleId="EndnoteReference">
    <w:name w:val="endnote reference"/>
    <w:basedOn w:val="DefaultParagraphFont"/>
    <w:uiPriority w:val="99"/>
    <w:semiHidden/>
    <w:unhideWhenUsed/>
    <w:rsid w:val="003658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6778">
      <w:bodyDiv w:val="1"/>
      <w:marLeft w:val="0"/>
      <w:marRight w:val="0"/>
      <w:marTop w:val="0"/>
      <w:marBottom w:val="0"/>
      <w:divBdr>
        <w:top w:val="none" w:sz="0" w:space="0" w:color="auto"/>
        <w:left w:val="none" w:sz="0" w:space="0" w:color="auto"/>
        <w:bottom w:val="none" w:sz="0" w:space="0" w:color="auto"/>
        <w:right w:val="none" w:sz="0" w:space="0" w:color="auto"/>
      </w:divBdr>
    </w:div>
    <w:div w:id="211237149">
      <w:bodyDiv w:val="1"/>
      <w:marLeft w:val="0"/>
      <w:marRight w:val="0"/>
      <w:marTop w:val="0"/>
      <w:marBottom w:val="0"/>
      <w:divBdr>
        <w:top w:val="none" w:sz="0" w:space="0" w:color="auto"/>
        <w:left w:val="none" w:sz="0" w:space="0" w:color="auto"/>
        <w:bottom w:val="none" w:sz="0" w:space="0" w:color="auto"/>
        <w:right w:val="none" w:sz="0" w:space="0" w:color="auto"/>
      </w:divBdr>
    </w:div>
    <w:div w:id="335690288">
      <w:bodyDiv w:val="1"/>
      <w:marLeft w:val="0"/>
      <w:marRight w:val="0"/>
      <w:marTop w:val="0"/>
      <w:marBottom w:val="0"/>
      <w:divBdr>
        <w:top w:val="none" w:sz="0" w:space="0" w:color="auto"/>
        <w:left w:val="none" w:sz="0" w:space="0" w:color="auto"/>
        <w:bottom w:val="none" w:sz="0" w:space="0" w:color="auto"/>
        <w:right w:val="none" w:sz="0" w:space="0" w:color="auto"/>
      </w:divBdr>
      <w:divsChild>
        <w:div w:id="1303540671">
          <w:marLeft w:val="0"/>
          <w:marRight w:val="0"/>
          <w:marTop w:val="0"/>
          <w:marBottom w:val="0"/>
          <w:divBdr>
            <w:top w:val="none" w:sz="0" w:space="0" w:color="auto"/>
            <w:left w:val="none" w:sz="0" w:space="0" w:color="auto"/>
            <w:bottom w:val="none" w:sz="0" w:space="0" w:color="auto"/>
            <w:right w:val="none" w:sz="0" w:space="0" w:color="auto"/>
          </w:divBdr>
        </w:div>
        <w:div w:id="517810523">
          <w:marLeft w:val="0"/>
          <w:marRight w:val="0"/>
          <w:marTop w:val="0"/>
          <w:marBottom w:val="0"/>
          <w:divBdr>
            <w:top w:val="none" w:sz="0" w:space="0" w:color="auto"/>
            <w:left w:val="none" w:sz="0" w:space="0" w:color="auto"/>
            <w:bottom w:val="none" w:sz="0" w:space="0" w:color="auto"/>
            <w:right w:val="none" w:sz="0" w:space="0" w:color="auto"/>
          </w:divBdr>
        </w:div>
        <w:div w:id="421492539">
          <w:marLeft w:val="0"/>
          <w:marRight w:val="0"/>
          <w:marTop w:val="0"/>
          <w:marBottom w:val="0"/>
          <w:divBdr>
            <w:top w:val="none" w:sz="0" w:space="0" w:color="auto"/>
            <w:left w:val="none" w:sz="0" w:space="0" w:color="auto"/>
            <w:bottom w:val="none" w:sz="0" w:space="0" w:color="auto"/>
            <w:right w:val="none" w:sz="0" w:space="0" w:color="auto"/>
          </w:divBdr>
        </w:div>
        <w:div w:id="815797423">
          <w:marLeft w:val="0"/>
          <w:marRight w:val="0"/>
          <w:marTop w:val="0"/>
          <w:marBottom w:val="0"/>
          <w:divBdr>
            <w:top w:val="none" w:sz="0" w:space="0" w:color="auto"/>
            <w:left w:val="none" w:sz="0" w:space="0" w:color="auto"/>
            <w:bottom w:val="none" w:sz="0" w:space="0" w:color="auto"/>
            <w:right w:val="none" w:sz="0" w:space="0" w:color="auto"/>
          </w:divBdr>
        </w:div>
        <w:div w:id="149253118">
          <w:marLeft w:val="0"/>
          <w:marRight w:val="0"/>
          <w:marTop w:val="0"/>
          <w:marBottom w:val="0"/>
          <w:divBdr>
            <w:top w:val="none" w:sz="0" w:space="0" w:color="auto"/>
            <w:left w:val="none" w:sz="0" w:space="0" w:color="auto"/>
            <w:bottom w:val="none" w:sz="0" w:space="0" w:color="auto"/>
            <w:right w:val="none" w:sz="0" w:space="0" w:color="auto"/>
          </w:divBdr>
        </w:div>
      </w:divsChild>
    </w:div>
    <w:div w:id="537862658">
      <w:bodyDiv w:val="1"/>
      <w:marLeft w:val="0"/>
      <w:marRight w:val="0"/>
      <w:marTop w:val="0"/>
      <w:marBottom w:val="0"/>
      <w:divBdr>
        <w:top w:val="none" w:sz="0" w:space="0" w:color="auto"/>
        <w:left w:val="none" w:sz="0" w:space="0" w:color="auto"/>
        <w:bottom w:val="none" w:sz="0" w:space="0" w:color="auto"/>
        <w:right w:val="none" w:sz="0" w:space="0" w:color="auto"/>
      </w:divBdr>
    </w:div>
    <w:div w:id="900213374">
      <w:bodyDiv w:val="1"/>
      <w:marLeft w:val="0"/>
      <w:marRight w:val="0"/>
      <w:marTop w:val="0"/>
      <w:marBottom w:val="0"/>
      <w:divBdr>
        <w:top w:val="none" w:sz="0" w:space="0" w:color="auto"/>
        <w:left w:val="none" w:sz="0" w:space="0" w:color="auto"/>
        <w:bottom w:val="none" w:sz="0" w:space="0" w:color="auto"/>
        <w:right w:val="none" w:sz="0" w:space="0" w:color="auto"/>
      </w:divBdr>
    </w:div>
    <w:div w:id="1390108139">
      <w:bodyDiv w:val="1"/>
      <w:marLeft w:val="0"/>
      <w:marRight w:val="0"/>
      <w:marTop w:val="0"/>
      <w:marBottom w:val="0"/>
      <w:divBdr>
        <w:top w:val="none" w:sz="0" w:space="0" w:color="auto"/>
        <w:left w:val="none" w:sz="0" w:space="0" w:color="auto"/>
        <w:bottom w:val="none" w:sz="0" w:space="0" w:color="auto"/>
        <w:right w:val="none" w:sz="0" w:space="0" w:color="auto"/>
      </w:divBdr>
      <w:divsChild>
        <w:div w:id="1558206667">
          <w:marLeft w:val="0"/>
          <w:marRight w:val="0"/>
          <w:marTop w:val="0"/>
          <w:marBottom w:val="0"/>
          <w:divBdr>
            <w:top w:val="none" w:sz="0" w:space="0" w:color="auto"/>
            <w:left w:val="none" w:sz="0" w:space="0" w:color="auto"/>
            <w:bottom w:val="none" w:sz="0" w:space="0" w:color="auto"/>
            <w:right w:val="none" w:sz="0" w:space="0" w:color="auto"/>
          </w:divBdr>
        </w:div>
        <w:div w:id="132410818">
          <w:marLeft w:val="0"/>
          <w:marRight w:val="0"/>
          <w:marTop w:val="0"/>
          <w:marBottom w:val="0"/>
          <w:divBdr>
            <w:top w:val="none" w:sz="0" w:space="0" w:color="auto"/>
            <w:left w:val="none" w:sz="0" w:space="0" w:color="auto"/>
            <w:bottom w:val="none" w:sz="0" w:space="0" w:color="auto"/>
            <w:right w:val="none" w:sz="0" w:space="0" w:color="auto"/>
          </w:divBdr>
        </w:div>
      </w:divsChild>
    </w:div>
    <w:div w:id="1819954271">
      <w:bodyDiv w:val="1"/>
      <w:marLeft w:val="0"/>
      <w:marRight w:val="0"/>
      <w:marTop w:val="0"/>
      <w:marBottom w:val="0"/>
      <w:divBdr>
        <w:top w:val="none" w:sz="0" w:space="0" w:color="auto"/>
        <w:left w:val="none" w:sz="0" w:space="0" w:color="auto"/>
        <w:bottom w:val="none" w:sz="0" w:space="0" w:color="auto"/>
        <w:right w:val="none" w:sz="0" w:space="0" w:color="auto"/>
      </w:divBdr>
      <w:divsChild>
        <w:div w:id="1451432753">
          <w:marLeft w:val="0"/>
          <w:marRight w:val="0"/>
          <w:marTop w:val="0"/>
          <w:marBottom w:val="0"/>
          <w:divBdr>
            <w:top w:val="none" w:sz="0" w:space="0" w:color="auto"/>
            <w:left w:val="none" w:sz="0" w:space="0" w:color="auto"/>
            <w:bottom w:val="none" w:sz="0" w:space="0" w:color="auto"/>
            <w:right w:val="none" w:sz="0" w:space="0" w:color="auto"/>
          </w:divBdr>
        </w:div>
        <w:div w:id="994341375">
          <w:marLeft w:val="0"/>
          <w:marRight w:val="0"/>
          <w:marTop w:val="0"/>
          <w:marBottom w:val="0"/>
          <w:divBdr>
            <w:top w:val="none" w:sz="0" w:space="0" w:color="auto"/>
            <w:left w:val="none" w:sz="0" w:space="0" w:color="auto"/>
            <w:bottom w:val="none" w:sz="0" w:space="0" w:color="auto"/>
            <w:right w:val="none" w:sz="0" w:space="0" w:color="auto"/>
          </w:divBdr>
        </w:div>
        <w:div w:id="1608198777">
          <w:marLeft w:val="0"/>
          <w:marRight w:val="0"/>
          <w:marTop w:val="0"/>
          <w:marBottom w:val="0"/>
          <w:divBdr>
            <w:top w:val="none" w:sz="0" w:space="0" w:color="auto"/>
            <w:left w:val="none" w:sz="0" w:space="0" w:color="auto"/>
            <w:bottom w:val="none" w:sz="0" w:space="0" w:color="auto"/>
            <w:right w:val="none" w:sz="0" w:space="0" w:color="auto"/>
          </w:divBdr>
        </w:div>
      </w:divsChild>
    </w:div>
    <w:div w:id="1941789885">
      <w:bodyDiv w:val="1"/>
      <w:marLeft w:val="0"/>
      <w:marRight w:val="0"/>
      <w:marTop w:val="0"/>
      <w:marBottom w:val="0"/>
      <w:divBdr>
        <w:top w:val="none" w:sz="0" w:space="0" w:color="auto"/>
        <w:left w:val="none" w:sz="0" w:space="0" w:color="auto"/>
        <w:bottom w:val="none" w:sz="0" w:space="0" w:color="auto"/>
        <w:right w:val="none" w:sz="0" w:space="0" w:color="auto"/>
      </w:divBdr>
    </w:div>
    <w:div w:id="201399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arliament.uk/business/committees/committees-a-z/commons-select/home-affairs-committee/inquiries/parliament-2015/pro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AEB6-B5BA-4B34-87D2-FE15B4E9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7400</Words>
  <Characters>42182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49484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Graham</cp:lastModifiedBy>
  <cp:revision>2</cp:revision>
  <cp:lastPrinted>2016-09-29T11:02:00Z</cp:lastPrinted>
  <dcterms:created xsi:type="dcterms:W3CDTF">2017-01-25T16:03:00Z</dcterms:created>
  <dcterms:modified xsi:type="dcterms:W3CDTF">2017-01-25T16:03:00Z</dcterms:modified>
</cp:coreProperties>
</file>