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23" w:rsidRPr="00C35A91" w:rsidRDefault="00A51323" w:rsidP="007578D8">
      <w:pPr>
        <w:spacing w:after="0" w:line="240" w:lineRule="auto"/>
        <w:jc w:val="center"/>
        <w:rPr>
          <w:b/>
          <w:sz w:val="24"/>
          <w:szCs w:val="24"/>
        </w:rPr>
      </w:pPr>
      <w:bookmarkStart w:id="0" w:name="_GoBack"/>
      <w:bookmarkEnd w:id="0"/>
      <w:r w:rsidRPr="00C35A91">
        <w:rPr>
          <w:b/>
          <w:sz w:val="24"/>
          <w:szCs w:val="24"/>
        </w:rPr>
        <w:t>Patient safety</w:t>
      </w:r>
      <w:r w:rsidR="002A1144">
        <w:rPr>
          <w:b/>
          <w:sz w:val="24"/>
          <w:szCs w:val="24"/>
        </w:rPr>
        <w:t xml:space="preserve"> and </w:t>
      </w:r>
      <w:r w:rsidRPr="00C35A91">
        <w:rPr>
          <w:b/>
          <w:sz w:val="24"/>
          <w:szCs w:val="24"/>
        </w:rPr>
        <w:t>interprofessional education</w:t>
      </w:r>
      <w:r w:rsidR="002A1144">
        <w:rPr>
          <w:b/>
          <w:sz w:val="24"/>
          <w:szCs w:val="24"/>
        </w:rPr>
        <w:t>:</w:t>
      </w:r>
      <w:r w:rsidR="002318FD">
        <w:rPr>
          <w:b/>
          <w:sz w:val="24"/>
          <w:szCs w:val="24"/>
        </w:rPr>
        <w:t xml:space="preserve"> </w:t>
      </w:r>
      <w:r w:rsidR="002A1144">
        <w:rPr>
          <w:b/>
          <w:sz w:val="24"/>
          <w:szCs w:val="24"/>
        </w:rPr>
        <w:t>a</w:t>
      </w:r>
      <w:r w:rsidR="002318FD">
        <w:rPr>
          <w:b/>
          <w:sz w:val="24"/>
          <w:szCs w:val="24"/>
        </w:rPr>
        <w:t xml:space="preserve"> </w:t>
      </w:r>
      <w:r w:rsidR="00331DF0" w:rsidRPr="002318FD">
        <w:rPr>
          <w:b/>
          <w:color w:val="FF0000"/>
          <w:sz w:val="24"/>
          <w:szCs w:val="24"/>
        </w:rPr>
        <w:t>report</w:t>
      </w:r>
      <w:r w:rsidR="002A1144">
        <w:rPr>
          <w:b/>
          <w:sz w:val="24"/>
          <w:szCs w:val="24"/>
        </w:rPr>
        <w:t xml:space="preserve"> of key issues from two interprofessional workshops </w:t>
      </w:r>
    </w:p>
    <w:p w:rsidR="000E21C4" w:rsidRPr="00C35A91" w:rsidRDefault="000E21C4" w:rsidP="00D63F93">
      <w:pPr>
        <w:spacing w:after="0" w:line="240" w:lineRule="auto"/>
        <w:rPr>
          <w:b/>
          <w:sz w:val="24"/>
          <w:szCs w:val="24"/>
        </w:rPr>
      </w:pPr>
    </w:p>
    <w:p w:rsidR="00A51323" w:rsidRPr="00C35A91" w:rsidRDefault="00A51323" w:rsidP="00D63F93">
      <w:pPr>
        <w:spacing w:after="0" w:line="240" w:lineRule="auto"/>
        <w:rPr>
          <w:b/>
          <w:sz w:val="24"/>
          <w:szCs w:val="24"/>
        </w:rPr>
      </w:pPr>
    </w:p>
    <w:p w:rsidR="004B288A" w:rsidRPr="00C35A91" w:rsidRDefault="004B288A">
      <w:pPr>
        <w:rPr>
          <w:b/>
          <w:sz w:val="24"/>
          <w:szCs w:val="24"/>
        </w:rPr>
      </w:pPr>
      <w:r w:rsidRPr="00C35A91">
        <w:rPr>
          <w:b/>
          <w:sz w:val="24"/>
          <w:szCs w:val="24"/>
        </w:rPr>
        <w:t>Abstract</w:t>
      </w:r>
    </w:p>
    <w:p w:rsidR="00222FC1" w:rsidRPr="00C35A91" w:rsidRDefault="006E590C" w:rsidP="00C35A91">
      <w:pPr>
        <w:spacing w:after="0" w:line="240" w:lineRule="auto"/>
        <w:rPr>
          <w:sz w:val="24"/>
          <w:szCs w:val="24"/>
        </w:rPr>
      </w:pPr>
      <w:r w:rsidRPr="00C35A91">
        <w:rPr>
          <w:rFonts w:cs="Arial"/>
          <w:sz w:val="24"/>
          <w:szCs w:val="24"/>
        </w:rPr>
        <w:t xml:space="preserve">This </w:t>
      </w:r>
      <w:r w:rsidR="002A1144">
        <w:rPr>
          <w:rFonts w:cs="Arial"/>
          <w:sz w:val="24"/>
          <w:szCs w:val="24"/>
        </w:rPr>
        <w:t xml:space="preserve">paper presents the outcomes of </w:t>
      </w:r>
      <w:r w:rsidR="00557624" w:rsidRPr="00C35A91">
        <w:rPr>
          <w:sz w:val="24"/>
          <w:szCs w:val="24"/>
        </w:rPr>
        <w:t xml:space="preserve">two </w:t>
      </w:r>
      <w:r w:rsidR="00661321" w:rsidRPr="00C35A91">
        <w:rPr>
          <w:sz w:val="24"/>
          <w:szCs w:val="24"/>
        </w:rPr>
        <w:t xml:space="preserve">workshops </w:t>
      </w:r>
      <w:r w:rsidR="002A1144">
        <w:rPr>
          <w:sz w:val="24"/>
          <w:szCs w:val="24"/>
        </w:rPr>
        <w:t xml:space="preserve">which explored </w:t>
      </w:r>
      <w:r w:rsidR="00557624" w:rsidRPr="00C35A91">
        <w:rPr>
          <w:sz w:val="24"/>
          <w:szCs w:val="24"/>
        </w:rPr>
        <w:t xml:space="preserve">historical and recent issues on patient safety that directly relate to leaders in the </w:t>
      </w:r>
      <w:r w:rsidR="002A1144">
        <w:rPr>
          <w:sz w:val="24"/>
          <w:szCs w:val="24"/>
        </w:rPr>
        <w:t>interprofessional</w:t>
      </w:r>
      <w:r w:rsidR="002C0FEE">
        <w:rPr>
          <w:sz w:val="24"/>
          <w:szCs w:val="24"/>
        </w:rPr>
        <w:t xml:space="preserve"> </w:t>
      </w:r>
      <w:r w:rsidR="00557624" w:rsidRPr="00C35A91">
        <w:rPr>
          <w:sz w:val="24"/>
          <w:szCs w:val="24"/>
        </w:rPr>
        <w:t xml:space="preserve">field. The </w:t>
      </w:r>
      <w:r w:rsidR="002A1144">
        <w:rPr>
          <w:sz w:val="24"/>
          <w:szCs w:val="24"/>
        </w:rPr>
        <w:t xml:space="preserve">paper </w:t>
      </w:r>
      <w:r w:rsidR="00557624" w:rsidRPr="00C35A91">
        <w:rPr>
          <w:sz w:val="24"/>
          <w:szCs w:val="24"/>
        </w:rPr>
        <w:t>consider</w:t>
      </w:r>
      <w:r w:rsidR="002A1144">
        <w:rPr>
          <w:sz w:val="24"/>
          <w:szCs w:val="24"/>
        </w:rPr>
        <w:t>s</w:t>
      </w:r>
      <w:r w:rsidR="00557624" w:rsidRPr="00C35A91">
        <w:rPr>
          <w:sz w:val="24"/>
          <w:szCs w:val="24"/>
        </w:rPr>
        <w:t xml:space="preserve"> the impact of flattened team-based structures where collaborative working constantly considers safe patient-centred high quality care.  The</w:t>
      </w:r>
      <w:r w:rsidR="002A1144">
        <w:rPr>
          <w:sz w:val="24"/>
          <w:szCs w:val="24"/>
        </w:rPr>
        <w:t>se</w:t>
      </w:r>
      <w:r w:rsidR="002C0FEE">
        <w:rPr>
          <w:sz w:val="24"/>
          <w:szCs w:val="24"/>
        </w:rPr>
        <w:t xml:space="preserve"> </w:t>
      </w:r>
      <w:r w:rsidR="002A1144">
        <w:rPr>
          <w:sz w:val="24"/>
          <w:szCs w:val="24"/>
        </w:rPr>
        <w:t>issues</w:t>
      </w:r>
      <w:r w:rsidR="00557624" w:rsidRPr="00C35A91">
        <w:rPr>
          <w:sz w:val="24"/>
          <w:szCs w:val="24"/>
        </w:rPr>
        <w:t xml:space="preserve">are mainly rooted in changes within </w:t>
      </w:r>
      <w:r w:rsidR="00C35A91" w:rsidRPr="00C35A91">
        <w:rPr>
          <w:sz w:val="24"/>
          <w:szCs w:val="24"/>
        </w:rPr>
        <w:t xml:space="preserve">a </w:t>
      </w:r>
      <w:r w:rsidR="00222FC1" w:rsidRPr="00C35A91">
        <w:rPr>
          <w:sz w:val="24"/>
          <w:szCs w:val="24"/>
        </w:rPr>
        <w:t>U</w:t>
      </w:r>
      <w:r w:rsidR="00C35A91" w:rsidRPr="00C35A91">
        <w:rPr>
          <w:sz w:val="24"/>
          <w:szCs w:val="24"/>
        </w:rPr>
        <w:t xml:space="preserve">nited </w:t>
      </w:r>
      <w:r w:rsidR="00222FC1" w:rsidRPr="00C35A91">
        <w:rPr>
          <w:sz w:val="24"/>
          <w:szCs w:val="24"/>
        </w:rPr>
        <w:t>K</w:t>
      </w:r>
      <w:r w:rsidR="00C35A91" w:rsidRPr="00C35A91">
        <w:rPr>
          <w:sz w:val="24"/>
          <w:szCs w:val="24"/>
        </w:rPr>
        <w:t>ingdom</w:t>
      </w:r>
      <w:r w:rsidR="00222FC1" w:rsidRPr="00C35A91">
        <w:rPr>
          <w:sz w:val="24"/>
          <w:szCs w:val="24"/>
        </w:rPr>
        <w:t xml:space="preserve"> context but the historical case studies present situations which could enlighten and enliven discussions of patient safety in an international context</w:t>
      </w:r>
      <w:r w:rsidR="00557624" w:rsidRPr="00C35A91">
        <w:rPr>
          <w:sz w:val="24"/>
          <w:szCs w:val="24"/>
        </w:rPr>
        <w:t xml:space="preserve">. The paper was sparked by </w:t>
      </w:r>
      <w:r w:rsidR="00557624" w:rsidRPr="00F44F82">
        <w:rPr>
          <w:sz w:val="24"/>
          <w:szCs w:val="24"/>
        </w:rPr>
        <w:t>discussion</w:t>
      </w:r>
      <w:r w:rsidR="00557624" w:rsidRPr="00C35A91">
        <w:rPr>
          <w:sz w:val="24"/>
          <w:szCs w:val="24"/>
        </w:rPr>
        <w:t xml:space="preserve"> of recurrent themes in healthcare that have undermined the abilities of medical practitioners to adequately manage hazard in clinical care settings</w:t>
      </w:r>
      <w:r w:rsidR="00222FC1" w:rsidRPr="00C35A91">
        <w:rPr>
          <w:sz w:val="24"/>
          <w:szCs w:val="24"/>
        </w:rPr>
        <w:t xml:space="preserve"> throughout modern history</w:t>
      </w:r>
      <w:r w:rsidR="00557624" w:rsidRPr="00C35A91">
        <w:rPr>
          <w:sz w:val="24"/>
          <w:szCs w:val="24"/>
        </w:rPr>
        <w:t xml:space="preserve">.  </w:t>
      </w:r>
      <w:r w:rsidR="002A1144">
        <w:rPr>
          <w:sz w:val="24"/>
          <w:szCs w:val="24"/>
        </w:rPr>
        <w:t xml:space="preserve">Examining </w:t>
      </w:r>
      <w:r w:rsidR="00557624" w:rsidRPr="00C35A91">
        <w:rPr>
          <w:sz w:val="24"/>
          <w:szCs w:val="24"/>
        </w:rPr>
        <w:t>the issues that confront healthcare practitioners and care workers in their dealings with patients and clients, such as the aged or the severely disabled, can reveal commonalities across global healthcare settings</w:t>
      </w:r>
      <w:r w:rsidR="0005179E" w:rsidRPr="00C35A91">
        <w:rPr>
          <w:sz w:val="24"/>
          <w:szCs w:val="24"/>
        </w:rPr>
        <w:t>,</w:t>
      </w:r>
      <w:r w:rsidR="00557624" w:rsidRPr="00C35A91">
        <w:rPr>
          <w:sz w:val="24"/>
          <w:szCs w:val="24"/>
        </w:rPr>
        <w:t xml:space="preserve"> in the past and present</w:t>
      </w:r>
      <w:r w:rsidR="0005179E" w:rsidRPr="00C35A91">
        <w:rPr>
          <w:sz w:val="24"/>
          <w:szCs w:val="24"/>
        </w:rPr>
        <w:t>,</w:t>
      </w:r>
      <w:r w:rsidR="00557624" w:rsidRPr="00C35A91">
        <w:rPr>
          <w:sz w:val="24"/>
          <w:szCs w:val="24"/>
        </w:rPr>
        <w:t xml:space="preserve"> that provide a useful tool in facilitating the goals of </w:t>
      </w:r>
      <w:r w:rsidR="002A1144">
        <w:rPr>
          <w:sz w:val="24"/>
          <w:szCs w:val="24"/>
        </w:rPr>
        <w:t>interprofessional education (IPE)</w:t>
      </w:r>
      <w:r w:rsidR="00557624" w:rsidRPr="00C35A91">
        <w:rPr>
          <w:sz w:val="24"/>
          <w:szCs w:val="24"/>
        </w:rPr>
        <w:t xml:space="preserve">. </w:t>
      </w:r>
      <w:r w:rsidR="00582898" w:rsidRPr="00C35A91">
        <w:rPr>
          <w:sz w:val="24"/>
          <w:szCs w:val="24"/>
        </w:rPr>
        <w:t xml:space="preserve"> The potential of </w:t>
      </w:r>
      <w:r w:rsidR="002A1144">
        <w:rPr>
          <w:sz w:val="24"/>
          <w:szCs w:val="24"/>
        </w:rPr>
        <w:t xml:space="preserve">IPE </w:t>
      </w:r>
      <w:r w:rsidR="00582898" w:rsidRPr="00C35A91">
        <w:rPr>
          <w:sz w:val="24"/>
          <w:szCs w:val="24"/>
        </w:rPr>
        <w:t>has links to both how professionals respond to</w:t>
      </w:r>
      <w:r w:rsidR="00AD4722" w:rsidRPr="00C35A91">
        <w:rPr>
          <w:sz w:val="24"/>
          <w:szCs w:val="24"/>
        </w:rPr>
        <w:t>gether to</w:t>
      </w:r>
      <w:r w:rsidR="00582898" w:rsidRPr="00C35A91">
        <w:rPr>
          <w:sz w:val="24"/>
          <w:szCs w:val="24"/>
        </w:rPr>
        <w:t xml:space="preserve"> care situations and involve the general public in shared health understandings</w:t>
      </w:r>
      <w:r w:rsidR="00222FC1" w:rsidRPr="00C35A91">
        <w:rPr>
          <w:sz w:val="24"/>
          <w:szCs w:val="24"/>
        </w:rPr>
        <w:t xml:space="preserve">. </w:t>
      </w:r>
      <w:r w:rsidR="002F592E" w:rsidRPr="00C35A91">
        <w:rPr>
          <w:rFonts w:cs="Arial"/>
          <w:sz w:val="24"/>
          <w:szCs w:val="24"/>
        </w:rPr>
        <w:t xml:space="preserve">The outcomes focus on how to ensure ministrations where optimal team-based </w:t>
      </w:r>
      <w:r w:rsidR="00AD4722" w:rsidRPr="00C35A91">
        <w:rPr>
          <w:rFonts w:cs="Arial"/>
          <w:sz w:val="24"/>
          <w:szCs w:val="24"/>
        </w:rPr>
        <w:t xml:space="preserve">collaborative </w:t>
      </w:r>
      <w:r w:rsidR="002F592E" w:rsidRPr="00C35A91">
        <w:rPr>
          <w:rFonts w:cs="Arial"/>
          <w:sz w:val="24"/>
          <w:szCs w:val="24"/>
        </w:rPr>
        <w:t xml:space="preserve">care is recognised and constantly sought. </w:t>
      </w:r>
      <w:r w:rsidR="00222FC1" w:rsidRPr="00C35A91">
        <w:rPr>
          <w:rFonts w:cs="Arial"/>
          <w:sz w:val="24"/>
          <w:szCs w:val="24"/>
        </w:rPr>
        <w:t xml:space="preserve">We conclude that </w:t>
      </w:r>
      <w:r w:rsidR="00621C94">
        <w:rPr>
          <w:rFonts w:cs="Arial"/>
          <w:sz w:val="24"/>
          <w:szCs w:val="24"/>
        </w:rPr>
        <w:t xml:space="preserve">IPE </w:t>
      </w:r>
      <w:r w:rsidR="00222FC1" w:rsidRPr="00C35A91">
        <w:rPr>
          <w:rFonts w:cs="Arial"/>
          <w:sz w:val="24"/>
          <w:szCs w:val="24"/>
        </w:rPr>
        <w:t xml:space="preserve">has much to offer in this arena and more evidence of impact here is well worth pursuing. </w:t>
      </w:r>
    </w:p>
    <w:p w:rsidR="00582898" w:rsidRPr="00C35A91" w:rsidRDefault="00582898" w:rsidP="00DD2572">
      <w:pPr>
        <w:spacing w:after="0" w:line="240" w:lineRule="auto"/>
        <w:rPr>
          <w:sz w:val="24"/>
          <w:szCs w:val="24"/>
        </w:rPr>
      </w:pPr>
    </w:p>
    <w:p w:rsidR="00582898" w:rsidRPr="00C35A91" w:rsidRDefault="00582898" w:rsidP="00557624">
      <w:pPr>
        <w:spacing w:after="0" w:line="360" w:lineRule="auto"/>
        <w:rPr>
          <w:sz w:val="24"/>
          <w:szCs w:val="24"/>
        </w:rPr>
      </w:pPr>
    </w:p>
    <w:p w:rsidR="00D63F93" w:rsidRPr="00C35A91" w:rsidRDefault="004B288A" w:rsidP="00D63F93">
      <w:pPr>
        <w:rPr>
          <w:sz w:val="24"/>
          <w:szCs w:val="24"/>
        </w:rPr>
      </w:pPr>
      <w:r w:rsidRPr="00C35A91">
        <w:rPr>
          <w:b/>
          <w:sz w:val="24"/>
          <w:szCs w:val="24"/>
        </w:rPr>
        <w:t xml:space="preserve">Introduction </w:t>
      </w:r>
    </w:p>
    <w:p w:rsidR="00494456" w:rsidRPr="00C35A91" w:rsidRDefault="00D63F93" w:rsidP="000A016D">
      <w:pPr>
        <w:spacing w:after="0" w:line="360" w:lineRule="auto"/>
        <w:rPr>
          <w:sz w:val="24"/>
          <w:szCs w:val="24"/>
        </w:rPr>
      </w:pPr>
      <w:r w:rsidRPr="00C35A91">
        <w:rPr>
          <w:sz w:val="24"/>
          <w:szCs w:val="24"/>
        </w:rPr>
        <w:t>Every day vulnerable people seek help and support from health and social care practitioners</w:t>
      </w:r>
      <w:r w:rsidR="006B420F" w:rsidRPr="00C35A91">
        <w:rPr>
          <w:sz w:val="24"/>
          <w:szCs w:val="24"/>
        </w:rPr>
        <w:t xml:space="preserve">. </w:t>
      </w:r>
      <w:r w:rsidR="00591611" w:rsidRPr="00C35A91">
        <w:rPr>
          <w:sz w:val="24"/>
          <w:szCs w:val="24"/>
        </w:rPr>
        <w:t>Throughout much of the twentieth century, t</w:t>
      </w:r>
      <w:r w:rsidR="00547C49" w:rsidRPr="00C35A91">
        <w:rPr>
          <w:sz w:val="24"/>
          <w:szCs w:val="24"/>
        </w:rPr>
        <w:t xml:space="preserve">he actions of doctors, nurses and the range of </w:t>
      </w:r>
      <w:r w:rsidR="00621C94">
        <w:rPr>
          <w:sz w:val="24"/>
          <w:szCs w:val="24"/>
        </w:rPr>
        <w:t xml:space="preserve">other </w:t>
      </w:r>
      <w:r w:rsidR="00547C49" w:rsidRPr="00C35A91">
        <w:rPr>
          <w:sz w:val="24"/>
          <w:szCs w:val="24"/>
        </w:rPr>
        <w:t xml:space="preserve">professionals </w:t>
      </w:r>
      <w:r w:rsidR="00A7086F" w:rsidRPr="00C35A91">
        <w:rPr>
          <w:sz w:val="24"/>
          <w:szCs w:val="24"/>
        </w:rPr>
        <w:t>for the most part was</w:t>
      </w:r>
      <w:r w:rsidR="00430E24">
        <w:rPr>
          <w:sz w:val="24"/>
          <w:szCs w:val="24"/>
        </w:rPr>
        <w:t xml:space="preserve"> </w:t>
      </w:r>
      <w:r w:rsidR="008E7CC1" w:rsidRPr="00C35A91">
        <w:rPr>
          <w:sz w:val="24"/>
          <w:szCs w:val="24"/>
        </w:rPr>
        <w:t>un</w:t>
      </w:r>
      <w:r w:rsidR="00021734" w:rsidRPr="00C35A91">
        <w:rPr>
          <w:sz w:val="24"/>
          <w:szCs w:val="24"/>
        </w:rPr>
        <w:t xml:space="preserve">challenged throughout Europe and </w:t>
      </w:r>
      <w:r w:rsidR="000F652C" w:rsidRPr="00C35A91">
        <w:rPr>
          <w:sz w:val="24"/>
          <w:szCs w:val="24"/>
        </w:rPr>
        <w:t xml:space="preserve">especially in the </w:t>
      </w:r>
      <w:r w:rsidR="00C35A91" w:rsidRPr="00C35A91">
        <w:rPr>
          <w:sz w:val="24"/>
          <w:szCs w:val="24"/>
        </w:rPr>
        <w:t>United Kingdom (</w:t>
      </w:r>
      <w:r w:rsidR="000F652C" w:rsidRPr="00C35A91">
        <w:rPr>
          <w:sz w:val="24"/>
          <w:szCs w:val="24"/>
        </w:rPr>
        <w:t>UK</w:t>
      </w:r>
      <w:r w:rsidR="00C35A91" w:rsidRPr="00C35A91">
        <w:rPr>
          <w:sz w:val="24"/>
          <w:szCs w:val="24"/>
        </w:rPr>
        <w:t>)</w:t>
      </w:r>
      <w:r w:rsidR="000F652C" w:rsidRPr="00C35A91">
        <w:rPr>
          <w:sz w:val="24"/>
          <w:szCs w:val="24"/>
        </w:rPr>
        <w:t>.  L</w:t>
      </w:r>
      <w:r w:rsidR="00591611" w:rsidRPr="00C35A91">
        <w:rPr>
          <w:sz w:val="24"/>
          <w:szCs w:val="24"/>
        </w:rPr>
        <w:t>egislative and legal framework</w:t>
      </w:r>
      <w:r w:rsidR="00021734" w:rsidRPr="00C35A91">
        <w:rPr>
          <w:sz w:val="24"/>
          <w:szCs w:val="24"/>
        </w:rPr>
        <w:t>s</w:t>
      </w:r>
      <w:r w:rsidR="00591611" w:rsidRPr="00C35A91">
        <w:rPr>
          <w:sz w:val="24"/>
          <w:szCs w:val="24"/>
        </w:rPr>
        <w:t xml:space="preserve"> for </w:t>
      </w:r>
      <w:r w:rsidR="00021734" w:rsidRPr="00C35A91">
        <w:rPr>
          <w:sz w:val="24"/>
          <w:szCs w:val="24"/>
        </w:rPr>
        <w:t>dealing with</w:t>
      </w:r>
      <w:r w:rsidR="00591611" w:rsidRPr="00C35A91">
        <w:rPr>
          <w:sz w:val="24"/>
          <w:szCs w:val="24"/>
        </w:rPr>
        <w:t xml:space="preserve"> patient complaints, and the </w:t>
      </w:r>
      <w:r w:rsidR="00547C49" w:rsidRPr="00C35A91">
        <w:rPr>
          <w:sz w:val="24"/>
          <w:szCs w:val="24"/>
        </w:rPr>
        <w:t xml:space="preserve">paternal role of medicine </w:t>
      </w:r>
      <w:r w:rsidR="00591611" w:rsidRPr="00C35A91">
        <w:rPr>
          <w:sz w:val="24"/>
          <w:szCs w:val="24"/>
        </w:rPr>
        <w:t xml:space="preserve">have </w:t>
      </w:r>
      <w:r w:rsidR="00547C49" w:rsidRPr="00C35A91">
        <w:rPr>
          <w:sz w:val="24"/>
          <w:szCs w:val="24"/>
        </w:rPr>
        <w:t xml:space="preserve">meant that much of the interventions and pursuits of </w:t>
      </w:r>
      <w:r w:rsidR="008E7CC1" w:rsidRPr="00C35A91">
        <w:rPr>
          <w:sz w:val="24"/>
          <w:szCs w:val="24"/>
        </w:rPr>
        <w:t>doctors w</w:t>
      </w:r>
      <w:r w:rsidR="00591611" w:rsidRPr="00C35A91">
        <w:rPr>
          <w:sz w:val="24"/>
          <w:szCs w:val="24"/>
        </w:rPr>
        <w:t>ere</w:t>
      </w:r>
      <w:r w:rsidR="00547C49" w:rsidRPr="00C35A91">
        <w:rPr>
          <w:sz w:val="24"/>
          <w:szCs w:val="24"/>
        </w:rPr>
        <w:t xml:space="preserve"> uncontested </w:t>
      </w:r>
      <w:r w:rsidR="00591611" w:rsidRPr="00C35A91">
        <w:rPr>
          <w:sz w:val="24"/>
          <w:szCs w:val="24"/>
        </w:rPr>
        <w:t>in both administrative and legal arenas</w:t>
      </w:r>
      <w:r w:rsidR="00DF0165" w:rsidRPr="00C35A91">
        <w:rPr>
          <w:sz w:val="24"/>
          <w:szCs w:val="24"/>
        </w:rPr>
        <w:t>(</w:t>
      </w:r>
      <w:r w:rsidR="00021734" w:rsidRPr="00C35A91">
        <w:rPr>
          <w:sz w:val="24"/>
          <w:szCs w:val="24"/>
        </w:rPr>
        <w:t>Merry, McCall Smith, 2001;</w:t>
      </w:r>
      <w:r w:rsidR="00DF0165" w:rsidRPr="00C35A91">
        <w:rPr>
          <w:sz w:val="24"/>
          <w:szCs w:val="24"/>
        </w:rPr>
        <w:t xml:space="preserve">Anderson &amp; Lennox, </w:t>
      </w:r>
      <w:r w:rsidR="004C77AD" w:rsidRPr="00C35A91">
        <w:rPr>
          <w:sz w:val="24"/>
          <w:szCs w:val="24"/>
        </w:rPr>
        <w:t>2013; Mulcahy, 2003; Price</w:t>
      </w:r>
      <w:r w:rsidR="00021734" w:rsidRPr="00C35A91">
        <w:rPr>
          <w:sz w:val="24"/>
          <w:szCs w:val="24"/>
        </w:rPr>
        <w:t>, 2015</w:t>
      </w:r>
      <w:r w:rsidR="00772D0A">
        <w:rPr>
          <w:sz w:val="24"/>
          <w:szCs w:val="24"/>
        </w:rPr>
        <w:t>)</w:t>
      </w:r>
      <w:r w:rsidR="00547C49" w:rsidRPr="00C35A91">
        <w:rPr>
          <w:sz w:val="24"/>
          <w:szCs w:val="24"/>
        </w:rPr>
        <w:t>.</w:t>
      </w:r>
      <w:r w:rsidR="00591611" w:rsidRPr="00C35A91">
        <w:rPr>
          <w:sz w:val="24"/>
          <w:szCs w:val="24"/>
        </w:rPr>
        <w:t xml:space="preserve"> Nonetheless, the lack of </w:t>
      </w:r>
      <w:r w:rsidR="003C5850" w:rsidRPr="00C35A91">
        <w:rPr>
          <w:sz w:val="24"/>
          <w:szCs w:val="24"/>
        </w:rPr>
        <w:t>transparency in</w:t>
      </w:r>
      <w:r w:rsidR="00591611" w:rsidRPr="00C35A91">
        <w:rPr>
          <w:sz w:val="24"/>
          <w:szCs w:val="24"/>
        </w:rPr>
        <w:t xml:space="preserve"> culpability, concomitant </w:t>
      </w:r>
      <w:r w:rsidR="00A7086F" w:rsidRPr="00C35A91">
        <w:rPr>
          <w:sz w:val="24"/>
          <w:szCs w:val="24"/>
        </w:rPr>
        <w:t>with</w:t>
      </w:r>
      <w:r w:rsidR="002C0FEE">
        <w:rPr>
          <w:sz w:val="24"/>
          <w:szCs w:val="24"/>
        </w:rPr>
        <w:t xml:space="preserve"> </w:t>
      </w:r>
      <w:r w:rsidR="0049591F" w:rsidRPr="00C35A91">
        <w:rPr>
          <w:sz w:val="24"/>
          <w:szCs w:val="24"/>
        </w:rPr>
        <w:t>a</w:t>
      </w:r>
      <w:r w:rsidR="002C0FEE">
        <w:rPr>
          <w:sz w:val="24"/>
          <w:szCs w:val="24"/>
        </w:rPr>
        <w:t xml:space="preserve"> </w:t>
      </w:r>
      <w:r w:rsidR="00591611" w:rsidRPr="00C35A91">
        <w:rPr>
          <w:sz w:val="24"/>
          <w:szCs w:val="24"/>
        </w:rPr>
        <w:t xml:space="preserve">repressed patient </w:t>
      </w:r>
      <w:r w:rsidR="00021734" w:rsidRPr="00C35A91">
        <w:rPr>
          <w:sz w:val="24"/>
          <w:szCs w:val="24"/>
        </w:rPr>
        <w:t>voice</w:t>
      </w:r>
      <w:r w:rsidR="00A7086F" w:rsidRPr="00C35A91">
        <w:rPr>
          <w:sz w:val="24"/>
          <w:szCs w:val="24"/>
        </w:rPr>
        <w:t xml:space="preserve"> in</w:t>
      </w:r>
      <w:r w:rsidR="00591611" w:rsidRPr="00C35A91">
        <w:rPr>
          <w:sz w:val="24"/>
          <w:szCs w:val="24"/>
        </w:rPr>
        <w:t xml:space="preserve"> complaining about substandard care, has led to an over-reliance on public and political ‘scandal’ to investigate and hold to account </w:t>
      </w:r>
      <w:r w:rsidR="007555F2" w:rsidRPr="00C35A91">
        <w:rPr>
          <w:sz w:val="24"/>
          <w:szCs w:val="24"/>
        </w:rPr>
        <w:t xml:space="preserve">substandard </w:t>
      </w:r>
      <w:r w:rsidR="00591611" w:rsidRPr="00C35A91">
        <w:rPr>
          <w:sz w:val="24"/>
          <w:szCs w:val="24"/>
        </w:rPr>
        <w:t xml:space="preserve">clinical care settings. </w:t>
      </w:r>
      <w:r w:rsidR="00582898" w:rsidRPr="00C35A91">
        <w:rPr>
          <w:sz w:val="24"/>
          <w:szCs w:val="24"/>
        </w:rPr>
        <w:t xml:space="preserve"> W</w:t>
      </w:r>
      <w:r w:rsidR="00306C48" w:rsidRPr="00C35A91">
        <w:rPr>
          <w:sz w:val="24"/>
          <w:szCs w:val="24"/>
        </w:rPr>
        <w:t>e reflect on the current position for interprofessional education (</w:t>
      </w:r>
      <w:r w:rsidR="00A7086F" w:rsidRPr="00C35A91">
        <w:rPr>
          <w:sz w:val="24"/>
          <w:szCs w:val="24"/>
        </w:rPr>
        <w:t>IPE</w:t>
      </w:r>
      <w:r w:rsidR="00306C48" w:rsidRPr="00C35A91">
        <w:rPr>
          <w:sz w:val="24"/>
          <w:szCs w:val="24"/>
        </w:rPr>
        <w:t>) considering the lessons from history both over the last century and recently. We consider how IPE might</w:t>
      </w:r>
      <w:r w:rsidR="00A7086F" w:rsidRPr="00C35A91">
        <w:rPr>
          <w:sz w:val="24"/>
          <w:szCs w:val="24"/>
        </w:rPr>
        <w:t xml:space="preserve"> be instrumental in facilitating the groundswell of change that some observers claim is needed </w:t>
      </w:r>
      <w:r w:rsidR="00A7086F" w:rsidRPr="00C35A91">
        <w:rPr>
          <w:sz w:val="24"/>
          <w:szCs w:val="24"/>
        </w:rPr>
        <w:lastRenderedPageBreak/>
        <w:t xml:space="preserve">to counter </w:t>
      </w:r>
      <w:r w:rsidR="00F949AF" w:rsidRPr="00C35A91">
        <w:rPr>
          <w:sz w:val="24"/>
          <w:szCs w:val="24"/>
        </w:rPr>
        <w:t xml:space="preserve">a rising tide of litigation and complaints of </w:t>
      </w:r>
      <w:r w:rsidR="00504A02" w:rsidRPr="00C35A91">
        <w:rPr>
          <w:sz w:val="24"/>
          <w:szCs w:val="24"/>
        </w:rPr>
        <w:t xml:space="preserve">negligence </w:t>
      </w:r>
      <w:r w:rsidR="0049591F" w:rsidRPr="00C35A91">
        <w:rPr>
          <w:sz w:val="24"/>
          <w:szCs w:val="24"/>
        </w:rPr>
        <w:t xml:space="preserve">and to ensure working cultures where candour prevails </w:t>
      </w:r>
      <w:r w:rsidR="003C5850" w:rsidRPr="00C35A91">
        <w:rPr>
          <w:sz w:val="24"/>
          <w:szCs w:val="24"/>
        </w:rPr>
        <w:t>(Brazier</w:t>
      </w:r>
      <w:r w:rsidR="002C0FEE">
        <w:rPr>
          <w:sz w:val="24"/>
          <w:szCs w:val="24"/>
        </w:rPr>
        <w:t xml:space="preserve"> </w:t>
      </w:r>
      <w:r w:rsidR="00B63C15" w:rsidRPr="00C35A91">
        <w:rPr>
          <w:sz w:val="24"/>
          <w:szCs w:val="24"/>
        </w:rPr>
        <w:t>&amp;</w:t>
      </w:r>
      <w:r w:rsidR="002C0FEE">
        <w:rPr>
          <w:sz w:val="24"/>
          <w:szCs w:val="24"/>
        </w:rPr>
        <w:t xml:space="preserve"> </w:t>
      </w:r>
      <w:r w:rsidR="003C5850" w:rsidRPr="00C35A91">
        <w:rPr>
          <w:sz w:val="24"/>
          <w:szCs w:val="24"/>
        </w:rPr>
        <w:t>Miola, 2000</w:t>
      </w:r>
      <w:r w:rsidR="0049591F" w:rsidRPr="00C35A91">
        <w:rPr>
          <w:sz w:val="24"/>
          <w:szCs w:val="24"/>
        </w:rPr>
        <w:t>;</w:t>
      </w:r>
      <w:r w:rsidR="004A659A" w:rsidRPr="00C35A91">
        <w:rPr>
          <w:sz w:val="24"/>
          <w:szCs w:val="24"/>
        </w:rPr>
        <w:t xml:space="preserve"> Francis</w:t>
      </w:r>
      <w:r w:rsidR="00F949AF" w:rsidRPr="00C35A91">
        <w:rPr>
          <w:sz w:val="24"/>
          <w:szCs w:val="24"/>
        </w:rPr>
        <w:t>, 2013; Reeves, Ross &amp; Harris, 2014</w:t>
      </w:r>
      <w:r w:rsidR="004A659A" w:rsidRPr="00C35A91">
        <w:rPr>
          <w:sz w:val="24"/>
          <w:szCs w:val="24"/>
        </w:rPr>
        <w:t xml:space="preserve">). </w:t>
      </w:r>
      <w:r w:rsidR="00504A02" w:rsidRPr="00C35A91">
        <w:rPr>
          <w:sz w:val="24"/>
          <w:szCs w:val="24"/>
        </w:rPr>
        <w:t xml:space="preserve">Such </w:t>
      </w:r>
      <w:r w:rsidR="005407D9" w:rsidRPr="00C35A91">
        <w:rPr>
          <w:sz w:val="24"/>
          <w:szCs w:val="24"/>
        </w:rPr>
        <w:t>penetrative</w:t>
      </w:r>
      <w:r w:rsidR="00504A02" w:rsidRPr="00C35A91">
        <w:rPr>
          <w:sz w:val="24"/>
          <w:szCs w:val="24"/>
        </w:rPr>
        <w:t xml:space="preserve"> institutional reform has already occurred in the aviation industry </w:t>
      </w:r>
      <w:r w:rsidR="00494456" w:rsidRPr="00C35A91">
        <w:rPr>
          <w:sz w:val="24"/>
          <w:szCs w:val="24"/>
        </w:rPr>
        <w:t>reaping long-term measurable improvements in safety (</w:t>
      </w:r>
      <w:r w:rsidR="009A585A" w:rsidRPr="00C35A91">
        <w:rPr>
          <w:sz w:val="24"/>
          <w:szCs w:val="24"/>
        </w:rPr>
        <w:t xml:space="preserve">Bennett, 2015). </w:t>
      </w:r>
      <w:r w:rsidR="00494456" w:rsidRPr="00C35A91">
        <w:rPr>
          <w:sz w:val="24"/>
          <w:szCs w:val="24"/>
        </w:rPr>
        <w:t>A</w:t>
      </w:r>
      <w:r w:rsidR="00504A02" w:rsidRPr="00C35A91">
        <w:rPr>
          <w:sz w:val="24"/>
          <w:szCs w:val="24"/>
        </w:rPr>
        <w:t xml:space="preserve"> lack of progress in dealing with hazard</w:t>
      </w:r>
      <w:r w:rsidR="00494456" w:rsidRPr="00C35A91">
        <w:rPr>
          <w:sz w:val="24"/>
          <w:szCs w:val="24"/>
        </w:rPr>
        <w:t>s in</w:t>
      </w:r>
      <w:r w:rsidR="00504A02" w:rsidRPr="00C35A91">
        <w:rPr>
          <w:sz w:val="24"/>
          <w:szCs w:val="24"/>
        </w:rPr>
        <w:t xml:space="preserve"> medical setting</w:t>
      </w:r>
      <w:r w:rsidR="005407D9" w:rsidRPr="00C35A91">
        <w:rPr>
          <w:sz w:val="24"/>
          <w:szCs w:val="24"/>
        </w:rPr>
        <w:t>s</w:t>
      </w:r>
      <w:r w:rsidR="00494456" w:rsidRPr="00C35A91">
        <w:rPr>
          <w:sz w:val="24"/>
          <w:szCs w:val="24"/>
        </w:rPr>
        <w:t xml:space="preserve"> suggests that legislation may not be the most effective tool for change</w:t>
      </w:r>
      <w:r w:rsidR="005407D9" w:rsidRPr="00C35A91">
        <w:rPr>
          <w:sz w:val="24"/>
          <w:szCs w:val="24"/>
        </w:rPr>
        <w:t>s in day-to-day working practices</w:t>
      </w:r>
      <w:r w:rsidR="00494456" w:rsidRPr="00C35A91">
        <w:rPr>
          <w:sz w:val="24"/>
          <w:szCs w:val="24"/>
        </w:rPr>
        <w:t>.</w:t>
      </w:r>
      <w:r w:rsidR="005407D9" w:rsidRPr="00C35A91">
        <w:rPr>
          <w:sz w:val="24"/>
          <w:szCs w:val="24"/>
        </w:rPr>
        <w:t xml:space="preserve"> Historically, there has been frequent legislative</w:t>
      </w:r>
      <w:r w:rsidR="00494456" w:rsidRPr="00C35A91">
        <w:rPr>
          <w:sz w:val="24"/>
          <w:szCs w:val="24"/>
        </w:rPr>
        <w:t xml:space="preserve"> action</w:t>
      </w:r>
      <w:r w:rsidR="005407D9" w:rsidRPr="00C35A91">
        <w:rPr>
          <w:sz w:val="24"/>
          <w:szCs w:val="24"/>
        </w:rPr>
        <w:t xml:space="preserve"> as a reaction to</w:t>
      </w:r>
      <w:r w:rsidR="00494456" w:rsidRPr="00C35A91">
        <w:rPr>
          <w:sz w:val="24"/>
          <w:szCs w:val="24"/>
        </w:rPr>
        <w:t xml:space="preserve"> high-profile scandals</w:t>
      </w:r>
      <w:r w:rsidR="005407D9" w:rsidRPr="00C35A91">
        <w:rPr>
          <w:sz w:val="24"/>
          <w:szCs w:val="24"/>
        </w:rPr>
        <w:t xml:space="preserve"> in patient neglect</w:t>
      </w:r>
      <w:r w:rsidR="00494456" w:rsidRPr="00C35A91">
        <w:rPr>
          <w:sz w:val="24"/>
          <w:szCs w:val="24"/>
        </w:rPr>
        <w:t xml:space="preserve">, but with a </w:t>
      </w:r>
      <w:r w:rsidR="005407D9" w:rsidRPr="00C35A91">
        <w:rPr>
          <w:sz w:val="24"/>
          <w:szCs w:val="24"/>
        </w:rPr>
        <w:t>mixed bag of results internationally.</w:t>
      </w:r>
      <w:r w:rsidR="003C5850" w:rsidRPr="00C35A91">
        <w:rPr>
          <w:sz w:val="24"/>
          <w:szCs w:val="24"/>
        </w:rPr>
        <w:t xml:space="preserve"> Our workshops therefore sought to tie together developments in patient safety and IPE within a missing historical context. </w:t>
      </w:r>
    </w:p>
    <w:p w:rsidR="00504A02" w:rsidRPr="00C35A91" w:rsidRDefault="00504A02" w:rsidP="000A016D">
      <w:pPr>
        <w:spacing w:after="0" w:line="360" w:lineRule="auto"/>
        <w:rPr>
          <w:sz w:val="24"/>
          <w:szCs w:val="24"/>
        </w:rPr>
      </w:pPr>
    </w:p>
    <w:p w:rsidR="003C5850" w:rsidRPr="00C35A91" w:rsidRDefault="003C5850" w:rsidP="000A016D">
      <w:pPr>
        <w:spacing w:after="0" w:line="360" w:lineRule="auto"/>
        <w:rPr>
          <w:b/>
          <w:sz w:val="24"/>
          <w:szCs w:val="24"/>
        </w:rPr>
      </w:pPr>
      <w:r w:rsidRPr="00C35A91">
        <w:rPr>
          <w:b/>
          <w:sz w:val="24"/>
          <w:szCs w:val="24"/>
        </w:rPr>
        <w:t>Background</w:t>
      </w:r>
    </w:p>
    <w:p w:rsidR="00DF0165" w:rsidRPr="00C35A91" w:rsidRDefault="006E590C" w:rsidP="000A016D">
      <w:pPr>
        <w:spacing w:after="0" w:line="360" w:lineRule="auto"/>
        <w:rPr>
          <w:rFonts w:eastAsia="Calibri" w:cs="Arial"/>
          <w:sz w:val="24"/>
          <w:szCs w:val="24"/>
          <w:lang w:val="en-US"/>
        </w:rPr>
      </w:pPr>
      <w:r w:rsidRPr="00C35A91">
        <w:rPr>
          <w:sz w:val="24"/>
          <w:szCs w:val="24"/>
        </w:rPr>
        <w:t xml:space="preserve">In the </w:t>
      </w:r>
      <w:r w:rsidR="00337E3B" w:rsidRPr="00C35A91">
        <w:rPr>
          <w:sz w:val="24"/>
          <w:szCs w:val="24"/>
        </w:rPr>
        <w:t>early 1990s the</w:t>
      </w:r>
      <w:r w:rsidR="00402A36" w:rsidRPr="00C35A91">
        <w:rPr>
          <w:rFonts w:eastAsia="Calibri" w:cs="Arial"/>
          <w:sz w:val="24"/>
          <w:szCs w:val="24"/>
          <w:lang w:val="en-US"/>
        </w:rPr>
        <w:t xml:space="preserve">healthcare industry </w:t>
      </w:r>
      <w:r w:rsidR="00337E3B" w:rsidRPr="00C35A91">
        <w:rPr>
          <w:rFonts w:eastAsia="Calibri" w:cs="Arial"/>
          <w:sz w:val="24"/>
          <w:szCs w:val="24"/>
          <w:lang w:val="en-US"/>
        </w:rPr>
        <w:t>w</w:t>
      </w:r>
      <w:r w:rsidRPr="00C35A91">
        <w:rPr>
          <w:rFonts w:eastAsia="Calibri" w:cs="Arial"/>
          <w:sz w:val="24"/>
          <w:szCs w:val="24"/>
          <w:lang w:val="en-US"/>
        </w:rPr>
        <w:t xml:space="preserve">as brought to account </w:t>
      </w:r>
      <w:r w:rsidR="00402A36" w:rsidRPr="00C35A91">
        <w:rPr>
          <w:rFonts w:eastAsia="Calibri" w:cs="Arial"/>
          <w:sz w:val="24"/>
          <w:szCs w:val="24"/>
          <w:lang w:val="en-US"/>
        </w:rPr>
        <w:t xml:space="preserve">with the publication of </w:t>
      </w:r>
      <w:r w:rsidR="00337E3B" w:rsidRPr="00C35A91">
        <w:rPr>
          <w:rFonts w:eastAsia="Calibri" w:cs="Arial"/>
          <w:sz w:val="24"/>
          <w:szCs w:val="24"/>
          <w:lang w:val="en-US"/>
        </w:rPr>
        <w:t xml:space="preserve">international </w:t>
      </w:r>
      <w:r w:rsidR="00402A36" w:rsidRPr="00C35A91">
        <w:rPr>
          <w:rFonts w:eastAsia="Calibri" w:cs="Arial"/>
          <w:sz w:val="24"/>
          <w:szCs w:val="24"/>
          <w:lang w:val="en-US"/>
        </w:rPr>
        <w:t>pivotal reports</w:t>
      </w:r>
      <w:r w:rsidR="00337E3B" w:rsidRPr="00C35A91">
        <w:rPr>
          <w:rFonts w:eastAsia="Calibri" w:cs="Arial"/>
          <w:sz w:val="24"/>
          <w:szCs w:val="24"/>
          <w:lang w:val="en-US"/>
        </w:rPr>
        <w:t>. In</w:t>
      </w:r>
      <w:r w:rsidR="002C0FEE">
        <w:rPr>
          <w:rFonts w:eastAsia="Calibri" w:cs="Arial"/>
          <w:sz w:val="24"/>
          <w:szCs w:val="24"/>
          <w:lang w:val="en-US"/>
        </w:rPr>
        <w:t xml:space="preserve"> </w:t>
      </w:r>
      <w:r w:rsidR="00CE5715" w:rsidRPr="00C35A91">
        <w:rPr>
          <w:rFonts w:eastAsia="Calibri" w:cs="Arial"/>
          <w:sz w:val="24"/>
          <w:szCs w:val="24"/>
          <w:lang w:val="en-US"/>
        </w:rPr>
        <w:t>the</w:t>
      </w:r>
      <w:r w:rsidR="002C0FEE">
        <w:rPr>
          <w:rFonts w:eastAsia="Calibri" w:cs="Arial"/>
          <w:sz w:val="24"/>
          <w:szCs w:val="24"/>
          <w:lang w:val="en-US"/>
        </w:rPr>
        <w:t xml:space="preserve"> </w:t>
      </w:r>
      <w:r w:rsidR="00337E3B" w:rsidRPr="00C35A91">
        <w:rPr>
          <w:rFonts w:eastAsia="Calibri" w:cs="Arial"/>
          <w:sz w:val="24"/>
          <w:szCs w:val="24"/>
          <w:lang w:val="en-US"/>
        </w:rPr>
        <w:t xml:space="preserve">United States of America </w:t>
      </w:r>
      <w:r w:rsidRPr="00C35A91">
        <w:rPr>
          <w:rFonts w:eastAsia="Calibri" w:cs="Arial"/>
          <w:sz w:val="24"/>
          <w:szCs w:val="24"/>
          <w:lang w:val="en-US"/>
        </w:rPr>
        <w:t xml:space="preserve">the number of </w:t>
      </w:r>
      <w:r w:rsidR="00337E3B" w:rsidRPr="00C35A91">
        <w:rPr>
          <w:rFonts w:eastAsia="Calibri" w:cs="Arial"/>
          <w:sz w:val="24"/>
          <w:szCs w:val="24"/>
          <w:lang w:val="en-US"/>
        </w:rPr>
        <w:t>adverse events</w:t>
      </w:r>
      <w:r w:rsidR="00011024" w:rsidRPr="00C35A91">
        <w:rPr>
          <w:rFonts w:eastAsia="Calibri" w:cs="Arial"/>
          <w:sz w:val="24"/>
          <w:szCs w:val="24"/>
          <w:lang w:val="en-US"/>
        </w:rPr>
        <w:t>,</w:t>
      </w:r>
      <w:r w:rsidR="00337E3B" w:rsidRPr="00C35A91">
        <w:rPr>
          <w:rFonts w:eastAsia="Calibri" w:cs="Arial"/>
          <w:sz w:val="24"/>
          <w:szCs w:val="24"/>
          <w:lang w:val="en-US"/>
        </w:rPr>
        <w:t xml:space="preserve"> as a result of hospital admissions was </w:t>
      </w:r>
      <w:r w:rsidRPr="00C35A91">
        <w:rPr>
          <w:rFonts w:eastAsia="Calibri" w:cs="Arial"/>
          <w:sz w:val="24"/>
          <w:szCs w:val="24"/>
          <w:lang w:val="en-US"/>
        </w:rPr>
        <w:t xml:space="preserve">in the region </w:t>
      </w:r>
      <w:r w:rsidR="00CE5715" w:rsidRPr="00C35A91">
        <w:rPr>
          <w:rFonts w:eastAsia="Calibri" w:cs="Arial"/>
          <w:sz w:val="24"/>
          <w:szCs w:val="24"/>
          <w:lang w:val="en-US"/>
        </w:rPr>
        <w:t xml:space="preserve">of </w:t>
      </w:r>
      <w:r w:rsidR="00337E3B" w:rsidRPr="00C35A91">
        <w:rPr>
          <w:rFonts w:eastAsia="Calibri" w:cs="Arial"/>
          <w:sz w:val="24"/>
          <w:szCs w:val="24"/>
          <w:lang w:val="en-US"/>
        </w:rPr>
        <w:t>3.7%</w:t>
      </w:r>
      <w:r w:rsidR="00B540F4" w:rsidRPr="00C35A91">
        <w:rPr>
          <w:rFonts w:eastAsia="Calibri" w:cs="Arial"/>
          <w:sz w:val="24"/>
          <w:szCs w:val="24"/>
          <w:lang w:val="en-US"/>
        </w:rPr>
        <w:t>,</w:t>
      </w:r>
      <w:r w:rsidR="00011024" w:rsidRPr="00C35A91">
        <w:rPr>
          <w:rFonts w:eastAsia="Calibri" w:cs="Arial"/>
          <w:sz w:val="24"/>
          <w:szCs w:val="24"/>
          <w:lang w:val="en-US"/>
        </w:rPr>
        <w:t xml:space="preserve"> culminating</w:t>
      </w:r>
      <w:r w:rsidR="00337E3B" w:rsidRPr="00C35A91">
        <w:rPr>
          <w:rFonts w:eastAsia="Calibri" w:cs="Arial"/>
          <w:sz w:val="24"/>
          <w:szCs w:val="24"/>
          <w:lang w:val="en-US"/>
        </w:rPr>
        <w:t xml:space="preserve"> in a report by the</w:t>
      </w:r>
      <w:r w:rsidR="002C0FEE">
        <w:rPr>
          <w:rFonts w:eastAsia="Calibri" w:cs="Arial"/>
          <w:sz w:val="24"/>
          <w:szCs w:val="24"/>
          <w:lang w:val="en-US"/>
        </w:rPr>
        <w:t xml:space="preserve"> </w:t>
      </w:r>
      <w:r w:rsidR="00402A36" w:rsidRPr="00F44F82">
        <w:rPr>
          <w:rFonts w:eastAsia="Calibri" w:cs="Arial"/>
          <w:sz w:val="24"/>
          <w:szCs w:val="24"/>
          <w:lang w:val="en-US"/>
        </w:rPr>
        <w:t>Institute of Medicine</w:t>
      </w:r>
      <w:r w:rsidR="00337E3B" w:rsidRPr="00F44F82">
        <w:rPr>
          <w:rFonts w:eastAsia="Calibri" w:cs="Arial"/>
          <w:sz w:val="24"/>
          <w:szCs w:val="24"/>
          <w:lang w:val="en-US"/>
        </w:rPr>
        <w:t xml:space="preserve"> in</w:t>
      </w:r>
      <w:r w:rsidR="00402A36" w:rsidRPr="00F44F82">
        <w:rPr>
          <w:rFonts w:eastAsia="Calibri" w:cs="Arial"/>
          <w:sz w:val="24"/>
          <w:szCs w:val="24"/>
          <w:lang w:val="en-US"/>
        </w:rPr>
        <w:t xml:space="preserve"> 1999</w:t>
      </w:r>
      <w:r w:rsidR="00337E3B" w:rsidRPr="00F44F82">
        <w:rPr>
          <w:rFonts w:eastAsia="Calibri" w:cs="Arial"/>
          <w:sz w:val="24"/>
          <w:szCs w:val="24"/>
          <w:lang w:val="en-US"/>
        </w:rPr>
        <w:t xml:space="preserve"> (</w:t>
      </w:r>
      <w:r w:rsidR="00922F3B" w:rsidRPr="00F44F82">
        <w:rPr>
          <w:rFonts w:eastAsia="Calibri" w:cs="Arial"/>
          <w:sz w:val="24"/>
          <w:szCs w:val="24"/>
          <w:lang w:val="en-US"/>
        </w:rPr>
        <w:t xml:space="preserve">Brennan et al., 1991; </w:t>
      </w:r>
      <w:r w:rsidR="00337E3B" w:rsidRPr="00F44F82">
        <w:rPr>
          <w:rFonts w:eastAsia="Calibri" w:cs="Arial"/>
          <w:sz w:val="24"/>
          <w:szCs w:val="24"/>
          <w:lang w:val="en-US"/>
        </w:rPr>
        <w:t xml:space="preserve">Institute of Medicine, </w:t>
      </w:r>
      <w:r w:rsidR="00B540F4" w:rsidRPr="00F44F82">
        <w:rPr>
          <w:rFonts w:eastAsia="Calibri" w:cs="Arial"/>
          <w:sz w:val="24"/>
          <w:szCs w:val="24"/>
          <w:lang w:val="en-US"/>
        </w:rPr>
        <w:t>2000</w:t>
      </w:r>
      <w:r w:rsidR="00402A36" w:rsidRPr="00F44F82">
        <w:rPr>
          <w:rFonts w:eastAsia="Calibri" w:cs="Arial"/>
          <w:sz w:val="24"/>
          <w:szCs w:val="24"/>
          <w:lang w:val="en-US"/>
        </w:rPr>
        <w:t>)</w:t>
      </w:r>
      <w:r w:rsidR="00EE70F5" w:rsidRPr="00F44F82">
        <w:rPr>
          <w:rFonts w:eastAsia="Calibri" w:cs="Arial"/>
          <w:sz w:val="24"/>
          <w:szCs w:val="24"/>
          <w:lang w:val="en-US"/>
        </w:rPr>
        <w:t>.</w:t>
      </w:r>
      <w:r w:rsidR="00D03D80" w:rsidRPr="00F44F82">
        <w:rPr>
          <w:rFonts w:eastAsia="Calibri" w:cs="Arial"/>
          <w:sz w:val="24"/>
          <w:szCs w:val="24"/>
          <w:lang w:val="en-US"/>
        </w:rPr>
        <w:t xml:space="preserve"> A</w:t>
      </w:r>
      <w:r w:rsidR="00BF4F64" w:rsidRPr="00F44F82">
        <w:rPr>
          <w:rFonts w:eastAsia="Calibri" w:cs="Arial"/>
          <w:sz w:val="24"/>
          <w:szCs w:val="24"/>
          <w:lang w:val="en-US"/>
        </w:rPr>
        <w:t>t</w:t>
      </w:r>
      <w:r w:rsidR="00BF4F64" w:rsidRPr="00C35A91">
        <w:rPr>
          <w:rFonts w:eastAsia="Calibri" w:cs="Arial"/>
          <w:sz w:val="24"/>
          <w:szCs w:val="24"/>
          <w:lang w:val="en-US"/>
        </w:rPr>
        <w:t xml:space="preserve"> Berkeley and the University of Michigan researchers began to study how other high reliability organisations such as aviation and the military mitigated for error reduction (Weick,</w:t>
      </w:r>
      <w:r w:rsidR="006D347B" w:rsidRPr="00C35A91">
        <w:rPr>
          <w:rFonts w:eastAsia="Calibri" w:cs="Arial"/>
          <w:sz w:val="24"/>
          <w:szCs w:val="24"/>
          <w:lang w:val="en-US"/>
        </w:rPr>
        <w:t xml:space="preserve"> Sutcliffe &amp; Obstfeld,</w:t>
      </w:r>
      <w:r w:rsidR="00BF4F64" w:rsidRPr="00C35A91">
        <w:rPr>
          <w:rFonts w:eastAsia="Calibri" w:cs="Arial"/>
          <w:sz w:val="24"/>
          <w:szCs w:val="24"/>
          <w:lang w:val="en-US"/>
        </w:rPr>
        <w:t xml:space="preserve"> 19</w:t>
      </w:r>
      <w:r w:rsidR="006D347B" w:rsidRPr="00C35A91">
        <w:rPr>
          <w:rFonts w:eastAsia="Calibri" w:cs="Arial"/>
          <w:sz w:val="24"/>
          <w:szCs w:val="24"/>
          <w:lang w:val="en-US"/>
        </w:rPr>
        <w:t>99</w:t>
      </w:r>
      <w:r w:rsidR="00BF4F64" w:rsidRPr="00C35A91">
        <w:rPr>
          <w:rFonts w:eastAsia="Calibri" w:cs="Arial"/>
          <w:sz w:val="24"/>
          <w:szCs w:val="24"/>
          <w:lang w:val="en-US"/>
        </w:rPr>
        <w:t>).</w:t>
      </w:r>
      <w:r w:rsidR="00337E3B" w:rsidRPr="00C35A91">
        <w:rPr>
          <w:rFonts w:eastAsia="Calibri" w:cs="Arial"/>
          <w:sz w:val="24"/>
          <w:szCs w:val="24"/>
          <w:lang w:val="en-US"/>
        </w:rPr>
        <w:t xml:space="preserve"> </w:t>
      </w:r>
      <w:r w:rsidR="00337E3B" w:rsidRPr="00430E24">
        <w:rPr>
          <w:rFonts w:eastAsia="Calibri" w:cs="Arial"/>
          <w:color w:val="FF0000"/>
          <w:sz w:val="24"/>
          <w:szCs w:val="24"/>
          <w:lang w:val="en-US"/>
        </w:rPr>
        <w:t>In Australia</w:t>
      </w:r>
      <w:r w:rsidR="00922F3B" w:rsidRPr="00430E24">
        <w:rPr>
          <w:rFonts w:eastAsia="Calibri" w:cs="Arial"/>
          <w:color w:val="FF0000"/>
          <w:sz w:val="24"/>
          <w:szCs w:val="24"/>
          <w:lang w:val="en-US"/>
        </w:rPr>
        <w:t xml:space="preserve"> studies </w:t>
      </w:r>
      <w:r w:rsidR="00F44F82" w:rsidRPr="00430E24">
        <w:rPr>
          <w:rFonts w:eastAsia="Calibri" w:cs="Arial"/>
          <w:color w:val="FF0000"/>
          <w:sz w:val="24"/>
          <w:szCs w:val="24"/>
          <w:lang w:val="en-US"/>
        </w:rPr>
        <w:t xml:space="preserve">have </w:t>
      </w:r>
      <w:r w:rsidR="00922F3B" w:rsidRPr="00430E24">
        <w:rPr>
          <w:rFonts w:eastAsia="Calibri" w:cs="Arial"/>
          <w:color w:val="FF0000"/>
          <w:sz w:val="24"/>
          <w:szCs w:val="24"/>
          <w:lang w:val="en-US"/>
        </w:rPr>
        <w:t xml:space="preserve">estimated adverse events in 8% of hospital admissions relating to costs of </w:t>
      </w:r>
      <w:r w:rsidR="000622A3" w:rsidRPr="00430E24">
        <w:rPr>
          <w:rFonts w:eastAsia="Calibri" w:cs="Arial"/>
          <w:color w:val="FF0000"/>
          <w:sz w:val="24"/>
          <w:szCs w:val="24"/>
          <w:lang w:val="en-US"/>
        </w:rPr>
        <w:t>$4.7 billion annually in 1997,  with concerns for the trustworthiness of data with recent costs from errors at $2.2 billion where half the errorswere seen to be preventable (Vincent, 1997; Smallwood, 2006).</w:t>
      </w:r>
      <w:r w:rsidR="00AF1694" w:rsidRPr="00C35A91">
        <w:rPr>
          <w:rFonts w:eastAsia="Calibri" w:cs="Arial"/>
          <w:sz w:val="24"/>
          <w:szCs w:val="24"/>
          <w:lang w:val="en-US"/>
        </w:rPr>
        <w:t>At this t</w:t>
      </w:r>
      <w:r w:rsidR="00DB0FAA" w:rsidRPr="00C35A91">
        <w:rPr>
          <w:rFonts w:eastAsia="Calibri" w:cs="Arial"/>
          <w:sz w:val="24"/>
          <w:szCs w:val="24"/>
          <w:lang w:val="en-US"/>
        </w:rPr>
        <w:t>ime</w:t>
      </w:r>
      <w:r w:rsidR="00E50C5F" w:rsidRPr="00C35A91">
        <w:rPr>
          <w:rFonts w:eastAsia="Calibri" w:cs="Arial"/>
          <w:sz w:val="24"/>
          <w:szCs w:val="24"/>
          <w:lang w:val="en-US"/>
        </w:rPr>
        <w:t>,</w:t>
      </w:r>
      <w:r w:rsidR="00DB0FAA" w:rsidRPr="00C35A91">
        <w:rPr>
          <w:rFonts w:eastAsia="Calibri" w:cs="Arial"/>
          <w:sz w:val="24"/>
          <w:szCs w:val="24"/>
          <w:lang w:val="en-US"/>
        </w:rPr>
        <w:t xml:space="preserve"> in the UK</w:t>
      </w:r>
      <w:r w:rsidR="00E50C5F" w:rsidRPr="00C35A91">
        <w:rPr>
          <w:rFonts w:eastAsia="Calibri" w:cs="Arial"/>
          <w:sz w:val="24"/>
          <w:szCs w:val="24"/>
          <w:lang w:val="en-US"/>
        </w:rPr>
        <w:t>,</w:t>
      </w:r>
      <w:r w:rsidR="00337E3B" w:rsidRPr="00C35A91">
        <w:rPr>
          <w:rFonts w:eastAsia="Calibri" w:cs="Arial"/>
          <w:sz w:val="24"/>
          <w:szCs w:val="24"/>
          <w:lang w:val="en-US"/>
        </w:rPr>
        <w:t xml:space="preserve">seminal </w:t>
      </w:r>
      <w:r w:rsidR="00922F3B" w:rsidRPr="00C35A91">
        <w:rPr>
          <w:rFonts w:eastAsia="Calibri" w:cs="Arial"/>
          <w:sz w:val="24"/>
          <w:szCs w:val="24"/>
          <w:lang w:val="en-US"/>
        </w:rPr>
        <w:t>reports</w:t>
      </w:r>
      <w:r w:rsidR="00337E3B" w:rsidRPr="00C35A91">
        <w:rPr>
          <w:rFonts w:eastAsia="Calibri" w:cs="Arial"/>
          <w:sz w:val="24"/>
          <w:szCs w:val="24"/>
          <w:lang w:val="en-US"/>
        </w:rPr>
        <w:t xml:space="preserve"> and analysis of adv</w:t>
      </w:r>
      <w:r w:rsidR="00922F3B" w:rsidRPr="00C35A91">
        <w:rPr>
          <w:rFonts w:eastAsia="Calibri" w:cs="Arial"/>
          <w:sz w:val="24"/>
          <w:szCs w:val="24"/>
          <w:lang w:val="en-US"/>
        </w:rPr>
        <w:t>er</w:t>
      </w:r>
      <w:r w:rsidR="00337E3B" w:rsidRPr="00C35A91">
        <w:rPr>
          <w:rFonts w:eastAsia="Calibri" w:cs="Arial"/>
          <w:sz w:val="24"/>
          <w:szCs w:val="24"/>
          <w:lang w:val="en-US"/>
        </w:rPr>
        <w:t>se events in</w:t>
      </w:r>
      <w:r w:rsidR="00922F3B" w:rsidRPr="00C35A91">
        <w:rPr>
          <w:rFonts w:eastAsia="Calibri" w:cs="Arial"/>
          <w:sz w:val="24"/>
          <w:szCs w:val="24"/>
          <w:lang w:val="en-US"/>
        </w:rPr>
        <w:t xml:space="preserve"> hospitalsestimated </w:t>
      </w:r>
      <w:r w:rsidR="00D03D80" w:rsidRPr="00C35A91">
        <w:rPr>
          <w:rFonts w:eastAsia="Calibri" w:cs="Arial"/>
          <w:sz w:val="24"/>
          <w:szCs w:val="24"/>
          <w:lang w:val="en-US"/>
        </w:rPr>
        <w:t>an overall rate of adverse events from hospital admissions to be 11.7% of which half were assessed to be preventable (Vincent, Neale &amp;Woloshynowych, 2001). A national report reflected on the need to address patient safety issues (Department of Health, 2000).</w:t>
      </w:r>
      <w:r w:rsidR="00AF1694" w:rsidRPr="00C35A91">
        <w:rPr>
          <w:rFonts w:eastAsia="Calibri" w:cs="Arial"/>
          <w:sz w:val="24"/>
          <w:szCs w:val="24"/>
          <w:lang w:val="en-US"/>
        </w:rPr>
        <w:t xml:space="preserve">Reason warned about human </w:t>
      </w:r>
      <w:r w:rsidR="00DB0FAA" w:rsidRPr="00C35A91">
        <w:rPr>
          <w:rFonts w:eastAsia="Calibri" w:cs="Arial"/>
          <w:sz w:val="24"/>
          <w:szCs w:val="24"/>
          <w:lang w:val="en-US"/>
        </w:rPr>
        <w:t>error in</w:t>
      </w:r>
      <w:r w:rsidR="005F40CA" w:rsidRPr="00C35A91">
        <w:rPr>
          <w:rFonts w:eastAsia="Calibri" w:cs="Arial"/>
          <w:sz w:val="24"/>
          <w:szCs w:val="24"/>
          <w:lang w:val="en-US"/>
        </w:rPr>
        <w:t xml:space="preserve"> health care </w:t>
      </w:r>
      <w:r w:rsidR="00AF1694" w:rsidRPr="00C35A91">
        <w:rPr>
          <w:rFonts w:eastAsia="Calibri" w:cs="Arial"/>
          <w:sz w:val="24"/>
          <w:szCs w:val="24"/>
          <w:lang w:val="en-US"/>
        </w:rPr>
        <w:t xml:space="preserve">urging consideration </w:t>
      </w:r>
      <w:r w:rsidR="005F40CA" w:rsidRPr="00C35A91">
        <w:rPr>
          <w:rFonts w:eastAsia="Calibri" w:cs="Arial"/>
          <w:sz w:val="24"/>
          <w:szCs w:val="24"/>
          <w:lang w:val="en-US"/>
        </w:rPr>
        <w:t xml:space="preserve">for the </w:t>
      </w:r>
      <w:r w:rsidR="00E50C5F" w:rsidRPr="00C35A91">
        <w:rPr>
          <w:rFonts w:eastAsia="Calibri" w:cs="Arial"/>
          <w:sz w:val="24"/>
          <w:szCs w:val="24"/>
          <w:lang w:val="en-US"/>
        </w:rPr>
        <w:t>‘</w:t>
      </w:r>
      <w:r w:rsidR="005F40CA" w:rsidRPr="00C35A91">
        <w:rPr>
          <w:rFonts w:eastAsia="Calibri" w:cs="Arial"/>
          <w:sz w:val="24"/>
          <w:szCs w:val="24"/>
          <w:lang w:val="en-US"/>
        </w:rPr>
        <w:t>system approach</w:t>
      </w:r>
      <w:r w:rsidR="00E50C5F" w:rsidRPr="00C35A91">
        <w:rPr>
          <w:rFonts w:eastAsia="Calibri" w:cs="Arial"/>
          <w:sz w:val="24"/>
          <w:szCs w:val="24"/>
          <w:lang w:val="en-US"/>
        </w:rPr>
        <w:t>’, in particular the</w:t>
      </w:r>
      <w:r w:rsidR="005F40CA" w:rsidRPr="00C35A91">
        <w:rPr>
          <w:rFonts w:eastAsia="Calibri" w:cs="Arial"/>
          <w:sz w:val="24"/>
          <w:szCs w:val="24"/>
          <w:lang w:val="en-US"/>
        </w:rPr>
        <w:t xml:space="preserve"> consideration </w:t>
      </w:r>
      <w:r w:rsidR="00E50C5F" w:rsidRPr="00C35A91">
        <w:rPr>
          <w:rFonts w:eastAsia="Calibri" w:cs="Arial"/>
          <w:sz w:val="24"/>
          <w:szCs w:val="24"/>
          <w:lang w:val="en-US"/>
        </w:rPr>
        <w:t>of</w:t>
      </w:r>
      <w:r w:rsidR="005F40CA" w:rsidRPr="00C35A91">
        <w:rPr>
          <w:rFonts w:eastAsia="Calibri" w:cs="Arial"/>
          <w:sz w:val="24"/>
          <w:szCs w:val="24"/>
          <w:lang w:val="en-US"/>
        </w:rPr>
        <w:t xml:space="preserve"> the conditions under which practitioners work (Reason, </w:t>
      </w:r>
      <w:r w:rsidR="0027236E" w:rsidRPr="00C35A91">
        <w:rPr>
          <w:rFonts w:eastAsia="Calibri" w:cs="Arial"/>
          <w:sz w:val="24"/>
          <w:szCs w:val="24"/>
          <w:lang w:val="en-US"/>
        </w:rPr>
        <w:t>1990</w:t>
      </w:r>
      <w:r w:rsidR="005F40CA" w:rsidRPr="00C35A91">
        <w:rPr>
          <w:rFonts w:eastAsia="Calibri" w:cs="Arial"/>
          <w:sz w:val="24"/>
          <w:szCs w:val="24"/>
          <w:lang w:val="en-US"/>
        </w:rPr>
        <w:t xml:space="preserve">). He argued that only when we have unpacked what goes wrong within open cultures of sharing error can we </w:t>
      </w:r>
      <w:r w:rsidR="00E50C5F" w:rsidRPr="00C35A91">
        <w:rPr>
          <w:rFonts w:eastAsia="Calibri" w:cs="Arial"/>
          <w:sz w:val="24"/>
          <w:szCs w:val="24"/>
          <w:lang w:val="en-US"/>
        </w:rPr>
        <w:t>assess</w:t>
      </w:r>
      <w:r w:rsidR="005F40CA" w:rsidRPr="00C35A91">
        <w:rPr>
          <w:rFonts w:eastAsia="Calibri" w:cs="Arial"/>
          <w:sz w:val="24"/>
          <w:szCs w:val="24"/>
          <w:lang w:val="en-US"/>
        </w:rPr>
        <w:t xml:space="preserve"> how the system contribute</w:t>
      </w:r>
      <w:r w:rsidR="00E50C5F" w:rsidRPr="00C35A91">
        <w:rPr>
          <w:rFonts w:eastAsia="Calibri" w:cs="Arial"/>
          <w:sz w:val="24"/>
          <w:szCs w:val="24"/>
          <w:lang w:val="en-US"/>
        </w:rPr>
        <w:t>s to mistakes, outlining</w:t>
      </w:r>
      <w:r w:rsidR="00DB0FAA" w:rsidRPr="00C35A91">
        <w:rPr>
          <w:rFonts w:eastAsia="Calibri" w:cs="Arial"/>
          <w:sz w:val="24"/>
          <w:szCs w:val="24"/>
          <w:lang w:val="en-US"/>
        </w:rPr>
        <w:t xml:space="preserve"> the </w:t>
      </w:r>
      <w:r w:rsidR="00F44F82">
        <w:rPr>
          <w:rFonts w:eastAsia="Calibri" w:cs="Arial"/>
          <w:sz w:val="24"/>
          <w:szCs w:val="24"/>
          <w:lang w:val="en-US"/>
        </w:rPr>
        <w:t>‘</w:t>
      </w:r>
      <w:r w:rsidR="00DB0FAA" w:rsidRPr="00C35A91">
        <w:rPr>
          <w:rFonts w:eastAsia="Calibri" w:cs="Arial"/>
          <w:sz w:val="24"/>
          <w:szCs w:val="24"/>
          <w:lang w:val="en-US"/>
        </w:rPr>
        <w:t>Swiss cheese model</w:t>
      </w:r>
      <w:r w:rsidR="00F44F82">
        <w:rPr>
          <w:rFonts w:eastAsia="Calibri" w:cs="Arial"/>
          <w:sz w:val="24"/>
          <w:szCs w:val="24"/>
          <w:lang w:val="en-US"/>
        </w:rPr>
        <w:t>’</w:t>
      </w:r>
      <w:r w:rsidR="002C0FEE">
        <w:rPr>
          <w:rFonts w:eastAsia="Calibri" w:cs="Arial"/>
          <w:sz w:val="24"/>
          <w:szCs w:val="24"/>
          <w:lang w:val="en-US"/>
        </w:rPr>
        <w:t xml:space="preserve"> </w:t>
      </w:r>
      <w:r w:rsidR="00E50C5F" w:rsidRPr="00C35A91">
        <w:rPr>
          <w:rFonts w:eastAsia="Calibri" w:cs="Arial"/>
          <w:sz w:val="24"/>
          <w:szCs w:val="24"/>
          <w:lang w:val="en-US"/>
        </w:rPr>
        <w:t>which</w:t>
      </w:r>
      <w:r w:rsidR="002C0FEE">
        <w:rPr>
          <w:rFonts w:eastAsia="Calibri" w:cs="Arial"/>
          <w:sz w:val="24"/>
          <w:szCs w:val="24"/>
          <w:lang w:val="en-US"/>
        </w:rPr>
        <w:t xml:space="preserve"> </w:t>
      </w:r>
      <w:r w:rsidR="00DB0FAA" w:rsidRPr="00C35A91">
        <w:rPr>
          <w:rFonts w:eastAsia="Calibri" w:cs="Arial"/>
          <w:sz w:val="24"/>
          <w:szCs w:val="24"/>
          <w:lang w:val="en-US"/>
        </w:rPr>
        <w:t>require</w:t>
      </w:r>
      <w:r w:rsidR="00E50C5F" w:rsidRPr="00C35A91">
        <w:rPr>
          <w:rFonts w:eastAsia="Calibri" w:cs="Arial"/>
          <w:sz w:val="24"/>
          <w:szCs w:val="24"/>
          <w:lang w:val="en-US"/>
        </w:rPr>
        <w:t>s</w:t>
      </w:r>
      <w:r w:rsidR="00DB0FAA" w:rsidRPr="00C35A91">
        <w:rPr>
          <w:rFonts w:eastAsia="Calibri" w:cs="Arial"/>
          <w:sz w:val="24"/>
          <w:szCs w:val="24"/>
          <w:lang w:val="en-US"/>
        </w:rPr>
        <w:t xml:space="preserve"> barriers and defenses to stop accidents</w:t>
      </w:r>
      <w:r w:rsidR="000F652C" w:rsidRPr="00C35A91">
        <w:rPr>
          <w:rFonts w:eastAsia="Calibri" w:cs="Arial"/>
          <w:sz w:val="24"/>
          <w:szCs w:val="24"/>
          <w:lang w:val="en-US"/>
        </w:rPr>
        <w:t xml:space="preserve"> (</w:t>
      </w:r>
      <w:r w:rsidR="0027236E" w:rsidRPr="00C35A91">
        <w:rPr>
          <w:rFonts w:eastAsia="Calibri" w:cs="Arial"/>
          <w:sz w:val="24"/>
          <w:szCs w:val="24"/>
          <w:lang w:val="en-US"/>
        </w:rPr>
        <w:t>Reason, 2000</w:t>
      </w:r>
      <w:r w:rsidR="000F652C" w:rsidRPr="00C35A91">
        <w:rPr>
          <w:rFonts w:eastAsia="Calibri" w:cs="Arial"/>
          <w:sz w:val="24"/>
          <w:szCs w:val="24"/>
          <w:lang w:val="en-US"/>
        </w:rPr>
        <w:t>)</w:t>
      </w:r>
      <w:r w:rsidR="00DB0FAA" w:rsidRPr="00C35A91">
        <w:rPr>
          <w:rFonts w:eastAsia="Calibri" w:cs="Arial"/>
          <w:sz w:val="24"/>
          <w:szCs w:val="24"/>
          <w:lang w:val="en-US"/>
        </w:rPr>
        <w:t>.</w:t>
      </w:r>
      <w:r w:rsidR="00E50C5F" w:rsidRPr="00C35A91">
        <w:rPr>
          <w:rFonts w:eastAsia="Calibri" w:cs="Arial"/>
          <w:sz w:val="24"/>
          <w:szCs w:val="24"/>
          <w:lang w:val="en-US"/>
        </w:rPr>
        <w:t>He pointed out the alternative outcome of blaming individuals for mistakes which acknowledges human fallibility, such as inattention and other psychological factors (Reason, 1999)</w:t>
      </w:r>
      <w:r w:rsidR="00D03D80" w:rsidRPr="00C35A91">
        <w:rPr>
          <w:rFonts w:eastAsia="Calibri" w:cs="Arial"/>
          <w:sz w:val="24"/>
          <w:szCs w:val="24"/>
          <w:lang w:val="en-US"/>
        </w:rPr>
        <w:t>.</w:t>
      </w:r>
      <w:r w:rsidR="00582898" w:rsidRPr="00C35A91">
        <w:rPr>
          <w:rFonts w:eastAsia="Calibri" w:cs="Arial"/>
          <w:sz w:val="24"/>
          <w:szCs w:val="24"/>
          <w:lang w:val="en-US"/>
        </w:rPr>
        <w:t xml:space="preserve">Synonymously </w:t>
      </w:r>
      <w:r w:rsidR="00222FC1" w:rsidRPr="00C35A91">
        <w:rPr>
          <w:rFonts w:eastAsia="Calibri" w:cs="Arial"/>
          <w:sz w:val="24"/>
          <w:szCs w:val="24"/>
          <w:lang w:val="en-US"/>
        </w:rPr>
        <w:lastRenderedPageBreak/>
        <w:t xml:space="preserve">a UK </w:t>
      </w:r>
      <w:r w:rsidR="00582898" w:rsidRPr="00C35A91">
        <w:rPr>
          <w:rFonts w:eastAsia="Calibri" w:cs="Arial"/>
          <w:sz w:val="24"/>
          <w:szCs w:val="24"/>
          <w:lang w:val="en-US"/>
        </w:rPr>
        <w:t>national</w:t>
      </w:r>
      <w:r w:rsidR="008E1EA0" w:rsidRPr="00C35A91">
        <w:rPr>
          <w:rFonts w:eastAsia="Calibri" w:cs="Arial"/>
          <w:sz w:val="24"/>
          <w:szCs w:val="24"/>
          <w:lang w:val="en-US"/>
        </w:rPr>
        <w:t xml:space="preserve"> inquiry involving </w:t>
      </w:r>
      <w:r w:rsidR="00BF4F64" w:rsidRPr="00C35A91">
        <w:rPr>
          <w:sz w:val="24"/>
          <w:szCs w:val="24"/>
        </w:rPr>
        <w:t>a paediatric cardia</w:t>
      </w:r>
      <w:r w:rsidR="008E1EA0" w:rsidRPr="00C35A91">
        <w:rPr>
          <w:sz w:val="24"/>
          <w:szCs w:val="24"/>
        </w:rPr>
        <w:t>c</w:t>
      </w:r>
      <w:r w:rsidR="00BF4F64" w:rsidRPr="00C35A91">
        <w:rPr>
          <w:sz w:val="24"/>
          <w:szCs w:val="24"/>
        </w:rPr>
        <w:t xml:space="preserve"> surgeon </w:t>
      </w:r>
      <w:r w:rsidR="007E6827" w:rsidRPr="00C35A91">
        <w:rPr>
          <w:sz w:val="24"/>
          <w:szCs w:val="24"/>
        </w:rPr>
        <w:t>identified the</w:t>
      </w:r>
      <w:r w:rsidR="000B1C59" w:rsidRPr="00C35A91">
        <w:rPr>
          <w:sz w:val="24"/>
          <w:szCs w:val="24"/>
        </w:rPr>
        <w:t xml:space="preserve"> unnecessary death of </w:t>
      </w:r>
      <w:r w:rsidR="008E1EA0" w:rsidRPr="00C35A91">
        <w:rPr>
          <w:sz w:val="24"/>
          <w:szCs w:val="24"/>
        </w:rPr>
        <w:t xml:space="preserve">babies </w:t>
      </w:r>
      <w:r w:rsidR="007E6827" w:rsidRPr="00C35A91">
        <w:rPr>
          <w:sz w:val="24"/>
          <w:szCs w:val="24"/>
        </w:rPr>
        <w:t xml:space="preserve">undergoing cardiac surgery </w:t>
      </w:r>
      <w:r w:rsidR="00CE5715" w:rsidRPr="00C35A91">
        <w:rPr>
          <w:sz w:val="24"/>
          <w:szCs w:val="24"/>
        </w:rPr>
        <w:t>at the</w:t>
      </w:r>
      <w:r w:rsidR="002C0FEE">
        <w:rPr>
          <w:sz w:val="24"/>
          <w:szCs w:val="24"/>
        </w:rPr>
        <w:t xml:space="preserve"> </w:t>
      </w:r>
      <w:r w:rsidR="008E1EA0" w:rsidRPr="00C35A91">
        <w:rPr>
          <w:sz w:val="24"/>
          <w:szCs w:val="24"/>
        </w:rPr>
        <w:t>B</w:t>
      </w:r>
      <w:r w:rsidR="00337E3B" w:rsidRPr="00C35A91">
        <w:rPr>
          <w:sz w:val="24"/>
          <w:szCs w:val="24"/>
        </w:rPr>
        <w:t xml:space="preserve">ristol Royal </w:t>
      </w:r>
      <w:r w:rsidR="00A93ED1" w:rsidRPr="00C35A91">
        <w:rPr>
          <w:sz w:val="24"/>
          <w:szCs w:val="24"/>
        </w:rPr>
        <w:t>Infirmary,</w:t>
      </w:r>
      <w:r w:rsidR="002C0FEE">
        <w:rPr>
          <w:sz w:val="24"/>
          <w:szCs w:val="24"/>
        </w:rPr>
        <w:t xml:space="preserve"> </w:t>
      </w:r>
      <w:r w:rsidR="003B7BAA" w:rsidRPr="00C35A91">
        <w:rPr>
          <w:sz w:val="24"/>
          <w:szCs w:val="24"/>
        </w:rPr>
        <w:t>revealing</w:t>
      </w:r>
      <w:r w:rsidR="002C0FEE">
        <w:rPr>
          <w:sz w:val="24"/>
          <w:szCs w:val="24"/>
        </w:rPr>
        <w:t xml:space="preserve"> </w:t>
      </w:r>
      <w:r w:rsidR="008E1EA0" w:rsidRPr="00C35A91">
        <w:rPr>
          <w:sz w:val="24"/>
          <w:szCs w:val="24"/>
        </w:rPr>
        <w:t>a hierarchical system led by a dominant surgeon (Department of Health, 2001). T</w:t>
      </w:r>
      <w:r w:rsidRPr="00C35A91">
        <w:rPr>
          <w:sz w:val="24"/>
          <w:szCs w:val="24"/>
        </w:rPr>
        <w:t xml:space="preserve">he </w:t>
      </w:r>
      <w:r w:rsidR="00F44F82">
        <w:rPr>
          <w:sz w:val="24"/>
          <w:szCs w:val="24"/>
        </w:rPr>
        <w:t xml:space="preserve">UK General Medical Council </w:t>
      </w:r>
      <w:r w:rsidR="00BE7E05" w:rsidRPr="00C35A91">
        <w:rPr>
          <w:sz w:val="24"/>
          <w:szCs w:val="24"/>
        </w:rPr>
        <w:t xml:space="preserve">was brought to account </w:t>
      </w:r>
      <w:r w:rsidR="00547C49" w:rsidRPr="00C35A91">
        <w:rPr>
          <w:sz w:val="24"/>
          <w:szCs w:val="24"/>
        </w:rPr>
        <w:t xml:space="preserve">and the presiding Chief Medical Officer wrote about </w:t>
      </w:r>
      <w:r w:rsidR="00C5295D" w:rsidRPr="00C35A91">
        <w:rPr>
          <w:sz w:val="24"/>
          <w:szCs w:val="24"/>
        </w:rPr>
        <w:t xml:space="preserve">how doctors needed to regain </w:t>
      </w:r>
      <w:r w:rsidRPr="00C35A91">
        <w:rPr>
          <w:sz w:val="24"/>
          <w:szCs w:val="24"/>
        </w:rPr>
        <w:t>the respect</w:t>
      </w:r>
      <w:r w:rsidR="00DF0165" w:rsidRPr="00C35A91">
        <w:rPr>
          <w:sz w:val="24"/>
          <w:szCs w:val="24"/>
        </w:rPr>
        <w:t xml:space="preserve"> and trust </w:t>
      </w:r>
      <w:r w:rsidR="00C5295D" w:rsidRPr="00C35A91">
        <w:rPr>
          <w:sz w:val="24"/>
          <w:szCs w:val="24"/>
        </w:rPr>
        <w:t>of the general public</w:t>
      </w:r>
      <w:r w:rsidR="00DF0165" w:rsidRPr="00C35A91">
        <w:rPr>
          <w:sz w:val="24"/>
          <w:szCs w:val="24"/>
        </w:rPr>
        <w:t xml:space="preserve"> in the twenty-first century (Irvine, 2001).</w:t>
      </w:r>
      <w:r w:rsidR="00EE70F5" w:rsidRPr="00C35A91">
        <w:rPr>
          <w:rFonts w:eastAsia="Calibri" w:cs="Arial"/>
          <w:sz w:val="24"/>
          <w:szCs w:val="24"/>
          <w:lang w:val="en-US"/>
        </w:rPr>
        <w:t xml:space="preserve">As a result of </w:t>
      </w:r>
      <w:r w:rsidR="008E1EA0" w:rsidRPr="00C35A91">
        <w:rPr>
          <w:rFonts w:eastAsia="Calibri" w:cs="Arial"/>
          <w:sz w:val="24"/>
          <w:szCs w:val="24"/>
          <w:lang w:val="en-US"/>
        </w:rPr>
        <w:t>this recent history</w:t>
      </w:r>
      <w:r w:rsidR="00EE70F5" w:rsidRPr="00C35A91">
        <w:rPr>
          <w:rFonts w:eastAsia="Calibri" w:cs="Arial"/>
          <w:sz w:val="24"/>
          <w:szCs w:val="24"/>
          <w:lang w:val="en-US"/>
        </w:rPr>
        <w:t>, traditional paternalism of medicine has been rejected</w:t>
      </w:r>
      <w:r w:rsidR="000F652C" w:rsidRPr="00C35A91">
        <w:rPr>
          <w:rFonts w:eastAsia="Calibri" w:cs="Arial"/>
          <w:sz w:val="24"/>
          <w:szCs w:val="24"/>
          <w:lang w:val="en-US"/>
        </w:rPr>
        <w:t xml:space="preserve"> (</w:t>
      </w:r>
      <w:r w:rsidR="00E06A6F" w:rsidRPr="00C35A91">
        <w:rPr>
          <w:rFonts w:eastAsia="Calibri" w:cs="Arial"/>
          <w:sz w:val="24"/>
          <w:szCs w:val="24"/>
          <w:lang w:val="en-US"/>
        </w:rPr>
        <w:t>McKinstry, 1992</w:t>
      </w:r>
      <w:r w:rsidR="006603F1" w:rsidRPr="00C35A91">
        <w:rPr>
          <w:rFonts w:eastAsia="Calibri" w:cs="Arial"/>
          <w:sz w:val="24"/>
          <w:szCs w:val="24"/>
          <w:lang w:val="en-US"/>
        </w:rPr>
        <w:t>;</w:t>
      </w:r>
      <w:r w:rsidR="00A93ED1" w:rsidRPr="00C35A91">
        <w:rPr>
          <w:rFonts w:eastAsia="Calibri" w:cs="Arial"/>
          <w:color w:val="000000" w:themeColor="text1"/>
          <w:sz w:val="24"/>
          <w:szCs w:val="24"/>
          <w:lang w:val="en-US"/>
        </w:rPr>
        <w:t>Charles, Gafni</w:t>
      </w:r>
      <w:r w:rsidR="002C0FEE">
        <w:rPr>
          <w:rFonts w:eastAsia="Calibri" w:cs="Arial"/>
          <w:color w:val="000000" w:themeColor="text1"/>
          <w:sz w:val="24"/>
          <w:szCs w:val="24"/>
          <w:lang w:val="en-US"/>
        </w:rPr>
        <w:t xml:space="preserve"> </w:t>
      </w:r>
      <w:r w:rsidR="00A93ED1" w:rsidRPr="00C35A91">
        <w:rPr>
          <w:rFonts w:eastAsia="Calibri" w:cs="Arial"/>
          <w:color w:val="000000" w:themeColor="text1"/>
          <w:sz w:val="24"/>
          <w:szCs w:val="24"/>
          <w:lang w:val="en-US"/>
        </w:rPr>
        <w:t>&amp; Whelan, 1997</w:t>
      </w:r>
      <w:r w:rsidR="000F652C" w:rsidRPr="00C35A91">
        <w:rPr>
          <w:rFonts w:eastAsia="Calibri" w:cs="Arial"/>
          <w:sz w:val="24"/>
          <w:szCs w:val="24"/>
          <w:lang w:val="en-US"/>
        </w:rPr>
        <w:t>)</w:t>
      </w:r>
      <w:r w:rsidR="00EE70F5" w:rsidRPr="00C35A91">
        <w:rPr>
          <w:rFonts w:eastAsia="Calibri" w:cs="Arial"/>
          <w:sz w:val="24"/>
          <w:szCs w:val="24"/>
          <w:lang w:val="en-US"/>
        </w:rPr>
        <w:t>.</w:t>
      </w:r>
      <w:r w:rsidR="008E1EA0" w:rsidRPr="00C35A91">
        <w:rPr>
          <w:sz w:val="24"/>
          <w:szCs w:val="24"/>
        </w:rPr>
        <w:t>We continue to see</w:t>
      </w:r>
      <w:r w:rsidR="00DF0165" w:rsidRPr="00C35A91">
        <w:rPr>
          <w:rFonts w:eastAsia="Calibri" w:cs="Arial"/>
          <w:sz w:val="24"/>
          <w:szCs w:val="24"/>
          <w:lang w:val="en-US"/>
        </w:rPr>
        <w:t xml:space="preserve">society </w:t>
      </w:r>
      <w:r w:rsidR="008E1EA0" w:rsidRPr="00C35A91">
        <w:rPr>
          <w:rFonts w:eastAsia="Calibri" w:cs="Arial"/>
          <w:sz w:val="24"/>
          <w:szCs w:val="24"/>
          <w:lang w:val="en-US"/>
        </w:rPr>
        <w:t>offering</w:t>
      </w:r>
      <w:r w:rsidR="00DF0165" w:rsidRPr="00C35A91">
        <w:rPr>
          <w:rFonts w:eastAsia="Calibri" w:cs="Arial"/>
          <w:sz w:val="24"/>
          <w:szCs w:val="24"/>
          <w:lang w:val="en-US"/>
        </w:rPr>
        <w:t xml:space="preserve"> a platform for the development of the patient safety movement</w:t>
      </w:r>
      <w:r w:rsidR="001B3B0F" w:rsidRPr="00C35A91">
        <w:rPr>
          <w:rFonts w:eastAsia="Calibri" w:cs="Arial"/>
          <w:sz w:val="24"/>
          <w:szCs w:val="24"/>
          <w:lang w:val="en-US"/>
        </w:rPr>
        <w:t xml:space="preserve"> linked </w:t>
      </w:r>
      <w:r w:rsidRPr="00C35A91">
        <w:rPr>
          <w:rFonts w:eastAsia="Calibri" w:cs="Arial"/>
          <w:sz w:val="24"/>
          <w:szCs w:val="24"/>
          <w:lang w:val="en-US"/>
        </w:rPr>
        <w:t>by</w:t>
      </w:r>
      <w:r w:rsidR="00DF0165" w:rsidRPr="00C35A91">
        <w:rPr>
          <w:rFonts w:eastAsia="Calibri" w:cs="Arial"/>
          <w:sz w:val="24"/>
          <w:szCs w:val="24"/>
          <w:lang w:val="en-US"/>
        </w:rPr>
        <w:t xml:space="preserve"> the human rights emphasis on personal liberties and the growth of consumerism. </w:t>
      </w:r>
      <w:r w:rsidR="00612D4F" w:rsidRPr="00C35A91">
        <w:rPr>
          <w:rFonts w:eastAsia="Calibri" w:cs="Arial"/>
          <w:sz w:val="24"/>
          <w:szCs w:val="24"/>
          <w:lang w:val="en-US"/>
        </w:rPr>
        <w:t xml:space="preserve">There has been </w:t>
      </w:r>
      <w:r w:rsidRPr="00C35A91">
        <w:rPr>
          <w:rFonts w:eastAsia="Calibri" w:cs="Arial"/>
          <w:sz w:val="24"/>
          <w:szCs w:val="24"/>
          <w:lang w:val="en-US"/>
        </w:rPr>
        <w:t>the essential</w:t>
      </w:r>
      <w:r w:rsidR="00DF0165" w:rsidRPr="00C35A91">
        <w:rPr>
          <w:rFonts w:eastAsia="Calibri" w:cs="Arial"/>
          <w:sz w:val="24"/>
          <w:szCs w:val="24"/>
          <w:lang w:val="en-US"/>
        </w:rPr>
        <w:t xml:space="preserve"> inclusion of patients and their families in the healthcare dialogue </w:t>
      </w:r>
      <w:r w:rsidRPr="00C35A91">
        <w:rPr>
          <w:rFonts w:eastAsia="Calibri" w:cs="Arial"/>
          <w:sz w:val="24"/>
          <w:szCs w:val="24"/>
          <w:lang w:val="en-US"/>
        </w:rPr>
        <w:t xml:space="preserve">which </w:t>
      </w:r>
      <w:r w:rsidR="00DF0165" w:rsidRPr="00C35A91">
        <w:rPr>
          <w:rFonts w:eastAsia="Calibri" w:cs="Arial"/>
          <w:sz w:val="24"/>
          <w:szCs w:val="24"/>
          <w:lang w:val="en-US"/>
        </w:rPr>
        <w:t xml:space="preserve">has necessitated greater transparency, coupled with a growing recognition that health and social care </w:t>
      </w:r>
      <w:r w:rsidR="001B3B0F" w:rsidRPr="00C35A91">
        <w:rPr>
          <w:rFonts w:eastAsia="Calibri" w:cs="Arial"/>
          <w:sz w:val="24"/>
          <w:szCs w:val="24"/>
          <w:lang w:val="en-US"/>
        </w:rPr>
        <w:t>professional</w:t>
      </w:r>
      <w:r w:rsidR="00612D4F" w:rsidRPr="00C35A91">
        <w:rPr>
          <w:rFonts w:eastAsia="Calibri" w:cs="Arial"/>
          <w:sz w:val="24"/>
          <w:szCs w:val="24"/>
          <w:lang w:val="en-US"/>
        </w:rPr>
        <w:t>s</w:t>
      </w:r>
      <w:r w:rsidR="001B3B0F" w:rsidRPr="00C35A91">
        <w:rPr>
          <w:rFonts w:eastAsia="Calibri" w:cs="Arial"/>
          <w:sz w:val="24"/>
          <w:szCs w:val="24"/>
          <w:lang w:val="en-US"/>
        </w:rPr>
        <w:t xml:space="preserve"> working in modern systems can on</w:t>
      </w:r>
      <w:r w:rsidR="00DF0165" w:rsidRPr="00C35A91">
        <w:rPr>
          <w:rFonts w:eastAsia="Calibri" w:cs="Arial"/>
          <w:sz w:val="24"/>
          <w:szCs w:val="24"/>
          <w:lang w:val="en-US"/>
        </w:rPr>
        <w:t xml:space="preserve"> occasion, fail in their duty of care. </w:t>
      </w:r>
      <w:r w:rsidR="00222FC1" w:rsidRPr="00C35A91">
        <w:rPr>
          <w:rFonts w:eastAsia="Calibri" w:cs="Arial"/>
          <w:sz w:val="24"/>
          <w:szCs w:val="24"/>
          <w:lang w:val="en-US"/>
        </w:rPr>
        <w:t xml:space="preserve">Woven within this time period </w:t>
      </w:r>
      <w:r w:rsidR="00B540F4" w:rsidRPr="00C35A91">
        <w:rPr>
          <w:rFonts w:eastAsia="Calibri" w:cs="Arial"/>
          <w:sz w:val="24"/>
          <w:szCs w:val="24"/>
          <w:lang w:val="en-US"/>
        </w:rPr>
        <w:t>is</w:t>
      </w:r>
      <w:r w:rsidR="00222FC1" w:rsidRPr="00C35A91">
        <w:rPr>
          <w:rFonts w:eastAsia="Calibri" w:cs="Arial"/>
          <w:sz w:val="24"/>
          <w:szCs w:val="24"/>
          <w:lang w:val="en-US"/>
        </w:rPr>
        <w:t xml:space="preserve"> the rise of IPE especially for pre-registration education (Barr</w:t>
      </w:r>
      <w:r w:rsidR="0027236E" w:rsidRPr="00C35A91">
        <w:rPr>
          <w:rFonts w:eastAsia="Calibri" w:cs="Arial"/>
          <w:sz w:val="24"/>
          <w:szCs w:val="24"/>
          <w:lang w:val="en-US"/>
        </w:rPr>
        <w:t>,2000</w:t>
      </w:r>
      <w:r w:rsidR="00222FC1" w:rsidRPr="00C35A91">
        <w:rPr>
          <w:rFonts w:eastAsia="Calibri" w:cs="Arial"/>
          <w:sz w:val="24"/>
          <w:szCs w:val="24"/>
          <w:lang w:val="en-US"/>
        </w:rPr>
        <w:t>).</w:t>
      </w:r>
    </w:p>
    <w:p w:rsidR="00D63F93" w:rsidRPr="00C35A91" w:rsidRDefault="00D63F93" w:rsidP="000A016D">
      <w:pPr>
        <w:spacing w:after="0" w:line="360" w:lineRule="auto"/>
        <w:rPr>
          <w:sz w:val="24"/>
          <w:szCs w:val="24"/>
        </w:rPr>
      </w:pPr>
    </w:p>
    <w:p w:rsidR="00A92125" w:rsidRPr="00C35A91" w:rsidRDefault="008971C4" w:rsidP="00A92125">
      <w:pPr>
        <w:spacing w:after="0" w:line="360" w:lineRule="auto"/>
        <w:rPr>
          <w:rFonts w:eastAsia="Calibri" w:cs="Arial"/>
          <w:sz w:val="24"/>
          <w:szCs w:val="24"/>
          <w:lang w:val="en-US"/>
        </w:rPr>
      </w:pPr>
      <w:r>
        <w:rPr>
          <w:sz w:val="24"/>
          <w:szCs w:val="24"/>
        </w:rPr>
        <w:t xml:space="preserve"> There is little consensus on the definition of patient safety. </w:t>
      </w:r>
      <w:r w:rsidR="00A92125" w:rsidRPr="00430E24">
        <w:rPr>
          <w:color w:val="FF0000"/>
          <w:sz w:val="24"/>
          <w:szCs w:val="24"/>
        </w:rPr>
        <w:t>The  W</w:t>
      </w:r>
      <w:r w:rsidR="00B540F4" w:rsidRPr="00430E24">
        <w:rPr>
          <w:color w:val="FF0000"/>
          <w:sz w:val="24"/>
          <w:szCs w:val="24"/>
        </w:rPr>
        <w:t>orld</w:t>
      </w:r>
      <w:r w:rsidR="00430E24" w:rsidRPr="00430E24">
        <w:rPr>
          <w:color w:val="FF0000"/>
          <w:sz w:val="24"/>
          <w:szCs w:val="24"/>
        </w:rPr>
        <w:t xml:space="preserve"> </w:t>
      </w:r>
      <w:r w:rsidR="00A92125" w:rsidRPr="00430E24">
        <w:rPr>
          <w:color w:val="FF0000"/>
          <w:sz w:val="24"/>
          <w:szCs w:val="24"/>
        </w:rPr>
        <w:t>H</w:t>
      </w:r>
      <w:r w:rsidR="00B540F4" w:rsidRPr="00430E24">
        <w:rPr>
          <w:color w:val="FF0000"/>
          <w:sz w:val="24"/>
          <w:szCs w:val="24"/>
        </w:rPr>
        <w:t>ealth</w:t>
      </w:r>
      <w:r w:rsidR="00430E24" w:rsidRPr="00430E24">
        <w:rPr>
          <w:color w:val="FF0000"/>
          <w:sz w:val="24"/>
          <w:szCs w:val="24"/>
        </w:rPr>
        <w:t xml:space="preserve"> </w:t>
      </w:r>
      <w:r w:rsidR="00A92125" w:rsidRPr="00430E24">
        <w:rPr>
          <w:color w:val="FF0000"/>
          <w:sz w:val="24"/>
          <w:szCs w:val="24"/>
        </w:rPr>
        <w:t>O</w:t>
      </w:r>
      <w:r w:rsidR="00B540F4" w:rsidRPr="00430E24">
        <w:rPr>
          <w:color w:val="FF0000"/>
          <w:sz w:val="24"/>
          <w:szCs w:val="24"/>
        </w:rPr>
        <w:t>rganisation (WHO)</w:t>
      </w:r>
      <w:r w:rsidR="00A92125" w:rsidRPr="00430E24">
        <w:rPr>
          <w:color w:val="FF0000"/>
          <w:sz w:val="24"/>
          <w:szCs w:val="24"/>
        </w:rPr>
        <w:t xml:space="preserve"> definition acknowledges that standards will necessarily reflect local contexts.</w:t>
      </w:r>
      <w:r w:rsidR="00A92125" w:rsidRPr="00C35A91">
        <w:rPr>
          <w:sz w:val="24"/>
          <w:szCs w:val="24"/>
        </w:rPr>
        <w:t xml:space="preserve"> Hence, although resource limitations may impact the range of services offered, they are not an excuse for </w:t>
      </w:r>
      <w:r w:rsidR="00A92125" w:rsidRPr="00F44F82">
        <w:rPr>
          <w:sz w:val="24"/>
          <w:szCs w:val="24"/>
        </w:rPr>
        <w:t>poor practices.</w:t>
      </w:r>
      <w:r w:rsidR="00A92125" w:rsidRPr="00F44F82">
        <w:rPr>
          <w:rFonts w:cs="Arial"/>
          <w:sz w:val="24"/>
          <w:szCs w:val="24"/>
        </w:rPr>
        <w:t xml:space="preserve"> Most definitions focus on the avoidance of harm</w:t>
      </w:r>
      <w:r w:rsidR="00EF71D2" w:rsidRPr="00F44F82">
        <w:rPr>
          <w:rFonts w:cs="Arial"/>
          <w:sz w:val="24"/>
          <w:szCs w:val="24"/>
        </w:rPr>
        <w:t>.</w:t>
      </w:r>
      <w:r w:rsidR="002C0FEE">
        <w:rPr>
          <w:rFonts w:cs="Arial"/>
          <w:sz w:val="24"/>
          <w:szCs w:val="24"/>
        </w:rPr>
        <w:t xml:space="preserve"> </w:t>
      </w:r>
      <w:r w:rsidR="00EF71D2" w:rsidRPr="00F44F82">
        <w:rPr>
          <w:rFonts w:cs="Arial"/>
          <w:sz w:val="24"/>
          <w:szCs w:val="24"/>
        </w:rPr>
        <w:t xml:space="preserve">On the one hand, </w:t>
      </w:r>
      <w:r w:rsidR="00A92125" w:rsidRPr="00F44F82">
        <w:rPr>
          <w:rFonts w:cs="Arial"/>
          <w:sz w:val="24"/>
          <w:szCs w:val="24"/>
        </w:rPr>
        <w:t xml:space="preserve">the </w:t>
      </w:r>
      <w:r w:rsidR="00A92125" w:rsidRPr="00F44F82">
        <w:rPr>
          <w:sz w:val="24"/>
          <w:szCs w:val="24"/>
        </w:rPr>
        <w:t xml:space="preserve">Royal College of Physicians and Surgeons of Canada </w:t>
      </w:r>
      <w:r w:rsidR="00EF71D2" w:rsidRPr="00F44F82">
        <w:rPr>
          <w:sz w:val="24"/>
          <w:szCs w:val="24"/>
        </w:rPr>
        <w:t>considers the</w:t>
      </w:r>
      <w:r w:rsidR="00A92125" w:rsidRPr="00F44F82">
        <w:rPr>
          <w:sz w:val="24"/>
          <w:szCs w:val="24"/>
        </w:rPr>
        <w:t xml:space="preserve"> achievement of the optimal outcomes for each patient</w:t>
      </w:r>
      <w:r w:rsidR="005407D9" w:rsidRPr="00F44F82">
        <w:rPr>
          <w:sz w:val="24"/>
          <w:szCs w:val="24"/>
        </w:rPr>
        <w:t>,</w:t>
      </w:r>
      <w:r w:rsidR="002C0FEE">
        <w:rPr>
          <w:sz w:val="24"/>
          <w:szCs w:val="24"/>
        </w:rPr>
        <w:t xml:space="preserve"> </w:t>
      </w:r>
      <w:r w:rsidR="00F44F82" w:rsidRPr="00F44F82">
        <w:rPr>
          <w:sz w:val="24"/>
          <w:szCs w:val="24"/>
        </w:rPr>
        <w:t>“t</w:t>
      </w:r>
      <w:r w:rsidR="00A92125" w:rsidRPr="00F44F82">
        <w:rPr>
          <w:sz w:val="24"/>
          <w:szCs w:val="24"/>
        </w:rPr>
        <w:t>he reduction and mitigation of unsafe acts within the healthcare system, as well as through the use of best practices shown to lead to optimal patient outcomes</w:t>
      </w:r>
      <w:r w:rsidR="00F44F82" w:rsidRPr="00F44F82">
        <w:rPr>
          <w:sz w:val="24"/>
          <w:szCs w:val="24"/>
        </w:rPr>
        <w:t xml:space="preserve">” </w:t>
      </w:r>
      <w:r w:rsidR="00A92125" w:rsidRPr="00F44F82">
        <w:rPr>
          <w:sz w:val="24"/>
          <w:szCs w:val="24"/>
        </w:rPr>
        <w:t>(</w:t>
      </w:r>
      <w:r w:rsidR="00A92125" w:rsidRPr="00F44F82">
        <w:rPr>
          <w:rFonts w:eastAsia="Calibri" w:cs="Arial"/>
          <w:sz w:val="24"/>
          <w:szCs w:val="24"/>
          <w:lang w:val="en-US"/>
        </w:rPr>
        <w:t>Davies, Hebert &amp; Hoffman</w:t>
      </w:r>
      <w:r w:rsidR="001B4865" w:rsidRPr="00F44F82">
        <w:rPr>
          <w:rFonts w:eastAsia="Calibri" w:cs="Arial"/>
          <w:sz w:val="24"/>
          <w:szCs w:val="24"/>
          <w:lang w:val="en-US"/>
        </w:rPr>
        <w:t xml:space="preserve">, </w:t>
      </w:r>
      <w:r w:rsidR="00A92125" w:rsidRPr="00F44F82">
        <w:rPr>
          <w:rFonts w:eastAsia="Calibri" w:cs="Arial"/>
          <w:sz w:val="24"/>
          <w:szCs w:val="24"/>
          <w:lang w:val="en-US"/>
        </w:rPr>
        <w:t>2003</w:t>
      </w:r>
      <w:r w:rsidR="00F44F82" w:rsidRPr="00F44F82">
        <w:rPr>
          <w:rFonts w:eastAsia="Calibri" w:cs="Arial"/>
          <w:sz w:val="24"/>
          <w:szCs w:val="24"/>
          <w:lang w:val="en-US"/>
        </w:rPr>
        <w:t xml:space="preserve">, </w:t>
      </w:r>
      <w:r w:rsidR="00F44F82" w:rsidRPr="00430E24">
        <w:rPr>
          <w:rFonts w:eastAsia="Calibri" w:cs="Arial"/>
          <w:color w:val="FF0000"/>
          <w:sz w:val="24"/>
          <w:szCs w:val="24"/>
          <w:lang w:val="en-US"/>
        </w:rPr>
        <w:t>p</w:t>
      </w:r>
      <w:r w:rsidRPr="00430E24">
        <w:rPr>
          <w:rFonts w:eastAsia="Calibri" w:cs="Arial"/>
          <w:color w:val="FF0000"/>
          <w:sz w:val="24"/>
          <w:szCs w:val="24"/>
          <w:lang w:val="en-US"/>
        </w:rPr>
        <w:t>12</w:t>
      </w:r>
      <w:r w:rsidR="00A92125" w:rsidRPr="00F44F82">
        <w:rPr>
          <w:rFonts w:eastAsia="Calibri" w:cs="Arial"/>
          <w:sz w:val="24"/>
          <w:szCs w:val="24"/>
          <w:lang w:val="en-US"/>
        </w:rPr>
        <w:t>).</w:t>
      </w:r>
      <w:r w:rsidRPr="008971C4">
        <w:rPr>
          <w:rFonts w:eastAsia="Calibri" w:cs="Arial"/>
          <w:sz w:val="24"/>
          <w:szCs w:val="24"/>
          <w:lang w:val="en-US"/>
        </w:rPr>
        <w:t xml:space="preserve">The Institute of Medicine (IOM) in the United States of America (USA)in their pivotal report to </w:t>
      </w:r>
      <w:r w:rsidRPr="008971C4">
        <w:rPr>
          <w:rFonts w:eastAsia="Calibri" w:cs="Arial"/>
          <w:i/>
          <w:sz w:val="24"/>
          <w:szCs w:val="24"/>
          <w:lang w:val="en-US"/>
        </w:rPr>
        <w:t xml:space="preserve">Err is Human </w:t>
      </w:r>
      <w:r w:rsidRPr="008971C4">
        <w:rPr>
          <w:rFonts w:eastAsia="Calibri" w:cs="Arial"/>
          <w:sz w:val="24"/>
          <w:szCs w:val="24"/>
          <w:lang w:val="en-US"/>
        </w:rPr>
        <w:t xml:space="preserve">stated ‘safety’ was ‘freedom from accidental injury’ (Institute of Medicine 1999, </w:t>
      </w:r>
      <w:r w:rsidRPr="00430E24">
        <w:rPr>
          <w:rFonts w:eastAsia="Calibri" w:cs="Arial"/>
          <w:color w:val="FF0000"/>
          <w:sz w:val="24"/>
          <w:szCs w:val="24"/>
          <w:lang w:val="en-US"/>
        </w:rPr>
        <w:t>p4</w:t>
      </w:r>
      <w:r w:rsidRPr="008971C4">
        <w:rPr>
          <w:rFonts w:eastAsia="Calibri" w:cs="Arial"/>
          <w:sz w:val="24"/>
          <w:szCs w:val="24"/>
          <w:lang w:val="en-US"/>
        </w:rPr>
        <w:t>) further defined as“</w:t>
      </w:r>
      <w:r w:rsidRPr="008971C4">
        <w:rPr>
          <w:sz w:val="24"/>
          <w:szCs w:val="24"/>
        </w:rPr>
        <w:t>the prevention of harm to patients” (</w:t>
      </w:r>
      <w:r w:rsidRPr="008971C4">
        <w:rPr>
          <w:rFonts w:eastAsia="Calibri" w:cs="Arial"/>
          <w:sz w:val="24"/>
          <w:szCs w:val="24"/>
          <w:lang w:val="en-US"/>
        </w:rPr>
        <w:t>Aspden, Corrigan &amp; Wolcott, Erikson 2004</w:t>
      </w:r>
      <w:r w:rsidR="00430E24">
        <w:rPr>
          <w:rFonts w:eastAsia="Calibri" w:cs="Arial"/>
          <w:sz w:val="24"/>
          <w:szCs w:val="24"/>
          <w:lang w:val="en-US"/>
        </w:rPr>
        <w:t>,</w:t>
      </w:r>
      <w:r w:rsidRPr="008971C4">
        <w:rPr>
          <w:rFonts w:eastAsia="Calibri" w:cs="Arial"/>
          <w:sz w:val="24"/>
          <w:szCs w:val="24"/>
          <w:lang w:val="en-US"/>
        </w:rPr>
        <w:t xml:space="preserve"> </w:t>
      </w:r>
      <w:r w:rsidRPr="00430E24">
        <w:rPr>
          <w:rFonts w:eastAsia="Calibri" w:cs="Arial"/>
          <w:color w:val="FF0000"/>
          <w:sz w:val="24"/>
          <w:szCs w:val="24"/>
          <w:lang w:val="en-US"/>
        </w:rPr>
        <w:t>p5</w:t>
      </w:r>
      <w:r>
        <w:rPr>
          <w:rFonts w:eastAsia="Calibri" w:cs="Arial"/>
          <w:sz w:val="24"/>
          <w:szCs w:val="24"/>
          <w:lang w:val="en-US"/>
        </w:rPr>
        <w:t xml:space="preserve">). </w:t>
      </w:r>
      <w:r w:rsidR="00EF71D2" w:rsidRPr="00F44F82">
        <w:rPr>
          <w:rFonts w:eastAsia="Calibri" w:cs="Arial"/>
          <w:sz w:val="24"/>
          <w:szCs w:val="24"/>
          <w:lang w:val="en-US"/>
        </w:rPr>
        <w:t>Clearly there remains a large</w:t>
      </w:r>
      <w:r w:rsidR="00EF71D2" w:rsidRPr="00C35A91">
        <w:rPr>
          <w:rFonts w:eastAsia="Calibri" w:cs="Arial"/>
          <w:sz w:val="24"/>
          <w:szCs w:val="24"/>
          <w:lang w:val="en-US"/>
        </w:rPr>
        <w:t xml:space="preserve"> interpretive margin, in which IPE must demarc</w:t>
      </w:r>
      <w:r w:rsidR="00222FC1" w:rsidRPr="00C35A91">
        <w:rPr>
          <w:rFonts w:eastAsia="Calibri" w:cs="Arial"/>
          <w:sz w:val="24"/>
          <w:szCs w:val="24"/>
          <w:lang w:val="en-US"/>
        </w:rPr>
        <w:t>ate its distinctive perspective which would include collective endeavor with patient dialogue.</w:t>
      </w:r>
    </w:p>
    <w:p w:rsidR="001B3B0F" w:rsidRPr="00C35A91" w:rsidRDefault="001B3B0F" w:rsidP="000A016D">
      <w:pPr>
        <w:spacing w:after="0" w:line="360" w:lineRule="auto"/>
        <w:rPr>
          <w:sz w:val="24"/>
          <w:szCs w:val="24"/>
        </w:rPr>
      </w:pPr>
    </w:p>
    <w:p w:rsidR="0014766B" w:rsidRPr="00C35A91" w:rsidRDefault="0014766B" w:rsidP="0014766B">
      <w:pPr>
        <w:spacing w:after="0" w:line="360" w:lineRule="auto"/>
        <w:rPr>
          <w:rFonts w:eastAsia="Calibri" w:cs="Arial"/>
          <w:sz w:val="24"/>
          <w:szCs w:val="24"/>
          <w:lang w:val="en-US"/>
        </w:rPr>
      </w:pPr>
      <w:r w:rsidRPr="00C35A91">
        <w:rPr>
          <w:rFonts w:eastAsia="Calibri" w:cs="Arial"/>
          <w:sz w:val="24"/>
          <w:szCs w:val="24"/>
          <w:lang w:val="en-US"/>
        </w:rPr>
        <w:t>For the interprofessional movement</w:t>
      </w:r>
      <w:r w:rsidR="008A0A7A" w:rsidRPr="00C35A91">
        <w:rPr>
          <w:rFonts w:eastAsia="Calibri" w:cs="Arial"/>
          <w:sz w:val="24"/>
          <w:szCs w:val="24"/>
          <w:lang w:val="en-US"/>
        </w:rPr>
        <w:t xml:space="preserve"> which</w:t>
      </w:r>
      <w:r w:rsidR="00EF3555" w:rsidRPr="00C35A91">
        <w:rPr>
          <w:rFonts w:eastAsia="Calibri" w:cs="Arial"/>
          <w:sz w:val="24"/>
          <w:szCs w:val="24"/>
          <w:lang w:val="en-US"/>
        </w:rPr>
        <w:t xml:space="preserve"> advocates for interprofessional</w:t>
      </w:r>
      <w:r w:rsidR="002C0FEE">
        <w:rPr>
          <w:rFonts w:eastAsia="Calibri" w:cs="Arial"/>
          <w:sz w:val="24"/>
          <w:szCs w:val="24"/>
          <w:lang w:val="en-US"/>
        </w:rPr>
        <w:t xml:space="preserve"> </w:t>
      </w:r>
      <w:r w:rsidR="004A659A" w:rsidRPr="00C35A91">
        <w:rPr>
          <w:rFonts w:eastAsia="Calibri" w:cs="Arial"/>
          <w:sz w:val="24"/>
          <w:szCs w:val="24"/>
          <w:lang w:val="en-US"/>
        </w:rPr>
        <w:t>learning</w:t>
      </w:r>
      <w:r w:rsidR="00EF3555" w:rsidRPr="00C35A91">
        <w:rPr>
          <w:rFonts w:eastAsia="Calibri" w:cs="Arial"/>
          <w:sz w:val="24"/>
          <w:szCs w:val="24"/>
          <w:lang w:val="en-US"/>
        </w:rPr>
        <w:t xml:space="preserve"> (IP</w:t>
      </w:r>
      <w:r w:rsidR="004A659A" w:rsidRPr="00C35A91">
        <w:rPr>
          <w:rFonts w:eastAsia="Calibri" w:cs="Arial"/>
          <w:sz w:val="24"/>
          <w:szCs w:val="24"/>
          <w:lang w:val="en-US"/>
        </w:rPr>
        <w:t>L</w:t>
      </w:r>
      <w:r w:rsidR="00EF3555" w:rsidRPr="00C35A91">
        <w:rPr>
          <w:rFonts w:eastAsia="Calibri" w:cs="Arial"/>
          <w:sz w:val="24"/>
          <w:szCs w:val="24"/>
          <w:lang w:val="en-US"/>
        </w:rPr>
        <w:t>)</w:t>
      </w:r>
      <w:r w:rsidR="008A0A7A" w:rsidRPr="00C35A91">
        <w:rPr>
          <w:rFonts w:eastAsia="Calibri" w:cs="Arial"/>
          <w:sz w:val="24"/>
          <w:szCs w:val="24"/>
          <w:lang w:val="en-US"/>
        </w:rPr>
        <w:t xml:space="preserve"> there has been a growing interest in team form</w:t>
      </w:r>
      <w:r w:rsidR="00D22B52" w:rsidRPr="00C35A91">
        <w:rPr>
          <w:rFonts w:eastAsia="Calibri" w:cs="Arial"/>
          <w:sz w:val="24"/>
          <w:szCs w:val="24"/>
          <w:lang w:val="en-US"/>
        </w:rPr>
        <w:t>ation</w:t>
      </w:r>
      <w:r w:rsidR="008A0A7A" w:rsidRPr="00C35A91">
        <w:rPr>
          <w:rFonts w:eastAsia="Calibri" w:cs="Arial"/>
          <w:sz w:val="24"/>
          <w:szCs w:val="24"/>
          <w:lang w:val="en-US"/>
        </w:rPr>
        <w:t xml:space="preserve"> and effectiv</w:t>
      </w:r>
      <w:r w:rsidR="00D22B52" w:rsidRPr="00C35A91">
        <w:rPr>
          <w:rFonts w:eastAsia="Calibri" w:cs="Arial"/>
          <w:sz w:val="24"/>
          <w:szCs w:val="24"/>
          <w:lang w:val="en-US"/>
        </w:rPr>
        <w:t>eness</w:t>
      </w:r>
      <w:r w:rsidR="008A0A7A" w:rsidRPr="00C35A91">
        <w:rPr>
          <w:rFonts w:eastAsia="Calibri" w:cs="Arial"/>
          <w:sz w:val="24"/>
          <w:szCs w:val="24"/>
          <w:lang w:val="en-US"/>
        </w:rPr>
        <w:t xml:space="preserve"> for optimal outcomes for patients and service users</w:t>
      </w:r>
      <w:r w:rsidR="004A659A" w:rsidRPr="00C35A91">
        <w:rPr>
          <w:rFonts w:eastAsia="Calibri" w:cs="Arial"/>
          <w:sz w:val="24"/>
          <w:szCs w:val="24"/>
          <w:lang w:val="en-US"/>
        </w:rPr>
        <w:t xml:space="preserve"> (</w:t>
      </w:r>
      <w:r w:rsidR="00B81D89" w:rsidRPr="00C35A91">
        <w:rPr>
          <w:rFonts w:eastAsia="Calibri" w:cs="Arial"/>
          <w:sz w:val="24"/>
          <w:szCs w:val="24"/>
          <w:lang w:val="en-US"/>
        </w:rPr>
        <w:t>Bleakley, 2006; Weaver, Dy</w:t>
      </w:r>
      <w:r w:rsidR="002C0FEE">
        <w:rPr>
          <w:rFonts w:eastAsia="Calibri" w:cs="Arial"/>
          <w:sz w:val="24"/>
          <w:szCs w:val="24"/>
          <w:lang w:val="en-US"/>
        </w:rPr>
        <w:t xml:space="preserve"> </w:t>
      </w:r>
      <w:r w:rsidR="00B81D89" w:rsidRPr="00C35A91">
        <w:rPr>
          <w:rFonts w:eastAsia="Calibri" w:cs="Arial"/>
          <w:sz w:val="24"/>
          <w:szCs w:val="24"/>
          <w:lang w:val="en-US"/>
        </w:rPr>
        <w:t>&amp; Rosen, 2014)</w:t>
      </w:r>
      <w:r w:rsidRPr="00C35A91">
        <w:rPr>
          <w:rFonts w:eastAsia="Calibri" w:cs="Arial"/>
          <w:sz w:val="24"/>
          <w:szCs w:val="24"/>
          <w:lang w:val="en-US"/>
        </w:rPr>
        <w:t>. In 2006</w:t>
      </w:r>
      <w:r w:rsidR="008A0A7A" w:rsidRPr="00C35A91">
        <w:rPr>
          <w:rFonts w:eastAsia="Calibri" w:cs="Arial"/>
          <w:sz w:val="24"/>
          <w:szCs w:val="24"/>
          <w:lang w:val="en-US"/>
        </w:rPr>
        <w:t xml:space="preserve">, a </w:t>
      </w:r>
      <w:r w:rsidR="00BD6BE9">
        <w:rPr>
          <w:rFonts w:eastAsia="Calibri" w:cs="Arial"/>
          <w:sz w:val="24"/>
          <w:szCs w:val="24"/>
          <w:lang w:val="en-US"/>
        </w:rPr>
        <w:t xml:space="preserve">themed </w:t>
      </w:r>
      <w:r w:rsidR="009058FE" w:rsidRPr="00C35A91">
        <w:rPr>
          <w:rFonts w:eastAsia="Calibri" w:cs="Arial"/>
          <w:sz w:val="24"/>
          <w:szCs w:val="24"/>
          <w:lang w:val="en-US"/>
        </w:rPr>
        <w:t>edition</w:t>
      </w:r>
      <w:r w:rsidRPr="00C35A91">
        <w:rPr>
          <w:rFonts w:eastAsia="Calibri" w:cs="Arial"/>
          <w:sz w:val="24"/>
          <w:szCs w:val="24"/>
          <w:lang w:val="en-US"/>
        </w:rPr>
        <w:t xml:space="preserve">of the </w:t>
      </w:r>
      <w:r w:rsidRPr="00BD6BE9">
        <w:rPr>
          <w:rFonts w:eastAsia="Calibri" w:cs="Arial"/>
          <w:i/>
          <w:sz w:val="24"/>
          <w:szCs w:val="24"/>
          <w:lang w:val="en-US"/>
        </w:rPr>
        <w:t>Journal of Interprofessional Care</w:t>
      </w:r>
      <w:r w:rsidRPr="00C35A91">
        <w:rPr>
          <w:rFonts w:eastAsia="Calibri" w:cs="Arial"/>
          <w:sz w:val="24"/>
          <w:szCs w:val="24"/>
          <w:lang w:val="en-US"/>
        </w:rPr>
        <w:t xml:space="preserve"> featured a suite of papers aligning </w:t>
      </w:r>
      <w:r w:rsidR="00EF3555" w:rsidRPr="00C35A91">
        <w:rPr>
          <w:rFonts w:eastAsia="Calibri" w:cs="Arial"/>
          <w:sz w:val="24"/>
          <w:szCs w:val="24"/>
          <w:lang w:val="en-US"/>
        </w:rPr>
        <w:t>IPE</w:t>
      </w:r>
      <w:r w:rsidR="008A0A7A" w:rsidRPr="00C35A91">
        <w:rPr>
          <w:rFonts w:eastAsia="Calibri" w:cs="Arial"/>
          <w:sz w:val="24"/>
          <w:szCs w:val="24"/>
          <w:lang w:val="en-US"/>
        </w:rPr>
        <w:t xml:space="preserve"> with</w:t>
      </w:r>
      <w:r w:rsidRPr="00C35A91">
        <w:rPr>
          <w:rFonts w:eastAsia="Calibri" w:cs="Arial"/>
          <w:sz w:val="24"/>
          <w:szCs w:val="24"/>
          <w:lang w:val="en-US"/>
        </w:rPr>
        <w:t xml:space="preserve"> collaborative practice and patient safety (Schmitt, 2006). </w:t>
      </w:r>
      <w:r w:rsidR="00636726" w:rsidRPr="00C35A91">
        <w:rPr>
          <w:rFonts w:eastAsia="Calibri" w:cs="Arial"/>
          <w:sz w:val="24"/>
          <w:szCs w:val="24"/>
          <w:lang w:val="en-US"/>
        </w:rPr>
        <w:t xml:space="preserve">Again in 2008, patient safety came to the fore in several papers; in particular Dewitt and colleagues </w:t>
      </w:r>
      <w:r w:rsidR="008A0A7A" w:rsidRPr="00C35A91">
        <w:rPr>
          <w:rFonts w:eastAsia="Calibri" w:cs="Arial"/>
          <w:sz w:val="24"/>
          <w:szCs w:val="24"/>
          <w:lang w:val="en-US"/>
        </w:rPr>
        <w:t>considered</w:t>
      </w:r>
      <w:r w:rsidR="00636726" w:rsidRPr="00C35A91">
        <w:rPr>
          <w:rFonts w:eastAsia="Calibri" w:cs="Arial"/>
          <w:sz w:val="24"/>
          <w:szCs w:val="24"/>
          <w:lang w:val="en-US"/>
        </w:rPr>
        <w:t xml:space="preserve"> poor communication </w:t>
      </w:r>
      <w:r w:rsidR="008A0A7A" w:rsidRPr="00C35A91">
        <w:rPr>
          <w:rFonts w:eastAsia="Calibri" w:cs="Arial"/>
          <w:sz w:val="24"/>
          <w:szCs w:val="24"/>
          <w:lang w:val="en-US"/>
        </w:rPr>
        <w:t>and</w:t>
      </w:r>
      <w:r w:rsidR="00636726" w:rsidRPr="00C35A91">
        <w:rPr>
          <w:rFonts w:eastAsia="Calibri" w:cs="Arial"/>
          <w:sz w:val="24"/>
          <w:szCs w:val="24"/>
          <w:lang w:val="en-US"/>
        </w:rPr>
        <w:t xml:space="preserve"> personal conflicts </w:t>
      </w:r>
      <w:r w:rsidR="003D4936" w:rsidRPr="00C35A91">
        <w:rPr>
          <w:rFonts w:eastAsia="Calibri" w:cs="Arial"/>
          <w:sz w:val="24"/>
          <w:szCs w:val="24"/>
          <w:lang w:val="en-US"/>
        </w:rPr>
        <w:t xml:space="preserve">in team working </w:t>
      </w:r>
      <w:r w:rsidR="008A0A7A" w:rsidRPr="00C35A91">
        <w:rPr>
          <w:rFonts w:eastAsia="Calibri" w:cs="Arial"/>
          <w:sz w:val="24"/>
          <w:szCs w:val="24"/>
          <w:lang w:val="en-US"/>
        </w:rPr>
        <w:t xml:space="preserve">which </w:t>
      </w:r>
      <w:r w:rsidR="003D4936" w:rsidRPr="00C35A91">
        <w:rPr>
          <w:rFonts w:eastAsia="Calibri" w:cs="Arial"/>
          <w:sz w:val="24"/>
          <w:szCs w:val="24"/>
          <w:lang w:val="en-US"/>
        </w:rPr>
        <w:t>result</w:t>
      </w:r>
      <w:r w:rsidR="008A0A7A" w:rsidRPr="00C35A91">
        <w:rPr>
          <w:rFonts w:eastAsia="Calibri" w:cs="Arial"/>
          <w:sz w:val="24"/>
          <w:szCs w:val="24"/>
          <w:lang w:val="en-US"/>
        </w:rPr>
        <w:t>ed</w:t>
      </w:r>
      <w:r w:rsidR="002C0FEE">
        <w:rPr>
          <w:rFonts w:eastAsia="Calibri" w:cs="Arial"/>
          <w:sz w:val="24"/>
          <w:szCs w:val="24"/>
          <w:lang w:val="en-US"/>
        </w:rPr>
        <w:t xml:space="preserve"> </w:t>
      </w:r>
      <w:r w:rsidR="003D4936" w:rsidRPr="00C35A91">
        <w:rPr>
          <w:rFonts w:eastAsia="Calibri" w:cs="Arial"/>
          <w:sz w:val="24"/>
          <w:szCs w:val="24"/>
          <w:lang w:val="en-US"/>
        </w:rPr>
        <w:t>in</w:t>
      </w:r>
      <w:r w:rsidR="002C0FEE">
        <w:rPr>
          <w:rFonts w:eastAsia="Calibri" w:cs="Arial"/>
          <w:sz w:val="24"/>
          <w:szCs w:val="24"/>
          <w:lang w:val="en-US"/>
        </w:rPr>
        <w:t xml:space="preserve"> </w:t>
      </w:r>
      <w:r w:rsidR="003D4936" w:rsidRPr="00C35A91">
        <w:rPr>
          <w:rFonts w:eastAsia="Calibri" w:cs="Arial"/>
          <w:sz w:val="24"/>
          <w:szCs w:val="24"/>
          <w:lang w:val="en-US"/>
        </w:rPr>
        <w:t xml:space="preserve">medical error </w:t>
      </w:r>
      <w:r w:rsidR="00636726" w:rsidRPr="00C35A91">
        <w:rPr>
          <w:rFonts w:eastAsia="Calibri" w:cs="Arial"/>
          <w:sz w:val="24"/>
          <w:szCs w:val="24"/>
          <w:lang w:val="en-US"/>
        </w:rPr>
        <w:t xml:space="preserve">(Dewitt, Baldwin Steven &amp; Daugherty, 2008). </w:t>
      </w:r>
      <w:r w:rsidRPr="00C35A91">
        <w:rPr>
          <w:rFonts w:eastAsia="Calibri" w:cs="Arial"/>
          <w:sz w:val="24"/>
          <w:szCs w:val="24"/>
          <w:lang w:val="en-US"/>
        </w:rPr>
        <w:t xml:space="preserve">Today a plethora of papers continue to focus on team-training </w:t>
      </w:r>
      <w:r w:rsidR="003D4936" w:rsidRPr="00C35A91">
        <w:rPr>
          <w:rFonts w:eastAsia="Calibri" w:cs="Arial"/>
          <w:sz w:val="24"/>
          <w:szCs w:val="24"/>
          <w:lang w:val="en-US"/>
        </w:rPr>
        <w:t>and the importance of interprofessional</w:t>
      </w:r>
      <w:r w:rsidR="002C0FEE">
        <w:rPr>
          <w:rFonts w:eastAsia="Calibri" w:cs="Arial"/>
          <w:sz w:val="24"/>
          <w:szCs w:val="24"/>
          <w:lang w:val="en-US"/>
        </w:rPr>
        <w:t xml:space="preserve"> </w:t>
      </w:r>
      <w:r w:rsidR="003D4936" w:rsidRPr="00C35A91">
        <w:rPr>
          <w:rFonts w:eastAsia="Calibri" w:cs="Arial"/>
          <w:sz w:val="24"/>
          <w:szCs w:val="24"/>
          <w:lang w:val="en-US"/>
        </w:rPr>
        <w:t>communication</w:t>
      </w:r>
      <w:r w:rsidR="009058FE" w:rsidRPr="00C35A91">
        <w:rPr>
          <w:rFonts w:eastAsia="Calibri" w:cs="Arial"/>
          <w:sz w:val="24"/>
          <w:szCs w:val="24"/>
          <w:lang w:val="en-US"/>
        </w:rPr>
        <w:t>,</w:t>
      </w:r>
      <w:r w:rsidR="002C0FEE">
        <w:rPr>
          <w:rFonts w:eastAsia="Calibri" w:cs="Arial"/>
          <w:sz w:val="24"/>
          <w:szCs w:val="24"/>
          <w:lang w:val="en-US"/>
        </w:rPr>
        <w:t xml:space="preserve"> </w:t>
      </w:r>
      <w:r w:rsidRPr="00C35A91">
        <w:rPr>
          <w:rFonts w:eastAsia="Calibri" w:cs="Arial"/>
          <w:sz w:val="24"/>
          <w:szCs w:val="24"/>
          <w:lang w:val="en-US"/>
        </w:rPr>
        <w:t xml:space="preserve">many spearheaded by directives from the </w:t>
      </w:r>
      <w:r w:rsidR="00C01824" w:rsidRPr="00C35A91">
        <w:rPr>
          <w:rFonts w:eastAsia="Calibri" w:cs="Arial"/>
          <w:sz w:val="24"/>
          <w:szCs w:val="24"/>
          <w:lang w:val="en-US"/>
        </w:rPr>
        <w:t>WHO</w:t>
      </w:r>
      <w:r w:rsidR="003D4936" w:rsidRPr="00C35A91">
        <w:rPr>
          <w:rFonts w:eastAsia="Calibri" w:cs="Arial"/>
          <w:sz w:val="24"/>
          <w:szCs w:val="24"/>
          <w:lang w:val="en-US"/>
        </w:rPr>
        <w:t>,</w:t>
      </w:r>
      <w:r w:rsidRPr="00C35A91">
        <w:rPr>
          <w:rFonts w:eastAsia="Calibri" w:cs="Arial"/>
          <w:sz w:val="24"/>
          <w:szCs w:val="24"/>
          <w:lang w:val="en-US"/>
        </w:rPr>
        <w:t xml:space="preserve"> patient safety curriculum guide</w:t>
      </w:r>
      <w:r w:rsidR="00EF3555" w:rsidRPr="00C35A91">
        <w:rPr>
          <w:rFonts w:eastAsia="Calibri" w:cs="Arial"/>
          <w:sz w:val="24"/>
          <w:szCs w:val="24"/>
          <w:lang w:val="en-US"/>
        </w:rPr>
        <w:t xml:space="preserve">, which states the case for </w:t>
      </w:r>
      <w:r w:rsidR="00F44F82">
        <w:rPr>
          <w:rFonts w:eastAsia="Calibri" w:cs="Arial"/>
          <w:sz w:val="24"/>
          <w:szCs w:val="24"/>
          <w:lang w:val="en-US"/>
        </w:rPr>
        <w:t xml:space="preserve">collaborative </w:t>
      </w:r>
      <w:r w:rsidR="00EF3555" w:rsidRPr="00C35A91">
        <w:rPr>
          <w:rFonts w:eastAsia="Calibri" w:cs="Arial"/>
          <w:sz w:val="24"/>
          <w:szCs w:val="24"/>
          <w:lang w:val="en-US"/>
        </w:rPr>
        <w:t xml:space="preserve">education </w:t>
      </w:r>
      <w:r w:rsidRPr="00C35A91">
        <w:rPr>
          <w:rFonts w:eastAsia="Calibri" w:cs="Arial"/>
          <w:sz w:val="24"/>
          <w:szCs w:val="24"/>
          <w:lang w:val="en-US"/>
        </w:rPr>
        <w:t xml:space="preserve"> (WHO, 2011</w:t>
      </w:r>
      <w:r w:rsidR="003D4936" w:rsidRPr="00C35A91">
        <w:rPr>
          <w:rFonts w:eastAsia="Calibri" w:cs="Arial"/>
          <w:sz w:val="24"/>
          <w:szCs w:val="24"/>
          <w:lang w:val="en-US"/>
        </w:rPr>
        <w:t>; Brock et al., 2013</w:t>
      </w:r>
      <w:r w:rsidRPr="00C35A91">
        <w:rPr>
          <w:rFonts w:eastAsia="Calibri" w:cs="Arial"/>
          <w:sz w:val="24"/>
          <w:szCs w:val="24"/>
          <w:lang w:val="en-US"/>
        </w:rPr>
        <w:t xml:space="preserve">). </w:t>
      </w:r>
      <w:r w:rsidR="003E0401" w:rsidRPr="00C35A91">
        <w:rPr>
          <w:rFonts w:eastAsia="Calibri" w:cs="Arial"/>
          <w:sz w:val="24"/>
          <w:szCs w:val="24"/>
          <w:lang w:val="en-US"/>
        </w:rPr>
        <w:t>In this respect, history can provide some guidance of the efficiency of team working and the ways that effective team working has been encouraged or discouraged in the shaping of past healthcare systems</w:t>
      </w:r>
      <w:r w:rsidR="006603F1" w:rsidRPr="00C35A91">
        <w:rPr>
          <w:rFonts w:eastAsia="Calibri" w:cs="Arial"/>
          <w:sz w:val="24"/>
          <w:szCs w:val="24"/>
          <w:lang w:val="en-US"/>
        </w:rPr>
        <w:t xml:space="preserve"> (Jones, Greene, Duffin&amp; Warner, 2016)</w:t>
      </w:r>
      <w:r w:rsidR="003E0401" w:rsidRPr="00C35A91">
        <w:rPr>
          <w:rFonts w:eastAsia="Calibri" w:cs="Arial"/>
          <w:sz w:val="24"/>
          <w:szCs w:val="24"/>
          <w:lang w:val="en-US"/>
        </w:rPr>
        <w:t>.</w:t>
      </w:r>
    </w:p>
    <w:p w:rsidR="00D94A9B" w:rsidRPr="00C35A91" w:rsidRDefault="00D94A9B" w:rsidP="00D63F93">
      <w:pPr>
        <w:rPr>
          <w:b/>
          <w:sz w:val="24"/>
          <w:szCs w:val="24"/>
        </w:rPr>
      </w:pPr>
    </w:p>
    <w:p w:rsidR="00FC6932" w:rsidRPr="00C35A91" w:rsidRDefault="003C5850" w:rsidP="0014766B">
      <w:pPr>
        <w:spacing w:after="0" w:line="360" w:lineRule="auto"/>
        <w:rPr>
          <w:sz w:val="24"/>
          <w:szCs w:val="24"/>
        </w:rPr>
      </w:pPr>
      <w:r w:rsidRPr="00C35A91">
        <w:rPr>
          <w:b/>
          <w:sz w:val="24"/>
          <w:szCs w:val="24"/>
        </w:rPr>
        <w:t xml:space="preserve">Workshop 1: </w:t>
      </w:r>
      <w:r w:rsidR="006E174B" w:rsidRPr="00C35A91">
        <w:rPr>
          <w:b/>
          <w:sz w:val="24"/>
          <w:szCs w:val="24"/>
        </w:rPr>
        <w:t>looking back, going forward</w:t>
      </w:r>
    </w:p>
    <w:p w:rsidR="005D0AAD" w:rsidRPr="00C35A91" w:rsidRDefault="005D0AAD" w:rsidP="0014766B">
      <w:pPr>
        <w:spacing w:after="0" w:line="360" w:lineRule="auto"/>
        <w:rPr>
          <w:i/>
          <w:sz w:val="24"/>
          <w:szCs w:val="24"/>
        </w:rPr>
      </w:pPr>
      <w:r w:rsidRPr="00C35A91">
        <w:rPr>
          <w:i/>
          <w:sz w:val="24"/>
          <w:szCs w:val="24"/>
        </w:rPr>
        <w:t>Method</w:t>
      </w:r>
    </w:p>
    <w:p w:rsidR="005D0AAD" w:rsidRPr="00C35A91" w:rsidRDefault="003E0401" w:rsidP="0014766B">
      <w:pPr>
        <w:spacing w:after="0" w:line="360" w:lineRule="auto"/>
        <w:rPr>
          <w:sz w:val="24"/>
          <w:szCs w:val="24"/>
        </w:rPr>
      </w:pPr>
      <w:r w:rsidRPr="00C35A91">
        <w:rPr>
          <w:sz w:val="24"/>
          <w:szCs w:val="24"/>
        </w:rPr>
        <w:t xml:space="preserve">Our first workshop </w:t>
      </w:r>
      <w:r w:rsidR="004A659A" w:rsidRPr="00C35A91">
        <w:rPr>
          <w:sz w:val="24"/>
          <w:szCs w:val="24"/>
        </w:rPr>
        <w:t xml:space="preserve">was a one-day </w:t>
      </w:r>
      <w:r w:rsidRPr="00C35A91">
        <w:rPr>
          <w:sz w:val="24"/>
          <w:szCs w:val="24"/>
        </w:rPr>
        <w:t>event to bring together various pr</w:t>
      </w:r>
      <w:r w:rsidR="004806DF" w:rsidRPr="00C35A91">
        <w:rPr>
          <w:sz w:val="24"/>
          <w:szCs w:val="24"/>
        </w:rPr>
        <w:t>ofessions from health sectors and</w:t>
      </w:r>
      <w:r w:rsidRPr="00C35A91">
        <w:rPr>
          <w:sz w:val="24"/>
          <w:szCs w:val="24"/>
        </w:rPr>
        <w:t xml:space="preserve"> a range of academics in order to investigate the potential uses of history in medical education</w:t>
      </w:r>
      <w:r w:rsidR="00FC6932" w:rsidRPr="00C35A91">
        <w:rPr>
          <w:sz w:val="24"/>
          <w:szCs w:val="24"/>
        </w:rPr>
        <w:t xml:space="preserve">. Accreditation was provided from the Royal College of Physicians </w:t>
      </w:r>
      <w:r w:rsidR="00DA4F87" w:rsidRPr="00C35A91">
        <w:rPr>
          <w:sz w:val="24"/>
          <w:szCs w:val="24"/>
        </w:rPr>
        <w:t xml:space="preserve">in the UK </w:t>
      </w:r>
      <w:r w:rsidR="00FC6932" w:rsidRPr="00C35A91">
        <w:rPr>
          <w:sz w:val="24"/>
          <w:szCs w:val="24"/>
        </w:rPr>
        <w:t>and targeted healthcare professionals</w:t>
      </w:r>
      <w:r w:rsidR="005D0AAD" w:rsidRPr="00C35A91">
        <w:rPr>
          <w:sz w:val="24"/>
          <w:szCs w:val="24"/>
        </w:rPr>
        <w:t xml:space="preserve"> and academics</w:t>
      </w:r>
      <w:r w:rsidRPr="00C35A91">
        <w:rPr>
          <w:sz w:val="24"/>
          <w:szCs w:val="24"/>
        </w:rPr>
        <w:t xml:space="preserve">. </w:t>
      </w:r>
      <w:r w:rsidR="004A659A" w:rsidRPr="00C35A91">
        <w:rPr>
          <w:sz w:val="24"/>
          <w:szCs w:val="24"/>
        </w:rPr>
        <w:t xml:space="preserve"> Following a morning in which historical context of patient safety was shared, delegates attended a 120 minute workshop </w:t>
      </w:r>
      <w:r w:rsidR="009A585A" w:rsidRPr="00C35A91">
        <w:rPr>
          <w:sz w:val="24"/>
          <w:szCs w:val="24"/>
        </w:rPr>
        <w:t xml:space="preserve">to consider the possibilities for </w:t>
      </w:r>
      <w:r w:rsidR="001004D9" w:rsidRPr="00C35A91">
        <w:rPr>
          <w:sz w:val="24"/>
          <w:szCs w:val="24"/>
        </w:rPr>
        <w:t>IPE</w:t>
      </w:r>
      <w:r w:rsidR="009A585A" w:rsidRPr="00C35A91">
        <w:rPr>
          <w:sz w:val="24"/>
          <w:szCs w:val="24"/>
        </w:rPr>
        <w:t xml:space="preserve"> in today’s modern health and social care delivery.</w:t>
      </w:r>
      <w:r w:rsidR="002C0FEE">
        <w:rPr>
          <w:sz w:val="24"/>
          <w:szCs w:val="24"/>
        </w:rPr>
        <w:t xml:space="preserve"> </w:t>
      </w:r>
      <w:r w:rsidR="001004D9" w:rsidRPr="00C35A91">
        <w:rPr>
          <w:sz w:val="24"/>
          <w:szCs w:val="24"/>
        </w:rPr>
        <w:t>The</w:t>
      </w:r>
      <w:r w:rsidR="002C0FEE">
        <w:rPr>
          <w:sz w:val="24"/>
          <w:szCs w:val="24"/>
        </w:rPr>
        <w:t xml:space="preserve"> </w:t>
      </w:r>
      <w:r w:rsidR="00F1295A" w:rsidRPr="00C35A91">
        <w:rPr>
          <w:sz w:val="24"/>
          <w:szCs w:val="24"/>
        </w:rPr>
        <w:t>aims were to consider historical and modern view</w:t>
      </w:r>
      <w:r w:rsidR="00B540F4" w:rsidRPr="00C35A91">
        <w:rPr>
          <w:sz w:val="24"/>
          <w:szCs w:val="24"/>
        </w:rPr>
        <w:t>s</w:t>
      </w:r>
      <w:r w:rsidR="00F1295A" w:rsidRPr="00C35A91">
        <w:rPr>
          <w:sz w:val="24"/>
          <w:szCs w:val="24"/>
        </w:rPr>
        <w:t xml:space="preserve"> of patient safety using the lens of IPE. Participants </w:t>
      </w:r>
      <w:r w:rsidR="00DA4F87" w:rsidRPr="00C35A91">
        <w:rPr>
          <w:sz w:val="24"/>
          <w:szCs w:val="24"/>
        </w:rPr>
        <w:t>were primed with the following historical context</w:t>
      </w:r>
      <w:r w:rsidR="001004D9" w:rsidRPr="00C35A91">
        <w:rPr>
          <w:sz w:val="24"/>
          <w:szCs w:val="24"/>
        </w:rPr>
        <w:t>:</w:t>
      </w:r>
    </w:p>
    <w:p w:rsidR="005D0AAD" w:rsidRPr="00C35A91" w:rsidRDefault="005D0AAD" w:rsidP="0014766B">
      <w:pPr>
        <w:spacing w:after="0" w:line="360" w:lineRule="auto"/>
        <w:rPr>
          <w:sz w:val="24"/>
          <w:szCs w:val="24"/>
        </w:rPr>
      </w:pPr>
    </w:p>
    <w:p w:rsidR="00DA4F87" w:rsidRPr="00C35A91" w:rsidRDefault="00740D31" w:rsidP="004632FC">
      <w:pPr>
        <w:pStyle w:val="ListParagraph"/>
        <w:numPr>
          <w:ilvl w:val="0"/>
          <w:numId w:val="13"/>
        </w:numPr>
        <w:spacing w:after="0" w:line="360" w:lineRule="auto"/>
        <w:rPr>
          <w:rFonts w:eastAsia="Calibri" w:cs="Arial"/>
          <w:sz w:val="24"/>
          <w:szCs w:val="24"/>
          <w:lang w:val="en-US"/>
        </w:rPr>
      </w:pPr>
      <w:r w:rsidRPr="00C35A91">
        <w:rPr>
          <w:i/>
          <w:sz w:val="24"/>
          <w:szCs w:val="24"/>
        </w:rPr>
        <w:t>T</w:t>
      </w:r>
      <w:r w:rsidR="005D0AAD" w:rsidRPr="00C35A91">
        <w:rPr>
          <w:i/>
          <w:sz w:val="24"/>
          <w:szCs w:val="24"/>
        </w:rPr>
        <w:t>he historical context of medicine</w:t>
      </w:r>
      <w:r w:rsidR="005D0AAD" w:rsidRPr="00C35A91">
        <w:rPr>
          <w:sz w:val="24"/>
          <w:szCs w:val="24"/>
        </w:rPr>
        <w:t xml:space="preserve">: </w:t>
      </w:r>
      <w:r w:rsidR="00D71404" w:rsidRPr="00C35A91">
        <w:rPr>
          <w:sz w:val="24"/>
          <w:szCs w:val="24"/>
        </w:rPr>
        <w:t>The</w:t>
      </w:r>
      <w:r w:rsidR="004632FC" w:rsidRPr="00C35A91">
        <w:rPr>
          <w:sz w:val="24"/>
          <w:szCs w:val="24"/>
        </w:rPr>
        <w:t xml:space="preserve"> spirit of beneficent endeavour </w:t>
      </w:r>
      <w:r w:rsidR="00B81D89" w:rsidRPr="00C35A91">
        <w:rPr>
          <w:sz w:val="24"/>
          <w:szCs w:val="24"/>
        </w:rPr>
        <w:t xml:space="preserve">was outlined as this </w:t>
      </w:r>
      <w:r w:rsidR="004632FC" w:rsidRPr="00C35A91">
        <w:rPr>
          <w:sz w:val="24"/>
          <w:szCs w:val="24"/>
        </w:rPr>
        <w:t>has underpinned and (eventually) served as a uniting motif for the medical profession in recent history.</w:t>
      </w:r>
    </w:p>
    <w:p w:rsidR="00C35A91" w:rsidRPr="00C35A91" w:rsidRDefault="00C35A91" w:rsidP="00C35A91">
      <w:pPr>
        <w:pStyle w:val="ListParagraph"/>
        <w:spacing w:after="0" w:line="360" w:lineRule="auto"/>
        <w:ind w:left="1080"/>
        <w:rPr>
          <w:rFonts w:eastAsia="Calibri" w:cs="Arial"/>
          <w:sz w:val="24"/>
          <w:szCs w:val="24"/>
          <w:lang w:val="en-US"/>
        </w:rPr>
      </w:pPr>
    </w:p>
    <w:p w:rsidR="004632FC" w:rsidRPr="00C35A91" w:rsidRDefault="00B540F4" w:rsidP="00DA4F87">
      <w:pPr>
        <w:spacing w:after="0" w:line="360" w:lineRule="auto"/>
        <w:ind w:left="360"/>
        <w:rPr>
          <w:rFonts w:eastAsia="Calibri" w:cs="Arial"/>
          <w:sz w:val="24"/>
          <w:szCs w:val="24"/>
          <w:lang w:val="en-US"/>
        </w:rPr>
      </w:pPr>
      <w:r w:rsidRPr="00C35A91">
        <w:rPr>
          <w:sz w:val="24"/>
          <w:szCs w:val="24"/>
        </w:rPr>
        <w:t>The p</w:t>
      </w:r>
      <w:r w:rsidR="004F19EF" w:rsidRPr="00C35A91">
        <w:rPr>
          <w:sz w:val="24"/>
          <w:szCs w:val="24"/>
        </w:rPr>
        <w:t>articipants engaged with the long history of struggle in medicine</w:t>
      </w:r>
      <w:r w:rsidRPr="00C35A91">
        <w:rPr>
          <w:sz w:val="24"/>
          <w:szCs w:val="24"/>
        </w:rPr>
        <w:t>,</w:t>
      </w:r>
      <w:r w:rsidR="004F19EF" w:rsidRPr="00C35A91">
        <w:rPr>
          <w:sz w:val="24"/>
          <w:szCs w:val="24"/>
        </w:rPr>
        <w:t xml:space="preserve"> beginning with the controversies </w:t>
      </w:r>
      <w:r w:rsidR="00DA4F87" w:rsidRPr="00C35A91">
        <w:rPr>
          <w:sz w:val="24"/>
          <w:szCs w:val="24"/>
        </w:rPr>
        <w:t xml:space="preserve">enshrined </w:t>
      </w:r>
      <w:r w:rsidR="004F19EF" w:rsidRPr="00C35A91">
        <w:rPr>
          <w:sz w:val="24"/>
          <w:szCs w:val="24"/>
        </w:rPr>
        <w:t>in ‘The Oath’ which has become a modern emblem of patient safety</w:t>
      </w:r>
      <w:r w:rsidR="002E2C6F" w:rsidRPr="00C35A91">
        <w:rPr>
          <w:sz w:val="24"/>
          <w:szCs w:val="24"/>
        </w:rPr>
        <w:t xml:space="preserve"> (Eva, 2014)</w:t>
      </w:r>
      <w:r w:rsidR="004F19EF" w:rsidRPr="00C35A91">
        <w:rPr>
          <w:sz w:val="24"/>
          <w:szCs w:val="24"/>
        </w:rPr>
        <w:t xml:space="preserve">. </w:t>
      </w:r>
      <w:r w:rsidR="004632FC" w:rsidRPr="00C35A91">
        <w:rPr>
          <w:sz w:val="24"/>
          <w:szCs w:val="24"/>
        </w:rPr>
        <w:t xml:space="preserve"> Although </w:t>
      </w:r>
      <w:r w:rsidR="003B7BAA" w:rsidRPr="00C35A91">
        <w:rPr>
          <w:sz w:val="24"/>
          <w:szCs w:val="24"/>
        </w:rPr>
        <w:t>doubts remain</w:t>
      </w:r>
      <w:r w:rsidR="004632FC" w:rsidRPr="00C35A91">
        <w:rPr>
          <w:sz w:val="24"/>
          <w:szCs w:val="24"/>
        </w:rPr>
        <w:t xml:space="preserve"> as to the author, it has long-been attributed to Hippocrates or one of his students, evolving into the Hippocratic Oath (Miles, 2005</w:t>
      </w:r>
      <w:r w:rsidR="00772D0A">
        <w:rPr>
          <w:sz w:val="24"/>
          <w:szCs w:val="24"/>
        </w:rPr>
        <w:t>)</w:t>
      </w:r>
      <w:r w:rsidR="004632FC" w:rsidRPr="00C35A91">
        <w:rPr>
          <w:sz w:val="24"/>
          <w:szCs w:val="24"/>
        </w:rPr>
        <w:t>: internationally, a lynchpin for medical education and a byword for ethical medical practice. The Oath’s reference to keeping patients from ‘harm’ is also apparent in Hippocrate’s</w:t>
      </w:r>
      <w:r w:rsidR="004632FC" w:rsidRPr="00C35A91">
        <w:rPr>
          <w:i/>
          <w:sz w:val="24"/>
          <w:szCs w:val="24"/>
        </w:rPr>
        <w:t>Epidemics</w:t>
      </w:r>
      <w:r w:rsidR="004632FC" w:rsidRPr="00C35A91">
        <w:rPr>
          <w:sz w:val="24"/>
          <w:szCs w:val="24"/>
        </w:rPr>
        <w:t>, which has since developed into the principle of ‘</w:t>
      </w:r>
      <w:r w:rsidR="004632FC" w:rsidRPr="00C35A91">
        <w:rPr>
          <w:i/>
          <w:sz w:val="24"/>
          <w:szCs w:val="24"/>
        </w:rPr>
        <w:t>primum non nocere’ ‘</w:t>
      </w:r>
      <w:r w:rsidR="004632FC" w:rsidRPr="00C35A91">
        <w:rPr>
          <w:rFonts w:eastAsia="Calibri" w:cs="Arial"/>
          <w:i/>
          <w:sz w:val="24"/>
          <w:szCs w:val="24"/>
          <w:lang w:val="en-US"/>
        </w:rPr>
        <w:t>to do good or to do no harm’</w:t>
      </w:r>
      <w:r w:rsidR="004632FC" w:rsidRPr="00C35A91">
        <w:rPr>
          <w:rFonts w:eastAsia="Calibri" w:cs="Arial"/>
          <w:sz w:val="24"/>
          <w:szCs w:val="24"/>
          <w:lang w:val="en-US"/>
        </w:rPr>
        <w:t xml:space="preserve">– an aphorism that most medical students </w:t>
      </w:r>
      <w:r w:rsidR="004F19EF" w:rsidRPr="00C35A91">
        <w:rPr>
          <w:rFonts w:eastAsia="Calibri" w:cs="Arial"/>
          <w:sz w:val="24"/>
          <w:szCs w:val="24"/>
          <w:lang w:val="en-US"/>
        </w:rPr>
        <w:t xml:space="preserve">today </w:t>
      </w:r>
      <w:r w:rsidR="004632FC" w:rsidRPr="00C35A91">
        <w:rPr>
          <w:rFonts w:eastAsia="Calibri" w:cs="Arial"/>
          <w:sz w:val="24"/>
          <w:szCs w:val="24"/>
          <w:lang w:val="en-US"/>
        </w:rPr>
        <w:t xml:space="preserve">retain as a guiding light in their subsequent careers. </w:t>
      </w:r>
      <w:r w:rsidR="00925CB4" w:rsidRPr="00C35A91">
        <w:rPr>
          <w:rFonts w:eastAsia="Calibri" w:cs="Arial"/>
          <w:sz w:val="24"/>
          <w:szCs w:val="24"/>
          <w:lang w:val="en-US"/>
        </w:rPr>
        <w:t xml:space="preserve">However doctors concerns for patient safety in the past were not necessarily influenced by the Oath and medical ethics contrasted with </w:t>
      </w:r>
      <w:r w:rsidR="001B4865" w:rsidRPr="00C35A91">
        <w:rPr>
          <w:rFonts w:eastAsia="Calibri" w:cs="Arial"/>
          <w:sz w:val="24"/>
          <w:szCs w:val="24"/>
          <w:lang w:val="en-US"/>
        </w:rPr>
        <w:t>today’s</w:t>
      </w:r>
      <w:r w:rsidR="00925CB4" w:rsidRPr="00C35A91">
        <w:rPr>
          <w:rFonts w:eastAsia="Calibri" w:cs="Arial"/>
          <w:sz w:val="24"/>
          <w:szCs w:val="24"/>
          <w:lang w:val="en-US"/>
        </w:rPr>
        <w:t xml:space="preserve"> understandings (</w:t>
      </w:r>
      <w:r w:rsidR="003B7BAA" w:rsidRPr="00C35A91">
        <w:rPr>
          <w:rFonts w:eastAsia="Calibri" w:cs="Arial"/>
          <w:sz w:val="24"/>
          <w:szCs w:val="24"/>
          <w:lang w:val="en-US"/>
        </w:rPr>
        <w:t xml:space="preserve">Baker </w:t>
      </w:r>
      <w:r w:rsidR="001B4865" w:rsidRPr="00C35A91">
        <w:rPr>
          <w:rFonts w:eastAsia="Calibri" w:cs="Arial"/>
          <w:sz w:val="24"/>
          <w:szCs w:val="24"/>
          <w:lang w:val="en-US"/>
        </w:rPr>
        <w:t>&amp;</w:t>
      </w:r>
      <w:r w:rsidR="003B7BAA" w:rsidRPr="00C35A91">
        <w:rPr>
          <w:rFonts w:eastAsia="Calibri" w:cs="Arial"/>
          <w:sz w:val="24"/>
          <w:szCs w:val="24"/>
          <w:lang w:val="en-US"/>
        </w:rPr>
        <w:t xml:space="preserve"> McCullough, 2008</w:t>
      </w:r>
      <w:r w:rsidR="00925CB4" w:rsidRPr="00C35A91">
        <w:rPr>
          <w:rFonts w:eastAsia="Calibri" w:cs="Arial"/>
          <w:sz w:val="24"/>
          <w:szCs w:val="24"/>
          <w:lang w:val="en-US"/>
        </w:rPr>
        <w:t>).</w:t>
      </w:r>
    </w:p>
    <w:p w:rsidR="0031204E" w:rsidRPr="00C35A91" w:rsidRDefault="0031204E" w:rsidP="00DA4F87">
      <w:pPr>
        <w:spacing w:after="0" w:line="360" w:lineRule="auto"/>
        <w:ind w:left="360"/>
        <w:rPr>
          <w:rFonts w:eastAsia="Calibri" w:cs="Arial"/>
          <w:sz w:val="24"/>
          <w:szCs w:val="24"/>
          <w:lang w:val="en-US"/>
        </w:rPr>
      </w:pPr>
    </w:p>
    <w:p w:rsidR="004632FC" w:rsidRDefault="00D70F09" w:rsidP="004632FC">
      <w:pPr>
        <w:pStyle w:val="ListParagraph"/>
        <w:numPr>
          <w:ilvl w:val="0"/>
          <w:numId w:val="13"/>
        </w:numPr>
        <w:spacing w:after="0" w:line="360" w:lineRule="auto"/>
        <w:rPr>
          <w:rFonts w:eastAsia="Calibri" w:cs="Arial"/>
          <w:sz w:val="24"/>
          <w:szCs w:val="24"/>
          <w:lang w:val="en-US"/>
        </w:rPr>
      </w:pPr>
      <w:r w:rsidRPr="00C35A91">
        <w:rPr>
          <w:i/>
          <w:sz w:val="24"/>
          <w:szCs w:val="24"/>
        </w:rPr>
        <w:t>H</w:t>
      </w:r>
      <w:r w:rsidR="005D0AAD" w:rsidRPr="00C35A91">
        <w:rPr>
          <w:i/>
          <w:sz w:val="24"/>
          <w:szCs w:val="24"/>
        </w:rPr>
        <w:t xml:space="preserve">istorical cases </w:t>
      </w:r>
      <w:r w:rsidRPr="00C35A91">
        <w:rPr>
          <w:i/>
          <w:sz w:val="24"/>
          <w:szCs w:val="24"/>
        </w:rPr>
        <w:t>compared</w:t>
      </w:r>
      <w:r w:rsidR="004C77AD" w:rsidRPr="00C35A91">
        <w:rPr>
          <w:i/>
          <w:sz w:val="24"/>
          <w:szCs w:val="24"/>
        </w:rPr>
        <w:t>.</w:t>
      </w:r>
      <w:r w:rsidR="002C0FEE">
        <w:rPr>
          <w:i/>
          <w:sz w:val="24"/>
          <w:szCs w:val="24"/>
        </w:rPr>
        <w:t xml:space="preserve"> </w:t>
      </w:r>
      <w:r w:rsidR="00DA4F87" w:rsidRPr="00C35A91">
        <w:rPr>
          <w:sz w:val="24"/>
          <w:szCs w:val="24"/>
        </w:rPr>
        <w:t>Historical</w:t>
      </w:r>
      <w:r w:rsidR="00DA4F87" w:rsidRPr="00C35A91">
        <w:rPr>
          <w:rFonts w:eastAsia="Calibri" w:cs="Arial"/>
          <w:sz w:val="24"/>
          <w:szCs w:val="24"/>
          <w:lang w:val="en-US"/>
        </w:rPr>
        <w:t xml:space="preserve">UK </w:t>
      </w:r>
      <w:r w:rsidR="00DA4F87" w:rsidRPr="00C35A91">
        <w:rPr>
          <w:sz w:val="24"/>
          <w:szCs w:val="24"/>
        </w:rPr>
        <w:t xml:space="preserve">cases </w:t>
      </w:r>
      <w:r w:rsidR="004632FC" w:rsidRPr="00C35A91">
        <w:rPr>
          <w:rFonts w:eastAsia="Calibri" w:cs="Arial"/>
          <w:sz w:val="24"/>
          <w:szCs w:val="24"/>
          <w:lang w:val="en-US"/>
        </w:rPr>
        <w:t>are some of the most powerful but, arguably, underestimated themes and commonalities in an overlooked pre-history of patient safety</w:t>
      </w:r>
      <w:r w:rsidR="002C0FEE">
        <w:rPr>
          <w:rFonts w:eastAsia="Calibri" w:cs="Arial"/>
          <w:sz w:val="24"/>
          <w:szCs w:val="24"/>
          <w:lang w:val="en-US"/>
        </w:rPr>
        <w:t xml:space="preserve"> </w:t>
      </w:r>
      <w:r w:rsidR="00DA4F87" w:rsidRPr="00C35A91">
        <w:rPr>
          <w:rFonts w:eastAsia="Calibri" w:cs="Arial"/>
          <w:sz w:val="24"/>
          <w:szCs w:val="24"/>
          <w:lang w:val="en-US"/>
        </w:rPr>
        <w:t xml:space="preserve">and can be </w:t>
      </w:r>
      <w:r w:rsidR="001004D9" w:rsidRPr="00C35A91">
        <w:rPr>
          <w:rFonts w:eastAsia="Calibri" w:cs="Arial"/>
          <w:sz w:val="24"/>
          <w:szCs w:val="24"/>
          <w:lang w:val="en-US"/>
        </w:rPr>
        <w:t xml:space="preserve">compared with </w:t>
      </w:r>
      <w:r w:rsidRPr="00C35A91">
        <w:rPr>
          <w:rFonts w:eastAsia="Calibri" w:cs="Arial"/>
          <w:sz w:val="24"/>
          <w:szCs w:val="24"/>
          <w:lang w:val="en-US"/>
        </w:rPr>
        <w:t>recent history</w:t>
      </w:r>
      <w:r w:rsidR="001B4865" w:rsidRPr="00C35A91">
        <w:rPr>
          <w:sz w:val="24"/>
          <w:szCs w:val="24"/>
        </w:rPr>
        <w:t>(Table 1)</w:t>
      </w:r>
      <w:r w:rsidR="004632FC" w:rsidRPr="00C35A91">
        <w:rPr>
          <w:rFonts w:eastAsia="Calibri" w:cs="Arial"/>
          <w:sz w:val="24"/>
          <w:szCs w:val="24"/>
          <w:lang w:val="en-US"/>
        </w:rPr>
        <w:t xml:space="preserve">. </w:t>
      </w:r>
    </w:p>
    <w:p w:rsidR="00C35A91" w:rsidRPr="00C35A91" w:rsidRDefault="00C35A91" w:rsidP="00C35A91">
      <w:pPr>
        <w:spacing w:after="0" w:line="360" w:lineRule="auto"/>
        <w:rPr>
          <w:rFonts w:eastAsia="Calibri" w:cs="Arial"/>
          <w:sz w:val="24"/>
          <w:szCs w:val="24"/>
          <w:lang w:val="en-US"/>
        </w:rPr>
      </w:pPr>
    </w:p>
    <w:p w:rsidR="009E53F4" w:rsidRPr="00C35A91" w:rsidRDefault="0022213D" w:rsidP="00D70F09">
      <w:pPr>
        <w:spacing w:after="0" w:line="360" w:lineRule="auto"/>
        <w:rPr>
          <w:rFonts w:eastAsia="Calibri" w:cs="Arial"/>
          <w:sz w:val="24"/>
          <w:szCs w:val="24"/>
          <w:lang w:val="en-US"/>
        </w:rPr>
      </w:pPr>
      <w:r w:rsidRPr="00C35A91">
        <w:rPr>
          <w:rFonts w:eastAsia="Calibri" w:cs="Arial"/>
          <w:i/>
          <w:sz w:val="24"/>
          <w:szCs w:val="24"/>
          <w:lang w:val="en-US"/>
        </w:rPr>
        <w:t>Case</w:t>
      </w:r>
      <w:r w:rsidR="00DA4F87" w:rsidRPr="00C35A91">
        <w:rPr>
          <w:rFonts w:eastAsia="Calibri" w:cs="Arial"/>
          <w:i/>
          <w:sz w:val="24"/>
          <w:szCs w:val="24"/>
          <w:lang w:val="en-US"/>
        </w:rPr>
        <w:t xml:space="preserve"> 1</w:t>
      </w:r>
      <w:r w:rsidRPr="00C35A91">
        <w:rPr>
          <w:rFonts w:eastAsia="Calibri" w:cs="Arial"/>
          <w:i/>
          <w:sz w:val="24"/>
          <w:szCs w:val="24"/>
          <w:lang w:val="en-US"/>
        </w:rPr>
        <w:t>:</w:t>
      </w:r>
      <w:r w:rsidR="008971C4" w:rsidRPr="00302BDB">
        <w:rPr>
          <w:rFonts w:eastAsia="Calibri" w:cs="Arial"/>
          <w:color w:val="FF0000"/>
          <w:sz w:val="24"/>
          <w:szCs w:val="24"/>
          <w:lang w:val="en-US"/>
        </w:rPr>
        <w:t>In 1894 a public scandal in nursing, reported by Victorian media, shocked the world of poor law medicine (Price, 2015).</w:t>
      </w:r>
      <w:r w:rsidR="009E53F4" w:rsidRPr="00C35A91">
        <w:rPr>
          <w:rFonts w:eastAsia="Calibri" w:cs="Arial"/>
          <w:sz w:val="24"/>
          <w:szCs w:val="24"/>
          <w:lang w:val="en-US"/>
        </w:rPr>
        <w:t xml:space="preserve">In echoes of the recent Mid-Staffordshire Foundation Trust scandal, a </w:t>
      </w:r>
      <w:r w:rsidR="0031204E" w:rsidRPr="00C35A91">
        <w:rPr>
          <w:rFonts w:eastAsia="Calibri" w:cs="Arial"/>
          <w:sz w:val="24"/>
          <w:szCs w:val="24"/>
          <w:lang w:val="en-US"/>
        </w:rPr>
        <w:t xml:space="preserve">professional </w:t>
      </w:r>
      <w:r w:rsidR="009E53F4" w:rsidRPr="00C35A91">
        <w:rPr>
          <w:rFonts w:eastAsia="Calibri" w:cs="Arial"/>
          <w:sz w:val="24"/>
          <w:szCs w:val="24"/>
          <w:lang w:val="en-US"/>
        </w:rPr>
        <w:t>nurse</w:t>
      </w:r>
      <w:r w:rsidR="0031204E" w:rsidRPr="00C35A91">
        <w:rPr>
          <w:rFonts w:eastAsia="Calibri" w:cs="Arial"/>
          <w:sz w:val="24"/>
          <w:szCs w:val="24"/>
          <w:lang w:val="en-US"/>
        </w:rPr>
        <w:t>, Hinton,</w:t>
      </w:r>
      <w:r w:rsidR="009E53F4" w:rsidRPr="00C35A91">
        <w:rPr>
          <w:rFonts w:eastAsia="Calibri" w:cs="Arial"/>
          <w:sz w:val="24"/>
          <w:szCs w:val="24"/>
          <w:lang w:val="en-US"/>
        </w:rPr>
        <w:t xml:space="preserve"> had revealed the full extent of the neglect and abuse of aged patients in the Newton </w:t>
      </w:r>
      <w:r w:rsidR="00871A39" w:rsidRPr="00C35A91">
        <w:rPr>
          <w:rFonts w:eastAsia="Calibri" w:cs="Arial"/>
          <w:sz w:val="24"/>
          <w:szCs w:val="24"/>
          <w:lang w:val="en-US"/>
        </w:rPr>
        <w:t>Abbot Poor Law Infirmary. Hinton</w:t>
      </w:r>
      <w:r w:rsidR="009E53F4" w:rsidRPr="00C35A91">
        <w:rPr>
          <w:rFonts w:eastAsia="Calibri" w:cs="Arial"/>
          <w:sz w:val="24"/>
          <w:szCs w:val="24"/>
          <w:lang w:val="en-US"/>
        </w:rPr>
        <w:t xml:space="preserve"> graphically described the negligence and the abuse that she had witnessed being committed by untrained nurses </w:t>
      </w:r>
      <w:r w:rsidR="009453ED" w:rsidRPr="00C35A91">
        <w:rPr>
          <w:rFonts w:eastAsia="Calibri" w:cs="Arial"/>
          <w:sz w:val="24"/>
          <w:szCs w:val="24"/>
          <w:lang w:val="en-US"/>
        </w:rPr>
        <w:t xml:space="preserve">and ward attendants </w:t>
      </w:r>
      <w:r w:rsidR="001B4865" w:rsidRPr="00C35A91">
        <w:rPr>
          <w:rFonts w:eastAsia="Calibri" w:cs="Arial"/>
          <w:sz w:val="24"/>
          <w:szCs w:val="24"/>
          <w:lang w:val="en-US"/>
        </w:rPr>
        <w:t>(Table 1)</w:t>
      </w:r>
      <w:r w:rsidR="009E53F4" w:rsidRPr="00C35A91">
        <w:rPr>
          <w:rFonts w:eastAsia="Calibri" w:cs="Arial"/>
          <w:sz w:val="24"/>
          <w:szCs w:val="24"/>
          <w:lang w:val="en-US"/>
        </w:rPr>
        <w:t xml:space="preserve">. </w:t>
      </w:r>
      <w:r w:rsidR="009453ED" w:rsidRPr="00C35A91">
        <w:rPr>
          <w:rFonts w:eastAsia="Calibri" w:cs="Arial"/>
          <w:sz w:val="24"/>
          <w:szCs w:val="24"/>
          <w:lang w:val="en-US"/>
        </w:rPr>
        <w:t>T</w:t>
      </w:r>
      <w:r w:rsidR="009E53F4" w:rsidRPr="00C35A91">
        <w:rPr>
          <w:rFonts w:eastAsia="Calibri" w:cs="Arial"/>
          <w:sz w:val="24"/>
          <w:szCs w:val="24"/>
          <w:lang w:val="en-US"/>
        </w:rPr>
        <w:t xml:space="preserve">he </w:t>
      </w:r>
      <w:r w:rsidR="009E53F4" w:rsidRPr="00C35A91">
        <w:rPr>
          <w:rFonts w:eastAsia="Calibri" w:cs="Arial"/>
          <w:i/>
          <w:sz w:val="24"/>
          <w:szCs w:val="24"/>
          <w:lang w:val="en-US"/>
        </w:rPr>
        <w:t>BMJ</w:t>
      </w:r>
      <w:r w:rsidR="009E53F4" w:rsidRPr="00C35A91">
        <w:rPr>
          <w:rFonts w:eastAsia="Calibri" w:cs="Arial"/>
          <w:sz w:val="24"/>
          <w:szCs w:val="24"/>
          <w:lang w:val="en-US"/>
        </w:rPr>
        <w:t>undertook 50 investigations of infirmaries and hospitals</w:t>
      </w:r>
      <w:r w:rsidR="00B4684F" w:rsidRPr="00C35A91">
        <w:rPr>
          <w:rFonts w:eastAsia="Calibri" w:cs="Arial"/>
          <w:sz w:val="24"/>
          <w:szCs w:val="24"/>
          <w:lang w:val="en-US"/>
        </w:rPr>
        <w:t xml:space="preserve"> and instigated a watershed in how nurses were </w:t>
      </w:r>
      <w:r w:rsidR="00772D0A">
        <w:rPr>
          <w:rFonts w:eastAsia="Calibri" w:cs="Arial"/>
          <w:color w:val="000000" w:themeColor="text1"/>
          <w:sz w:val="24"/>
          <w:szCs w:val="24"/>
          <w:lang w:val="en-US"/>
        </w:rPr>
        <w:t>trained (White, 1978</w:t>
      </w:r>
      <w:r w:rsidR="00850B5E">
        <w:rPr>
          <w:rFonts w:eastAsia="Calibri" w:cs="Arial"/>
          <w:color w:val="000000" w:themeColor="text1"/>
          <w:sz w:val="24"/>
          <w:szCs w:val="24"/>
          <w:lang w:val="en-US"/>
        </w:rPr>
        <w:t xml:space="preserve">; </w:t>
      </w:r>
      <w:r w:rsidR="004C77AD" w:rsidRPr="00C35A91">
        <w:rPr>
          <w:rFonts w:eastAsia="Calibri" w:cs="Arial"/>
          <w:color w:val="000000" w:themeColor="text1"/>
          <w:sz w:val="24"/>
          <w:szCs w:val="24"/>
          <w:lang w:val="en-US"/>
        </w:rPr>
        <w:t>Maggs, 1983</w:t>
      </w:r>
      <w:r w:rsidR="00772D0A">
        <w:rPr>
          <w:rFonts w:eastAsia="Calibri" w:cs="Arial"/>
          <w:color w:val="000000" w:themeColor="text1"/>
          <w:sz w:val="24"/>
          <w:szCs w:val="24"/>
          <w:lang w:val="en-US"/>
        </w:rPr>
        <w:t>)</w:t>
      </w:r>
      <w:r w:rsidR="004C77AD" w:rsidRPr="00C35A91">
        <w:rPr>
          <w:rFonts w:eastAsia="Calibri" w:cs="Arial"/>
          <w:color w:val="000000" w:themeColor="text1"/>
          <w:sz w:val="24"/>
          <w:szCs w:val="24"/>
          <w:lang w:val="en-US"/>
        </w:rPr>
        <w:t xml:space="preserve">. There </w:t>
      </w:r>
      <w:r w:rsidR="0031204E" w:rsidRPr="00C35A91">
        <w:rPr>
          <w:rFonts w:eastAsia="Calibri" w:cs="Arial"/>
          <w:sz w:val="24"/>
          <w:szCs w:val="24"/>
          <w:lang w:val="en-US"/>
        </w:rPr>
        <w:t xml:space="preserve">are echoes in </w:t>
      </w:r>
      <w:r w:rsidR="00D40402" w:rsidRPr="00C35A91">
        <w:rPr>
          <w:rFonts w:eastAsia="Calibri" w:cs="Arial"/>
          <w:sz w:val="24"/>
          <w:szCs w:val="24"/>
          <w:lang w:val="en-US"/>
        </w:rPr>
        <w:t xml:space="preserve">the whistleblowing nurse for the Mid-Staffordshire </w:t>
      </w:r>
      <w:r w:rsidR="00621C94">
        <w:rPr>
          <w:rFonts w:eastAsia="Calibri" w:cs="Arial"/>
          <w:sz w:val="24"/>
          <w:szCs w:val="24"/>
          <w:lang w:val="en-US"/>
        </w:rPr>
        <w:t>National Health Trust (</w:t>
      </w:r>
      <w:r w:rsidR="00D40402" w:rsidRPr="00C35A91">
        <w:rPr>
          <w:rFonts w:eastAsia="Calibri" w:cs="Arial"/>
          <w:sz w:val="24"/>
          <w:szCs w:val="24"/>
          <w:lang w:val="en-US"/>
        </w:rPr>
        <w:t>NHS</w:t>
      </w:r>
      <w:r w:rsidR="00621C94">
        <w:rPr>
          <w:rFonts w:eastAsia="Calibri" w:cs="Arial"/>
          <w:sz w:val="24"/>
          <w:szCs w:val="24"/>
          <w:lang w:val="en-US"/>
        </w:rPr>
        <w:t>)</w:t>
      </w:r>
      <w:r w:rsidR="00D40402" w:rsidRPr="00C35A91">
        <w:rPr>
          <w:rFonts w:eastAsia="Calibri" w:cs="Arial"/>
          <w:sz w:val="24"/>
          <w:szCs w:val="24"/>
          <w:lang w:val="en-US"/>
        </w:rPr>
        <w:t xml:space="preserve"> Trust, </w:t>
      </w:r>
      <w:r w:rsidR="0031204E" w:rsidRPr="00C35A91">
        <w:rPr>
          <w:rFonts w:eastAsia="Calibri" w:cs="Arial"/>
          <w:sz w:val="24"/>
          <w:szCs w:val="24"/>
          <w:lang w:val="en-US"/>
        </w:rPr>
        <w:t>who raised</w:t>
      </w:r>
      <w:r w:rsidR="00D40402" w:rsidRPr="00C35A91">
        <w:rPr>
          <w:rFonts w:eastAsia="Calibri" w:cs="Arial"/>
          <w:sz w:val="24"/>
          <w:szCs w:val="24"/>
          <w:lang w:val="en-US"/>
        </w:rPr>
        <w:t xml:space="preserve"> complaints over the treatment of patients at the </w:t>
      </w:r>
      <w:r w:rsidR="00F44F82">
        <w:rPr>
          <w:rFonts w:eastAsia="Calibri" w:cs="Arial"/>
          <w:sz w:val="24"/>
          <w:szCs w:val="24"/>
          <w:lang w:val="en-US"/>
        </w:rPr>
        <w:t>h</w:t>
      </w:r>
      <w:r w:rsidR="00D40402" w:rsidRPr="00C35A91">
        <w:rPr>
          <w:rFonts w:eastAsia="Calibri" w:cs="Arial"/>
          <w:sz w:val="24"/>
          <w:szCs w:val="24"/>
          <w:lang w:val="en-US"/>
        </w:rPr>
        <w:t>ospital</w:t>
      </w:r>
      <w:r w:rsidR="002C0FEE">
        <w:rPr>
          <w:rFonts w:eastAsia="Calibri" w:cs="Arial"/>
          <w:sz w:val="24"/>
          <w:szCs w:val="24"/>
          <w:lang w:val="en-US"/>
        </w:rPr>
        <w:t xml:space="preserve"> </w:t>
      </w:r>
      <w:r w:rsidR="0031204E" w:rsidRPr="00C35A91">
        <w:rPr>
          <w:rFonts w:eastAsia="Calibri" w:cs="Arial"/>
          <w:sz w:val="24"/>
          <w:szCs w:val="24"/>
          <w:lang w:val="en-US"/>
        </w:rPr>
        <w:t>and</w:t>
      </w:r>
      <w:r w:rsidR="002C0FEE">
        <w:rPr>
          <w:rFonts w:eastAsia="Calibri" w:cs="Arial"/>
          <w:sz w:val="24"/>
          <w:szCs w:val="24"/>
          <w:lang w:val="en-US"/>
        </w:rPr>
        <w:t xml:space="preserve"> </w:t>
      </w:r>
      <w:r w:rsidR="008775F6" w:rsidRPr="00C35A91">
        <w:rPr>
          <w:rFonts w:eastAsia="Calibri" w:cs="Arial"/>
          <w:sz w:val="24"/>
          <w:szCs w:val="24"/>
          <w:lang w:val="en-US"/>
        </w:rPr>
        <w:t>the stance of an anesthetist at the Bristol Royal Infirmary who sp</w:t>
      </w:r>
      <w:r w:rsidR="009453ED" w:rsidRPr="00C35A91">
        <w:rPr>
          <w:rFonts w:eastAsia="Calibri" w:cs="Arial"/>
          <w:sz w:val="24"/>
          <w:szCs w:val="24"/>
          <w:lang w:val="en-US"/>
        </w:rPr>
        <w:t>oke</w:t>
      </w:r>
      <w:r w:rsidR="008775F6" w:rsidRPr="00C35A91">
        <w:rPr>
          <w:rFonts w:eastAsia="Calibri" w:cs="Arial"/>
          <w:sz w:val="24"/>
          <w:szCs w:val="24"/>
          <w:lang w:val="en-US"/>
        </w:rPr>
        <w:t xml:space="preserve"> out about the unnecessary deaths of babies undergoing cardia</w:t>
      </w:r>
      <w:r w:rsidR="003F6C5B" w:rsidRPr="00C35A91">
        <w:rPr>
          <w:rFonts w:eastAsia="Calibri" w:cs="Arial"/>
          <w:sz w:val="24"/>
          <w:szCs w:val="24"/>
          <w:lang w:val="en-US"/>
        </w:rPr>
        <w:t>c</w:t>
      </w:r>
      <w:r w:rsidR="008775F6" w:rsidRPr="00C35A91">
        <w:rPr>
          <w:rFonts w:eastAsia="Calibri" w:cs="Arial"/>
          <w:sz w:val="24"/>
          <w:szCs w:val="24"/>
          <w:lang w:val="en-US"/>
        </w:rPr>
        <w:t xml:space="preserve"> surgery. </w:t>
      </w:r>
      <w:r w:rsidR="00F44F82">
        <w:rPr>
          <w:rFonts w:eastAsia="Calibri" w:cs="Arial"/>
          <w:sz w:val="24"/>
          <w:szCs w:val="24"/>
          <w:lang w:val="en-US"/>
        </w:rPr>
        <w:t>In this</w:t>
      </w:r>
      <w:r w:rsidR="002C0FEE">
        <w:rPr>
          <w:rFonts w:eastAsia="Calibri" w:cs="Arial"/>
          <w:sz w:val="24"/>
          <w:szCs w:val="24"/>
          <w:lang w:val="en-US"/>
        </w:rPr>
        <w:t xml:space="preserve"> </w:t>
      </w:r>
      <w:r w:rsidR="00C81685" w:rsidRPr="00C35A91">
        <w:rPr>
          <w:rFonts w:eastAsia="Calibri" w:cs="Arial"/>
          <w:sz w:val="24"/>
          <w:szCs w:val="24"/>
          <w:lang w:val="en-US"/>
        </w:rPr>
        <w:t>case,</w:t>
      </w:r>
      <w:r w:rsidR="002C0FEE">
        <w:rPr>
          <w:rFonts w:eastAsia="Calibri" w:cs="Arial"/>
          <w:sz w:val="24"/>
          <w:szCs w:val="24"/>
          <w:lang w:val="en-US"/>
        </w:rPr>
        <w:t xml:space="preserve"> </w:t>
      </w:r>
      <w:r w:rsidR="00F44F82">
        <w:rPr>
          <w:rFonts w:eastAsia="Calibri" w:cs="Arial"/>
          <w:sz w:val="24"/>
          <w:szCs w:val="24"/>
          <w:lang w:val="en-US"/>
        </w:rPr>
        <w:t>local</w:t>
      </w:r>
      <w:r w:rsidR="002C0FEE">
        <w:rPr>
          <w:rFonts w:eastAsia="Calibri" w:cs="Arial"/>
          <w:sz w:val="24"/>
          <w:szCs w:val="24"/>
          <w:lang w:val="en-US"/>
        </w:rPr>
        <w:t xml:space="preserve"> </w:t>
      </w:r>
      <w:r w:rsidR="00A91754" w:rsidRPr="00C35A91">
        <w:rPr>
          <w:rFonts w:eastAsia="Calibri" w:cs="Arial"/>
          <w:sz w:val="24"/>
          <w:szCs w:val="24"/>
          <w:lang w:val="en-US"/>
        </w:rPr>
        <w:t>experiences</w:t>
      </w:r>
      <w:r w:rsidR="008775F6" w:rsidRPr="00C35A91">
        <w:rPr>
          <w:rFonts w:eastAsia="Calibri" w:cs="Arial"/>
          <w:sz w:val="24"/>
          <w:szCs w:val="24"/>
          <w:lang w:val="en-US"/>
        </w:rPr>
        <w:t xml:space="preserve"> led </w:t>
      </w:r>
      <w:r w:rsidR="00A91754" w:rsidRPr="00C35A91">
        <w:rPr>
          <w:rFonts w:eastAsia="Calibri" w:cs="Arial"/>
          <w:sz w:val="24"/>
          <w:szCs w:val="24"/>
          <w:lang w:val="en-US"/>
        </w:rPr>
        <w:t xml:space="preserve">to </w:t>
      </w:r>
      <w:r w:rsidR="008775F6" w:rsidRPr="00C35A91">
        <w:rPr>
          <w:rFonts w:eastAsia="Calibri" w:cs="Arial"/>
          <w:sz w:val="24"/>
          <w:szCs w:val="24"/>
          <w:lang w:val="en-US"/>
        </w:rPr>
        <w:t>the General Medical Council be</w:t>
      </w:r>
      <w:r w:rsidR="00A91754" w:rsidRPr="00C35A91">
        <w:rPr>
          <w:rFonts w:eastAsia="Calibri" w:cs="Arial"/>
          <w:sz w:val="24"/>
          <w:szCs w:val="24"/>
          <w:lang w:val="en-US"/>
        </w:rPr>
        <w:t>ing</w:t>
      </w:r>
      <w:r w:rsidR="008775F6" w:rsidRPr="00C35A91">
        <w:rPr>
          <w:rFonts w:eastAsia="Calibri" w:cs="Arial"/>
          <w:sz w:val="24"/>
          <w:szCs w:val="24"/>
          <w:lang w:val="en-US"/>
        </w:rPr>
        <w:t xml:space="preserve"> accused of complicity and complacency (Smith, 1998)</w:t>
      </w:r>
      <w:r w:rsidR="00593513" w:rsidRPr="00C35A91">
        <w:rPr>
          <w:rFonts w:eastAsia="Calibri" w:cs="Arial"/>
          <w:sz w:val="24"/>
          <w:szCs w:val="24"/>
          <w:lang w:val="en-US"/>
        </w:rPr>
        <w:t xml:space="preserve">. </w:t>
      </w:r>
    </w:p>
    <w:p w:rsidR="009E53F4" w:rsidRPr="00C35A91" w:rsidRDefault="009E53F4" w:rsidP="00D70F09">
      <w:pPr>
        <w:spacing w:after="0" w:line="360" w:lineRule="auto"/>
        <w:rPr>
          <w:rFonts w:eastAsia="Calibri" w:cs="Arial"/>
          <w:sz w:val="24"/>
          <w:szCs w:val="24"/>
          <w:lang w:val="en-US"/>
        </w:rPr>
      </w:pPr>
    </w:p>
    <w:p w:rsidR="00B30F3A" w:rsidRPr="00C35A91" w:rsidRDefault="00DA4F87" w:rsidP="0014766B">
      <w:pPr>
        <w:spacing w:after="0" w:line="360" w:lineRule="auto"/>
        <w:rPr>
          <w:rFonts w:eastAsia="Calibri" w:cs="Arial"/>
          <w:sz w:val="24"/>
          <w:szCs w:val="24"/>
          <w:lang w:val="en-US"/>
        </w:rPr>
      </w:pPr>
      <w:r w:rsidRPr="00C35A91">
        <w:rPr>
          <w:rFonts w:eastAsia="Calibri" w:cs="Arial"/>
          <w:i/>
          <w:sz w:val="24"/>
          <w:szCs w:val="24"/>
          <w:lang w:val="en-US"/>
        </w:rPr>
        <w:t>Case 2</w:t>
      </w:r>
      <w:r w:rsidR="0022213D" w:rsidRPr="001F6922">
        <w:rPr>
          <w:rFonts w:eastAsia="Calibri" w:cs="Arial"/>
          <w:i/>
          <w:sz w:val="24"/>
          <w:szCs w:val="24"/>
          <w:lang w:val="en-US"/>
        </w:rPr>
        <w:t>:</w:t>
      </w:r>
      <w:r w:rsidR="001F6922" w:rsidRPr="00302BDB">
        <w:rPr>
          <w:rFonts w:eastAsia="Calibri" w:cs="Arial"/>
          <w:color w:val="FF0000"/>
          <w:sz w:val="24"/>
          <w:szCs w:val="24"/>
          <w:lang w:val="en-US"/>
        </w:rPr>
        <w:t>In Nineteenth-century Britain medical practice received public criticism</w:t>
      </w:r>
      <w:r w:rsidR="001F6922" w:rsidRPr="001F6922">
        <w:rPr>
          <w:rFonts w:eastAsia="Calibri" w:cs="Arial"/>
          <w:sz w:val="24"/>
          <w:szCs w:val="24"/>
          <w:lang w:val="en-US"/>
        </w:rPr>
        <w:t xml:space="preserve"> – both against and in support of its endeavo</w:t>
      </w:r>
      <w:r w:rsidR="001F6922">
        <w:rPr>
          <w:rFonts w:eastAsia="Calibri" w:cs="Arial"/>
          <w:sz w:val="24"/>
          <w:szCs w:val="24"/>
          <w:lang w:val="en-US"/>
        </w:rPr>
        <w:t>u</w:t>
      </w:r>
      <w:r w:rsidR="001F6922" w:rsidRPr="001F6922">
        <w:rPr>
          <w:rFonts w:eastAsia="Calibri" w:cs="Arial"/>
          <w:sz w:val="24"/>
          <w:szCs w:val="24"/>
          <w:lang w:val="en-US"/>
        </w:rPr>
        <w:t>rs.</w:t>
      </w:r>
      <w:r w:rsidR="002C0FEE">
        <w:rPr>
          <w:rFonts w:eastAsia="Calibri" w:cs="Arial"/>
          <w:sz w:val="24"/>
          <w:szCs w:val="24"/>
          <w:lang w:val="en-US"/>
        </w:rPr>
        <w:t xml:space="preserve"> </w:t>
      </w:r>
      <w:r w:rsidR="009E53F4" w:rsidRPr="00C35A91">
        <w:rPr>
          <w:rFonts w:eastAsia="Calibri" w:cs="Arial"/>
          <w:sz w:val="24"/>
          <w:szCs w:val="24"/>
          <w:lang w:val="en-US"/>
        </w:rPr>
        <w:t xml:space="preserve">After the Vaccination Acts, which made </w:t>
      </w:r>
      <w:r w:rsidR="0031204E" w:rsidRPr="00C35A91">
        <w:rPr>
          <w:rFonts w:eastAsia="Calibri" w:cs="Arial"/>
          <w:sz w:val="24"/>
          <w:szCs w:val="24"/>
          <w:lang w:val="en-US"/>
        </w:rPr>
        <w:t xml:space="preserve">smallpox </w:t>
      </w:r>
      <w:r w:rsidR="009E53F4" w:rsidRPr="00C35A91">
        <w:rPr>
          <w:rFonts w:eastAsia="Calibri" w:cs="Arial"/>
          <w:sz w:val="24"/>
          <w:szCs w:val="24"/>
          <w:lang w:val="en-US"/>
        </w:rPr>
        <w:t xml:space="preserve">vaccination compulsory, Britain’s medical profession laboured against a Victorian public </w:t>
      </w:r>
      <w:r w:rsidR="00871A39" w:rsidRPr="00C35A91">
        <w:rPr>
          <w:rFonts w:eastAsia="Calibri" w:cs="Arial"/>
          <w:sz w:val="24"/>
          <w:szCs w:val="24"/>
          <w:lang w:val="en-US"/>
        </w:rPr>
        <w:t>d</w:t>
      </w:r>
      <w:r w:rsidR="009E53F4" w:rsidRPr="00C35A91">
        <w:rPr>
          <w:rFonts w:eastAsia="Calibri" w:cs="Arial"/>
          <w:sz w:val="24"/>
          <w:szCs w:val="24"/>
          <w:lang w:val="en-US"/>
        </w:rPr>
        <w:t xml:space="preserve">riven by distrust against them (Durbach, 2000). Despite the success of smallpox vaccination, public mistrust and mass rallies eventually led to </w:t>
      </w:r>
      <w:r w:rsidR="00BD6BE9">
        <w:rPr>
          <w:rFonts w:eastAsia="Calibri" w:cs="Arial"/>
          <w:sz w:val="24"/>
          <w:szCs w:val="24"/>
          <w:lang w:val="en-US"/>
        </w:rPr>
        <w:t>re</w:t>
      </w:r>
      <w:r w:rsidR="00BD6BE9" w:rsidRPr="00C35A91">
        <w:rPr>
          <w:rFonts w:eastAsia="Calibri" w:cs="Arial"/>
          <w:sz w:val="24"/>
          <w:szCs w:val="24"/>
          <w:lang w:val="en-US"/>
        </w:rPr>
        <w:t>pealing</w:t>
      </w:r>
      <w:r w:rsidR="009E53F4" w:rsidRPr="00C35A91">
        <w:rPr>
          <w:rFonts w:eastAsia="Calibri" w:cs="Arial"/>
          <w:sz w:val="24"/>
          <w:szCs w:val="24"/>
          <w:lang w:val="en-US"/>
        </w:rPr>
        <w:t xml:space="preserve"> the Acts and the inclusion of a conscientious objector clause. Recent times have brought echoes of this in the measles, mumps and rubella (MMR) vaccine controversy (</w:t>
      </w:r>
      <w:r w:rsidR="009A585A" w:rsidRPr="00C35A91">
        <w:rPr>
          <w:rFonts w:eastAsia="Calibri" w:cs="Arial"/>
          <w:sz w:val="24"/>
          <w:szCs w:val="24"/>
          <w:lang w:val="en-US"/>
        </w:rPr>
        <w:t>Deer, 2011</w:t>
      </w:r>
      <w:r w:rsidR="009E53F4" w:rsidRPr="00C35A91">
        <w:rPr>
          <w:rFonts w:eastAsia="Calibri" w:cs="Arial"/>
          <w:sz w:val="24"/>
          <w:szCs w:val="24"/>
          <w:lang w:val="en-US"/>
        </w:rPr>
        <w:t>).</w:t>
      </w:r>
      <w:r w:rsidR="00A91754" w:rsidRPr="00C35A91">
        <w:rPr>
          <w:rFonts w:eastAsia="Calibri" w:cs="Arial"/>
          <w:sz w:val="24"/>
          <w:szCs w:val="24"/>
          <w:lang w:val="en-US"/>
        </w:rPr>
        <w:t>Victorian society and t</w:t>
      </w:r>
      <w:r w:rsidR="009A585A" w:rsidRPr="00C35A91">
        <w:rPr>
          <w:rFonts w:eastAsia="Calibri" w:cs="Arial"/>
          <w:sz w:val="24"/>
          <w:szCs w:val="24"/>
          <w:lang w:val="en-US"/>
        </w:rPr>
        <w:t xml:space="preserve">he poor law can provide </w:t>
      </w:r>
      <w:r w:rsidR="005244B6" w:rsidRPr="00C35A91">
        <w:rPr>
          <w:rFonts w:eastAsia="Calibri" w:cs="Arial"/>
          <w:sz w:val="24"/>
          <w:szCs w:val="24"/>
          <w:lang w:val="en-US"/>
        </w:rPr>
        <w:t xml:space="preserve">many such </w:t>
      </w:r>
      <w:r w:rsidR="009A585A" w:rsidRPr="00C35A91">
        <w:rPr>
          <w:rFonts w:eastAsia="Calibri" w:cs="Arial"/>
          <w:sz w:val="24"/>
          <w:szCs w:val="24"/>
          <w:lang w:val="en-US"/>
        </w:rPr>
        <w:t>examples of the critical relationship between cooperation, trust and safety</w:t>
      </w:r>
      <w:r w:rsidR="009704A5" w:rsidRPr="00C35A91">
        <w:rPr>
          <w:rFonts w:eastAsia="Calibri" w:cs="Arial"/>
          <w:sz w:val="24"/>
          <w:szCs w:val="24"/>
          <w:lang w:val="en-US"/>
        </w:rPr>
        <w:t xml:space="preserve"> (Table 1).</w:t>
      </w:r>
    </w:p>
    <w:p w:rsidR="009704A5" w:rsidRPr="00C35A91" w:rsidRDefault="009704A5" w:rsidP="0014766B">
      <w:pPr>
        <w:spacing w:after="0" w:line="360" w:lineRule="auto"/>
        <w:rPr>
          <w:rFonts w:eastAsia="Calibri" w:cs="Arial"/>
          <w:sz w:val="24"/>
          <w:szCs w:val="24"/>
          <w:lang w:val="en-US"/>
        </w:rPr>
      </w:pPr>
    </w:p>
    <w:p w:rsidR="00B4684F" w:rsidRDefault="00B4684F" w:rsidP="0014766B">
      <w:pPr>
        <w:spacing w:after="0" w:line="360" w:lineRule="auto"/>
        <w:rPr>
          <w:rFonts w:eastAsia="Calibri" w:cs="Arial"/>
          <w:sz w:val="24"/>
          <w:szCs w:val="24"/>
          <w:lang w:val="en-US"/>
        </w:rPr>
      </w:pPr>
      <w:r w:rsidRPr="00C35A91">
        <w:rPr>
          <w:rFonts w:eastAsia="Calibri" w:cs="Arial"/>
          <w:i/>
          <w:sz w:val="24"/>
          <w:szCs w:val="24"/>
          <w:lang w:val="en-US"/>
        </w:rPr>
        <w:t>Case 3:</w:t>
      </w:r>
      <w:r w:rsidR="0031204E" w:rsidRPr="00C35A91">
        <w:rPr>
          <w:rFonts w:eastAsia="Calibri" w:cs="Arial"/>
          <w:sz w:val="24"/>
          <w:szCs w:val="24"/>
          <w:lang w:val="en-US"/>
        </w:rPr>
        <w:t>T</w:t>
      </w:r>
      <w:r w:rsidR="00534846" w:rsidRPr="00C35A91">
        <w:rPr>
          <w:rFonts w:eastAsia="Calibri" w:cs="Arial"/>
          <w:sz w:val="24"/>
          <w:szCs w:val="24"/>
          <w:lang w:val="en-US"/>
        </w:rPr>
        <w:t>he US</w:t>
      </w:r>
      <w:r w:rsidR="0031204E" w:rsidRPr="00C35A91">
        <w:rPr>
          <w:rFonts w:eastAsia="Calibri" w:cs="Arial"/>
          <w:sz w:val="24"/>
          <w:szCs w:val="24"/>
          <w:lang w:val="en-US"/>
        </w:rPr>
        <w:t xml:space="preserve">A is well documented as a country with a strong litigation culture, especially in the field of medicine. Yet, most people are unaware of its long history.  As </w:t>
      </w:r>
      <w:r w:rsidR="008B4260">
        <w:rPr>
          <w:rFonts w:eastAsia="Calibri" w:cs="Arial"/>
          <w:sz w:val="24"/>
          <w:szCs w:val="24"/>
          <w:lang w:val="en-US"/>
        </w:rPr>
        <w:t>T</w:t>
      </w:r>
      <w:r w:rsidR="0031204E" w:rsidRPr="00C35A91">
        <w:rPr>
          <w:rFonts w:eastAsia="Calibri" w:cs="Arial"/>
          <w:sz w:val="24"/>
          <w:szCs w:val="24"/>
          <w:lang w:val="en-US"/>
        </w:rPr>
        <w:t>able 1 discusses, litigation grew out of changes in culture, which created the social and legal framework to make a rise in litigation possible. As a reference point, we have witnessed complicated and disjointed systems of social and medical care against a strong legal framework, which tends to isolate and blame individuals when things go wrong. Exa</w:t>
      </w:r>
      <w:r w:rsidR="00534846" w:rsidRPr="00C35A91">
        <w:rPr>
          <w:rFonts w:eastAsia="Calibri" w:cs="Arial"/>
          <w:sz w:val="24"/>
          <w:szCs w:val="24"/>
          <w:lang w:val="en-US"/>
        </w:rPr>
        <w:t xml:space="preserve">mples can be found in </w:t>
      </w:r>
      <w:r w:rsidR="00F112B3" w:rsidRPr="00C35A91">
        <w:rPr>
          <w:rFonts w:eastAsia="Calibri" w:cs="Arial"/>
          <w:sz w:val="24"/>
          <w:szCs w:val="24"/>
          <w:lang w:val="en-US"/>
        </w:rPr>
        <w:t xml:space="preserve">the UK in </w:t>
      </w:r>
      <w:r w:rsidR="00D41396" w:rsidRPr="00C35A91">
        <w:rPr>
          <w:rFonts w:eastAsia="Calibri" w:cs="Arial"/>
          <w:sz w:val="24"/>
          <w:szCs w:val="24"/>
          <w:lang w:val="en-US"/>
        </w:rPr>
        <w:t>Laming’s</w:t>
      </w:r>
      <w:r w:rsidR="00302BDB">
        <w:rPr>
          <w:rFonts w:eastAsia="Calibri" w:cs="Arial"/>
          <w:sz w:val="24"/>
          <w:szCs w:val="24"/>
          <w:lang w:val="en-US"/>
        </w:rPr>
        <w:t xml:space="preserve"> </w:t>
      </w:r>
      <w:r w:rsidR="00BD6BE9">
        <w:rPr>
          <w:rFonts w:eastAsia="Calibri" w:cs="Arial"/>
          <w:sz w:val="24"/>
          <w:szCs w:val="24"/>
          <w:lang w:val="en-US"/>
        </w:rPr>
        <w:t xml:space="preserve">(2009) </w:t>
      </w:r>
      <w:r w:rsidR="00F112B3" w:rsidRPr="00C35A91">
        <w:rPr>
          <w:rFonts w:eastAsia="Calibri" w:cs="Arial"/>
          <w:sz w:val="24"/>
          <w:szCs w:val="24"/>
          <w:lang w:val="en-US"/>
        </w:rPr>
        <w:t>reflections</w:t>
      </w:r>
      <w:r w:rsidR="002C0FEE">
        <w:rPr>
          <w:rFonts w:eastAsia="Calibri" w:cs="Arial"/>
          <w:sz w:val="24"/>
          <w:szCs w:val="24"/>
          <w:lang w:val="en-US"/>
        </w:rPr>
        <w:t xml:space="preserve"> </w:t>
      </w:r>
      <w:r w:rsidR="0031204E" w:rsidRPr="00C35A91">
        <w:rPr>
          <w:rFonts w:eastAsia="Calibri" w:cs="Arial"/>
          <w:sz w:val="24"/>
          <w:szCs w:val="24"/>
          <w:lang w:val="en-US"/>
        </w:rPr>
        <w:t>on</w:t>
      </w:r>
      <w:r w:rsidR="00534846" w:rsidRPr="00C35A91">
        <w:rPr>
          <w:rFonts w:eastAsia="Calibri" w:cs="Arial"/>
          <w:sz w:val="24"/>
          <w:szCs w:val="24"/>
          <w:lang w:val="en-US"/>
        </w:rPr>
        <w:t xml:space="preserve"> child abuse cases in the UK </w:t>
      </w:r>
      <w:r w:rsidR="00D41396" w:rsidRPr="00C35A91">
        <w:rPr>
          <w:rFonts w:eastAsia="Calibri" w:cs="Arial"/>
          <w:sz w:val="24"/>
          <w:szCs w:val="24"/>
          <w:lang w:val="en-US"/>
        </w:rPr>
        <w:t>and the call for greater cooperation and team working to protect children</w:t>
      </w:r>
      <w:r w:rsidR="00534846" w:rsidRPr="00C35A91">
        <w:rPr>
          <w:rFonts w:eastAsia="Calibri" w:cs="Arial"/>
          <w:sz w:val="24"/>
          <w:szCs w:val="24"/>
          <w:lang w:val="en-US"/>
        </w:rPr>
        <w:t>. These cases have seen the loss of registration</w:t>
      </w:r>
      <w:r w:rsidR="0031204E" w:rsidRPr="00C35A91">
        <w:rPr>
          <w:rFonts w:eastAsia="Calibri" w:cs="Arial"/>
          <w:sz w:val="24"/>
          <w:szCs w:val="24"/>
          <w:lang w:val="en-US"/>
        </w:rPr>
        <w:t xml:space="preserve"> and career damage</w:t>
      </w:r>
      <w:r w:rsidR="00534846" w:rsidRPr="00C35A91">
        <w:rPr>
          <w:rFonts w:eastAsia="Calibri" w:cs="Arial"/>
          <w:sz w:val="24"/>
          <w:szCs w:val="24"/>
          <w:lang w:val="en-US"/>
        </w:rPr>
        <w:t xml:space="preserve"> for doctors, nurses and social </w:t>
      </w:r>
      <w:r w:rsidR="004C77AD" w:rsidRPr="00C35A91">
        <w:rPr>
          <w:rFonts w:eastAsia="Calibri" w:cs="Arial"/>
          <w:sz w:val="24"/>
          <w:szCs w:val="24"/>
          <w:lang w:val="en-US"/>
        </w:rPr>
        <w:t>workers.</w:t>
      </w:r>
    </w:p>
    <w:p w:rsidR="00C35A91" w:rsidRPr="00C35A91" w:rsidRDefault="00C35A91" w:rsidP="0014766B">
      <w:pPr>
        <w:spacing w:after="0" w:line="360" w:lineRule="auto"/>
        <w:rPr>
          <w:rFonts w:eastAsia="Calibri" w:cs="Arial"/>
          <w:sz w:val="24"/>
          <w:szCs w:val="24"/>
          <w:lang w:val="en-US"/>
        </w:rPr>
      </w:pPr>
    </w:p>
    <w:p w:rsidR="00DA4F87" w:rsidRDefault="001004D9" w:rsidP="001004D9">
      <w:pPr>
        <w:pStyle w:val="ListParagraph"/>
        <w:numPr>
          <w:ilvl w:val="0"/>
          <w:numId w:val="13"/>
        </w:numPr>
        <w:spacing w:after="0" w:line="360" w:lineRule="auto"/>
        <w:rPr>
          <w:rFonts w:eastAsia="Calibri" w:cs="Arial"/>
          <w:sz w:val="24"/>
          <w:szCs w:val="24"/>
          <w:lang w:val="en-US"/>
        </w:rPr>
      </w:pPr>
      <w:r w:rsidRPr="00C35A91">
        <w:rPr>
          <w:rFonts w:eastAsia="Calibri" w:cs="Arial"/>
          <w:i/>
          <w:sz w:val="24"/>
          <w:szCs w:val="24"/>
          <w:lang w:val="en-US"/>
        </w:rPr>
        <w:t>The outline and aims of IPE</w:t>
      </w:r>
      <w:r w:rsidRPr="00C35A91">
        <w:rPr>
          <w:rFonts w:eastAsia="Calibri" w:cs="Arial"/>
          <w:sz w:val="24"/>
          <w:szCs w:val="24"/>
          <w:lang w:val="en-US"/>
        </w:rPr>
        <w:t xml:space="preserve">: Participants were familiarized with the most widely accepted </w:t>
      </w:r>
      <w:r w:rsidR="005244B6" w:rsidRPr="00C35A91">
        <w:rPr>
          <w:rFonts w:eastAsia="Calibri" w:cs="Arial"/>
          <w:sz w:val="24"/>
          <w:szCs w:val="24"/>
          <w:lang w:val="en-US"/>
        </w:rPr>
        <w:t xml:space="preserve">definition </w:t>
      </w:r>
      <w:r w:rsidRPr="00C35A91">
        <w:rPr>
          <w:rFonts w:eastAsia="Calibri" w:cs="Arial"/>
          <w:sz w:val="24"/>
          <w:szCs w:val="24"/>
          <w:lang w:val="en-US"/>
        </w:rPr>
        <w:t>of IPE as outlined in 2002 by the UK Centre for the Advancement of Interprofessional Education (CAIPE)</w:t>
      </w:r>
      <w:r w:rsidR="00DA4F87" w:rsidRPr="00C35A91">
        <w:rPr>
          <w:rFonts w:eastAsia="Calibri" w:cs="Arial"/>
          <w:sz w:val="24"/>
          <w:szCs w:val="24"/>
          <w:lang w:val="en-US"/>
        </w:rPr>
        <w:t>.</w:t>
      </w:r>
    </w:p>
    <w:p w:rsidR="00C35A91" w:rsidRPr="00302BDB" w:rsidRDefault="00302BDB" w:rsidP="00C35A91">
      <w:pPr>
        <w:spacing w:after="0" w:line="360" w:lineRule="auto"/>
        <w:ind w:left="360"/>
        <w:rPr>
          <w:rFonts w:eastAsia="Calibri" w:cs="Arial"/>
          <w:color w:val="FF0000"/>
          <w:sz w:val="24"/>
          <w:szCs w:val="24"/>
          <w:lang w:val="en-US"/>
        </w:rPr>
      </w:pPr>
      <w:r w:rsidRPr="00302BDB">
        <w:rPr>
          <w:rFonts w:eastAsia="Calibri" w:cs="Arial"/>
          <w:color w:val="FF0000"/>
          <w:sz w:val="24"/>
          <w:szCs w:val="24"/>
          <w:lang w:val="en-US"/>
        </w:rPr>
        <w:t>Link to table 1</w:t>
      </w:r>
    </w:p>
    <w:p w:rsidR="001004D9" w:rsidRPr="00C35A91" w:rsidRDefault="001004D9" w:rsidP="00DA4F87">
      <w:pPr>
        <w:spacing w:after="0" w:line="360" w:lineRule="auto"/>
        <w:ind w:left="360"/>
        <w:rPr>
          <w:rFonts w:eastAsia="Calibri" w:cs="Arial"/>
          <w:sz w:val="24"/>
          <w:szCs w:val="24"/>
          <w:lang w:val="en-US"/>
        </w:rPr>
      </w:pPr>
      <w:r w:rsidRPr="00C35A91">
        <w:rPr>
          <w:rFonts w:eastAsia="Calibri" w:cs="Arial"/>
          <w:sz w:val="24"/>
          <w:szCs w:val="24"/>
          <w:lang w:val="en-US"/>
        </w:rPr>
        <w:t>I</w:t>
      </w:r>
      <w:r w:rsidR="00C35A91">
        <w:rPr>
          <w:rFonts w:eastAsia="Calibri" w:cs="Arial"/>
          <w:sz w:val="24"/>
          <w:szCs w:val="24"/>
          <w:lang w:val="en-US"/>
        </w:rPr>
        <w:t xml:space="preserve">PE </w:t>
      </w:r>
      <w:r w:rsidRPr="00C35A91">
        <w:rPr>
          <w:rFonts w:eastAsia="Calibri" w:cs="Arial"/>
          <w:sz w:val="24"/>
          <w:szCs w:val="24"/>
          <w:lang w:val="en-US"/>
        </w:rPr>
        <w:t xml:space="preserve">occurs </w:t>
      </w:r>
      <w:r w:rsidR="008B4260">
        <w:rPr>
          <w:rFonts w:eastAsia="Calibri" w:cs="Arial"/>
          <w:sz w:val="24"/>
          <w:szCs w:val="24"/>
          <w:lang w:val="en-US"/>
        </w:rPr>
        <w:t>“</w:t>
      </w:r>
      <w:r w:rsidRPr="00C35A91">
        <w:rPr>
          <w:rFonts w:eastAsia="Calibri" w:cs="Arial"/>
          <w:sz w:val="24"/>
          <w:szCs w:val="24"/>
          <w:lang w:val="en-US"/>
        </w:rPr>
        <w:t>when two or more professions learn with, from and about each other to improve collab</w:t>
      </w:r>
      <w:r w:rsidR="008B4260">
        <w:rPr>
          <w:rFonts w:eastAsia="Calibri" w:cs="Arial"/>
          <w:sz w:val="24"/>
          <w:szCs w:val="24"/>
          <w:lang w:val="en-US"/>
        </w:rPr>
        <w:t>oration and the quality of care”</w:t>
      </w:r>
      <w:r w:rsidRPr="00C35A91">
        <w:rPr>
          <w:rFonts w:eastAsia="Calibri" w:cs="Arial"/>
          <w:sz w:val="24"/>
          <w:szCs w:val="24"/>
          <w:lang w:val="en-US"/>
        </w:rPr>
        <w:t xml:space="preserve"> (CAIPE, 2006</w:t>
      </w:r>
      <w:r w:rsidR="008B4260">
        <w:rPr>
          <w:rFonts w:eastAsia="Calibri" w:cs="Arial"/>
          <w:sz w:val="24"/>
          <w:szCs w:val="24"/>
          <w:lang w:val="en-US"/>
        </w:rPr>
        <w:t xml:space="preserve">, </w:t>
      </w:r>
      <w:r w:rsidR="008B4260" w:rsidRPr="00302BDB">
        <w:rPr>
          <w:rFonts w:eastAsia="Calibri" w:cs="Arial"/>
          <w:color w:val="FF0000"/>
          <w:sz w:val="24"/>
          <w:szCs w:val="24"/>
          <w:lang w:val="en-US"/>
        </w:rPr>
        <w:t>p</w:t>
      </w:r>
      <w:r w:rsidR="001F6922" w:rsidRPr="00302BDB">
        <w:rPr>
          <w:rFonts w:eastAsia="Calibri" w:cs="Arial"/>
          <w:color w:val="FF0000"/>
          <w:sz w:val="24"/>
          <w:szCs w:val="24"/>
          <w:lang w:val="en-US"/>
        </w:rPr>
        <w:t>2</w:t>
      </w:r>
      <w:r w:rsidRPr="00302BDB">
        <w:rPr>
          <w:rFonts w:eastAsia="Calibri" w:cs="Arial"/>
          <w:color w:val="FF0000"/>
          <w:sz w:val="24"/>
          <w:szCs w:val="24"/>
          <w:lang w:val="en-US"/>
        </w:rPr>
        <w:t>)</w:t>
      </w:r>
      <w:r w:rsidRPr="00C35A91">
        <w:rPr>
          <w:rFonts w:eastAsia="Calibri" w:cs="Arial"/>
          <w:sz w:val="24"/>
          <w:szCs w:val="24"/>
          <w:lang w:val="en-US"/>
        </w:rPr>
        <w:t>. The definition implies active learning that seeks to engage and exchange understandings between different health and social care professionals and the wider engagement of those who work together for the health and wellbeing of the public such as policing and law. CAIPE’S principles, recently updates, for effective IPE were shared (</w:t>
      </w:r>
      <w:r w:rsidR="00871A39" w:rsidRPr="00C35A91">
        <w:rPr>
          <w:rFonts w:eastAsia="Calibri" w:cs="Arial"/>
          <w:sz w:val="24"/>
          <w:szCs w:val="24"/>
          <w:lang w:val="en-US"/>
        </w:rPr>
        <w:t>Barr</w:t>
      </w:r>
      <w:r w:rsidRPr="00C35A91">
        <w:rPr>
          <w:rFonts w:eastAsia="Calibri" w:cs="Arial"/>
          <w:sz w:val="24"/>
          <w:szCs w:val="24"/>
          <w:lang w:val="en-US"/>
        </w:rPr>
        <w:t>,</w:t>
      </w:r>
      <w:r w:rsidR="00871A39" w:rsidRPr="00C35A91">
        <w:rPr>
          <w:rFonts w:eastAsia="Calibri" w:cs="Arial"/>
          <w:sz w:val="24"/>
          <w:szCs w:val="24"/>
          <w:lang w:val="en-US"/>
        </w:rPr>
        <w:t xml:space="preserve"> Gray, Helme, Low &amp; Reeves,</w:t>
      </w:r>
      <w:r w:rsidRPr="00C35A91">
        <w:rPr>
          <w:rFonts w:eastAsia="Calibri" w:cs="Arial"/>
          <w:sz w:val="24"/>
          <w:szCs w:val="24"/>
          <w:lang w:val="en-US"/>
        </w:rPr>
        <w:t xml:space="preserve"> 2016).</w:t>
      </w:r>
    </w:p>
    <w:p w:rsidR="00F74DE0" w:rsidRPr="00C35A91" w:rsidRDefault="00F74DE0" w:rsidP="0014766B">
      <w:pPr>
        <w:spacing w:after="0" w:line="360" w:lineRule="auto"/>
        <w:rPr>
          <w:rFonts w:eastAsia="Calibri" w:cs="Arial"/>
          <w:sz w:val="24"/>
          <w:szCs w:val="24"/>
          <w:lang w:val="en-US"/>
        </w:rPr>
      </w:pPr>
    </w:p>
    <w:p w:rsidR="00D70F09" w:rsidRPr="00C35A91" w:rsidRDefault="00B30F3A" w:rsidP="0014766B">
      <w:pPr>
        <w:spacing w:after="0" w:line="360" w:lineRule="auto"/>
        <w:rPr>
          <w:rFonts w:eastAsia="Calibri" w:cs="Arial"/>
          <w:i/>
          <w:sz w:val="24"/>
          <w:szCs w:val="24"/>
          <w:lang w:val="en-US"/>
        </w:rPr>
      </w:pPr>
      <w:r w:rsidRPr="00C35A91">
        <w:rPr>
          <w:rFonts w:eastAsia="Calibri" w:cs="Arial"/>
          <w:i/>
          <w:sz w:val="24"/>
          <w:szCs w:val="24"/>
          <w:lang w:val="en-US"/>
        </w:rPr>
        <w:t xml:space="preserve">Discussion </w:t>
      </w:r>
      <w:r w:rsidR="00C35A91">
        <w:rPr>
          <w:rFonts w:eastAsia="Calibri" w:cs="Arial"/>
          <w:i/>
          <w:sz w:val="24"/>
          <w:szCs w:val="24"/>
          <w:lang w:val="en-US"/>
        </w:rPr>
        <w:t>and o</w:t>
      </w:r>
      <w:r w:rsidR="00D70F09" w:rsidRPr="00C35A91">
        <w:rPr>
          <w:rFonts w:eastAsia="Calibri" w:cs="Arial"/>
          <w:i/>
          <w:sz w:val="24"/>
          <w:szCs w:val="24"/>
          <w:lang w:val="en-US"/>
        </w:rPr>
        <w:t>utcomes</w:t>
      </w:r>
    </w:p>
    <w:p w:rsidR="009E53F4" w:rsidRPr="00C35A91" w:rsidRDefault="009704A5" w:rsidP="008A1A3D">
      <w:pPr>
        <w:spacing w:after="0" w:line="360" w:lineRule="auto"/>
        <w:rPr>
          <w:rFonts w:eastAsia="Calibri" w:cs="Arial"/>
          <w:sz w:val="24"/>
          <w:szCs w:val="24"/>
          <w:lang w:val="en-US"/>
        </w:rPr>
      </w:pPr>
      <w:r w:rsidRPr="00C35A91">
        <w:rPr>
          <w:sz w:val="24"/>
          <w:szCs w:val="24"/>
        </w:rPr>
        <w:t xml:space="preserve">Attendees were familiar with the widely recognised set place of medicine as the long-standing leader of health care (Boyce, Borthwick, Moran &amp;Nancarrow, 2011). </w:t>
      </w:r>
      <w:r w:rsidR="00D70F09" w:rsidRPr="00C35A91">
        <w:rPr>
          <w:rFonts w:eastAsia="Calibri" w:cs="Arial"/>
          <w:sz w:val="24"/>
          <w:szCs w:val="24"/>
          <w:lang w:val="en-US"/>
        </w:rPr>
        <w:t>The</w:t>
      </w:r>
      <w:r w:rsidRPr="00C35A91">
        <w:rPr>
          <w:rFonts w:eastAsia="Calibri" w:cs="Arial"/>
          <w:sz w:val="24"/>
          <w:szCs w:val="24"/>
          <w:lang w:val="en-US"/>
        </w:rPr>
        <w:t>r</w:t>
      </w:r>
      <w:r w:rsidR="00DA4F87" w:rsidRPr="00C35A91">
        <w:rPr>
          <w:rFonts w:eastAsia="Calibri" w:cs="Arial"/>
          <w:sz w:val="24"/>
          <w:szCs w:val="24"/>
          <w:lang w:val="en-US"/>
        </w:rPr>
        <w:t>e</w:t>
      </w:r>
      <w:r w:rsidRPr="00C35A91">
        <w:rPr>
          <w:rFonts w:eastAsia="Calibri" w:cs="Arial"/>
          <w:sz w:val="24"/>
          <w:szCs w:val="24"/>
          <w:lang w:val="en-US"/>
        </w:rPr>
        <w:t xml:space="preserve"> was strong agreement that the s</w:t>
      </w:r>
      <w:r w:rsidR="006A6D07" w:rsidRPr="00C35A91">
        <w:rPr>
          <w:rFonts w:eastAsia="Calibri" w:cs="Arial"/>
          <w:sz w:val="24"/>
          <w:szCs w:val="24"/>
          <w:lang w:val="en-US"/>
        </w:rPr>
        <w:t>tandards of care have been appraised, maintained and judged almost exclusively by lay and medical authorities. This has fed into some core aspects of modern medical practice that have interacted with and encouraged th</w:t>
      </w:r>
      <w:r w:rsidR="001B73C2" w:rsidRPr="00C35A91">
        <w:rPr>
          <w:rFonts w:eastAsia="Calibri" w:cs="Arial"/>
          <w:sz w:val="24"/>
          <w:szCs w:val="24"/>
          <w:lang w:val="en-US"/>
        </w:rPr>
        <w:t xml:space="preserve">e slow growth of </w:t>
      </w:r>
      <w:r w:rsidR="001B73C2" w:rsidRPr="00621C94">
        <w:rPr>
          <w:rFonts w:eastAsia="Calibri" w:cs="Arial"/>
          <w:sz w:val="24"/>
          <w:szCs w:val="24"/>
          <w:lang w:val="en-US"/>
        </w:rPr>
        <w:t>patient safety</w:t>
      </w:r>
      <w:r w:rsidRPr="00621C94">
        <w:rPr>
          <w:rFonts w:eastAsia="Calibri" w:cs="Arial"/>
          <w:sz w:val="24"/>
          <w:szCs w:val="24"/>
          <w:lang w:val="en-US"/>
        </w:rPr>
        <w:t xml:space="preserve">; mainly </w:t>
      </w:r>
      <w:r w:rsidR="008A1A3D" w:rsidRPr="00621C94">
        <w:rPr>
          <w:rFonts w:eastAsia="Calibri" w:cs="Arial"/>
          <w:sz w:val="24"/>
          <w:szCs w:val="24"/>
          <w:lang w:val="en-US"/>
        </w:rPr>
        <w:t>‘</w:t>
      </w:r>
      <w:r w:rsidR="00621C94">
        <w:rPr>
          <w:rFonts w:eastAsia="Calibri" w:cs="Arial"/>
          <w:sz w:val="24"/>
          <w:szCs w:val="24"/>
          <w:lang w:val="en-US"/>
        </w:rPr>
        <w:t>t</w:t>
      </w:r>
      <w:r w:rsidRPr="00621C94">
        <w:rPr>
          <w:rFonts w:eastAsia="Calibri" w:cs="Arial"/>
          <w:sz w:val="24"/>
          <w:szCs w:val="24"/>
          <w:lang w:val="en-US"/>
        </w:rPr>
        <w:t>rust</w:t>
      </w:r>
      <w:r w:rsidR="008A1A3D" w:rsidRPr="00621C94">
        <w:rPr>
          <w:rFonts w:eastAsia="Calibri" w:cs="Arial"/>
          <w:sz w:val="24"/>
          <w:szCs w:val="24"/>
          <w:lang w:val="en-US"/>
        </w:rPr>
        <w:t>’</w:t>
      </w:r>
      <w:r w:rsidRPr="00621C94">
        <w:rPr>
          <w:rFonts w:eastAsia="Calibri" w:cs="Arial"/>
          <w:sz w:val="24"/>
          <w:szCs w:val="24"/>
          <w:lang w:val="en-US"/>
        </w:rPr>
        <w:t xml:space="preserve"> in the medical profession</w:t>
      </w:r>
      <w:r w:rsidR="004C77AD" w:rsidRPr="00621C94">
        <w:rPr>
          <w:rFonts w:eastAsia="Calibri" w:cs="Arial"/>
          <w:sz w:val="24"/>
          <w:szCs w:val="24"/>
          <w:lang w:val="en-US"/>
        </w:rPr>
        <w:t>.Seen</w:t>
      </w:r>
      <w:r w:rsidR="0014766B" w:rsidRPr="00621C94">
        <w:rPr>
          <w:rFonts w:eastAsia="Calibri" w:cs="Arial"/>
          <w:sz w:val="24"/>
          <w:szCs w:val="24"/>
          <w:lang w:val="en-US"/>
        </w:rPr>
        <w:t xml:space="preserve"> through the lens of history,</w:t>
      </w:r>
      <w:r w:rsidR="00370093" w:rsidRPr="00C35A91">
        <w:rPr>
          <w:rFonts w:eastAsia="Calibri" w:cs="Arial"/>
          <w:sz w:val="24"/>
          <w:szCs w:val="24"/>
          <w:lang w:val="en-US"/>
        </w:rPr>
        <w:t>t</w:t>
      </w:r>
      <w:r w:rsidR="008A1A3D" w:rsidRPr="00C35A91">
        <w:rPr>
          <w:rFonts w:eastAsia="Calibri" w:cs="Arial"/>
          <w:sz w:val="24"/>
          <w:szCs w:val="24"/>
          <w:lang w:val="en-US"/>
        </w:rPr>
        <w:t xml:space="preserve">here was strong agreement that </w:t>
      </w:r>
      <w:r w:rsidR="0014766B" w:rsidRPr="00C35A91">
        <w:rPr>
          <w:rFonts w:eastAsia="Calibri" w:cs="Arial"/>
          <w:sz w:val="24"/>
          <w:szCs w:val="24"/>
          <w:lang w:val="en-US"/>
        </w:rPr>
        <w:t xml:space="preserve">patients have been consistently excluded from the administering and managing of their care. </w:t>
      </w:r>
      <w:r w:rsidR="006A6D07" w:rsidRPr="00C35A91">
        <w:rPr>
          <w:rFonts w:eastAsia="Calibri" w:cs="Arial"/>
          <w:sz w:val="24"/>
          <w:szCs w:val="24"/>
          <w:lang w:val="en-US"/>
        </w:rPr>
        <w:t>At various times throughout history this has undermined the ability of medicine to provide care to obstructive or distrusting pati</w:t>
      </w:r>
      <w:r w:rsidR="008A1A3D" w:rsidRPr="00C35A91">
        <w:rPr>
          <w:rFonts w:eastAsia="Calibri" w:cs="Arial"/>
          <w:sz w:val="24"/>
          <w:szCs w:val="24"/>
          <w:lang w:val="en-US"/>
        </w:rPr>
        <w:t>ents</w:t>
      </w:r>
      <w:r w:rsidR="0014766B" w:rsidRPr="00C35A91">
        <w:rPr>
          <w:rFonts w:eastAsia="Calibri" w:cs="Arial"/>
          <w:sz w:val="24"/>
          <w:szCs w:val="24"/>
          <w:lang w:val="en-US"/>
        </w:rPr>
        <w:t xml:space="preserve">. </w:t>
      </w:r>
      <w:r w:rsidR="001B73C2" w:rsidRPr="00C35A91">
        <w:rPr>
          <w:rFonts w:eastAsia="Calibri" w:cs="Arial"/>
          <w:sz w:val="24"/>
          <w:szCs w:val="24"/>
          <w:lang w:val="en-US"/>
        </w:rPr>
        <w:t>Despite the passing of a century,</w:t>
      </w:r>
      <w:r w:rsidR="002C0FEE">
        <w:rPr>
          <w:rFonts w:eastAsia="Calibri" w:cs="Arial"/>
          <w:sz w:val="24"/>
          <w:szCs w:val="24"/>
          <w:lang w:val="en-US"/>
        </w:rPr>
        <w:t xml:space="preserve"> </w:t>
      </w:r>
      <w:r w:rsidR="00370093" w:rsidRPr="00C35A91">
        <w:rPr>
          <w:rFonts w:eastAsia="Calibri" w:cs="Arial"/>
          <w:sz w:val="24"/>
          <w:szCs w:val="24"/>
          <w:lang w:val="en-US"/>
        </w:rPr>
        <w:t>these cases</w:t>
      </w:r>
      <w:r w:rsidR="0014766B" w:rsidRPr="00C35A91">
        <w:rPr>
          <w:rFonts w:eastAsia="Calibri" w:cs="Arial"/>
          <w:sz w:val="24"/>
          <w:szCs w:val="24"/>
          <w:lang w:val="en-US"/>
        </w:rPr>
        <w:t xml:space="preserve"> expose the importance of trust in successful and safe medical care.</w:t>
      </w:r>
    </w:p>
    <w:p w:rsidR="008A1A3D" w:rsidRPr="00C35A91" w:rsidRDefault="008A1A3D" w:rsidP="0014766B">
      <w:pPr>
        <w:spacing w:after="0" w:line="360" w:lineRule="auto"/>
        <w:rPr>
          <w:sz w:val="24"/>
          <w:szCs w:val="24"/>
        </w:rPr>
      </w:pPr>
    </w:p>
    <w:p w:rsidR="0014766B" w:rsidRPr="00C35A91" w:rsidRDefault="008A1A3D" w:rsidP="0014766B">
      <w:pPr>
        <w:spacing w:after="0" w:line="360" w:lineRule="auto"/>
        <w:rPr>
          <w:rFonts w:eastAsia="Calibri" w:cs="Arial"/>
          <w:sz w:val="24"/>
          <w:szCs w:val="24"/>
          <w:lang w:val="en-US"/>
        </w:rPr>
      </w:pPr>
      <w:r w:rsidRPr="00C35A91">
        <w:rPr>
          <w:rFonts w:eastAsia="Calibri" w:cs="Arial"/>
          <w:sz w:val="24"/>
          <w:szCs w:val="24"/>
          <w:lang w:val="en-US"/>
        </w:rPr>
        <w:t>The second area which arose was the common stance of systems within which we work,</w:t>
      </w:r>
      <w:r w:rsidR="002C0FEE">
        <w:rPr>
          <w:rFonts w:eastAsia="Calibri" w:cs="Arial"/>
          <w:sz w:val="24"/>
          <w:szCs w:val="24"/>
          <w:lang w:val="en-US"/>
        </w:rPr>
        <w:t xml:space="preserve"> </w:t>
      </w:r>
      <w:r w:rsidRPr="00C35A91">
        <w:rPr>
          <w:rFonts w:eastAsia="Calibri" w:cs="Arial"/>
          <w:sz w:val="24"/>
          <w:szCs w:val="24"/>
          <w:lang w:val="en-US"/>
        </w:rPr>
        <w:t>particularly</w:t>
      </w:r>
      <w:r w:rsidR="002C0FEE">
        <w:rPr>
          <w:rFonts w:eastAsia="Calibri" w:cs="Arial"/>
          <w:sz w:val="24"/>
          <w:szCs w:val="24"/>
          <w:lang w:val="en-US"/>
        </w:rPr>
        <w:t xml:space="preserve"> </w:t>
      </w:r>
      <w:r w:rsidR="004806DF" w:rsidRPr="00C35A91">
        <w:rPr>
          <w:rFonts w:eastAsia="Calibri" w:cs="Arial"/>
          <w:i/>
          <w:sz w:val="24"/>
          <w:szCs w:val="24"/>
          <w:lang w:val="en-US"/>
        </w:rPr>
        <w:t>hazardous</w:t>
      </w:r>
      <w:r w:rsidR="002C0FEE">
        <w:rPr>
          <w:rFonts w:eastAsia="Calibri" w:cs="Arial"/>
          <w:i/>
          <w:sz w:val="24"/>
          <w:szCs w:val="24"/>
          <w:lang w:val="en-US"/>
        </w:rPr>
        <w:t xml:space="preserve"> </w:t>
      </w:r>
      <w:r w:rsidR="004806DF" w:rsidRPr="00C35A91">
        <w:rPr>
          <w:rFonts w:eastAsia="Calibri" w:cs="Arial"/>
          <w:i/>
          <w:sz w:val="24"/>
          <w:szCs w:val="24"/>
          <w:lang w:val="en-US"/>
        </w:rPr>
        <w:t>systems</w:t>
      </w:r>
      <w:r w:rsidR="00D70F09" w:rsidRPr="00C35A91">
        <w:rPr>
          <w:rFonts w:eastAsia="Calibri" w:cs="Arial"/>
          <w:sz w:val="24"/>
          <w:szCs w:val="24"/>
          <w:lang w:val="en-US"/>
        </w:rPr>
        <w:t>.</w:t>
      </w:r>
      <w:r w:rsidR="0014766B" w:rsidRPr="00C35A91">
        <w:rPr>
          <w:rFonts w:eastAsia="Calibri" w:cs="Arial"/>
          <w:sz w:val="24"/>
          <w:szCs w:val="24"/>
          <w:lang w:val="en-US"/>
        </w:rPr>
        <w:t xml:space="preserve">In James Reasons’ terms, </w:t>
      </w:r>
      <w:r w:rsidR="001B73C2" w:rsidRPr="00C35A91">
        <w:rPr>
          <w:rFonts w:eastAsia="Calibri" w:cs="Arial"/>
          <w:sz w:val="24"/>
          <w:szCs w:val="24"/>
          <w:lang w:val="en-US"/>
        </w:rPr>
        <w:t xml:space="preserve">poor law doctors </w:t>
      </w:r>
      <w:r w:rsidR="00D41CAD" w:rsidRPr="00C35A91">
        <w:rPr>
          <w:rFonts w:eastAsia="Calibri" w:cs="Arial"/>
          <w:sz w:val="24"/>
          <w:szCs w:val="24"/>
          <w:lang w:val="en-US"/>
        </w:rPr>
        <w:t xml:space="preserve">and nurses </w:t>
      </w:r>
      <w:r w:rsidR="001B73C2" w:rsidRPr="00C35A91">
        <w:rPr>
          <w:rFonts w:eastAsia="Calibri" w:cs="Arial"/>
          <w:sz w:val="24"/>
          <w:szCs w:val="24"/>
          <w:lang w:val="en-US"/>
        </w:rPr>
        <w:t>worked within</w:t>
      </w:r>
      <w:r w:rsidR="0014766B" w:rsidRPr="00C35A91">
        <w:rPr>
          <w:rFonts w:eastAsia="Calibri" w:cs="Arial"/>
          <w:sz w:val="24"/>
          <w:szCs w:val="24"/>
          <w:lang w:val="en-US"/>
        </w:rPr>
        <w:t xml:space="preserve"> a pathologically hazardous system, rife with systemically-based latent faults (Reason, 1990). In strikingly similar medical reportage to that of </w:t>
      </w:r>
      <w:r w:rsidR="003E6A9A" w:rsidRPr="00C35A91">
        <w:rPr>
          <w:rFonts w:eastAsia="Calibri" w:cs="Arial"/>
          <w:sz w:val="24"/>
          <w:szCs w:val="24"/>
          <w:lang w:val="en-US"/>
        </w:rPr>
        <w:t xml:space="preserve">the </w:t>
      </w:r>
      <w:r w:rsidR="0014766B" w:rsidRPr="00C35A91">
        <w:rPr>
          <w:rFonts w:eastAsia="Calibri" w:cs="Arial"/>
          <w:sz w:val="24"/>
          <w:szCs w:val="24"/>
          <w:lang w:val="en-US"/>
        </w:rPr>
        <w:t>Mid-Staffordshire</w:t>
      </w:r>
      <w:r w:rsidR="003E6A9A" w:rsidRPr="00C35A91">
        <w:rPr>
          <w:rFonts w:eastAsia="Calibri" w:cs="Arial"/>
          <w:sz w:val="24"/>
          <w:szCs w:val="24"/>
          <w:lang w:val="en-US"/>
        </w:rPr>
        <w:t xml:space="preserve"> Foundation Trust inquiry in 2013</w:t>
      </w:r>
      <w:r w:rsidR="0014766B" w:rsidRPr="00C35A91">
        <w:rPr>
          <w:rFonts w:eastAsia="Calibri" w:cs="Arial"/>
          <w:sz w:val="24"/>
          <w:szCs w:val="24"/>
          <w:lang w:val="en-US"/>
        </w:rPr>
        <w:t xml:space="preserve">, </w:t>
      </w:r>
      <w:r w:rsidR="00D41CAD" w:rsidRPr="00C35A91">
        <w:rPr>
          <w:rFonts w:eastAsia="Calibri" w:cs="Arial"/>
          <w:sz w:val="24"/>
          <w:szCs w:val="24"/>
          <w:lang w:val="en-US"/>
        </w:rPr>
        <w:t>the</w:t>
      </w:r>
      <w:r w:rsidR="002C0FEE">
        <w:rPr>
          <w:rFonts w:eastAsia="Calibri" w:cs="Arial"/>
          <w:sz w:val="24"/>
          <w:szCs w:val="24"/>
          <w:lang w:val="en-US"/>
        </w:rPr>
        <w:t xml:space="preserve"> </w:t>
      </w:r>
      <w:r w:rsidR="0014766B" w:rsidRPr="00C35A91">
        <w:rPr>
          <w:rFonts w:eastAsia="Calibri" w:cs="Arial"/>
          <w:i/>
          <w:sz w:val="24"/>
          <w:szCs w:val="24"/>
          <w:lang w:val="en-US"/>
        </w:rPr>
        <w:t>BMJ</w:t>
      </w:r>
      <w:r w:rsidR="002C0FEE">
        <w:rPr>
          <w:rFonts w:eastAsia="Calibri" w:cs="Arial"/>
          <w:i/>
          <w:sz w:val="24"/>
          <w:szCs w:val="24"/>
          <w:lang w:val="en-US"/>
        </w:rPr>
        <w:t xml:space="preserve"> </w:t>
      </w:r>
      <w:r w:rsidR="0014766B" w:rsidRPr="00C35A91">
        <w:rPr>
          <w:rFonts w:eastAsia="Calibri" w:cs="Arial"/>
          <w:sz w:val="24"/>
          <w:szCs w:val="24"/>
          <w:lang w:val="en-US"/>
        </w:rPr>
        <w:t>w</w:t>
      </w:r>
      <w:r w:rsidR="00D41CAD" w:rsidRPr="00C35A91">
        <w:rPr>
          <w:rFonts w:eastAsia="Calibri" w:cs="Arial"/>
          <w:sz w:val="24"/>
          <w:szCs w:val="24"/>
          <w:lang w:val="en-US"/>
        </w:rPr>
        <w:t>as</w:t>
      </w:r>
      <w:r w:rsidR="0014766B" w:rsidRPr="00C35A91">
        <w:rPr>
          <w:rFonts w:eastAsia="Calibri" w:cs="Arial"/>
          <w:sz w:val="24"/>
          <w:szCs w:val="24"/>
          <w:lang w:val="en-US"/>
        </w:rPr>
        <w:t xml:space="preserve"> able to distance doctors from culpability and expose the unsafe care provided in workhouse hospitals</w:t>
      </w:r>
      <w:r w:rsidR="005244B6" w:rsidRPr="00C35A91">
        <w:rPr>
          <w:rFonts w:eastAsia="Calibri" w:cs="Arial"/>
          <w:sz w:val="24"/>
          <w:szCs w:val="24"/>
          <w:lang w:val="en-US"/>
        </w:rPr>
        <w:t xml:space="preserve"> (Hart, 1895)</w:t>
      </w:r>
      <w:r w:rsidR="0014766B" w:rsidRPr="00C35A91">
        <w:rPr>
          <w:rFonts w:eastAsia="Calibri" w:cs="Arial"/>
          <w:sz w:val="24"/>
          <w:szCs w:val="24"/>
          <w:lang w:val="en-US"/>
        </w:rPr>
        <w:t>. Both publications were medical and united with public agitation against negligence, which</w:t>
      </w:r>
      <w:r w:rsidR="0002419A" w:rsidRPr="00C35A91">
        <w:rPr>
          <w:rFonts w:eastAsia="Calibri" w:cs="Arial"/>
          <w:sz w:val="24"/>
          <w:szCs w:val="24"/>
          <w:lang w:val="en-US"/>
        </w:rPr>
        <w:t xml:space="preserve"> in their time</w:t>
      </w:r>
      <w:r w:rsidR="0014766B" w:rsidRPr="00C35A91">
        <w:rPr>
          <w:rFonts w:eastAsia="Calibri" w:cs="Arial"/>
          <w:sz w:val="24"/>
          <w:szCs w:val="24"/>
          <w:lang w:val="en-US"/>
        </w:rPr>
        <w:t xml:space="preserve"> led to raised standards of care and greater public trust in the medical profession. The battle lines were drawn between </w:t>
      </w:r>
      <w:r w:rsidR="006E6202" w:rsidRPr="00C35A91">
        <w:rPr>
          <w:rFonts w:eastAsia="Calibri" w:cs="Arial"/>
          <w:sz w:val="24"/>
          <w:szCs w:val="24"/>
          <w:lang w:val="en-US"/>
        </w:rPr>
        <w:t>medical professionals</w:t>
      </w:r>
      <w:r w:rsidR="0014766B" w:rsidRPr="00C35A91">
        <w:rPr>
          <w:rFonts w:eastAsia="Calibri" w:cs="Arial"/>
          <w:sz w:val="24"/>
          <w:szCs w:val="24"/>
          <w:lang w:val="en-US"/>
        </w:rPr>
        <w:t xml:space="preserve"> and their employers, not their patients. This tripartite </w:t>
      </w:r>
      <w:r w:rsidR="002937F4" w:rsidRPr="00C35A91">
        <w:rPr>
          <w:rFonts w:eastAsia="Calibri" w:cs="Arial"/>
          <w:sz w:val="24"/>
          <w:szCs w:val="24"/>
          <w:lang w:val="en-US"/>
        </w:rPr>
        <w:t xml:space="preserve">was to go </w:t>
      </w:r>
      <w:r w:rsidR="0014766B" w:rsidRPr="00C35A91">
        <w:rPr>
          <w:rFonts w:eastAsia="Calibri" w:cs="Arial"/>
          <w:sz w:val="24"/>
          <w:szCs w:val="24"/>
          <w:lang w:val="en-US"/>
        </w:rPr>
        <w:t>through radical change in the first half of the twentieth century.</w:t>
      </w:r>
      <w:r w:rsidR="002C0FEE">
        <w:rPr>
          <w:rFonts w:eastAsia="Calibri" w:cs="Arial"/>
          <w:sz w:val="24"/>
          <w:szCs w:val="24"/>
          <w:lang w:val="en-US"/>
        </w:rPr>
        <w:t xml:space="preserve"> </w:t>
      </w:r>
      <w:r w:rsidR="003F691F" w:rsidRPr="00C35A91">
        <w:rPr>
          <w:rFonts w:eastAsia="Calibri" w:cs="Arial"/>
          <w:sz w:val="24"/>
          <w:szCs w:val="24"/>
          <w:lang w:val="en-US"/>
        </w:rPr>
        <w:t>The establishment of the NHS in 1948 has underpinned a long period of public trust</w:t>
      </w:r>
      <w:r w:rsidR="006E6202" w:rsidRPr="00C35A91">
        <w:rPr>
          <w:rFonts w:eastAsia="Calibri" w:cs="Arial"/>
          <w:sz w:val="24"/>
          <w:szCs w:val="24"/>
          <w:lang w:val="en-US"/>
        </w:rPr>
        <w:t xml:space="preserve"> in the profession</w:t>
      </w:r>
      <w:r w:rsidR="003F691F" w:rsidRPr="00C35A91">
        <w:rPr>
          <w:rFonts w:eastAsia="Calibri" w:cs="Arial"/>
          <w:sz w:val="24"/>
          <w:szCs w:val="24"/>
          <w:lang w:val="en-US"/>
        </w:rPr>
        <w:t xml:space="preserve">, but the MMR scandal and </w:t>
      </w:r>
      <w:r w:rsidRPr="00C35A91">
        <w:rPr>
          <w:rFonts w:eastAsia="Calibri" w:cs="Arial"/>
          <w:sz w:val="24"/>
          <w:szCs w:val="24"/>
          <w:lang w:val="en-US"/>
        </w:rPr>
        <w:t>others</w:t>
      </w:r>
      <w:r w:rsidR="003F691F" w:rsidRPr="00C35A91">
        <w:rPr>
          <w:rFonts w:eastAsia="Calibri" w:cs="Arial"/>
          <w:sz w:val="24"/>
          <w:szCs w:val="24"/>
          <w:lang w:val="en-US"/>
        </w:rPr>
        <w:t xml:space="preserve"> demonstrate that it is by no means watertight. </w:t>
      </w:r>
      <w:r w:rsidR="006E6202" w:rsidRPr="00C35A91">
        <w:rPr>
          <w:rFonts w:eastAsia="Calibri" w:cs="Arial"/>
          <w:sz w:val="24"/>
          <w:szCs w:val="24"/>
          <w:lang w:val="en-US"/>
        </w:rPr>
        <w:t>The low numbers of s</w:t>
      </w:r>
      <w:r w:rsidR="003F691F" w:rsidRPr="00C35A91">
        <w:rPr>
          <w:rFonts w:eastAsia="Calibri" w:cs="Arial"/>
          <w:sz w:val="24"/>
          <w:szCs w:val="24"/>
          <w:lang w:val="en-US"/>
        </w:rPr>
        <w:t>ucce</w:t>
      </w:r>
      <w:r w:rsidR="006E6202" w:rsidRPr="00C35A91">
        <w:rPr>
          <w:rFonts w:eastAsia="Calibri" w:cs="Arial"/>
          <w:sz w:val="24"/>
          <w:szCs w:val="24"/>
          <w:lang w:val="en-US"/>
        </w:rPr>
        <w:t>ssful patient litigation</w:t>
      </w:r>
      <w:r w:rsidR="002C0FEE">
        <w:rPr>
          <w:rFonts w:eastAsia="Calibri" w:cs="Arial"/>
          <w:sz w:val="24"/>
          <w:szCs w:val="24"/>
          <w:lang w:val="en-US"/>
        </w:rPr>
        <w:t xml:space="preserve"> </w:t>
      </w:r>
      <w:r w:rsidR="006E6202" w:rsidRPr="00C35A91">
        <w:rPr>
          <w:rFonts w:eastAsia="Calibri" w:cs="Arial"/>
          <w:sz w:val="24"/>
          <w:szCs w:val="24"/>
          <w:lang w:val="en-US"/>
        </w:rPr>
        <w:t xml:space="preserve">cases are </w:t>
      </w:r>
      <w:r w:rsidR="00270887" w:rsidRPr="00C35A91">
        <w:rPr>
          <w:rFonts w:eastAsia="Calibri" w:cs="Arial"/>
          <w:sz w:val="24"/>
          <w:szCs w:val="24"/>
          <w:lang w:val="en-US"/>
        </w:rPr>
        <w:t>nether</w:t>
      </w:r>
      <w:r w:rsidR="006E6202" w:rsidRPr="00C35A91">
        <w:rPr>
          <w:rFonts w:eastAsia="Calibri" w:cs="Arial"/>
          <w:sz w:val="24"/>
          <w:szCs w:val="24"/>
          <w:lang w:val="en-US"/>
        </w:rPr>
        <w:t xml:space="preserve"> representative</w:t>
      </w:r>
      <w:r w:rsidR="00270887" w:rsidRPr="00C35A91">
        <w:rPr>
          <w:rFonts w:eastAsia="Calibri" w:cs="Arial"/>
          <w:sz w:val="24"/>
          <w:szCs w:val="24"/>
          <w:lang w:val="en-US"/>
        </w:rPr>
        <w:t xml:space="preserve"> of what lies beneath nor</w:t>
      </w:r>
      <w:r w:rsidR="003F691F" w:rsidRPr="00C35A91">
        <w:rPr>
          <w:rFonts w:eastAsia="Calibri" w:cs="Arial"/>
          <w:sz w:val="24"/>
          <w:szCs w:val="24"/>
          <w:lang w:val="en-US"/>
        </w:rPr>
        <w:t xml:space="preserve"> the scale of the ‘iceberg’ of dissatisfaction described by the medical </w:t>
      </w:r>
      <w:r w:rsidR="006970D7" w:rsidRPr="00C35A91">
        <w:rPr>
          <w:rFonts w:eastAsia="Calibri" w:cs="Arial"/>
          <w:sz w:val="24"/>
          <w:szCs w:val="24"/>
          <w:lang w:val="en-US"/>
        </w:rPr>
        <w:t>sociologist</w:t>
      </w:r>
      <w:r w:rsidR="00270887" w:rsidRPr="00C35A91">
        <w:rPr>
          <w:rFonts w:eastAsia="Calibri" w:cs="Arial"/>
          <w:sz w:val="24"/>
          <w:szCs w:val="24"/>
          <w:lang w:val="en-US"/>
        </w:rPr>
        <w:t>, Rudolf Klein</w:t>
      </w:r>
      <w:r w:rsidR="003F691F" w:rsidRPr="00C35A91">
        <w:rPr>
          <w:rFonts w:eastAsia="Calibri" w:cs="Arial"/>
          <w:sz w:val="24"/>
          <w:szCs w:val="24"/>
          <w:lang w:val="en-US"/>
        </w:rPr>
        <w:t xml:space="preserve"> (Klein, 19</w:t>
      </w:r>
      <w:r w:rsidR="006970D7" w:rsidRPr="00C35A91">
        <w:rPr>
          <w:rFonts w:eastAsia="Calibri" w:cs="Arial"/>
          <w:sz w:val="24"/>
          <w:szCs w:val="24"/>
          <w:lang w:val="en-US"/>
        </w:rPr>
        <w:t>73</w:t>
      </w:r>
      <w:r w:rsidR="003F691F" w:rsidRPr="00C35A91">
        <w:rPr>
          <w:rFonts w:eastAsia="Calibri" w:cs="Arial"/>
          <w:sz w:val="24"/>
          <w:szCs w:val="24"/>
          <w:lang w:val="en-US"/>
        </w:rPr>
        <w:t>).</w:t>
      </w:r>
      <w:r w:rsidR="006E6202" w:rsidRPr="00C35A91">
        <w:rPr>
          <w:rFonts w:eastAsia="Calibri" w:cs="Arial"/>
          <w:sz w:val="24"/>
          <w:szCs w:val="24"/>
          <w:lang w:val="en-US"/>
        </w:rPr>
        <w:t>Furthermore, historically,</w:t>
      </w:r>
      <w:r w:rsidR="003E6A9A" w:rsidRPr="00C35A91">
        <w:rPr>
          <w:rFonts w:eastAsia="Calibri" w:cs="Arial"/>
          <w:sz w:val="24"/>
          <w:szCs w:val="24"/>
          <w:lang w:val="en-US"/>
        </w:rPr>
        <w:t xml:space="preserve"> complaints that are upheld tend to culminate in b</w:t>
      </w:r>
      <w:r w:rsidR="006E6202" w:rsidRPr="00C35A91">
        <w:rPr>
          <w:rFonts w:eastAsia="Calibri" w:cs="Arial"/>
          <w:sz w:val="24"/>
          <w:szCs w:val="24"/>
          <w:lang w:val="en-US"/>
        </w:rPr>
        <w:t>lame and individual culpability, not the stemming of systemic root faults.</w:t>
      </w:r>
    </w:p>
    <w:p w:rsidR="00277D05" w:rsidRPr="00C35A91" w:rsidRDefault="00277D05" w:rsidP="0014766B">
      <w:pPr>
        <w:spacing w:after="0" w:line="360" w:lineRule="auto"/>
        <w:rPr>
          <w:rFonts w:eastAsia="Calibri" w:cs="Arial"/>
          <w:sz w:val="24"/>
          <w:szCs w:val="24"/>
          <w:lang w:val="en-US"/>
        </w:rPr>
      </w:pPr>
    </w:p>
    <w:p w:rsidR="00277D05" w:rsidRPr="00C35A91" w:rsidRDefault="008A1A3D" w:rsidP="0014766B">
      <w:pPr>
        <w:spacing w:after="0" w:line="360" w:lineRule="auto"/>
        <w:rPr>
          <w:rFonts w:eastAsia="Calibri" w:cs="Arial"/>
          <w:i/>
          <w:sz w:val="24"/>
          <w:szCs w:val="24"/>
          <w:lang w:val="en-US"/>
        </w:rPr>
      </w:pPr>
      <w:r w:rsidRPr="00C35A91">
        <w:rPr>
          <w:rFonts w:eastAsia="Calibri" w:cs="Arial"/>
          <w:sz w:val="24"/>
          <w:szCs w:val="24"/>
          <w:lang w:val="en-US"/>
        </w:rPr>
        <w:t xml:space="preserve">Finally the reflections </w:t>
      </w:r>
      <w:r w:rsidR="00925CB4" w:rsidRPr="00C35A91">
        <w:rPr>
          <w:rFonts w:eastAsia="Calibri" w:cs="Arial"/>
          <w:sz w:val="24"/>
          <w:szCs w:val="24"/>
          <w:lang w:val="en-US"/>
        </w:rPr>
        <w:t>focused on</w:t>
      </w:r>
      <w:r w:rsidR="002C0FEE">
        <w:rPr>
          <w:rFonts w:eastAsia="Calibri" w:cs="Arial"/>
          <w:sz w:val="24"/>
          <w:szCs w:val="24"/>
          <w:lang w:val="en-US"/>
        </w:rPr>
        <w:t xml:space="preserve"> </w:t>
      </w:r>
      <w:r w:rsidR="00C35A91" w:rsidRPr="00C35A91">
        <w:rPr>
          <w:rFonts w:eastAsia="Calibri" w:cs="Arial"/>
          <w:sz w:val="24"/>
          <w:szCs w:val="24"/>
          <w:lang w:val="en-US"/>
        </w:rPr>
        <w:t>‘b</w:t>
      </w:r>
      <w:r w:rsidR="00B30F3A" w:rsidRPr="00C35A91">
        <w:rPr>
          <w:rFonts w:eastAsia="Calibri" w:cs="Arial"/>
          <w:sz w:val="24"/>
          <w:szCs w:val="24"/>
          <w:lang w:val="en-US"/>
        </w:rPr>
        <w:t xml:space="preserve">lame’. </w:t>
      </w:r>
      <w:r w:rsidR="00270887" w:rsidRPr="00C35A91">
        <w:rPr>
          <w:rFonts w:eastAsia="Calibri" w:cs="Arial"/>
          <w:sz w:val="24"/>
          <w:szCs w:val="24"/>
          <w:lang w:val="en-US"/>
        </w:rPr>
        <w:t>Historically, a</w:t>
      </w:r>
      <w:r w:rsidR="003E6A9A" w:rsidRPr="00C35A91">
        <w:rPr>
          <w:rFonts w:eastAsia="Calibri" w:cs="Arial"/>
          <w:sz w:val="24"/>
          <w:szCs w:val="24"/>
          <w:lang w:val="en-US"/>
        </w:rPr>
        <w:t xml:space="preserve"> lack of public scrutiny</w:t>
      </w:r>
      <w:r w:rsidR="00CC1F1C" w:rsidRPr="00C35A91">
        <w:rPr>
          <w:rFonts w:eastAsia="Calibri" w:cs="Arial"/>
          <w:sz w:val="24"/>
          <w:szCs w:val="24"/>
          <w:lang w:val="en-US"/>
        </w:rPr>
        <w:t xml:space="preserve"> (and public education)</w:t>
      </w:r>
      <w:r w:rsidR="003E6A9A" w:rsidRPr="00C35A91">
        <w:rPr>
          <w:rFonts w:eastAsia="Calibri" w:cs="Arial"/>
          <w:sz w:val="24"/>
          <w:szCs w:val="24"/>
          <w:lang w:val="en-US"/>
        </w:rPr>
        <w:t xml:space="preserve">, </w:t>
      </w:r>
      <w:r w:rsidR="00937744" w:rsidRPr="00C35A91">
        <w:rPr>
          <w:rFonts w:eastAsia="Calibri" w:cs="Arial"/>
          <w:sz w:val="24"/>
          <w:szCs w:val="24"/>
          <w:lang w:val="en-US"/>
        </w:rPr>
        <w:t>a</w:t>
      </w:r>
      <w:r w:rsidR="003E6A9A" w:rsidRPr="00C35A91">
        <w:rPr>
          <w:rFonts w:eastAsia="Calibri" w:cs="Arial"/>
          <w:sz w:val="24"/>
          <w:szCs w:val="24"/>
          <w:lang w:val="en-US"/>
        </w:rPr>
        <w:t xml:space="preserve"> dearth of administrative encouragement for investigation and </w:t>
      </w:r>
      <w:r w:rsidR="00937744" w:rsidRPr="00C35A91">
        <w:rPr>
          <w:rFonts w:eastAsia="Calibri" w:cs="Arial"/>
          <w:sz w:val="24"/>
          <w:szCs w:val="24"/>
          <w:lang w:val="en-US"/>
        </w:rPr>
        <w:t>a</w:t>
      </w:r>
      <w:r w:rsidR="003E6A9A" w:rsidRPr="00C35A91">
        <w:rPr>
          <w:rFonts w:eastAsia="Calibri" w:cs="Arial"/>
          <w:sz w:val="24"/>
          <w:szCs w:val="24"/>
          <w:lang w:val="en-US"/>
        </w:rPr>
        <w:t xml:space="preserve"> reliance on individual blame have jointly reinforced the need for and cultural dependence upon litigation in the</w:t>
      </w:r>
      <w:r w:rsidR="00937744" w:rsidRPr="00C35A91">
        <w:rPr>
          <w:rFonts w:eastAsia="Calibri" w:cs="Arial"/>
          <w:sz w:val="24"/>
          <w:szCs w:val="24"/>
          <w:lang w:val="en-US"/>
        </w:rPr>
        <w:t xml:space="preserve"> twentieth century</w:t>
      </w:r>
      <w:r w:rsidR="003A0E8C" w:rsidRPr="00C35A91">
        <w:rPr>
          <w:rFonts w:eastAsia="Calibri" w:cs="Arial"/>
          <w:sz w:val="24"/>
          <w:szCs w:val="24"/>
          <w:lang w:val="en-US"/>
        </w:rPr>
        <w:t xml:space="preserve"> (Merry, 2009</w:t>
      </w:r>
      <w:r w:rsidR="00772D0A">
        <w:rPr>
          <w:rFonts w:eastAsia="Calibri" w:cs="Arial"/>
          <w:sz w:val="24"/>
          <w:szCs w:val="24"/>
          <w:lang w:val="en-US"/>
        </w:rPr>
        <w:t>)</w:t>
      </w:r>
      <w:r w:rsidR="00937744" w:rsidRPr="00C35A91">
        <w:rPr>
          <w:rFonts w:eastAsia="Calibri" w:cs="Arial"/>
          <w:sz w:val="24"/>
          <w:szCs w:val="24"/>
          <w:lang w:val="en-US"/>
        </w:rPr>
        <w:t>. I</w:t>
      </w:r>
      <w:r w:rsidR="003E6A9A" w:rsidRPr="00C35A91">
        <w:rPr>
          <w:rFonts w:eastAsia="Calibri" w:cs="Arial"/>
          <w:sz w:val="24"/>
          <w:szCs w:val="24"/>
          <w:lang w:val="en-US"/>
        </w:rPr>
        <w:t xml:space="preserve">n turn, an NHS culture of ‘blame’ </w:t>
      </w:r>
      <w:r w:rsidR="00937744" w:rsidRPr="00C35A91">
        <w:rPr>
          <w:rFonts w:eastAsia="Calibri" w:cs="Arial"/>
          <w:sz w:val="24"/>
          <w:szCs w:val="24"/>
          <w:lang w:val="en-US"/>
        </w:rPr>
        <w:t xml:space="preserve">has </w:t>
      </w:r>
      <w:r w:rsidR="003E6A9A" w:rsidRPr="00C35A91">
        <w:rPr>
          <w:rFonts w:eastAsia="Calibri" w:cs="Arial"/>
          <w:sz w:val="24"/>
          <w:szCs w:val="24"/>
          <w:lang w:val="en-US"/>
        </w:rPr>
        <w:t xml:space="preserve">evolved. </w:t>
      </w:r>
      <w:r w:rsidR="00CC1F1C" w:rsidRPr="00C35A91">
        <w:rPr>
          <w:rFonts w:eastAsia="Calibri" w:cs="Arial"/>
          <w:sz w:val="24"/>
          <w:szCs w:val="24"/>
          <w:lang w:val="en-US"/>
        </w:rPr>
        <w:t xml:space="preserve">Understanding the reasons for this is paramount in any future agenda for change – and this process of education must include patients. </w:t>
      </w:r>
      <w:r w:rsidR="0014766B" w:rsidRPr="00C35A91">
        <w:rPr>
          <w:rFonts w:eastAsia="Calibri" w:cs="Arial"/>
          <w:sz w:val="24"/>
          <w:szCs w:val="24"/>
          <w:lang w:val="en-US"/>
        </w:rPr>
        <w:t>Patient safety has gained momentum throughout the twentieth century because of broad social changes in court</w:t>
      </w:r>
      <w:r w:rsidR="00EB0DC4" w:rsidRPr="00C35A91">
        <w:rPr>
          <w:rFonts w:eastAsia="Calibri" w:cs="Arial"/>
          <w:sz w:val="24"/>
          <w:szCs w:val="24"/>
          <w:lang w:val="en-US"/>
        </w:rPr>
        <w:t>-based</w:t>
      </w:r>
      <w:r w:rsidR="0014766B" w:rsidRPr="00C35A91">
        <w:rPr>
          <w:rFonts w:eastAsia="Calibri" w:cs="Arial"/>
          <w:sz w:val="24"/>
          <w:szCs w:val="24"/>
          <w:lang w:val="en-US"/>
        </w:rPr>
        <w:t xml:space="preserve"> action, theoretical approaches to safety and the establishment of rights for patients – and, more recently, developments in medical professionalism and education </w:t>
      </w:r>
      <w:r w:rsidR="006E6202" w:rsidRPr="00C35A91">
        <w:rPr>
          <w:rFonts w:eastAsia="Calibri" w:cs="Arial"/>
          <w:sz w:val="24"/>
          <w:szCs w:val="24"/>
          <w:lang w:val="en-US"/>
        </w:rPr>
        <w:t>(Irvine, 2001</w:t>
      </w:r>
      <w:r w:rsidR="00772D0A">
        <w:rPr>
          <w:rFonts w:eastAsia="Calibri" w:cs="Arial"/>
          <w:sz w:val="24"/>
          <w:szCs w:val="24"/>
          <w:lang w:val="en-US"/>
        </w:rPr>
        <w:t>)</w:t>
      </w:r>
      <w:r w:rsidR="006E6202" w:rsidRPr="00C35A91">
        <w:rPr>
          <w:rFonts w:eastAsia="Calibri" w:cs="Arial"/>
          <w:sz w:val="24"/>
          <w:szCs w:val="24"/>
          <w:lang w:val="en-US"/>
        </w:rPr>
        <w:t xml:space="preserve">. </w:t>
      </w:r>
      <w:r w:rsidR="00CC1F1C" w:rsidRPr="00C35A91">
        <w:rPr>
          <w:rFonts w:eastAsia="Calibri" w:cs="Arial"/>
          <w:sz w:val="24"/>
          <w:szCs w:val="24"/>
          <w:lang w:val="en-US"/>
        </w:rPr>
        <w:t xml:space="preserve">Patients and </w:t>
      </w:r>
      <w:r w:rsidR="006E6202" w:rsidRPr="00C35A91">
        <w:rPr>
          <w:rFonts w:eastAsia="Calibri" w:cs="Arial"/>
          <w:sz w:val="24"/>
          <w:szCs w:val="24"/>
          <w:lang w:val="en-US"/>
        </w:rPr>
        <w:t>professionals benefit from understanding</w:t>
      </w:r>
      <w:r w:rsidR="00CC1F1C" w:rsidRPr="00C35A91">
        <w:rPr>
          <w:rFonts w:eastAsia="Calibri" w:cs="Arial"/>
          <w:sz w:val="24"/>
          <w:szCs w:val="24"/>
          <w:lang w:val="en-US"/>
        </w:rPr>
        <w:t xml:space="preserve"> context</w:t>
      </w:r>
      <w:r w:rsidR="006E6202" w:rsidRPr="00C35A91">
        <w:rPr>
          <w:rFonts w:eastAsia="Calibri" w:cs="Arial"/>
          <w:sz w:val="24"/>
          <w:szCs w:val="24"/>
          <w:lang w:val="en-US"/>
        </w:rPr>
        <w:t xml:space="preserve"> and the need for positive change. The result could be that both are less inclined to support actions that endorse</w:t>
      </w:r>
      <w:r w:rsidR="00CC1F1C" w:rsidRPr="00C35A91">
        <w:rPr>
          <w:rFonts w:eastAsia="Calibri" w:cs="Arial"/>
          <w:sz w:val="24"/>
          <w:szCs w:val="24"/>
          <w:lang w:val="en-US"/>
        </w:rPr>
        <w:t xml:space="preserve"> cultures</w:t>
      </w:r>
      <w:r w:rsidR="006E6202" w:rsidRPr="00C35A91">
        <w:rPr>
          <w:rFonts w:eastAsia="Calibri" w:cs="Arial"/>
          <w:sz w:val="24"/>
          <w:szCs w:val="24"/>
          <w:lang w:val="en-US"/>
        </w:rPr>
        <w:t xml:space="preserve"> of blame</w:t>
      </w:r>
      <w:r w:rsidR="00CC1F1C" w:rsidRPr="00C35A91">
        <w:rPr>
          <w:rFonts w:eastAsia="Calibri" w:cs="Arial"/>
          <w:sz w:val="24"/>
          <w:szCs w:val="24"/>
          <w:lang w:val="en-US"/>
        </w:rPr>
        <w:t>.</w:t>
      </w:r>
      <w:r w:rsidR="002C0FEE">
        <w:rPr>
          <w:rFonts w:eastAsia="Calibri" w:cs="Arial"/>
          <w:sz w:val="24"/>
          <w:szCs w:val="24"/>
          <w:lang w:val="en-US"/>
        </w:rPr>
        <w:t xml:space="preserve"> </w:t>
      </w:r>
      <w:r w:rsidR="00277D05" w:rsidRPr="00C35A91">
        <w:rPr>
          <w:rFonts w:eastAsia="Calibri" w:cs="Arial"/>
          <w:sz w:val="24"/>
          <w:szCs w:val="24"/>
          <w:lang w:val="en-US"/>
        </w:rPr>
        <w:t>If ‘lessons from history’ can point to a productive solution for any of today’s problems, the potential role of IPE in strengthening the bond between professionals, patients and allied healthcare professions should not be underestimated.</w:t>
      </w:r>
    </w:p>
    <w:p w:rsidR="00277D05" w:rsidRPr="00C35A91" w:rsidRDefault="00277D05" w:rsidP="0014766B">
      <w:pPr>
        <w:spacing w:after="0" w:line="360" w:lineRule="auto"/>
        <w:rPr>
          <w:rFonts w:eastAsia="Calibri" w:cs="Arial"/>
          <w:sz w:val="24"/>
          <w:szCs w:val="24"/>
          <w:lang w:val="en-US"/>
        </w:rPr>
      </w:pPr>
    </w:p>
    <w:p w:rsidR="0014766B" w:rsidRPr="00C35A91" w:rsidRDefault="006E6202" w:rsidP="00277D05">
      <w:pPr>
        <w:spacing w:after="0" w:line="360" w:lineRule="auto"/>
        <w:rPr>
          <w:rFonts w:eastAsia="Calibri" w:cs="Arial"/>
          <w:sz w:val="24"/>
          <w:szCs w:val="24"/>
          <w:lang w:val="en-US"/>
        </w:rPr>
      </w:pPr>
      <w:r w:rsidRPr="00C35A91">
        <w:rPr>
          <w:rFonts w:eastAsia="Calibri" w:cs="Arial"/>
          <w:i/>
          <w:sz w:val="24"/>
          <w:szCs w:val="24"/>
          <w:lang w:val="en-US"/>
        </w:rPr>
        <w:t>In situ</w:t>
      </w:r>
      <w:r w:rsidRPr="00C35A91">
        <w:rPr>
          <w:rFonts w:eastAsia="Calibri" w:cs="Arial"/>
          <w:sz w:val="24"/>
          <w:szCs w:val="24"/>
          <w:lang w:val="en-US"/>
        </w:rPr>
        <w:t xml:space="preserve"> with historical case studies</w:t>
      </w:r>
      <w:r w:rsidR="00CC1F1C" w:rsidRPr="00C35A91">
        <w:rPr>
          <w:rFonts w:eastAsia="Calibri" w:cs="Arial"/>
          <w:sz w:val="24"/>
          <w:szCs w:val="24"/>
          <w:lang w:val="en-US"/>
        </w:rPr>
        <w:t xml:space="preserve">, </w:t>
      </w:r>
      <w:r w:rsidRPr="00C35A91">
        <w:rPr>
          <w:rFonts w:eastAsia="Calibri" w:cs="Arial"/>
          <w:sz w:val="24"/>
          <w:szCs w:val="24"/>
          <w:lang w:val="en-US"/>
        </w:rPr>
        <w:t>IPE proved popular,</w:t>
      </w:r>
      <w:r w:rsidR="00CC1F1C" w:rsidRPr="00C35A91">
        <w:rPr>
          <w:rFonts w:eastAsia="Calibri" w:cs="Arial"/>
          <w:sz w:val="24"/>
          <w:szCs w:val="24"/>
          <w:lang w:val="en-US"/>
        </w:rPr>
        <w:t xml:space="preserve"> time</w:t>
      </w:r>
      <w:r w:rsidR="00773A28" w:rsidRPr="00C35A91">
        <w:rPr>
          <w:rFonts w:eastAsia="Calibri" w:cs="Arial"/>
          <w:sz w:val="24"/>
          <w:szCs w:val="24"/>
          <w:lang w:val="en-US"/>
        </w:rPr>
        <w:t>ly</w:t>
      </w:r>
      <w:r w:rsidR="00CC1F1C" w:rsidRPr="00C35A91">
        <w:rPr>
          <w:rFonts w:eastAsia="Calibri" w:cs="Arial"/>
          <w:sz w:val="24"/>
          <w:szCs w:val="24"/>
          <w:lang w:val="en-US"/>
        </w:rPr>
        <w:t xml:space="preserve"> and effective</w:t>
      </w:r>
      <w:r w:rsidRPr="00C35A91">
        <w:rPr>
          <w:rFonts w:eastAsia="Calibri" w:cs="Arial"/>
          <w:sz w:val="24"/>
          <w:szCs w:val="24"/>
          <w:lang w:val="en-US"/>
        </w:rPr>
        <w:t xml:space="preserve"> in this workshop</w:t>
      </w:r>
      <w:r w:rsidR="00CC1F1C" w:rsidRPr="00C35A91">
        <w:rPr>
          <w:rFonts w:eastAsia="Calibri" w:cs="Arial"/>
          <w:sz w:val="24"/>
          <w:szCs w:val="24"/>
          <w:lang w:val="en-US"/>
        </w:rPr>
        <w:t>. Additionally, h</w:t>
      </w:r>
      <w:r w:rsidR="00937744" w:rsidRPr="00C35A91">
        <w:rPr>
          <w:rFonts w:eastAsia="Calibri" w:cs="Arial"/>
          <w:sz w:val="24"/>
          <w:szCs w:val="24"/>
          <w:lang w:val="en-US"/>
        </w:rPr>
        <w:t xml:space="preserve">istorical case studies </w:t>
      </w:r>
      <w:r w:rsidR="00270887" w:rsidRPr="00C35A91">
        <w:rPr>
          <w:rFonts w:eastAsia="Calibri" w:cs="Arial"/>
          <w:sz w:val="24"/>
          <w:szCs w:val="24"/>
          <w:lang w:val="en-US"/>
        </w:rPr>
        <w:t>seemed to</w:t>
      </w:r>
      <w:r w:rsidR="002C0FEE">
        <w:rPr>
          <w:rFonts w:eastAsia="Calibri" w:cs="Arial"/>
          <w:sz w:val="24"/>
          <w:szCs w:val="24"/>
          <w:lang w:val="en-US"/>
        </w:rPr>
        <w:t xml:space="preserve"> </w:t>
      </w:r>
      <w:r w:rsidR="00937744" w:rsidRPr="00C35A91">
        <w:rPr>
          <w:rFonts w:eastAsia="Calibri" w:cs="Arial"/>
          <w:sz w:val="24"/>
          <w:szCs w:val="24"/>
          <w:lang w:val="en-US"/>
        </w:rPr>
        <w:t>provide ‘safe distance’ f</w:t>
      </w:r>
      <w:r w:rsidR="00CC1F1C" w:rsidRPr="00C35A91">
        <w:rPr>
          <w:rFonts w:eastAsia="Calibri" w:cs="Arial"/>
          <w:sz w:val="24"/>
          <w:szCs w:val="24"/>
          <w:lang w:val="en-US"/>
        </w:rPr>
        <w:t>o</w:t>
      </w:r>
      <w:r w:rsidR="00937744" w:rsidRPr="00C35A91">
        <w:rPr>
          <w:rFonts w:eastAsia="Calibri" w:cs="Arial"/>
          <w:sz w:val="24"/>
          <w:szCs w:val="24"/>
          <w:lang w:val="en-US"/>
        </w:rPr>
        <w:t xml:space="preserve">r professionals to </w:t>
      </w:r>
      <w:r w:rsidR="00270887" w:rsidRPr="00C35A91">
        <w:rPr>
          <w:rFonts w:eastAsia="Calibri" w:cs="Arial"/>
          <w:sz w:val="24"/>
          <w:szCs w:val="24"/>
          <w:lang w:val="en-US"/>
        </w:rPr>
        <w:t xml:space="preserve">intellectually engage with </w:t>
      </w:r>
      <w:r w:rsidR="00937744" w:rsidRPr="00C35A91">
        <w:rPr>
          <w:rFonts w:eastAsia="Calibri" w:cs="Arial"/>
          <w:sz w:val="24"/>
          <w:szCs w:val="24"/>
          <w:lang w:val="en-US"/>
        </w:rPr>
        <w:t>some non-clinical aspects of the creation and consumption of healthcare th</w:t>
      </w:r>
      <w:r w:rsidR="00270887" w:rsidRPr="00C35A91">
        <w:rPr>
          <w:rFonts w:eastAsia="Calibri" w:cs="Arial"/>
          <w:sz w:val="24"/>
          <w:szCs w:val="24"/>
          <w:lang w:val="en-US"/>
        </w:rPr>
        <w:t>at they may otherwise overlook. T</w:t>
      </w:r>
      <w:r w:rsidR="00937744" w:rsidRPr="00C35A91">
        <w:rPr>
          <w:rFonts w:eastAsia="Calibri" w:cs="Arial"/>
          <w:sz w:val="24"/>
          <w:szCs w:val="24"/>
          <w:lang w:val="en-US"/>
        </w:rPr>
        <w:t>he</w:t>
      </w:r>
      <w:r w:rsidR="00270887" w:rsidRPr="00C35A91">
        <w:rPr>
          <w:rFonts w:eastAsia="Calibri" w:cs="Arial"/>
          <w:sz w:val="24"/>
          <w:szCs w:val="24"/>
          <w:lang w:val="en-US"/>
        </w:rPr>
        <w:t xml:space="preserve">re was </w:t>
      </w:r>
      <w:r w:rsidR="00E2599E" w:rsidRPr="00C35A91">
        <w:rPr>
          <w:rFonts w:eastAsia="Calibri" w:cs="Arial"/>
          <w:sz w:val="24"/>
          <w:szCs w:val="24"/>
          <w:lang w:val="en-US"/>
        </w:rPr>
        <w:t>near-</w:t>
      </w:r>
      <w:r w:rsidR="00270887" w:rsidRPr="00C35A91">
        <w:rPr>
          <w:rFonts w:eastAsia="Calibri" w:cs="Arial"/>
          <w:sz w:val="24"/>
          <w:szCs w:val="24"/>
          <w:lang w:val="en-US"/>
        </w:rPr>
        <w:t>consensus in participant feedback forms</w:t>
      </w:r>
      <w:r w:rsidR="00937744" w:rsidRPr="00C35A91">
        <w:rPr>
          <w:rFonts w:eastAsia="Calibri" w:cs="Arial"/>
          <w:sz w:val="24"/>
          <w:szCs w:val="24"/>
          <w:lang w:val="en-US"/>
        </w:rPr>
        <w:t xml:space="preserve"> that comparisons between past and present were potent and useful. </w:t>
      </w:r>
      <w:r w:rsidR="00277D05" w:rsidRPr="00C35A91">
        <w:rPr>
          <w:sz w:val="24"/>
          <w:szCs w:val="24"/>
        </w:rPr>
        <w:t xml:space="preserve">A </w:t>
      </w:r>
      <w:r w:rsidR="00277D05" w:rsidRPr="008B4260">
        <w:rPr>
          <w:sz w:val="24"/>
          <w:szCs w:val="24"/>
        </w:rPr>
        <w:t>recent article on history in</w:t>
      </w:r>
      <w:r w:rsidR="00E2599E" w:rsidRPr="008B4260">
        <w:rPr>
          <w:sz w:val="24"/>
          <w:szCs w:val="24"/>
        </w:rPr>
        <w:t xml:space="preserve"> medical education observed</w:t>
      </w:r>
      <w:r w:rsidR="008B4260" w:rsidRPr="008B4260">
        <w:rPr>
          <w:sz w:val="24"/>
          <w:szCs w:val="24"/>
        </w:rPr>
        <w:t>, “</w:t>
      </w:r>
      <w:r w:rsidR="008B4260" w:rsidRPr="008B4260">
        <w:rPr>
          <w:rFonts w:eastAsia="Calibri" w:cs="Arial"/>
          <w:sz w:val="24"/>
          <w:szCs w:val="24"/>
          <w:lang w:val="en-US"/>
        </w:rPr>
        <w:t>m</w:t>
      </w:r>
      <w:r w:rsidR="004C77AD" w:rsidRPr="008B4260">
        <w:rPr>
          <w:rFonts w:eastAsia="Calibri" w:cs="Arial"/>
          <w:sz w:val="24"/>
          <w:szCs w:val="24"/>
          <w:lang w:val="en-US"/>
        </w:rPr>
        <w:t>edical students can be a tough audience for the medical humanities. They approach the knowledge taught to them with one eye firmly on the bottom line: is this knowledge relevant for their future as practitioners…?</w:t>
      </w:r>
      <w:r w:rsidR="008B4260">
        <w:rPr>
          <w:rFonts w:eastAsia="Calibri" w:cs="Arial"/>
          <w:sz w:val="24"/>
          <w:szCs w:val="24"/>
          <w:lang w:val="en-US"/>
        </w:rPr>
        <w:t>”</w:t>
      </w:r>
      <w:r w:rsidR="00E2599E" w:rsidRPr="008B4260">
        <w:rPr>
          <w:rFonts w:eastAsia="Calibri" w:cs="Arial"/>
          <w:sz w:val="24"/>
          <w:szCs w:val="24"/>
          <w:lang w:val="en-US"/>
        </w:rPr>
        <w:t xml:space="preserve"> (</w:t>
      </w:r>
      <w:r w:rsidR="00277D05" w:rsidRPr="008B4260">
        <w:rPr>
          <w:rFonts w:eastAsia="Calibri" w:cs="Arial"/>
          <w:sz w:val="24"/>
          <w:szCs w:val="24"/>
          <w:lang w:val="en-US"/>
        </w:rPr>
        <w:t>Jones, Greene, Duffin</w:t>
      </w:r>
      <w:r w:rsidR="002C0FEE">
        <w:rPr>
          <w:rFonts w:eastAsia="Calibri" w:cs="Arial"/>
          <w:sz w:val="24"/>
          <w:szCs w:val="24"/>
          <w:lang w:val="en-US"/>
        </w:rPr>
        <w:t xml:space="preserve"> </w:t>
      </w:r>
      <w:r w:rsidR="00D87BDA" w:rsidRPr="008B4260">
        <w:rPr>
          <w:rFonts w:eastAsia="Calibri" w:cs="Arial"/>
          <w:sz w:val="24"/>
          <w:szCs w:val="24"/>
          <w:lang w:val="en-US"/>
        </w:rPr>
        <w:t>&amp;</w:t>
      </w:r>
      <w:r w:rsidR="008B43C2">
        <w:rPr>
          <w:rFonts w:eastAsia="Calibri" w:cs="Arial"/>
          <w:sz w:val="24"/>
          <w:szCs w:val="24"/>
          <w:lang w:val="en-US"/>
        </w:rPr>
        <w:t xml:space="preserve"> Warner, 2015; </w:t>
      </w:r>
      <w:r w:rsidR="008B43C2" w:rsidRPr="00302BDB">
        <w:rPr>
          <w:rFonts w:eastAsia="Calibri" w:cs="Arial"/>
          <w:color w:val="FF0000"/>
          <w:sz w:val="24"/>
          <w:szCs w:val="24"/>
          <w:lang w:val="en-US"/>
        </w:rPr>
        <w:t xml:space="preserve">p </w:t>
      </w:r>
      <w:r w:rsidR="00704381" w:rsidRPr="00302BDB">
        <w:rPr>
          <w:rFonts w:eastAsia="Calibri" w:cs="Arial"/>
          <w:color w:val="FF0000"/>
          <w:sz w:val="24"/>
          <w:szCs w:val="24"/>
          <w:lang w:val="en-US"/>
        </w:rPr>
        <w:t>637</w:t>
      </w:r>
      <w:r w:rsidR="008B43C2" w:rsidRPr="00302BDB">
        <w:rPr>
          <w:rFonts w:eastAsia="Calibri" w:cs="Arial"/>
          <w:color w:val="FF0000"/>
          <w:sz w:val="24"/>
          <w:szCs w:val="24"/>
          <w:lang w:val="en-US"/>
        </w:rPr>
        <w:t>)</w:t>
      </w:r>
      <w:r w:rsidR="008B4260" w:rsidRPr="00302BDB">
        <w:rPr>
          <w:rFonts w:eastAsia="Calibri" w:cs="Arial"/>
          <w:color w:val="FF0000"/>
          <w:sz w:val="24"/>
          <w:szCs w:val="24"/>
          <w:lang w:val="en-US"/>
        </w:rPr>
        <w:t>.</w:t>
      </w:r>
      <w:r w:rsidR="00E2599E" w:rsidRPr="008B4260">
        <w:rPr>
          <w:rFonts w:eastAsia="Calibri" w:cs="Arial"/>
          <w:sz w:val="24"/>
          <w:szCs w:val="24"/>
          <w:lang w:val="en-US"/>
        </w:rPr>
        <w:t>IPE, ‘history’ and patient safety, together, can</w:t>
      </w:r>
      <w:r w:rsidR="00E2599E" w:rsidRPr="00C35A91">
        <w:rPr>
          <w:rFonts w:eastAsia="Calibri" w:cs="Arial"/>
          <w:sz w:val="24"/>
          <w:szCs w:val="24"/>
          <w:lang w:val="en-US"/>
        </w:rPr>
        <w:t xml:space="preserve"> relate the immediacy of otherwise distant themes. As such, there is the potential to enhance practitioner ‘soft’ skills and self-awareness, providing a suite of knowledge </w:t>
      </w:r>
      <w:r w:rsidR="00277D05" w:rsidRPr="00C35A91">
        <w:rPr>
          <w:rFonts w:eastAsia="Calibri" w:cs="Arial"/>
          <w:sz w:val="24"/>
          <w:szCs w:val="24"/>
          <w:lang w:val="en-US"/>
        </w:rPr>
        <w:t>that strengthens</w:t>
      </w:r>
      <w:r w:rsidR="00E2599E" w:rsidRPr="00C35A91">
        <w:rPr>
          <w:rFonts w:eastAsia="Calibri" w:cs="Arial"/>
          <w:sz w:val="24"/>
          <w:szCs w:val="24"/>
          <w:lang w:val="en-US"/>
        </w:rPr>
        <w:t xml:space="preserve"> practitioners through the turbulence of a medical career.</w:t>
      </w:r>
    </w:p>
    <w:p w:rsidR="0022213D" w:rsidRPr="00C35A91" w:rsidRDefault="0022213D" w:rsidP="0022213D">
      <w:pPr>
        <w:spacing w:after="0" w:line="360" w:lineRule="auto"/>
        <w:rPr>
          <w:rFonts w:eastAsia="Calibri" w:cs="Arial"/>
          <w:sz w:val="24"/>
          <w:szCs w:val="24"/>
          <w:lang w:val="en-US"/>
        </w:rPr>
      </w:pPr>
    </w:p>
    <w:p w:rsidR="001B7B17" w:rsidRPr="00C35A91" w:rsidRDefault="00CC1F1C" w:rsidP="00D63F93">
      <w:pPr>
        <w:rPr>
          <w:b/>
          <w:sz w:val="24"/>
          <w:szCs w:val="24"/>
        </w:rPr>
      </w:pPr>
      <w:r w:rsidRPr="00C35A91">
        <w:rPr>
          <w:b/>
          <w:sz w:val="24"/>
          <w:szCs w:val="24"/>
        </w:rPr>
        <w:t xml:space="preserve">Workshop 2: </w:t>
      </w:r>
      <w:r w:rsidR="00773A28" w:rsidRPr="00C35A91">
        <w:rPr>
          <w:b/>
          <w:sz w:val="24"/>
          <w:szCs w:val="24"/>
        </w:rPr>
        <w:t>L</w:t>
      </w:r>
      <w:r w:rsidR="005D0AAD" w:rsidRPr="00C35A91">
        <w:rPr>
          <w:b/>
          <w:sz w:val="24"/>
          <w:szCs w:val="24"/>
        </w:rPr>
        <w:t>ooking back</w:t>
      </w:r>
      <w:r w:rsidR="00773A28" w:rsidRPr="00C35A91">
        <w:rPr>
          <w:b/>
          <w:sz w:val="24"/>
          <w:szCs w:val="24"/>
        </w:rPr>
        <w:t>,</w:t>
      </w:r>
      <w:r w:rsidR="005D0AAD" w:rsidRPr="00C35A91">
        <w:rPr>
          <w:b/>
          <w:sz w:val="24"/>
          <w:szCs w:val="24"/>
        </w:rPr>
        <w:t xml:space="preserve"> going forward</w:t>
      </w:r>
      <w:r w:rsidR="00773A28" w:rsidRPr="00C35A91">
        <w:rPr>
          <w:b/>
          <w:sz w:val="24"/>
          <w:szCs w:val="24"/>
        </w:rPr>
        <w:t>:  T</w:t>
      </w:r>
      <w:r w:rsidR="005D0AAD" w:rsidRPr="00C35A91">
        <w:rPr>
          <w:b/>
          <w:sz w:val="24"/>
          <w:szCs w:val="24"/>
        </w:rPr>
        <w:t xml:space="preserve">he role of </w:t>
      </w:r>
      <w:r w:rsidRPr="00C35A91">
        <w:rPr>
          <w:b/>
          <w:sz w:val="24"/>
          <w:szCs w:val="24"/>
        </w:rPr>
        <w:t xml:space="preserve">IPE </w:t>
      </w:r>
    </w:p>
    <w:p w:rsidR="00C654DD" w:rsidRPr="00C35A91" w:rsidRDefault="005D0AAD" w:rsidP="00F1295A">
      <w:pPr>
        <w:spacing w:after="0" w:line="360" w:lineRule="auto"/>
        <w:rPr>
          <w:sz w:val="24"/>
          <w:szCs w:val="24"/>
        </w:rPr>
      </w:pPr>
      <w:r w:rsidRPr="00C35A91">
        <w:rPr>
          <w:sz w:val="24"/>
          <w:szCs w:val="24"/>
        </w:rPr>
        <w:t xml:space="preserve">At the European IPE </w:t>
      </w:r>
      <w:r w:rsidR="008B4260">
        <w:rPr>
          <w:sz w:val="24"/>
          <w:szCs w:val="24"/>
        </w:rPr>
        <w:t xml:space="preserve">Network (EIPEN) </w:t>
      </w:r>
      <w:r w:rsidRPr="00C35A91">
        <w:rPr>
          <w:sz w:val="24"/>
          <w:szCs w:val="24"/>
        </w:rPr>
        <w:t>conference</w:t>
      </w:r>
      <w:r w:rsidR="008B4260">
        <w:rPr>
          <w:sz w:val="24"/>
          <w:szCs w:val="24"/>
        </w:rPr>
        <w:t xml:space="preserve"> in </w:t>
      </w:r>
      <w:r w:rsidR="00F1295A" w:rsidRPr="00C35A91">
        <w:rPr>
          <w:sz w:val="24"/>
          <w:szCs w:val="24"/>
        </w:rPr>
        <w:t>September 2015,</w:t>
      </w:r>
      <w:r w:rsidRPr="00C35A91">
        <w:rPr>
          <w:sz w:val="24"/>
          <w:szCs w:val="24"/>
        </w:rPr>
        <w:t xml:space="preserve"> p</w:t>
      </w:r>
      <w:r w:rsidR="001D1C23" w:rsidRPr="00C35A91">
        <w:rPr>
          <w:sz w:val="24"/>
          <w:szCs w:val="24"/>
        </w:rPr>
        <w:t xml:space="preserve">articipants </w:t>
      </w:r>
      <w:r w:rsidR="00F1295A" w:rsidRPr="00C35A91">
        <w:rPr>
          <w:sz w:val="24"/>
          <w:szCs w:val="24"/>
        </w:rPr>
        <w:t xml:space="preserve">(practitioners and educators in the field of health and social care and respective professional education, across the range of health and social care professions) spent </w:t>
      </w:r>
      <w:r w:rsidR="001D1C23" w:rsidRPr="00C35A91">
        <w:rPr>
          <w:sz w:val="24"/>
          <w:szCs w:val="24"/>
        </w:rPr>
        <w:t>90-120 minutes</w:t>
      </w:r>
      <w:r w:rsidR="00F1295A" w:rsidRPr="00C35A91">
        <w:rPr>
          <w:sz w:val="24"/>
          <w:szCs w:val="24"/>
        </w:rPr>
        <w:t>, considering how IPE should support the patent safety agenda</w:t>
      </w:r>
      <w:r w:rsidR="00C57BB9" w:rsidRPr="00C35A91">
        <w:rPr>
          <w:sz w:val="24"/>
          <w:szCs w:val="24"/>
        </w:rPr>
        <w:t>;</w:t>
      </w:r>
      <w:r w:rsidR="00F1295A" w:rsidRPr="00C35A91">
        <w:rPr>
          <w:sz w:val="24"/>
          <w:szCs w:val="24"/>
        </w:rPr>
        <w:t xml:space="preserve"> using the time period of the </w:t>
      </w:r>
      <w:r w:rsidR="00370093" w:rsidRPr="00C35A91">
        <w:rPr>
          <w:sz w:val="24"/>
          <w:szCs w:val="24"/>
        </w:rPr>
        <w:t xml:space="preserve">last </w:t>
      </w:r>
      <w:r w:rsidR="003F6C5B" w:rsidRPr="00C35A91">
        <w:rPr>
          <w:sz w:val="24"/>
          <w:szCs w:val="24"/>
        </w:rPr>
        <w:t>twenty</w:t>
      </w:r>
      <w:r w:rsidR="00370093" w:rsidRPr="00C35A91">
        <w:rPr>
          <w:sz w:val="24"/>
          <w:szCs w:val="24"/>
        </w:rPr>
        <w:t xml:space="preserve"> years,</w:t>
      </w:r>
      <w:r w:rsidR="00F1295A" w:rsidRPr="00C35A91">
        <w:rPr>
          <w:sz w:val="24"/>
          <w:szCs w:val="24"/>
        </w:rPr>
        <w:t xml:space="preserve"> since pre-registration IPE has taken root within health and social care curriculum.</w:t>
      </w:r>
      <w:r w:rsidR="002C0FEE">
        <w:rPr>
          <w:sz w:val="24"/>
          <w:szCs w:val="24"/>
        </w:rPr>
        <w:t xml:space="preserve"> </w:t>
      </w:r>
      <w:r w:rsidR="001D1C23" w:rsidRPr="00C35A91">
        <w:rPr>
          <w:sz w:val="24"/>
          <w:szCs w:val="24"/>
        </w:rPr>
        <w:t>The</w:t>
      </w:r>
      <w:r w:rsidR="002C0FEE">
        <w:rPr>
          <w:sz w:val="24"/>
          <w:szCs w:val="24"/>
        </w:rPr>
        <w:t xml:space="preserve"> </w:t>
      </w:r>
      <w:r w:rsidR="00D31B1E" w:rsidRPr="00C35A91">
        <w:rPr>
          <w:sz w:val="24"/>
          <w:szCs w:val="24"/>
        </w:rPr>
        <w:t>w</w:t>
      </w:r>
      <w:r w:rsidR="001D1C23" w:rsidRPr="00C35A91">
        <w:rPr>
          <w:sz w:val="24"/>
          <w:szCs w:val="24"/>
        </w:rPr>
        <w:t xml:space="preserve">orkshop </w:t>
      </w:r>
      <w:r w:rsidR="00D31B1E" w:rsidRPr="00C35A91">
        <w:rPr>
          <w:sz w:val="24"/>
          <w:szCs w:val="24"/>
        </w:rPr>
        <w:t>aims were</w:t>
      </w:r>
      <w:r w:rsidR="00C654DD" w:rsidRPr="00C35A91">
        <w:rPr>
          <w:sz w:val="24"/>
          <w:szCs w:val="24"/>
        </w:rPr>
        <w:t>:</w:t>
      </w:r>
    </w:p>
    <w:p w:rsidR="00C654DD" w:rsidRPr="00C35A91" w:rsidRDefault="00C654DD" w:rsidP="00E32B44">
      <w:pPr>
        <w:pStyle w:val="ListParagraph"/>
        <w:numPr>
          <w:ilvl w:val="0"/>
          <w:numId w:val="12"/>
        </w:numPr>
        <w:rPr>
          <w:sz w:val="24"/>
          <w:szCs w:val="24"/>
        </w:rPr>
      </w:pPr>
      <w:r w:rsidRPr="00C35A91">
        <w:rPr>
          <w:sz w:val="24"/>
          <w:szCs w:val="24"/>
        </w:rPr>
        <w:t>T</w:t>
      </w:r>
      <w:r w:rsidR="00D31B1E" w:rsidRPr="00C35A91">
        <w:rPr>
          <w:sz w:val="24"/>
          <w:szCs w:val="24"/>
        </w:rPr>
        <w:t xml:space="preserve">o share current experiences of </w:t>
      </w:r>
      <w:r w:rsidR="00E27FFE" w:rsidRPr="00C35A91">
        <w:rPr>
          <w:sz w:val="24"/>
          <w:szCs w:val="24"/>
        </w:rPr>
        <w:t>modernised collaborative working in</w:t>
      </w:r>
      <w:r w:rsidR="00D31B1E" w:rsidRPr="00C35A91">
        <w:rPr>
          <w:sz w:val="24"/>
          <w:szCs w:val="24"/>
        </w:rPr>
        <w:t xml:space="preserve"> local health and social care</w:t>
      </w:r>
    </w:p>
    <w:p w:rsidR="00C654DD" w:rsidRPr="00C35A91" w:rsidRDefault="00D87BDA" w:rsidP="00F1295A">
      <w:pPr>
        <w:spacing w:after="0" w:line="360" w:lineRule="auto"/>
        <w:ind w:left="357"/>
        <w:rPr>
          <w:sz w:val="24"/>
          <w:szCs w:val="24"/>
        </w:rPr>
      </w:pPr>
      <w:r w:rsidRPr="00C35A91">
        <w:rPr>
          <w:sz w:val="24"/>
          <w:szCs w:val="24"/>
        </w:rPr>
        <w:t>P</w:t>
      </w:r>
      <w:r w:rsidR="00E27FFE" w:rsidRPr="00C35A91">
        <w:rPr>
          <w:sz w:val="24"/>
          <w:szCs w:val="24"/>
        </w:rPr>
        <w:t>erspectives of the structure and organisation of health and social care delivery within the UK over the last 30 years w</w:t>
      </w:r>
      <w:r w:rsidRPr="00C35A91">
        <w:rPr>
          <w:sz w:val="24"/>
          <w:szCs w:val="24"/>
        </w:rPr>
        <w:t>ere</w:t>
      </w:r>
      <w:r w:rsidR="00E27FFE" w:rsidRPr="00C35A91">
        <w:rPr>
          <w:sz w:val="24"/>
          <w:szCs w:val="24"/>
        </w:rPr>
        <w:t xml:space="preserve"> shared</w:t>
      </w:r>
      <w:r w:rsidR="00C57BB9" w:rsidRPr="00C35A91">
        <w:rPr>
          <w:sz w:val="24"/>
          <w:szCs w:val="24"/>
        </w:rPr>
        <w:t>,</w:t>
      </w:r>
      <w:r w:rsidR="00E27FFE" w:rsidRPr="00C35A91">
        <w:rPr>
          <w:sz w:val="24"/>
          <w:szCs w:val="24"/>
        </w:rPr>
        <w:t xml:space="preserve"> from the perspective of the organisation and with insights from the workshops leaders (</w:t>
      </w:r>
      <w:r w:rsidR="00C654DD" w:rsidRPr="00C35A91">
        <w:rPr>
          <w:sz w:val="24"/>
          <w:szCs w:val="24"/>
        </w:rPr>
        <w:t xml:space="preserve">Figure </w:t>
      </w:r>
      <w:r w:rsidR="00E27FFE" w:rsidRPr="00C35A91">
        <w:rPr>
          <w:sz w:val="24"/>
          <w:szCs w:val="24"/>
        </w:rPr>
        <w:t>1)</w:t>
      </w:r>
      <w:r w:rsidR="00C57BB9" w:rsidRPr="00C35A91">
        <w:rPr>
          <w:sz w:val="24"/>
          <w:szCs w:val="24"/>
        </w:rPr>
        <w:t>and</w:t>
      </w:r>
      <w:r w:rsidR="002C0FEE">
        <w:rPr>
          <w:sz w:val="24"/>
          <w:szCs w:val="24"/>
        </w:rPr>
        <w:t xml:space="preserve"> </w:t>
      </w:r>
      <w:r w:rsidR="00C57BB9" w:rsidRPr="00C35A91">
        <w:rPr>
          <w:sz w:val="24"/>
          <w:szCs w:val="24"/>
        </w:rPr>
        <w:t>confirmed through</w:t>
      </w:r>
      <w:r w:rsidRPr="00C35A91">
        <w:rPr>
          <w:sz w:val="24"/>
          <w:szCs w:val="24"/>
        </w:rPr>
        <w:t xml:space="preserve"> a pa</w:t>
      </w:r>
      <w:r w:rsidR="00E27FFE" w:rsidRPr="00C35A91">
        <w:rPr>
          <w:sz w:val="24"/>
          <w:szCs w:val="24"/>
        </w:rPr>
        <w:t xml:space="preserve">tient experience </w:t>
      </w:r>
      <w:r w:rsidRPr="00C35A91">
        <w:rPr>
          <w:sz w:val="24"/>
          <w:szCs w:val="24"/>
        </w:rPr>
        <w:t>written as a</w:t>
      </w:r>
      <w:r w:rsidR="00C654DD" w:rsidRPr="00C35A91">
        <w:rPr>
          <w:sz w:val="24"/>
          <w:szCs w:val="24"/>
        </w:rPr>
        <w:t xml:space="preserve"> Blog</w:t>
      </w:r>
      <w:r w:rsidRPr="00C35A91">
        <w:rPr>
          <w:sz w:val="24"/>
          <w:szCs w:val="24"/>
        </w:rPr>
        <w:t xml:space="preserve"> (Table 2</w:t>
      </w:r>
      <w:r w:rsidR="00C57BB9" w:rsidRPr="00C35A91">
        <w:rPr>
          <w:sz w:val="24"/>
          <w:szCs w:val="24"/>
        </w:rPr>
        <w:t>)</w:t>
      </w:r>
      <w:r w:rsidR="00C654DD" w:rsidRPr="00C35A91">
        <w:rPr>
          <w:sz w:val="24"/>
          <w:szCs w:val="24"/>
        </w:rPr>
        <w:t xml:space="preserve">.  Participants </w:t>
      </w:r>
      <w:r w:rsidRPr="00C35A91">
        <w:rPr>
          <w:sz w:val="24"/>
          <w:szCs w:val="24"/>
        </w:rPr>
        <w:t>then</w:t>
      </w:r>
      <w:r w:rsidR="00C654DD" w:rsidRPr="00C35A91">
        <w:rPr>
          <w:sz w:val="24"/>
          <w:szCs w:val="24"/>
        </w:rPr>
        <w:t xml:space="preserve"> plot</w:t>
      </w:r>
      <w:r w:rsidRPr="00C35A91">
        <w:rPr>
          <w:sz w:val="24"/>
          <w:szCs w:val="24"/>
        </w:rPr>
        <w:t>ted</w:t>
      </w:r>
      <w:r w:rsidR="00C654DD" w:rsidRPr="00C35A91">
        <w:rPr>
          <w:sz w:val="24"/>
          <w:szCs w:val="24"/>
        </w:rPr>
        <w:t xml:space="preserve"> the</w:t>
      </w:r>
      <w:r w:rsidR="00E27FFE" w:rsidRPr="00C35A91">
        <w:rPr>
          <w:sz w:val="24"/>
          <w:szCs w:val="24"/>
        </w:rPr>
        <w:t>ir</w:t>
      </w:r>
      <w:r w:rsidR="00C654DD" w:rsidRPr="00C35A91">
        <w:rPr>
          <w:sz w:val="24"/>
          <w:szCs w:val="24"/>
        </w:rPr>
        <w:t xml:space="preserve"> local health care experience</w:t>
      </w:r>
      <w:r w:rsidR="00E27FFE" w:rsidRPr="00C35A91">
        <w:rPr>
          <w:sz w:val="24"/>
          <w:szCs w:val="24"/>
        </w:rPr>
        <w:t>s and understandings</w:t>
      </w:r>
      <w:r w:rsidR="00C654DD" w:rsidRPr="00C35A91">
        <w:rPr>
          <w:sz w:val="24"/>
          <w:szCs w:val="24"/>
        </w:rPr>
        <w:t xml:space="preserve"> along a trajectory of potential collaborative practice (Figure </w:t>
      </w:r>
      <w:r w:rsidR="00E27FFE" w:rsidRPr="00C35A91">
        <w:rPr>
          <w:sz w:val="24"/>
          <w:szCs w:val="24"/>
        </w:rPr>
        <w:t>2</w:t>
      </w:r>
      <w:r w:rsidR="00C654DD" w:rsidRPr="00C35A91">
        <w:rPr>
          <w:sz w:val="24"/>
          <w:szCs w:val="24"/>
        </w:rPr>
        <w:t>)</w:t>
      </w:r>
      <w:r w:rsidR="00157BD7" w:rsidRPr="00C35A91">
        <w:rPr>
          <w:sz w:val="24"/>
          <w:szCs w:val="24"/>
        </w:rPr>
        <w:t>.</w:t>
      </w:r>
    </w:p>
    <w:p w:rsidR="00157BD7" w:rsidRPr="00C35A91" w:rsidRDefault="00157BD7" w:rsidP="00F1295A">
      <w:pPr>
        <w:spacing w:after="0" w:line="360" w:lineRule="auto"/>
        <w:ind w:left="357"/>
        <w:rPr>
          <w:sz w:val="24"/>
          <w:szCs w:val="24"/>
        </w:rPr>
      </w:pPr>
    </w:p>
    <w:p w:rsidR="00157BD7" w:rsidRPr="00C35A91" w:rsidRDefault="00C35A91" w:rsidP="00C35A91">
      <w:pPr>
        <w:spacing w:after="0" w:line="360" w:lineRule="auto"/>
        <w:jc w:val="center"/>
        <w:rPr>
          <w:sz w:val="24"/>
          <w:szCs w:val="24"/>
        </w:rPr>
      </w:pPr>
      <w:r w:rsidRPr="00C35A91">
        <w:rPr>
          <w:sz w:val="24"/>
          <w:szCs w:val="24"/>
        </w:rPr>
        <w:t>INSERT FIGURE</w:t>
      </w:r>
      <w:r>
        <w:rPr>
          <w:sz w:val="24"/>
          <w:szCs w:val="24"/>
        </w:rPr>
        <w:t>S</w:t>
      </w:r>
      <w:r w:rsidRPr="00C35A91">
        <w:rPr>
          <w:sz w:val="24"/>
          <w:szCs w:val="24"/>
        </w:rPr>
        <w:t xml:space="preserve"> 1 AND 2 </w:t>
      </w:r>
      <w:r>
        <w:rPr>
          <w:sz w:val="24"/>
          <w:szCs w:val="24"/>
        </w:rPr>
        <w:t xml:space="preserve">AND TABLE 2 ABOUT </w:t>
      </w:r>
      <w:r w:rsidRPr="00C35A91">
        <w:rPr>
          <w:sz w:val="24"/>
          <w:szCs w:val="24"/>
        </w:rPr>
        <w:t>HERE</w:t>
      </w:r>
    </w:p>
    <w:p w:rsidR="00157BD7" w:rsidRPr="00C35A91" w:rsidRDefault="00157BD7" w:rsidP="00F1295A">
      <w:pPr>
        <w:spacing w:after="0" w:line="360" w:lineRule="auto"/>
        <w:ind w:left="357"/>
        <w:rPr>
          <w:sz w:val="24"/>
          <w:szCs w:val="24"/>
        </w:rPr>
      </w:pPr>
    </w:p>
    <w:p w:rsidR="00C654DD" w:rsidRPr="00C35A91" w:rsidRDefault="00D31B1E" w:rsidP="00E32B44">
      <w:pPr>
        <w:pStyle w:val="ListParagraph"/>
        <w:numPr>
          <w:ilvl w:val="0"/>
          <w:numId w:val="12"/>
        </w:numPr>
        <w:rPr>
          <w:sz w:val="24"/>
          <w:szCs w:val="24"/>
        </w:rPr>
      </w:pPr>
      <w:r w:rsidRPr="00C35A91">
        <w:rPr>
          <w:sz w:val="24"/>
          <w:szCs w:val="24"/>
        </w:rPr>
        <w:t>To consider the local context for resolving patient safety issues</w:t>
      </w:r>
    </w:p>
    <w:p w:rsidR="001F6922" w:rsidRPr="00C35A91" w:rsidRDefault="00C654DD" w:rsidP="001F6922">
      <w:pPr>
        <w:spacing w:line="360" w:lineRule="auto"/>
        <w:ind w:left="567"/>
        <w:rPr>
          <w:sz w:val="24"/>
          <w:szCs w:val="24"/>
        </w:rPr>
      </w:pPr>
      <w:r w:rsidRPr="00C35A91">
        <w:rPr>
          <w:sz w:val="24"/>
          <w:szCs w:val="24"/>
        </w:rPr>
        <w:t xml:space="preserve">Extracts from </w:t>
      </w:r>
      <w:r w:rsidR="00E27FFE" w:rsidRPr="00C35A91">
        <w:rPr>
          <w:sz w:val="24"/>
          <w:szCs w:val="24"/>
        </w:rPr>
        <w:t>leading</w:t>
      </w:r>
      <w:r w:rsidRPr="00C35A91">
        <w:rPr>
          <w:sz w:val="24"/>
          <w:szCs w:val="24"/>
        </w:rPr>
        <w:t xml:space="preserve"> writers </w:t>
      </w:r>
      <w:r w:rsidR="00D87BDA" w:rsidRPr="00C35A91">
        <w:rPr>
          <w:sz w:val="24"/>
          <w:szCs w:val="24"/>
        </w:rPr>
        <w:t>on today</w:t>
      </w:r>
      <w:r w:rsidR="00F30AA0">
        <w:rPr>
          <w:sz w:val="24"/>
          <w:szCs w:val="24"/>
        </w:rPr>
        <w:t>’</w:t>
      </w:r>
      <w:r w:rsidR="00D87BDA" w:rsidRPr="00C35A91">
        <w:rPr>
          <w:sz w:val="24"/>
          <w:szCs w:val="24"/>
        </w:rPr>
        <w:t>s issues concerning</w:t>
      </w:r>
      <w:r w:rsidRPr="00C35A91">
        <w:rPr>
          <w:sz w:val="24"/>
          <w:szCs w:val="24"/>
        </w:rPr>
        <w:t xml:space="preserve"> patient safety were shared</w:t>
      </w:r>
      <w:r w:rsidR="00E27FFE" w:rsidRPr="00C35A91">
        <w:rPr>
          <w:sz w:val="24"/>
          <w:szCs w:val="24"/>
        </w:rPr>
        <w:t xml:space="preserve"> (Dekker, 2014; Prono</w:t>
      </w:r>
      <w:r w:rsidR="00773A28" w:rsidRPr="00C35A91">
        <w:rPr>
          <w:sz w:val="24"/>
          <w:szCs w:val="24"/>
        </w:rPr>
        <w:t>vo</w:t>
      </w:r>
      <w:r w:rsidR="00E27FFE" w:rsidRPr="00C35A91">
        <w:rPr>
          <w:sz w:val="24"/>
          <w:szCs w:val="24"/>
        </w:rPr>
        <w:t>st</w:t>
      </w:r>
      <w:r w:rsidR="002C0FEE">
        <w:rPr>
          <w:sz w:val="24"/>
          <w:szCs w:val="24"/>
        </w:rPr>
        <w:t xml:space="preserve"> </w:t>
      </w:r>
      <w:r w:rsidR="00E27FFE" w:rsidRPr="00C35A91">
        <w:rPr>
          <w:sz w:val="24"/>
          <w:szCs w:val="24"/>
        </w:rPr>
        <w:t>&amp;Vohr, 2010</w:t>
      </w:r>
      <w:r w:rsidR="00E27FFE" w:rsidRPr="00B32E10">
        <w:rPr>
          <w:sz w:val="24"/>
          <w:szCs w:val="24"/>
        </w:rPr>
        <w:t xml:space="preserve">). This material </w:t>
      </w:r>
      <w:r w:rsidR="00D87BDA" w:rsidRPr="00B32E10">
        <w:rPr>
          <w:sz w:val="24"/>
          <w:szCs w:val="24"/>
        </w:rPr>
        <w:t xml:space="preserve">had </w:t>
      </w:r>
      <w:r w:rsidR="00E27FFE" w:rsidRPr="00B32E10">
        <w:rPr>
          <w:sz w:val="24"/>
          <w:szCs w:val="24"/>
        </w:rPr>
        <w:t>emerg</w:t>
      </w:r>
      <w:r w:rsidR="00D87BDA" w:rsidRPr="00B32E10">
        <w:rPr>
          <w:sz w:val="24"/>
          <w:szCs w:val="24"/>
        </w:rPr>
        <w:t>ed</w:t>
      </w:r>
      <w:r w:rsidR="00E27FFE" w:rsidRPr="00B32E10">
        <w:rPr>
          <w:sz w:val="24"/>
          <w:szCs w:val="24"/>
        </w:rPr>
        <w:t xml:space="preserve"> from the aviation industry and systems approaches</w:t>
      </w:r>
      <w:r w:rsidR="00C57BB9" w:rsidRPr="00B32E10">
        <w:rPr>
          <w:sz w:val="24"/>
          <w:szCs w:val="24"/>
        </w:rPr>
        <w:t>,</w:t>
      </w:r>
      <w:r w:rsidR="002C0FEE" w:rsidRPr="00B32E10">
        <w:rPr>
          <w:sz w:val="24"/>
          <w:szCs w:val="24"/>
        </w:rPr>
        <w:t xml:space="preserve"> </w:t>
      </w:r>
      <w:r w:rsidR="00D87BDA" w:rsidRPr="00B32E10">
        <w:rPr>
          <w:sz w:val="24"/>
          <w:szCs w:val="24"/>
        </w:rPr>
        <w:t>now</w:t>
      </w:r>
      <w:r w:rsidR="002C0FEE" w:rsidRPr="00B32E10">
        <w:rPr>
          <w:sz w:val="24"/>
          <w:szCs w:val="24"/>
        </w:rPr>
        <w:t xml:space="preserve"> </w:t>
      </w:r>
      <w:r w:rsidR="00E27FFE" w:rsidRPr="00B32E10">
        <w:rPr>
          <w:sz w:val="24"/>
          <w:szCs w:val="24"/>
        </w:rPr>
        <w:t>adopted within healthcare delivery</w:t>
      </w:r>
      <w:r w:rsidR="00C57BB9" w:rsidRPr="00B32E10">
        <w:rPr>
          <w:sz w:val="24"/>
          <w:szCs w:val="24"/>
        </w:rPr>
        <w:t>,</w:t>
      </w:r>
      <w:r w:rsidR="00D87BDA" w:rsidRPr="00B32E10">
        <w:rPr>
          <w:sz w:val="24"/>
          <w:szCs w:val="24"/>
        </w:rPr>
        <w:t xml:space="preserve"> and it was noted that </w:t>
      </w:r>
      <w:r w:rsidR="00E27FFE" w:rsidRPr="00B32E10">
        <w:rPr>
          <w:sz w:val="24"/>
          <w:szCs w:val="24"/>
        </w:rPr>
        <w:t xml:space="preserve">the aviation industry </w:t>
      </w:r>
      <w:r w:rsidR="00D87BDA" w:rsidRPr="00B32E10">
        <w:rPr>
          <w:sz w:val="24"/>
          <w:szCs w:val="24"/>
        </w:rPr>
        <w:t xml:space="preserve">had taken </w:t>
      </w:r>
      <w:r w:rsidR="00E27FFE" w:rsidRPr="00B32E10">
        <w:rPr>
          <w:sz w:val="24"/>
          <w:szCs w:val="24"/>
        </w:rPr>
        <w:t>nearly 40 years to address hierarchy from early beginnings</w:t>
      </w:r>
      <w:r w:rsidR="00C57BB9" w:rsidRPr="00B32E10">
        <w:rPr>
          <w:sz w:val="24"/>
          <w:szCs w:val="24"/>
        </w:rPr>
        <w:t>,</w:t>
      </w:r>
      <w:r w:rsidR="00E27FFE" w:rsidRPr="00B32E10">
        <w:rPr>
          <w:sz w:val="24"/>
          <w:szCs w:val="24"/>
        </w:rPr>
        <w:t xml:space="preserve"> when some pilots were extremely resistant (Gordon, Mendenhall &amp; O’Connor, 2013).</w:t>
      </w:r>
      <w:r w:rsidR="001F6922" w:rsidRPr="001F6922">
        <w:rPr>
          <w:sz w:val="24"/>
          <w:szCs w:val="24"/>
        </w:rPr>
        <w:t xml:space="preserve"> </w:t>
      </w:r>
      <w:r w:rsidR="001F6922" w:rsidRPr="00B32E10">
        <w:rPr>
          <w:color w:val="FF0000"/>
          <w:sz w:val="24"/>
          <w:szCs w:val="24"/>
        </w:rPr>
        <w:t>The industry has attributed safety improvements to the introduction of Crew Resource Management training on team building which began in the early 1980’s. This training acknowledges the need to move away from blaming individuals to thinking about collectives and systems as a new approach to safety; “The new view does not claim that people are perfect. But it keeps you from judging and blaming people for not being perfect”(Dekker, 2014, p8</w:t>
      </w:r>
      <w:r w:rsidR="001F6922" w:rsidRPr="001F6922">
        <w:rPr>
          <w:sz w:val="24"/>
          <w:szCs w:val="24"/>
        </w:rPr>
        <w:t>).</w:t>
      </w:r>
      <w:r w:rsidR="001F6922">
        <w:rPr>
          <w:sz w:val="24"/>
          <w:szCs w:val="24"/>
        </w:rPr>
        <w:t xml:space="preserve"> He goes onto </w:t>
      </w:r>
      <w:r w:rsidR="001F6922" w:rsidRPr="00F30AA0">
        <w:rPr>
          <w:sz w:val="24"/>
          <w:szCs w:val="24"/>
        </w:rPr>
        <w:t>lament that</w:t>
      </w:r>
      <w:r w:rsidR="001F6922" w:rsidRPr="00C35A91">
        <w:rPr>
          <w:sz w:val="24"/>
          <w:szCs w:val="24"/>
        </w:rPr>
        <w:t xml:space="preserve"> too often we fail to think through the quick fix attempts to manage patient safety within health care (Table 3).</w:t>
      </w:r>
    </w:p>
    <w:p w:rsidR="00B14B5D" w:rsidRPr="00C35A91" w:rsidRDefault="00B14B5D" w:rsidP="00B14B5D">
      <w:pPr>
        <w:spacing w:line="360" w:lineRule="auto"/>
        <w:ind w:left="567"/>
        <w:rPr>
          <w:sz w:val="24"/>
          <w:szCs w:val="24"/>
        </w:rPr>
      </w:pPr>
    </w:p>
    <w:p w:rsidR="00E27FFE" w:rsidRPr="00C35A91" w:rsidRDefault="003F6C5B" w:rsidP="00C35A91">
      <w:pPr>
        <w:spacing w:line="360" w:lineRule="auto"/>
        <w:ind w:left="426"/>
        <w:jc w:val="center"/>
        <w:rPr>
          <w:sz w:val="24"/>
          <w:szCs w:val="24"/>
        </w:rPr>
      </w:pPr>
      <w:r w:rsidRPr="00C35A91">
        <w:rPr>
          <w:sz w:val="24"/>
          <w:szCs w:val="24"/>
        </w:rPr>
        <w:t>INSERT TABLE 3 HERE</w:t>
      </w:r>
    </w:p>
    <w:p w:rsidR="00D31B1E" w:rsidRPr="00C35A91" w:rsidRDefault="00B43A6F" w:rsidP="00E32B44">
      <w:pPr>
        <w:pStyle w:val="ListParagraph"/>
        <w:numPr>
          <w:ilvl w:val="0"/>
          <w:numId w:val="12"/>
        </w:numPr>
        <w:rPr>
          <w:sz w:val="24"/>
          <w:szCs w:val="24"/>
        </w:rPr>
      </w:pPr>
      <w:r w:rsidRPr="00C35A91">
        <w:rPr>
          <w:sz w:val="24"/>
          <w:szCs w:val="24"/>
        </w:rPr>
        <w:t xml:space="preserve">Thinking about the outcomes from discussion (i) and (ii) participants finally were asked to: </w:t>
      </w:r>
      <w:r w:rsidR="00C654DD" w:rsidRPr="00C35A91">
        <w:rPr>
          <w:sz w:val="24"/>
          <w:szCs w:val="24"/>
        </w:rPr>
        <w:t>T</w:t>
      </w:r>
      <w:r w:rsidR="00D31B1E" w:rsidRPr="00C35A91">
        <w:rPr>
          <w:sz w:val="24"/>
          <w:szCs w:val="24"/>
        </w:rPr>
        <w:t>o reflect on the content of an effective interprofessional patient-safety curriculum</w:t>
      </w:r>
    </w:p>
    <w:p w:rsidR="008B4260" w:rsidRDefault="00010659" w:rsidP="00F1295A">
      <w:pPr>
        <w:spacing w:after="0" w:line="360" w:lineRule="auto"/>
        <w:ind w:left="357"/>
        <w:rPr>
          <w:sz w:val="24"/>
          <w:szCs w:val="24"/>
        </w:rPr>
      </w:pPr>
      <w:r w:rsidRPr="00C35A91">
        <w:rPr>
          <w:sz w:val="24"/>
          <w:szCs w:val="24"/>
        </w:rPr>
        <w:t>As a prompt and reminder of historical lessons a series of recent UK stories concerning safer practice were shared with participants</w:t>
      </w:r>
      <w:r w:rsidR="00C57BB9" w:rsidRPr="00C35A91">
        <w:rPr>
          <w:sz w:val="24"/>
          <w:szCs w:val="24"/>
        </w:rPr>
        <w:t xml:space="preserve"> as outlined in </w:t>
      </w:r>
      <w:r w:rsidR="008B4260">
        <w:rPr>
          <w:sz w:val="24"/>
          <w:szCs w:val="24"/>
        </w:rPr>
        <w:t>T</w:t>
      </w:r>
      <w:r w:rsidR="00133084" w:rsidRPr="00C35A91">
        <w:rPr>
          <w:sz w:val="24"/>
          <w:szCs w:val="24"/>
        </w:rPr>
        <w:t>able 4</w:t>
      </w:r>
      <w:r w:rsidR="00C57BB9" w:rsidRPr="00C35A91">
        <w:rPr>
          <w:sz w:val="24"/>
          <w:szCs w:val="24"/>
        </w:rPr>
        <w:t xml:space="preserve"> with</w:t>
      </w:r>
      <w:r w:rsidR="002C0FEE">
        <w:rPr>
          <w:sz w:val="24"/>
          <w:szCs w:val="24"/>
        </w:rPr>
        <w:t xml:space="preserve"> </w:t>
      </w:r>
      <w:r w:rsidR="00B43A6F" w:rsidRPr="00C35A91">
        <w:rPr>
          <w:sz w:val="24"/>
          <w:szCs w:val="24"/>
        </w:rPr>
        <w:t>the</w:t>
      </w:r>
      <w:r w:rsidR="002C0FEE">
        <w:rPr>
          <w:sz w:val="24"/>
          <w:szCs w:val="24"/>
        </w:rPr>
        <w:t xml:space="preserve"> </w:t>
      </w:r>
      <w:r w:rsidR="008B4260">
        <w:rPr>
          <w:sz w:val="24"/>
          <w:szCs w:val="24"/>
        </w:rPr>
        <w:t>WHO</w:t>
      </w:r>
    </w:p>
    <w:p w:rsidR="00C654DD" w:rsidRPr="00C35A91" w:rsidRDefault="008B4260" w:rsidP="00F1295A">
      <w:pPr>
        <w:spacing w:after="0" w:line="360" w:lineRule="auto"/>
        <w:ind w:left="357"/>
        <w:rPr>
          <w:sz w:val="24"/>
          <w:szCs w:val="24"/>
        </w:rPr>
      </w:pPr>
      <w:r>
        <w:rPr>
          <w:sz w:val="24"/>
          <w:szCs w:val="24"/>
        </w:rPr>
        <w:t xml:space="preserve">(2011) </w:t>
      </w:r>
      <w:r w:rsidR="00C654DD" w:rsidRPr="00C35A91">
        <w:rPr>
          <w:sz w:val="24"/>
          <w:szCs w:val="24"/>
        </w:rPr>
        <w:t>structure on patient safety curriculum as pu</w:t>
      </w:r>
      <w:r w:rsidR="00B43A6F" w:rsidRPr="00C35A91">
        <w:rPr>
          <w:sz w:val="24"/>
          <w:szCs w:val="24"/>
        </w:rPr>
        <w:t>blished</w:t>
      </w:r>
      <w:r w:rsidR="00C654DD" w:rsidRPr="00C35A91">
        <w:rPr>
          <w:sz w:val="24"/>
          <w:szCs w:val="24"/>
        </w:rPr>
        <w:t xml:space="preserve"> in 2011</w:t>
      </w:r>
      <w:r w:rsidR="00B43A6F" w:rsidRPr="00C35A91">
        <w:rPr>
          <w:sz w:val="24"/>
          <w:szCs w:val="24"/>
        </w:rPr>
        <w:t xml:space="preserve"> showing eleven areas for teaching and learning</w:t>
      </w:r>
      <w:r w:rsidR="002C0FEE">
        <w:rPr>
          <w:sz w:val="24"/>
          <w:szCs w:val="24"/>
        </w:rPr>
        <w:t xml:space="preserve"> </w:t>
      </w:r>
      <w:r w:rsidR="00C654DD" w:rsidRPr="00C35A91">
        <w:rPr>
          <w:sz w:val="24"/>
          <w:szCs w:val="24"/>
        </w:rPr>
        <w:t>.</w:t>
      </w:r>
      <w:r w:rsidR="00C57BB9" w:rsidRPr="00C35A91">
        <w:rPr>
          <w:sz w:val="24"/>
          <w:szCs w:val="24"/>
        </w:rPr>
        <w:t>Participants</w:t>
      </w:r>
      <w:r w:rsidR="002C0FEE">
        <w:rPr>
          <w:sz w:val="24"/>
          <w:szCs w:val="24"/>
        </w:rPr>
        <w:t xml:space="preserve"> </w:t>
      </w:r>
      <w:r w:rsidR="00B14B5D" w:rsidRPr="00C35A91">
        <w:rPr>
          <w:sz w:val="24"/>
          <w:szCs w:val="24"/>
        </w:rPr>
        <w:t>outline</w:t>
      </w:r>
      <w:r w:rsidR="00C57BB9" w:rsidRPr="00C35A91">
        <w:rPr>
          <w:sz w:val="24"/>
          <w:szCs w:val="24"/>
        </w:rPr>
        <w:t>d</w:t>
      </w:r>
      <w:r w:rsidR="00B14B5D" w:rsidRPr="00C35A91">
        <w:rPr>
          <w:sz w:val="24"/>
          <w:szCs w:val="24"/>
        </w:rPr>
        <w:t xml:space="preserve"> what work they were doing to address and design a patient safety IPE curriculum </w:t>
      </w:r>
      <w:r w:rsidR="00C57BB9" w:rsidRPr="00C35A91">
        <w:rPr>
          <w:sz w:val="24"/>
          <w:szCs w:val="24"/>
        </w:rPr>
        <w:t>and debated new thinking prompted by the shared materials.</w:t>
      </w:r>
    </w:p>
    <w:p w:rsidR="00D31B1E" w:rsidRPr="00C35A91" w:rsidRDefault="00D31B1E" w:rsidP="00D63F93">
      <w:pPr>
        <w:rPr>
          <w:b/>
          <w:sz w:val="24"/>
          <w:szCs w:val="24"/>
        </w:rPr>
      </w:pPr>
    </w:p>
    <w:p w:rsidR="00157BD7" w:rsidRPr="00C35A91" w:rsidRDefault="00C35A91" w:rsidP="00C35A91">
      <w:pPr>
        <w:jc w:val="center"/>
        <w:rPr>
          <w:sz w:val="24"/>
          <w:szCs w:val="24"/>
        </w:rPr>
      </w:pPr>
      <w:r w:rsidRPr="00C35A91">
        <w:rPr>
          <w:sz w:val="24"/>
          <w:szCs w:val="24"/>
        </w:rPr>
        <w:t>INSERT TABLE 4 HERE</w:t>
      </w:r>
    </w:p>
    <w:p w:rsidR="004632FC" w:rsidRPr="00C35A91" w:rsidRDefault="00F1295A" w:rsidP="00D63F93">
      <w:pPr>
        <w:rPr>
          <w:i/>
          <w:sz w:val="24"/>
          <w:szCs w:val="24"/>
        </w:rPr>
      </w:pPr>
      <w:r w:rsidRPr="00C35A91">
        <w:rPr>
          <w:i/>
          <w:sz w:val="24"/>
          <w:szCs w:val="24"/>
        </w:rPr>
        <w:t xml:space="preserve">Discussion </w:t>
      </w:r>
      <w:r w:rsidR="00C35A91">
        <w:rPr>
          <w:i/>
          <w:sz w:val="24"/>
          <w:szCs w:val="24"/>
        </w:rPr>
        <w:t>and o</w:t>
      </w:r>
      <w:r w:rsidR="00C654DD" w:rsidRPr="00C35A91">
        <w:rPr>
          <w:i/>
          <w:sz w:val="24"/>
          <w:szCs w:val="24"/>
        </w:rPr>
        <w:t>utcomes</w:t>
      </w:r>
    </w:p>
    <w:p w:rsidR="00B43A6F" w:rsidRPr="00C35A91" w:rsidRDefault="0014766B" w:rsidP="003A542B">
      <w:pPr>
        <w:spacing w:after="0" w:line="360" w:lineRule="auto"/>
        <w:rPr>
          <w:rFonts w:cs="Arial"/>
          <w:sz w:val="24"/>
          <w:szCs w:val="24"/>
        </w:rPr>
      </w:pPr>
      <w:r w:rsidRPr="00C35A91">
        <w:rPr>
          <w:sz w:val="24"/>
          <w:szCs w:val="24"/>
        </w:rPr>
        <w:t xml:space="preserve">So how far have we moved forward? </w:t>
      </w:r>
      <w:r w:rsidR="00B43A6F" w:rsidRPr="00C35A91">
        <w:rPr>
          <w:sz w:val="24"/>
          <w:szCs w:val="24"/>
        </w:rPr>
        <w:t>The</w:t>
      </w:r>
      <w:r w:rsidR="002C0FEE">
        <w:rPr>
          <w:sz w:val="24"/>
          <w:szCs w:val="24"/>
        </w:rPr>
        <w:t xml:space="preserve"> </w:t>
      </w:r>
      <w:r w:rsidR="00612D4F" w:rsidRPr="00C35A91">
        <w:rPr>
          <w:sz w:val="24"/>
          <w:szCs w:val="24"/>
        </w:rPr>
        <w:t>debates considered</w:t>
      </w:r>
      <w:r w:rsidR="00F07C25" w:rsidRPr="00C35A91">
        <w:rPr>
          <w:sz w:val="24"/>
          <w:szCs w:val="24"/>
        </w:rPr>
        <w:t xml:space="preserve"> the changes occurring within</w:t>
      </w:r>
      <w:r w:rsidR="002C0FEE">
        <w:rPr>
          <w:sz w:val="24"/>
          <w:szCs w:val="24"/>
        </w:rPr>
        <w:t xml:space="preserve"> </w:t>
      </w:r>
      <w:r w:rsidR="000E31F8" w:rsidRPr="00621C94">
        <w:rPr>
          <w:sz w:val="24"/>
          <w:szCs w:val="24"/>
        </w:rPr>
        <w:t>health and social care delivery concerning</w:t>
      </w:r>
      <w:r w:rsidR="002C0FEE">
        <w:rPr>
          <w:sz w:val="24"/>
          <w:szCs w:val="24"/>
        </w:rPr>
        <w:t xml:space="preserve"> </w:t>
      </w:r>
      <w:r w:rsidR="00011024" w:rsidRPr="00621C94">
        <w:rPr>
          <w:sz w:val="24"/>
          <w:szCs w:val="24"/>
        </w:rPr>
        <w:t>‘</w:t>
      </w:r>
      <w:r w:rsidR="00F07C25" w:rsidRPr="00621C94">
        <w:rPr>
          <w:sz w:val="24"/>
          <w:szCs w:val="24"/>
        </w:rPr>
        <w:t>the</w:t>
      </w:r>
      <w:r w:rsidR="00011024" w:rsidRPr="00621C94">
        <w:rPr>
          <w:sz w:val="24"/>
          <w:szCs w:val="24"/>
        </w:rPr>
        <w:t xml:space="preserve"> practitioner</w:t>
      </w:r>
      <w:r w:rsidR="00F07C25" w:rsidRPr="00621C94">
        <w:rPr>
          <w:sz w:val="24"/>
          <w:szCs w:val="24"/>
        </w:rPr>
        <w:t xml:space="preserve"> team</w:t>
      </w:r>
      <w:r w:rsidR="00011024" w:rsidRPr="00621C94">
        <w:rPr>
          <w:sz w:val="24"/>
          <w:szCs w:val="24"/>
        </w:rPr>
        <w:t>’</w:t>
      </w:r>
      <w:r w:rsidR="00F07C25" w:rsidRPr="00621C94">
        <w:rPr>
          <w:sz w:val="24"/>
          <w:szCs w:val="24"/>
        </w:rPr>
        <w:t>and</w:t>
      </w:r>
      <w:r w:rsidR="002C0FEE">
        <w:rPr>
          <w:sz w:val="24"/>
          <w:szCs w:val="24"/>
        </w:rPr>
        <w:t xml:space="preserve"> </w:t>
      </w:r>
      <w:r w:rsidR="00B43A6F" w:rsidRPr="00621C94">
        <w:rPr>
          <w:sz w:val="24"/>
          <w:szCs w:val="24"/>
        </w:rPr>
        <w:t>the</w:t>
      </w:r>
      <w:r w:rsidR="002C0FEE">
        <w:rPr>
          <w:sz w:val="24"/>
          <w:szCs w:val="24"/>
        </w:rPr>
        <w:t xml:space="preserve"> </w:t>
      </w:r>
      <w:r w:rsidR="00011024" w:rsidRPr="00621C94">
        <w:rPr>
          <w:sz w:val="24"/>
          <w:szCs w:val="24"/>
        </w:rPr>
        <w:t>associated‘</w:t>
      </w:r>
      <w:r w:rsidR="00F07C25" w:rsidRPr="00621C94">
        <w:rPr>
          <w:sz w:val="24"/>
          <w:szCs w:val="24"/>
        </w:rPr>
        <w:t>hierarches</w:t>
      </w:r>
      <w:r w:rsidR="00011024" w:rsidRPr="00621C94">
        <w:rPr>
          <w:sz w:val="24"/>
          <w:szCs w:val="24"/>
        </w:rPr>
        <w:t>’</w:t>
      </w:r>
      <w:r w:rsidR="00B43A6F" w:rsidRPr="00C35A91">
        <w:rPr>
          <w:sz w:val="24"/>
          <w:szCs w:val="24"/>
        </w:rPr>
        <w:t>which have been prevalent for decades</w:t>
      </w:r>
      <w:r w:rsidR="009C235C" w:rsidRPr="00C35A91">
        <w:rPr>
          <w:sz w:val="24"/>
          <w:szCs w:val="24"/>
        </w:rPr>
        <w:t>(Newton, 2014</w:t>
      </w:r>
      <w:r w:rsidR="00B43A6F" w:rsidRPr="00C35A91">
        <w:rPr>
          <w:sz w:val="24"/>
          <w:szCs w:val="24"/>
        </w:rPr>
        <w:t>; Pietroni</w:t>
      </w:r>
      <w:r w:rsidR="00133084" w:rsidRPr="00C35A91">
        <w:rPr>
          <w:sz w:val="24"/>
          <w:szCs w:val="24"/>
        </w:rPr>
        <w:t>, 1992</w:t>
      </w:r>
      <w:r w:rsidR="009C235C" w:rsidRPr="00C35A91">
        <w:rPr>
          <w:sz w:val="24"/>
          <w:szCs w:val="24"/>
        </w:rPr>
        <w:t>)</w:t>
      </w:r>
      <w:r w:rsidR="00F07C25" w:rsidRPr="00C35A91">
        <w:rPr>
          <w:sz w:val="24"/>
          <w:szCs w:val="24"/>
        </w:rPr>
        <w:t xml:space="preserve">. </w:t>
      </w:r>
      <w:r w:rsidR="00C654DD" w:rsidRPr="00C35A91">
        <w:rPr>
          <w:sz w:val="24"/>
          <w:szCs w:val="24"/>
        </w:rPr>
        <w:t xml:space="preserve"> Experiences were shared from </w:t>
      </w:r>
      <w:r w:rsidR="00026D07" w:rsidRPr="00C35A91">
        <w:rPr>
          <w:sz w:val="24"/>
          <w:szCs w:val="24"/>
        </w:rPr>
        <w:t xml:space="preserve">UK </w:t>
      </w:r>
      <w:r w:rsidR="00C654DD" w:rsidRPr="00C35A91">
        <w:rPr>
          <w:sz w:val="24"/>
          <w:szCs w:val="24"/>
        </w:rPr>
        <w:t xml:space="preserve">doctors who have been in practice </w:t>
      </w:r>
      <w:r w:rsidR="00026D07" w:rsidRPr="00C35A91">
        <w:rPr>
          <w:sz w:val="24"/>
          <w:szCs w:val="24"/>
        </w:rPr>
        <w:t xml:space="preserve">in the NHS </w:t>
      </w:r>
      <w:r w:rsidR="00C654DD" w:rsidRPr="00C35A91">
        <w:rPr>
          <w:sz w:val="24"/>
          <w:szCs w:val="24"/>
        </w:rPr>
        <w:t>for</w:t>
      </w:r>
      <w:r w:rsidR="00F07C25" w:rsidRPr="00C35A91">
        <w:rPr>
          <w:sz w:val="24"/>
          <w:szCs w:val="24"/>
        </w:rPr>
        <w:t xml:space="preserve"> over </w:t>
      </w:r>
      <w:r w:rsidR="00621C94">
        <w:rPr>
          <w:sz w:val="24"/>
          <w:szCs w:val="24"/>
        </w:rPr>
        <w:t xml:space="preserve">35 </w:t>
      </w:r>
      <w:r w:rsidR="00F07C25" w:rsidRPr="00C35A91">
        <w:rPr>
          <w:rFonts w:cs="Arial"/>
          <w:sz w:val="24"/>
          <w:szCs w:val="24"/>
        </w:rPr>
        <w:t>years</w:t>
      </w:r>
      <w:r w:rsidR="00157BD7" w:rsidRPr="00C35A91">
        <w:rPr>
          <w:rFonts w:cs="Arial"/>
          <w:sz w:val="24"/>
          <w:szCs w:val="24"/>
        </w:rPr>
        <w:t>,</w:t>
      </w:r>
      <w:r w:rsidR="002C0FEE">
        <w:rPr>
          <w:rFonts w:cs="Arial"/>
          <w:sz w:val="24"/>
          <w:szCs w:val="24"/>
        </w:rPr>
        <w:t xml:space="preserve"> </w:t>
      </w:r>
      <w:r w:rsidR="00157BD7" w:rsidRPr="00C35A91">
        <w:rPr>
          <w:rFonts w:cs="Arial"/>
          <w:sz w:val="24"/>
          <w:szCs w:val="24"/>
        </w:rPr>
        <w:t>as</w:t>
      </w:r>
      <w:r w:rsidR="00621C94">
        <w:rPr>
          <w:rFonts w:cs="Arial"/>
          <w:sz w:val="24"/>
          <w:szCs w:val="24"/>
        </w:rPr>
        <w:t xml:space="preserve"> g</w:t>
      </w:r>
      <w:r w:rsidR="00C654DD" w:rsidRPr="00C35A91">
        <w:rPr>
          <w:rFonts w:cs="Arial"/>
          <w:sz w:val="24"/>
          <w:szCs w:val="24"/>
        </w:rPr>
        <w:t xml:space="preserve">eneral </w:t>
      </w:r>
      <w:r w:rsidR="00621C94">
        <w:rPr>
          <w:rFonts w:cs="Arial"/>
          <w:sz w:val="24"/>
          <w:szCs w:val="24"/>
        </w:rPr>
        <w:t>p</w:t>
      </w:r>
      <w:r w:rsidR="00C654DD" w:rsidRPr="00C35A91">
        <w:rPr>
          <w:rFonts w:cs="Arial"/>
          <w:sz w:val="24"/>
          <w:szCs w:val="24"/>
        </w:rPr>
        <w:t xml:space="preserve">ractitioners </w:t>
      </w:r>
      <w:r w:rsidR="00157BD7" w:rsidRPr="00C35A91">
        <w:rPr>
          <w:rFonts w:cs="Arial"/>
          <w:sz w:val="24"/>
          <w:szCs w:val="24"/>
        </w:rPr>
        <w:t xml:space="preserve">or </w:t>
      </w:r>
      <w:r w:rsidR="00C654DD" w:rsidRPr="00C35A91">
        <w:rPr>
          <w:rFonts w:cs="Arial"/>
          <w:sz w:val="24"/>
          <w:szCs w:val="24"/>
        </w:rPr>
        <w:t xml:space="preserve">hospital </w:t>
      </w:r>
      <w:r w:rsidR="00621C94">
        <w:rPr>
          <w:rFonts w:cs="Arial"/>
          <w:sz w:val="24"/>
          <w:szCs w:val="24"/>
        </w:rPr>
        <w:t>c</w:t>
      </w:r>
      <w:r w:rsidR="00C654DD" w:rsidRPr="00C35A91">
        <w:rPr>
          <w:rFonts w:cs="Arial"/>
          <w:sz w:val="24"/>
          <w:szCs w:val="24"/>
        </w:rPr>
        <w:t>onsultants</w:t>
      </w:r>
      <w:r w:rsidR="00157BD7" w:rsidRPr="00C35A91">
        <w:rPr>
          <w:rFonts w:cs="Arial"/>
          <w:sz w:val="24"/>
          <w:szCs w:val="24"/>
        </w:rPr>
        <w:t xml:space="preserve">. </w:t>
      </w:r>
      <w:r w:rsidR="00B43A6F" w:rsidRPr="00C35A91">
        <w:rPr>
          <w:rFonts w:cs="Arial"/>
          <w:sz w:val="24"/>
          <w:szCs w:val="24"/>
        </w:rPr>
        <w:t>Many shared</w:t>
      </w:r>
      <w:r w:rsidR="00F07C25" w:rsidRPr="00C35A91">
        <w:rPr>
          <w:rFonts w:cs="Arial"/>
          <w:sz w:val="24"/>
          <w:szCs w:val="24"/>
        </w:rPr>
        <w:t xml:space="preserve"> career</w:t>
      </w:r>
      <w:r w:rsidR="00B43A6F" w:rsidRPr="00C35A91">
        <w:rPr>
          <w:rFonts w:cs="Arial"/>
          <w:sz w:val="24"/>
          <w:szCs w:val="24"/>
        </w:rPr>
        <w:t>s</w:t>
      </w:r>
      <w:r w:rsidR="00F07C25" w:rsidRPr="00C35A91">
        <w:rPr>
          <w:rFonts w:cs="Arial"/>
          <w:sz w:val="24"/>
          <w:szCs w:val="24"/>
        </w:rPr>
        <w:t xml:space="preserve"> working in the traditional system of the old NHS with an emphasis on hierarchy and knowledge with the doctor assuming superiority both to the patient and to other health </w:t>
      </w:r>
      <w:r w:rsidR="00011024" w:rsidRPr="00C35A91">
        <w:rPr>
          <w:rFonts w:cs="Arial"/>
          <w:sz w:val="24"/>
          <w:szCs w:val="24"/>
        </w:rPr>
        <w:t xml:space="preserve">and social care </w:t>
      </w:r>
      <w:r w:rsidR="00F07C25" w:rsidRPr="00C35A91">
        <w:rPr>
          <w:rFonts w:cs="Arial"/>
          <w:sz w:val="24"/>
          <w:szCs w:val="24"/>
        </w:rPr>
        <w:t>professionals</w:t>
      </w:r>
      <w:r w:rsidR="00E93BF2" w:rsidRPr="00C35A91">
        <w:rPr>
          <w:rFonts w:cs="Arial"/>
          <w:sz w:val="24"/>
          <w:szCs w:val="24"/>
        </w:rPr>
        <w:t xml:space="preserve"> and</w:t>
      </w:r>
      <w:r w:rsidR="00F07C25" w:rsidRPr="00C35A91">
        <w:rPr>
          <w:rFonts w:cs="Arial"/>
          <w:sz w:val="24"/>
          <w:szCs w:val="24"/>
        </w:rPr>
        <w:t xml:space="preserve"> where there was an assumption that most illness was treatable</w:t>
      </w:r>
      <w:r w:rsidR="003F6C5B" w:rsidRPr="00C35A91">
        <w:rPr>
          <w:rFonts w:cs="Arial"/>
          <w:sz w:val="24"/>
          <w:szCs w:val="24"/>
        </w:rPr>
        <w:t xml:space="preserve"> reflecting ongoing professional power struggles (Baker, Egan-Lee, </w:t>
      </w:r>
      <w:r w:rsidR="004778F8" w:rsidRPr="00C35A91">
        <w:rPr>
          <w:rFonts w:cs="Arial"/>
          <w:sz w:val="24"/>
          <w:szCs w:val="24"/>
        </w:rPr>
        <w:t>Martimianakis</w:t>
      </w:r>
      <w:r w:rsidR="003F6C5B" w:rsidRPr="00C35A91">
        <w:rPr>
          <w:rFonts w:cs="Arial"/>
          <w:sz w:val="24"/>
          <w:szCs w:val="24"/>
        </w:rPr>
        <w:t>, Reeves, 2011)</w:t>
      </w:r>
      <w:r w:rsidR="00F07C25" w:rsidRPr="00C35A91">
        <w:rPr>
          <w:rFonts w:cs="Arial"/>
          <w:sz w:val="24"/>
          <w:szCs w:val="24"/>
        </w:rPr>
        <w:t xml:space="preserve">. </w:t>
      </w:r>
      <w:r w:rsidR="00157BD7" w:rsidRPr="00C35A91">
        <w:rPr>
          <w:rFonts w:cs="Arial"/>
          <w:sz w:val="24"/>
          <w:szCs w:val="24"/>
        </w:rPr>
        <w:t xml:space="preserve"> Others</w:t>
      </w:r>
      <w:r w:rsidR="00B43A6F" w:rsidRPr="00C35A91">
        <w:rPr>
          <w:rFonts w:cs="Arial"/>
          <w:sz w:val="24"/>
          <w:szCs w:val="24"/>
        </w:rPr>
        <w:t xml:space="preserve"> voiced</w:t>
      </w:r>
      <w:r w:rsidR="00E93BF2" w:rsidRPr="00C35A91">
        <w:rPr>
          <w:rFonts w:cs="Arial"/>
          <w:sz w:val="24"/>
          <w:szCs w:val="24"/>
        </w:rPr>
        <w:t xml:space="preserve"> more recent times, focus</w:t>
      </w:r>
      <w:r w:rsidR="00B43A6F" w:rsidRPr="00C35A91">
        <w:rPr>
          <w:rFonts w:cs="Arial"/>
          <w:sz w:val="24"/>
          <w:szCs w:val="24"/>
        </w:rPr>
        <w:t>sing on a</w:t>
      </w:r>
      <w:r w:rsidR="00E93BF2" w:rsidRPr="00C35A91">
        <w:rPr>
          <w:rFonts w:cs="Arial"/>
          <w:sz w:val="24"/>
          <w:szCs w:val="24"/>
        </w:rPr>
        <w:t xml:space="preserve"> spirit of a partnership of equals, the importance of recognising and addressing values and the importance of patient and</w:t>
      </w:r>
      <w:r w:rsidR="00B43A6F" w:rsidRPr="00C35A91">
        <w:rPr>
          <w:rFonts w:cs="Arial"/>
          <w:sz w:val="24"/>
          <w:szCs w:val="24"/>
        </w:rPr>
        <w:t xml:space="preserve"> doctor</w:t>
      </w:r>
      <w:r w:rsidR="00E93BF2" w:rsidRPr="00C35A91">
        <w:rPr>
          <w:rFonts w:cs="Arial"/>
          <w:sz w:val="24"/>
          <w:szCs w:val="24"/>
        </w:rPr>
        <w:t xml:space="preserve"> feedback.  </w:t>
      </w:r>
      <w:r w:rsidR="00157BD7" w:rsidRPr="00C35A91">
        <w:rPr>
          <w:rFonts w:cs="Arial"/>
          <w:sz w:val="24"/>
          <w:szCs w:val="24"/>
        </w:rPr>
        <w:t>The old system was confirmed to be where</w:t>
      </w:r>
      <w:r w:rsidR="0087209F" w:rsidRPr="00C35A91">
        <w:rPr>
          <w:rFonts w:cs="Arial"/>
          <w:sz w:val="24"/>
          <w:szCs w:val="24"/>
        </w:rPr>
        <w:t xml:space="preserve"> patients were generally dealt with by </w:t>
      </w:r>
      <w:r w:rsidR="0087209F" w:rsidRPr="00F44F82">
        <w:rPr>
          <w:rFonts w:cs="Arial"/>
          <w:sz w:val="24"/>
          <w:szCs w:val="24"/>
        </w:rPr>
        <w:t>one profession with little interaction between other relevant disciplin</w:t>
      </w:r>
      <w:r w:rsidR="00F44F82" w:rsidRPr="00F44F82">
        <w:rPr>
          <w:rFonts w:cs="Arial"/>
          <w:sz w:val="24"/>
          <w:szCs w:val="24"/>
        </w:rPr>
        <w:t xml:space="preserve">ary </w:t>
      </w:r>
      <w:r w:rsidR="0087209F" w:rsidRPr="00F44F82">
        <w:rPr>
          <w:rFonts w:cs="Arial"/>
          <w:sz w:val="24"/>
          <w:szCs w:val="24"/>
        </w:rPr>
        <w:t>and professional</w:t>
      </w:r>
      <w:r w:rsidR="0087209F" w:rsidRPr="00C35A91">
        <w:rPr>
          <w:rFonts w:cs="Arial"/>
          <w:sz w:val="24"/>
          <w:szCs w:val="24"/>
        </w:rPr>
        <w:t xml:space="preserve"> groups. However, the new NHS has an emerging different culture and structure with a greater focus on the patient, service user or carer. The care of chronic disease predominates and there is integration of primary, secondary, tertiary, intermediate and community care.   Interprofessional teams without hierarchies work both within and between different care providers</w:t>
      </w:r>
      <w:r w:rsidR="009C0C97" w:rsidRPr="00C35A91">
        <w:rPr>
          <w:rFonts w:cs="Arial"/>
          <w:sz w:val="24"/>
          <w:szCs w:val="24"/>
        </w:rPr>
        <w:t>; p</w:t>
      </w:r>
      <w:r w:rsidR="0087209F" w:rsidRPr="00C35A91">
        <w:rPr>
          <w:rFonts w:cs="Arial"/>
          <w:sz w:val="24"/>
          <w:szCs w:val="24"/>
        </w:rPr>
        <w:t>atients are valued and complexities addressed.  Naturally changing cultures relate to how professionals have been taught to perceive one another and form effective teams.</w:t>
      </w:r>
    </w:p>
    <w:p w:rsidR="00F30AA0" w:rsidRDefault="00F30AA0" w:rsidP="0014766B">
      <w:pPr>
        <w:spacing w:line="360" w:lineRule="auto"/>
        <w:rPr>
          <w:rFonts w:cs="Arial"/>
          <w:sz w:val="24"/>
          <w:szCs w:val="24"/>
        </w:rPr>
      </w:pPr>
    </w:p>
    <w:p w:rsidR="000E31F8" w:rsidRPr="00C35A91" w:rsidRDefault="007A4991" w:rsidP="0014766B">
      <w:pPr>
        <w:spacing w:line="360" w:lineRule="auto"/>
        <w:rPr>
          <w:rFonts w:cs="Arial"/>
          <w:sz w:val="24"/>
          <w:szCs w:val="24"/>
        </w:rPr>
      </w:pPr>
      <w:r w:rsidRPr="00C35A91">
        <w:rPr>
          <w:rFonts w:cs="Arial"/>
          <w:sz w:val="24"/>
          <w:szCs w:val="24"/>
        </w:rPr>
        <w:t xml:space="preserve">The culture and structure of the NHS was echoed by European colleagues. </w:t>
      </w:r>
      <w:r w:rsidR="00EF3555" w:rsidRPr="00C35A91">
        <w:rPr>
          <w:rFonts w:cs="Arial"/>
          <w:sz w:val="24"/>
          <w:szCs w:val="24"/>
        </w:rPr>
        <w:t>Workshop participants</w:t>
      </w:r>
      <w:r w:rsidR="000E31F8" w:rsidRPr="00C35A91">
        <w:rPr>
          <w:rFonts w:cs="Arial"/>
          <w:sz w:val="24"/>
          <w:szCs w:val="24"/>
        </w:rPr>
        <w:t xml:space="preserve"> representing Sweden, Holland, Denmark, UK</w:t>
      </w:r>
      <w:r w:rsidR="00E93BF2" w:rsidRPr="00C35A91">
        <w:rPr>
          <w:rFonts w:cs="Arial"/>
          <w:sz w:val="24"/>
          <w:szCs w:val="24"/>
        </w:rPr>
        <w:t xml:space="preserve"> and </w:t>
      </w:r>
      <w:r w:rsidR="00EF3555" w:rsidRPr="00C35A91">
        <w:rPr>
          <w:rFonts w:cs="Arial"/>
          <w:sz w:val="24"/>
          <w:szCs w:val="24"/>
        </w:rPr>
        <w:t>the USA</w:t>
      </w:r>
      <w:r w:rsidR="002C0FEE">
        <w:rPr>
          <w:rFonts w:cs="Arial"/>
          <w:sz w:val="24"/>
          <w:szCs w:val="24"/>
        </w:rPr>
        <w:t xml:space="preserve"> </w:t>
      </w:r>
      <w:r w:rsidR="000E31F8" w:rsidRPr="00C35A91">
        <w:rPr>
          <w:rFonts w:cs="Arial"/>
          <w:sz w:val="24"/>
          <w:szCs w:val="24"/>
        </w:rPr>
        <w:t xml:space="preserve">shared how local cultures </w:t>
      </w:r>
      <w:r w:rsidR="00E93BF2" w:rsidRPr="00C35A91">
        <w:rPr>
          <w:rFonts w:cs="Arial"/>
          <w:sz w:val="24"/>
          <w:szCs w:val="24"/>
        </w:rPr>
        <w:t>are</w:t>
      </w:r>
      <w:r w:rsidR="000E31F8" w:rsidRPr="00C35A91">
        <w:rPr>
          <w:rFonts w:cs="Arial"/>
          <w:sz w:val="24"/>
          <w:szCs w:val="24"/>
        </w:rPr>
        <w:t xml:space="preserve"> changing and </w:t>
      </w:r>
      <w:r w:rsidR="00E93BF2" w:rsidRPr="00C35A91">
        <w:rPr>
          <w:rFonts w:cs="Arial"/>
          <w:sz w:val="24"/>
          <w:szCs w:val="24"/>
        </w:rPr>
        <w:t xml:space="preserve">they </w:t>
      </w:r>
      <w:r w:rsidR="000E31F8" w:rsidRPr="00C35A91">
        <w:rPr>
          <w:rFonts w:cs="Arial"/>
          <w:sz w:val="24"/>
          <w:szCs w:val="24"/>
        </w:rPr>
        <w:t xml:space="preserve">mapped </w:t>
      </w:r>
      <w:r w:rsidR="00E93BF2" w:rsidRPr="00C35A91">
        <w:rPr>
          <w:rFonts w:cs="Arial"/>
          <w:sz w:val="24"/>
          <w:szCs w:val="24"/>
        </w:rPr>
        <w:t>their</w:t>
      </w:r>
      <w:r w:rsidR="002C0FEE">
        <w:rPr>
          <w:rFonts w:cs="Arial"/>
          <w:sz w:val="24"/>
          <w:szCs w:val="24"/>
        </w:rPr>
        <w:t xml:space="preserve"> </w:t>
      </w:r>
      <w:r w:rsidR="0046494F" w:rsidRPr="00C35A91">
        <w:rPr>
          <w:rFonts w:cs="Arial"/>
          <w:sz w:val="24"/>
          <w:szCs w:val="24"/>
        </w:rPr>
        <w:t>observations and experiences</w:t>
      </w:r>
      <w:r w:rsidR="000E31F8" w:rsidRPr="00C35A91">
        <w:rPr>
          <w:rFonts w:cs="Arial"/>
          <w:sz w:val="24"/>
          <w:szCs w:val="24"/>
        </w:rPr>
        <w:t xml:space="preserve"> along </w:t>
      </w:r>
      <w:r w:rsidR="0087209F" w:rsidRPr="00C35A91">
        <w:rPr>
          <w:rFonts w:cs="Arial"/>
          <w:sz w:val="24"/>
          <w:szCs w:val="24"/>
        </w:rPr>
        <w:t>the continuum and there was a clustering in the middle of the diagram (Figure 2)</w:t>
      </w:r>
      <w:r w:rsidR="000E31F8" w:rsidRPr="00C35A91">
        <w:rPr>
          <w:rFonts w:cs="Arial"/>
          <w:sz w:val="24"/>
          <w:szCs w:val="24"/>
        </w:rPr>
        <w:t xml:space="preserve">. There was much agreement </w:t>
      </w:r>
      <w:r w:rsidR="00EC0202" w:rsidRPr="00C35A91">
        <w:rPr>
          <w:rFonts w:cs="Arial"/>
          <w:sz w:val="24"/>
          <w:szCs w:val="24"/>
        </w:rPr>
        <w:t>from participants that although</w:t>
      </w:r>
      <w:r w:rsidR="000E31F8" w:rsidRPr="00C35A91">
        <w:rPr>
          <w:rFonts w:cs="Arial"/>
          <w:sz w:val="24"/>
          <w:szCs w:val="24"/>
        </w:rPr>
        <w:t xml:space="preserve"> pockets of change were apparent </w:t>
      </w:r>
      <w:r w:rsidR="00EC0202" w:rsidRPr="00C35A91">
        <w:rPr>
          <w:rFonts w:cs="Arial"/>
          <w:sz w:val="24"/>
          <w:szCs w:val="24"/>
        </w:rPr>
        <w:t>it should not be assumed that positive change is happening</w:t>
      </w:r>
      <w:r w:rsidR="000E31F8" w:rsidRPr="00C35A91">
        <w:rPr>
          <w:rFonts w:cs="Arial"/>
          <w:sz w:val="24"/>
          <w:szCs w:val="24"/>
        </w:rPr>
        <w:t>.</w:t>
      </w:r>
      <w:r w:rsidR="002C0FEE">
        <w:rPr>
          <w:rFonts w:cs="Arial"/>
          <w:sz w:val="24"/>
          <w:szCs w:val="24"/>
        </w:rPr>
        <w:t xml:space="preserve"> </w:t>
      </w:r>
      <w:r w:rsidR="0087209F" w:rsidRPr="00C35A91">
        <w:rPr>
          <w:rFonts w:cs="Arial"/>
          <w:sz w:val="24"/>
          <w:szCs w:val="24"/>
        </w:rPr>
        <w:t xml:space="preserve">The insights of the patient echoing the reports in the UK following </w:t>
      </w:r>
      <w:r w:rsidR="007578D8">
        <w:rPr>
          <w:rFonts w:cs="Arial"/>
          <w:sz w:val="24"/>
          <w:szCs w:val="24"/>
        </w:rPr>
        <w:t xml:space="preserve">the </w:t>
      </w:r>
      <w:r w:rsidR="0087209F" w:rsidRPr="00C35A91">
        <w:rPr>
          <w:rFonts w:cs="Arial"/>
          <w:sz w:val="24"/>
          <w:szCs w:val="24"/>
        </w:rPr>
        <w:t xml:space="preserve">Stafford </w:t>
      </w:r>
      <w:r w:rsidR="007578D8">
        <w:rPr>
          <w:rFonts w:cs="Arial"/>
          <w:sz w:val="24"/>
          <w:szCs w:val="24"/>
        </w:rPr>
        <w:t xml:space="preserve">Inquiry </w:t>
      </w:r>
      <w:r w:rsidR="0087209F" w:rsidRPr="00C35A91">
        <w:rPr>
          <w:rFonts w:cs="Arial"/>
          <w:sz w:val="24"/>
          <w:szCs w:val="24"/>
        </w:rPr>
        <w:t xml:space="preserve">concerning students and patient abilities to see what is happening </w:t>
      </w:r>
      <w:r w:rsidR="00026D07" w:rsidRPr="00C35A91">
        <w:rPr>
          <w:rFonts w:cs="Arial"/>
          <w:sz w:val="24"/>
          <w:szCs w:val="24"/>
        </w:rPr>
        <w:t>was acknowledged</w:t>
      </w:r>
      <w:r w:rsidR="0087209F" w:rsidRPr="00C35A91">
        <w:rPr>
          <w:rFonts w:cs="Arial"/>
          <w:sz w:val="24"/>
          <w:szCs w:val="24"/>
        </w:rPr>
        <w:t xml:space="preserve"> (</w:t>
      </w:r>
      <w:r w:rsidR="004F07DD" w:rsidRPr="00C35A91">
        <w:rPr>
          <w:rFonts w:cs="Arial"/>
          <w:sz w:val="24"/>
          <w:szCs w:val="24"/>
        </w:rPr>
        <w:t>Berwick</w:t>
      </w:r>
      <w:r w:rsidR="0087209F" w:rsidRPr="00C35A91">
        <w:rPr>
          <w:rFonts w:cs="Arial"/>
          <w:sz w:val="24"/>
          <w:szCs w:val="24"/>
        </w:rPr>
        <w:t xml:space="preserve">, </w:t>
      </w:r>
      <w:r w:rsidR="004F07DD" w:rsidRPr="00C35A91">
        <w:rPr>
          <w:rFonts w:cs="Arial"/>
          <w:sz w:val="24"/>
          <w:szCs w:val="24"/>
        </w:rPr>
        <w:t xml:space="preserve">2013 </w:t>
      </w:r>
      <w:r w:rsidR="004F19C5" w:rsidRPr="00C35A91">
        <w:rPr>
          <w:rFonts w:cs="Arial"/>
          <w:sz w:val="24"/>
          <w:szCs w:val="24"/>
        </w:rPr>
        <w:t xml:space="preserve">; </w:t>
      </w:r>
      <w:r w:rsidR="0087209F" w:rsidRPr="00C35A91">
        <w:rPr>
          <w:rFonts w:cs="Arial"/>
          <w:sz w:val="24"/>
          <w:szCs w:val="24"/>
        </w:rPr>
        <w:t>Ladden</w:t>
      </w:r>
      <w:r w:rsidR="004F19C5" w:rsidRPr="00C35A91">
        <w:rPr>
          <w:rFonts w:cs="Arial"/>
          <w:sz w:val="24"/>
          <w:szCs w:val="24"/>
        </w:rPr>
        <w:t>, Bednash, Stevens, Gordon &amp; Moore, 2006</w:t>
      </w:r>
      <w:r w:rsidR="0087209F" w:rsidRPr="00C35A91">
        <w:rPr>
          <w:rFonts w:cs="Arial"/>
          <w:sz w:val="24"/>
          <w:szCs w:val="24"/>
        </w:rPr>
        <w:t>)</w:t>
      </w:r>
    </w:p>
    <w:p w:rsidR="00EE400A" w:rsidRPr="00C35A91" w:rsidRDefault="0046494F" w:rsidP="0014766B">
      <w:pPr>
        <w:spacing w:line="360" w:lineRule="auto"/>
        <w:rPr>
          <w:rFonts w:cs="Arial"/>
          <w:sz w:val="24"/>
          <w:szCs w:val="24"/>
        </w:rPr>
      </w:pPr>
      <w:r w:rsidRPr="00C35A91">
        <w:rPr>
          <w:rFonts w:cs="Arial"/>
          <w:sz w:val="24"/>
          <w:szCs w:val="24"/>
        </w:rPr>
        <w:t xml:space="preserve">Our findings </w:t>
      </w:r>
      <w:r w:rsidR="008B4260">
        <w:rPr>
          <w:rFonts w:cs="Arial"/>
          <w:sz w:val="24"/>
          <w:szCs w:val="24"/>
        </w:rPr>
        <w:t xml:space="preserve">suggest </w:t>
      </w:r>
      <w:r w:rsidR="00C01824" w:rsidRPr="00C35A91">
        <w:rPr>
          <w:rFonts w:cs="Arial"/>
          <w:sz w:val="24"/>
          <w:szCs w:val="24"/>
        </w:rPr>
        <w:t>that</w:t>
      </w:r>
      <w:r w:rsidRPr="00C35A91">
        <w:rPr>
          <w:rFonts w:cs="Arial"/>
          <w:sz w:val="24"/>
          <w:szCs w:val="24"/>
        </w:rPr>
        <w:t xml:space="preserve"> at </w:t>
      </w:r>
      <w:r w:rsidR="00EE400A" w:rsidRPr="00C35A91">
        <w:rPr>
          <w:rFonts w:cs="Arial"/>
          <w:sz w:val="24"/>
          <w:szCs w:val="24"/>
        </w:rPr>
        <w:t xml:space="preserve">any one time both the old and new </w:t>
      </w:r>
      <w:r w:rsidRPr="00C35A91">
        <w:rPr>
          <w:rFonts w:cs="Arial"/>
          <w:sz w:val="24"/>
          <w:szCs w:val="24"/>
        </w:rPr>
        <w:t>cultures</w:t>
      </w:r>
      <w:r w:rsidR="00EE400A" w:rsidRPr="00C35A91">
        <w:rPr>
          <w:rFonts w:cs="Arial"/>
          <w:sz w:val="24"/>
          <w:szCs w:val="24"/>
        </w:rPr>
        <w:t xml:space="preserve"> co-exist</w:t>
      </w:r>
      <w:r w:rsidR="00773A28" w:rsidRPr="00C35A91">
        <w:rPr>
          <w:rFonts w:cs="Arial"/>
          <w:sz w:val="24"/>
          <w:szCs w:val="24"/>
        </w:rPr>
        <w:t xml:space="preserve"> in western health and social care</w:t>
      </w:r>
      <w:r w:rsidR="00EE400A" w:rsidRPr="00C35A91">
        <w:rPr>
          <w:rFonts w:cs="Arial"/>
          <w:sz w:val="24"/>
          <w:szCs w:val="24"/>
        </w:rPr>
        <w:t xml:space="preserve">. This clash of cultures can result in anger </w:t>
      </w:r>
      <w:r w:rsidR="007762CA" w:rsidRPr="00C35A91">
        <w:rPr>
          <w:rFonts w:cs="Arial"/>
          <w:sz w:val="24"/>
          <w:szCs w:val="24"/>
        </w:rPr>
        <w:t xml:space="preserve">from </w:t>
      </w:r>
      <w:r w:rsidR="00EE400A" w:rsidRPr="00C35A91">
        <w:rPr>
          <w:rFonts w:cs="Arial"/>
          <w:sz w:val="24"/>
          <w:szCs w:val="24"/>
        </w:rPr>
        <w:t>both within and between professional groups. In particular there is a danger that professionals make false assumptions about the stage of development of other professional groups, leading to a breakdown in communication</w:t>
      </w:r>
      <w:r w:rsidR="004F07DD" w:rsidRPr="00C35A91">
        <w:rPr>
          <w:rFonts w:cs="Arial"/>
          <w:sz w:val="24"/>
          <w:szCs w:val="24"/>
        </w:rPr>
        <w:t xml:space="preserve"> and challenges for IPE (Baker</w:t>
      </w:r>
      <w:r w:rsidR="008B4260">
        <w:rPr>
          <w:rFonts w:cs="Arial"/>
          <w:sz w:val="24"/>
          <w:szCs w:val="24"/>
        </w:rPr>
        <w:t xml:space="preserve"> et al.</w:t>
      </w:r>
      <w:r w:rsidR="004F07DD" w:rsidRPr="00C35A91">
        <w:rPr>
          <w:rFonts w:cs="Arial"/>
          <w:sz w:val="24"/>
          <w:szCs w:val="24"/>
        </w:rPr>
        <w:t>, 2011)</w:t>
      </w:r>
      <w:r w:rsidR="00EE400A" w:rsidRPr="00C35A91">
        <w:rPr>
          <w:rFonts w:cs="Arial"/>
          <w:sz w:val="24"/>
          <w:szCs w:val="24"/>
        </w:rPr>
        <w:t>. These culture clashes can affect the service user detrimentally and need to be recognised with subsequent problems addressed</w:t>
      </w:r>
      <w:r w:rsidR="0063133B" w:rsidRPr="00C35A91">
        <w:rPr>
          <w:rFonts w:cs="Arial"/>
          <w:sz w:val="24"/>
          <w:szCs w:val="24"/>
        </w:rPr>
        <w:t>.</w:t>
      </w:r>
    </w:p>
    <w:p w:rsidR="00EE400A" w:rsidRPr="00C35A91" w:rsidRDefault="005674E0" w:rsidP="0000728B">
      <w:pPr>
        <w:spacing w:line="360" w:lineRule="auto"/>
        <w:rPr>
          <w:rFonts w:cs="Arial"/>
          <w:sz w:val="24"/>
          <w:szCs w:val="24"/>
        </w:rPr>
      </w:pPr>
      <w:r w:rsidRPr="00C35A91">
        <w:rPr>
          <w:rFonts w:cs="Arial"/>
          <w:sz w:val="24"/>
          <w:szCs w:val="24"/>
        </w:rPr>
        <w:t>It is the experience of one of the author</w:t>
      </w:r>
      <w:r w:rsidR="000E1D18" w:rsidRPr="00C35A91">
        <w:rPr>
          <w:rFonts w:cs="Arial"/>
          <w:sz w:val="24"/>
          <w:szCs w:val="24"/>
        </w:rPr>
        <w:t>s</w:t>
      </w:r>
      <w:r w:rsidRPr="00C35A91">
        <w:rPr>
          <w:rFonts w:cs="Arial"/>
          <w:sz w:val="24"/>
          <w:szCs w:val="24"/>
        </w:rPr>
        <w:t xml:space="preserve"> (RG) that i</w:t>
      </w:r>
      <w:r w:rsidR="00EE400A" w:rsidRPr="00C35A91">
        <w:rPr>
          <w:rFonts w:cs="Arial"/>
          <w:sz w:val="24"/>
          <w:szCs w:val="24"/>
        </w:rPr>
        <w:t>n the old</w:t>
      </w:r>
      <w:r w:rsidR="002C0FEE">
        <w:rPr>
          <w:rFonts w:cs="Arial"/>
          <w:sz w:val="24"/>
          <w:szCs w:val="24"/>
        </w:rPr>
        <w:t xml:space="preserve"> </w:t>
      </w:r>
      <w:r w:rsidR="0046494F" w:rsidRPr="00C35A91">
        <w:rPr>
          <w:rFonts w:cs="Arial"/>
          <w:sz w:val="24"/>
          <w:szCs w:val="24"/>
        </w:rPr>
        <w:t>environment</w:t>
      </w:r>
      <w:r w:rsidR="00EE400A" w:rsidRPr="00C35A91">
        <w:rPr>
          <w:rFonts w:cs="Arial"/>
          <w:sz w:val="24"/>
          <w:szCs w:val="24"/>
        </w:rPr>
        <w:t xml:space="preserve"> medical students were often taught through fear and </w:t>
      </w:r>
      <w:r w:rsidR="007762CA" w:rsidRPr="00C35A91">
        <w:rPr>
          <w:rFonts w:cs="Arial"/>
          <w:sz w:val="24"/>
          <w:szCs w:val="24"/>
        </w:rPr>
        <w:t xml:space="preserve">ridicule that perfection was </w:t>
      </w:r>
      <w:r w:rsidR="00EE400A" w:rsidRPr="00C35A91">
        <w:rPr>
          <w:rFonts w:cs="Arial"/>
          <w:sz w:val="24"/>
          <w:szCs w:val="24"/>
        </w:rPr>
        <w:t>the norm with anything less considered a failure. It can be argued that this process resulted in doctors who tended to be defensive, patronising and not able to admit to making mistakes.  It may be that this attitude of doctors also encouraged patients to expect perfection. However</w:t>
      </w:r>
      <w:r w:rsidR="0046494F" w:rsidRPr="00C35A91">
        <w:rPr>
          <w:rFonts w:cs="Arial"/>
          <w:sz w:val="24"/>
          <w:szCs w:val="24"/>
        </w:rPr>
        <w:t>,</w:t>
      </w:r>
      <w:r w:rsidR="002C0FEE">
        <w:rPr>
          <w:rFonts w:cs="Arial"/>
          <w:sz w:val="24"/>
          <w:szCs w:val="24"/>
        </w:rPr>
        <w:t xml:space="preserve"> </w:t>
      </w:r>
      <w:r w:rsidR="0046494F" w:rsidRPr="00C35A91">
        <w:rPr>
          <w:rFonts w:cs="Arial"/>
          <w:sz w:val="24"/>
          <w:szCs w:val="24"/>
        </w:rPr>
        <w:t>‘</w:t>
      </w:r>
      <w:r w:rsidR="00EE400A" w:rsidRPr="00C35A91">
        <w:rPr>
          <w:rFonts w:cs="Arial"/>
          <w:sz w:val="24"/>
          <w:szCs w:val="24"/>
        </w:rPr>
        <w:t>to err</w:t>
      </w:r>
      <w:r w:rsidR="0046494F" w:rsidRPr="00C35A91">
        <w:rPr>
          <w:rFonts w:cs="Arial"/>
          <w:sz w:val="24"/>
          <w:szCs w:val="24"/>
        </w:rPr>
        <w:t>’</w:t>
      </w:r>
      <w:r w:rsidR="00EE400A" w:rsidRPr="00C35A91">
        <w:rPr>
          <w:rFonts w:cs="Arial"/>
          <w:sz w:val="24"/>
          <w:szCs w:val="24"/>
        </w:rPr>
        <w:t xml:space="preserve"> is human and although nobody plans to make a mistake, they will occur.</w:t>
      </w:r>
      <w:r w:rsidR="00EF3555" w:rsidRPr="00C35A91">
        <w:rPr>
          <w:rFonts w:cs="Arial"/>
          <w:sz w:val="24"/>
          <w:szCs w:val="24"/>
        </w:rPr>
        <w:t xml:space="preserve"> Within this silo mentality of education medical students were never afforded time to consider the relationships within and between team members both clinical and non-clinical</w:t>
      </w:r>
      <w:r w:rsidR="00B4344C" w:rsidRPr="00C35A91">
        <w:rPr>
          <w:rFonts w:cs="Arial"/>
          <w:sz w:val="24"/>
          <w:szCs w:val="24"/>
        </w:rPr>
        <w:t xml:space="preserve"> (</w:t>
      </w:r>
      <w:r w:rsidR="004C6681" w:rsidRPr="00C35A91">
        <w:rPr>
          <w:rFonts w:cs="Arial"/>
          <w:sz w:val="24"/>
          <w:szCs w:val="24"/>
        </w:rPr>
        <w:t>Hammick, 2000)</w:t>
      </w:r>
      <w:r w:rsidR="00EF3555" w:rsidRPr="00C35A91">
        <w:rPr>
          <w:rFonts w:cs="Arial"/>
          <w:sz w:val="24"/>
          <w:szCs w:val="24"/>
        </w:rPr>
        <w:t>.</w:t>
      </w:r>
      <w:r w:rsidR="007A4991" w:rsidRPr="00C35A91">
        <w:rPr>
          <w:rFonts w:cs="Arial"/>
          <w:sz w:val="24"/>
          <w:szCs w:val="24"/>
        </w:rPr>
        <w:t xml:space="preserve"> There was strong agreement that the</w:t>
      </w:r>
      <w:r w:rsidR="00EE400A" w:rsidRPr="00C35A91">
        <w:rPr>
          <w:rFonts w:cs="Arial"/>
          <w:sz w:val="24"/>
          <w:szCs w:val="24"/>
        </w:rPr>
        <w:t xml:space="preserve"> clash between the </w:t>
      </w:r>
      <w:r w:rsidR="00C01824" w:rsidRPr="00C35A91">
        <w:rPr>
          <w:rFonts w:cs="Arial"/>
          <w:sz w:val="24"/>
          <w:szCs w:val="24"/>
        </w:rPr>
        <w:t>old with</w:t>
      </w:r>
      <w:r w:rsidR="00EF3555" w:rsidRPr="00C35A91">
        <w:rPr>
          <w:rFonts w:cs="Arial"/>
          <w:sz w:val="24"/>
          <w:szCs w:val="24"/>
        </w:rPr>
        <w:t xml:space="preserve"> hierarchies and a blame </w:t>
      </w:r>
      <w:r w:rsidR="00EE400A" w:rsidRPr="00C35A91">
        <w:rPr>
          <w:rFonts w:cs="Arial"/>
          <w:sz w:val="24"/>
          <w:szCs w:val="24"/>
        </w:rPr>
        <w:t>culture and the new culture</w:t>
      </w:r>
      <w:r w:rsidR="00943ED4" w:rsidRPr="00C35A91">
        <w:rPr>
          <w:rFonts w:cs="Arial"/>
          <w:sz w:val="24"/>
          <w:szCs w:val="24"/>
        </w:rPr>
        <w:t>,</w:t>
      </w:r>
      <w:r w:rsidR="002C0FEE">
        <w:rPr>
          <w:rFonts w:cs="Arial"/>
          <w:sz w:val="24"/>
          <w:szCs w:val="24"/>
        </w:rPr>
        <w:t xml:space="preserve"> </w:t>
      </w:r>
      <w:r w:rsidR="007A4991" w:rsidRPr="00C35A91">
        <w:rPr>
          <w:rFonts w:cs="Arial"/>
          <w:sz w:val="24"/>
          <w:szCs w:val="24"/>
        </w:rPr>
        <w:t>offers an interface requiring interprofessional alliances</w:t>
      </w:r>
      <w:r w:rsidR="00392F69" w:rsidRPr="00C35A91">
        <w:rPr>
          <w:rFonts w:cs="Arial"/>
          <w:sz w:val="24"/>
          <w:szCs w:val="24"/>
        </w:rPr>
        <w:t xml:space="preserve"> (</w:t>
      </w:r>
      <w:r w:rsidR="00B14DBE" w:rsidRPr="00C35A91">
        <w:rPr>
          <w:rFonts w:cs="Arial"/>
          <w:sz w:val="24"/>
          <w:szCs w:val="24"/>
        </w:rPr>
        <w:t>Newton, 2014</w:t>
      </w:r>
      <w:r w:rsidR="00392F69" w:rsidRPr="00C35A91">
        <w:rPr>
          <w:rFonts w:cs="Arial"/>
          <w:sz w:val="24"/>
          <w:szCs w:val="24"/>
        </w:rPr>
        <w:t>)</w:t>
      </w:r>
      <w:r w:rsidR="007A4991" w:rsidRPr="00C35A91">
        <w:rPr>
          <w:rFonts w:cs="Arial"/>
          <w:sz w:val="24"/>
          <w:szCs w:val="24"/>
        </w:rPr>
        <w:t>. However, w</w:t>
      </w:r>
      <w:r w:rsidR="00EE400A" w:rsidRPr="00C35A91">
        <w:rPr>
          <w:rFonts w:cs="Arial"/>
          <w:sz w:val="24"/>
          <w:szCs w:val="24"/>
        </w:rPr>
        <w:t>hilst the blame culture exists, the education process can be blocked</w:t>
      </w:r>
      <w:r w:rsidR="00943ED4" w:rsidRPr="00C35A91">
        <w:rPr>
          <w:rFonts w:cs="Arial"/>
          <w:sz w:val="24"/>
          <w:szCs w:val="24"/>
        </w:rPr>
        <w:t>. This is often seen when</w:t>
      </w:r>
      <w:r w:rsidR="002C0FEE">
        <w:rPr>
          <w:rFonts w:cs="Arial"/>
          <w:sz w:val="24"/>
          <w:szCs w:val="24"/>
        </w:rPr>
        <w:t xml:space="preserve"> </w:t>
      </w:r>
      <w:r w:rsidR="00943ED4" w:rsidRPr="00C35A91">
        <w:rPr>
          <w:rFonts w:cs="Arial"/>
          <w:sz w:val="24"/>
          <w:szCs w:val="24"/>
        </w:rPr>
        <w:t>newly qualified practitioners</w:t>
      </w:r>
      <w:r w:rsidR="00EF3555" w:rsidRPr="00C35A91">
        <w:rPr>
          <w:rFonts w:cs="Arial"/>
          <w:sz w:val="24"/>
          <w:szCs w:val="24"/>
        </w:rPr>
        <w:t xml:space="preserve"> trained to be collegiate, many having </w:t>
      </w:r>
      <w:r w:rsidR="00A65072" w:rsidRPr="00C35A91">
        <w:rPr>
          <w:rFonts w:cs="Arial"/>
          <w:sz w:val="24"/>
          <w:szCs w:val="24"/>
        </w:rPr>
        <w:t>experienced</w:t>
      </w:r>
      <w:r w:rsidR="00EF3555" w:rsidRPr="00C35A91">
        <w:rPr>
          <w:rFonts w:cs="Arial"/>
          <w:sz w:val="24"/>
          <w:szCs w:val="24"/>
        </w:rPr>
        <w:t xml:space="preserve"> IPE, feel thwarted by the old hierarchical constraints for change</w:t>
      </w:r>
      <w:r w:rsidR="00EE400A" w:rsidRPr="00C35A91">
        <w:rPr>
          <w:rFonts w:cs="Arial"/>
          <w:sz w:val="24"/>
          <w:szCs w:val="24"/>
        </w:rPr>
        <w:t xml:space="preserve">. </w:t>
      </w:r>
      <w:r w:rsidR="00EF3555" w:rsidRPr="00C35A91">
        <w:rPr>
          <w:rFonts w:cs="Arial"/>
          <w:sz w:val="24"/>
          <w:szCs w:val="24"/>
        </w:rPr>
        <w:t>P</w:t>
      </w:r>
      <w:r w:rsidR="00EE400A" w:rsidRPr="00C35A91">
        <w:rPr>
          <w:rFonts w:cs="Arial"/>
          <w:sz w:val="24"/>
          <w:szCs w:val="24"/>
        </w:rPr>
        <w:t xml:space="preserve">atients involved with medical error are </w:t>
      </w:r>
      <w:r w:rsidR="00EF3555" w:rsidRPr="00C35A91">
        <w:rPr>
          <w:rFonts w:cs="Arial"/>
          <w:sz w:val="24"/>
          <w:szCs w:val="24"/>
        </w:rPr>
        <w:t xml:space="preserve">mainly </w:t>
      </w:r>
      <w:r w:rsidR="00EE400A" w:rsidRPr="00C35A91">
        <w:rPr>
          <w:rFonts w:cs="Arial"/>
          <w:sz w:val="24"/>
          <w:szCs w:val="24"/>
        </w:rPr>
        <w:t xml:space="preserve">content if they </w:t>
      </w:r>
      <w:r w:rsidR="00943ED4" w:rsidRPr="00C35A91">
        <w:rPr>
          <w:rFonts w:cs="Arial"/>
          <w:sz w:val="24"/>
          <w:szCs w:val="24"/>
        </w:rPr>
        <w:t xml:space="preserve">are </w:t>
      </w:r>
      <w:r w:rsidR="00EE400A" w:rsidRPr="00C35A91">
        <w:rPr>
          <w:rFonts w:cs="Arial"/>
          <w:sz w:val="24"/>
          <w:szCs w:val="24"/>
        </w:rPr>
        <w:t xml:space="preserve">informed about or involved with the subsequent </w:t>
      </w:r>
      <w:r w:rsidR="0000728B" w:rsidRPr="00C35A91">
        <w:rPr>
          <w:rFonts w:cs="Arial"/>
          <w:sz w:val="24"/>
          <w:szCs w:val="24"/>
        </w:rPr>
        <w:t xml:space="preserve">responses to poor clinical episodes and welcome </w:t>
      </w:r>
      <w:r w:rsidR="00EE400A" w:rsidRPr="00C35A91">
        <w:rPr>
          <w:rFonts w:cs="Arial"/>
          <w:sz w:val="24"/>
          <w:szCs w:val="24"/>
        </w:rPr>
        <w:t>education</w:t>
      </w:r>
      <w:r w:rsidR="0000728B" w:rsidRPr="00C35A91">
        <w:rPr>
          <w:rFonts w:cs="Arial"/>
          <w:sz w:val="24"/>
          <w:szCs w:val="24"/>
        </w:rPr>
        <w:t>al interventions</w:t>
      </w:r>
      <w:r w:rsidR="00392F69" w:rsidRPr="00C35A91">
        <w:rPr>
          <w:rFonts w:cs="Arial"/>
          <w:sz w:val="24"/>
          <w:szCs w:val="24"/>
        </w:rPr>
        <w:t>; seen as essential by the W</w:t>
      </w:r>
      <w:r w:rsidR="008B4260">
        <w:rPr>
          <w:rFonts w:cs="Arial"/>
          <w:sz w:val="24"/>
          <w:szCs w:val="24"/>
        </w:rPr>
        <w:t xml:space="preserve">HO </w:t>
      </w:r>
      <w:r w:rsidR="00392F69" w:rsidRPr="00C35A91">
        <w:rPr>
          <w:rFonts w:cs="Arial"/>
          <w:sz w:val="24"/>
          <w:szCs w:val="24"/>
        </w:rPr>
        <w:t>(</w:t>
      </w:r>
      <w:r w:rsidR="00DC102F" w:rsidRPr="00C35A91">
        <w:rPr>
          <w:rFonts w:cs="Arial"/>
          <w:sz w:val="24"/>
          <w:szCs w:val="24"/>
        </w:rPr>
        <w:t>2013)</w:t>
      </w:r>
      <w:r w:rsidR="00EE400A" w:rsidRPr="00C35A91">
        <w:rPr>
          <w:rFonts w:cs="Arial"/>
          <w:sz w:val="24"/>
          <w:szCs w:val="24"/>
        </w:rPr>
        <w:t>.</w:t>
      </w:r>
    </w:p>
    <w:p w:rsidR="007762CA" w:rsidRPr="00C35A91" w:rsidRDefault="007762CA" w:rsidP="003A542B">
      <w:pPr>
        <w:spacing w:after="0" w:line="360" w:lineRule="auto"/>
        <w:rPr>
          <w:rFonts w:hAnsi="Calibri"/>
          <w:sz w:val="24"/>
          <w:szCs w:val="24"/>
        </w:rPr>
      </w:pPr>
      <w:r w:rsidRPr="00C35A91">
        <w:rPr>
          <w:rFonts w:hAnsi="Calibri"/>
          <w:sz w:val="24"/>
          <w:szCs w:val="24"/>
        </w:rPr>
        <w:t xml:space="preserve">It is recognised that changing systems takes time and that continuous quality improvement can be used with work based </w:t>
      </w:r>
      <w:r w:rsidR="003A542B" w:rsidRPr="00C35A91">
        <w:rPr>
          <w:rFonts w:hAnsi="Calibri"/>
          <w:sz w:val="24"/>
          <w:szCs w:val="24"/>
        </w:rPr>
        <w:t>IPL</w:t>
      </w:r>
      <w:r w:rsidRPr="00C35A91">
        <w:rPr>
          <w:rFonts w:hAnsi="Calibri"/>
          <w:sz w:val="24"/>
          <w:szCs w:val="24"/>
        </w:rPr>
        <w:t xml:space="preserve"> and practice to improve health care delivery (Barr </w:t>
      </w:r>
      <w:r w:rsidR="00636726" w:rsidRPr="00C35A91">
        <w:rPr>
          <w:rFonts w:hAnsi="Calibri"/>
          <w:sz w:val="24"/>
          <w:szCs w:val="24"/>
        </w:rPr>
        <w:t>&amp;</w:t>
      </w:r>
      <w:r w:rsidRPr="00C35A91">
        <w:rPr>
          <w:rFonts w:hAnsi="Calibri"/>
          <w:sz w:val="24"/>
          <w:szCs w:val="24"/>
        </w:rPr>
        <w:t>Gray, 2013</w:t>
      </w:r>
      <w:r w:rsidR="00F207EA" w:rsidRPr="00C35A91">
        <w:rPr>
          <w:rFonts w:hAnsi="Calibri"/>
          <w:sz w:val="24"/>
          <w:szCs w:val="24"/>
        </w:rPr>
        <w:t>; Berwick, 2013</w:t>
      </w:r>
      <w:r w:rsidRPr="00C35A91">
        <w:rPr>
          <w:rFonts w:hAnsi="Calibri"/>
          <w:sz w:val="24"/>
          <w:szCs w:val="24"/>
        </w:rPr>
        <w:t xml:space="preserve">). </w:t>
      </w:r>
      <w:r w:rsidR="0000728B" w:rsidRPr="00C35A91">
        <w:rPr>
          <w:rFonts w:hAnsi="Calibri"/>
          <w:sz w:val="24"/>
          <w:szCs w:val="24"/>
        </w:rPr>
        <w:t>Within the UK and globally</w:t>
      </w:r>
      <w:r w:rsidR="00A44A7D" w:rsidRPr="00C35A91">
        <w:rPr>
          <w:rFonts w:hAnsi="Calibri"/>
          <w:sz w:val="24"/>
          <w:szCs w:val="24"/>
        </w:rPr>
        <w:t>,</w:t>
      </w:r>
      <w:r w:rsidR="0000728B" w:rsidRPr="00C35A91">
        <w:rPr>
          <w:rFonts w:hAnsi="Calibri"/>
          <w:sz w:val="24"/>
          <w:szCs w:val="24"/>
        </w:rPr>
        <w:t xml:space="preserve"> this movement </w:t>
      </w:r>
      <w:r w:rsidR="00F53902" w:rsidRPr="00C35A91">
        <w:rPr>
          <w:rFonts w:hAnsi="Calibri"/>
          <w:sz w:val="24"/>
          <w:szCs w:val="24"/>
        </w:rPr>
        <w:t>progresses under the service improvement agenda</w:t>
      </w:r>
      <w:r w:rsidR="0054264B" w:rsidRPr="00C35A91">
        <w:rPr>
          <w:rFonts w:hAnsi="Calibri"/>
          <w:sz w:val="24"/>
          <w:szCs w:val="24"/>
        </w:rPr>
        <w:t xml:space="preserve"> (Headrick</w:t>
      </w:r>
      <w:r w:rsidR="002C0FEE">
        <w:rPr>
          <w:rFonts w:hAnsi="Calibri"/>
          <w:sz w:val="24"/>
          <w:szCs w:val="24"/>
        </w:rPr>
        <w:t xml:space="preserve"> </w:t>
      </w:r>
      <w:r w:rsidR="0054264B" w:rsidRPr="00C35A91">
        <w:rPr>
          <w:rFonts w:hAnsi="Calibri"/>
          <w:sz w:val="24"/>
          <w:szCs w:val="24"/>
        </w:rPr>
        <w:t>&amp;</w:t>
      </w:r>
      <w:r w:rsidR="002C0FEE">
        <w:rPr>
          <w:rFonts w:hAnsi="Calibri"/>
          <w:sz w:val="24"/>
          <w:szCs w:val="24"/>
        </w:rPr>
        <w:t xml:space="preserve"> </w:t>
      </w:r>
      <w:r w:rsidR="0054264B" w:rsidRPr="00C35A91">
        <w:rPr>
          <w:rFonts w:hAnsi="Calibri"/>
          <w:sz w:val="24"/>
          <w:szCs w:val="24"/>
        </w:rPr>
        <w:t>Khaleel, 2008)</w:t>
      </w:r>
      <w:r w:rsidR="00F53902" w:rsidRPr="00C35A91">
        <w:rPr>
          <w:rFonts w:hAnsi="Calibri"/>
          <w:sz w:val="24"/>
          <w:szCs w:val="24"/>
        </w:rPr>
        <w:t>.</w:t>
      </w:r>
    </w:p>
    <w:p w:rsidR="007762CA" w:rsidRPr="00C35A91" w:rsidRDefault="00F207EA" w:rsidP="00B32531">
      <w:pPr>
        <w:spacing w:before="280" w:after="0" w:line="360" w:lineRule="auto"/>
        <w:textAlignment w:val="baseline"/>
        <w:rPr>
          <w:rFonts w:hAnsi="Calibri"/>
          <w:sz w:val="24"/>
          <w:szCs w:val="24"/>
        </w:rPr>
      </w:pPr>
      <w:r w:rsidRPr="00C35A91">
        <w:rPr>
          <w:rFonts w:hAnsi="Calibri"/>
          <w:sz w:val="24"/>
          <w:szCs w:val="24"/>
        </w:rPr>
        <w:t>All participants</w:t>
      </w:r>
      <w:r w:rsidR="007762CA" w:rsidRPr="00C35A91">
        <w:rPr>
          <w:rFonts w:hAnsi="Calibri"/>
          <w:sz w:val="24"/>
          <w:szCs w:val="24"/>
        </w:rPr>
        <w:t xml:space="preserve"> discussed </w:t>
      </w:r>
      <w:r w:rsidRPr="00C35A91">
        <w:rPr>
          <w:rFonts w:hAnsi="Calibri"/>
          <w:sz w:val="24"/>
          <w:szCs w:val="24"/>
        </w:rPr>
        <w:t>the views of Sydney Dekker who advocates a move away from the steps we normally follow (Dekker, 2014)</w:t>
      </w:r>
      <w:r w:rsidR="007A4991" w:rsidRPr="00C35A91">
        <w:rPr>
          <w:rFonts w:hAnsi="Calibri"/>
          <w:sz w:val="24"/>
          <w:szCs w:val="24"/>
        </w:rPr>
        <w:t xml:space="preserve"> (Table 3).  Solutions do not lie in </w:t>
      </w:r>
      <w:r w:rsidR="007A4991" w:rsidRPr="00C35A91">
        <w:rPr>
          <w:rFonts w:hAnsi="Calibri"/>
          <w:i/>
          <w:sz w:val="24"/>
          <w:szCs w:val="24"/>
        </w:rPr>
        <w:t>r</w:t>
      </w:r>
      <w:r w:rsidR="007762CA" w:rsidRPr="00C35A91">
        <w:rPr>
          <w:rFonts w:hAnsi="Calibri"/>
          <w:i/>
          <w:sz w:val="24"/>
          <w:szCs w:val="24"/>
        </w:rPr>
        <w:t>eprimanding people.</w:t>
      </w:r>
      <w:r w:rsidR="007762CA" w:rsidRPr="00C35A91">
        <w:rPr>
          <w:rFonts w:hAnsi="Calibri"/>
          <w:sz w:val="24"/>
          <w:szCs w:val="24"/>
        </w:rPr>
        <w:t>There needs to be balance between acknowledging accountability and facilitating education in a blame free environment.  The patient is the most important victim but it should be remembered that the second victim can be the health professional(s) involved.</w:t>
      </w:r>
      <w:r w:rsidR="002C0FEE">
        <w:rPr>
          <w:rFonts w:hAnsi="Calibri"/>
          <w:sz w:val="24"/>
          <w:szCs w:val="24"/>
        </w:rPr>
        <w:t xml:space="preserve"> </w:t>
      </w:r>
      <w:r w:rsidR="007762CA" w:rsidRPr="00C35A91">
        <w:rPr>
          <w:rFonts w:hAnsi="Calibri"/>
          <w:i/>
          <w:sz w:val="24"/>
          <w:szCs w:val="24"/>
        </w:rPr>
        <w:t>Retraining</w:t>
      </w:r>
      <w:r w:rsidR="007762CA" w:rsidRPr="00C35A91">
        <w:rPr>
          <w:rFonts w:hAnsi="Calibri"/>
          <w:sz w:val="24"/>
          <w:szCs w:val="24"/>
        </w:rPr>
        <w:t>the people involved</w:t>
      </w:r>
      <w:r w:rsidR="007A4991" w:rsidRPr="00C35A91">
        <w:rPr>
          <w:rFonts w:hAnsi="Calibri"/>
          <w:sz w:val="24"/>
          <w:szCs w:val="24"/>
        </w:rPr>
        <w:t xml:space="preserve"> fails to get to the </w:t>
      </w:r>
      <w:r w:rsidR="007762CA" w:rsidRPr="00C35A91">
        <w:rPr>
          <w:rFonts w:hAnsi="Calibri"/>
          <w:sz w:val="24"/>
          <w:szCs w:val="24"/>
        </w:rPr>
        <w:t xml:space="preserve">deeper organisational issues.  For effective retraining to occur the focus needs to be on the organisation and not used as a form of punishment for the individual(s) perceived to be at the centre of the issues concerned. </w:t>
      </w:r>
      <w:r w:rsidR="007A4991" w:rsidRPr="00C35A91">
        <w:rPr>
          <w:rFonts w:hAnsi="Calibri"/>
          <w:sz w:val="24"/>
          <w:szCs w:val="24"/>
        </w:rPr>
        <w:t xml:space="preserve"> The need to keep </w:t>
      </w:r>
      <w:r w:rsidR="007A4991" w:rsidRPr="00C35A91">
        <w:rPr>
          <w:rFonts w:hAnsi="Calibri"/>
          <w:i/>
          <w:sz w:val="24"/>
          <w:szCs w:val="24"/>
        </w:rPr>
        <w:t xml:space="preserve">writing procedures </w:t>
      </w:r>
      <w:r w:rsidR="007A4991" w:rsidRPr="00C35A91">
        <w:rPr>
          <w:rFonts w:hAnsi="Calibri"/>
          <w:sz w:val="24"/>
          <w:szCs w:val="24"/>
        </w:rPr>
        <w:t>only</w:t>
      </w:r>
      <w:r w:rsidR="007762CA" w:rsidRPr="00C35A91">
        <w:rPr>
          <w:rFonts w:hAnsi="Calibri"/>
          <w:sz w:val="24"/>
          <w:szCs w:val="24"/>
        </w:rPr>
        <w:t xml:space="preserve"> diverts from the real source of the problem</w:t>
      </w:r>
      <w:r w:rsidR="00B32531" w:rsidRPr="00C35A91">
        <w:rPr>
          <w:rFonts w:hAnsi="Calibri"/>
          <w:sz w:val="24"/>
          <w:szCs w:val="24"/>
        </w:rPr>
        <w:t xml:space="preserve"> (Bosk, Dixon-Woods, Goeschel, Pro</w:t>
      </w:r>
      <w:r w:rsidR="00773A28" w:rsidRPr="00C35A91">
        <w:rPr>
          <w:rFonts w:hAnsi="Calibri"/>
          <w:sz w:val="24"/>
          <w:szCs w:val="24"/>
        </w:rPr>
        <w:t>n</w:t>
      </w:r>
      <w:r w:rsidR="00B32531" w:rsidRPr="00C35A91">
        <w:rPr>
          <w:rFonts w:hAnsi="Calibri"/>
          <w:sz w:val="24"/>
          <w:szCs w:val="24"/>
        </w:rPr>
        <w:t>ovost, 2009)</w:t>
      </w:r>
      <w:r w:rsidR="007762CA" w:rsidRPr="00C35A91">
        <w:rPr>
          <w:rFonts w:hAnsi="Calibri"/>
          <w:sz w:val="24"/>
          <w:szCs w:val="24"/>
        </w:rPr>
        <w:t>. There are often complex issues involved that are beyond a written plan and hence are not addressed</w:t>
      </w:r>
      <w:r w:rsidR="00B32531" w:rsidRPr="00C35A91">
        <w:rPr>
          <w:rFonts w:hAnsi="Calibri"/>
          <w:sz w:val="24"/>
          <w:szCs w:val="24"/>
        </w:rPr>
        <w:t xml:space="preserve"> (</w:t>
      </w:r>
      <w:r w:rsidR="007762CA" w:rsidRPr="00C35A91">
        <w:rPr>
          <w:rFonts w:hAnsi="Calibri"/>
          <w:sz w:val="24"/>
          <w:szCs w:val="24"/>
        </w:rPr>
        <w:t>Pronovost</w:t>
      </w:r>
      <w:r w:rsidR="00B32531" w:rsidRPr="00C35A91">
        <w:rPr>
          <w:rFonts w:hAnsi="Calibri"/>
          <w:sz w:val="24"/>
          <w:szCs w:val="24"/>
        </w:rPr>
        <w:t xml:space="preserve"> et al., 2006). Finally adding </w:t>
      </w:r>
      <w:r w:rsidR="00B32531" w:rsidRPr="00C35A91">
        <w:rPr>
          <w:rFonts w:hAnsi="Calibri"/>
          <w:i/>
          <w:sz w:val="24"/>
          <w:szCs w:val="24"/>
        </w:rPr>
        <w:t>more technology</w:t>
      </w:r>
      <w:r w:rsidR="007762CA" w:rsidRPr="00C35A91">
        <w:rPr>
          <w:rFonts w:hAnsi="Calibri"/>
          <w:sz w:val="24"/>
          <w:szCs w:val="24"/>
        </w:rPr>
        <w:t>in response to safety issues again can divert from deeper problems. There is a risk that this will introduce more complexity with an increased chance of error.</w:t>
      </w:r>
    </w:p>
    <w:p w:rsidR="007762CA" w:rsidRPr="00C35A91" w:rsidRDefault="007762CA" w:rsidP="0000728B">
      <w:pPr>
        <w:spacing w:before="280" w:after="0" w:line="360" w:lineRule="auto"/>
        <w:textAlignment w:val="baseline"/>
        <w:rPr>
          <w:rFonts w:hAnsi="Calibri"/>
          <w:color w:val="333333"/>
          <w:sz w:val="24"/>
          <w:szCs w:val="24"/>
        </w:rPr>
      </w:pPr>
    </w:p>
    <w:p w:rsidR="00E77056" w:rsidRPr="00C35A91" w:rsidRDefault="00807511" w:rsidP="00E77056">
      <w:pPr>
        <w:rPr>
          <w:b/>
          <w:sz w:val="24"/>
          <w:szCs w:val="24"/>
        </w:rPr>
      </w:pPr>
      <w:r w:rsidRPr="00C35A91">
        <w:rPr>
          <w:b/>
          <w:sz w:val="24"/>
          <w:szCs w:val="24"/>
        </w:rPr>
        <w:t>Synthesising the workshop outcomes</w:t>
      </w:r>
    </w:p>
    <w:p w:rsidR="00133084" w:rsidRPr="00C35A91" w:rsidRDefault="00E001E0" w:rsidP="00133084">
      <w:pPr>
        <w:spacing w:after="0" w:line="360" w:lineRule="auto"/>
        <w:rPr>
          <w:rFonts w:eastAsia="Calibri" w:cs="Arial"/>
          <w:sz w:val="24"/>
          <w:szCs w:val="24"/>
          <w:lang w:val="en-US"/>
        </w:rPr>
      </w:pPr>
      <w:r w:rsidRPr="00C35A91">
        <w:rPr>
          <w:rFonts w:eastAsia="Calibri" w:cs="Arial"/>
          <w:sz w:val="24"/>
          <w:szCs w:val="24"/>
          <w:lang w:val="en-US"/>
        </w:rPr>
        <w:t>While synthesizing the outcomes from these workshops, we acknowledge that it is subjective to reduce the theoretical complexities of hazard and safety to a number of notional ingredients</w:t>
      </w:r>
      <w:r w:rsidR="00773A28" w:rsidRPr="00C35A91">
        <w:rPr>
          <w:rFonts w:eastAsia="Calibri" w:cs="Arial"/>
          <w:sz w:val="24"/>
          <w:szCs w:val="24"/>
          <w:lang w:val="en-US"/>
        </w:rPr>
        <w:t>.  N</w:t>
      </w:r>
      <w:r w:rsidRPr="00C35A91">
        <w:rPr>
          <w:rFonts w:eastAsia="Calibri" w:cs="Arial"/>
          <w:sz w:val="24"/>
          <w:szCs w:val="24"/>
          <w:lang w:val="en-US"/>
        </w:rPr>
        <w:t xml:space="preserve">evertheless there are recurrent themes resonating in the management of patent safety throughout history and into the present day. The case studies, and drawing on our experiences from history and the first workshop, provided the springboard for some of the most defining, lively and formative discussions about the challenges facing IPE, in the second. </w:t>
      </w:r>
      <w:r w:rsidR="003A542B" w:rsidRPr="00C35A91">
        <w:rPr>
          <w:sz w:val="24"/>
          <w:szCs w:val="24"/>
        </w:rPr>
        <w:t xml:space="preserve">Synthesising the outcomes from these two workshops </w:t>
      </w:r>
      <w:r w:rsidRPr="00C35A91">
        <w:rPr>
          <w:sz w:val="24"/>
          <w:szCs w:val="24"/>
        </w:rPr>
        <w:t>leads to opportunities for IPE</w:t>
      </w:r>
      <w:r w:rsidR="00DC102F" w:rsidRPr="00C35A91">
        <w:rPr>
          <w:sz w:val="24"/>
          <w:szCs w:val="24"/>
        </w:rPr>
        <w:t>, for example, t</w:t>
      </w:r>
      <w:r w:rsidR="0049591F" w:rsidRPr="00C35A91">
        <w:rPr>
          <w:sz w:val="24"/>
          <w:szCs w:val="24"/>
        </w:rPr>
        <w:t>he care of vulnerable patient groups, has remained at the nexus of many crosscurrent themes that reoccur in cases of medical mishap and malpractice throughout history.</w:t>
      </w:r>
    </w:p>
    <w:p w:rsidR="0049591F" w:rsidRPr="00C35A91" w:rsidRDefault="0049591F" w:rsidP="0049591F">
      <w:pPr>
        <w:spacing w:after="0" w:line="360" w:lineRule="auto"/>
        <w:rPr>
          <w:sz w:val="24"/>
          <w:szCs w:val="24"/>
        </w:rPr>
      </w:pPr>
    </w:p>
    <w:p w:rsidR="00A51140" w:rsidRPr="007578D8" w:rsidRDefault="00F1295A" w:rsidP="005D0D27">
      <w:pPr>
        <w:spacing w:after="0" w:line="360" w:lineRule="auto"/>
        <w:rPr>
          <w:rFonts w:hAnsi="Calibri"/>
          <w:color w:val="333333"/>
          <w:sz w:val="24"/>
          <w:szCs w:val="24"/>
        </w:rPr>
      </w:pPr>
      <w:r w:rsidRPr="00C35A91">
        <w:rPr>
          <w:rFonts w:eastAsia="Calibri" w:cs="Arial"/>
          <w:sz w:val="24"/>
          <w:szCs w:val="24"/>
          <w:lang w:val="en-US"/>
        </w:rPr>
        <w:t>The notion and importance of ‘trust’ is familiar to</w:t>
      </w:r>
      <w:r w:rsidR="002C0FEE">
        <w:rPr>
          <w:rFonts w:eastAsia="Calibri" w:cs="Arial"/>
          <w:sz w:val="24"/>
          <w:szCs w:val="24"/>
          <w:lang w:val="en-US"/>
        </w:rPr>
        <w:t xml:space="preserve"> </w:t>
      </w:r>
      <w:r w:rsidRPr="00C35A91">
        <w:rPr>
          <w:rFonts w:eastAsia="Calibri" w:cs="Arial"/>
          <w:sz w:val="24"/>
          <w:szCs w:val="24"/>
          <w:lang w:val="en-US"/>
        </w:rPr>
        <w:t>interprofessional educationalists, and is at the core of IPE – yet, historically, this key component of medical practice has been frequently</w:t>
      </w:r>
      <w:r w:rsidR="003A542B" w:rsidRPr="00C35A91">
        <w:rPr>
          <w:rFonts w:eastAsia="Calibri" w:cs="Arial"/>
          <w:sz w:val="24"/>
          <w:szCs w:val="24"/>
          <w:lang w:val="en-US"/>
        </w:rPr>
        <w:t xml:space="preserve"> overlooked</w:t>
      </w:r>
      <w:r w:rsidR="00807511" w:rsidRPr="00C35A91">
        <w:rPr>
          <w:rFonts w:eastAsia="Calibri" w:cs="Arial"/>
          <w:sz w:val="24"/>
          <w:szCs w:val="24"/>
          <w:lang w:val="en-US"/>
        </w:rPr>
        <w:t xml:space="preserve"> (Irvine, 2001</w:t>
      </w:r>
      <w:r w:rsidR="00DC102F" w:rsidRPr="00C35A91">
        <w:rPr>
          <w:rFonts w:eastAsia="Calibri" w:cs="Arial"/>
          <w:sz w:val="24"/>
          <w:szCs w:val="24"/>
          <w:lang w:val="en-US"/>
        </w:rPr>
        <w:t>; Hoffman &amp;Harnish, 2007</w:t>
      </w:r>
      <w:r w:rsidR="00807511" w:rsidRPr="00C35A91">
        <w:rPr>
          <w:rFonts w:eastAsia="Calibri" w:cs="Arial"/>
          <w:sz w:val="24"/>
          <w:szCs w:val="24"/>
          <w:lang w:val="en-US"/>
        </w:rPr>
        <w:t>)</w:t>
      </w:r>
      <w:r w:rsidR="003A542B" w:rsidRPr="00C35A91">
        <w:rPr>
          <w:rFonts w:eastAsia="Calibri" w:cs="Arial"/>
          <w:sz w:val="24"/>
          <w:szCs w:val="24"/>
          <w:lang w:val="en-US"/>
        </w:rPr>
        <w:t>. A cursory view of t</w:t>
      </w:r>
      <w:r w:rsidRPr="00C35A91">
        <w:rPr>
          <w:rFonts w:eastAsia="Calibri" w:cs="Arial"/>
          <w:sz w:val="24"/>
          <w:szCs w:val="24"/>
          <w:lang w:val="en-US"/>
        </w:rPr>
        <w:t>able 1 reveals the extent to which trust has always interplayed dynamically with the practice of medicine and patient safety.</w:t>
      </w:r>
      <w:r w:rsidR="003A542B" w:rsidRPr="00C35A91">
        <w:rPr>
          <w:rFonts w:eastAsia="Calibri" w:cs="Arial"/>
          <w:sz w:val="24"/>
          <w:szCs w:val="24"/>
          <w:lang w:val="en-US"/>
        </w:rPr>
        <w:t xml:space="preserve"> The contents of any IPE curriculum are aimed at building trust </w:t>
      </w:r>
      <w:r w:rsidR="005D0D27" w:rsidRPr="00C35A91">
        <w:rPr>
          <w:rFonts w:eastAsia="Calibri" w:cs="Arial"/>
          <w:sz w:val="24"/>
          <w:szCs w:val="24"/>
          <w:lang w:val="en-US"/>
        </w:rPr>
        <w:t xml:space="preserve">both between the professions and through placing the patient in the center of the team. In this way interactive shared professional understandings brought alongside the patients perspective lead to </w:t>
      </w:r>
      <w:r w:rsidR="00B14DBE" w:rsidRPr="00C35A91">
        <w:rPr>
          <w:rFonts w:eastAsia="Calibri" w:cs="Arial"/>
          <w:sz w:val="24"/>
          <w:szCs w:val="24"/>
          <w:lang w:val="en-US"/>
        </w:rPr>
        <w:t xml:space="preserve">second order </w:t>
      </w:r>
      <w:r w:rsidR="00807511" w:rsidRPr="00C35A91">
        <w:rPr>
          <w:rFonts w:eastAsia="Calibri" w:cs="Arial"/>
          <w:sz w:val="24"/>
          <w:szCs w:val="24"/>
          <w:lang w:val="en-US"/>
        </w:rPr>
        <w:t xml:space="preserve">reflective </w:t>
      </w:r>
      <w:r w:rsidR="005D0D27" w:rsidRPr="00C35A91">
        <w:rPr>
          <w:rFonts w:eastAsia="Calibri" w:cs="Arial"/>
          <w:sz w:val="24"/>
          <w:szCs w:val="24"/>
          <w:lang w:val="en-US"/>
        </w:rPr>
        <w:t>practice (</w:t>
      </w:r>
      <w:r w:rsidR="005D0D27" w:rsidRPr="00C35A91">
        <w:rPr>
          <w:rFonts w:cs="Arial"/>
          <w:sz w:val="24"/>
          <w:szCs w:val="24"/>
        </w:rPr>
        <w:t>Wakerhausen</w:t>
      </w:r>
      <w:r w:rsidR="005D0D27" w:rsidRPr="00C35A91">
        <w:rPr>
          <w:rFonts w:eastAsia="Calibri" w:cs="Arial"/>
          <w:sz w:val="24"/>
          <w:szCs w:val="24"/>
          <w:lang w:val="en-US"/>
        </w:rPr>
        <w:t>, 2009).</w:t>
      </w:r>
      <w:r w:rsidR="005D0D27" w:rsidRPr="00C35A91">
        <w:rPr>
          <w:sz w:val="24"/>
          <w:szCs w:val="24"/>
        </w:rPr>
        <w:t>As such there was strong agreement that</w:t>
      </w:r>
      <w:r w:rsidR="00A51140" w:rsidRPr="00C35A91">
        <w:rPr>
          <w:sz w:val="24"/>
          <w:szCs w:val="24"/>
        </w:rPr>
        <w:t xml:space="preserve"> IPE should form the teaching method for patient safety </w:t>
      </w:r>
      <w:r w:rsidR="00621ACF" w:rsidRPr="00C35A91">
        <w:rPr>
          <w:sz w:val="24"/>
          <w:szCs w:val="24"/>
        </w:rPr>
        <w:t>for</w:t>
      </w:r>
      <w:r w:rsidR="002C0FEE">
        <w:rPr>
          <w:sz w:val="24"/>
          <w:szCs w:val="24"/>
        </w:rPr>
        <w:t xml:space="preserve"> </w:t>
      </w:r>
      <w:r w:rsidR="00A51140" w:rsidRPr="007578D8">
        <w:rPr>
          <w:sz w:val="24"/>
          <w:szCs w:val="24"/>
        </w:rPr>
        <w:t xml:space="preserve">undergraduate and life long-learning. We echoed the views of Newton </w:t>
      </w:r>
      <w:r w:rsidR="007578D8">
        <w:rPr>
          <w:sz w:val="24"/>
          <w:szCs w:val="24"/>
        </w:rPr>
        <w:t xml:space="preserve">(2014) </w:t>
      </w:r>
      <w:r w:rsidR="00A51140" w:rsidRPr="007578D8">
        <w:rPr>
          <w:sz w:val="24"/>
          <w:szCs w:val="24"/>
        </w:rPr>
        <w:t>that</w:t>
      </w:r>
      <w:r w:rsidR="00A51140" w:rsidRPr="007578D8">
        <w:rPr>
          <w:rFonts w:hAnsi="Calibri"/>
          <w:color w:val="333333"/>
          <w:sz w:val="24"/>
          <w:szCs w:val="24"/>
        </w:rPr>
        <w:t xml:space="preserve"> “</w:t>
      </w:r>
      <w:r w:rsidR="00C01824" w:rsidRPr="007578D8">
        <w:rPr>
          <w:rFonts w:hAnsi="Calibri"/>
          <w:color w:val="333333"/>
          <w:sz w:val="24"/>
          <w:szCs w:val="24"/>
        </w:rPr>
        <w:t xml:space="preserve">… </w:t>
      </w:r>
      <w:r w:rsidR="00A51140" w:rsidRPr="007578D8">
        <w:rPr>
          <w:rFonts w:hAnsi="Calibri"/>
          <w:color w:val="333333"/>
          <w:sz w:val="24"/>
          <w:szCs w:val="24"/>
        </w:rPr>
        <w:t xml:space="preserve">the interprofessional conflict that has dominated, particularly between medicine and nursing, must abate. </w:t>
      </w:r>
      <w:r w:rsidR="00A51140" w:rsidRPr="007578D8">
        <w:rPr>
          <w:rFonts w:hAnsi="Calibri"/>
          <w:bCs/>
          <w:color w:val="333333"/>
          <w:sz w:val="24"/>
          <w:szCs w:val="24"/>
        </w:rPr>
        <w:t>Promoting a culture of respect and collaboration needs to begin at undergraduate level through the development of sensitive, interprofessional curricular activities</w:t>
      </w:r>
      <w:r w:rsidR="002C0FEE">
        <w:rPr>
          <w:rFonts w:hAnsi="Calibri"/>
          <w:bCs/>
          <w:color w:val="333333"/>
          <w:sz w:val="24"/>
          <w:szCs w:val="24"/>
        </w:rPr>
        <w:t xml:space="preserve"> </w:t>
      </w:r>
      <w:r w:rsidR="00A51140" w:rsidRPr="007578D8">
        <w:rPr>
          <w:rFonts w:hAnsi="Calibri"/>
          <w:color w:val="333333"/>
          <w:sz w:val="24"/>
          <w:szCs w:val="24"/>
        </w:rPr>
        <w:t xml:space="preserve">that are mindful of the knowledge and expertise that each health profession has to contribute to care delivery” </w:t>
      </w:r>
      <w:r w:rsidR="00A51140" w:rsidRPr="00683BED">
        <w:rPr>
          <w:rFonts w:hAnsi="Calibri"/>
          <w:color w:val="FF0000"/>
          <w:sz w:val="24"/>
          <w:szCs w:val="24"/>
        </w:rPr>
        <w:t>(</w:t>
      </w:r>
      <w:r w:rsidR="007578D8" w:rsidRPr="00683BED">
        <w:rPr>
          <w:rFonts w:hAnsi="Calibri"/>
          <w:color w:val="FF0000"/>
          <w:sz w:val="24"/>
          <w:szCs w:val="24"/>
        </w:rPr>
        <w:t>p</w:t>
      </w:r>
      <w:r w:rsidR="00177FEB" w:rsidRPr="00683BED">
        <w:rPr>
          <w:rFonts w:hAnsi="Calibri"/>
          <w:color w:val="FF0000"/>
          <w:sz w:val="24"/>
          <w:szCs w:val="24"/>
        </w:rPr>
        <w:t>842</w:t>
      </w:r>
      <w:r w:rsidR="00A51140" w:rsidRPr="00683BED">
        <w:rPr>
          <w:rFonts w:hAnsi="Calibri"/>
          <w:color w:val="FF0000"/>
          <w:sz w:val="24"/>
          <w:szCs w:val="24"/>
        </w:rPr>
        <w:t>).</w:t>
      </w:r>
    </w:p>
    <w:p w:rsidR="00A07644" w:rsidRPr="00C35A91" w:rsidRDefault="00A07644" w:rsidP="005D0D27">
      <w:pPr>
        <w:spacing w:after="0" w:line="360" w:lineRule="auto"/>
        <w:rPr>
          <w:b/>
          <w:sz w:val="24"/>
          <w:szCs w:val="24"/>
        </w:rPr>
      </w:pPr>
    </w:p>
    <w:p w:rsidR="00A07644" w:rsidRPr="00C35A91" w:rsidRDefault="00A07644" w:rsidP="00A07644">
      <w:pPr>
        <w:spacing w:line="360" w:lineRule="auto"/>
        <w:rPr>
          <w:sz w:val="24"/>
          <w:szCs w:val="24"/>
        </w:rPr>
      </w:pPr>
      <w:r w:rsidRPr="00C35A91">
        <w:rPr>
          <w:sz w:val="24"/>
          <w:szCs w:val="24"/>
        </w:rPr>
        <w:t>As the challenges for advancing patient safety mainly have their roots in how professionals work together (Dixon-Woods, 2010), IPE must become a potential vehicle for change.  Workshop participants agreed that for effective interprofessional working, tomorrows students need to</w:t>
      </w:r>
      <w:r w:rsidR="00764F97" w:rsidRPr="00C35A91">
        <w:rPr>
          <w:sz w:val="24"/>
          <w:szCs w:val="24"/>
        </w:rPr>
        <w:t>:</w:t>
      </w:r>
      <w:r w:rsidR="002C0FEE">
        <w:rPr>
          <w:sz w:val="24"/>
          <w:szCs w:val="24"/>
        </w:rPr>
        <w:t xml:space="preserve"> </w:t>
      </w:r>
      <w:r w:rsidRPr="00C35A91">
        <w:rPr>
          <w:sz w:val="24"/>
          <w:szCs w:val="24"/>
        </w:rPr>
        <w:t>i) form open cultures for speaking up; ii) design team structures that value difference between professionals responsibilities but can ensure relevant leadership when required; iii) take care when designing aids to memory that do not become rigid rules and add another layer for complications and ; iv) at the very least help our students to learn how to say ‘stop this is unsafe’ and v) to recognise when they are in dysfunctional teams. To release this more curriculum time must be given to IPL for it is only when students come together to recognise differences that culture can change.</w:t>
      </w:r>
    </w:p>
    <w:p w:rsidR="00A44A7D" w:rsidRPr="00C35A91" w:rsidRDefault="00A44A7D" w:rsidP="00A07644">
      <w:pPr>
        <w:spacing w:after="0" w:line="360" w:lineRule="auto"/>
        <w:rPr>
          <w:sz w:val="24"/>
          <w:szCs w:val="24"/>
        </w:rPr>
      </w:pPr>
    </w:p>
    <w:p w:rsidR="00A07644" w:rsidRPr="00C35A91" w:rsidRDefault="00E77056" w:rsidP="00A07644">
      <w:pPr>
        <w:spacing w:after="0" w:line="360" w:lineRule="auto"/>
        <w:rPr>
          <w:sz w:val="24"/>
          <w:szCs w:val="24"/>
        </w:rPr>
      </w:pPr>
      <w:r w:rsidRPr="00C35A91">
        <w:rPr>
          <w:sz w:val="24"/>
          <w:szCs w:val="24"/>
        </w:rPr>
        <w:t xml:space="preserve">In </w:t>
      </w:r>
      <w:r w:rsidR="00A07644" w:rsidRPr="00C35A91">
        <w:rPr>
          <w:sz w:val="24"/>
          <w:szCs w:val="24"/>
        </w:rPr>
        <w:t>summary, to</w:t>
      </w:r>
      <w:r w:rsidRPr="00C35A91">
        <w:rPr>
          <w:sz w:val="24"/>
          <w:szCs w:val="24"/>
        </w:rPr>
        <w:t xml:space="preserve"> reflect on the best way forward</w:t>
      </w:r>
      <w:r w:rsidR="00010659" w:rsidRPr="00C35A91">
        <w:rPr>
          <w:sz w:val="24"/>
          <w:szCs w:val="24"/>
        </w:rPr>
        <w:t xml:space="preserve"> mindful of recent history and on-going public cases of concern the following areas were seen as essential within a patient-safety IPE curriculum</w:t>
      </w:r>
      <w:r w:rsidR="00A07644" w:rsidRPr="00C35A91">
        <w:rPr>
          <w:sz w:val="24"/>
          <w:szCs w:val="24"/>
        </w:rPr>
        <w:t xml:space="preserve">. The workshop consensus sought a range of IPE  to cover the following four intersecting themes; i)  relationship building; ii) team training; iii) Human Factors and; iv) Improvement science (Figure 4). The WHO </w:t>
      </w:r>
      <w:r w:rsidR="008B4260">
        <w:rPr>
          <w:sz w:val="24"/>
          <w:szCs w:val="24"/>
        </w:rPr>
        <w:t xml:space="preserve">(2011) </w:t>
      </w:r>
      <w:r w:rsidR="00A07644" w:rsidRPr="00C35A91">
        <w:rPr>
          <w:sz w:val="24"/>
          <w:szCs w:val="24"/>
        </w:rPr>
        <w:t>guidance on patient safety curriculum offers guidance. Attaining these outcomes should include:</w:t>
      </w:r>
    </w:p>
    <w:p w:rsidR="00807511" w:rsidRPr="00C35A91" w:rsidRDefault="00807511" w:rsidP="00C35A91">
      <w:pPr>
        <w:pStyle w:val="ListParagraph"/>
        <w:numPr>
          <w:ilvl w:val="0"/>
          <w:numId w:val="18"/>
        </w:numPr>
        <w:rPr>
          <w:sz w:val="24"/>
          <w:szCs w:val="24"/>
        </w:rPr>
      </w:pPr>
      <w:r w:rsidRPr="00C35A91">
        <w:rPr>
          <w:sz w:val="24"/>
          <w:szCs w:val="24"/>
        </w:rPr>
        <w:t>The need to involve patients/carers in the design and delivery. One example would be mediation reviews with patients and simply listening to their stories concerning how care could be improved</w:t>
      </w:r>
    </w:p>
    <w:p w:rsidR="00807511" w:rsidRPr="00C35A91" w:rsidRDefault="00807511" w:rsidP="00C35A91">
      <w:pPr>
        <w:pStyle w:val="ListParagraph"/>
        <w:numPr>
          <w:ilvl w:val="0"/>
          <w:numId w:val="18"/>
        </w:numPr>
        <w:rPr>
          <w:sz w:val="24"/>
          <w:szCs w:val="24"/>
        </w:rPr>
      </w:pPr>
      <w:r w:rsidRPr="00C35A91">
        <w:rPr>
          <w:sz w:val="24"/>
          <w:szCs w:val="24"/>
        </w:rPr>
        <w:t xml:space="preserve">Development of a learning theme on patient safety with IPL within the core design </w:t>
      </w:r>
      <w:r w:rsidR="00A07644" w:rsidRPr="00C35A91">
        <w:rPr>
          <w:sz w:val="24"/>
          <w:szCs w:val="24"/>
        </w:rPr>
        <w:t xml:space="preserve">which tackles stereotyping and seeks for mutual professional respect </w:t>
      </w:r>
      <w:r w:rsidRPr="00C35A91">
        <w:rPr>
          <w:sz w:val="24"/>
          <w:szCs w:val="24"/>
        </w:rPr>
        <w:t>and where students are assessed against agreed competencies</w:t>
      </w:r>
    </w:p>
    <w:p w:rsidR="00807511" w:rsidRPr="00C35A91" w:rsidRDefault="00807511" w:rsidP="00C35A91">
      <w:pPr>
        <w:pStyle w:val="ListParagraph"/>
        <w:numPr>
          <w:ilvl w:val="0"/>
          <w:numId w:val="18"/>
        </w:numPr>
        <w:rPr>
          <w:sz w:val="24"/>
          <w:szCs w:val="24"/>
        </w:rPr>
      </w:pPr>
      <w:r w:rsidRPr="00C35A91">
        <w:rPr>
          <w:sz w:val="24"/>
          <w:szCs w:val="24"/>
        </w:rPr>
        <w:t>Continuous involvement of  interprofessional team-based reflection involving all team m</w:t>
      </w:r>
      <w:r w:rsidR="00773A28" w:rsidRPr="00C35A91">
        <w:rPr>
          <w:sz w:val="24"/>
          <w:szCs w:val="24"/>
        </w:rPr>
        <w:t>embers in</w:t>
      </w:r>
      <w:r w:rsidRPr="00C35A91">
        <w:rPr>
          <w:sz w:val="24"/>
          <w:szCs w:val="24"/>
        </w:rPr>
        <w:t xml:space="preserve"> interactive ways with the purpose of improving both team working and the patient experience, such as Morbidity and Mortality meetings led in a collaborative manner</w:t>
      </w:r>
    </w:p>
    <w:p w:rsidR="00807511" w:rsidRPr="00C35A91" w:rsidRDefault="00807511" w:rsidP="00C35A91">
      <w:pPr>
        <w:pStyle w:val="ListParagraph"/>
        <w:numPr>
          <w:ilvl w:val="0"/>
          <w:numId w:val="18"/>
        </w:numPr>
        <w:rPr>
          <w:sz w:val="24"/>
          <w:szCs w:val="24"/>
        </w:rPr>
      </w:pPr>
      <w:r w:rsidRPr="00C35A91">
        <w:rPr>
          <w:sz w:val="24"/>
          <w:szCs w:val="24"/>
        </w:rPr>
        <w:t>Establishing local learning groups on all matters related to patient safety both in acute and community settings to continuously learn from the experiences of near misses and develop ways to address deeper organisational issues, such as serious untoward incident and patient meetings</w:t>
      </w:r>
    </w:p>
    <w:p w:rsidR="00807511" w:rsidRPr="00C35A91" w:rsidRDefault="00807511" w:rsidP="00C35A91">
      <w:pPr>
        <w:pStyle w:val="ListParagraph"/>
        <w:numPr>
          <w:ilvl w:val="0"/>
          <w:numId w:val="18"/>
        </w:numPr>
        <w:rPr>
          <w:sz w:val="24"/>
          <w:szCs w:val="24"/>
        </w:rPr>
      </w:pPr>
      <w:r w:rsidRPr="00C35A91">
        <w:rPr>
          <w:sz w:val="24"/>
          <w:szCs w:val="24"/>
        </w:rPr>
        <w:t>Recognition of the need for educators to be trained in human factors and patient safety theory and with awareness of the importance of learning from experience using reflection and feedback</w:t>
      </w:r>
    </w:p>
    <w:p w:rsidR="00807511" w:rsidRPr="00C35A91" w:rsidRDefault="00807511" w:rsidP="00C35A91">
      <w:pPr>
        <w:pStyle w:val="ListParagraph"/>
        <w:numPr>
          <w:ilvl w:val="0"/>
          <w:numId w:val="18"/>
        </w:numPr>
        <w:rPr>
          <w:sz w:val="24"/>
          <w:szCs w:val="24"/>
        </w:rPr>
      </w:pPr>
      <w:r w:rsidRPr="00C35A91">
        <w:rPr>
          <w:sz w:val="24"/>
          <w:szCs w:val="24"/>
        </w:rPr>
        <w:t>The rising added value of simulation particularly in observing and assessing team working</w:t>
      </w:r>
    </w:p>
    <w:p w:rsidR="00807511" w:rsidRPr="00C35A91" w:rsidRDefault="00807511" w:rsidP="00C35A91">
      <w:pPr>
        <w:pStyle w:val="ListParagraph"/>
        <w:numPr>
          <w:ilvl w:val="0"/>
          <w:numId w:val="18"/>
        </w:numPr>
        <w:rPr>
          <w:sz w:val="24"/>
          <w:szCs w:val="24"/>
        </w:rPr>
      </w:pPr>
      <w:r w:rsidRPr="00C35A91">
        <w:rPr>
          <w:sz w:val="24"/>
          <w:szCs w:val="24"/>
        </w:rPr>
        <w:t>Implementing learning</w:t>
      </w:r>
      <w:r w:rsidR="00C35A91">
        <w:rPr>
          <w:sz w:val="24"/>
          <w:szCs w:val="24"/>
        </w:rPr>
        <w:t xml:space="preserve"> from areas outside healthcare (</w:t>
      </w:r>
      <w:r w:rsidRPr="00C35A91">
        <w:rPr>
          <w:sz w:val="24"/>
          <w:szCs w:val="24"/>
        </w:rPr>
        <w:t>e.g. aviation</w:t>
      </w:r>
      <w:r w:rsidR="00C35A91">
        <w:rPr>
          <w:sz w:val="24"/>
          <w:szCs w:val="24"/>
        </w:rPr>
        <w:t>)</w:t>
      </w:r>
      <w:r w:rsidR="00773A28" w:rsidRPr="00C35A91">
        <w:rPr>
          <w:sz w:val="24"/>
          <w:szCs w:val="24"/>
        </w:rPr>
        <w:t>.</w:t>
      </w:r>
    </w:p>
    <w:p w:rsidR="00807511" w:rsidRPr="00C35A91" w:rsidRDefault="00807511" w:rsidP="00807511">
      <w:pPr>
        <w:pStyle w:val="ListParagraph"/>
        <w:rPr>
          <w:sz w:val="24"/>
          <w:szCs w:val="24"/>
        </w:rPr>
      </w:pPr>
    </w:p>
    <w:p w:rsidR="00740D31" w:rsidRPr="00C35A91" w:rsidRDefault="00740D31" w:rsidP="005A0175">
      <w:pPr>
        <w:rPr>
          <w:b/>
          <w:sz w:val="24"/>
          <w:szCs w:val="24"/>
        </w:rPr>
      </w:pPr>
      <w:r w:rsidRPr="00C35A91">
        <w:rPr>
          <w:b/>
          <w:sz w:val="24"/>
          <w:szCs w:val="24"/>
        </w:rPr>
        <w:t>Discussion</w:t>
      </w:r>
    </w:p>
    <w:p w:rsidR="00740D31" w:rsidRPr="00C35A91" w:rsidRDefault="00DC102F" w:rsidP="00740D31">
      <w:pPr>
        <w:spacing w:after="0" w:line="360" w:lineRule="auto"/>
        <w:rPr>
          <w:rFonts w:eastAsia="Calibri" w:cs="Arial"/>
          <w:sz w:val="24"/>
          <w:szCs w:val="24"/>
          <w:lang w:val="en-US"/>
        </w:rPr>
      </w:pPr>
      <w:r w:rsidRPr="00C35A91">
        <w:rPr>
          <w:sz w:val="24"/>
          <w:szCs w:val="24"/>
        </w:rPr>
        <w:t>While medical</w:t>
      </w:r>
      <w:r w:rsidR="00764F97" w:rsidRPr="00C35A91">
        <w:rPr>
          <w:sz w:val="24"/>
          <w:szCs w:val="24"/>
        </w:rPr>
        <w:t>ly-oriented</w:t>
      </w:r>
      <w:r w:rsidRPr="00C35A91">
        <w:rPr>
          <w:sz w:val="24"/>
          <w:szCs w:val="24"/>
        </w:rPr>
        <w:t xml:space="preserve"> professional curriculum frequently carry elements of history, these tend to overlook the cultural and social constructions of patient safety, which are however inherent in the aims and objectives of IPE.</w:t>
      </w:r>
      <w:r w:rsidR="00740D31" w:rsidRPr="00C35A91">
        <w:rPr>
          <w:rFonts w:eastAsia="Calibri" w:cs="Arial"/>
          <w:sz w:val="24"/>
          <w:szCs w:val="24"/>
          <w:lang w:val="en-US"/>
        </w:rPr>
        <w:t xml:space="preserve">Given the place from where our participants started, the Hippocratic Oath, the recent birth of patient safety (as a respected field of scholarship in its own right) seems long overdue. Moreover, history demonstrates that </w:t>
      </w:r>
      <w:r w:rsidR="007578D8">
        <w:rPr>
          <w:rFonts w:eastAsia="Calibri" w:cs="Arial"/>
          <w:sz w:val="24"/>
          <w:szCs w:val="24"/>
          <w:lang w:val="en-US"/>
        </w:rPr>
        <w:t>o</w:t>
      </w:r>
      <w:r w:rsidR="00740D31" w:rsidRPr="00C35A91">
        <w:rPr>
          <w:rFonts w:eastAsia="Calibri" w:cs="Arial"/>
          <w:sz w:val="24"/>
          <w:szCs w:val="24"/>
          <w:lang w:val="en-US"/>
        </w:rPr>
        <w:t xml:space="preserve">ur </w:t>
      </w:r>
      <w:r w:rsidR="007578D8">
        <w:rPr>
          <w:rFonts w:eastAsia="Calibri" w:cs="Arial"/>
          <w:sz w:val="24"/>
          <w:szCs w:val="24"/>
          <w:lang w:val="en-US"/>
        </w:rPr>
        <w:t>‘</w:t>
      </w:r>
      <w:r w:rsidR="00740D31" w:rsidRPr="00C35A91">
        <w:rPr>
          <w:rFonts w:eastAsia="Calibri" w:cs="Arial"/>
          <w:sz w:val="24"/>
          <w:szCs w:val="24"/>
          <w:lang w:val="en-US"/>
        </w:rPr>
        <w:t>Brave New World</w:t>
      </w:r>
      <w:r w:rsidR="007578D8">
        <w:rPr>
          <w:rFonts w:eastAsia="Calibri" w:cs="Arial"/>
          <w:sz w:val="24"/>
          <w:szCs w:val="24"/>
          <w:lang w:val="en-US"/>
        </w:rPr>
        <w:t>’</w:t>
      </w:r>
      <w:r w:rsidR="00740D31" w:rsidRPr="00C35A91">
        <w:rPr>
          <w:rFonts w:eastAsia="Calibri" w:cs="Arial"/>
          <w:sz w:val="24"/>
          <w:szCs w:val="24"/>
          <w:lang w:val="en-US"/>
        </w:rPr>
        <w:t xml:space="preserve"> of patient-centered medicine is culminating after centuries of dialogue and conflict over how to define, manage and maintain safe care. </w:t>
      </w:r>
    </w:p>
    <w:p w:rsidR="005A0175" w:rsidRPr="00C35A91" w:rsidRDefault="005A0175" w:rsidP="005A0175">
      <w:pPr>
        <w:rPr>
          <w:sz w:val="24"/>
          <w:szCs w:val="24"/>
        </w:rPr>
      </w:pPr>
    </w:p>
    <w:p w:rsidR="002021D6" w:rsidRPr="00C35A91" w:rsidRDefault="00DF2625" w:rsidP="00A83ABB">
      <w:pPr>
        <w:spacing w:line="360" w:lineRule="auto"/>
        <w:rPr>
          <w:sz w:val="24"/>
          <w:szCs w:val="24"/>
        </w:rPr>
      </w:pPr>
      <w:r w:rsidRPr="00C35A91">
        <w:rPr>
          <w:sz w:val="24"/>
          <w:szCs w:val="24"/>
        </w:rPr>
        <w:t>Both of our workshops drew on a range of engaging historical themes and case studies in patient safety, but recognised that ‘history’</w:t>
      </w:r>
      <w:r w:rsidR="00861C26" w:rsidRPr="00C35A91">
        <w:rPr>
          <w:sz w:val="24"/>
          <w:szCs w:val="24"/>
        </w:rPr>
        <w:t xml:space="preserve"> can be an unreliable panacea for future ills</w:t>
      </w:r>
      <w:r w:rsidRPr="00C35A91">
        <w:rPr>
          <w:sz w:val="24"/>
          <w:szCs w:val="24"/>
        </w:rPr>
        <w:t>.</w:t>
      </w:r>
      <w:r w:rsidR="002C0FEE">
        <w:rPr>
          <w:sz w:val="24"/>
          <w:szCs w:val="24"/>
        </w:rPr>
        <w:t xml:space="preserve"> </w:t>
      </w:r>
      <w:r w:rsidRPr="00C35A91">
        <w:rPr>
          <w:sz w:val="24"/>
          <w:szCs w:val="24"/>
        </w:rPr>
        <w:t>Nonetheless</w:t>
      </w:r>
      <w:r w:rsidR="006C4AFC" w:rsidRPr="00C35A91">
        <w:rPr>
          <w:sz w:val="24"/>
          <w:szCs w:val="24"/>
        </w:rPr>
        <w:t xml:space="preserve"> past and present case studies strengthened</w:t>
      </w:r>
      <w:r w:rsidRPr="00C35A91">
        <w:rPr>
          <w:sz w:val="24"/>
          <w:szCs w:val="24"/>
        </w:rPr>
        <w:t xml:space="preserve"> IPE’</w:t>
      </w:r>
      <w:r w:rsidR="00752BEA" w:rsidRPr="00C35A91">
        <w:rPr>
          <w:sz w:val="24"/>
          <w:szCs w:val="24"/>
        </w:rPr>
        <w:t xml:space="preserve">s ability to convey </w:t>
      </w:r>
      <w:r w:rsidR="005F5E61" w:rsidRPr="00C35A91">
        <w:rPr>
          <w:sz w:val="24"/>
          <w:szCs w:val="24"/>
        </w:rPr>
        <w:t xml:space="preserve">some </w:t>
      </w:r>
      <w:r w:rsidR="00752BEA" w:rsidRPr="00C35A91">
        <w:rPr>
          <w:sz w:val="24"/>
          <w:szCs w:val="24"/>
        </w:rPr>
        <w:t>opaque elements of healthcare, such as the context of medical practice, the social construction of patient safety and the perseverance of hazardous cultures and systems.</w:t>
      </w:r>
      <w:r w:rsidR="002C0FEE">
        <w:rPr>
          <w:sz w:val="24"/>
          <w:szCs w:val="24"/>
        </w:rPr>
        <w:t xml:space="preserve"> </w:t>
      </w:r>
      <w:r w:rsidR="00752BEA" w:rsidRPr="00C35A91">
        <w:rPr>
          <w:sz w:val="24"/>
          <w:szCs w:val="24"/>
        </w:rPr>
        <w:t>I</w:t>
      </w:r>
      <w:r w:rsidR="002C0FEE">
        <w:rPr>
          <w:sz w:val="24"/>
          <w:szCs w:val="24"/>
        </w:rPr>
        <w:t>t s</w:t>
      </w:r>
      <w:r w:rsidR="00861C26" w:rsidRPr="00C35A91">
        <w:rPr>
          <w:sz w:val="24"/>
          <w:szCs w:val="24"/>
        </w:rPr>
        <w:t>eem</w:t>
      </w:r>
      <w:r w:rsidR="00E9632C" w:rsidRPr="00C35A91">
        <w:rPr>
          <w:sz w:val="24"/>
          <w:szCs w:val="24"/>
        </w:rPr>
        <w:t>s</w:t>
      </w:r>
      <w:r w:rsidR="00861C26" w:rsidRPr="00C35A91">
        <w:rPr>
          <w:sz w:val="24"/>
          <w:szCs w:val="24"/>
        </w:rPr>
        <w:t xml:space="preserve"> certain that</w:t>
      </w:r>
      <w:r w:rsidR="00E9632C" w:rsidRPr="00C35A91">
        <w:rPr>
          <w:sz w:val="24"/>
          <w:szCs w:val="24"/>
        </w:rPr>
        <w:t xml:space="preserve"> medicine’s ability to</w:t>
      </w:r>
      <w:r w:rsidR="002C0FEE">
        <w:rPr>
          <w:sz w:val="24"/>
          <w:szCs w:val="24"/>
        </w:rPr>
        <w:t xml:space="preserve"> </w:t>
      </w:r>
      <w:r w:rsidR="00E9632C" w:rsidRPr="00C35A91">
        <w:rPr>
          <w:sz w:val="24"/>
          <w:szCs w:val="24"/>
        </w:rPr>
        <w:t xml:space="preserve">learn from, </w:t>
      </w:r>
      <w:r w:rsidR="002021D6" w:rsidRPr="00C35A91">
        <w:rPr>
          <w:sz w:val="24"/>
          <w:szCs w:val="24"/>
        </w:rPr>
        <w:t>embrace</w:t>
      </w:r>
      <w:r w:rsidR="00861C26" w:rsidRPr="00C35A91">
        <w:rPr>
          <w:sz w:val="24"/>
          <w:szCs w:val="24"/>
        </w:rPr>
        <w:t xml:space="preserve"> and adapt with rapid change </w:t>
      </w:r>
      <w:r w:rsidR="002021D6" w:rsidRPr="00C35A91">
        <w:rPr>
          <w:sz w:val="24"/>
          <w:szCs w:val="24"/>
        </w:rPr>
        <w:t xml:space="preserve">will be more important in a future of accelerated technical innovation than </w:t>
      </w:r>
      <w:r w:rsidR="00E9632C" w:rsidRPr="00C35A91">
        <w:rPr>
          <w:sz w:val="24"/>
          <w:szCs w:val="24"/>
        </w:rPr>
        <w:t xml:space="preserve">it has </w:t>
      </w:r>
      <w:r w:rsidR="00A0653D" w:rsidRPr="00C35A91">
        <w:rPr>
          <w:sz w:val="24"/>
          <w:szCs w:val="24"/>
        </w:rPr>
        <w:t xml:space="preserve">ever </w:t>
      </w:r>
      <w:r w:rsidR="00F44822" w:rsidRPr="00C35A91">
        <w:rPr>
          <w:sz w:val="24"/>
          <w:szCs w:val="24"/>
        </w:rPr>
        <w:t xml:space="preserve">been </w:t>
      </w:r>
      <w:r w:rsidR="00A0653D" w:rsidRPr="00C35A91">
        <w:rPr>
          <w:sz w:val="24"/>
          <w:szCs w:val="24"/>
        </w:rPr>
        <w:t>before</w:t>
      </w:r>
      <w:r w:rsidR="002021D6" w:rsidRPr="00C35A91">
        <w:rPr>
          <w:sz w:val="24"/>
          <w:szCs w:val="24"/>
        </w:rPr>
        <w:t xml:space="preserve">. </w:t>
      </w:r>
      <w:r w:rsidR="00273683" w:rsidRPr="00C35A91">
        <w:rPr>
          <w:sz w:val="24"/>
          <w:szCs w:val="24"/>
        </w:rPr>
        <w:t xml:space="preserve">Until the </w:t>
      </w:r>
      <w:r w:rsidR="0032649F" w:rsidRPr="00C35A91">
        <w:rPr>
          <w:sz w:val="24"/>
          <w:szCs w:val="24"/>
        </w:rPr>
        <w:t>twentieth century, clinical medicine’s effect on the nation’s health was woefully</w:t>
      </w:r>
      <w:r w:rsidR="002021D6" w:rsidRPr="00C35A91">
        <w:rPr>
          <w:sz w:val="24"/>
          <w:szCs w:val="24"/>
        </w:rPr>
        <w:t xml:space="preserve"> limited, but, f</w:t>
      </w:r>
      <w:r w:rsidR="0032649F" w:rsidRPr="00C35A91">
        <w:rPr>
          <w:sz w:val="24"/>
          <w:szCs w:val="24"/>
        </w:rPr>
        <w:t>rom penicillin to nanotechnology,</w:t>
      </w:r>
      <w:r w:rsidR="002C0FEE">
        <w:rPr>
          <w:sz w:val="24"/>
          <w:szCs w:val="24"/>
        </w:rPr>
        <w:t xml:space="preserve"> </w:t>
      </w:r>
      <w:r w:rsidR="003362AF" w:rsidRPr="00C35A91">
        <w:rPr>
          <w:sz w:val="24"/>
          <w:szCs w:val="24"/>
        </w:rPr>
        <w:t>medicine</w:t>
      </w:r>
      <w:r w:rsidR="002021D6" w:rsidRPr="00C35A91">
        <w:rPr>
          <w:sz w:val="24"/>
          <w:szCs w:val="24"/>
        </w:rPr>
        <w:t>’s impact on our lives</w:t>
      </w:r>
      <w:r w:rsidR="003362AF" w:rsidRPr="00C35A91">
        <w:rPr>
          <w:sz w:val="24"/>
          <w:szCs w:val="24"/>
        </w:rPr>
        <w:t xml:space="preserve"> has skyrocketed.</w:t>
      </w:r>
      <w:r w:rsidR="002021D6" w:rsidRPr="00C35A91">
        <w:rPr>
          <w:sz w:val="24"/>
          <w:szCs w:val="24"/>
        </w:rPr>
        <w:t xml:space="preserve"> Yet, i</w:t>
      </w:r>
      <w:r w:rsidR="003362AF" w:rsidRPr="00C35A91">
        <w:rPr>
          <w:sz w:val="24"/>
          <w:szCs w:val="24"/>
        </w:rPr>
        <w:t>nstead of a straightforward celebratory message</w:t>
      </w:r>
      <w:r w:rsidR="002021D6" w:rsidRPr="00C35A91">
        <w:rPr>
          <w:sz w:val="24"/>
          <w:szCs w:val="24"/>
        </w:rPr>
        <w:t xml:space="preserve">, </w:t>
      </w:r>
      <w:r w:rsidR="003362AF" w:rsidRPr="00C35A91">
        <w:rPr>
          <w:sz w:val="24"/>
          <w:szCs w:val="24"/>
        </w:rPr>
        <w:t>medicine’s success has unearthed deeply-rooted</w:t>
      </w:r>
      <w:r w:rsidR="00E9632C" w:rsidRPr="00C35A91">
        <w:rPr>
          <w:sz w:val="24"/>
          <w:szCs w:val="24"/>
        </w:rPr>
        <w:t xml:space="preserve"> ethical,</w:t>
      </w:r>
      <w:r w:rsidR="003362AF" w:rsidRPr="00C35A91">
        <w:rPr>
          <w:sz w:val="24"/>
          <w:szCs w:val="24"/>
        </w:rPr>
        <w:t xml:space="preserve"> moral </w:t>
      </w:r>
      <w:r w:rsidR="00E9632C" w:rsidRPr="00C35A91">
        <w:rPr>
          <w:sz w:val="24"/>
          <w:szCs w:val="24"/>
        </w:rPr>
        <w:t xml:space="preserve">and legal </w:t>
      </w:r>
      <w:r w:rsidR="003362AF" w:rsidRPr="00C35A91">
        <w:rPr>
          <w:sz w:val="24"/>
          <w:szCs w:val="24"/>
        </w:rPr>
        <w:t xml:space="preserve">dilemmas. As patients’ </w:t>
      </w:r>
      <w:r w:rsidR="00A0653D" w:rsidRPr="00C35A91">
        <w:rPr>
          <w:sz w:val="24"/>
          <w:szCs w:val="24"/>
        </w:rPr>
        <w:t>expectations of medicine have</w:t>
      </w:r>
      <w:r w:rsidR="002C0FEE">
        <w:rPr>
          <w:sz w:val="24"/>
          <w:szCs w:val="24"/>
        </w:rPr>
        <w:t xml:space="preserve"> </w:t>
      </w:r>
      <w:r w:rsidR="003362AF" w:rsidRPr="00C35A91">
        <w:rPr>
          <w:sz w:val="24"/>
          <w:szCs w:val="24"/>
        </w:rPr>
        <w:t>soar</w:t>
      </w:r>
      <w:r w:rsidR="00E9632C" w:rsidRPr="00C35A91">
        <w:rPr>
          <w:sz w:val="24"/>
          <w:szCs w:val="24"/>
        </w:rPr>
        <w:t>ed</w:t>
      </w:r>
      <w:r w:rsidR="003362AF" w:rsidRPr="00C35A91">
        <w:rPr>
          <w:sz w:val="24"/>
          <w:szCs w:val="24"/>
        </w:rPr>
        <w:t>, a concomitant sense of disappointment</w:t>
      </w:r>
      <w:r w:rsidR="002C0FEE">
        <w:rPr>
          <w:sz w:val="24"/>
          <w:szCs w:val="24"/>
        </w:rPr>
        <w:t xml:space="preserve"> </w:t>
      </w:r>
      <w:r w:rsidR="00A0653D" w:rsidRPr="00C35A91">
        <w:rPr>
          <w:sz w:val="24"/>
          <w:szCs w:val="24"/>
        </w:rPr>
        <w:t>has grown</w:t>
      </w:r>
      <w:r w:rsidR="003362AF" w:rsidRPr="00C35A91">
        <w:rPr>
          <w:sz w:val="24"/>
          <w:szCs w:val="24"/>
        </w:rPr>
        <w:t xml:space="preserve"> along the most fractious lines of medical </w:t>
      </w:r>
      <w:r w:rsidR="002021D6" w:rsidRPr="00C35A91">
        <w:rPr>
          <w:sz w:val="24"/>
          <w:szCs w:val="24"/>
        </w:rPr>
        <w:t xml:space="preserve">science and </w:t>
      </w:r>
      <w:r w:rsidR="003362AF" w:rsidRPr="00C35A91">
        <w:rPr>
          <w:sz w:val="24"/>
          <w:szCs w:val="24"/>
        </w:rPr>
        <w:t xml:space="preserve">practice. Patient safety is at the heart of </w:t>
      </w:r>
      <w:r w:rsidR="002021D6" w:rsidRPr="00C35A91">
        <w:rPr>
          <w:sz w:val="24"/>
          <w:szCs w:val="24"/>
        </w:rPr>
        <w:t xml:space="preserve">those </w:t>
      </w:r>
      <w:r w:rsidR="003362AF" w:rsidRPr="00C35A91">
        <w:rPr>
          <w:sz w:val="24"/>
          <w:szCs w:val="24"/>
        </w:rPr>
        <w:t>convolutions</w:t>
      </w:r>
      <w:r w:rsidR="002021D6" w:rsidRPr="00C35A91">
        <w:rPr>
          <w:sz w:val="24"/>
          <w:szCs w:val="24"/>
        </w:rPr>
        <w:t xml:space="preserve"> in medicine’s progress</w:t>
      </w:r>
      <w:r w:rsidR="003362AF" w:rsidRPr="00C35A91">
        <w:rPr>
          <w:sz w:val="24"/>
          <w:szCs w:val="24"/>
        </w:rPr>
        <w:t xml:space="preserve">. </w:t>
      </w:r>
      <w:r w:rsidR="008B43C2">
        <w:rPr>
          <w:sz w:val="24"/>
          <w:szCs w:val="24"/>
        </w:rPr>
        <w:t xml:space="preserve">Roy </w:t>
      </w:r>
      <w:r w:rsidR="00E9632C" w:rsidRPr="00C35A91">
        <w:rPr>
          <w:sz w:val="24"/>
          <w:szCs w:val="24"/>
        </w:rPr>
        <w:t>Porter</w:t>
      </w:r>
      <w:r w:rsidR="00621C94">
        <w:rPr>
          <w:sz w:val="24"/>
          <w:szCs w:val="24"/>
        </w:rPr>
        <w:t xml:space="preserve"> (1999) </w:t>
      </w:r>
      <w:r w:rsidR="00E9632C" w:rsidRPr="00C35A91">
        <w:rPr>
          <w:sz w:val="24"/>
          <w:szCs w:val="24"/>
        </w:rPr>
        <w:t xml:space="preserve">ended his most </w:t>
      </w:r>
      <w:r w:rsidR="00E9632C" w:rsidRPr="00F44F82">
        <w:rPr>
          <w:sz w:val="24"/>
          <w:szCs w:val="24"/>
        </w:rPr>
        <w:t>accomplished</w:t>
      </w:r>
      <w:r w:rsidR="00F44822" w:rsidRPr="00F44F82">
        <w:rPr>
          <w:sz w:val="24"/>
          <w:szCs w:val="24"/>
        </w:rPr>
        <w:t xml:space="preserve"> work with the words</w:t>
      </w:r>
      <w:r w:rsidR="002C0FEE">
        <w:rPr>
          <w:sz w:val="24"/>
          <w:szCs w:val="24"/>
        </w:rPr>
        <w:t xml:space="preserve"> </w:t>
      </w:r>
      <w:r w:rsidR="00F44F82" w:rsidRPr="00F44F82">
        <w:rPr>
          <w:sz w:val="24"/>
          <w:szCs w:val="24"/>
        </w:rPr>
        <w:t>“</w:t>
      </w:r>
      <w:r w:rsidR="002021D6" w:rsidRPr="00F44F82">
        <w:rPr>
          <w:sz w:val="24"/>
          <w:szCs w:val="24"/>
        </w:rPr>
        <w:t>medicine’s finest hour is the dawn of its dilemmas</w:t>
      </w:r>
      <w:r w:rsidR="00F44822" w:rsidRPr="00F44F82">
        <w:rPr>
          <w:sz w:val="24"/>
          <w:szCs w:val="24"/>
        </w:rPr>
        <w:t>,’ adding: ‘medicine will have to redefine its limits even as it extends its capacities</w:t>
      </w:r>
      <w:r w:rsidR="00F44F82" w:rsidRPr="00F44F82">
        <w:rPr>
          <w:sz w:val="24"/>
          <w:szCs w:val="24"/>
        </w:rPr>
        <w:t xml:space="preserve">” </w:t>
      </w:r>
      <w:r w:rsidR="00F44822" w:rsidRPr="00497A9F">
        <w:rPr>
          <w:color w:val="FF0000"/>
          <w:sz w:val="24"/>
          <w:szCs w:val="24"/>
        </w:rPr>
        <w:t>(</w:t>
      </w:r>
      <w:r w:rsidR="00F44F82" w:rsidRPr="00497A9F">
        <w:rPr>
          <w:color w:val="FF0000"/>
          <w:sz w:val="24"/>
          <w:szCs w:val="24"/>
        </w:rPr>
        <w:t>p</w:t>
      </w:r>
      <w:r w:rsidR="002C3D22" w:rsidRPr="00497A9F">
        <w:rPr>
          <w:color w:val="FF0000"/>
          <w:sz w:val="24"/>
          <w:szCs w:val="24"/>
        </w:rPr>
        <w:t>718)</w:t>
      </w:r>
      <w:r w:rsidRPr="00497A9F">
        <w:rPr>
          <w:color w:val="FF0000"/>
          <w:sz w:val="24"/>
          <w:szCs w:val="24"/>
        </w:rPr>
        <w:t>.</w:t>
      </w:r>
      <w:r w:rsidR="002021D6" w:rsidRPr="00C35A91">
        <w:rPr>
          <w:sz w:val="24"/>
          <w:szCs w:val="24"/>
        </w:rPr>
        <w:t xml:space="preserve"> These are exciting but uncertain times for medicine. </w:t>
      </w:r>
      <w:r w:rsidR="00861C26" w:rsidRPr="00C35A91">
        <w:rPr>
          <w:sz w:val="24"/>
          <w:szCs w:val="24"/>
        </w:rPr>
        <w:t>Renegotiating</w:t>
      </w:r>
      <w:r w:rsidR="002021D6" w:rsidRPr="00C35A91">
        <w:rPr>
          <w:sz w:val="24"/>
          <w:szCs w:val="24"/>
        </w:rPr>
        <w:t xml:space="preserve"> the terms of </w:t>
      </w:r>
      <w:r w:rsidR="00861C26" w:rsidRPr="00C35A91">
        <w:rPr>
          <w:sz w:val="24"/>
          <w:szCs w:val="24"/>
        </w:rPr>
        <w:t xml:space="preserve">medicine’s relationship with society seems to be a necessary component in managing hazard. IPE provides a lynchpin and a method for medicine to work with historically isolated individuals and organisations. </w:t>
      </w:r>
    </w:p>
    <w:p w:rsidR="000E21C4" w:rsidRPr="00C35A91" w:rsidRDefault="00621C94" w:rsidP="00A83ABB">
      <w:pPr>
        <w:spacing w:line="360" w:lineRule="auto"/>
        <w:rPr>
          <w:sz w:val="24"/>
          <w:szCs w:val="24"/>
        </w:rPr>
      </w:pPr>
      <w:r>
        <w:rPr>
          <w:sz w:val="24"/>
          <w:szCs w:val="24"/>
        </w:rPr>
        <w:t>The workshops were a useful</w:t>
      </w:r>
      <w:r w:rsidR="00752BEA" w:rsidRPr="00C35A91">
        <w:rPr>
          <w:sz w:val="24"/>
          <w:szCs w:val="24"/>
        </w:rPr>
        <w:t xml:space="preserve"> forum to explore patient safety, both consciously and unconsciously elevating IPE as a vehicle for change. M</w:t>
      </w:r>
      <w:r w:rsidR="00D856EE" w:rsidRPr="00C35A91">
        <w:rPr>
          <w:sz w:val="24"/>
          <w:szCs w:val="24"/>
        </w:rPr>
        <w:t>any</w:t>
      </w:r>
      <w:r w:rsidR="002C0FEE">
        <w:rPr>
          <w:sz w:val="24"/>
          <w:szCs w:val="24"/>
        </w:rPr>
        <w:t xml:space="preserve"> </w:t>
      </w:r>
      <w:r w:rsidR="00C44CF5" w:rsidRPr="00C35A91">
        <w:rPr>
          <w:sz w:val="24"/>
          <w:szCs w:val="24"/>
        </w:rPr>
        <w:t>o</w:t>
      </w:r>
      <w:r w:rsidR="002C0FEE">
        <w:rPr>
          <w:sz w:val="24"/>
          <w:szCs w:val="24"/>
        </w:rPr>
        <w:t xml:space="preserve"> </w:t>
      </w:r>
      <w:r w:rsidR="00C44CF5" w:rsidRPr="00C35A91">
        <w:rPr>
          <w:sz w:val="24"/>
          <w:szCs w:val="24"/>
        </w:rPr>
        <w:t>f</w:t>
      </w:r>
      <w:r w:rsidR="00037933" w:rsidRPr="00C35A91">
        <w:rPr>
          <w:sz w:val="24"/>
          <w:szCs w:val="24"/>
        </w:rPr>
        <w:t>the</w:t>
      </w:r>
      <w:r w:rsidR="00CD243A" w:rsidRPr="00C35A91">
        <w:rPr>
          <w:sz w:val="24"/>
          <w:szCs w:val="24"/>
        </w:rPr>
        <w:t>present</w:t>
      </w:r>
      <w:r w:rsidR="00D856EE" w:rsidRPr="00C35A91">
        <w:rPr>
          <w:sz w:val="24"/>
          <w:szCs w:val="24"/>
        </w:rPr>
        <w:t xml:space="preserve"> challenges</w:t>
      </w:r>
      <w:r w:rsidR="00CD243A" w:rsidRPr="00C35A91">
        <w:rPr>
          <w:sz w:val="24"/>
          <w:szCs w:val="24"/>
        </w:rPr>
        <w:t xml:space="preserve"> emerging from the</w:t>
      </w:r>
      <w:r w:rsidR="00C44CF5" w:rsidRPr="00C35A91">
        <w:rPr>
          <w:sz w:val="24"/>
          <w:szCs w:val="24"/>
        </w:rPr>
        <w:t xml:space="preserve"> NHS</w:t>
      </w:r>
      <w:r w:rsidR="00CD243A" w:rsidRPr="00C35A91">
        <w:rPr>
          <w:sz w:val="24"/>
          <w:szCs w:val="24"/>
        </w:rPr>
        <w:t xml:space="preserve"> are not specific to today but</w:t>
      </w:r>
      <w:r w:rsidR="00C44CF5" w:rsidRPr="00C35A91">
        <w:rPr>
          <w:sz w:val="24"/>
          <w:szCs w:val="24"/>
        </w:rPr>
        <w:t xml:space="preserve"> resonate with similar challenges that faced previous generations of</w:t>
      </w:r>
      <w:r w:rsidR="00CD243A" w:rsidRPr="00C35A91">
        <w:rPr>
          <w:sz w:val="24"/>
          <w:szCs w:val="24"/>
        </w:rPr>
        <w:t xml:space="preserve"> UK </w:t>
      </w:r>
      <w:r w:rsidR="00C44CF5" w:rsidRPr="00C35A91">
        <w:rPr>
          <w:sz w:val="24"/>
          <w:szCs w:val="24"/>
        </w:rPr>
        <w:t xml:space="preserve">healthcare professionals. It is both reassuring to </w:t>
      </w:r>
      <w:r w:rsidR="00CD243A" w:rsidRPr="00C35A91">
        <w:rPr>
          <w:sz w:val="24"/>
          <w:szCs w:val="24"/>
        </w:rPr>
        <w:t>learn the ways in which these problems were addressed</w:t>
      </w:r>
      <w:r w:rsidR="00C44CF5" w:rsidRPr="00C35A91">
        <w:rPr>
          <w:sz w:val="24"/>
          <w:szCs w:val="24"/>
        </w:rPr>
        <w:t xml:space="preserve"> and disconcerting to ac</w:t>
      </w:r>
      <w:r w:rsidR="00CD243A" w:rsidRPr="00C35A91">
        <w:rPr>
          <w:sz w:val="24"/>
          <w:szCs w:val="24"/>
        </w:rPr>
        <w:t>k</w:t>
      </w:r>
      <w:r w:rsidR="00C44CF5" w:rsidRPr="00C35A91">
        <w:rPr>
          <w:sz w:val="24"/>
          <w:szCs w:val="24"/>
        </w:rPr>
        <w:t>nowledge that</w:t>
      </w:r>
      <w:r w:rsidR="00CD243A" w:rsidRPr="00C35A91">
        <w:rPr>
          <w:sz w:val="24"/>
          <w:szCs w:val="24"/>
        </w:rPr>
        <w:t xml:space="preserve"> the same problems are still arising ove</w:t>
      </w:r>
      <w:r w:rsidR="00644CC2" w:rsidRPr="00C35A91">
        <w:rPr>
          <w:sz w:val="24"/>
          <w:szCs w:val="24"/>
        </w:rPr>
        <w:t>r</w:t>
      </w:r>
      <w:r w:rsidR="00CD243A" w:rsidRPr="00C35A91">
        <w:rPr>
          <w:sz w:val="24"/>
          <w:szCs w:val="24"/>
        </w:rPr>
        <w:t xml:space="preserve"> a century later.</w:t>
      </w:r>
      <w:r w:rsidR="002C0FEE">
        <w:rPr>
          <w:sz w:val="24"/>
          <w:szCs w:val="24"/>
        </w:rPr>
        <w:t xml:space="preserve"> </w:t>
      </w:r>
      <w:r w:rsidR="00C44CF5" w:rsidRPr="00C35A91">
        <w:rPr>
          <w:sz w:val="24"/>
          <w:szCs w:val="24"/>
        </w:rPr>
        <w:t>However</w:t>
      </w:r>
      <w:r w:rsidR="00F22B45" w:rsidRPr="00C35A91">
        <w:rPr>
          <w:sz w:val="24"/>
          <w:szCs w:val="24"/>
        </w:rPr>
        <w:t>,</w:t>
      </w:r>
      <w:r w:rsidR="002C0FEE">
        <w:rPr>
          <w:sz w:val="24"/>
          <w:szCs w:val="24"/>
        </w:rPr>
        <w:t xml:space="preserve"> </w:t>
      </w:r>
      <w:r w:rsidR="00644CC2" w:rsidRPr="00C35A91">
        <w:rPr>
          <w:sz w:val="24"/>
          <w:szCs w:val="24"/>
        </w:rPr>
        <w:t>learning about</w:t>
      </w:r>
      <w:r w:rsidR="00CD243A" w:rsidRPr="00C35A91">
        <w:rPr>
          <w:sz w:val="24"/>
          <w:szCs w:val="24"/>
        </w:rPr>
        <w:t xml:space="preserve"> history gives us a</w:t>
      </w:r>
      <w:r w:rsidR="00644CC2" w:rsidRPr="00C35A91">
        <w:rPr>
          <w:sz w:val="24"/>
          <w:szCs w:val="24"/>
        </w:rPr>
        <w:t xml:space="preserve"> deeper</w:t>
      </w:r>
      <w:r w:rsidR="00CD243A" w:rsidRPr="00C35A91">
        <w:rPr>
          <w:sz w:val="24"/>
          <w:szCs w:val="24"/>
        </w:rPr>
        <w:t xml:space="preserve"> insight into the development of the issues</w:t>
      </w:r>
      <w:r w:rsidR="00644CC2" w:rsidRPr="00C35A91">
        <w:rPr>
          <w:sz w:val="24"/>
          <w:szCs w:val="24"/>
        </w:rPr>
        <w:t>, the complexities</w:t>
      </w:r>
      <w:r w:rsidR="00CD243A" w:rsidRPr="00C35A91">
        <w:rPr>
          <w:sz w:val="24"/>
          <w:szCs w:val="24"/>
        </w:rPr>
        <w:t xml:space="preserve"> involved</w:t>
      </w:r>
      <w:r w:rsidR="00644CC2" w:rsidRPr="00C35A91">
        <w:rPr>
          <w:sz w:val="24"/>
          <w:szCs w:val="24"/>
        </w:rPr>
        <w:t xml:space="preserve"> and the choices for possible ways forward.</w:t>
      </w:r>
      <w:r w:rsidR="002C0FEE">
        <w:rPr>
          <w:sz w:val="24"/>
          <w:szCs w:val="24"/>
        </w:rPr>
        <w:t xml:space="preserve"> </w:t>
      </w:r>
      <w:r w:rsidR="00F22B45" w:rsidRPr="00C35A91">
        <w:rPr>
          <w:sz w:val="24"/>
          <w:szCs w:val="24"/>
        </w:rPr>
        <w:t>Moving into a blame culture has not been an exemplary period. Ending this trajectory will require interprofessional working and by this here we mean, forming teams where there is understanding, caring and respect for each other’s contributions and ministrations and where the whole team recognises weaknesses within the systems surrounding its work which could make it fallible.</w:t>
      </w:r>
    </w:p>
    <w:p w:rsidR="00A51140" w:rsidRPr="00C35A91" w:rsidRDefault="00752BEA" w:rsidP="00A83ABB">
      <w:pPr>
        <w:spacing w:line="360" w:lineRule="auto"/>
        <w:rPr>
          <w:sz w:val="24"/>
          <w:szCs w:val="24"/>
        </w:rPr>
      </w:pPr>
      <w:r w:rsidRPr="00C35A91">
        <w:rPr>
          <w:sz w:val="24"/>
          <w:szCs w:val="24"/>
        </w:rPr>
        <w:t xml:space="preserve">There was almost unanimous agreement in our </w:t>
      </w:r>
      <w:r w:rsidR="000E21C4" w:rsidRPr="00C35A91">
        <w:rPr>
          <w:sz w:val="24"/>
          <w:szCs w:val="24"/>
        </w:rPr>
        <w:t>workshop</w:t>
      </w:r>
      <w:r w:rsidRPr="00C35A91">
        <w:rPr>
          <w:sz w:val="24"/>
          <w:szCs w:val="24"/>
        </w:rPr>
        <w:t>s</w:t>
      </w:r>
      <w:r w:rsidR="000E21C4" w:rsidRPr="00C35A91">
        <w:rPr>
          <w:sz w:val="24"/>
          <w:szCs w:val="24"/>
        </w:rPr>
        <w:t xml:space="preserve"> that IPE has further to travel to demonstrate its ability to form one of the solutions to many of today’s patient safety problems. </w:t>
      </w:r>
      <w:r w:rsidRPr="00C35A91">
        <w:rPr>
          <w:sz w:val="24"/>
          <w:szCs w:val="24"/>
        </w:rPr>
        <w:t>Yet</w:t>
      </w:r>
      <w:r w:rsidR="003B7E8B" w:rsidRPr="00C35A91">
        <w:rPr>
          <w:sz w:val="24"/>
          <w:szCs w:val="24"/>
        </w:rPr>
        <w:t xml:space="preserve">, there was equal acknowledgment that it has a critical role in education and in shaping our approach to managing patient safety. Delegates </w:t>
      </w:r>
      <w:r w:rsidR="000E21C4" w:rsidRPr="00C35A91">
        <w:rPr>
          <w:sz w:val="24"/>
          <w:szCs w:val="24"/>
        </w:rPr>
        <w:t>recognised that students will see a range of challenges within today’s healthcare systems and</w:t>
      </w:r>
      <w:r w:rsidR="003B7E8B" w:rsidRPr="00C35A91">
        <w:rPr>
          <w:sz w:val="24"/>
          <w:szCs w:val="24"/>
        </w:rPr>
        <w:t>, in order to</w:t>
      </w:r>
      <w:r w:rsidR="002C0FEE">
        <w:rPr>
          <w:sz w:val="24"/>
          <w:szCs w:val="24"/>
        </w:rPr>
        <w:t xml:space="preserve"> </w:t>
      </w:r>
      <w:r w:rsidR="000E21C4" w:rsidRPr="00C35A91">
        <w:rPr>
          <w:sz w:val="24"/>
          <w:szCs w:val="24"/>
        </w:rPr>
        <w:t>spot where errors occur</w:t>
      </w:r>
      <w:r w:rsidR="003B7E8B" w:rsidRPr="00C35A91">
        <w:rPr>
          <w:sz w:val="24"/>
          <w:szCs w:val="24"/>
        </w:rPr>
        <w:t>, future education needs will</w:t>
      </w:r>
      <w:r w:rsidR="000E21C4" w:rsidRPr="00C35A91">
        <w:rPr>
          <w:sz w:val="24"/>
          <w:szCs w:val="24"/>
        </w:rPr>
        <w:t xml:space="preserve"> demand that </w:t>
      </w:r>
      <w:r w:rsidR="00621C94">
        <w:rPr>
          <w:sz w:val="24"/>
          <w:szCs w:val="24"/>
        </w:rPr>
        <w:t xml:space="preserve">they are </w:t>
      </w:r>
      <w:r w:rsidR="000E21C4" w:rsidRPr="00C35A91">
        <w:rPr>
          <w:sz w:val="24"/>
          <w:szCs w:val="24"/>
        </w:rPr>
        <w:t>help</w:t>
      </w:r>
      <w:r w:rsidR="00621C94">
        <w:rPr>
          <w:sz w:val="24"/>
          <w:szCs w:val="24"/>
        </w:rPr>
        <w:t>ed</w:t>
      </w:r>
      <w:r w:rsidR="002C0FEE">
        <w:rPr>
          <w:sz w:val="24"/>
          <w:szCs w:val="24"/>
        </w:rPr>
        <w:t xml:space="preserve"> </w:t>
      </w:r>
      <w:r w:rsidR="00621C94">
        <w:rPr>
          <w:sz w:val="24"/>
          <w:szCs w:val="24"/>
        </w:rPr>
        <w:t>to</w:t>
      </w:r>
      <w:r w:rsidR="002C0FEE">
        <w:rPr>
          <w:sz w:val="24"/>
          <w:szCs w:val="24"/>
        </w:rPr>
        <w:t xml:space="preserve"> </w:t>
      </w:r>
      <w:r w:rsidR="000E21C4" w:rsidRPr="00C35A91">
        <w:rPr>
          <w:sz w:val="24"/>
          <w:szCs w:val="24"/>
        </w:rPr>
        <w:t xml:space="preserve">recognise </w:t>
      </w:r>
      <w:r w:rsidR="003B7E8B" w:rsidRPr="00C35A91">
        <w:rPr>
          <w:sz w:val="24"/>
          <w:szCs w:val="24"/>
        </w:rPr>
        <w:t xml:space="preserve">the </w:t>
      </w:r>
      <w:r w:rsidR="000E21C4" w:rsidRPr="00C35A91">
        <w:rPr>
          <w:sz w:val="24"/>
          <w:szCs w:val="24"/>
        </w:rPr>
        <w:t>vulnerability of working within challenged</w:t>
      </w:r>
      <w:r w:rsidR="003B7E8B" w:rsidRPr="00C35A91">
        <w:rPr>
          <w:sz w:val="24"/>
          <w:szCs w:val="24"/>
        </w:rPr>
        <w:t xml:space="preserve">, occasionally compromised, </w:t>
      </w:r>
      <w:r w:rsidR="000E21C4" w:rsidRPr="00C35A91">
        <w:rPr>
          <w:sz w:val="24"/>
          <w:szCs w:val="24"/>
        </w:rPr>
        <w:t xml:space="preserve">systems </w:t>
      </w:r>
      <w:r w:rsidR="00621C94" w:rsidRPr="00C35A91">
        <w:rPr>
          <w:sz w:val="24"/>
          <w:szCs w:val="24"/>
        </w:rPr>
        <w:t>Ladden</w:t>
      </w:r>
      <w:r w:rsidR="002C0FEE">
        <w:rPr>
          <w:sz w:val="24"/>
          <w:szCs w:val="24"/>
        </w:rPr>
        <w:t xml:space="preserve"> </w:t>
      </w:r>
      <w:r w:rsidR="00621C94">
        <w:rPr>
          <w:sz w:val="24"/>
          <w:szCs w:val="24"/>
        </w:rPr>
        <w:t>et al.</w:t>
      </w:r>
      <w:r w:rsidR="000E21C4" w:rsidRPr="00C35A91">
        <w:rPr>
          <w:sz w:val="24"/>
          <w:szCs w:val="24"/>
        </w:rPr>
        <w:t>, 2006). They would also need to learn how to involve the whole team if quality improvement and systems change are to be realised.</w:t>
      </w:r>
    </w:p>
    <w:p w:rsidR="00C35A91" w:rsidRPr="00C35A91" w:rsidRDefault="003B7E8B" w:rsidP="00773A28">
      <w:pPr>
        <w:spacing w:before="240" w:line="360" w:lineRule="auto"/>
        <w:rPr>
          <w:sz w:val="24"/>
          <w:szCs w:val="24"/>
        </w:rPr>
      </w:pPr>
      <w:r w:rsidRPr="00C35A91">
        <w:rPr>
          <w:sz w:val="24"/>
          <w:szCs w:val="24"/>
        </w:rPr>
        <w:t>Ultimately, the low number of patients or their representatives at both workshops exposed a key factor in the ability of IPE to challenge both professionals and public. I</w:t>
      </w:r>
      <w:r w:rsidR="00644CC2" w:rsidRPr="00C35A91">
        <w:rPr>
          <w:sz w:val="24"/>
          <w:szCs w:val="24"/>
        </w:rPr>
        <w:t>t is essential that patient involvement is</w:t>
      </w:r>
      <w:r w:rsidR="002C0FEE">
        <w:rPr>
          <w:sz w:val="24"/>
          <w:szCs w:val="24"/>
        </w:rPr>
        <w:t xml:space="preserve"> </w:t>
      </w:r>
      <w:r w:rsidRPr="00C35A91">
        <w:rPr>
          <w:sz w:val="24"/>
          <w:szCs w:val="24"/>
        </w:rPr>
        <w:t>welded</w:t>
      </w:r>
      <w:r w:rsidR="002C0FEE">
        <w:rPr>
          <w:sz w:val="24"/>
          <w:szCs w:val="24"/>
        </w:rPr>
        <w:t xml:space="preserve"> </w:t>
      </w:r>
      <w:r w:rsidR="00644CC2" w:rsidRPr="00C35A91">
        <w:rPr>
          <w:sz w:val="24"/>
          <w:szCs w:val="24"/>
        </w:rPr>
        <w:t xml:space="preserve">to the </w:t>
      </w:r>
      <w:r w:rsidR="00504A3F" w:rsidRPr="00C35A91">
        <w:rPr>
          <w:sz w:val="24"/>
          <w:szCs w:val="24"/>
        </w:rPr>
        <w:t>process used to address issues of</w:t>
      </w:r>
      <w:r w:rsidR="00644CC2" w:rsidRPr="00C35A91">
        <w:rPr>
          <w:sz w:val="24"/>
          <w:szCs w:val="24"/>
        </w:rPr>
        <w:t xml:space="preserve"> patient safety</w:t>
      </w:r>
      <w:r w:rsidR="00504A3F" w:rsidRPr="00C35A91">
        <w:rPr>
          <w:sz w:val="24"/>
          <w:szCs w:val="24"/>
        </w:rPr>
        <w:t>.</w:t>
      </w:r>
      <w:r w:rsidR="002C0FEE">
        <w:rPr>
          <w:sz w:val="24"/>
          <w:szCs w:val="24"/>
        </w:rPr>
        <w:t xml:space="preserve"> </w:t>
      </w:r>
      <w:r w:rsidR="00504A3F" w:rsidRPr="00C35A91">
        <w:rPr>
          <w:sz w:val="24"/>
          <w:szCs w:val="24"/>
        </w:rPr>
        <w:t>If patients are given</w:t>
      </w:r>
      <w:r w:rsidR="00644CC2" w:rsidRPr="00C35A91">
        <w:rPr>
          <w:sz w:val="24"/>
          <w:szCs w:val="24"/>
        </w:rPr>
        <w:t xml:space="preserve"> the opportunity </w:t>
      </w:r>
      <w:r w:rsidR="00442581" w:rsidRPr="00C35A91">
        <w:rPr>
          <w:sz w:val="24"/>
          <w:szCs w:val="24"/>
        </w:rPr>
        <w:t>to be actively involved in</w:t>
      </w:r>
      <w:r w:rsidR="00504A3F" w:rsidRPr="00C35A91">
        <w:rPr>
          <w:sz w:val="24"/>
          <w:szCs w:val="24"/>
        </w:rPr>
        <w:t xml:space="preserve"> all stages of</w:t>
      </w:r>
      <w:r w:rsidR="00442581" w:rsidRPr="00C35A91">
        <w:rPr>
          <w:sz w:val="24"/>
          <w:szCs w:val="24"/>
        </w:rPr>
        <w:t xml:space="preserve"> education</w:t>
      </w:r>
      <w:r w:rsidR="00504A3F" w:rsidRPr="00C35A91">
        <w:rPr>
          <w:sz w:val="24"/>
          <w:szCs w:val="24"/>
        </w:rPr>
        <w:t xml:space="preserve"> in an authentic</w:t>
      </w:r>
      <w:r w:rsidR="000D0E30" w:rsidRPr="00C35A91">
        <w:rPr>
          <w:sz w:val="24"/>
          <w:szCs w:val="24"/>
        </w:rPr>
        <w:t xml:space="preserve"> and non-tokenistic</w:t>
      </w:r>
      <w:r w:rsidR="00504A3F" w:rsidRPr="00C35A91">
        <w:rPr>
          <w:sz w:val="24"/>
          <w:szCs w:val="24"/>
        </w:rPr>
        <w:t>way, this not only can be appreciated but</w:t>
      </w:r>
      <w:r w:rsidR="00471175" w:rsidRPr="00C35A91">
        <w:rPr>
          <w:sz w:val="24"/>
          <w:szCs w:val="24"/>
        </w:rPr>
        <w:t xml:space="preserve"> can</w:t>
      </w:r>
      <w:r w:rsidR="00504A3F" w:rsidRPr="00C35A91">
        <w:rPr>
          <w:sz w:val="24"/>
          <w:szCs w:val="24"/>
        </w:rPr>
        <w:t xml:space="preserve"> produce a powerful</w:t>
      </w:r>
      <w:r w:rsidR="002C0FEE">
        <w:rPr>
          <w:sz w:val="24"/>
          <w:szCs w:val="24"/>
        </w:rPr>
        <w:t xml:space="preserve"> </w:t>
      </w:r>
      <w:r w:rsidR="00471175" w:rsidRPr="00C35A91">
        <w:rPr>
          <w:sz w:val="24"/>
          <w:szCs w:val="24"/>
        </w:rPr>
        <w:t>and effective response</w:t>
      </w:r>
      <w:r w:rsidR="00504A3F" w:rsidRPr="00C35A91">
        <w:rPr>
          <w:sz w:val="24"/>
          <w:szCs w:val="24"/>
        </w:rPr>
        <w:t>. This</w:t>
      </w:r>
      <w:r w:rsidR="00471175" w:rsidRPr="00C35A91">
        <w:rPr>
          <w:sz w:val="24"/>
          <w:szCs w:val="24"/>
        </w:rPr>
        <w:t xml:space="preserve"> process is </w:t>
      </w:r>
      <w:r w:rsidR="000D0E30" w:rsidRPr="00C35A91">
        <w:rPr>
          <w:sz w:val="24"/>
          <w:szCs w:val="24"/>
        </w:rPr>
        <w:t>common</w:t>
      </w:r>
      <w:r w:rsidR="00471175" w:rsidRPr="00C35A91">
        <w:rPr>
          <w:sz w:val="24"/>
          <w:szCs w:val="24"/>
        </w:rPr>
        <w:t xml:space="preserve"> to</w:t>
      </w:r>
      <w:r w:rsidR="00773A28" w:rsidRPr="00C35A91">
        <w:rPr>
          <w:sz w:val="24"/>
          <w:szCs w:val="24"/>
        </w:rPr>
        <w:t>,</w:t>
      </w:r>
      <w:r w:rsidR="00471175" w:rsidRPr="00C35A91">
        <w:rPr>
          <w:sz w:val="24"/>
          <w:szCs w:val="24"/>
        </w:rPr>
        <w:t xml:space="preserve"> and</w:t>
      </w:r>
      <w:r w:rsidR="00504A3F" w:rsidRPr="00C35A91">
        <w:rPr>
          <w:sz w:val="24"/>
          <w:szCs w:val="24"/>
        </w:rPr>
        <w:t xml:space="preserve"> resonates with the philosophy of IPE</w:t>
      </w:r>
      <w:r w:rsidR="002C0FEE">
        <w:rPr>
          <w:sz w:val="24"/>
          <w:szCs w:val="24"/>
        </w:rPr>
        <w:t xml:space="preserve"> </w:t>
      </w:r>
      <w:r w:rsidR="00C01824" w:rsidRPr="00C35A91">
        <w:rPr>
          <w:sz w:val="24"/>
          <w:szCs w:val="24"/>
        </w:rPr>
        <w:t>which places the patient at the centre of all learning and enables different professions to be actively and positively involved in an interactive process</w:t>
      </w:r>
      <w:r w:rsidR="00773A28" w:rsidRPr="00C35A91">
        <w:rPr>
          <w:sz w:val="24"/>
          <w:szCs w:val="24"/>
        </w:rPr>
        <w:t>,</w:t>
      </w:r>
      <w:r w:rsidR="002C0FEE">
        <w:rPr>
          <w:sz w:val="24"/>
          <w:szCs w:val="24"/>
        </w:rPr>
        <w:t xml:space="preserve"> </w:t>
      </w:r>
      <w:r w:rsidR="00471175" w:rsidRPr="00C35A91">
        <w:rPr>
          <w:sz w:val="24"/>
          <w:szCs w:val="24"/>
        </w:rPr>
        <w:t>with the focus on improving the experience of the patient</w:t>
      </w:r>
      <w:r w:rsidR="000D0E30" w:rsidRPr="00C35A91">
        <w:rPr>
          <w:sz w:val="24"/>
          <w:szCs w:val="24"/>
        </w:rPr>
        <w:t xml:space="preserve"> in a learning environment rather than a blame culture.</w:t>
      </w:r>
      <w:r w:rsidR="002C0FEE">
        <w:rPr>
          <w:sz w:val="24"/>
          <w:szCs w:val="24"/>
        </w:rPr>
        <w:t xml:space="preserve"> </w:t>
      </w:r>
      <w:r w:rsidR="00BD5725" w:rsidRPr="00C35A91">
        <w:rPr>
          <w:sz w:val="24"/>
          <w:szCs w:val="24"/>
        </w:rPr>
        <w:t xml:space="preserve">Future workshops should make steps towards the creation of effective patient involvement in established IPE. As yet, we </w:t>
      </w:r>
      <w:r w:rsidR="00382816" w:rsidRPr="00C35A91">
        <w:rPr>
          <w:sz w:val="24"/>
          <w:szCs w:val="24"/>
        </w:rPr>
        <w:t xml:space="preserve">have a long way to go for agreeing theoretically informed </w:t>
      </w:r>
      <w:r w:rsidR="00CA36F8" w:rsidRPr="00C35A91">
        <w:rPr>
          <w:sz w:val="24"/>
          <w:szCs w:val="24"/>
        </w:rPr>
        <w:t>approaches with</w:t>
      </w:r>
      <w:r w:rsidR="00BD5725" w:rsidRPr="00C35A91">
        <w:rPr>
          <w:sz w:val="24"/>
          <w:szCs w:val="24"/>
        </w:rPr>
        <w:t xml:space="preserve"> demonstrable </w:t>
      </w:r>
      <w:r w:rsidR="00382816" w:rsidRPr="00C35A91">
        <w:rPr>
          <w:sz w:val="24"/>
          <w:szCs w:val="24"/>
        </w:rPr>
        <w:t>benefits of involving patients for advancing learning (</w:t>
      </w:r>
      <w:r w:rsidR="006C0963" w:rsidRPr="00C35A91">
        <w:rPr>
          <w:sz w:val="24"/>
          <w:szCs w:val="24"/>
        </w:rPr>
        <w:t>Regan De Bere&amp; Nu</w:t>
      </w:r>
      <w:r w:rsidR="00773A28" w:rsidRPr="00C35A91">
        <w:rPr>
          <w:sz w:val="24"/>
          <w:szCs w:val="24"/>
        </w:rPr>
        <w:t>nn</w:t>
      </w:r>
      <w:r w:rsidR="006C0963" w:rsidRPr="00C35A91">
        <w:rPr>
          <w:sz w:val="24"/>
          <w:szCs w:val="24"/>
        </w:rPr>
        <w:t>, 2016</w:t>
      </w:r>
      <w:r w:rsidR="00382816" w:rsidRPr="00C35A91">
        <w:rPr>
          <w:sz w:val="24"/>
          <w:szCs w:val="24"/>
        </w:rPr>
        <w:t>).</w:t>
      </w:r>
    </w:p>
    <w:p w:rsidR="00C35A91" w:rsidRPr="00C35A91" w:rsidRDefault="00C35A91" w:rsidP="00C35A91">
      <w:pPr>
        <w:spacing w:after="0" w:line="360" w:lineRule="auto"/>
        <w:rPr>
          <w:b/>
          <w:sz w:val="24"/>
          <w:szCs w:val="24"/>
        </w:rPr>
      </w:pPr>
    </w:p>
    <w:p w:rsidR="00C35A91" w:rsidRPr="00C35A91" w:rsidRDefault="00C35A91" w:rsidP="00C35A91">
      <w:pPr>
        <w:spacing w:after="0" w:line="360" w:lineRule="auto"/>
        <w:rPr>
          <w:b/>
          <w:sz w:val="24"/>
          <w:szCs w:val="24"/>
        </w:rPr>
      </w:pPr>
      <w:r w:rsidRPr="00C35A91">
        <w:rPr>
          <w:b/>
          <w:sz w:val="24"/>
          <w:szCs w:val="24"/>
        </w:rPr>
        <w:t>Declaration of interest</w:t>
      </w:r>
    </w:p>
    <w:p w:rsidR="00C35A91" w:rsidRPr="00C35A91" w:rsidRDefault="00C35A91" w:rsidP="00C35A91">
      <w:pPr>
        <w:spacing w:after="0" w:line="360" w:lineRule="auto"/>
        <w:rPr>
          <w:sz w:val="24"/>
          <w:szCs w:val="24"/>
        </w:rPr>
      </w:pPr>
      <w:r w:rsidRPr="00C35A91">
        <w:rPr>
          <w:sz w:val="24"/>
          <w:szCs w:val="24"/>
        </w:rPr>
        <w:t>The authors report no conflicts of interest. The authors alone are responsible for the writing and content of this paper.</w:t>
      </w:r>
    </w:p>
    <w:p w:rsidR="00C35A91" w:rsidRPr="00C35A91" w:rsidRDefault="00C35A91" w:rsidP="00C35A91">
      <w:pPr>
        <w:spacing w:after="0" w:line="360" w:lineRule="auto"/>
        <w:rPr>
          <w:sz w:val="24"/>
          <w:szCs w:val="24"/>
        </w:rPr>
      </w:pPr>
    </w:p>
    <w:p w:rsidR="005D776F" w:rsidRPr="00C35A91" w:rsidRDefault="005D776F" w:rsidP="00C35A91">
      <w:pPr>
        <w:spacing w:after="240" w:line="240" w:lineRule="auto"/>
        <w:rPr>
          <w:b/>
          <w:sz w:val="24"/>
          <w:szCs w:val="24"/>
        </w:rPr>
      </w:pPr>
      <w:r w:rsidRPr="00C35A91">
        <w:rPr>
          <w:b/>
          <w:sz w:val="24"/>
          <w:szCs w:val="24"/>
        </w:rPr>
        <w:t>References</w:t>
      </w:r>
    </w:p>
    <w:p w:rsidR="0005179E" w:rsidRPr="00C35A91" w:rsidRDefault="00C35A91" w:rsidP="00C35A91">
      <w:pPr>
        <w:spacing w:after="240" w:line="240" w:lineRule="auto"/>
        <w:rPr>
          <w:rFonts w:eastAsia="Calibri" w:cs="Arial"/>
          <w:sz w:val="24"/>
          <w:szCs w:val="24"/>
          <w:lang w:val="en-US"/>
        </w:rPr>
      </w:pPr>
      <w:r>
        <w:rPr>
          <w:rFonts w:eastAsia="Calibri" w:cs="Arial"/>
          <w:sz w:val="24"/>
          <w:szCs w:val="24"/>
          <w:lang w:val="en-US"/>
        </w:rPr>
        <w:t>Anderson, E</w:t>
      </w:r>
      <w:r w:rsidR="0005179E" w:rsidRPr="00C35A91">
        <w:rPr>
          <w:rFonts w:eastAsia="Calibri" w:cs="Arial"/>
          <w:sz w:val="24"/>
          <w:szCs w:val="24"/>
          <w:lang w:val="en-US"/>
        </w:rPr>
        <w:t>. &amp; Lennox, A. (2013).</w:t>
      </w:r>
      <w:r w:rsidR="0005179E" w:rsidRPr="00C35A91">
        <w:rPr>
          <w:rFonts w:eastAsia="Calibri" w:cs="Arial"/>
          <w:i/>
          <w:sz w:val="24"/>
          <w:szCs w:val="24"/>
          <w:lang w:val="en-US"/>
        </w:rPr>
        <w:t>Medicine and teamworking</w:t>
      </w:r>
      <w:r>
        <w:rPr>
          <w:rFonts w:eastAsia="Calibri" w:cs="Arial"/>
          <w:sz w:val="24"/>
          <w:szCs w:val="24"/>
          <w:lang w:val="en-US"/>
        </w:rPr>
        <w:t>.</w:t>
      </w:r>
      <w:r w:rsidR="0005179E" w:rsidRPr="00C35A91">
        <w:rPr>
          <w:rFonts w:eastAsia="Calibri" w:cs="Arial"/>
          <w:sz w:val="24"/>
          <w:szCs w:val="24"/>
          <w:lang w:val="en-US"/>
        </w:rPr>
        <w:t>In; EdsLittlechild, B &amp; Smith, R.</w:t>
      </w:r>
      <w:r w:rsidR="0005179E" w:rsidRPr="00C35A91">
        <w:rPr>
          <w:rFonts w:eastAsia="Calibri" w:cs="Arial"/>
          <w:i/>
          <w:sz w:val="24"/>
          <w:szCs w:val="24"/>
          <w:lang w:val="en-US"/>
        </w:rPr>
        <w:t>A handbook for interprofessional Practice in the Human Services</w:t>
      </w:r>
      <w:r w:rsidR="0005179E" w:rsidRPr="00C35A91">
        <w:rPr>
          <w:rFonts w:eastAsia="Calibri" w:cs="Arial"/>
          <w:sz w:val="24"/>
          <w:szCs w:val="24"/>
          <w:lang w:val="en-US"/>
        </w:rPr>
        <w:t>.</w:t>
      </w:r>
      <w:r w:rsidR="00B540F4" w:rsidRPr="00C35A91">
        <w:rPr>
          <w:rFonts w:eastAsia="Calibri" w:cs="Arial"/>
          <w:sz w:val="24"/>
          <w:szCs w:val="24"/>
          <w:lang w:val="en-US"/>
        </w:rPr>
        <w:t>Pearson: Essex.</w:t>
      </w:r>
    </w:p>
    <w:p w:rsidR="000A016D" w:rsidRPr="00C35A91" w:rsidRDefault="00C35A91" w:rsidP="00C35A91">
      <w:pPr>
        <w:spacing w:after="240" w:line="240" w:lineRule="auto"/>
        <w:rPr>
          <w:rFonts w:eastAsia="Calibri" w:cs="Arial"/>
          <w:sz w:val="24"/>
          <w:szCs w:val="24"/>
          <w:lang w:val="en-US"/>
        </w:rPr>
      </w:pPr>
      <w:r>
        <w:rPr>
          <w:rFonts w:eastAsia="Calibri" w:cs="Arial"/>
          <w:sz w:val="24"/>
          <w:szCs w:val="24"/>
          <w:lang w:val="en-US"/>
        </w:rPr>
        <w:t>Aspden P, Corrigan J, Wolcott J</w:t>
      </w:r>
      <w:r w:rsidR="000A016D" w:rsidRPr="00C35A91">
        <w:rPr>
          <w:rFonts w:eastAsia="Calibri" w:cs="Arial"/>
          <w:sz w:val="24"/>
          <w:szCs w:val="24"/>
          <w:lang w:val="en-US"/>
        </w:rPr>
        <w:t xml:space="preserve"> (eds). (2004). Patient safety: achieving a new standard for care. Washington, DC: National Academies Press.</w:t>
      </w:r>
    </w:p>
    <w:p w:rsidR="00D40402" w:rsidRPr="00C35A91" w:rsidRDefault="009C0C97" w:rsidP="00C35A91">
      <w:pPr>
        <w:spacing w:after="240" w:line="240" w:lineRule="auto"/>
        <w:rPr>
          <w:sz w:val="24"/>
          <w:szCs w:val="24"/>
        </w:rPr>
      </w:pPr>
      <w:r w:rsidRPr="00C35A91">
        <w:rPr>
          <w:sz w:val="24"/>
          <w:szCs w:val="24"/>
        </w:rPr>
        <w:t>Baker</w:t>
      </w:r>
      <w:r w:rsidR="004778F8" w:rsidRPr="00C35A91">
        <w:rPr>
          <w:sz w:val="24"/>
          <w:szCs w:val="24"/>
        </w:rPr>
        <w:t xml:space="preserve">, L., Egan-Lee, E., Martimianakis, MA.&amp; Reeves, S. </w:t>
      </w:r>
      <w:r w:rsidR="003B7BAA" w:rsidRPr="00C35A91">
        <w:rPr>
          <w:sz w:val="24"/>
          <w:szCs w:val="24"/>
        </w:rPr>
        <w:t>(</w:t>
      </w:r>
      <w:r w:rsidR="004778F8" w:rsidRPr="00C35A91">
        <w:rPr>
          <w:sz w:val="24"/>
          <w:szCs w:val="24"/>
        </w:rPr>
        <w:t xml:space="preserve">2011). Relationships of power: implication or interprofessional education. </w:t>
      </w:r>
      <w:r w:rsidR="004778F8" w:rsidRPr="00C35A91">
        <w:rPr>
          <w:i/>
          <w:sz w:val="24"/>
          <w:szCs w:val="24"/>
        </w:rPr>
        <w:t xml:space="preserve">Journal of Interprofessional Care, </w:t>
      </w:r>
      <w:r w:rsidR="004778F8" w:rsidRPr="00C35A91">
        <w:rPr>
          <w:sz w:val="24"/>
          <w:szCs w:val="24"/>
        </w:rPr>
        <w:t>25, 98-104</w:t>
      </w:r>
    </w:p>
    <w:p w:rsidR="009C0C97" w:rsidRPr="00C35A91" w:rsidRDefault="00D40402" w:rsidP="00C35A91">
      <w:pPr>
        <w:spacing w:after="240" w:line="240" w:lineRule="auto"/>
        <w:rPr>
          <w:sz w:val="24"/>
          <w:szCs w:val="24"/>
        </w:rPr>
      </w:pPr>
      <w:r w:rsidRPr="00C35A91">
        <w:rPr>
          <w:sz w:val="24"/>
          <w:szCs w:val="24"/>
        </w:rPr>
        <w:t>Baker,</w:t>
      </w:r>
      <w:r w:rsidR="00C35A91">
        <w:rPr>
          <w:sz w:val="24"/>
          <w:szCs w:val="24"/>
        </w:rPr>
        <w:t xml:space="preserve"> R</w:t>
      </w:r>
      <w:r w:rsidRPr="00C35A91">
        <w:rPr>
          <w:sz w:val="24"/>
          <w:szCs w:val="24"/>
        </w:rPr>
        <w:t xml:space="preserve">. and McCullough </w:t>
      </w:r>
      <w:r w:rsidR="00C35A91">
        <w:rPr>
          <w:sz w:val="24"/>
          <w:szCs w:val="24"/>
        </w:rPr>
        <w:t>L</w:t>
      </w:r>
      <w:r w:rsidRPr="00C35A91">
        <w:rPr>
          <w:sz w:val="24"/>
          <w:szCs w:val="24"/>
        </w:rPr>
        <w:t>. (2008).The Cambridge World History of Medical Ethics. Cambridge: Cambridge University Press.</w:t>
      </w:r>
    </w:p>
    <w:p w:rsidR="0027236E" w:rsidRPr="00C35A91" w:rsidRDefault="0027236E" w:rsidP="00C35A91">
      <w:pPr>
        <w:spacing w:after="240" w:line="240" w:lineRule="auto"/>
        <w:rPr>
          <w:sz w:val="24"/>
          <w:szCs w:val="24"/>
        </w:rPr>
      </w:pPr>
      <w:r w:rsidRPr="00C35A91">
        <w:rPr>
          <w:sz w:val="24"/>
          <w:szCs w:val="24"/>
        </w:rPr>
        <w:t>Barr, H. (2000). New NHS, new collaboration, new agenda for education.</w:t>
      </w:r>
      <w:r w:rsidRPr="00C35A91">
        <w:rPr>
          <w:i/>
          <w:sz w:val="24"/>
          <w:szCs w:val="24"/>
        </w:rPr>
        <w:t xml:space="preserve">Journal of Interprofessional Care, </w:t>
      </w:r>
      <w:r w:rsidRPr="00C35A91">
        <w:rPr>
          <w:sz w:val="24"/>
          <w:szCs w:val="24"/>
        </w:rPr>
        <w:t>14 (1), 81-86.</w:t>
      </w:r>
    </w:p>
    <w:p w:rsidR="00A171A2" w:rsidRPr="00C35A91" w:rsidRDefault="00A171A2" w:rsidP="00C35A91">
      <w:pPr>
        <w:spacing w:after="240" w:line="240" w:lineRule="auto"/>
        <w:rPr>
          <w:sz w:val="24"/>
          <w:szCs w:val="24"/>
        </w:rPr>
      </w:pPr>
      <w:r w:rsidRPr="00C35A91">
        <w:rPr>
          <w:sz w:val="24"/>
          <w:szCs w:val="24"/>
        </w:rPr>
        <w:t>Barr</w:t>
      </w:r>
      <w:r w:rsidR="0027236E" w:rsidRPr="00C35A91">
        <w:rPr>
          <w:sz w:val="24"/>
          <w:szCs w:val="24"/>
        </w:rPr>
        <w:t>,</w:t>
      </w:r>
      <w:r w:rsidRPr="00C35A91">
        <w:rPr>
          <w:sz w:val="24"/>
          <w:szCs w:val="24"/>
        </w:rPr>
        <w:t xml:space="preserve"> H</w:t>
      </w:r>
      <w:r w:rsidR="0027236E" w:rsidRPr="00C35A91">
        <w:rPr>
          <w:sz w:val="24"/>
          <w:szCs w:val="24"/>
        </w:rPr>
        <w:t>. &amp;</w:t>
      </w:r>
      <w:r w:rsidRPr="00C35A91">
        <w:rPr>
          <w:sz w:val="24"/>
          <w:szCs w:val="24"/>
        </w:rPr>
        <w:t>Gray</w:t>
      </w:r>
      <w:r w:rsidR="0027236E" w:rsidRPr="00C35A91">
        <w:rPr>
          <w:sz w:val="24"/>
          <w:szCs w:val="24"/>
        </w:rPr>
        <w:t>,</w:t>
      </w:r>
      <w:r w:rsidRPr="00C35A91">
        <w:rPr>
          <w:sz w:val="24"/>
          <w:szCs w:val="24"/>
        </w:rPr>
        <w:t xml:space="preserve"> R</w:t>
      </w:r>
      <w:r w:rsidR="0027236E" w:rsidRPr="00C35A91">
        <w:rPr>
          <w:sz w:val="24"/>
          <w:szCs w:val="24"/>
        </w:rPr>
        <w:t>.</w:t>
      </w:r>
      <w:r w:rsidR="00621C94">
        <w:rPr>
          <w:sz w:val="24"/>
          <w:szCs w:val="24"/>
        </w:rPr>
        <w:t xml:space="preserve"> (2013) </w:t>
      </w:r>
      <w:r w:rsidRPr="00C35A91">
        <w:rPr>
          <w:sz w:val="24"/>
          <w:szCs w:val="24"/>
        </w:rPr>
        <w:t xml:space="preserve">Interprofessional Education: learning together in health and </w:t>
      </w:r>
      <w:r w:rsidR="00621C94">
        <w:rPr>
          <w:sz w:val="24"/>
          <w:szCs w:val="24"/>
        </w:rPr>
        <w:t xml:space="preserve">social care. In Walsh K (ed.) </w:t>
      </w:r>
      <w:r w:rsidRPr="00621C94">
        <w:rPr>
          <w:i/>
          <w:sz w:val="24"/>
          <w:szCs w:val="24"/>
        </w:rPr>
        <w:t>Oxford Textbook of Medical Education</w:t>
      </w:r>
      <w:r w:rsidR="00621C94">
        <w:rPr>
          <w:sz w:val="24"/>
          <w:szCs w:val="24"/>
        </w:rPr>
        <w:t xml:space="preserve">.Oxford, </w:t>
      </w:r>
      <w:r w:rsidRPr="00C35A91">
        <w:rPr>
          <w:sz w:val="24"/>
          <w:szCs w:val="24"/>
        </w:rPr>
        <w:t>Oxford University Press.</w:t>
      </w:r>
    </w:p>
    <w:p w:rsidR="00871A39" w:rsidRPr="00C35A91" w:rsidRDefault="00871A39" w:rsidP="00C35A91">
      <w:pPr>
        <w:spacing w:after="240" w:line="240" w:lineRule="auto"/>
        <w:rPr>
          <w:sz w:val="24"/>
          <w:szCs w:val="24"/>
        </w:rPr>
      </w:pPr>
      <w:r w:rsidRPr="00C35A91">
        <w:rPr>
          <w:sz w:val="24"/>
          <w:szCs w:val="24"/>
        </w:rPr>
        <w:t>Barr, H., Gray, R., He</w:t>
      </w:r>
      <w:r w:rsidR="00773A28" w:rsidRPr="00C35A91">
        <w:rPr>
          <w:sz w:val="24"/>
          <w:szCs w:val="24"/>
        </w:rPr>
        <w:t>lme, M., Low, H. &amp; Reeves, S. (</w:t>
      </w:r>
      <w:r w:rsidRPr="00C35A91">
        <w:rPr>
          <w:sz w:val="24"/>
          <w:szCs w:val="24"/>
        </w:rPr>
        <w:t xml:space="preserve">2016). </w:t>
      </w:r>
      <w:r w:rsidRPr="00C35A91">
        <w:rPr>
          <w:i/>
          <w:sz w:val="24"/>
          <w:szCs w:val="24"/>
        </w:rPr>
        <w:t>Interprofessional Education Guidelines</w:t>
      </w:r>
      <w:r w:rsidR="00C35A91">
        <w:rPr>
          <w:sz w:val="24"/>
          <w:szCs w:val="24"/>
        </w:rPr>
        <w:t>. CAIPE, Fareham.</w:t>
      </w:r>
    </w:p>
    <w:p w:rsidR="009A585A" w:rsidRPr="00C35A91" w:rsidRDefault="009A585A" w:rsidP="00C35A91">
      <w:pPr>
        <w:pStyle w:val="p0"/>
        <w:spacing w:after="240" w:line="240" w:lineRule="auto"/>
        <w:ind w:right="95"/>
        <w:rPr>
          <w:rFonts w:asciiTheme="minorHAnsi" w:hAnsiTheme="minorHAnsi"/>
          <w:sz w:val="24"/>
          <w:szCs w:val="24"/>
        </w:rPr>
      </w:pPr>
      <w:r w:rsidRPr="00C35A91">
        <w:rPr>
          <w:rFonts w:asciiTheme="minorHAnsi" w:hAnsiTheme="minorHAnsi" w:cs="Times New Roman"/>
          <w:color w:val="000000"/>
          <w:sz w:val="24"/>
          <w:szCs w:val="24"/>
        </w:rPr>
        <w:t xml:space="preserve">Bennett, S.A. (2015) </w:t>
      </w:r>
      <w:r w:rsidRPr="00C35A91">
        <w:rPr>
          <w:rFonts w:asciiTheme="minorHAnsi" w:hAnsiTheme="minorHAnsi" w:cs="Times New Roman"/>
          <w:i/>
          <w:color w:val="000000"/>
          <w:sz w:val="24"/>
          <w:szCs w:val="24"/>
        </w:rPr>
        <w:t>Aviation Safety and Security: The Importance of Teamwork, Leadership, Creative Thinking and Active Learning</w:t>
      </w:r>
      <w:r w:rsidRPr="00C35A91">
        <w:rPr>
          <w:rFonts w:asciiTheme="minorHAnsi" w:hAnsiTheme="minorHAnsi" w:cs="Times New Roman"/>
          <w:color w:val="000000"/>
          <w:sz w:val="24"/>
          <w:szCs w:val="24"/>
        </w:rPr>
        <w:t xml:space="preserve">. </w:t>
      </w:r>
      <w:r w:rsidRPr="00C35A91">
        <w:rPr>
          <w:rFonts w:asciiTheme="minorHAnsi" w:hAnsiTheme="minorHAnsi" w:cs="Times New Roman"/>
          <w:bCs/>
          <w:color w:val="000000"/>
          <w:sz w:val="24"/>
          <w:szCs w:val="24"/>
        </w:rPr>
        <w:t>Faringdon: Libri Publishing Ltd</w:t>
      </w:r>
    </w:p>
    <w:p w:rsidR="00F207EA" w:rsidRPr="00C35A91" w:rsidRDefault="00F207EA" w:rsidP="00C35A91">
      <w:pPr>
        <w:pStyle w:val="p0"/>
        <w:spacing w:after="240" w:line="240" w:lineRule="auto"/>
        <w:ind w:right="95"/>
        <w:rPr>
          <w:sz w:val="24"/>
          <w:szCs w:val="24"/>
        </w:rPr>
      </w:pPr>
      <w:r w:rsidRPr="00C35A91">
        <w:rPr>
          <w:sz w:val="24"/>
          <w:szCs w:val="24"/>
        </w:rPr>
        <w:t xml:space="preserve">Berwick, D. (2013).  </w:t>
      </w:r>
      <w:r w:rsidRPr="00C35A91">
        <w:rPr>
          <w:i/>
          <w:sz w:val="24"/>
          <w:szCs w:val="24"/>
        </w:rPr>
        <w:t>A promise to learn – a commitment to act:  Improving the safety of patients in England</w:t>
      </w:r>
      <w:r w:rsidRPr="00C35A91">
        <w:rPr>
          <w:sz w:val="24"/>
          <w:szCs w:val="24"/>
        </w:rPr>
        <w:t>. National Advisory Group on the Safety of Patients in England.  London: The Stationery Office.</w:t>
      </w:r>
    </w:p>
    <w:p w:rsidR="00B81D89" w:rsidRPr="00C35A91" w:rsidRDefault="00B81D89" w:rsidP="00C35A91">
      <w:pPr>
        <w:pStyle w:val="p0"/>
        <w:spacing w:after="240" w:line="240" w:lineRule="auto"/>
        <w:ind w:right="95"/>
        <w:rPr>
          <w:sz w:val="24"/>
          <w:szCs w:val="24"/>
        </w:rPr>
      </w:pPr>
      <w:r w:rsidRPr="00C35A91">
        <w:rPr>
          <w:sz w:val="24"/>
          <w:szCs w:val="24"/>
        </w:rPr>
        <w:t>Bleakley, A. (2006). Broadening conceptions of learning in medical education: the message from teamworking.</w:t>
      </w:r>
      <w:r w:rsidRPr="00C35A91">
        <w:rPr>
          <w:i/>
          <w:sz w:val="24"/>
          <w:szCs w:val="24"/>
        </w:rPr>
        <w:t xml:space="preserve">Medical Education, </w:t>
      </w:r>
      <w:r w:rsidRPr="00C35A91">
        <w:rPr>
          <w:sz w:val="24"/>
          <w:szCs w:val="24"/>
        </w:rPr>
        <w:t>40, 150157</w:t>
      </w:r>
    </w:p>
    <w:p w:rsidR="003C5850" w:rsidRPr="00C35A91" w:rsidRDefault="003C5850" w:rsidP="00C35A91">
      <w:pPr>
        <w:pStyle w:val="p0"/>
        <w:spacing w:after="240" w:line="240" w:lineRule="auto"/>
        <w:ind w:right="95"/>
        <w:rPr>
          <w:sz w:val="24"/>
          <w:szCs w:val="24"/>
        </w:rPr>
      </w:pPr>
      <w:r w:rsidRPr="00C35A91">
        <w:rPr>
          <w:sz w:val="24"/>
          <w:szCs w:val="24"/>
        </w:rPr>
        <w:t>Brazier, M. and Miola, J.</w:t>
      </w:r>
      <w:r w:rsidR="003B7BAA" w:rsidRPr="00C35A91">
        <w:rPr>
          <w:sz w:val="24"/>
          <w:szCs w:val="24"/>
        </w:rPr>
        <w:t xml:space="preserve"> (2000).</w:t>
      </w:r>
      <w:r w:rsidRPr="00C35A91">
        <w:rPr>
          <w:sz w:val="24"/>
          <w:szCs w:val="24"/>
        </w:rPr>
        <w:t xml:space="preserve">By-Bye Bolam: A </w:t>
      </w:r>
      <w:r w:rsidR="00621C94">
        <w:rPr>
          <w:sz w:val="24"/>
          <w:szCs w:val="24"/>
        </w:rPr>
        <w:t>Medical Litigation Revolution?</w:t>
      </w:r>
      <w:r w:rsidRPr="00621C94">
        <w:rPr>
          <w:i/>
          <w:sz w:val="24"/>
          <w:szCs w:val="24"/>
        </w:rPr>
        <w:t>Medical Law Review</w:t>
      </w:r>
      <w:r w:rsidRPr="00C35A91">
        <w:rPr>
          <w:sz w:val="24"/>
          <w:szCs w:val="24"/>
        </w:rPr>
        <w:t>, 8: 85-114.</w:t>
      </w:r>
    </w:p>
    <w:p w:rsidR="00922F3B" w:rsidRPr="00C35A91" w:rsidRDefault="00C35A91" w:rsidP="00C35A91">
      <w:pPr>
        <w:spacing w:after="240" w:line="240" w:lineRule="auto"/>
        <w:rPr>
          <w:rFonts w:eastAsia="Calibri" w:cs="Arial"/>
          <w:sz w:val="24"/>
          <w:szCs w:val="24"/>
          <w:lang w:val="en-US"/>
        </w:rPr>
      </w:pPr>
      <w:r>
        <w:rPr>
          <w:rFonts w:eastAsia="Calibri" w:cs="Arial"/>
          <w:sz w:val="24"/>
          <w:szCs w:val="24"/>
          <w:lang w:val="en-US"/>
        </w:rPr>
        <w:t>Brennan,T</w:t>
      </w:r>
      <w:r w:rsidR="00922F3B" w:rsidRPr="00C35A91">
        <w:rPr>
          <w:rFonts w:eastAsia="Calibri" w:cs="Arial"/>
          <w:sz w:val="24"/>
          <w:szCs w:val="24"/>
          <w:lang w:val="en-US"/>
        </w:rPr>
        <w:t>.,  Leape, L., Laird,N.,  Herbert, L., Localio, A &amp;Lawthers, A. (1991). Incidence of adverse events and negligence in hospitalized patients.</w:t>
      </w:r>
      <w:r w:rsidR="00922F3B" w:rsidRPr="00C35A91">
        <w:rPr>
          <w:rFonts w:eastAsia="Calibri" w:cs="Arial"/>
          <w:i/>
          <w:sz w:val="24"/>
          <w:szCs w:val="24"/>
          <w:lang w:val="en-US"/>
        </w:rPr>
        <w:t>New England Journal of Medicine,</w:t>
      </w:r>
      <w:r w:rsidR="00922F3B" w:rsidRPr="00C35A91">
        <w:rPr>
          <w:rFonts w:eastAsia="Calibri" w:cs="Arial"/>
          <w:sz w:val="24"/>
          <w:szCs w:val="24"/>
          <w:lang w:val="en-US"/>
        </w:rPr>
        <w:t xml:space="preserve"> 234, 370-6.</w:t>
      </w:r>
    </w:p>
    <w:p w:rsidR="00B32531" w:rsidRPr="00C35A91" w:rsidRDefault="00C35A91" w:rsidP="00C35A91">
      <w:pPr>
        <w:spacing w:after="240" w:line="240" w:lineRule="auto"/>
        <w:rPr>
          <w:rFonts w:eastAsia="Calibri" w:cs="Arial"/>
          <w:sz w:val="24"/>
          <w:szCs w:val="24"/>
          <w:lang w:val="en-US"/>
        </w:rPr>
      </w:pPr>
      <w:r>
        <w:rPr>
          <w:rFonts w:eastAsia="Calibri" w:cs="Arial"/>
          <w:sz w:val="24"/>
          <w:szCs w:val="24"/>
          <w:lang w:val="en-US"/>
        </w:rPr>
        <w:t>Bosk, C</w:t>
      </w:r>
      <w:r w:rsidR="00B32531" w:rsidRPr="00C35A91">
        <w:rPr>
          <w:rFonts w:eastAsia="Calibri" w:cs="Arial"/>
          <w:sz w:val="24"/>
          <w:szCs w:val="24"/>
          <w:lang w:val="en-US"/>
        </w:rPr>
        <w:t>.</w:t>
      </w:r>
      <w:r>
        <w:rPr>
          <w:rFonts w:eastAsia="Calibri" w:cs="Arial"/>
          <w:sz w:val="24"/>
          <w:szCs w:val="24"/>
          <w:lang w:val="en-US"/>
        </w:rPr>
        <w:t>, Dixon-Woods, M., Goeschel, C. &amp;Promovost, P.</w:t>
      </w:r>
      <w:r w:rsidR="00B32531" w:rsidRPr="00C35A91">
        <w:rPr>
          <w:rFonts w:eastAsia="Calibri" w:cs="Arial"/>
          <w:sz w:val="24"/>
          <w:szCs w:val="24"/>
          <w:lang w:val="en-US"/>
        </w:rPr>
        <w:t xml:space="preserve"> (2009).The art of medicine.Reality check for checklists.</w:t>
      </w:r>
      <w:r w:rsidR="00B32531" w:rsidRPr="00C35A91">
        <w:rPr>
          <w:rFonts w:eastAsia="Calibri" w:cs="Arial"/>
          <w:i/>
          <w:sz w:val="24"/>
          <w:szCs w:val="24"/>
          <w:lang w:val="en-US"/>
        </w:rPr>
        <w:t>The Lancet</w:t>
      </w:r>
      <w:r w:rsidR="00B32531" w:rsidRPr="00C35A91">
        <w:rPr>
          <w:rFonts w:eastAsia="Calibri" w:cs="Arial"/>
          <w:sz w:val="24"/>
          <w:szCs w:val="24"/>
          <w:lang w:val="en-US"/>
        </w:rPr>
        <w:t>, 374, 444-445.</w:t>
      </w:r>
    </w:p>
    <w:p w:rsidR="00FF6D58" w:rsidRPr="00C35A91" w:rsidRDefault="00C35A91" w:rsidP="00C35A91">
      <w:pPr>
        <w:spacing w:after="240" w:line="240" w:lineRule="auto"/>
        <w:rPr>
          <w:rFonts w:eastAsia="Calibri" w:cs="Arial"/>
          <w:sz w:val="24"/>
          <w:szCs w:val="24"/>
          <w:lang w:val="en-US"/>
        </w:rPr>
      </w:pPr>
      <w:r>
        <w:rPr>
          <w:rFonts w:eastAsia="Calibri" w:cs="Arial"/>
          <w:sz w:val="24"/>
          <w:szCs w:val="24"/>
          <w:lang w:val="en-US"/>
        </w:rPr>
        <w:t>Boyce, R</w:t>
      </w:r>
      <w:r w:rsidR="00FF6D58" w:rsidRPr="00C35A91">
        <w:rPr>
          <w:rFonts w:eastAsia="Calibri" w:cs="Arial"/>
          <w:sz w:val="24"/>
          <w:szCs w:val="24"/>
          <w:lang w:val="en-US"/>
        </w:rPr>
        <w:t xml:space="preserve">., Borthwick, A., Moran, M. &amp;Nancarrow, S. (2011). </w:t>
      </w:r>
      <w:r w:rsidR="00FF6D58" w:rsidRPr="00C35A91">
        <w:rPr>
          <w:rFonts w:eastAsia="Calibri" w:cs="Arial"/>
          <w:i/>
          <w:sz w:val="24"/>
          <w:szCs w:val="24"/>
          <w:lang w:val="en-US"/>
        </w:rPr>
        <w:t>Health workforce reform: Dynamic shifts in the division of labour and the implications for interprofessional education and practice.</w:t>
      </w:r>
      <w:r w:rsidR="00FF6D58" w:rsidRPr="00C35A91">
        <w:rPr>
          <w:rFonts w:eastAsia="Calibri" w:cs="Arial"/>
          <w:sz w:val="24"/>
          <w:szCs w:val="24"/>
          <w:lang w:val="en-US"/>
        </w:rPr>
        <w:t xml:space="preserve">Ch 13, pp 185-205.  In: Kitto, S., Chesters, J., Thistlethwaite, J. &amp; Reeves, S. (Eds). </w:t>
      </w:r>
      <w:r w:rsidR="00FF6D58" w:rsidRPr="00C35A91">
        <w:rPr>
          <w:rFonts w:eastAsia="Calibri" w:cs="Arial"/>
          <w:i/>
          <w:sz w:val="24"/>
          <w:szCs w:val="24"/>
          <w:lang w:val="en-US"/>
        </w:rPr>
        <w:t>Sociology of Interprofessional Health Care Practice: Critical reflections and Concrete Solutions</w:t>
      </w:r>
      <w:r w:rsidR="00FF6D58" w:rsidRPr="00C35A91">
        <w:rPr>
          <w:rFonts w:eastAsia="Calibri" w:cs="Arial"/>
          <w:sz w:val="24"/>
          <w:szCs w:val="24"/>
          <w:lang w:val="en-US"/>
        </w:rPr>
        <w:t>. New York: Nov</w:t>
      </w:r>
      <w:r w:rsidRPr="00C35A91">
        <w:rPr>
          <w:rFonts w:eastAsia="Calibri" w:cs="Arial"/>
          <w:sz w:val="24"/>
          <w:szCs w:val="24"/>
          <w:lang w:val="en-US"/>
        </w:rPr>
        <w:t>a Science Publishers, Inc</w:t>
      </w:r>
      <w:r w:rsidR="00FF6D58" w:rsidRPr="00C35A91">
        <w:rPr>
          <w:rFonts w:eastAsia="Calibri" w:cs="Arial"/>
          <w:sz w:val="24"/>
          <w:szCs w:val="24"/>
          <w:lang w:val="en-US"/>
        </w:rPr>
        <w:t>.</w:t>
      </w:r>
    </w:p>
    <w:p w:rsidR="00631B04" w:rsidRPr="00C35A91" w:rsidRDefault="003D4936" w:rsidP="00C35A91">
      <w:pPr>
        <w:spacing w:after="240" w:line="240" w:lineRule="auto"/>
        <w:rPr>
          <w:rFonts w:eastAsia="Calibri" w:cs="Arial"/>
          <w:sz w:val="24"/>
          <w:szCs w:val="24"/>
          <w:lang w:val="en-US"/>
        </w:rPr>
      </w:pPr>
      <w:r w:rsidRPr="00C35A91">
        <w:rPr>
          <w:rFonts w:eastAsia="Calibri" w:cs="Arial"/>
          <w:sz w:val="24"/>
          <w:szCs w:val="24"/>
          <w:lang w:val="en-US"/>
        </w:rPr>
        <w:t xml:space="preserve">Brock, D., Abu-Rish., Chiu, C., Hammer, D., Wilson, S., </w:t>
      </w:r>
      <w:r w:rsidR="00C35A91">
        <w:rPr>
          <w:rFonts w:eastAsia="Calibri" w:cs="Arial"/>
          <w:sz w:val="24"/>
          <w:szCs w:val="24"/>
          <w:lang w:val="en-US"/>
        </w:rPr>
        <w:t>Vorvick, L. ...</w:t>
      </w:r>
      <w:r w:rsidRPr="00C35A91">
        <w:rPr>
          <w:rFonts w:eastAsia="Calibri" w:cs="Arial"/>
          <w:sz w:val="24"/>
          <w:szCs w:val="24"/>
          <w:lang w:val="en-US"/>
        </w:rPr>
        <w:t xml:space="preserve">Zierler, B. (2013).Interprofessional education in team communication: working together to improve patient safety. </w:t>
      </w:r>
      <w:r w:rsidRPr="00C35A91">
        <w:rPr>
          <w:rFonts w:eastAsia="Calibri" w:cs="Arial"/>
          <w:i/>
          <w:sz w:val="24"/>
          <w:szCs w:val="24"/>
          <w:lang w:val="en-US"/>
        </w:rPr>
        <w:t>Quality and Safety in Health Care</w:t>
      </w:r>
      <w:r w:rsidRPr="00C35A91">
        <w:rPr>
          <w:rFonts w:eastAsia="Calibri" w:cs="Arial"/>
          <w:sz w:val="24"/>
          <w:szCs w:val="24"/>
          <w:lang w:val="en-US"/>
        </w:rPr>
        <w:t>, 0; 1-10. Doi:10.1136/bmjqs-2012-000952</w:t>
      </w:r>
    </w:p>
    <w:p w:rsidR="00631B04" w:rsidRPr="00C35A91" w:rsidRDefault="00631B04" w:rsidP="00C35A91">
      <w:pPr>
        <w:spacing w:after="240" w:line="240" w:lineRule="auto"/>
        <w:rPr>
          <w:rStyle w:val="Hyperlink"/>
          <w:rFonts w:eastAsia="Calibri" w:cs="Arial"/>
          <w:sz w:val="24"/>
          <w:szCs w:val="24"/>
          <w:lang w:val="en-US"/>
        </w:rPr>
      </w:pPr>
      <w:r w:rsidRPr="00C35A91">
        <w:rPr>
          <w:rFonts w:eastAsia="Calibri" w:cs="Arial"/>
          <w:sz w:val="24"/>
          <w:szCs w:val="24"/>
          <w:lang w:val="en-US"/>
        </w:rPr>
        <w:t xml:space="preserve">CAIPE (2006). CAIPE re-issues its statement on the definition and principles of interprofessional education. </w:t>
      </w:r>
      <w:r w:rsidRPr="00C35A91">
        <w:rPr>
          <w:rFonts w:eastAsia="Calibri" w:cs="Arial"/>
          <w:i/>
          <w:sz w:val="24"/>
          <w:szCs w:val="24"/>
          <w:lang w:val="en-US"/>
        </w:rPr>
        <w:t xml:space="preserve">CAIPE, Bulletin, </w:t>
      </w:r>
      <w:r w:rsidRPr="00C35A91">
        <w:rPr>
          <w:rFonts w:eastAsia="Calibri" w:cs="Arial"/>
          <w:sz w:val="24"/>
          <w:szCs w:val="24"/>
          <w:lang w:val="en-US"/>
        </w:rPr>
        <w:t xml:space="preserve">26, 2. </w:t>
      </w:r>
    </w:p>
    <w:p w:rsidR="004C77AD" w:rsidRPr="00C35A91" w:rsidRDefault="00A93ED1" w:rsidP="00C35A91">
      <w:pPr>
        <w:autoSpaceDE w:val="0"/>
        <w:autoSpaceDN w:val="0"/>
        <w:adjustRightInd w:val="0"/>
        <w:spacing w:after="240" w:line="240" w:lineRule="auto"/>
        <w:rPr>
          <w:rFonts w:cs="Times New Roman"/>
          <w:bCs/>
          <w:color w:val="000000" w:themeColor="text1"/>
          <w:sz w:val="24"/>
          <w:szCs w:val="24"/>
        </w:rPr>
      </w:pPr>
      <w:r w:rsidRPr="00C35A91">
        <w:rPr>
          <w:rFonts w:eastAsia="Calibri" w:cs="Arial"/>
          <w:sz w:val="24"/>
          <w:szCs w:val="24"/>
          <w:lang w:val="en-US"/>
        </w:rPr>
        <w:t>Charles, C., Cafni, A.&amp; Whelan, T.(1997</w:t>
      </w:r>
      <w:r w:rsidR="004C77AD" w:rsidRPr="00C35A91">
        <w:rPr>
          <w:rFonts w:eastAsia="Calibri" w:cs="Arial"/>
          <w:color w:val="000000" w:themeColor="text1"/>
          <w:sz w:val="24"/>
          <w:szCs w:val="24"/>
          <w:lang w:val="en-US"/>
        </w:rPr>
        <w:t>).</w:t>
      </w:r>
      <w:r w:rsidR="004C77AD" w:rsidRPr="00C35A91">
        <w:rPr>
          <w:rFonts w:cs="Times New Roman"/>
          <w:bCs/>
          <w:color w:val="000000" w:themeColor="text1"/>
          <w:sz w:val="24"/>
          <w:szCs w:val="24"/>
        </w:rPr>
        <w:t xml:space="preserve">  Shared decision-making in the medical</w:t>
      </w:r>
      <w:r w:rsidR="004C77AD" w:rsidRPr="00C35A91">
        <w:rPr>
          <w:rFonts w:cs="Times New Roman"/>
          <w:color w:val="000000" w:themeColor="text1"/>
          <w:sz w:val="24"/>
          <w:szCs w:val="24"/>
        </w:rPr>
        <w:t>encounter: what does it mean? (or it takes atleast two to tango</w:t>
      </w:r>
      <w:r w:rsidR="004C77AD" w:rsidRPr="00C35A91">
        <w:rPr>
          <w:rFonts w:cs="Times New Roman"/>
          <w:sz w:val="24"/>
          <w:szCs w:val="24"/>
        </w:rPr>
        <w:t xml:space="preserve">). </w:t>
      </w:r>
      <w:r w:rsidR="004C77AD" w:rsidRPr="00C35A91">
        <w:rPr>
          <w:rFonts w:cs="Times New Roman"/>
          <w:i/>
          <w:iCs/>
          <w:sz w:val="24"/>
          <w:szCs w:val="24"/>
        </w:rPr>
        <w:t>Soc</w:t>
      </w:r>
      <w:r w:rsidRPr="00C35A91">
        <w:rPr>
          <w:rFonts w:cs="Times New Roman"/>
          <w:i/>
          <w:iCs/>
          <w:sz w:val="24"/>
          <w:szCs w:val="24"/>
        </w:rPr>
        <w:t>ial</w:t>
      </w:r>
      <w:r w:rsidR="004C77AD" w:rsidRPr="00C35A91">
        <w:rPr>
          <w:rFonts w:cs="Times New Roman"/>
          <w:i/>
          <w:iCs/>
          <w:sz w:val="24"/>
          <w:szCs w:val="24"/>
        </w:rPr>
        <w:t xml:space="preserve"> Sci</w:t>
      </w:r>
      <w:r w:rsidRPr="00C35A91">
        <w:rPr>
          <w:rFonts w:cs="Times New Roman"/>
          <w:i/>
          <w:iCs/>
          <w:sz w:val="24"/>
          <w:szCs w:val="24"/>
        </w:rPr>
        <w:t>ence and</w:t>
      </w:r>
      <w:r w:rsidR="004C77AD" w:rsidRPr="00C35A91">
        <w:rPr>
          <w:rFonts w:cs="Times New Roman"/>
          <w:i/>
          <w:iCs/>
          <w:sz w:val="24"/>
          <w:szCs w:val="24"/>
        </w:rPr>
        <w:t xml:space="preserve"> Med</w:t>
      </w:r>
      <w:r w:rsidRPr="00C35A91">
        <w:rPr>
          <w:rFonts w:cs="Times New Roman"/>
          <w:i/>
          <w:iCs/>
          <w:sz w:val="24"/>
          <w:szCs w:val="24"/>
        </w:rPr>
        <w:t>icine</w:t>
      </w:r>
      <w:r w:rsidR="004C77AD" w:rsidRPr="00C35A91">
        <w:rPr>
          <w:rFonts w:cs="Times New Roman"/>
          <w:i/>
          <w:iCs/>
          <w:sz w:val="24"/>
          <w:szCs w:val="24"/>
        </w:rPr>
        <w:t>.</w:t>
      </w:r>
      <w:r w:rsidR="004C77AD" w:rsidRPr="00C35A91">
        <w:rPr>
          <w:rFonts w:cs="Times New Roman"/>
          <w:sz w:val="24"/>
          <w:szCs w:val="24"/>
        </w:rPr>
        <w:t>44(5</w:t>
      </w:r>
      <w:r w:rsidRPr="00C35A91">
        <w:rPr>
          <w:rFonts w:cs="Times New Roman"/>
          <w:sz w:val="24"/>
          <w:szCs w:val="24"/>
        </w:rPr>
        <w:t>),</w:t>
      </w:r>
      <w:r w:rsidR="004C77AD" w:rsidRPr="00C35A91">
        <w:rPr>
          <w:rFonts w:cs="Times New Roman"/>
          <w:sz w:val="24"/>
          <w:szCs w:val="24"/>
        </w:rPr>
        <w:t xml:space="preserve"> 681-692</w:t>
      </w:r>
      <w:r w:rsidRPr="00C35A91">
        <w:rPr>
          <w:rFonts w:cs="Times New Roman"/>
          <w:sz w:val="24"/>
          <w:szCs w:val="24"/>
        </w:rPr>
        <w:t>.</w:t>
      </w:r>
    </w:p>
    <w:p w:rsidR="000333A8" w:rsidRDefault="000A016D" w:rsidP="000333A8">
      <w:pPr>
        <w:spacing w:after="240" w:line="240" w:lineRule="auto"/>
        <w:rPr>
          <w:rFonts w:eastAsia="Calibri" w:cs="Arial"/>
          <w:sz w:val="24"/>
          <w:szCs w:val="24"/>
          <w:lang w:val="en-US"/>
        </w:rPr>
      </w:pPr>
      <w:r w:rsidRPr="00C35A91">
        <w:rPr>
          <w:rFonts w:eastAsia="Calibri" w:cs="Arial"/>
          <w:sz w:val="24"/>
          <w:szCs w:val="24"/>
          <w:lang w:val="en-US"/>
        </w:rPr>
        <w:t xml:space="preserve">Davies J, Hebert P, Hoffman C. (2003). </w:t>
      </w:r>
      <w:r w:rsidRPr="00C35A91">
        <w:rPr>
          <w:rFonts w:eastAsia="Calibri" w:cs="Arial"/>
          <w:i/>
          <w:sz w:val="24"/>
          <w:szCs w:val="24"/>
          <w:lang w:val="en-US"/>
        </w:rPr>
        <w:t>Canadian Patient Safety Dictionary</w:t>
      </w:r>
      <w:r w:rsidRPr="00C35A91">
        <w:rPr>
          <w:rFonts w:eastAsia="Calibri" w:cs="Arial"/>
          <w:sz w:val="24"/>
          <w:szCs w:val="24"/>
          <w:lang w:val="en-US"/>
        </w:rPr>
        <w:t>. Ottawa, ON: Royal College of Physicians and Surgeons of Canada.</w:t>
      </w:r>
      <w:hyperlink r:id="rId9" w:history="1">
        <w:r w:rsidR="000333A8" w:rsidRPr="000333A8">
          <w:rPr>
            <w:rStyle w:val="Hyperlink"/>
            <w:rFonts w:eastAsia="Calibri" w:cs="Arial"/>
            <w:color w:val="auto"/>
            <w:sz w:val="24"/>
            <w:szCs w:val="24"/>
            <w:lang w:val="en-US"/>
          </w:rPr>
          <w:t>http://www.royalcollege.ca/portal/page/portal/rc/common/documents/publications/patient_safety_dictionary_e.pdf</w:t>
        </w:r>
      </w:hyperlink>
      <w:r w:rsidR="000333A8" w:rsidRPr="000333A8">
        <w:rPr>
          <w:rFonts w:eastAsia="Calibri" w:cs="Arial"/>
          <w:sz w:val="24"/>
          <w:szCs w:val="24"/>
          <w:lang w:val="en-US"/>
        </w:rPr>
        <w:t xml:space="preserve"> accessed 7th October 2016</w:t>
      </w:r>
    </w:p>
    <w:p w:rsidR="000A016D" w:rsidRPr="00C35A91" w:rsidRDefault="000A016D" w:rsidP="00C35A91">
      <w:pPr>
        <w:spacing w:after="240" w:line="240" w:lineRule="auto"/>
        <w:rPr>
          <w:rFonts w:cs="Arial"/>
          <w:sz w:val="24"/>
          <w:szCs w:val="24"/>
          <w:lang w:val="en-US"/>
        </w:rPr>
      </w:pPr>
    </w:p>
    <w:p w:rsidR="00963B61" w:rsidRPr="00F44F82" w:rsidRDefault="00963B61" w:rsidP="00C35A91">
      <w:pPr>
        <w:spacing w:after="240" w:line="240" w:lineRule="auto"/>
        <w:rPr>
          <w:rStyle w:val="highwire-cite-doi"/>
          <w:sz w:val="24"/>
          <w:szCs w:val="24"/>
        </w:rPr>
      </w:pPr>
      <w:r w:rsidRPr="00C35A91">
        <w:rPr>
          <w:rFonts w:cs="Arial"/>
          <w:sz w:val="24"/>
          <w:szCs w:val="24"/>
        </w:rPr>
        <w:t xml:space="preserve">Deer, B. (2011). How the case against the MMR vaccine was fixed. </w:t>
      </w:r>
      <w:r w:rsidRPr="00C35A91">
        <w:rPr>
          <w:rFonts w:cs="Arial"/>
          <w:i/>
          <w:sz w:val="24"/>
          <w:szCs w:val="24"/>
        </w:rPr>
        <w:t>BMJ,</w:t>
      </w:r>
      <w:r w:rsidRPr="00C35A91">
        <w:rPr>
          <w:rStyle w:val="highwire-cite-article-as"/>
          <w:sz w:val="24"/>
          <w:szCs w:val="24"/>
        </w:rPr>
        <w:t xml:space="preserve">342:c5347: </w:t>
      </w:r>
      <w:r w:rsidRPr="00C35A91">
        <w:rPr>
          <w:rStyle w:val="highwire-cite-doi"/>
          <w:sz w:val="24"/>
          <w:szCs w:val="24"/>
        </w:rPr>
        <w:t xml:space="preserve">doi: </w:t>
      </w:r>
      <w:hyperlink r:id="rId10" w:history="1">
        <w:r w:rsidRPr="00F44F82">
          <w:rPr>
            <w:rStyle w:val="Hyperlink"/>
            <w:rFonts w:cstheme="minorBidi"/>
            <w:color w:val="auto"/>
            <w:sz w:val="24"/>
            <w:szCs w:val="24"/>
            <w:u w:val="none"/>
          </w:rPr>
          <w:t>http://dx.doi.org/10.1136/bmj.c5347</w:t>
        </w:r>
      </w:hyperlink>
    </w:p>
    <w:p w:rsidR="005D776F" w:rsidRPr="00C35A91" w:rsidRDefault="00256BB5" w:rsidP="00C35A91">
      <w:pPr>
        <w:spacing w:after="240" w:line="240" w:lineRule="auto"/>
        <w:rPr>
          <w:sz w:val="24"/>
          <w:szCs w:val="24"/>
        </w:rPr>
      </w:pPr>
      <w:r w:rsidRPr="00C35A91">
        <w:rPr>
          <w:rFonts w:cs="Arial"/>
          <w:sz w:val="24"/>
          <w:szCs w:val="24"/>
        </w:rPr>
        <w:t xml:space="preserve">Department of Health. (2000). </w:t>
      </w:r>
      <w:r w:rsidRPr="00C35A91">
        <w:rPr>
          <w:rFonts w:cs="Arial"/>
          <w:i/>
          <w:sz w:val="24"/>
          <w:szCs w:val="24"/>
        </w:rPr>
        <w:t>An organisation with a memory: report of an expert group on learning from adverse events in the NHS</w:t>
      </w:r>
      <w:r w:rsidRPr="00C35A91">
        <w:rPr>
          <w:rFonts w:cs="Arial"/>
          <w:sz w:val="24"/>
          <w:szCs w:val="24"/>
        </w:rPr>
        <w:t>. London: HMSO.</w:t>
      </w:r>
    </w:p>
    <w:p w:rsidR="00402A36" w:rsidRPr="00C35A91" w:rsidRDefault="00402A36" w:rsidP="00C35A91">
      <w:pPr>
        <w:pStyle w:val="Heading24"/>
        <w:spacing w:after="240"/>
        <w:rPr>
          <w:rStyle w:val="apple-style-span"/>
          <w:rFonts w:asciiTheme="minorHAnsi" w:eastAsiaTheme="majorEastAsia" w:hAnsiTheme="minorHAnsi"/>
          <w:color w:val="000000"/>
          <w:sz w:val="24"/>
          <w:szCs w:val="24"/>
        </w:rPr>
      </w:pPr>
      <w:r w:rsidRPr="00C35A91">
        <w:rPr>
          <w:rFonts w:asciiTheme="minorHAnsi" w:hAnsiTheme="minorHAnsi"/>
          <w:color w:val="auto"/>
          <w:sz w:val="24"/>
          <w:szCs w:val="24"/>
          <w:lang w:val="en-GB"/>
        </w:rPr>
        <w:t>Department of Health (2001).</w:t>
      </w:r>
      <w:r w:rsidRPr="00C35A91">
        <w:rPr>
          <w:rFonts w:asciiTheme="minorHAnsi" w:hAnsiTheme="minorHAnsi"/>
          <w:i/>
          <w:color w:val="auto"/>
          <w:sz w:val="24"/>
          <w:szCs w:val="24"/>
        </w:rPr>
        <w:t>The Kennedy Report. The report of the public inquiry into children's heart surgery at the Bristol Royal Infirmary 1984-1995: learning from Bristol.</w:t>
      </w:r>
      <w:r w:rsidRPr="00C35A91">
        <w:rPr>
          <w:rFonts w:asciiTheme="minorHAnsi" w:hAnsiTheme="minorHAnsi"/>
          <w:color w:val="auto"/>
          <w:sz w:val="24"/>
          <w:szCs w:val="24"/>
        </w:rPr>
        <w:t xml:space="preserve"> London: </w:t>
      </w:r>
      <w:r w:rsidRPr="00C35A91">
        <w:rPr>
          <w:rStyle w:val="apple-style-span"/>
          <w:rFonts w:asciiTheme="minorHAnsi" w:eastAsiaTheme="majorEastAsia" w:hAnsiTheme="minorHAnsi"/>
          <w:color w:val="000000"/>
          <w:sz w:val="24"/>
          <w:szCs w:val="24"/>
        </w:rPr>
        <w:t>The Stationery Office.</w:t>
      </w:r>
    </w:p>
    <w:p w:rsidR="00E01D2F" w:rsidRPr="00C35A91" w:rsidRDefault="00E01D2F" w:rsidP="00C35A91">
      <w:pPr>
        <w:spacing w:after="240" w:line="240" w:lineRule="auto"/>
        <w:rPr>
          <w:sz w:val="24"/>
          <w:szCs w:val="24"/>
        </w:rPr>
      </w:pPr>
      <w:r w:rsidRPr="00C35A91">
        <w:rPr>
          <w:sz w:val="24"/>
          <w:szCs w:val="24"/>
        </w:rPr>
        <w:t xml:space="preserve">Dekker, S. (2014). </w:t>
      </w:r>
      <w:r w:rsidRPr="00C35A91">
        <w:rPr>
          <w:i/>
          <w:iCs/>
          <w:sz w:val="24"/>
          <w:szCs w:val="24"/>
        </w:rPr>
        <w:t>The Field Guide to Understanding ‘Human Error’.</w:t>
      </w:r>
      <w:r w:rsidRPr="00C35A91">
        <w:rPr>
          <w:sz w:val="24"/>
          <w:szCs w:val="24"/>
        </w:rPr>
        <w:t>Ashgate: Farnham</w:t>
      </w:r>
    </w:p>
    <w:p w:rsidR="0014766B" w:rsidRPr="00C35A91" w:rsidRDefault="0014766B" w:rsidP="00C35A91">
      <w:pPr>
        <w:pStyle w:val="Heading24"/>
        <w:spacing w:after="240"/>
        <w:rPr>
          <w:rStyle w:val="apple-style-span"/>
          <w:rFonts w:asciiTheme="minorHAnsi" w:eastAsiaTheme="majorEastAsia" w:hAnsiTheme="minorHAnsi"/>
          <w:color w:val="000000"/>
          <w:sz w:val="24"/>
          <w:szCs w:val="24"/>
        </w:rPr>
      </w:pPr>
      <w:r w:rsidRPr="00C35A91">
        <w:rPr>
          <w:rStyle w:val="apple-style-span"/>
          <w:rFonts w:asciiTheme="minorHAnsi" w:eastAsiaTheme="majorEastAsia" w:hAnsiTheme="minorHAnsi"/>
          <w:color w:val="000000"/>
          <w:sz w:val="24"/>
          <w:szCs w:val="24"/>
        </w:rPr>
        <w:t>De Ville,</w:t>
      </w:r>
      <w:r w:rsidRPr="00C35A91">
        <w:rPr>
          <w:rFonts w:asciiTheme="minorHAnsi" w:hAnsiTheme="minorHAnsi"/>
          <w:sz w:val="24"/>
          <w:szCs w:val="24"/>
        </w:rPr>
        <w:t xml:space="preserve"> K.A.</w:t>
      </w:r>
      <w:r w:rsidR="00A5688D" w:rsidRPr="00C35A91">
        <w:rPr>
          <w:rFonts w:asciiTheme="minorHAnsi" w:hAnsiTheme="minorHAnsi"/>
          <w:sz w:val="24"/>
          <w:szCs w:val="24"/>
        </w:rPr>
        <w:t xml:space="preserve"> (1990).</w:t>
      </w:r>
      <w:r w:rsidR="004C77AD" w:rsidRPr="00C35A91">
        <w:rPr>
          <w:rStyle w:val="apple-style-span"/>
          <w:rFonts w:asciiTheme="minorHAnsi" w:eastAsiaTheme="majorEastAsia" w:hAnsiTheme="minorHAnsi"/>
          <w:i/>
          <w:color w:val="000000"/>
          <w:sz w:val="24"/>
          <w:szCs w:val="24"/>
        </w:rPr>
        <w:t>Medical Malpractice in Nineteenth-Century America: Origins and Legacy</w:t>
      </w:r>
      <w:r w:rsidR="00A5688D" w:rsidRPr="00C35A91">
        <w:rPr>
          <w:rStyle w:val="apple-style-span"/>
          <w:rFonts w:asciiTheme="minorHAnsi" w:eastAsiaTheme="majorEastAsia" w:hAnsiTheme="minorHAnsi"/>
          <w:color w:val="000000"/>
          <w:sz w:val="24"/>
          <w:szCs w:val="24"/>
        </w:rPr>
        <w:t xml:space="preserve">. </w:t>
      </w:r>
      <w:r w:rsidRPr="00C35A91">
        <w:rPr>
          <w:rStyle w:val="apple-style-span"/>
          <w:rFonts w:asciiTheme="minorHAnsi" w:eastAsiaTheme="majorEastAsia" w:hAnsiTheme="minorHAnsi"/>
          <w:color w:val="000000"/>
          <w:sz w:val="24"/>
          <w:szCs w:val="24"/>
        </w:rPr>
        <w:t>New York: New York University Press.</w:t>
      </w:r>
    </w:p>
    <w:p w:rsidR="003D4936" w:rsidRPr="00C35A91" w:rsidRDefault="003D4936" w:rsidP="00C35A91">
      <w:pPr>
        <w:pStyle w:val="Heading24"/>
        <w:spacing w:after="240"/>
        <w:rPr>
          <w:rStyle w:val="apple-style-span"/>
          <w:rFonts w:asciiTheme="minorHAnsi" w:eastAsiaTheme="majorEastAsia" w:hAnsiTheme="minorHAnsi"/>
          <w:i/>
          <w:color w:val="000000"/>
          <w:sz w:val="24"/>
          <w:szCs w:val="24"/>
        </w:rPr>
      </w:pPr>
      <w:r w:rsidRPr="00C35A91">
        <w:rPr>
          <w:rStyle w:val="apple-style-span"/>
          <w:rFonts w:asciiTheme="minorHAnsi" w:eastAsiaTheme="majorEastAsia" w:hAnsiTheme="minorHAnsi"/>
          <w:color w:val="000000"/>
          <w:sz w:val="24"/>
          <w:szCs w:val="24"/>
        </w:rPr>
        <w:t xml:space="preserve">Dewitt, C., Baldwin, J.R. &amp; Daugherty, S.R. (2008).Interprofessional conflict and medical errors: Results of a national multi-speciality survey of hospital residents in the US.  </w:t>
      </w:r>
      <w:r w:rsidRPr="00C35A91">
        <w:rPr>
          <w:rStyle w:val="apple-style-span"/>
          <w:rFonts w:asciiTheme="minorHAnsi" w:eastAsiaTheme="majorEastAsia" w:hAnsiTheme="minorHAnsi"/>
          <w:i/>
          <w:color w:val="000000"/>
          <w:sz w:val="24"/>
          <w:szCs w:val="24"/>
        </w:rPr>
        <w:t>Journal of Interprofessional Care, 22(6), 573-586.</w:t>
      </w:r>
    </w:p>
    <w:p w:rsidR="00E379C8" w:rsidRPr="00C35A91" w:rsidRDefault="00E379C8" w:rsidP="00C35A91">
      <w:pPr>
        <w:pStyle w:val="Heading24"/>
        <w:spacing w:after="240"/>
        <w:rPr>
          <w:rStyle w:val="apple-style-span"/>
          <w:rFonts w:asciiTheme="minorHAnsi" w:eastAsiaTheme="majorEastAsia" w:hAnsiTheme="minorHAnsi"/>
          <w:color w:val="000000"/>
          <w:sz w:val="24"/>
          <w:szCs w:val="24"/>
        </w:rPr>
      </w:pPr>
      <w:r w:rsidRPr="00C35A91">
        <w:rPr>
          <w:rStyle w:val="apple-style-span"/>
          <w:rFonts w:asciiTheme="minorHAnsi" w:eastAsiaTheme="majorEastAsia" w:hAnsiTheme="minorHAnsi"/>
          <w:color w:val="000000"/>
          <w:sz w:val="24"/>
          <w:szCs w:val="24"/>
        </w:rPr>
        <w:t>Dixon- Woods, M. (2010). Why is patient safety so hard? A selective review of ethnographic studies.</w:t>
      </w:r>
      <w:r w:rsidRPr="00C35A91">
        <w:rPr>
          <w:rStyle w:val="apple-style-span"/>
          <w:rFonts w:asciiTheme="minorHAnsi" w:eastAsiaTheme="majorEastAsia" w:hAnsiTheme="minorHAnsi"/>
          <w:i/>
          <w:color w:val="000000"/>
          <w:sz w:val="24"/>
          <w:szCs w:val="24"/>
        </w:rPr>
        <w:t>Journal of Health Services Research and Policy</w:t>
      </w:r>
      <w:r w:rsidRPr="00C35A91">
        <w:rPr>
          <w:rStyle w:val="apple-style-span"/>
          <w:rFonts w:asciiTheme="minorHAnsi" w:eastAsiaTheme="majorEastAsia" w:hAnsiTheme="minorHAnsi"/>
          <w:color w:val="000000"/>
          <w:sz w:val="24"/>
          <w:szCs w:val="24"/>
        </w:rPr>
        <w:t>, 15(1), 11-16.</w:t>
      </w:r>
    </w:p>
    <w:p w:rsidR="0014766B" w:rsidRPr="00C35A91" w:rsidRDefault="0014766B" w:rsidP="00C35A91">
      <w:pPr>
        <w:pStyle w:val="Heading24"/>
        <w:spacing w:after="240"/>
        <w:rPr>
          <w:rStyle w:val="apple-style-span"/>
          <w:rFonts w:asciiTheme="minorHAnsi" w:eastAsiaTheme="majorEastAsia" w:hAnsiTheme="minorHAnsi"/>
          <w:color w:val="000000"/>
          <w:sz w:val="24"/>
          <w:szCs w:val="24"/>
        </w:rPr>
      </w:pPr>
      <w:r w:rsidRPr="00C35A91">
        <w:rPr>
          <w:rStyle w:val="apple-style-span"/>
          <w:rFonts w:asciiTheme="minorHAnsi" w:eastAsiaTheme="majorEastAsia" w:hAnsiTheme="minorHAnsi"/>
          <w:color w:val="000000"/>
          <w:sz w:val="24"/>
          <w:szCs w:val="24"/>
        </w:rPr>
        <w:t>Durbach N.</w:t>
      </w:r>
      <w:r w:rsidR="00A5688D" w:rsidRPr="00C35A91">
        <w:rPr>
          <w:rStyle w:val="apple-style-span"/>
          <w:rFonts w:asciiTheme="minorHAnsi" w:eastAsiaTheme="majorEastAsia" w:hAnsiTheme="minorHAnsi"/>
          <w:color w:val="000000"/>
          <w:sz w:val="24"/>
          <w:szCs w:val="24"/>
        </w:rPr>
        <w:t xml:space="preserve"> (2000).</w:t>
      </w:r>
      <w:r w:rsidRPr="00C35A91">
        <w:rPr>
          <w:rStyle w:val="apple-style-span"/>
          <w:rFonts w:asciiTheme="minorHAnsi" w:eastAsiaTheme="majorEastAsia" w:hAnsiTheme="minorHAnsi"/>
          <w:color w:val="000000"/>
          <w:sz w:val="24"/>
          <w:szCs w:val="24"/>
        </w:rPr>
        <w:t xml:space="preserve"> They might as well brand us: working-class resistance to compulsory vaccination in Victorian England</w:t>
      </w:r>
      <w:r w:rsidR="00A5688D" w:rsidRPr="00C35A91">
        <w:rPr>
          <w:rStyle w:val="apple-style-span"/>
          <w:rFonts w:asciiTheme="minorHAnsi" w:eastAsiaTheme="majorEastAsia" w:hAnsiTheme="minorHAnsi"/>
          <w:color w:val="000000"/>
          <w:sz w:val="24"/>
          <w:szCs w:val="24"/>
        </w:rPr>
        <w:t>.</w:t>
      </w:r>
      <w:r w:rsidRPr="00C35A91">
        <w:rPr>
          <w:rStyle w:val="apple-style-span"/>
          <w:rFonts w:asciiTheme="minorHAnsi" w:eastAsiaTheme="majorEastAsia" w:hAnsiTheme="minorHAnsi"/>
          <w:i/>
          <w:color w:val="000000"/>
          <w:sz w:val="24"/>
          <w:szCs w:val="24"/>
        </w:rPr>
        <w:t>Social History of Medicine</w:t>
      </w:r>
      <w:r w:rsidRPr="00C35A91">
        <w:rPr>
          <w:rStyle w:val="apple-style-span"/>
          <w:rFonts w:asciiTheme="minorHAnsi" w:eastAsiaTheme="majorEastAsia" w:hAnsiTheme="minorHAnsi"/>
          <w:color w:val="000000"/>
          <w:sz w:val="24"/>
          <w:szCs w:val="24"/>
        </w:rPr>
        <w:t xml:space="preserve"> 13</w:t>
      </w:r>
      <w:r w:rsidR="00A5688D" w:rsidRPr="00C35A91">
        <w:rPr>
          <w:rStyle w:val="apple-style-span"/>
          <w:rFonts w:asciiTheme="minorHAnsi" w:eastAsiaTheme="majorEastAsia" w:hAnsiTheme="minorHAnsi"/>
          <w:color w:val="000000"/>
          <w:sz w:val="24"/>
          <w:szCs w:val="24"/>
        </w:rPr>
        <w:t xml:space="preserve"> (</w:t>
      </w:r>
      <w:r w:rsidRPr="00C35A91">
        <w:rPr>
          <w:rStyle w:val="apple-style-span"/>
          <w:rFonts w:asciiTheme="minorHAnsi" w:eastAsiaTheme="majorEastAsia" w:hAnsiTheme="minorHAnsi"/>
          <w:color w:val="000000"/>
          <w:sz w:val="24"/>
          <w:szCs w:val="24"/>
        </w:rPr>
        <w:t>1</w:t>
      </w:r>
      <w:r w:rsidR="00A5688D" w:rsidRPr="00C35A91">
        <w:rPr>
          <w:rStyle w:val="apple-style-span"/>
          <w:rFonts w:asciiTheme="minorHAnsi" w:eastAsiaTheme="majorEastAsia" w:hAnsiTheme="minorHAnsi"/>
          <w:color w:val="000000"/>
          <w:sz w:val="24"/>
          <w:szCs w:val="24"/>
        </w:rPr>
        <w:t>)</w:t>
      </w:r>
      <w:r w:rsidRPr="00C35A91">
        <w:rPr>
          <w:rStyle w:val="apple-style-span"/>
          <w:rFonts w:asciiTheme="minorHAnsi" w:eastAsiaTheme="majorEastAsia" w:hAnsiTheme="minorHAnsi"/>
          <w:color w:val="000000"/>
          <w:sz w:val="24"/>
          <w:szCs w:val="24"/>
        </w:rPr>
        <w:t>: 45-62.</w:t>
      </w:r>
    </w:p>
    <w:p w:rsidR="002E2C6F" w:rsidRPr="00C35A91" w:rsidRDefault="00C35A91" w:rsidP="00C35A91">
      <w:pPr>
        <w:autoSpaceDE w:val="0"/>
        <w:autoSpaceDN w:val="0"/>
        <w:adjustRightInd w:val="0"/>
        <w:spacing w:after="240" w:line="240" w:lineRule="auto"/>
        <w:rPr>
          <w:rFonts w:cs="AdvP479F8A"/>
          <w:sz w:val="24"/>
          <w:szCs w:val="24"/>
        </w:rPr>
      </w:pPr>
      <w:r>
        <w:rPr>
          <w:rFonts w:cs="AdvP479F8A"/>
          <w:sz w:val="24"/>
          <w:szCs w:val="24"/>
        </w:rPr>
        <w:t>Eva, K</w:t>
      </w:r>
      <w:r w:rsidR="002E2C6F" w:rsidRPr="00C35A91">
        <w:rPr>
          <w:rFonts w:cs="AdvP479F8A"/>
          <w:sz w:val="24"/>
          <w:szCs w:val="24"/>
        </w:rPr>
        <w:t>. (2014). Trending in 2014: Hippocrates.</w:t>
      </w:r>
      <w:r w:rsidR="002E2C6F" w:rsidRPr="00C35A91">
        <w:rPr>
          <w:rFonts w:cs="AdvP479F8A"/>
          <w:i/>
          <w:sz w:val="24"/>
          <w:szCs w:val="24"/>
        </w:rPr>
        <w:t>Medical Education,</w:t>
      </w:r>
      <w:r w:rsidR="002E2C6F" w:rsidRPr="00C35A91">
        <w:rPr>
          <w:rFonts w:cs="AdvP479F8A"/>
          <w:sz w:val="24"/>
          <w:szCs w:val="24"/>
        </w:rPr>
        <w:t xml:space="preserve"> 48(1), 1-3.</w:t>
      </w:r>
    </w:p>
    <w:p w:rsidR="00F949AF" w:rsidRPr="00C35A91" w:rsidRDefault="00F949AF" w:rsidP="00C35A91">
      <w:pPr>
        <w:autoSpaceDE w:val="0"/>
        <w:autoSpaceDN w:val="0"/>
        <w:adjustRightInd w:val="0"/>
        <w:spacing w:after="240" w:line="240" w:lineRule="auto"/>
        <w:rPr>
          <w:rFonts w:cs="AdvP4114E6"/>
          <w:sz w:val="24"/>
          <w:szCs w:val="24"/>
        </w:rPr>
      </w:pPr>
      <w:r w:rsidRPr="00C35A91">
        <w:rPr>
          <w:rFonts w:cs="AdvP479F8A"/>
          <w:sz w:val="24"/>
          <w:szCs w:val="24"/>
        </w:rPr>
        <w:t xml:space="preserve">Francis, R. (2013). </w:t>
      </w:r>
      <w:r w:rsidRPr="00C35A91">
        <w:rPr>
          <w:rFonts w:cs="AdvP4114E6"/>
          <w:sz w:val="24"/>
          <w:szCs w:val="24"/>
        </w:rPr>
        <w:t>Report of the Mid Staffordshire NHS Foundation Trustpublic inquiry</w:t>
      </w:r>
      <w:r w:rsidRPr="00C35A91">
        <w:rPr>
          <w:rFonts w:cs="AdvP479F8A"/>
          <w:sz w:val="24"/>
          <w:szCs w:val="24"/>
        </w:rPr>
        <w:t>. London: The Stationery Office.</w:t>
      </w:r>
    </w:p>
    <w:p w:rsidR="0046494F" w:rsidRPr="00C35A91" w:rsidRDefault="0046494F" w:rsidP="00C35A91">
      <w:pPr>
        <w:spacing w:after="240" w:line="240" w:lineRule="auto"/>
        <w:rPr>
          <w:rFonts w:eastAsia="Times New Roman" w:cs="Arial"/>
          <w:sz w:val="24"/>
          <w:szCs w:val="24"/>
          <w:lang w:val="en-US"/>
        </w:rPr>
      </w:pPr>
      <w:r w:rsidRPr="00C35A91">
        <w:rPr>
          <w:rFonts w:eastAsia="Times New Roman" w:cs="Arial"/>
          <w:sz w:val="24"/>
          <w:szCs w:val="24"/>
          <w:lang w:val="en-US"/>
        </w:rPr>
        <w:t>Gordon, S</w:t>
      </w:r>
      <w:r w:rsidR="00C35A91">
        <w:rPr>
          <w:rFonts w:eastAsia="Times New Roman" w:cs="Arial"/>
          <w:sz w:val="24"/>
          <w:szCs w:val="24"/>
          <w:lang w:val="en-US"/>
        </w:rPr>
        <w:t xml:space="preserve">., Mendenhall, P. &amp; O’Connor, </w:t>
      </w:r>
      <w:r w:rsidRPr="00C35A91">
        <w:rPr>
          <w:rFonts w:eastAsia="Times New Roman" w:cs="Arial"/>
          <w:sz w:val="24"/>
          <w:szCs w:val="24"/>
          <w:lang w:val="en-US"/>
        </w:rPr>
        <w:t>B. (2013).</w:t>
      </w:r>
      <w:r w:rsidR="004E482C" w:rsidRPr="00C35A91">
        <w:rPr>
          <w:rFonts w:eastAsia="Times New Roman" w:cs="Arial"/>
          <w:i/>
          <w:sz w:val="24"/>
          <w:szCs w:val="24"/>
          <w:lang w:val="en-US"/>
        </w:rPr>
        <w:t xml:space="preserve">Beyond the Checklist. What else healthcare can learn from aviation teamwork and safety. </w:t>
      </w:r>
      <w:r w:rsidR="004E482C" w:rsidRPr="00C35A91">
        <w:rPr>
          <w:rFonts w:eastAsia="Times New Roman" w:cs="Arial"/>
          <w:sz w:val="24"/>
          <w:szCs w:val="24"/>
          <w:lang w:val="en-US"/>
        </w:rPr>
        <w:t xml:space="preserve">Cornwall University Press: </w:t>
      </w:r>
      <w:r w:rsidR="00F207EA" w:rsidRPr="00C35A91">
        <w:rPr>
          <w:rFonts w:eastAsia="Times New Roman" w:cs="Arial"/>
          <w:sz w:val="24"/>
          <w:szCs w:val="24"/>
          <w:lang w:val="en-US"/>
        </w:rPr>
        <w:t>ILR London.</w:t>
      </w:r>
      <w:r w:rsidR="004E482C" w:rsidRPr="00C35A91">
        <w:rPr>
          <w:rFonts w:eastAsia="Times New Roman" w:cs="Arial"/>
          <w:sz w:val="24"/>
          <w:szCs w:val="24"/>
          <w:lang w:val="en-US"/>
        </w:rPr>
        <w:t xml:space="preserve"> 56</w:t>
      </w:r>
    </w:p>
    <w:p w:rsidR="004C6681" w:rsidRPr="00C35A91" w:rsidRDefault="004C6681" w:rsidP="00C35A91">
      <w:pPr>
        <w:spacing w:after="240" w:line="240" w:lineRule="auto"/>
        <w:rPr>
          <w:rFonts w:eastAsia="Times New Roman" w:cs="Arial"/>
          <w:sz w:val="24"/>
          <w:szCs w:val="24"/>
          <w:lang w:val="en-US"/>
        </w:rPr>
      </w:pPr>
      <w:r w:rsidRPr="00C35A91">
        <w:rPr>
          <w:rFonts w:eastAsia="Times New Roman" w:cs="Arial"/>
          <w:sz w:val="24"/>
          <w:szCs w:val="24"/>
          <w:lang w:val="en-US"/>
        </w:rPr>
        <w:t xml:space="preserve">Hammick, M. (2000).Interprofessional Education: Evidence from the past to guide the future. </w:t>
      </w:r>
      <w:r w:rsidRPr="00C35A91">
        <w:rPr>
          <w:rFonts w:eastAsia="Times New Roman" w:cs="Arial"/>
          <w:i/>
          <w:sz w:val="24"/>
          <w:szCs w:val="24"/>
          <w:lang w:val="en-US"/>
        </w:rPr>
        <w:t xml:space="preserve">Medical Teacher, </w:t>
      </w:r>
      <w:r w:rsidRPr="00C35A91">
        <w:rPr>
          <w:rFonts w:eastAsia="Times New Roman" w:cs="Arial"/>
          <w:sz w:val="24"/>
          <w:szCs w:val="24"/>
          <w:lang w:val="en-US"/>
        </w:rPr>
        <w:t>22, 461-467.</w:t>
      </w:r>
    </w:p>
    <w:p w:rsidR="005244B6" w:rsidRPr="00C35A91" w:rsidRDefault="005244B6" w:rsidP="00C35A91">
      <w:pPr>
        <w:spacing w:after="240" w:line="240" w:lineRule="auto"/>
        <w:rPr>
          <w:rFonts w:eastAsia="Times New Roman" w:cs="Arial"/>
          <w:sz w:val="24"/>
          <w:szCs w:val="24"/>
          <w:lang w:val="en-US"/>
        </w:rPr>
      </w:pPr>
      <w:r w:rsidRPr="00C35A91">
        <w:rPr>
          <w:rFonts w:eastAsia="Times New Roman" w:cs="Arial"/>
          <w:sz w:val="24"/>
          <w:szCs w:val="24"/>
          <w:lang w:val="en-US"/>
        </w:rPr>
        <w:t xml:space="preserve">Hart, E. (1895). </w:t>
      </w:r>
      <w:r w:rsidR="004C77AD" w:rsidRPr="00C35A91">
        <w:rPr>
          <w:rFonts w:eastAsia="Times New Roman" w:cs="Arial"/>
          <w:i/>
          <w:sz w:val="24"/>
          <w:szCs w:val="24"/>
          <w:lang w:val="en-US"/>
        </w:rPr>
        <w:t>The Sick Poor in Workhouses: Reports on the Nursing and Administration of Provincial Workhouses and Infirmaries</w:t>
      </w:r>
      <w:r w:rsidRPr="00C35A91">
        <w:rPr>
          <w:rFonts w:eastAsia="Times New Roman" w:cs="Arial"/>
          <w:sz w:val="24"/>
          <w:szCs w:val="24"/>
          <w:lang w:val="en-US"/>
        </w:rPr>
        <w:t>. London: Smith, Elder &amp; Co.</w:t>
      </w:r>
    </w:p>
    <w:p w:rsidR="0054264B" w:rsidRPr="00C35A91" w:rsidRDefault="0054264B" w:rsidP="00C35A91">
      <w:pPr>
        <w:spacing w:after="240" w:line="240" w:lineRule="auto"/>
        <w:rPr>
          <w:rFonts w:eastAsia="Times New Roman" w:cs="Arial"/>
          <w:sz w:val="24"/>
          <w:szCs w:val="24"/>
          <w:lang w:val="en-US"/>
        </w:rPr>
      </w:pPr>
      <w:r w:rsidRPr="00C35A91">
        <w:rPr>
          <w:rFonts w:eastAsia="Times New Roman" w:cs="Arial"/>
          <w:sz w:val="24"/>
          <w:szCs w:val="24"/>
          <w:lang w:val="en-US"/>
        </w:rPr>
        <w:t>Headrick, L.A. &amp;Khaleel, N.I. (2008).Getting it right: Educating professionals to work together in improving health and health care.</w:t>
      </w:r>
      <w:r w:rsidRPr="00C35A91">
        <w:rPr>
          <w:rFonts w:eastAsia="Times New Roman" w:cs="Arial"/>
          <w:i/>
          <w:sz w:val="24"/>
          <w:szCs w:val="24"/>
          <w:lang w:val="en-US"/>
        </w:rPr>
        <w:t xml:space="preserve">Journal of Interprofessional Care, </w:t>
      </w:r>
      <w:r w:rsidRPr="00C35A91">
        <w:rPr>
          <w:rFonts w:eastAsia="Times New Roman" w:cs="Arial"/>
          <w:sz w:val="24"/>
          <w:szCs w:val="24"/>
          <w:lang w:val="en-US"/>
        </w:rPr>
        <w:t>22(4), 364-374.</w:t>
      </w:r>
    </w:p>
    <w:p w:rsidR="00DC102F" w:rsidRPr="00C35A91" w:rsidRDefault="00C35A91" w:rsidP="00C35A91">
      <w:pPr>
        <w:spacing w:after="240" w:line="240" w:lineRule="auto"/>
        <w:rPr>
          <w:rFonts w:eastAsia="Times New Roman" w:cs="Arial"/>
          <w:i/>
          <w:sz w:val="24"/>
          <w:szCs w:val="24"/>
          <w:lang w:val="en-US"/>
        </w:rPr>
      </w:pPr>
      <w:r>
        <w:rPr>
          <w:rFonts w:eastAsia="Times New Roman" w:cs="Arial"/>
          <w:sz w:val="24"/>
          <w:szCs w:val="24"/>
          <w:lang w:val="en-US"/>
        </w:rPr>
        <w:t>Hoffman, S</w:t>
      </w:r>
      <w:r w:rsidR="00DC102F" w:rsidRPr="00C35A91">
        <w:rPr>
          <w:rFonts w:eastAsia="Times New Roman" w:cs="Arial"/>
          <w:sz w:val="24"/>
          <w:szCs w:val="24"/>
          <w:lang w:val="en-US"/>
        </w:rPr>
        <w:t>. &amp;Harni</w:t>
      </w:r>
      <w:r w:rsidR="00094A77" w:rsidRPr="00C35A91">
        <w:rPr>
          <w:rFonts w:eastAsia="Times New Roman" w:cs="Arial"/>
          <w:sz w:val="24"/>
          <w:szCs w:val="24"/>
          <w:lang w:val="en-US"/>
        </w:rPr>
        <w:t>s</w:t>
      </w:r>
      <w:r w:rsidR="00DC102F" w:rsidRPr="00C35A91">
        <w:rPr>
          <w:rFonts w:eastAsia="Times New Roman" w:cs="Arial"/>
          <w:sz w:val="24"/>
          <w:szCs w:val="24"/>
          <w:lang w:val="en-US"/>
        </w:rPr>
        <w:t>h, D. (2007).The merit of mandatory interprofessional education for pre-health professional students.</w:t>
      </w:r>
      <w:r w:rsidR="00DC102F" w:rsidRPr="00C35A91">
        <w:rPr>
          <w:rFonts w:eastAsia="Times New Roman" w:cs="Arial"/>
          <w:i/>
          <w:sz w:val="24"/>
          <w:szCs w:val="24"/>
          <w:lang w:val="en-US"/>
        </w:rPr>
        <w:t xml:space="preserve">Medical Teacher, </w:t>
      </w:r>
      <w:r w:rsidR="00DC102F" w:rsidRPr="00C35A91">
        <w:rPr>
          <w:rFonts w:eastAsia="Times New Roman" w:cs="Arial"/>
          <w:sz w:val="24"/>
          <w:szCs w:val="24"/>
          <w:lang w:val="en-US"/>
        </w:rPr>
        <w:t>29, e235-e242</w:t>
      </w:r>
      <w:r w:rsidR="00094A77" w:rsidRPr="00C35A91">
        <w:rPr>
          <w:rFonts w:eastAsia="Times New Roman" w:cs="Arial"/>
          <w:sz w:val="24"/>
          <w:szCs w:val="24"/>
          <w:lang w:val="en-US"/>
        </w:rPr>
        <w:t>.</w:t>
      </w:r>
    </w:p>
    <w:p w:rsidR="004C77AD" w:rsidRPr="00C35A91" w:rsidRDefault="005D776F" w:rsidP="00C35A91">
      <w:pPr>
        <w:spacing w:after="240" w:line="240" w:lineRule="auto"/>
        <w:rPr>
          <w:rFonts w:eastAsia="Times New Roman" w:cs="Times New Roman"/>
          <w:color w:val="333333"/>
          <w:sz w:val="24"/>
          <w:szCs w:val="24"/>
        </w:rPr>
      </w:pPr>
      <w:r w:rsidRPr="00C35A91">
        <w:rPr>
          <w:sz w:val="24"/>
          <w:szCs w:val="24"/>
        </w:rPr>
        <w:t>Irvine, D. (2001). The changing relationship between the public and the medical profession.</w:t>
      </w:r>
      <w:r w:rsidRPr="00C35A91">
        <w:rPr>
          <w:i/>
          <w:sz w:val="24"/>
          <w:szCs w:val="24"/>
        </w:rPr>
        <w:t xml:space="preserve">JRSM </w:t>
      </w:r>
      <w:r w:rsidRPr="00C35A91">
        <w:rPr>
          <w:sz w:val="24"/>
          <w:szCs w:val="24"/>
        </w:rPr>
        <w:t>94, 162-9.</w:t>
      </w:r>
    </w:p>
    <w:p w:rsidR="006603F1" w:rsidRPr="00C35A91" w:rsidRDefault="006603F1" w:rsidP="00C35A91">
      <w:pPr>
        <w:spacing w:after="240" w:line="240" w:lineRule="auto"/>
        <w:rPr>
          <w:rStyle w:val="st"/>
          <w:rFonts w:cs="Arial"/>
          <w:sz w:val="24"/>
          <w:szCs w:val="24"/>
        </w:rPr>
      </w:pPr>
      <w:r w:rsidRPr="00C35A91">
        <w:rPr>
          <w:rFonts w:eastAsia="Calibri" w:cs="Arial"/>
          <w:sz w:val="24"/>
          <w:szCs w:val="24"/>
          <w:lang w:val="en-US"/>
        </w:rPr>
        <w:t xml:space="preserve">Jones, D.S., Greene, J.A., </w:t>
      </w:r>
      <w:r w:rsidR="008B43C2">
        <w:rPr>
          <w:rFonts w:eastAsia="Calibri" w:cs="Arial"/>
          <w:sz w:val="24"/>
          <w:szCs w:val="24"/>
          <w:lang w:val="en-US"/>
        </w:rPr>
        <w:t>Duffin, J.  &amp; Warner, J.H. (2015</w:t>
      </w:r>
      <w:r w:rsidRPr="00C35A91">
        <w:rPr>
          <w:rFonts w:eastAsia="Calibri" w:cs="Arial"/>
          <w:sz w:val="24"/>
          <w:szCs w:val="24"/>
          <w:lang w:val="en-US"/>
        </w:rPr>
        <w:t>).Making the case for history in medical education.</w:t>
      </w:r>
      <w:r w:rsidR="00AF632C">
        <w:rPr>
          <w:rFonts w:eastAsia="Calibri" w:cs="Arial"/>
          <w:i/>
          <w:sz w:val="24"/>
          <w:szCs w:val="24"/>
          <w:lang w:val="en-US"/>
        </w:rPr>
        <w:t xml:space="preserve"> Journal of the</w:t>
      </w:r>
      <w:r w:rsidR="008B43C2">
        <w:rPr>
          <w:rFonts w:eastAsia="Calibri" w:cs="Arial"/>
          <w:i/>
          <w:sz w:val="24"/>
          <w:szCs w:val="24"/>
          <w:lang w:val="en-US"/>
        </w:rPr>
        <w:t xml:space="preserve"> Hist</w:t>
      </w:r>
      <w:r w:rsidR="00AF632C">
        <w:rPr>
          <w:rFonts w:eastAsia="Calibri" w:cs="Arial"/>
          <w:i/>
          <w:sz w:val="24"/>
          <w:szCs w:val="24"/>
          <w:lang w:val="en-US"/>
        </w:rPr>
        <w:t>ory of</w:t>
      </w:r>
      <w:r w:rsidR="008B43C2">
        <w:rPr>
          <w:rFonts w:eastAsia="Calibri" w:cs="Arial"/>
          <w:i/>
          <w:sz w:val="24"/>
          <w:szCs w:val="24"/>
          <w:lang w:val="en-US"/>
        </w:rPr>
        <w:t xml:space="preserve"> Med</w:t>
      </w:r>
      <w:r w:rsidR="00AF632C">
        <w:rPr>
          <w:rFonts w:eastAsia="Calibri" w:cs="Arial"/>
          <w:i/>
          <w:sz w:val="24"/>
          <w:szCs w:val="24"/>
          <w:lang w:val="en-US"/>
        </w:rPr>
        <w:t>icine and Allied</w:t>
      </w:r>
      <w:r w:rsidR="008B43C2">
        <w:rPr>
          <w:rFonts w:eastAsia="Calibri" w:cs="Arial"/>
          <w:i/>
          <w:sz w:val="24"/>
          <w:szCs w:val="24"/>
          <w:lang w:val="en-US"/>
        </w:rPr>
        <w:t xml:space="preserve"> Sci</w:t>
      </w:r>
      <w:r w:rsidR="00AF632C">
        <w:rPr>
          <w:rFonts w:eastAsia="Calibri" w:cs="Arial"/>
          <w:i/>
          <w:sz w:val="24"/>
          <w:szCs w:val="24"/>
          <w:lang w:val="en-US"/>
        </w:rPr>
        <w:t>ences</w:t>
      </w:r>
      <w:r w:rsidRPr="00C35A91">
        <w:rPr>
          <w:rFonts w:eastAsia="Calibri" w:cs="Arial"/>
          <w:sz w:val="24"/>
          <w:szCs w:val="24"/>
          <w:lang w:val="en-US"/>
        </w:rPr>
        <w:t xml:space="preserve">, 1-30.   </w:t>
      </w:r>
      <w:r w:rsidRPr="00C35A91">
        <w:rPr>
          <w:rFonts w:cs="AdvPS800D"/>
          <w:sz w:val="24"/>
          <w:szCs w:val="24"/>
        </w:rPr>
        <w:t>doi:</w:t>
      </w:r>
      <w:r w:rsidRPr="00C35A91">
        <w:rPr>
          <w:rFonts w:cs="AdvP404FE"/>
          <w:sz w:val="24"/>
          <w:szCs w:val="24"/>
        </w:rPr>
        <w:t>10</w:t>
      </w:r>
      <w:r w:rsidRPr="00C35A91">
        <w:rPr>
          <w:rFonts w:cs="AdvPS800D"/>
          <w:sz w:val="24"/>
          <w:szCs w:val="24"/>
        </w:rPr>
        <w:t>.</w:t>
      </w:r>
      <w:r w:rsidRPr="00C35A91">
        <w:rPr>
          <w:rFonts w:cs="AdvP404FE"/>
          <w:sz w:val="24"/>
          <w:szCs w:val="24"/>
        </w:rPr>
        <w:t>1093</w:t>
      </w:r>
      <w:r w:rsidRPr="00C35A91">
        <w:rPr>
          <w:rFonts w:cs="AdvP4C4E59"/>
          <w:sz w:val="24"/>
          <w:szCs w:val="24"/>
        </w:rPr>
        <w:t>/</w:t>
      </w:r>
      <w:r w:rsidRPr="00C35A91">
        <w:rPr>
          <w:rFonts w:cs="AdvPS800D"/>
          <w:sz w:val="24"/>
          <w:szCs w:val="24"/>
        </w:rPr>
        <w:t>jhmas</w:t>
      </w:r>
      <w:r w:rsidRPr="00C35A91">
        <w:rPr>
          <w:rFonts w:cs="AdvP4C4E59"/>
          <w:sz w:val="24"/>
          <w:szCs w:val="24"/>
        </w:rPr>
        <w:t>/</w:t>
      </w:r>
      <w:r w:rsidRPr="00C35A91">
        <w:rPr>
          <w:rFonts w:cs="AdvPS800D"/>
          <w:sz w:val="24"/>
          <w:szCs w:val="24"/>
        </w:rPr>
        <w:t>jru</w:t>
      </w:r>
      <w:r w:rsidRPr="00C35A91">
        <w:rPr>
          <w:rFonts w:cs="AdvP404FE"/>
          <w:sz w:val="24"/>
          <w:szCs w:val="24"/>
        </w:rPr>
        <w:t>026</w:t>
      </w:r>
    </w:p>
    <w:p w:rsidR="0014766B" w:rsidRPr="00C35A91" w:rsidRDefault="0014766B" w:rsidP="00C35A91">
      <w:pPr>
        <w:spacing w:after="240" w:line="240" w:lineRule="auto"/>
        <w:rPr>
          <w:rStyle w:val="st"/>
          <w:rFonts w:cs="Arial"/>
          <w:sz w:val="24"/>
          <w:szCs w:val="24"/>
        </w:rPr>
      </w:pPr>
      <w:r w:rsidRPr="00C35A91">
        <w:rPr>
          <w:rStyle w:val="st"/>
          <w:rFonts w:cs="Arial"/>
          <w:sz w:val="24"/>
          <w:szCs w:val="24"/>
        </w:rPr>
        <w:t>Klein, R.</w:t>
      </w:r>
      <w:r w:rsidR="0062631D" w:rsidRPr="00C35A91">
        <w:rPr>
          <w:rStyle w:val="st"/>
          <w:rFonts w:cs="Arial"/>
          <w:sz w:val="24"/>
          <w:szCs w:val="24"/>
        </w:rPr>
        <w:t xml:space="preserve"> (1973)</w:t>
      </w:r>
      <w:r w:rsidRPr="00C35A91">
        <w:rPr>
          <w:rStyle w:val="st"/>
          <w:rFonts w:cs="Arial"/>
          <w:sz w:val="24"/>
          <w:szCs w:val="24"/>
        </w:rPr>
        <w:t xml:space="preserve">, </w:t>
      </w:r>
      <w:r w:rsidRPr="00C35A91">
        <w:rPr>
          <w:rStyle w:val="st"/>
          <w:rFonts w:cs="Arial"/>
          <w:i/>
          <w:sz w:val="24"/>
          <w:szCs w:val="24"/>
        </w:rPr>
        <w:t xml:space="preserve">Complaints </w:t>
      </w:r>
      <w:r w:rsidR="003B7BAA" w:rsidRPr="00C35A91">
        <w:rPr>
          <w:rStyle w:val="st"/>
          <w:rFonts w:cs="Arial"/>
          <w:i/>
          <w:sz w:val="24"/>
          <w:szCs w:val="24"/>
        </w:rPr>
        <w:t>against</w:t>
      </w:r>
      <w:r w:rsidRPr="00C35A91">
        <w:rPr>
          <w:rStyle w:val="st"/>
          <w:rFonts w:cs="Arial"/>
          <w:i/>
          <w:sz w:val="24"/>
          <w:szCs w:val="24"/>
        </w:rPr>
        <w:t xml:space="preserve"> Doctors: A Study in Professional Accountability</w:t>
      </w:r>
      <w:r w:rsidR="00A5688D" w:rsidRPr="00C35A91">
        <w:rPr>
          <w:rStyle w:val="st"/>
          <w:rFonts w:cs="Arial"/>
          <w:sz w:val="24"/>
          <w:szCs w:val="24"/>
        </w:rPr>
        <w:t xml:space="preserve">. </w:t>
      </w:r>
      <w:r w:rsidRPr="00C35A91">
        <w:rPr>
          <w:rStyle w:val="st"/>
          <w:rFonts w:cs="Arial"/>
          <w:sz w:val="24"/>
          <w:szCs w:val="24"/>
        </w:rPr>
        <w:t>London</w:t>
      </w:r>
      <w:r w:rsidR="00A5688D" w:rsidRPr="00C35A91">
        <w:rPr>
          <w:rStyle w:val="st"/>
          <w:rFonts w:cs="Arial"/>
          <w:sz w:val="24"/>
          <w:szCs w:val="24"/>
        </w:rPr>
        <w:t>Charles Knight</w:t>
      </w:r>
      <w:r w:rsidRPr="00C35A91">
        <w:rPr>
          <w:rStyle w:val="st"/>
          <w:rFonts w:cs="Arial"/>
          <w:sz w:val="24"/>
          <w:szCs w:val="24"/>
        </w:rPr>
        <w:t>.</w:t>
      </w:r>
    </w:p>
    <w:p w:rsidR="00E01D2F" w:rsidRPr="00C35A91" w:rsidRDefault="00E01D2F" w:rsidP="00C35A91">
      <w:pPr>
        <w:spacing w:after="240" w:line="240" w:lineRule="auto"/>
        <w:contextualSpacing/>
        <w:textAlignment w:val="baseline"/>
        <w:rPr>
          <w:rFonts w:eastAsia="Times New Roman" w:cs="Times New Roman"/>
          <w:color w:val="333333"/>
          <w:sz w:val="24"/>
          <w:szCs w:val="24"/>
        </w:rPr>
      </w:pPr>
      <w:r w:rsidRPr="00C35A91">
        <w:rPr>
          <w:rFonts w:eastAsia="Times New Roman" w:cs="Times New Roman"/>
          <w:color w:val="333333"/>
          <w:sz w:val="24"/>
          <w:szCs w:val="24"/>
        </w:rPr>
        <w:t>Ladden M.D., Bednash, G., Steves, D.P., N., Moore, G.P. (2006). Educating interprofessional learners for quality, safety and systems improvement.</w:t>
      </w:r>
      <w:r w:rsidRPr="00C35A91">
        <w:rPr>
          <w:rFonts w:eastAsia="Times New Roman" w:cs="Times New Roman"/>
          <w:i/>
          <w:iCs/>
          <w:color w:val="333333"/>
          <w:sz w:val="24"/>
          <w:szCs w:val="24"/>
        </w:rPr>
        <w:t>Journal of Interprofessional Care</w:t>
      </w:r>
      <w:r w:rsidRPr="00C35A91">
        <w:rPr>
          <w:rFonts w:eastAsia="Times New Roman" w:cs="Times New Roman"/>
          <w:color w:val="333333"/>
          <w:sz w:val="24"/>
          <w:szCs w:val="24"/>
        </w:rPr>
        <w:t>, 20(5), 497–505</w:t>
      </w:r>
    </w:p>
    <w:p w:rsidR="00C35A91" w:rsidRPr="00C35A91" w:rsidRDefault="00C35A91" w:rsidP="00C35A91">
      <w:pPr>
        <w:spacing w:after="240" w:line="240" w:lineRule="auto"/>
        <w:contextualSpacing/>
        <w:textAlignment w:val="baseline"/>
        <w:rPr>
          <w:rFonts w:eastAsia="Times New Roman" w:cs="Times New Roman"/>
          <w:color w:val="333333"/>
          <w:sz w:val="24"/>
          <w:szCs w:val="24"/>
        </w:rPr>
      </w:pPr>
    </w:p>
    <w:p w:rsidR="002F32D1" w:rsidRPr="00C35A91" w:rsidRDefault="002F32D1" w:rsidP="00C35A91">
      <w:pPr>
        <w:spacing w:after="240" w:line="240" w:lineRule="auto"/>
        <w:contextualSpacing/>
        <w:textAlignment w:val="baseline"/>
        <w:rPr>
          <w:rFonts w:eastAsia="Times New Roman" w:cs="Times New Roman"/>
          <w:color w:val="333333"/>
          <w:sz w:val="24"/>
          <w:szCs w:val="24"/>
        </w:rPr>
      </w:pPr>
      <w:r w:rsidRPr="00C35A91">
        <w:rPr>
          <w:rFonts w:eastAsia="Times New Roman" w:cs="Times New Roman"/>
          <w:color w:val="333333"/>
          <w:sz w:val="24"/>
          <w:szCs w:val="24"/>
        </w:rPr>
        <w:t xml:space="preserve">Laming </w:t>
      </w:r>
      <w:r w:rsidR="00C35A91">
        <w:rPr>
          <w:rFonts w:eastAsia="Times New Roman" w:cs="Times New Roman"/>
          <w:color w:val="333333"/>
          <w:sz w:val="24"/>
          <w:szCs w:val="24"/>
        </w:rPr>
        <w:t xml:space="preserve">L </w:t>
      </w:r>
      <w:r w:rsidRPr="00C35A91">
        <w:rPr>
          <w:rFonts w:eastAsia="Times New Roman" w:cs="Times New Roman"/>
          <w:color w:val="333333"/>
          <w:sz w:val="24"/>
          <w:szCs w:val="24"/>
        </w:rPr>
        <w:t>(2003).The Victoria Climbi</w:t>
      </w:r>
      <w:r w:rsidRPr="00C35A91">
        <w:rPr>
          <w:rFonts w:ascii="Times New Roman" w:eastAsia="Times New Roman" w:hAnsi="Times New Roman" w:cs="Times New Roman"/>
          <w:color w:val="333333"/>
          <w:sz w:val="24"/>
          <w:szCs w:val="24"/>
        </w:rPr>
        <w:t>é</w:t>
      </w:r>
      <w:r w:rsidRPr="00C35A91">
        <w:rPr>
          <w:rFonts w:eastAsia="Times New Roman" w:cs="Times New Roman"/>
          <w:color w:val="333333"/>
          <w:sz w:val="24"/>
          <w:szCs w:val="24"/>
        </w:rPr>
        <w:t xml:space="preserve"> Inquiry. CM5730. London: The Stationery Office.</w:t>
      </w:r>
    </w:p>
    <w:p w:rsidR="00C35A91" w:rsidRPr="00C35A91" w:rsidRDefault="00C35A91" w:rsidP="00C35A91">
      <w:pPr>
        <w:spacing w:after="240" w:line="240" w:lineRule="auto"/>
        <w:contextualSpacing/>
        <w:textAlignment w:val="baseline"/>
        <w:rPr>
          <w:rFonts w:eastAsia="Times New Roman" w:cs="Times New Roman"/>
          <w:color w:val="333333"/>
          <w:sz w:val="24"/>
          <w:szCs w:val="24"/>
        </w:rPr>
      </w:pPr>
    </w:p>
    <w:p w:rsidR="00D41396" w:rsidRPr="00C35A91" w:rsidRDefault="00D41396" w:rsidP="00C35A91">
      <w:pPr>
        <w:spacing w:after="240" w:line="240" w:lineRule="auto"/>
        <w:contextualSpacing/>
        <w:textAlignment w:val="baseline"/>
        <w:rPr>
          <w:rFonts w:eastAsia="Times New Roman" w:cs="Times New Roman"/>
          <w:color w:val="333333"/>
          <w:sz w:val="24"/>
          <w:szCs w:val="24"/>
        </w:rPr>
      </w:pPr>
      <w:r w:rsidRPr="00C35A91">
        <w:rPr>
          <w:rFonts w:eastAsia="Times New Roman" w:cs="Times New Roman"/>
          <w:color w:val="333333"/>
          <w:sz w:val="24"/>
          <w:szCs w:val="24"/>
        </w:rPr>
        <w:t>Laming</w:t>
      </w:r>
      <w:r w:rsidR="00C35A91">
        <w:rPr>
          <w:rFonts w:eastAsia="Times New Roman" w:cs="Times New Roman"/>
          <w:color w:val="333333"/>
          <w:sz w:val="24"/>
          <w:szCs w:val="24"/>
        </w:rPr>
        <w:t xml:space="preserve"> L</w:t>
      </w:r>
      <w:r w:rsidRPr="00C35A91">
        <w:rPr>
          <w:rFonts w:eastAsia="Times New Roman" w:cs="Times New Roman"/>
          <w:color w:val="333333"/>
          <w:sz w:val="24"/>
          <w:szCs w:val="24"/>
        </w:rPr>
        <w:t>, (2009).</w:t>
      </w:r>
      <w:r w:rsidRPr="00C35A91">
        <w:rPr>
          <w:rFonts w:eastAsia="Times New Roman" w:cs="Times New Roman"/>
          <w:i/>
          <w:color w:val="333333"/>
          <w:sz w:val="24"/>
          <w:szCs w:val="24"/>
        </w:rPr>
        <w:t>The Protection of Children in England: A Progress Report</w:t>
      </w:r>
      <w:r w:rsidRPr="00C35A91">
        <w:rPr>
          <w:rFonts w:eastAsia="Times New Roman" w:cs="Times New Roman"/>
          <w:color w:val="333333"/>
          <w:sz w:val="24"/>
          <w:szCs w:val="24"/>
        </w:rPr>
        <w:t xml:space="preserve">. London: The Stationery Office. </w:t>
      </w:r>
      <w:r w:rsidR="00C35A91" w:rsidRPr="00C35A91">
        <w:rPr>
          <w:rFonts w:eastAsia="Times New Roman" w:cs="Times New Roman"/>
          <w:color w:val="333333"/>
          <w:sz w:val="24"/>
          <w:szCs w:val="24"/>
        </w:rPr>
        <w:t>Retrieved from:</w:t>
      </w:r>
      <w:hyperlink r:id="rId11" w:history="1">
        <w:r w:rsidRPr="00C35A91">
          <w:rPr>
            <w:rStyle w:val="Hyperlink"/>
            <w:rFonts w:eastAsia="Times New Roman"/>
            <w:sz w:val="24"/>
            <w:szCs w:val="24"/>
          </w:rPr>
          <w:t>http://dera.ioe.ac.uk/8646/1/12_03_09_children.pdf</w:t>
        </w:r>
      </w:hyperlink>
    </w:p>
    <w:p w:rsidR="00C35A91" w:rsidRDefault="00C35A91" w:rsidP="00C35A91">
      <w:pPr>
        <w:spacing w:after="240" w:line="240" w:lineRule="auto"/>
        <w:contextualSpacing/>
        <w:textAlignment w:val="baseline"/>
        <w:rPr>
          <w:rFonts w:eastAsia="Times New Roman" w:cs="Times New Roman"/>
          <w:color w:val="333333"/>
          <w:sz w:val="24"/>
          <w:szCs w:val="24"/>
        </w:rPr>
      </w:pPr>
    </w:p>
    <w:p w:rsidR="00A91754" w:rsidRPr="00C35A91" w:rsidRDefault="00621C94" w:rsidP="00C35A91">
      <w:pPr>
        <w:spacing w:after="240" w:line="240" w:lineRule="auto"/>
        <w:contextualSpacing/>
        <w:textAlignment w:val="baseline"/>
        <w:rPr>
          <w:rFonts w:eastAsia="Times New Roman" w:cs="Times New Roman"/>
          <w:color w:val="333333"/>
          <w:sz w:val="24"/>
          <w:szCs w:val="24"/>
        </w:rPr>
      </w:pPr>
      <w:r>
        <w:rPr>
          <w:rFonts w:eastAsia="Times New Roman" w:cs="Times New Roman"/>
          <w:color w:val="333333"/>
          <w:sz w:val="24"/>
          <w:szCs w:val="24"/>
        </w:rPr>
        <w:t>Maggs, C</w:t>
      </w:r>
      <w:r w:rsidR="00A91754" w:rsidRPr="00C35A91">
        <w:rPr>
          <w:rFonts w:eastAsia="Times New Roman" w:cs="Times New Roman"/>
          <w:color w:val="333333"/>
          <w:sz w:val="24"/>
          <w:szCs w:val="24"/>
        </w:rPr>
        <w:t xml:space="preserve">. (1983). </w:t>
      </w:r>
      <w:r w:rsidR="004C77AD" w:rsidRPr="00C35A91">
        <w:rPr>
          <w:rFonts w:eastAsia="Times New Roman" w:cs="Times New Roman"/>
          <w:i/>
          <w:color w:val="333333"/>
          <w:sz w:val="24"/>
          <w:szCs w:val="24"/>
        </w:rPr>
        <w:t>The Origins of General Nursing</w:t>
      </w:r>
      <w:r w:rsidR="00A91754" w:rsidRPr="00C35A91">
        <w:rPr>
          <w:rFonts w:eastAsia="Times New Roman" w:cs="Times New Roman"/>
          <w:color w:val="333333"/>
          <w:sz w:val="24"/>
          <w:szCs w:val="24"/>
        </w:rPr>
        <w:t>.London :Croom Helm.</w:t>
      </w:r>
    </w:p>
    <w:p w:rsidR="00C35A91" w:rsidRPr="00C35A91" w:rsidRDefault="00C35A91" w:rsidP="00C35A91">
      <w:pPr>
        <w:spacing w:after="240" w:line="240" w:lineRule="auto"/>
        <w:contextualSpacing/>
        <w:textAlignment w:val="baseline"/>
        <w:rPr>
          <w:rFonts w:eastAsia="Times New Roman" w:cs="Times New Roman"/>
          <w:color w:val="333333"/>
          <w:sz w:val="24"/>
          <w:szCs w:val="24"/>
        </w:rPr>
      </w:pPr>
    </w:p>
    <w:p w:rsidR="00E01D2F" w:rsidRPr="00C35A91" w:rsidRDefault="0062631D" w:rsidP="00C35A91">
      <w:pPr>
        <w:spacing w:after="240" w:line="240" w:lineRule="auto"/>
        <w:contextualSpacing/>
        <w:textAlignment w:val="baseline"/>
        <w:rPr>
          <w:rFonts w:eastAsia="Times New Roman" w:cs="Times New Roman"/>
          <w:color w:val="333333"/>
          <w:sz w:val="24"/>
          <w:szCs w:val="24"/>
        </w:rPr>
      </w:pPr>
      <w:r w:rsidRPr="00C35A91">
        <w:rPr>
          <w:rFonts w:eastAsia="Times New Roman" w:cs="Times New Roman"/>
          <w:color w:val="333333"/>
          <w:sz w:val="24"/>
          <w:szCs w:val="24"/>
        </w:rPr>
        <w:t>Merry</w:t>
      </w:r>
      <w:r w:rsidR="003C5850" w:rsidRPr="00C35A91">
        <w:rPr>
          <w:rFonts w:eastAsia="Times New Roman" w:cs="Times New Roman"/>
          <w:color w:val="333333"/>
          <w:sz w:val="24"/>
          <w:szCs w:val="24"/>
        </w:rPr>
        <w:t xml:space="preserve">, A. </w:t>
      </w:r>
      <w:r w:rsidR="00621C94">
        <w:rPr>
          <w:rFonts w:eastAsia="Times New Roman" w:cs="Times New Roman"/>
          <w:color w:val="333333"/>
          <w:sz w:val="24"/>
          <w:szCs w:val="24"/>
        </w:rPr>
        <w:t>&amp;</w:t>
      </w:r>
      <w:r w:rsidRPr="00C35A91">
        <w:rPr>
          <w:rFonts w:eastAsia="Times New Roman" w:cs="Times New Roman"/>
          <w:color w:val="333333"/>
          <w:sz w:val="24"/>
          <w:szCs w:val="24"/>
        </w:rPr>
        <w:t>McCall Smith</w:t>
      </w:r>
      <w:r w:rsidR="003C5850" w:rsidRPr="00C35A91">
        <w:rPr>
          <w:rFonts w:eastAsia="Times New Roman" w:cs="Times New Roman"/>
          <w:color w:val="333333"/>
          <w:sz w:val="24"/>
          <w:szCs w:val="24"/>
        </w:rPr>
        <w:t>, A.</w:t>
      </w:r>
      <w:r w:rsidRPr="00C35A91">
        <w:rPr>
          <w:rFonts w:eastAsia="Times New Roman" w:cs="Times New Roman"/>
          <w:color w:val="333333"/>
          <w:sz w:val="24"/>
          <w:szCs w:val="24"/>
        </w:rPr>
        <w:t xml:space="preserve"> (2001), </w:t>
      </w:r>
      <w:r w:rsidRPr="00C35A91">
        <w:rPr>
          <w:rFonts w:eastAsia="Times New Roman" w:cs="Times New Roman"/>
          <w:i/>
          <w:color w:val="333333"/>
          <w:sz w:val="24"/>
          <w:szCs w:val="24"/>
        </w:rPr>
        <w:t>Errors, Medicine and the Law</w:t>
      </w:r>
      <w:r w:rsidR="00A5688D" w:rsidRPr="00C35A91">
        <w:rPr>
          <w:rFonts w:eastAsia="Times New Roman" w:cs="Times New Roman"/>
          <w:color w:val="333333"/>
          <w:sz w:val="24"/>
          <w:szCs w:val="24"/>
        </w:rPr>
        <w:t>.</w:t>
      </w:r>
      <w:r w:rsidR="003B7BAA" w:rsidRPr="00C35A91">
        <w:rPr>
          <w:rFonts w:eastAsia="Times New Roman" w:cs="Times New Roman"/>
          <w:color w:val="333333"/>
          <w:sz w:val="24"/>
          <w:szCs w:val="24"/>
        </w:rPr>
        <w:t xml:space="preserve">Cambridge: </w:t>
      </w:r>
      <w:r w:rsidRPr="00C35A91">
        <w:rPr>
          <w:rFonts w:eastAsia="Times New Roman" w:cs="Times New Roman"/>
          <w:color w:val="333333"/>
          <w:sz w:val="24"/>
          <w:szCs w:val="24"/>
        </w:rPr>
        <w:t>Cambridge University Press.</w:t>
      </w:r>
    </w:p>
    <w:p w:rsidR="00C35A91" w:rsidRPr="00C35A91" w:rsidRDefault="00C35A91" w:rsidP="00C35A91">
      <w:pPr>
        <w:spacing w:after="240" w:line="240" w:lineRule="auto"/>
        <w:contextualSpacing/>
        <w:textAlignment w:val="baseline"/>
        <w:rPr>
          <w:rFonts w:eastAsia="Times New Roman" w:cs="Times New Roman"/>
          <w:color w:val="333333"/>
          <w:sz w:val="24"/>
          <w:szCs w:val="24"/>
        </w:rPr>
      </w:pPr>
    </w:p>
    <w:p w:rsidR="00E06A6F" w:rsidRPr="00C35A91" w:rsidRDefault="00E06A6F" w:rsidP="00C35A91">
      <w:pPr>
        <w:autoSpaceDE w:val="0"/>
        <w:autoSpaceDN w:val="0"/>
        <w:adjustRightInd w:val="0"/>
        <w:spacing w:after="240" w:line="240" w:lineRule="auto"/>
        <w:rPr>
          <w:rFonts w:cs="Courier"/>
          <w:sz w:val="24"/>
          <w:szCs w:val="24"/>
        </w:rPr>
      </w:pPr>
      <w:r w:rsidRPr="00C35A91">
        <w:rPr>
          <w:rFonts w:eastAsia="Times New Roman" w:cs="Times New Roman"/>
          <w:color w:val="333333"/>
          <w:sz w:val="24"/>
          <w:szCs w:val="24"/>
        </w:rPr>
        <w:t>McKin</w:t>
      </w:r>
      <w:r w:rsidR="00B540F4" w:rsidRPr="00C35A91">
        <w:rPr>
          <w:rFonts w:eastAsia="Times New Roman" w:cs="Times New Roman"/>
          <w:color w:val="333333"/>
          <w:sz w:val="24"/>
          <w:szCs w:val="24"/>
        </w:rPr>
        <w:t>s</w:t>
      </w:r>
      <w:r w:rsidRPr="00C35A91">
        <w:rPr>
          <w:rFonts w:eastAsia="Times New Roman" w:cs="Times New Roman"/>
          <w:color w:val="333333"/>
          <w:sz w:val="24"/>
          <w:szCs w:val="24"/>
        </w:rPr>
        <w:t xml:space="preserve">try, B. (1992). </w:t>
      </w:r>
      <w:r w:rsidRPr="00C35A91">
        <w:rPr>
          <w:rFonts w:cs="Courier"/>
          <w:sz w:val="24"/>
          <w:szCs w:val="24"/>
        </w:rPr>
        <w:t xml:space="preserve">Paternalism and the doctor-patient relationship in general practice British </w:t>
      </w:r>
      <w:r w:rsidRPr="00C35A91">
        <w:rPr>
          <w:rFonts w:cs="Courier"/>
          <w:i/>
          <w:sz w:val="24"/>
          <w:szCs w:val="24"/>
        </w:rPr>
        <w:t>Journal of General Practice</w:t>
      </w:r>
      <w:r w:rsidRPr="00C35A91">
        <w:rPr>
          <w:rFonts w:cs="Courier"/>
          <w:sz w:val="24"/>
          <w:szCs w:val="24"/>
        </w:rPr>
        <w:t>, 42, 340-342.</w:t>
      </w:r>
    </w:p>
    <w:p w:rsidR="003A0E8C" w:rsidRPr="00C35A91" w:rsidRDefault="003A0E8C" w:rsidP="00C35A91">
      <w:pPr>
        <w:autoSpaceDE w:val="0"/>
        <w:autoSpaceDN w:val="0"/>
        <w:adjustRightInd w:val="0"/>
        <w:spacing w:after="240" w:line="240" w:lineRule="auto"/>
        <w:rPr>
          <w:rFonts w:cs="Courier"/>
          <w:sz w:val="24"/>
          <w:szCs w:val="24"/>
        </w:rPr>
      </w:pPr>
      <w:r w:rsidRPr="00C35A91">
        <w:rPr>
          <w:rFonts w:cs="Courier"/>
          <w:sz w:val="24"/>
          <w:szCs w:val="24"/>
        </w:rPr>
        <w:t xml:space="preserve">Merry, A. (2009). How does the law recognise and deal with medical errors? In Hurwitz, R and Sheikh, A. </w:t>
      </w:r>
      <w:r w:rsidR="004C77AD" w:rsidRPr="00C35A91">
        <w:rPr>
          <w:rFonts w:cs="Courier"/>
          <w:i/>
          <w:sz w:val="24"/>
          <w:szCs w:val="24"/>
        </w:rPr>
        <w:t>Health Care Errors</w:t>
      </w:r>
      <w:r w:rsidRPr="00C35A91">
        <w:rPr>
          <w:rFonts w:cs="Courier"/>
          <w:sz w:val="24"/>
          <w:szCs w:val="24"/>
        </w:rPr>
        <w:t>. Oxford: Wiley-Blackwell.</w:t>
      </w:r>
    </w:p>
    <w:p w:rsidR="00871A39" w:rsidRPr="00C35A91" w:rsidRDefault="00871A39" w:rsidP="00C35A91">
      <w:pPr>
        <w:autoSpaceDE w:val="0"/>
        <w:autoSpaceDN w:val="0"/>
        <w:adjustRightInd w:val="0"/>
        <w:spacing w:after="240" w:line="240" w:lineRule="auto"/>
        <w:rPr>
          <w:rFonts w:cs="Courier"/>
          <w:sz w:val="24"/>
          <w:szCs w:val="24"/>
        </w:rPr>
      </w:pPr>
      <w:r w:rsidRPr="00C35A91">
        <w:rPr>
          <w:rFonts w:cs="Courier"/>
          <w:sz w:val="24"/>
          <w:szCs w:val="24"/>
        </w:rPr>
        <w:t xml:space="preserve">Miles, S.H. (2005). </w:t>
      </w:r>
      <w:r w:rsidRPr="00C35A91">
        <w:rPr>
          <w:rFonts w:cs="Courier"/>
          <w:i/>
          <w:sz w:val="24"/>
          <w:szCs w:val="24"/>
        </w:rPr>
        <w:t>The Hippocratic Oath and the ethics of Medicine</w:t>
      </w:r>
      <w:r w:rsidRPr="00C35A91">
        <w:rPr>
          <w:rFonts w:cs="Courier"/>
          <w:sz w:val="24"/>
          <w:szCs w:val="24"/>
        </w:rPr>
        <w:t xml:space="preserve">. Oxford University Press: Oxford, P 2. </w:t>
      </w:r>
    </w:p>
    <w:p w:rsidR="00661321" w:rsidRPr="00C35A91" w:rsidRDefault="00661321" w:rsidP="00C35A91">
      <w:pPr>
        <w:autoSpaceDE w:val="0"/>
        <w:autoSpaceDN w:val="0"/>
        <w:adjustRightInd w:val="0"/>
        <w:spacing w:after="240" w:line="240" w:lineRule="auto"/>
        <w:rPr>
          <w:rFonts w:cs="Courier"/>
          <w:sz w:val="24"/>
          <w:szCs w:val="24"/>
        </w:rPr>
      </w:pPr>
      <w:r w:rsidRPr="00C35A91">
        <w:rPr>
          <w:rFonts w:cs="Courier"/>
          <w:sz w:val="24"/>
          <w:szCs w:val="24"/>
        </w:rPr>
        <w:t>Mulcahy, L. (2003).</w:t>
      </w:r>
      <w:r w:rsidR="00A5688D" w:rsidRPr="00C35A91">
        <w:rPr>
          <w:rFonts w:cs="Courier"/>
          <w:sz w:val="24"/>
          <w:szCs w:val="24"/>
        </w:rPr>
        <w:t>Disputing Doctors : The Socio-Legal Dynamics of Complaints about Medical Care</w:t>
      </w:r>
      <w:r w:rsidR="003B7BAA" w:rsidRPr="00C35A91">
        <w:rPr>
          <w:sz w:val="24"/>
          <w:szCs w:val="24"/>
        </w:rPr>
        <w:t xml:space="preserve">. </w:t>
      </w:r>
      <w:r w:rsidR="003B7BAA" w:rsidRPr="00C35A91">
        <w:rPr>
          <w:rFonts w:cs="Courier"/>
          <w:sz w:val="24"/>
          <w:szCs w:val="24"/>
        </w:rPr>
        <w:t>Maidenhead: McGraw-Hill Education.</w:t>
      </w:r>
    </w:p>
    <w:p w:rsidR="00E01D2F" w:rsidRPr="00C35A91" w:rsidRDefault="009C235C" w:rsidP="003C65C2">
      <w:pPr>
        <w:spacing w:after="0" w:line="240" w:lineRule="auto"/>
        <w:contextualSpacing/>
        <w:textAlignment w:val="baseline"/>
        <w:rPr>
          <w:rFonts w:cs="Arial"/>
          <w:sz w:val="24"/>
          <w:szCs w:val="24"/>
        </w:rPr>
      </w:pPr>
      <w:r w:rsidRPr="00C35A91">
        <w:rPr>
          <w:rFonts w:eastAsia="Times New Roman" w:cs="Times New Roman"/>
          <w:color w:val="333333"/>
          <w:sz w:val="24"/>
          <w:szCs w:val="24"/>
        </w:rPr>
        <w:t xml:space="preserve">Newton, J (2014). Group Conformity: The legacy continues. </w:t>
      </w:r>
      <w:r w:rsidRPr="00C35A91">
        <w:rPr>
          <w:rFonts w:eastAsia="Times New Roman" w:cs="Times New Roman"/>
          <w:bCs/>
          <w:i/>
          <w:iCs/>
          <w:color w:val="333333"/>
          <w:sz w:val="24"/>
          <w:szCs w:val="24"/>
        </w:rPr>
        <w:t>Medical Education</w:t>
      </w:r>
      <w:r w:rsidRPr="00C35A91">
        <w:rPr>
          <w:rFonts w:eastAsia="Times New Roman" w:cs="Times New Roman"/>
          <w:color w:val="333333"/>
          <w:sz w:val="24"/>
          <w:szCs w:val="24"/>
        </w:rPr>
        <w:t>, 48, 842-848.</w:t>
      </w:r>
    </w:p>
    <w:p w:rsidR="003C65C2" w:rsidRDefault="003C65C2" w:rsidP="003C65C2">
      <w:pPr>
        <w:spacing w:after="0" w:line="240" w:lineRule="auto"/>
        <w:rPr>
          <w:rStyle w:val="st"/>
          <w:rFonts w:cs="Arial"/>
          <w:sz w:val="24"/>
          <w:szCs w:val="24"/>
        </w:rPr>
      </w:pPr>
    </w:p>
    <w:p w:rsidR="003C65C2" w:rsidRDefault="00133084" w:rsidP="003C65C2">
      <w:pPr>
        <w:spacing w:after="0" w:line="240" w:lineRule="auto"/>
        <w:rPr>
          <w:rStyle w:val="st"/>
          <w:rFonts w:cs="Arial"/>
          <w:i/>
          <w:sz w:val="24"/>
          <w:szCs w:val="24"/>
        </w:rPr>
      </w:pPr>
      <w:r w:rsidRPr="00C35A91">
        <w:rPr>
          <w:rStyle w:val="st"/>
          <w:rFonts w:cs="Arial"/>
          <w:sz w:val="24"/>
          <w:szCs w:val="24"/>
        </w:rPr>
        <w:t xml:space="preserve">Pietroni, P. </w:t>
      </w:r>
      <w:r w:rsidR="003B7BAA" w:rsidRPr="00C35A91">
        <w:rPr>
          <w:rStyle w:val="st"/>
          <w:rFonts w:cs="Arial"/>
          <w:sz w:val="24"/>
          <w:szCs w:val="24"/>
        </w:rPr>
        <w:t>(</w:t>
      </w:r>
      <w:r w:rsidRPr="00C35A91">
        <w:rPr>
          <w:rStyle w:val="st"/>
          <w:rFonts w:cs="Arial"/>
          <w:sz w:val="24"/>
          <w:szCs w:val="24"/>
        </w:rPr>
        <w:t>1992). Towards reflective practice – languages of health and social care.</w:t>
      </w:r>
      <w:r w:rsidRPr="00C35A91">
        <w:rPr>
          <w:rStyle w:val="st"/>
          <w:rFonts w:cs="Arial"/>
          <w:i/>
          <w:sz w:val="24"/>
          <w:szCs w:val="24"/>
        </w:rPr>
        <w:t>Journal of Interprofessional Care, (1) Spring, 7-16.</w:t>
      </w:r>
    </w:p>
    <w:p w:rsidR="003C65C2" w:rsidRDefault="003C65C2" w:rsidP="003C65C2">
      <w:pPr>
        <w:spacing w:after="0" w:line="240" w:lineRule="auto"/>
        <w:rPr>
          <w:rStyle w:val="st"/>
          <w:rFonts w:cs="Arial"/>
          <w:i/>
          <w:sz w:val="24"/>
          <w:szCs w:val="24"/>
        </w:rPr>
      </w:pPr>
    </w:p>
    <w:p w:rsidR="003C65C2" w:rsidRPr="00C35A91" w:rsidRDefault="003C65C2" w:rsidP="003C65C2">
      <w:pPr>
        <w:spacing w:after="0" w:line="240" w:lineRule="auto"/>
        <w:contextualSpacing/>
        <w:textAlignment w:val="baseline"/>
        <w:rPr>
          <w:rFonts w:cs="Arial"/>
          <w:sz w:val="24"/>
          <w:szCs w:val="24"/>
        </w:rPr>
      </w:pPr>
      <w:r w:rsidRPr="00C35A91">
        <w:rPr>
          <w:rFonts w:cs="Arial"/>
          <w:sz w:val="24"/>
          <w:szCs w:val="24"/>
        </w:rPr>
        <w:t xml:space="preserve">Porter, R.(1999). </w:t>
      </w:r>
      <w:r w:rsidRPr="00C35A91">
        <w:rPr>
          <w:rFonts w:cs="Arial"/>
          <w:i/>
          <w:sz w:val="24"/>
          <w:szCs w:val="24"/>
        </w:rPr>
        <w:t>The Greatest Benefit to Mankind: A Medical History of Humanity from Antiquity to the Present</w:t>
      </w:r>
      <w:r w:rsidRPr="00C35A91">
        <w:rPr>
          <w:rFonts w:cs="Arial"/>
          <w:sz w:val="24"/>
          <w:szCs w:val="24"/>
        </w:rPr>
        <w:t>. London: Fontana Press.</w:t>
      </w:r>
    </w:p>
    <w:p w:rsidR="003C65C2" w:rsidRPr="00C35A91" w:rsidRDefault="003C65C2" w:rsidP="003C65C2">
      <w:pPr>
        <w:spacing w:after="240" w:line="240" w:lineRule="auto"/>
        <w:contextualSpacing/>
        <w:textAlignment w:val="baseline"/>
        <w:rPr>
          <w:rFonts w:cs="Arial"/>
          <w:sz w:val="24"/>
          <w:szCs w:val="24"/>
        </w:rPr>
      </w:pPr>
    </w:p>
    <w:p w:rsidR="003C65C2" w:rsidRDefault="003C65C2" w:rsidP="00C35A91">
      <w:pPr>
        <w:spacing w:after="240" w:line="240" w:lineRule="auto"/>
        <w:rPr>
          <w:rStyle w:val="st"/>
          <w:rFonts w:cs="Arial"/>
          <w:i/>
          <w:sz w:val="24"/>
          <w:szCs w:val="24"/>
        </w:rPr>
      </w:pPr>
    </w:p>
    <w:p w:rsidR="0014766B" w:rsidRPr="00C35A91" w:rsidRDefault="0014766B" w:rsidP="00C35A91">
      <w:pPr>
        <w:spacing w:after="240" w:line="240" w:lineRule="auto"/>
        <w:rPr>
          <w:rStyle w:val="st"/>
          <w:rFonts w:cs="Arial"/>
          <w:sz w:val="24"/>
          <w:szCs w:val="24"/>
        </w:rPr>
      </w:pPr>
      <w:r w:rsidRPr="00C35A91">
        <w:rPr>
          <w:rStyle w:val="st"/>
          <w:rFonts w:cs="Arial"/>
          <w:sz w:val="24"/>
          <w:szCs w:val="24"/>
        </w:rPr>
        <w:t>Price, K.</w:t>
      </w:r>
      <w:r w:rsidR="003B7BAA" w:rsidRPr="00C35A91">
        <w:rPr>
          <w:rStyle w:val="st"/>
          <w:rFonts w:cs="Arial"/>
          <w:sz w:val="24"/>
          <w:szCs w:val="24"/>
        </w:rPr>
        <w:t>(2015).</w:t>
      </w:r>
      <w:r w:rsidRPr="00C35A91">
        <w:rPr>
          <w:rStyle w:val="st"/>
          <w:rFonts w:cs="Arial"/>
          <w:i/>
          <w:sz w:val="24"/>
          <w:szCs w:val="24"/>
        </w:rPr>
        <w:t>Medical Negligence in Victorian Britain: the Crisis of Care under the English Poor Law, c.1834-1900</w:t>
      </w:r>
      <w:r w:rsidR="003B7BAA" w:rsidRPr="00C35A91">
        <w:rPr>
          <w:rStyle w:val="st"/>
          <w:rFonts w:cs="Arial"/>
          <w:sz w:val="24"/>
          <w:szCs w:val="24"/>
        </w:rPr>
        <w:t xml:space="preserve">. </w:t>
      </w:r>
      <w:r w:rsidRPr="00C35A91">
        <w:rPr>
          <w:rStyle w:val="st"/>
          <w:rFonts w:cs="Arial"/>
          <w:sz w:val="24"/>
          <w:szCs w:val="24"/>
        </w:rPr>
        <w:t>London: Bloomsbury Academic</w:t>
      </w:r>
      <w:r w:rsidR="003B7BAA" w:rsidRPr="00C35A91">
        <w:rPr>
          <w:rStyle w:val="st"/>
          <w:rFonts w:cs="Arial"/>
          <w:sz w:val="24"/>
          <w:szCs w:val="24"/>
        </w:rPr>
        <w:t xml:space="preserve">. </w:t>
      </w:r>
    </w:p>
    <w:p w:rsidR="00256BB5" w:rsidRPr="00C35A91" w:rsidRDefault="009A47E6" w:rsidP="00C35A91">
      <w:pPr>
        <w:spacing w:after="240" w:line="240" w:lineRule="auto"/>
        <w:rPr>
          <w:rStyle w:val="st"/>
          <w:rFonts w:cs="Arial"/>
          <w:sz w:val="24"/>
          <w:szCs w:val="24"/>
        </w:rPr>
      </w:pPr>
      <w:r w:rsidRPr="00C35A91">
        <w:rPr>
          <w:rFonts w:cs="Arial"/>
          <w:sz w:val="24"/>
          <w:szCs w:val="24"/>
        </w:rPr>
        <w:t xml:space="preserve">Pronovost, P., Vohr, E. (2010). </w:t>
      </w:r>
      <w:r w:rsidRPr="00C35A91">
        <w:rPr>
          <w:rFonts w:cs="Arial"/>
          <w:i/>
          <w:iCs/>
          <w:sz w:val="24"/>
          <w:szCs w:val="24"/>
        </w:rPr>
        <w:t>Safe Patients Smart Hospitals</w:t>
      </w:r>
      <w:r w:rsidRPr="00C35A91">
        <w:rPr>
          <w:rFonts w:cs="Arial"/>
          <w:sz w:val="24"/>
          <w:szCs w:val="24"/>
        </w:rPr>
        <w:t>.</w:t>
      </w:r>
      <w:r w:rsidR="00E01D2F" w:rsidRPr="00C35A91">
        <w:rPr>
          <w:rFonts w:cs="Arial"/>
          <w:sz w:val="24"/>
          <w:szCs w:val="24"/>
        </w:rPr>
        <w:t xml:space="preserve">London </w:t>
      </w:r>
      <w:r w:rsidRPr="00C35A91">
        <w:rPr>
          <w:rFonts w:cs="Arial"/>
          <w:sz w:val="24"/>
          <w:szCs w:val="24"/>
        </w:rPr>
        <w:t>Hudson Street</w:t>
      </w:r>
      <w:r w:rsidR="00E01D2F" w:rsidRPr="00C35A91">
        <w:rPr>
          <w:rFonts w:cs="Arial"/>
          <w:sz w:val="24"/>
          <w:szCs w:val="24"/>
        </w:rPr>
        <w:t>:</w:t>
      </w:r>
      <w:r w:rsidRPr="00C35A91">
        <w:rPr>
          <w:rFonts w:cs="Arial"/>
          <w:sz w:val="24"/>
          <w:szCs w:val="24"/>
        </w:rPr>
        <w:t xml:space="preserve"> Press.</w:t>
      </w:r>
    </w:p>
    <w:p w:rsidR="00B32531" w:rsidRPr="00C35A91" w:rsidRDefault="00B32531" w:rsidP="00C35A91">
      <w:pPr>
        <w:spacing w:after="240" w:line="240" w:lineRule="auto"/>
        <w:rPr>
          <w:sz w:val="24"/>
          <w:szCs w:val="24"/>
        </w:rPr>
      </w:pPr>
      <w:r w:rsidRPr="00C35A91">
        <w:rPr>
          <w:sz w:val="24"/>
          <w:szCs w:val="24"/>
        </w:rPr>
        <w:t>Pronovost. P., Needham, D., Berenholtz, S. et al (2006). An intervention to decrease catheter-related bloodstream infections in the ICU.</w:t>
      </w:r>
      <w:r w:rsidRPr="00C35A91">
        <w:rPr>
          <w:i/>
          <w:sz w:val="24"/>
          <w:szCs w:val="24"/>
        </w:rPr>
        <w:t xml:space="preserve">New England Journal of Medicine, </w:t>
      </w:r>
      <w:r w:rsidRPr="00C35A91">
        <w:rPr>
          <w:sz w:val="24"/>
          <w:szCs w:val="24"/>
        </w:rPr>
        <w:t>255, 2725-32.</w:t>
      </w:r>
    </w:p>
    <w:p w:rsidR="005F40CA" w:rsidRPr="00C35A91" w:rsidRDefault="005F40CA" w:rsidP="00C35A91">
      <w:pPr>
        <w:spacing w:after="240" w:line="240" w:lineRule="auto"/>
        <w:rPr>
          <w:sz w:val="24"/>
          <w:szCs w:val="24"/>
        </w:rPr>
      </w:pPr>
      <w:r w:rsidRPr="00C35A91">
        <w:rPr>
          <w:sz w:val="24"/>
          <w:szCs w:val="24"/>
        </w:rPr>
        <w:t>Reason, J (199</w:t>
      </w:r>
      <w:r w:rsidR="00DB0FAA" w:rsidRPr="00C35A91">
        <w:rPr>
          <w:sz w:val="24"/>
          <w:szCs w:val="24"/>
        </w:rPr>
        <w:t>0</w:t>
      </w:r>
      <w:r w:rsidRPr="00C35A91">
        <w:rPr>
          <w:sz w:val="24"/>
          <w:szCs w:val="24"/>
        </w:rPr>
        <w:t>).</w:t>
      </w:r>
      <w:r w:rsidRPr="00C35A91">
        <w:rPr>
          <w:i/>
          <w:sz w:val="24"/>
          <w:szCs w:val="24"/>
        </w:rPr>
        <w:t>Human error.</w:t>
      </w:r>
      <w:r w:rsidR="00DB0FAA" w:rsidRPr="00C35A91">
        <w:rPr>
          <w:sz w:val="24"/>
          <w:szCs w:val="24"/>
        </w:rPr>
        <w:t xml:space="preserve"> New York: Cambridge University Press.</w:t>
      </w:r>
    </w:p>
    <w:p w:rsidR="005F40CA" w:rsidRPr="00C35A91" w:rsidRDefault="005F40CA" w:rsidP="00C35A91">
      <w:pPr>
        <w:spacing w:after="240" w:line="240" w:lineRule="auto"/>
        <w:rPr>
          <w:sz w:val="24"/>
          <w:szCs w:val="24"/>
        </w:rPr>
      </w:pPr>
      <w:r w:rsidRPr="00C35A91">
        <w:rPr>
          <w:sz w:val="24"/>
          <w:szCs w:val="24"/>
        </w:rPr>
        <w:t xml:space="preserve">Reason, J. (2000). Human error:models and management. </w:t>
      </w:r>
      <w:r w:rsidRPr="00C35A91">
        <w:rPr>
          <w:i/>
          <w:sz w:val="24"/>
          <w:szCs w:val="24"/>
        </w:rPr>
        <w:t>B</w:t>
      </w:r>
      <w:r w:rsidR="00DB0FAA" w:rsidRPr="00C35A91">
        <w:rPr>
          <w:i/>
          <w:sz w:val="24"/>
          <w:szCs w:val="24"/>
        </w:rPr>
        <w:t xml:space="preserve">ritish </w:t>
      </w:r>
      <w:r w:rsidRPr="00C35A91">
        <w:rPr>
          <w:i/>
          <w:sz w:val="24"/>
          <w:szCs w:val="24"/>
        </w:rPr>
        <w:t>M</w:t>
      </w:r>
      <w:r w:rsidR="00DB0FAA" w:rsidRPr="00C35A91">
        <w:rPr>
          <w:i/>
          <w:sz w:val="24"/>
          <w:szCs w:val="24"/>
        </w:rPr>
        <w:t xml:space="preserve">edical </w:t>
      </w:r>
      <w:r w:rsidRPr="00C35A91">
        <w:rPr>
          <w:i/>
          <w:sz w:val="24"/>
          <w:szCs w:val="24"/>
        </w:rPr>
        <w:t>J</w:t>
      </w:r>
      <w:r w:rsidR="00DB0FAA" w:rsidRPr="00C35A91">
        <w:rPr>
          <w:i/>
          <w:sz w:val="24"/>
          <w:szCs w:val="24"/>
        </w:rPr>
        <w:t>ournal</w:t>
      </w:r>
      <w:r w:rsidRPr="00C35A91">
        <w:rPr>
          <w:sz w:val="24"/>
          <w:szCs w:val="24"/>
        </w:rPr>
        <w:t>, 320, 768-770</w:t>
      </w:r>
      <w:r w:rsidR="0027236E" w:rsidRPr="00C35A91">
        <w:rPr>
          <w:sz w:val="24"/>
          <w:szCs w:val="24"/>
        </w:rPr>
        <w:t>.</w:t>
      </w:r>
    </w:p>
    <w:p w:rsidR="009C235C" w:rsidRPr="00C35A91" w:rsidRDefault="009C235C" w:rsidP="00C35A91">
      <w:pPr>
        <w:pStyle w:val="PlainText"/>
        <w:spacing w:after="240"/>
        <w:rPr>
          <w:color w:val="FF0000"/>
          <w:sz w:val="24"/>
          <w:szCs w:val="24"/>
        </w:rPr>
      </w:pPr>
      <w:r w:rsidRPr="00C35A91">
        <w:rPr>
          <w:sz w:val="24"/>
          <w:szCs w:val="24"/>
        </w:rPr>
        <w:t>Reason J, Hobbs A (2003) Managing Maintenance Error: A Practical Guide. Ashgate Publishing Ltd., Aldershot</w:t>
      </w:r>
      <w:r w:rsidR="00E379C8" w:rsidRPr="00C35A91">
        <w:rPr>
          <w:sz w:val="24"/>
          <w:szCs w:val="24"/>
        </w:rPr>
        <w:t xml:space="preserve">. </w:t>
      </w:r>
    </w:p>
    <w:p w:rsidR="00D03D80" w:rsidRPr="00C35A91" w:rsidRDefault="00D03D80" w:rsidP="00C35A91">
      <w:pPr>
        <w:spacing w:after="240" w:line="240" w:lineRule="auto"/>
        <w:rPr>
          <w:sz w:val="24"/>
          <w:szCs w:val="24"/>
        </w:rPr>
      </w:pPr>
      <w:r w:rsidRPr="00C35A91">
        <w:rPr>
          <w:sz w:val="24"/>
          <w:szCs w:val="24"/>
        </w:rPr>
        <w:t xml:space="preserve">Reeves, S., Ross, F. &amp; Harris, R. (2014). Fostering a “common culture”? Responses to the Francis Inquiry demonstrated the need for an interprofessional response. </w:t>
      </w:r>
      <w:r w:rsidRPr="00C35A91">
        <w:rPr>
          <w:bCs/>
          <w:i/>
          <w:iCs/>
          <w:sz w:val="24"/>
          <w:szCs w:val="24"/>
        </w:rPr>
        <w:t>Journal of Interprofessional Care</w:t>
      </w:r>
      <w:r w:rsidRPr="00C35A91">
        <w:rPr>
          <w:sz w:val="24"/>
          <w:szCs w:val="24"/>
        </w:rPr>
        <w:t xml:space="preserve">, 28(5), 387-389 </w:t>
      </w:r>
    </w:p>
    <w:p w:rsidR="006C0963" w:rsidRPr="00C35A91" w:rsidRDefault="006C0963" w:rsidP="00C35A91">
      <w:pPr>
        <w:spacing w:after="240" w:line="240" w:lineRule="auto"/>
        <w:rPr>
          <w:sz w:val="24"/>
          <w:szCs w:val="24"/>
        </w:rPr>
      </w:pPr>
      <w:r w:rsidRPr="00C35A91">
        <w:rPr>
          <w:sz w:val="24"/>
          <w:szCs w:val="24"/>
        </w:rPr>
        <w:t>Regan de Bere, S. &amp; Nunn, S. (2016).Towards a pedagogy for patient and public involvement in medical education.</w:t>
      </w:r>
      <w:r w:rsidRPr="00C35A91">
        <w:rPr>
          <w:i/>
          <w:sz w:val="24"/>
          <w:szCs w:val="24"/>
        </w:rPr>
        <w:t xml:space="preserve"> Medical Education, </w:t>
      </w:r>
      <w:r w:rsidRPr="00C35A91">
        <w:rPr>
          <w:sz w:val="24"/>
          <w:szCs w:val="24"/>
        </w:rPr>
        <w:t xml:space="preserve">50(1), 79-92. </w:t>
      </w:r>
    </w:p>
    <w:p w:rsidR="005F40CA" w:rsidRDefault="001A5C78" w:rsidP="00C35A91">
      <w:pPr>
        <w:spacing w:after="240" w:line="240" w:lineRule="auto"/>
        <w:rPr>
          <w:i/>
          <w:sz w:val="24"/>
          <w:szCs w:val="24"/>
        </w:rPr>
      </w:pPr>
      <w:r w:rsidRPr="00C35A91">
        <w:rPr>
          <w:sz w:val="24"/>
          <w:szCs w:val="24"/>
        </w:rPr>
        <w:t xml:space="preserve">Schmitt, M. (2006).Interprofessional approaches to creating safe, high quality health care. </w:t>
      </w:r>
      <w:r w:rsidRPr="00C35A91">
        <w:rPr>
          <w:i/>
          <w:sz w:val="24"/>
          <w:szCs w:val="24"/>
        </w:rPr>
        <w:t xml:space="preserve">Journal of Interprofessional Care, </w:t>
      </w:r>
      <w:r w:rsidRPr="00C35A91">
        <w:rPr>
          <w:rFonts w:cs="AdvP8585"/>
          <w:sz w:val="24"/>
          <w:szCs w:val="24"/>
        </w:rPr>
        <w:t>20(5), 455 – 457</w:t>
      </w:r>
      <w:r w:rsidRPr="00C35A91">
        <w:rPr>
          <w:i/>
          <w:sz w:val="24"/>
          <w:szCs w:val="24"/>
        </w:rPr>
        <w:t>.</w:t>
      </w:r>
    </w:p>
    <w:p w:rsidR="000333A8" w:rsidRPr="00C35A91" w:rsidRDefault="000333A8" w:rsidP="00C35A91">
      <w:pPr>
        <w:spacing w:after="240" w:line="240" w:lineRule="auto"/>
        <w:rPr>
          <w:i/>
          <w:sz w:val="24"/>
          <w:szCs w:val="24"/>
        </w:rPr>
      </w:pPr>
      <w:r w:rsidRPr="00271AFF">
        <w:rPr>
          <w:sz w:val="24"/>
          <w:szCs w:val="24"/>
        </w:rPr>
        <w:t>Smallwood, R</w:t>
      </w:r>
      <w:r>
        <w:rPr>
          <w:sz w:val="24"/>
          <w:szCs w:val="24"/>
        </w:rPr>
        <w:t>.</w:t>
      </w:r>
      <w:r w:rsidRPr="00271AFF">
        <w:rPr>
          <w:sz w:val="24"/>
          <w:szCs w:val="24"/>
        </w:rPr>
        <w:t>A.</w:t>
      </w:r>
      <w:r>
        <w:rPr>
          <w:sz w:val="24"/>
          <w:szCs w:val="24"/>
        </w:rPr>
        <w:t xml:space="preserve"> (2006). </w:t>
      </w:r>
      <w:r w:rsidRPr="00271AFF">
        <w:rPr>
          <w:sz w:val="24"/>
          <w:szCs w:val="24"/>
        </w:rPr>
        <w:t xml:space="preserve"> The safety and quality of health care: from Council to Commission. Med</w:t>
      </w:r>
      <w:r>
        <w:rPr>
          <w:sz w:val="24"/>
          <w:szCs w:val="24"/>
        </w:rPr>
        <w:t>ical</w:t>
      </w:r>
      <w:r w:rsidRPr="00271AFF">
        <w:rPr>
          <w:sz w:val="24"/>
          <w:szCs w:val="24"/>
        </w:rPr>
        <w:t xml:space="preserve"> J</w:t>
      </w:r>
      <w:r>
        <w:rPr>
          <w:sz w:val="24"/>
          <w:szCs w:val="24"/>
        </w:rPr>
        <w:t>ournal of</w:t>
      </w:r>
      <w:r w:rsidRPr="00271AFF">
        <w:rPr>
          <w:sz w:val="24"/>
          <w:szCs w:val="24"/>
        </w:rPr>
        <w:t xml:space="preserve"> Aust</w:t>
      </w:r>
      <w:r>
        <w:rPr>
          <w:sz w:val="24"/>
          <w:szCs w:val="24"/>
        </w:rPr>
        <w:t>ralia,</w:t>
      </w:r>
      <w:r w:rsidRPr="00271AFF">
        <w:rPr>
          <w:sz w:val="24"/>
          <w:szCs w:val="24"/>
        </w:rPr>
        <w:t xml:space="preserve"> 184</w:t>
      </w:r>
      <w:r>
        <w:rPr>
          <w:sz w:val="24"/>
          <w:szCs w:val="24"/>
        </w:rPr>
        <w:t>,</w:t>
      </w:r>
      <w:r w:rsidRPr="00271AFF">
        <w:rPr>
          <w:sz w:val="24"/>
          <w:szCs w:val="24"/>
        </w:rPr>
        <w:t xml:space="preserve"> S30-S40.</w:t>
      </w:r>
      <w:hyperlink r:id="rId12" w:history="1">
        <w:r w:rsidRPr="00540331">
          <w:rPr>
            <w:rStyle w:val="Hyperlink"/>
            <w:rFonts w:cstheme="minorBidi"/>
            <w:sz w:val="24"/>
            <w:szCs w:val="24"/>
          </w:rPr>
          <w:t>https://www.mja.com.au/system/files/issues/184_10_150506/sma10326_fm.pdf</w:t>
        </w:r>
      </w:hyperlink>
    </w:p>
    <w:p w:rsidR="00B30F3A" w:rsidRPr="00C35A91" w:rsidRDefault="00B30F3A" w:rsidP="00C35A91">
      <w:pPr>
        <w:spacing w:after="240" w:line="240" w:lineRule="auto"/>
        <w:rPr>
          <w:sz w:val="24"/>
          <w:szCs w:val="24"/>
        </w:rPr>
      </w:pPr>
      <w:r w:rsidRPr="00C35A91">
        <w:rPr>
          <w:sz w:val="24"/>
          <w:szCs w:val="24"/>
        </w:rPr>
        <w:t>Smith, R. (1998). Regulation of doctors and the Bristol inquiry.</w:t>
      </w:r>
      <w:r w:rsidRPr="00C35A91">
        <w:rPr>
          <w:i/>
          <w:sz w:val="24"/>
          <w:szCs w:val="24"/>
        </w:rPr>
        <w:t xml:space="preserve">British Medical Journal, </w:t>
      </w:r>
      <w:r w:rsidRPr="00C35A91">
        <w:rPr>
          <w:sz w:val="24"/>
          <w:szCs w:val="24"/>
        </w:rPr>
        <w:t>317, 1539-40.</w:t>
      </w:r>
    </w:p>
    <w:p w:rsidR="00256BB5" w:rsidRPr="00C35A91" w:rsidRDefault="00256BB5" w:rsidP="00C35A91">
      <w:pPr>
        <w:spacing w:after="240" w:line="240" w:lineRule="auto"/>
        <w:rPr>
          <w:sz w:val="24"/>
          <w:szCs w:val="24"/>
        </w:rPr>
      </w:pPr>
      <w:r w:rsidRPr="00C35A91">
        <w:rPr>
          <w:sz w:val="24"/>
          <w:szCs w:val="24"/>
        </w:rPr>
        <w:t>The Institute of Medicine.</w:t>
      </w:r>
      <w:r w:rsidRPr="00C35A91">
        <w:rPr>
          <w:rStyle w:val="st"/>
          <w:rFonts w:cs="Arial"/>
          <w:sz w:val="24"/>
          <w:szCs w:val="24"/>
        </w:rPr>
        <w:t xml:space="preserve">Committee on Quality of Health Care in America. (2000). </w:t>
      </w:r>
      <w:r w:rsidRPr="00C35A91">
        <w:rPr>
          <w:rFonts w:cs="Arial"/>
          <w:i/>
          <w:sz w:val="24"/>
          <w:szCs w:val="24"/>
        </w:rPr>
        <w:t>To err is human: building a safer health system</w:t>
      </w:r>
      <w:r w:rsidRPr="00C35A91">
        <w:rPr>
          <w:rFonts w:cs="Arial"/>
          <w:sz w:val="24"/>
          <w:szCs w:val="24"/>
        </w:rPr>
        <w:t xml:space="preserve">. National Academies Press: Washington DC. </w:t>
      </w:r>
    </w:p>
    <w:p w:rsidR="00922F3B" w:rsidRPr="00C35A91" w:rsidRDefault="00922F3B" w:rsidP="00C35A91">
      <w:pPr>
        <w:spacing w:after="240" w:line="240" w:lineRule="auto"/>
        <w:rPr>
          <w:rFonts w:cs="Arial"/>
          <w:sz w:val="24"/>
          <w:szCs w:val="24"/>
        </w:rPr>
      </w:pPr>
      <w:r w:rsidRPr="00C35A91">
        <w:rPr>
          <w:rFonts w:cs="Arial"/>
          <w:sz w:val="24"/>
          <w:szCs w:val="24"/>
        </w:rPr>
        <w:t>Vincent, C.A. (1997). Risk, safety and the dark side of quality.</w:t>
      </w:r>
      <w:r w:rsidRPr="00C35A91">
        <w:rPr>
          <w:rFonts w:cs="Arial"/>
          <w:i/>
          <w:sz w:val="24"/>
          <w:szCs w:val="24"/>
        </w:rPr>
        <w:t>British Medical Journal,</w:t>
      </w:r>
      <w:r w:rsidRPr="00C35A91">
        <w:rPr>
          <w:rFonts w:cs="Arial"/>
          <w:sz w:val="24"/>
          <w:szCs w:val="24"/>
        </w:rPr>
        <w:t>, 314,1775-6.</w:t>
      </w:r>
    </w:p>
    <w:p w:rsidR="005D0D27" w:rsidRPr="00C35A91" w:rsidRDefault="00D03D80" w:rsidP="00C35A91">
      <w:pPr>
        <w:spacing w:after="240" w:line="240" w:lineRule="auto"/>
        <w:rPr>
          <w:rFonts w:cs="Arial"/>
          <w:sz w:val="24"/>
          <w:szCs w:val="24"/>
        </w:rPr>
      </w:pPr>
      <w:r w:rsidRPr="00C35A91">
        <w:rPr>
          <w:rFonts w:cs="Arial"/>
          <w:sz w:val="24"/>
          <w:szCs w:val="24"/>
        </w:rPr>
        <w:t>Vincent, C., Neale, G.,</w:t>
      </w:r>
      <w:r w:rsidRPr="00C35A91">
        <w:rPr>
          <w:rFonts w:eastAsia="Calibri" w:cs="Arial"/>
          <w:sz w:val="24"/>
          <w:szCs w:val="24"/>
          <w:lang w:val="en-US"/>
        </w:rPr>
        <w:t xml:space="preserve">Woloshynowych, M. (2001). Adverse events in British hospitals: preliminary retrospective record review. </w:t>
      </w:r>
      <w:r w:rsidRPr="00C35A91">
        <w:rPr>
          <w:rFonts w:eastAsia="Calibri" w:cs="Arial"/>
          <w:i/>
          <w:sz w:val="24"/>
          <w:szCs w:val="24"/>
          <w:lang w:val="en-US"/>
        </w:rPr>
        <w:t xml:space="preserve">British Medical Journal, </w:t>
      </w:r>
      <w:r w:rsidRPr="00C35A91">
        <w:rPr>
          <w:rFonts w:eastAsia="Calibri" w:cs="Arial"/>
          <w:sz w:val="24"/>
          <w:szCs w:val="24"/>
          <w:lang w:val="en-US"/>
        </w:rPr>
        <w:t>322, 517-519.</w:t>
      </w:r>
    </w:p>
    <w:p w:rsidR="00A5688D" w:rsidRPr="00C35A91" w:rsidRDefault="00A5688D" w:rsidP="00C35A91">
      <w:pPr>
        <w:spacing w:after="240" w:line="240" w:lineRule="auto"/>
        <w:rPr>
          <w:rFonts w:cs="Arial"/>
          <w:sz w:val="24"/>
          <w:szCs w:val="24"/>
        </w:rPr>
      </w:pPr>
      <w:r w:rsidRPr="00C35A91">
        <w:rPr>
          <w:rFonts w:cs="Arial"/>
          <w:sz w:val="24"/>
          <w:szCs w:val="24"/>
        </w:rPr>
        <w:t>Wakerhausen, S. (2009).Collaboration, professional identity and reflection across boundaries. Journal of Interprofessional Care, 23, 244-473.</w:t>
      </w:r>
    </w:p>
    <w:p w:rsidR="005D0D27" w:rsidRPr="00C35A91" w:rsidRDefault="00B81D89" w:rsidP="00C35A91">
      <w:pPr>
        <w:spacing w:after="240" w:line="240" w:lineRule="auto"/>
        <w:rPr>
          <w:rFonts w:cs="Arial"/>
          <w:sz w:val="24"/>
          <w:szCs w:val="24"/>
        </w:rPr>
      </w:pPr>
      <w:r w:rsidRPr="00C35A91">
        <w:rPr>
          <w:rFonts w:cs="Arial"/>
          <w:sz w:val="24"/>
          <w:szCs w:val="24"/>
        </w:rPr>
        <w:t xml:space="preserve">Weaver, S.J., Dy, S.M. &amp; Rosen, M.A. (2014). Team-training in healthcare: a narrative synthesis of the literature. </w:t>
      </w:r>
      <w:r w:rsidRPr="00C35A91">
        <w:rPr>
          <w:rFonts w:cs="Arial"/>
          <w:i/>
          <w:sz w:val="24"/>
          <w:szCs w:val="24"/>
        </w:rPr>
        <w:t>BMJ Quality and Safety</w:t>
      </w:r>
      <w:r w:rsidRPr="00C35A91">
        <w:rPr>
          <w:rFonts w:cs="Arial"/>
          <w:sz w:val="24"/>
          <w:szCs w:val="24"/>
        </w:rPr>
        <w:t>, 2014, 0, 1-14. Doi:10.1136/bmjqs-2013-001848</w:t>
      </w:r>
    </w:p>
    <w:p w:rsidR="006D347B" w:rsidRPr="00C35A91" w:rsidRDefault="006D347B" w:rsidP="00C35A91">
      <w:pPr>
        <w:spacing w:after="240" w:line="240" w:lineRule="auto"/>
        <w:rPr>
          <w:rFonts w:cs="Arial"/>
          <w:sz w:val="24"/>
          <w:szCs w:val="24"/>
        </w:rPr>
      </w:pPr>
      <w:r w:rsidRPr="00C35A91">
        <w:rPr>
          <w:rFonts w:cs="Arial"/>
          <w:sz w:val="24"/>
          <w:szCs w:val="24"/>
        </w:rPr>
        <w:t>Weick, K.E., Sutcliffe, K.M. &amp; Obstfeld, D. (1999).Organizing for high reliability: Processes of collective mindfulness.</w:t>
      </w:r>
      <w:r w:rsidRPr="00C35A91">
        <w:rPr>
          <w:rFonts w:cs="Arial"/>
          <w:i/>
          <w:sz w:val="24"/>
          <w:szCs w:val="24"/>
        </w:rPr>
        <w:t xml:space="preserve">Res Organizational Behav, </w:t>
      </w:r>
      <w:r w:rsidRPr="00C35A91">
        <w:rPr>
          <w:rFonts w:cs="Arial"/>
          <w:sz w:val="24"/>
          <w:szCs w:val="24"/>
        </w:rPr>
        <w:t>21, 23-81</w:t>
      </w:r>
      <w:r w:rsidR="00A91754" w:rsidRPr="00C35A91">
        <w:rPr>
          <w:rFonts w:cs="Arial"/>
          <w:sz w:val="24"/>
          <w:szCs w:val="24"/>
        </w:rPr>
        <w:t>.</w:t>
      </w:r>
    </w:p>
    <w:p w:rsidR="00A91754" w:rsidRPr="00C35A91" w:rsidRDefault="00A91754" w:rsidP="00C35A91">
      <w:pPr>
        <w:spacing w:after="240" w:line="240" w:lineRule="auto"/>
        <w:rPr>
          <w:rFonts w:cs="Arial"/>
          <w:sz w:val="24"/>
          <w:szCs w:val="24"/>
        </w:rPr>
      </w:pPr>
      <w:r w:rsidRPr="00C35A91">
        <w:rPr>
          <w:rFonts w:cs="Arial"/>
          <w:sz w:val="24"/>
          <w:szCs w:val="24"/>
        </w:rPr>
        <w:t xml:space="preserve">White, R. (1978). </w:t>
      </w:r>
      <w:r w:rsidR="004C77AD" w:rsidRPr="00C35A91">
        <w:rPr>
          <w:rFonts w:cs="Arial"/>
          <w:i/>
          <w:sz w:val="24"/>
          <w:szCs w:val="24"/>
        </w:rPr>
        <w:t>Social Change and the Development of the Nursing Profession : a Study of the Poor Law Nursing Service 1848-1948</w:t>
      </w:r>
      <w:r w:rsidRPr="00C35A91">
        <w:rPr>
          <w:rFonts w:cs="Arial"/>
          <w:sz w:val="24"/>
          <w:szCs w:val="24"/>
        </w:rPr>
        <w:t>. London: H. Kimpton.</w:t>
      </w:r>
    </w:p>
    <w:p w:rsidR="00DC102F" w:rsidRPr="00C35A91" w:rsidRDefault="00DC102F" w:rsidP="00C35A91">
      <w:pPr>
        <w:spacing w:after="240" w:line="240" w:lineRule="auto"/>
        <w:rPr>
          <w:rFonts w:cs="Arial"/>
          <w:sz w:val="24"/>
          <w:szCs w:val="24"/>
        </w:rPr>
      </w:pPr>
      <w:r w:rsidRPr="00C35A91">
        <w:rPr>
          <w:rFonts w:cs="Arial"/>
          <w:sz w:val="24"/>
          <w:szCs w:val="24"/>
        </w:rPr>
        <w:t>World Health O</w:t>
      </w:r>
      <w:r w:rsidR="008B4260">
        <w:rPr>
          <w:rFonts w:cs="Arial"/>
          <w:sz w:val="24"/>
          <w:szCs w:val="24"/>
        </w:rPr>
        <w:t>rganis</w:t>
      </w:r>
      <w:r w:rsidR="00DF5508" w:rsidRPr="00C35A91">
        <w:rPr>
          <w:rFonts w:cs="Arial"/>
          <w:sz w:val="24"/>
          <w:szCs w:val="24"/>
        </w:rPr>
        <w:t>ation (2011).Patient safety Curriculum Guide Multi-professional Edition. Geneva: WHO.</w:t>
      </w:r>
      <w:r w:rsidR="00F44F82">
        <w:rPr>
          <w:rFonts w:cs="Arial"/>
          <w:sz w:val="24"/>
          <w:szCs w:val="24"/>
        </w:rPr>
        <w:t xml:space="preserve">Retrieved from: </w:t>
      </w:r>
      <w:hyperlink r:id="rId13" w:history="1">
        <w:r w:rsidR="00E01D2F" w:rsidRPr="00C35A91">
          <w:rPr>
            <w:rStyle w:val="Hyperlink"/>
            <w:rFonts w:cs="Arial"/>
            <w:sz w:val="24"/>
            <w:szCs w:val="24"/>
          </w:rPr>
          <w:t>http://www.who.int/patientsafety/education/curriculum/en</w:t>
        </w:r>
      </w:hyperlink>
      <w:hyperlink r:id="rId14" w:history="1">
        <w:r w:rsidR="00E01D2F" w:rsidRPr="00C35A91">
          <w:rPr>
            <w:rStyle w:val="Hyperlink"/>
            <w:rFonts w:cs="Arial"/>
            <w:sz w:val="24"/>
            <w:szCs w:val="24"/>
          </w:rPr>
          <w:t>/</w:t>
        </w:r>
      </w:hyperlink>
    </w:p>
    <w:p w:rsidR="00402A36" w:rsidRPr="00C35A91" w:rsidRDefault="008B4260" w:rsidP="00C35A91">
      <w:pPr>
        <w:spacing w:after="240" w:line="240" w:lineRule="auto"/>
        <w:rPr>
          <w:rFonts w:cs="Arial"/>
          <w:sz w:val="24"/>
          <w:szCs w:val="24"/>
        </w:rPr>
      </w:pPr>
      <w:r>
        <w:rPr>
          <w:rFonts w:cs="Arial"/>
          <w:sz w:val="24"/>
          <w:szCs w:val="24"/>
        </w:rPr>
        <w:t>World Health Organis</w:t>
      </w:r>
      <w:r w:rsidR="00402A36" w:rsidRPr="00C35A91">
        <w:rPr>
          <w:rFonts w:cs="Arial"/>
          <w:sz w:val="24"/>
          <w:szCs w:val="24"/>
        </w:rPr>
        <w:t xml:space="preserve">ation.(2013). </w:t>
      </w:r>
      <w:r w:rsidR="00402A36" w:rsidRPr="00C35A91">
        <w:rPr>
          <w:rFonts w:cs="Arial"/>
          <w:i/>
          <w:sz w:val="24"/>
          <w:szCs w:val="24"/>
        </w:rPr>
        <w:t>Patient safety</w:t>
      </w:r>
      <w:r w:rsidR="00402A36" w:rsidRPr="00C35A91">
        <w:rPr>
          <w:rFonts w:cs="Arial"/>
          <w:sz w:val="24"/>
          <w:szCs w:val="24"/>
        </w:rPr>
        <w:t>.</w:t>
      </w:r>
      <w:r w:rsidR="00F44F82">
        <w:rPr>
          <w:rFonts w:cs="Arial"/>
          <w:sz w:val="24"/>
          <w:szCs w:val="24"/>
        </w:rPr>
        <w:t xml:space="preserve">Retrieved from: </w:t>
      </w:r>
      <w:hyperlink r:id="rId15" w:history="1">
        <w:r w:rsidR="00402A36" w:rsidRPr="00C35A91">
          <w:rPr>
            <w:rStyle w:val="Hyperlink"/>
            <w:rFonts w:cs="Arial"/>
            <w:sz w:val="24"/>
            <w:szCs w:val="24"/>
          </w:rPr>
          <w:t>http://www.euro.who.int/en/what-we-do/health-topics/Health-systems/patient-safety</w:t>
        </w:r>
      </w:hyperlink>
    </w:p>
    <w:p w:rsidR="005256EB" w:rsidRPr="00C35A91" w:rsidRDefault="00DC102F" w:rsidP="00C35A91">
      <w:pPr>
        <w:spacing w:after="240" w:line="240" w:lineRule="auto"/>
        <w:rPr>
          <w:sz w:val="24"/>
          <w:szCs w:val="24"/>
        </w:rPr>
      </w:pPr>
      <w:r w:rsidRPr="00C35A91">
        <w:rPr>
          <w:sz w:val="24"/>
          <w:szCs w:val="24"/>
        </w:rPr>
        <w:t>World Health Organisation, (2013).</w:t>
      </w:r>
      <w:r w:rsidRPr="00C35A91">
        <w:rPr>
          <w:i/>
          <w:sz w:val="24"/>
          <w:szCs w:val="24"/>
        </w:rPr>
        <w:t>Exploring patient participation in reducing health-care-related safety risk.</w:t>
      </w:r>
      <w:r w:rsidRPr="00C35A91">
        <w:rPr>
          <w:sz w:val="24"/>
          <w:szCs w:val="24"/>
        </w:rPr>
        <w:t xml:space="preserve"> WHO, Geneva</w:t>
      </w:r>
    </w:p>
    <w:sectPr w:rsidR="005256EB" w:rsidRPr="00C35A91" w:rsidSect="00584578">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4DFEC" w15:done="0"/>
  <w15:commentEx w15:paraId="19D973E7" w15:done="0"/>
  <w15:commentEx w15:paraId="464034B7" w15:done="0"/>
  <w15:commentEx w15:paraId="28333B7B" w15:done="0"/>
  <w15:commentEx w15:paraId="507D9FD8" w15:done="0"/>
  <w15:commentEx w15:paraId="7E6A0A37" w15:done="0"/>
  <w15:commentEx w15:paraId="4516DDA3" w15:done="0"/>
  <w15:commentEx w15:paraId="19418139" w15:done="0"/>
  <w15:commentEx w15:paraId="0107145E" w15:done="0"/>
  <w15:commentEx w15:paraId="07A51785" w15:done="0"/>
  <w15:commentEx w15:paraId="6383F3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18" w:rsidRDefault="00197518" w:rsidP="00E50C5F">
      <w:pPr>
        <w:spacing w:after="0" w:line="240" w:lineRule="auto"/>
      </w:pPr>
      <w:r>
        <w:separator/>
      </w:r>
    </w:p>
  </w:endnote>
  <w:endnote w:type="continuationSeparator" w:id="0">
    <w:p w:rsidR="00197518" w:rsidRDefault="00197518" w:rsidP="00E5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479F8A">
    <w:panose1 w:val="00000000000000000000"/>
    <w:charset w:val="00"/>
    <w:family w:val="roman"/>
    <w:notTrueType/>
    <w:pitch w:val="default"/>
    <w:sig w:usb0="00000003" w:usb1="00000000" w:usb2="00000000" w:usb3="00000000" w:csb0="00000001" w:csb1="00000000"/>
  </w:font>
  <w:font w:name="AdvP4114E6">
    <w:panose1 w:val="00000000000000000000"/>
    <w:charset w:val="00"/>
    <w:family w:val="roman"/>
    <w:notTrueType/>
    <w:pitch w:val="default"/>
    <w:sig w:usb0="00000003" w:usb1="00000000" w:usb2="00000000" w:usb3="00000000" w:csb0="00000001" w:csb1="00000000"/>
  </w:font>
  <w:font w:name="AdvPS800D">
    <w:panose1 w:val="00000000000000000000"/>
    <w:charset w:val="00"/>
    <w:family w:val="roman"/>
    <w:notTrueType/>
    <w:pitch w:val="default"/>
    <w:sig w:usb0="00000003" w:usb1="00000000" w:usb2="00000000" w:usb3="00000000" w:csb0="00000001" w:csb1="00000000"/>
  </w:font>
  <w:font w:name="AdvP404FE">
    <w:panose1 w:val="00000000000000000000"/>
    <w:charset w:val="00"/>
    <w:family w:val="auto"/>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dvP8585">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83800"/>
      <w:docPartObj>
        <w:docPartGallery w:val="Page Numbers (Bottom of Page)"/>
        <w:docPartUnique/>
      </w:docPartObj>
    </w:sdtPr>
    <w:sdtEndPr>
      <w:rPr>
        <w:noProof/>
      </w:rPr>
    </w:sdtEndPr>
    <w:sdtContent>
      <w:p w:rsidR="00CC1F1C" w:rsidRDefault="00E26F8B">
        <w:pPr>
          <w:pStyle w:val="Footer"/>
          <w:jc w:val="right"/>
        </w:pPr>
        <w:r>
          <w:fldChar w:fldCharType="begin"/>
        </w:r>
        <w:r w:rsidR="00CC1F1C">
          <w:instrText xml:space="preserve"> PAGE   \* MERGEFORMAT </w:instrText>
        </w:r>
        <w:r>
          <w:fldChar w:fldCharType="separate"/>
        </w:r>
        <w:r w:rsidR="004D5955">
          <w:rPr>
            <w:noProof/>
          </w:rPr>
          <w:t>1</w:t>
        </w:r>
        <w:r>
          <w:rPr>
            <w:noProof/>
          </w:rPr>
          <w:fldChar w:fldCharType="end"/>
        </w:r>
      </w:p>
    </w:sdtContent>
  </w:sdt>
  <w:p w:rsidR="00CC1F1C" w:rsidRDefault="00CC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18" w:rsidRDefault="00197518" w:rsidP="00E50C5F">
      <w:pPr>
        <w:spacing w:after="0" w:line="240" w:lineRule="auto"/>
      </w:pPr>
      <w:r>
        <w:separator/>
      </w:r>
    </w:p>
  </w:footnote>
  <w:footnote w:type="continuationSeparator" w:id="0">
    <w:p w:rsidR="00197518" w:rsidRDefault="00197518" w:rsidP="00E50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C37"/>
    <w:multiLevelType w:val="hybridMultilevel"/>
    <w:tmpl w:val="398898B8"/>
    <w:lvl w:ilvl="0" w:tplc="470E632C">
      <w:start w:val="1"/>
      <w:numFmt w:val="bullet"/>
      <w:lvlText w:val="•"/>
      <w:lvlJc w:val="left"/>
      <w:pPr>
        <w:tabs>
          <w:tab w:val="num" w:pos="720"/>
        </w:tabs>
        <w:ind w:left="720" w:hanging="360"/>
      </w:pPr>
      <w:rPr>
        <w:rFonts w:ascii="Trebuchet MS" w:hAnsi="Trebuchet MS" w:hint="default"/>
      </w:rPr>
    </w:lvl>
    <w:lvl w:ilvl="1" w:tplc="EC84183A" w:tentative="1">
      <w:start w:val="1"/>
      <w:numFmt w:val="bullet"/>
      <w:lvlText w:val="•"/>
      <w:lvlJc w:val="left"/>
      <w:pPr>
        <w:tabs>
          <w:tab w:val="num" w:pos="1440"/>
        </w:tabs>
        <w:ind w:left="1440" w:hanging="360"/>
      </w:pPr>
      <w:rPr>
        <w:rFonts w:ascii="Trebuchet MS" w:hAnsi="Trebuchet MS" w:hint="default"/>
      </w:rPr>
    </w:lvl>
    <w:lvl w:ilvl="2" w:tplc="DA50E29A" w:tentative="1">
      <w:start w:val="1"/>
      <w:numFmt w:val="bullet"/>
      <w:lvlText w:val="•"/>
      <w:lvlJc w:val="left"/>
      <w:pPr>
        <w:tabs>
          <w:tab w:val="num" w:pos="2160"/>
        </w:tabs>
        <w:ind w:left="2160" w:hanging="360"/>
      </w:pPr>
      <w:rPr>
        <w:rFonts w:ascii="Trebuchet MS" w:hAnsi="Trebuchet MS" w:hint="default"/>
      </w:rPr>
    </w:lvl>
    <w:lvl w:ilvl="3" w:tplc="B142ADB4" w:tentative="1">
      <w:start w:val="1"/>
      <w:numFmt w:val="bullet"/>
      <w:lvlText w:val="•"/>
      <w:lvlJc w:val="left"/>
      <w:pPr>
        <w:tabs>
          <w:tab w:val="num" w:pos="2880"/>
        </w:tabs>
        <w:ind w:left="2880" w:hanging="360"/>
      </w:pPr>
      <w:rPr>
        <w:rFonts w:ascii="Trebuchet MS" w:hAnsi="Trebuchet MS" w:hint="default"/>
      </w:rPr>
    </w:lvl>
    <w:lvl w:ilvl="4" w:tplc="7C88F096" w:tentative="1">
      <w:start w:val="1"/>
      <w:numFmt w:val="bullet"/>
      <w:lvlText w:val="•"/>
      <w:lvlJc w:val="left"/>
      <w:pPr>
        <w:tabs>
          <w:tab w:val="num" w:pos="3600"/>
        </w:tabs>
        <w:ind w:left="3600" w:hanging="360"/>
      </w:pPr>
      <w:rPr>
        <w:rFonts w:ascii="Trebuchet MS" w:hAnsi="Trebuchet MS" w:hint="default"/>
      </w:rPr>
    </w:lvl>
    <w:lvl w:ilvl="5" w:tplc="43FA2702" w:tentative="1">
      <w:start w:val="1"/>
      <w:numFmt w:val="bullet"/>
      <w:lvlText w:val="•"/>
      <w:lvlJc w:val="left"/>
      <w:pPr>
        <w:tabs>
          <w:tab w:val="num" w:pos="4320"/>
        </w:tabs>
        <w:ind w:left="4320" w:hanging="360"/>
      </w:pPr>
      <w:rPr>
        <w:rFonts w:ascii="Trebuchet MS" w:hAnsi="Trebuchet MS" w:hint="default"/>
      </w:rPr>
    </w:lvl>
    <w:lvl w:ilvl="6" w:tplc="EC201EE2" w:tentative="1">
      <w:start w:val="1"/>
      <w:numFmt w:val="bullet"/>
      <w:lvlText w:val="•"/>
      <w:lvlJc w:val="left"/>
      <w:pPr>
        <w:tabs>
          <w:tab w:val="num" w:pos="5040"/>
        </w:tabs>
        <w:ind w:left="5040" w:hanging="360"/>
      </w:pPr>
      <w:rPr>
        <w:rFonts w:ascii="Trebuchet MS" w:hAnsi="Trebuchet MS" w:hint="default"/>
      </w:rPr>
    </w:lvl>
    <w:lvl w:ilvl="7" w:tplc="1DEC4978" w:tentative="1">
      <w:start w:val="1"/>
      <w:numFmt w:val="bullet"/>
      <w:lvlText w:val="•"/>
      <w:lvlJc w:val="left"/>
      <w:pPr>
        <w:tabs>
          <w:tab w:val="num" w:pos="5760"/>
        </w:tabs>
        <w:ind w:left="5760" w:hanging="360"/>
      </w:pPr>
      <w:rPr>
        <w:rFonts w:ascii="Trebuchet MS" w:hAnsi="Trebuchet MS" w:hint="default"/>
      </w:rPr>
    </w:lvl>
    <w:lvl w:ilvl="8" w:tplc="0BB69ED2" w:tentative="1">
      <w:start w:val="1"/>
      <w:numFmt w:val="bullet"/>
      <w:lvlText w:val="•"/>
      <w:lvlJc w:val="left"/>
      <w:pPr>
        <w:tabs>
          <w:tab w:val="num" w:pos="6480"/>
        </w:tabs>
        <w:ind w:left="6480" w:hanging="360"/>
      </w:pPr>
      <w:rPr>
        <w:rFonts w:ascii="Trebuchet MS" w:hAnsi="Trebuchet MS" w:hint="default"/>
      </w:rPr>
    </w:lvl>
  </w:abstractNum>
  <w:abstractNum w:abstractNumId="1">
    <w:nsid w:val="06B6125C"/>
    <w:multiLevelType w:val="hybridMultilevel"/>
    <w:tmpl w:val="F3046B2E"/>
    <w:lvl w:ilvl="0" w:tplc="483EE190">
      <w:start w:val="1"/>
      <w:numFmt w:val="bullet"/>
      <w:lvlText w:val="•"/>
      <w:lvlJc w:val="left"/>
      <w:pPr>
        <w:tabs>
          <w:tab w:val="num" w:pos="720"/>
        </w:tabs>
        <w:ind w:left="720" w:hanging="360"/>
      </w:pPr>
      <w:rPr>
        <w:rFonts w:ascii="Trebuchet MS" w:hAnsi="Trebuchet MS" w:hint="default"/>
      </w:rPr>
    </w:lvl>
    <w:lvl w:ilvl="1" w:tplc="D91CA48A" w:tentative="1">
      <w:start w:val="1"/>
      <w:numFmt w:val="bullet"/>
      <w:lvlText w:val="•"/>
      <w:lvlJc w:val="left"/>
      <w:pPr>
        <w:tabs>
          <w:tab w:val="num" w:pos="1440"/>
        </w:tabs>
        <w:ind w:left="1440" w:hanging="360"/>
      </w:pPr>
      <w:rPr>
        <w:rFonts w:ascii="Trebuchet MS" w:hAnsi="Trebuchet MS" w:hint="default"/>
      </w:rPr>
    </w:lvl>
    <w:lvl w:ilvl="2" w:tplc="DC80BC1C" w:tentative="1">
      <w:start w:val="1"/>
      <w:numFmt w:val="bullet"/>
      <w:lvlText w:val="•"/>
      <w:lvlJc w:val="left"/>
      <w:pPr>
        <w:tabs>
          <w:tab w:val="num" w:pos="2160"/>
        </w:tabs>
        <w:ind w:left="2160" w:hanging="360"/>
      </w:pPr>
      <w:rPr>
        <w:rFonts w:ascii="Trebuchet MS" w:hAnsi="Trebuchet MS" w:hint="default"/>
      </w:rPr>
    </w:lvl>
    <w:lvl w:ilvl="3" w:tplc="28EA1768" w:tentative="1">
      <w:start w:val="1"/>
      <w:numFmt w:val="bullet"/>
      <w:lvlText w:val="•"/>
      <w:lvlJc w:val="left"/>
      <w:pPr>
        <w:tabs>
          <w:tab w:val="num" w:pos="2880"/>
        </w:tabs>
        <w:ind w:left="2880" w:hanging="360"/>
      </w:pPr>
      <w:rPr>
        <w:rFonts w:ascii="Trebuchet MS" w:hAnsi="Trebuchet MS" w:hint="default"/>
      </w:rPr>
    </w:lvl>
    <w:lvl w:ilvl="4" w:tplc="43C2D764" w:tentative="1">
      <w:start w:val="1"/>
      <w:numFmt w:val="bullet"/>
      <w:lvlText w:val="•"/>
      <w:lvlJc w:val="left"/>
      <w:pPr>
        <w:tabs>
          <w:tab w:val="num" w:pos="3600"/>
        </w:tabs>
        <w:ind w:left="3600" w:hanging="360"/>
      </w:pPr>
      <w:rPr>
        <w:rFonts w:ascii="Trebuchet MS" w:hAnsi="Trebuchet MS" w:hint="default"/>
      </w:rPr>
    </w:lvl>
    <w:lvl w:ilvl="5" w:tplc="B358EE4E" w:tentative="1">
      <w:start w:val="1"/>
      <w:numFmt w:val="bullet"/>
      <w:lvlText w:val="•"/>
      <w:lvlJc w:val="left"/>
      <w:pPr>
        <w:tabs>
          <w:tab w:val="num" w:pos="4320"/>
        </w:tabs>
        <w:ind w:left="4320" w:hanging="360"/>
      </w:pPr>
      <w:rPr>
        <w:rFonts w:ascii="Trebuchet MS" w:hAnsi="Trebuchet MS" w:hint="default"/>
      </w:rPr>
    </w:lvl>
    <w:lvl w:ilvl="6" w:tplc="B0982B16" w:tentative="1">
      <w:start w:val="1"/>
      <w:numFmt w:val="bullet"/>
      <w:lvlText w:val="•"/>
      <w:lvlJc w:val="left"/>
      <w:pPr>
        <w:tabs>
          <w:tab w:val="num" w:pos="5040"/>
        </w:tabs>
        <w:ind w:left="5040" w:hanging="360"/>
      </w:pPr>
      <w:rPr>
        <w:rFonts w:ascii="Trebuchet MS" w:hAnsi="Trebuchet MS" w:hint="default"/>
      </w:rPr>
    </w:lvl>
    <w:lvl w:ilvl="7" w:tplc="683C5F20" w:tentative="1">
      <w:start w:val="1"/>
      <w:numFmt w:val="bullet"/>
      <w:lvlText w:val="•"/>
      <w:lvlJc w:val="left"/>
      <w:pPr>
        <w:tabs>
          <w:tab w:val="num" w:pos="5760"/>
        </w:tabs>
        <w:ind w:left="5760" w:hanging="360"/>
      </w:pPr>
      <w:rPr>
        <w:rFonts w:ascii="Trebuchet MS" w:hAnsi="Trebuchet MS" w:hint="default"/>
      </w:rPr>
    </w:lvl>
    <w:lvl w:ilvl="8" w:tplc="D884F1AA" w:tentative="1">
      <w:start w:val="1"/>
      <w:numFmt w:val="bullet"/>
      <w:lvlText w:val="•"/>
      <w:lvlJc w:val="left"/>
      <w:pPr>
        <w:tabs>
          <w:tab w:val="num" w:pos="6480"/>
        </w:tabs>
        <w:ind w:left="6480" w:hanging="360"/>
      </w:pPr>
      <w:rPr>
        <w:rFonts w:ascii="Trebuchet MS" w:hAnsi="Trebuchet MS" w:hint="default"/>
      </w:rPr>
    </w:lvl>
  </w:abstractNum>
  <w:abstractNum w:abstractNumId="2">
    <w:nsid w:val="089276A7"/>
    <w:multiLevelType w:val="hybridMultilevel"/>
    <w:tmpl w:val="8E5841DC"/>
    <w:lvl w:ilvl="0" w:tplc="96D054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9570DE"/>
    <w:multiLevelType w:val="hybridMultilevel"/>
    <w:tmpl w:val="49300BC2"/>
    <w:lvl w:ilvl="0" w:tplc="822090C4">
      <w:start w:val="1"/>
      <w:numFmt w:val="lowerRoman"/>
      <w:lvlText w:val="%1)"/>
      <w:lvlJc w:val="left"/>
      <w:pPr>
        <w:ind w:left="1080" w:hanging="72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25025F"/>
    <w:multiLevelType w:val="hybridMultilevel"/>
    <w:tmpl w:val="45EC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D7AAC"/>
    <w:multiLevelType w:val="hybridMultilevel"/>
    <w:tmpl w:val="BA4C956A"/>
    <w:lvl w:ilvl="0" w:tplc="08090013">
      <w:start w:val="1"/>
      <w:numFmt w:val="upperRoman"/>
      <w:lvlText w:val="%1."/>
      <w:lvlJc w:val="right"/>
      <w:pPr>
        <w:tabs>
          <w:tab w:val="num" w:pos="720"/>
        </w:tabs>
        <w:ind w:left="720" w:hanging="360"/>
      </w:pPr>
      <w:rPr>
        <w:rFonts w:hint="default"/>
      </w:rPr>
    </w:lvl>
    <w:lvl w:ilvl="1" w:tplc="EC84183A" w:tentative="1">
      <w:start w:val="1"/>
      <w:numFmt w:val="bullet"/>
      <w:lvlText w:val="•"/>
      <w:lvlJc w:val="left"/>
      <w:pPr>
        <w:tabs>
          <w:tab w:val="num" w:pos="1440"/>
        </w:tabs>
        <w:ind w:left="1440" w:hanging="360"/>
      </w:pPr>
      <w:rPr>
        <w:rFonts w:ascii="Trebuchet MS" w:hAnsi="Trebuchet MS" w:hint="default"/>
      </w:rPr>
    </w:lvl>
    <w:lvl w:ilvl="2" w:tplc="DA50E29A" w:tentative="1">
      <w:start w:val="1"/>
      <w:numFmt w:val="bullet"/>
      <w:lvlText w:val="•"/>
      <w:lvlJc w:val="left"/>
      <w:pPr>
        <w:tabs>
          <w:tab w:val="num" w:pos="2160"/>
        </w:tabs>
        <w:ind w:left="2160" w:hanging="360"/>
      </w:pPr>
      <w:rPr>
        <w:rFonts w:ascii="Trebuchet MS" w:hAnsi="Trebuchet MS" w:hint="default"/>
      </w:rPr>
    </w:lvl>
    <w:lvl w:ilvl="3" w:tplc="B142ADB4" w:tentative="1">
      <w:start w:val="1"/>
      <w:numFmt w:val="bullet"/>
      <w:lvlText w:val="•"/>
      <w:lvlJc w:val="left"/>
      <w:pPr>
        <w:tabs>
          <w:tab w:val="num" w:pos="2880"/>
        </w:tabs>
        <w:ind w:left="2880" w:hanging="360"/>
      </w:pPr>
      <w:rPr>
        <w:rFonts w:ascii="Trebuchet MS" w:hAnsi="Trebuchet MS" w:hint="default"/>
      </w:rPr>
    </w:lvl>
    <w:lvl w:ilvl="4" w:tplc="7C88F096" w:tentative="1">
      <w:start w:val="1"/>
      <w:numFmt w:val="bullet"/>
      <w:lvlText w:val="•"/>
      <w:lvlJc w:val="left"/>
      <w:pPr>
        <w:tabs>
          <w:tab w:val="num" w:pos="3600"/>
        </w:tabs>
        <w:ind w:left="3600" w:hanging="360"/>
      </w:pPr>
      <w:rPr>
        <w:rFonts w:ascii="Trebuchet MS" w:hAnsi="Trebuchet MS" w:hint="default"/>
      </w:rPr>
    </w:lvl>
    <w:lvl w:ilvl="5" w:tplc="43FA2702" w:tentative="1">
      <w:start w:val="1"/>
      <w:numFmt w:val="bullet"/>
      <w:lvlText w:val="•"/>
      <w:lvlJc w:val="left"/>
      <w:pPr>
        <w:tabs>
          <w:tab w:val="num" w:pos="4320"/>
        </w:tabs>
        <w:ind w:left="4320" w:hanging="360"/>
      </w:pPr>
      <w:rPr>
        <w:rFonts w:ascii="Trebuchet MS" w:hAnsi="Trebuchet MS" w:hint="default"/>
      </w:rPr>
    </w:lvl>
    <w:lvl w:ilvl="6" w:tplc="EC201EE2" w:tentative="1">
      <w:start w:val="1"/>
      <w:numFmt w:val="bullet"/>
      <w:lvlText w:val="•"/>
      <w:lvlJc w:val="left"/>
      <w:pPr>
        <w:tabs>
          <w:tab w:val="num" w:pos="5040"/>
        </w:tabs>
        <w:ind w:left="5040" w:hanging="360"/>
      </w:pPr>
      <w:rPr>
        <w:rFonts w:ascii="Trebuchet MS" w:hAnsi="Trebuchet MS" w:hint="default"/>
      </w:rPr>
    </w:lvl>
    <w:lvl w:ilvl="7" w:tplc="1DEC4978" w:tentative="1">
      <w:start w:val="1"/>
      <w:numFmt w:val="bullet"/>
      <w:lvlText w:val="•"/>
      <w:lvlJc w:val="left"/>
      <w:pPr>
        <w:tabs>
          <w:tab w:val="num" w:pos="5760"/>
        </w:tabs>
        <w:ind w:left="5760" w:hanging="360"/>
      </w:pPr>
      <w:rPr>
        <w:rFonts w:ascii="Trebuchet MS" w:hAnsi="Trebuchet MS" w:hint="default"/>
      </w:rPr>
    </w:lvl>
    <w:lvl w:ilvl="8" w:tplc="0BB69ED2" w:tentative="1">
      <w:start w:val="1"/>
      <w:numFmt w:val="bullet"/>
      <w:lvlText w:val="•"/>
      <w:lvlJc w:val="left"/>
      <w:pPr>
        <w:tabs>
          <w:tab w:val="num" w:pos="6480"/>
        </w:tabs>
        <w:ind w:left="6480" w:hanging="360"/>
      </w:pPr>
      <w:rPr>
        <w:rFonts w:ascii="Trebuchet MS" w:hAnsi="Trebuchet MS" w:hint="default"/>
      </w:rPr>
    </w:lvl>
  </w:abstractNum>
  <w:abstractNum w:abstractNumId="6">
    <w:nsid w:val="1C743CA2"/>
    <w:multiLevelType w:val="hybridMultilevel"/>
    <w:tmpl w:val="89ACFF22"/>
    <w:lvl w:ilvl="0" w:tplc="40D6BC76">
      <w:start w:val="1"/>
      <w:numFmt w:val="bullet"/>
      <w:lvlText w:val="•"/>
      <w:lvlJc w:val="left"/>
      <w:pPr>
        <w:tabs>
          <w:tab w:val="num" w:pos="720"/>
        </w:tabs>
        <w:ind w:left="720" w:hanging="360"/>
      </w:pPr>
      <w:rPr>
        <w:rFonts w:ascii="Arial" w:hAnsi="Arial" w:hint="default"/>
      </w:rPr>
    </w:lvl>
    <w:lvl w:ilvl="1" w:tplc="A168BC56">
      <w:start w:val="1"/>
      <w:numFmt w:val="bullet"/>
      <w:lvlText w:val="•"/>
      <w:lvlJc w:val="left"/>
      <w:pPr>
        <w:tabs>
          <w:tab w:val="num" w:pos="1440"/>
        </w:tabs>
        <w:ind w:left="1440" w:hanging="360"/>
      </w:pPr>
      <w:rPr>
        <w:rFonts w:ascii="Arial" w:hAnsi="Arial" w:hint="default"/>
      </w:rPr>
    </w:lvl>
    <w:lvl w:ilvl="2" w:tplc="BAF4D97A" w:tentative="1">
      <w:start w:val="1"/>
      <w:numFmt w:val="bullet"/>
      <w:lvlText w:val="•"/>
      <w:lvlJc w:val="left"/>
      <w:pPr>
        <w:tabs>
          <w:tab w:val="num" w:pos="2160"/>
        </w:tabs>
        <w:ind w:left="2160" w:hanging="360"/>
      </w:pPr>
      <w:rPr>
        <w:rFonts w:ascii="Arial" w:hAnsi="Arial" w:hint="default"/>
      </w:rPr>
    </w:lvl>
    <w:lvl w:ilvl="3" w:tplc="D0DC24D6" w:tentative="1">
      <w:start w:val="1"/>
      <w:numFmt w:val="bullet"/>
      <w:lvlText w:val="•"/>
      <w:lvlJc w:val="left"/>
      <w:pPr>
        <w:tabs>
          <w:tab w:val="num" w:pos="2880"/>
        </w:tabs>
        <w:ind w:left="2880" w:hanging="360"/>
      </w:pPr>
      <w:rPr>
        <w:rFonts w:ascii="Arial" w:hAnsi="Arial" w:hint="default"/>
      </w:rPr>
    </w:lvl>
    <w:lvl w:ilvl="4" w:tplc="9CA61378" w:tentative="1">
      <w:start w:val="1"/>
      <w:numFmt w:val="bullet"/>
      <w:lvlText w:val="•"/>
      <w:lvlJc w:val="left"/>
      <w:pPr>
        <w:tabs>
          <w:tab w:val="num" w:pos="3600"/>
        </w:tabs>
        <w:ind w:left="3600" w:hanging="360"/>
      </w:pPr>
      <w:rPr>
        <w:rFonts w:ascii="Arial" w:hAnsi="Arial" w:hint="default"/>
      </w:rPr>
    </w:lvl>
    <w:lvl w:ilvl="5" w:tplc="2E6A173E" w:tentative="1">
      <w:start w:val="1"/>
      <w:numFmt w:val="bullet"/>
      <w:lvlText w:val="•"/>
      <w:lvlJc w:val="left"/>
      <w:pPr>
        <w:tabs>
          <w:tab w:val="num" w:pos="4320"/>
        </w:tabs>
        <w:ind w:left="4320" w:hanging="360"/>
      </w:pPr>
      <w:rPr>
        <w:rFonts w:ascii="Arial" w:hAnsi="Arial" w:hint="default"/>
      </w:rPr>
    </w:lvl>
    <w:lvl w:ilvl="6" w:tplc="2F02C85A" w:tentative="1">
      <w:start w:val="1"/>
      <w:numFmt w:val="bullet"/>
      <w:lvlText w:val="•"/>
      <w:lvlJc w:val="left"/>
      <w:pPr>
        <w:tabs>
          <w:tab w:val="num" w:pos="5040"/>
        </w:tabs>
        <w:ind w:left="5040" w:hanging="360"/>
      </w:pPr>
      <w:rPr>
        <w:rFonts w:ascii="Arial" w:hAnsi="Arial" w:hint="default"/>
      </w:rPr>
    </w:lvl>
    <w:lvl w:ilvl="7" w:tplc="AB986B9C" w:tentative="1">
      <w:start w:val="1"/>
      <w:numFmt w:val="bullet"/>
      <w:lvlText w:val="•"/>
      <w:lvlJc w:val="left"/>
      <w:pPr>
        <w:tabs>
          <w:tab w:val="num" w:pos="5760"/>
        </w:tabs>
        <w:ind w:left="5760" w:hanging="360"/>
      </w:pPr>
      <w:rPr>
        <w:rFonts w:ascii="Arial" w:hAnsi="Arial" w:hint="default"/>
      </w:rPr>
    </w:lvl>
    <w:lvl w:ilvl="8" w:tplc="991C3252" w:tentative="1">
      <w:start w:val="1"/>
      <w:numFmt w:val="bullet"/>
      <w:lvlText w:val="•"/>
      <w:lvlJc w:val="left"/>
      <w:pPr>
        <w:tabs>
          <w:tab w:val="num" w:pos="6480"/>
        </w:tabs>
        <w:ind w:left="6480" w:hanging="360"/>
      </w:pPr>
      <w:rPr>
        <w:rFonts w:ascii="Arial" w:hAnsi="Arial" w:hint="default"/>
      </w:rPr>
    </w:lvl>
  </w:abstractNum>
  <w:abstractNum w:abstractNumId="7">
    <w:nsid w:val="2750609B"/>
    <w:multiLevelType w:val="hybridMultilevel"/>
    <w:tmpl w:val="47B09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8F0123"/>
    <w:multiLevelType w:val="hybridMultilevel"/>
    <w:tmpl w:val="7E342EF4"/>
    <w:lvl w:ilvl="0" w:tplc="822090C4">
      <w:start w:val="1"/>
      <w:numFmt w:val="lowerRoman"/>
      <w:lvlText w:val="%1)"/>
      <w:lvlJc w:val="left"/>
      <w:pPr>
        <w:ind w:left="1080" w:hanging="72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A03F0"/>
    <w:multiLevelType w:val="hybridMultilevel"/>
    <w:tmpl w:val="14C4E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7D3CA9"/>
    <w:multiLevelType w:val="hybridMultilevel"/>
    <w:tmpl w:val="9F1EA8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220186"/>
    <w:multiLevelType w:val="hybridMultilevel"/>
    <w:tmpl w:val="3AAA0438"/>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1257CB0"/>
    <w:multiLevelType w:val="hybridMultilevel"/>
    <w:tmpl w:val="BDFE3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5C1711"/>
    <w:multiLevelType w:val="hybridMultilevel"/>
    <w:tmpl w:val="4E9E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54495"/>
    <w:multiLevelType w:val="hybridMultilevel"/>
    <w:tmpl w:val="8590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67751C"/>
    <w:multiLevelType w:val="hybridMultilevel"/>
    <w:tmpl w:val="042A4330"/>
    <w:lvl w:ilvl="0" w:tplc="6FD008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D70D14"/>
    <w:multiLevelType w:val="hybridMultilevel"/>
    <w:tmpl w:val="C5D863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D5A761C"/>
    <w:multiLevelType w:val="hybridMultilevel"/>
    <w:tmpl w:val="7E342EF4"/>
    <w:lvl w:ilvl="0" w:tplc="822090C4">
      <w:start w:val="1"/>
      <w:numFmt w:val="lowerRoman"/>
      <w:lvlText w:val="%1)"/>
      <w:lvlJc w:val="left"/>
      <w:pPr>
        <w:ind w:left="1080" w:hanging="72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
  </w:num>
  <w:num w:numId="5">
    <w:abstractNumId w:val="0"/>
  </w:num>
  <w:num w:numId="6">
    <w:abstractNumId w:val="5"/>
  </w:num>
  <w:num w:numId="7">
    <w:abstractNumId w:val="10"/>
  </w:num>
  <w:num w:numId="8">
    <w:abstractNumId w:val="14"/>
  </w:num>
  <w:num w:numId="9">
    <w:abstractNumId w:val="7"/>
  </w:num>
  <w:num w:numId="10">
    <w:abstractNumId w:val="9"/>
  </w:num>
  <w:num w:numId="11">
    <w:abstractNumId w:val="2"/>
  </w:num>
  <w:num w:numId="12">
    <w:abstractNumId w:val="15"/>
  </w:num>
  <w:num w:numId="13">
    <w:abstractNumId w:val="17"/>
  </w:num>
  <w:num w:numId="14">
    <w:abstractNumId w:val="3"/>
  </w:num>
  <w:num w:numId="15">
    <w:abstractNumId w:val="13"/>
  </w:num>
  <w:num w:numId="16">
    <w:abstractNumId w:val="8"/>
  </w:num>
  <w:num w:numId="17">
    <w:abstractNumId w:val="16"/>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Reeves">
    <w15:presenceInfo w15:providerId="None" w15:userId="Scott Re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8A"/>
    <w:rsid w:val="00002DA5"/>
    <w:rsid w:val="0000728B"/>
    <w:rsid w:val="00010659"/>
    <w:rsid w:val="00011024"/>
    <w:rsid w:val="00021734"/>
    <w:rsid w:val="0002419A"/>
    <w:rsid w:val="00025B2B"/>
    <w:rsid w:val="00026D07"/>
    <w:rsid w:val="000333A8"/>
    <w:rsid w:val="00037933"/>
    <w:rsid w:val="00044935"/>
    <w:rsid w:val="0005179E"/>
    <w:rsid w:val="000622A3"/>
    <w:rsid w:val="000630B7"/>
    <w:rsid w:val="000800F7"/>
    <w:rsid w:val="00094A77"/>
    <w:rsid w:val="00095DB6"/>
    <w:rsid w:val="00097492"/>
    <w:rsid w:val="000A016D"/>
    <w:rsid w:val="000B1C59"/>
    <w:rsid w:val="000D0E30"/>
    <w:rsid w:val="000D195F"/>
    <w:rsid w:val="000D2D44"/>
    <w:rsid w:val="000D405C"/>
    <w:rsid w:val="000E1D18"/>
    <w:rsid w:val="000E21C4"/>
    <w:rsid w:val="000E31F8"/>
    <w:rsid w:val="000F652C"/>
    <w:rsid w:val="001004D9"/>
    <w:rsid w:val="001017C9"/>
    <w:rsid w:val="00133084"/>
    <w:rsid w:val="00136C92"/>
    <w:rsid w:val="00147658"/>
    <w:rsid w:val="0014766B"/>
    <w:rsid w:val="00157BD7"/>
    <w:rsid w:val="00160727"/>
    <w:rsid w:val="00166395"/>
    <w:rsid w:val="001735F5"/>
    <w:rsid w:val="00174BA4"/>
    <w:rsid w:val="00177FEB"/>
    <w:rsid w:val="00182201"/>
    <w:rsid w:val="00197518"/>
    <w:rsid w:val="001A5C78"/>
    <w:rsid w:val="001A7E00"/>
    <w:rsid w:val="001B3B0F"/>
    <w:rsid w:val="001B4865"/>
    <w:rsid w:val="001B73C2"/>
    <w:rsid w:val="001B7B17"/>
    <w:rsid w:val="001C57D1"/>
    <w:rsid w:val="001C63A2"/>
    <w:rsid w:val="001D1C23"/>
    <w:rsid w:val="001D3090"/>
    <w:rsid w:val="001E67B8"/>
    <w:rsid w:val="001F4D6A"/>
    <w:rsid w:val="001F6922"/>
    <w:rsid w:val="0020004D"/>
    <w:rsid w:val="002021D6"/>
    <w:rsid w:val="002117D5"/>
    <w:rsid w:val="0022213D"/>
    <w:rsid w:val="00222FC1"/>
    <w:rsid w:val="0022655E"/>
    <w:rsid w:val="002318FD"/>
    <w:rsid w:val="0024420B"/>
    <w:rsid w:val="0024787C"/>
    <w:rsid w:val="00256BB5"/>
    <w:rsid w:val="00270887"/>
    <w:rsid w:val="00270C5E"/>
    <w:rsid w:val="0027236E"/>
    <w:rsid w:val="00273683"/>
    <w:rsid w:val="00277D05"/>
    <w:rsid w:val="0028227B"/>
    <w:rsid w:val="002937F4"/>
    <w:rsid w:val="002943BB"/>
    <w:rsid w:val="002A1144"/>
    <w:rsid w:val="002A1A51"/>
    <w:rsid w:val="002C0FEE"/>
    <w:rsid w:val="002C3D22"/>
    <w:rsid w:val="002E0230"/>
    <w:rsid w:val="002E2C6F"/>
    <w:rsid w:val="002F32D1"/>
    <w:rsid w:val="002F592E"/>
    <w:rsid w:val="00302BDB"/>
    <w:rsid w:val="00306C48"/>
    <w:rsid w:val="0031204E"/>
    <w:rsid w:val="00315526"/>
    <w:rsid w:val="003230CA"/>
    <w:rsid w:val="0032649F"/>
    <w:rsid w:val="00331DF0"/>
    <w:rsid w:val="003362AF"/>
    <w:rsid w:val="00337E3B"/>
    <w:rsid w:val="00367D98"/>
    <w:rsid w:val="00370093"/>
    <w:rsid w:val="00382816"/>
    <w:rsid w:val="003852FA"/>
    <w:rsid w:val="00390726"/>
    <w:rsid w:val="00392F69"/>
    <w:rsid w:val="003A0E8C"/>
    <w:rsid w:val="003A542B"/>
    <w:rsid w:val="003A7E20"/>
    <w:rsid w:val="003B7BAA"/>
    <w:rsid w:val="003B7E8B"/>
    <w:rsid w:val="003C5850"/>
    <w:rsid w:val="003C65C2"/>
    <w:rsid w:val="003D4936"/>
    <w:rsid w:val="003E0401"/>
    <w:rsid w:val="003E6A9A"/>
    <w:rsid w:val="003F691F"/>
    <w:rsid w:val="003F6C5B"/>
    <w:rsid w:val="00402A36"/>
    <w:rsid w:val="00430E24"/>
    <w:rsid w:val="00442581"/>
    <w:rsid w:val="00446DC6"/>
    <w:rsid w:val="00460B9B"/>
    <w:rsid w:val="004632FC"/>
    <w:rsid w:val="0046494F"/>
    <w:rsid w:val="00471175"/>
    <w:rsid w:val="004778F8"/>
    <w:rsid w:val="004806DF"/>
    <w:rsid w:val="00494456"/>
    <w:rsid w:val="0049591F"/>
    <w:rsid w:val="00495F6B"/>
    <w:rsid w:val="00497A9F"/>
    <w:rsid w:val="004A659A"/>
    <w:rsid w:val="004B288A"/>
    <w:rsid w:val="004B6A8D"/>
    <w:rsid w:val="004C1388"/>
    <w:rsid w:val="004C6681"/>
    <w:rsid w:val="004C77AD"/>
    <w:rsid w:val="004D4032"/>
    <w:rsid w:val="004D5955"/>
    <w:rsid w:val="004E482C"/>
    <w:rsid w:val="004F07DD"/>
    <w:rsid w:val="004F19C5"/>
    <w:rsid w:val="004F19EF"/>
    <w:rsid w:val="00504A02"/>
    <w:rsid w:val="00504A3F"/>
    <w:rsid w:val="00510F7F"/>
    <w:rsid w:val="005111D4"/>
    <w:rsid w:val="005244B6"/>
    <w:rsid w:val="005256EB"/>
    <w:rsid w:val="00534846"/>
    <w:rsid w:val="005369C6"/>
    <w:rsid w:val="005407D9"/>
    <w:rsid w:val="0054264B"/>
    <w:rsid w:val="00547C49"/>
    <w:rsid w:val="00551797"/>
    <w:rsid w:val="00554DDD"/>
    <w:rsid w:val="00557624"/>
    <w:rsid w:val="005674E0"/>
    <w:rsid w:val="00570BE2"/>
    <w:rsid w:val="00581218"/>
    <w:rsid w:val="00582898"/>
    <w:rsid w:val="00584578"/>
    <w:rsid w:val="00591611"/>
    <w:rsid w:val="00593513"/>
    <w:rsid w:val="005A0175"/>
    <w:rsid w:val="005B7B96"/>
    <w:rsid w:val="005C4519"/>
    <w:rsid w:val="005C6525"/>
    <w:rsid w:val="005D0AAD"/>
    <w:rsid w:val="005D0D27"/>
    <w:rsid w:val="005D776F"/>
    <w:rsid w:val="005F293E"/>
    <w:rsid w:val="005F40CA"/>
    <w:rsid w:val="005F5E61"/>
    <w:rsid w:val="00604A27"/>
    <w:rsid w:val="006106A2"/>
    <w:rsid w:val="00612D4F"/>
    <w:rsid w:val="0061376D"/>
    <w:rsid w:val="00621ACF"/>
    <w:rsid w:val="00621C94"/>
    <w:rsid w:val="006234A6"/>
    <w:rsid w:val="00623E3C"/>
    <w:rsid w:val="0062631D"/>
    <w:rsid w:val="0063133B"/>
    <w:rsid w:val="00631B04"/>
    <w:rsid w:val="00631F43"/>
    <w:rsid w:val="00636726"/>
    <w:rsid w:val="00644CC2"/>
    <w:rsid w:val="006603F1"/>
    <w:rsid w:val="00661321"/>
    <w:rsid w:val="00683BED"/>
    <w:rsid w:val="00683DD9"/>
    <w:rsid w:val="0068487A"/>
    <w:rsid w:val="00687D37"/>
    <w:rsid w:val="0069427B"/>
    <w:rsid w:val="006970D7"/>
    <w:rsid w:val="006A6D07"/>
    <w:rsid w:val="006B420F"/>
    <w:rsid w:val="006C0963"/>
    <w:rsid w:val="006C4AFC"/>
    <w:rsid w:val="006D10FE"/>
    <w:rsid w:val="006D347B"/>
    <w:rsid w:val="006E174B"/>
    <w:rsid w:val="006E590C"/>
    <w:rsid w:val="006E6202"/>
    <w:rsid w:val="007016B5"/>
    <w:rsid w:val="00704381"/>
    <w:rsid w:val="00706ED3"/>
    <w:rsid w:val="00740D31"/>
    <w:rsid w:val="007465C4"/>
    <w:rsid w:val="00752BEA"/>
    <w:rsid w:val="007555F2"/>
    <w:rsid w:val="007578D8"/>
    <w:rsid w:val="00764F97"/>
    <w:rsid w:val="00772D0A"/>
    <w:rsid w:val="00773A28"/>
    <w:rsid w:val="007762CA"/>
    <w:rsid w:val="00787FA9"/>
    <w:rsid w:val="007A4991"/>
    <w:rsid w:val="007A501F"/>
    <w:rsid w:val="007C737D"/>
    <w:rsid w:val="007D1194"/>
    <w:rsid w:val="007E6827"/>
    <w:rsid w:val="007E797A"/>
    <w:rsid w:val="0080148F"/>
    <w:rsid w:val="00807511"/>
    <w:rsid w:val="00812AA0"/>
    <w:rsid w:val="00833AD3"/>
    <w:rsid w:val="00845BAD"/>
    <w:rsid w:val="00850B5E"/>
    <w:rsid w:val="00861C26"/>
    <w:rsid w:val="00871A39"/>
    <w:rsid w:val="0087209F"/>
    <w:rsid w:val="008775F6"/>
    <w:rsid w:val="008971C4"/>
    <w:rsid w:val="008A0A7A"/>
    <w:rsid w:val="008A1A3D"/>
    <w:rsid w:val="008B4260"/>
    <w:rsid w:val="008B43C2"/>
    <w:rsid w:val="008E1EA0"/>
    <w:rsid w:val="008E7CC1"/>
    <w:rsid w:val="009058FE"/>
    <w:rsid w:val="00922F3B"/>
    <w:rsid w:val="00925CB4"/>
    <w:rsid w:val="00937744"/>
    <w:rsid w:val="00943ED4"/>
    <w:rsid w:val="009453ED"/>
    <w:rsid w:val="00954EA0"/>
    <w:rsid w:val="00963B61"/>
    <w:rsid w:val="00964D8B"/>
    <w:rsid w:val="009704A5"/>
    <w:rsid w:val="009931BB"/>
    <w:rsid w:val="009A2E19"/>
    <w:rsid w:val="009A47E6"/>
    <w:rsid w:val="009A585A"/>
    <w:rsid w:val="009C0C97"/>
    <w:rsid w:val="009C235C"/>
    <w:rsid w:val="009E14F8"/>
    <w:rsid w:val="009E4B00"/>
    <w:rsid w:val="009E53F4"/>
    <w:rsid w:val="009F5800"/>
    <w:rsid w:val="00A0050C"/>
    <w:rsid w:val="00A0653D"/>
    <w:rsid w:val="00A07644"/>
    <w:rsid w:val="00A171A2"/>
    <w:rsid w:val="00A3555F"/>
    <w:rsid w:val="00A44A7D"/>
    <w:rsid w:val="00A51140"/>
    <w:rsid w:val="00A51323"/>
    <w:rsid w:val="00A5688D"/>
    <w:rsid w:val="00A60F40"/>
    <w:rsid w:val="00A65072"/>
    <w:rsid w:val="00A666D0"/>
    <w:rsid w:val="00A7086F"/>
    <w:rsid w:val="00A77532"/>
    <w:rsid w:val="00A83ABB"/>
    <w:rsid w:val="00A91754"/>
    <w:rsid w:val="00A92125"/>
    <w:rsid w:val="00A93ED1"/>
    <w:rsid w:val="00AA52D2"/>
    <w:rsid w:val="00AC14EB"/>
    <w:rsid w:val="00AC2245"/>
    <w:rsid w:val="00AD4722"/>
    <w:rsid w:val="00AD5C86"/>
    <w:rsid w:val="00AE1594"/>
    <w:rsid w:val="00AF1694"/>
    <w:rsid w:val="00AF632C"/>
    <w:rsid w:val="00B02DA4"/>
    <w:rsid w:val="00B14B5D"/>
    <w:rsid w:val="00B14DBE"/>
    <w:rsid w:val="00B30F3A"/>
    <w:rsid w:val="00B32531"/>
    <w:rsid w:val="00B32E10"/>
    <w:rsid w:val="00B35916"/>
    <w:rsid w:val="00B4344C"/>
    <w:rsid w:val="00B43A6F"/>
    <w:rsid w:val="00B4684F"/>
    <w:rsid w:val="00B540F4"/>
    <w:rsid w:val="00B55B93"/>
    <w:rsid w:val="00B56A6D"/>
    <w:rsid w:val="00B63C15"/>
    <w:rsid w:val="00B81D89"/>
    <w:rsid w:val="00B915D0"/>
    <w:rsid w:val="00B94327"/>
    <w:rsid w:val="00B9488D"/>
    <w:rsid w:val="00BA7B58"/>
    <w:rsid w:val="00BD5725"/>
    <w:rsid w:val="00BD6BE9"/>
    <w:rsid w:val="00BE119C"/>
    <w:rsid w:val="00BE7E05"/>
    <w:rsid w:val="00BF4F64"/>
    <w:rsid w:val="00C01824"/>
    <w:rsid w:val="00C06065"/>
    <w:rsid w:val="00C3191B"/>
    <w:rsid w:val="00C35A91"/>
    <w:rsid w:val="00C44CF5"/>
    <w:rsid w:val="00C5295D"/>
    <w:rsid w:val="00C57BB9"/>
    <w:rsid w:val="00C654DD"/>
    <w:rsid w:val="00C71CD1"/>
    <w:rsid w:val="00C81685"/>
    <w:rsid w:val="00C92FC3"/>
    <w:rsid w:val="00CA33AB"/>
    <w:rsid w:val="00CA36F8"/>
    <w:rsid w:val="00CC1F1C"/>
    <w:rsid w:val="00CD243A"/>
    <w:rsid w:val="00CD4130"/>
    <w:rsid w:val="00CE1A5F"/>
    <w:rsid w:val="00CE5715"/>
    <w:rsid w:val="00CF010C"/>
    <w:rsid w:val="00D03D80"/>
    <w:rsid w:val="00D0445B"/>
    <w:rsid w:val="00D10ADD"/>
    <w:rsid w:val="00D14AC9"/>
    <w:rsid w:val="00D22B52"/>
    <w:rsid w:val="00D3014E"/>
    <w:rsid w:val="00D31B1E"/>
    <w:rsid w:val="00D33D07"/>
    <w:rsid w:val="00D3673A"/>
    <w:rsid w:val="00D40402"/>
    <w:rsid w:val="00D41396"/>
    <w:rsid w:val="00D41CAD"/>
    <w:rsid w:val="00D56DB7"/>
    <w:rsid w:val="00D63F93"/>
    <w:rsid w:val="00D70F09"/>
    <w:rsid w:val="00D71404"/>
    <w:rsid w:val="00D856EE"/>
    <w:rsid w:val="00D87BDA"/>
    <w:rsid w:val="00D94A9B"/>
    <w:rsid w:val="00DA4F87"/>
    <w:rsid w:val="00DA65B5"/>
    <w:rsid w:val="00DB0FAA"/>
    <w:rsid w:val="00DC102F"/>
    <w:rsid w:val="00DD2572"/>
    <w:rsid w:val="00DE16C4"/>
    <w:rsid w:val="00DE627E"/>
    <w:rsid w:val="00DE6FC5"/>
    <w:rsid w:val="00DF0165"/>
    <w:rsid w:val="00DF2625"/>
    <w:rsid w:val="00DF5508"/>
    <w:rsid w:val="00E001E0"/>
    <w:rsid w:val="00E01D2F"/>
    <w:rsid w:val="00E06A6F"/>
    <w:rsid w:val="00E14A39"/>
    <w:rsid w:val="00E24C28"/>
    <w:rsid w:val="00E2599E"/>
    <w:rsid w:val="00E26F8B"/>
    <w:rsid w:val="00E27FFE"/>
    <w:rsid w:val="00E32B44"/>
    <w:rsid w:val="00E33427"/>
    <w:rsid w:val="00E379C8"/>
    <w:rsid w:val="00E418B6"/>
    <w:rsid w:val="00E47F19"/>
    <w:rsid w:val="00E50C5F"/>
    <w:rsid w:val="00E57E94"/>
    <w:rsid w:val="00E77056"/>
    <w:rsid w:val="00E93BF2"/>
    <w:rsid w:val="00E9632C"/>
    <w:rsid w:val="00EA1B7C"/>
    <w:rsid w:val="00EB0DC4"/>
    <w:rsid w:val="00EC0202"/>
    <w:rsid w:val="00EE400A"/>
    <w:rsid w:val="00EE70F5"/>
    <w:rsid w:val="00EF1844"/>
    <w:rsid w:val="00EF3555"/>
    <w:rsid w:val="00EF71D2"/>
    <w:rsid w:val="00F07C25"/>
    <w:rsid w:val="00F112B3"/>
    <w:rsid w:val="00F122B4"/>
    <w:rsid w:val="00F1295A"/>
    <w:rsid w:val="00F207EA"/>
    <w:rsid w:val="00F22B45"/>
    <w:rsid w:val="00F30AA0"/>
    <w:rsid w:val="00F44822"/>
    <w:rsid w:val="00F44F82"/>
    <w:rsid w:val="00F53902"/>
    <w:rsid w:val="00F65609"/>
    <w:rsid w:val="00F67079"/>
    <w:rsid w:val="00F74DE0"/>
    <w:rsid w:val="00F8571D"/>
    <w:rsid w:val="00F949AF"/>
    <w:rsid w:val="00FB5C08"/>
    <w:rsid w:val="00FC6932"/>
    <w:rsid w:val="00FD106B"/>
    <w:rsid w:val="00FD51CE"/>
    <w:rsid w:val="00FE3518"/>
    <w:rsid w:val="00FE5CBD"/>
    <w:rsid w:val="00FF6D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28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88A"/>
    <w:rPr>
      <w:rFonts w:ascii="Calibri" w:hAnsi="Calibri"/>
      <w:szCs w:val="21"/>
    </w:rPr>
  </w:style>
  <w:style w:type="paragraph" w:styleId="ListParagraph">
    <w:name w:val="List Paragraph"/>
    <w:basedOn w:val="Normal"/>
    <w:uiPriority w:val="34"/>
    <w:qFormat/>
    <w:rsid w:val="004B288A"/>
    <w:pPr>
      <w:ind w:left="720"/>
      <w:contextualSpacing/>
    </w:pPr>
  </w:style>
  <w:style w:type="character" w:customStyle="1" w:styleId="st">
    <w:name w:val="st"/>
    <w:rsid w:val="00256BB5"/>
    <w:rPr>
      <w:rFonts w:cs="Times New Roman"/>
    </w:rPr>
  </w:style>
  <w:style w:type="paragraph" w:customStyle="1" w:styleId="Heading24">
    <w:name w:val="Heading 24"/>
    <w:basedOn w:val="Normal"/>
    <w:rsid w:val="00402A36"/>
    <w:pPr>
      <w:shd w:val="clear" w:color="auto" w:fill="FFFFFF"/>
      <w:spacing w:after="0" w:line="240" w:lineRule="auto"/>
      <w:outlineLvl w:val="2"/>
    </w:pPr>
    <w:rPr>
      <w:rFonts w:ascii="Arial" w:eastAsia="Times New Roman" w:hAnsi="Arial" w:cs="Arial"/>
      <w:color w:val="2B5757"/>
      <w:sz w:val="38"/>
      <w:szCs w:val="38"/>
      <w:lang w:val="en-US"/>
    </w:rPr>
  </w:style>
  <w:style w:type="character" w:customStyle="1" w:styleId="apple-style-span">
    <w:name w:val="apple-style-span"/>
    <w:basedOn w:val="DefaultParagraphFont"/>
    <w:rsid w:val="00402A36"/>
  </w:style>
  <w:style w:type="character" w:styleId="Hyperlink">
    <w:name w:val="Hyperlink"/>
    <w:rsid w:val="00402A36"/>
    <w:rPr>
      <w:rFonts w:cs="Times New Roman"/>
      <w:color w:val="0000FF"/>
      <w:u w:val="single"/>
    </w:rPr>
  </w:style>
  <w:style w:type="paragraph" w:styleId="BalloonText">
    <w:name w:val="Balloon Text"/>
    <w:basedOn w:val="Normal"/>
    <w:link w:val="BalloonTextChar"/>
    <w:uiPriority w:val="99"/>
    <w:semiHidden/>
    <w:unhideWhenUsed/>
    <w:rsid w:val="00E5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5F"/>
    <w:rPr>
      <w:rFonts w:ascii="Tahoma" w:hAnsi="Tahoma" w:cs="Tahoma"/>
      <w:sz w:val="16"/>
      <w:szCs w:val="16"/>
    </w:rPr>
  </w:style>
  <w:style w:type="paragraph" w:styleId="Header">
    <w:name w:val="header"/>
    <w:basedOn w:val="Normal"/>
    <w:link w:val="HeaderChar"/>
    <w:uiPriority w:val="99"/>
    <w:unhideWhenUsed/>
    <w:rsid w:val="00E5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C5F"/>
  </w:style>
  <w:style w:type="paragraph" w:styleId="Footer">
    <w:name w:val="footer"/>
    <w:basedOn w:val="Normal"/>
    <w:link w:val="FooterChar"/>
    <w:uiPriority w:val="99"/>
    <w:unhideWhenUsed/>
    <w:rsid w:val="00E50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C5F"/>
  </w:style>
  <w:style w:type="paragraph" w:styleId="NormalWeb">
    <w:name w:val="Normal (Web)"/>
    <w:basedOn w:val="Normal"/>
    <w:uiPriority w:val="99"/>
    <w:semiHidden/>
    <w:unhideWhenUsed/>
    <w:rsid w:val="009C235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2125"/>
    <w:rPr>
      <w:sz w:val="16"/>
      <w:szCs w:val="16"/>
    </w:rPr>
  </w:style>
  <w:style w:type="paragraph" w:styleId="CommentText">
    <w:name w:val="annotation text"/>
    <w:basedOn w:val="Normal"/>
    <w:link w:val="CommentTextChar"/>
    <w:uiPriority w:val="99"/>
    <w:semiHidden/>
    <w:unhideWhenUsed/>
    <w:rsid w:val="00A92125"/>
    <w:pPr>
      <w:spacing w:line="240" w:lineRule="auto"/>
    </w:pPr>
    <w:rPr>
      <w:sz w:val="20"/>
      <w:szCs w:val="20"/>
    </w:rPr>
  </w:style>
  <w:style w:type="character" w:customStyle="1" w:styleId="CommentTextChar">
    <w:name w:val="Comment Text Char"/>
    <w:basedOn w:val="DefaultParagraphFont"/>
    <w:link w:val="CommentText"/>
    <w:uiPriority w:val="99"/>
    <w:semiHidden/>
    <w:rsid w:val="00A92125"/>
    <w:rPr>
      <w:sz w:val="20"/>
      <w:szCs w:val="20"/>
    </w:rPr>
  </w:style>
  <w:style w:type="paragraph" w:styleId="CommentSubject">
    <w:name w:val="annotation subject"/>
    <w:basedOn w:val="CommentText"/>
    <w:next w:val="CommentText"/>
    <w:link w:val="CommentSubjectChar"/>
    <w:uiPriority w:val="99"/>
    <w:semiHidden/>
    <w:unhideWhenUsed/>
    <w:rsid w:val="00CE5715"/>
    <w:rPr>
      <w:b/>
      <w:bCs/>
    </w:rPr>
  </w:style>
  <w:style w:type="character" w:customStyle="1" w:styleId="CommentSubjectChar">
    <w:name w:val="Comment Subject Char"/>
    <w:basedOn w:val="CommentTextChar"/>
    <w:link w:val="CommentSubject"/>
    <w:uiPriority w:val="99"/>
    <w:semiHidden/>
    <w:rsid w:val="00CE5715"/>
    <w:rPr>
      <w:b/>
      <w:bCs/>
      <w:sz w:val="20"/>
      <w:szCs w:val="20"/>
    </w:rPr>
  </w:style>
  <w:style w:type="paragraph" w:customStyle="1" w:styleId="p0">
    <w:name w:val="p0"/>
    <w:basedOn w:val="Normal"/>
    <w:rsid w:val="00F207EA"/>
    <w:pPr>
      <w:suppressAutoHyphens/>
      <w:spacing w:line="264" w:lineRule="auto"/>
    </w:pPr>
    <w:rPr>
      <w:rFonts w:ascii="Calibri" w:eastAsia="Times New Roman" w:hAnsi="Calibri" w:cs="Calibri"/>
      <w:sz w:val="20"/>
      <w:szCs w:val="20"/>
      <w:lang w:eastAsia="ar-SA"/>
    </w:rPr>
  </w:style>
  <w:style w:type="character" w:customStyle="1" w:styleId="highwire-cite-article-as">
    <w:name w:val="highwire-cite-article-as"/>
    <w:basedOn w:val="DefaultParagraphFont"/>
    <w:rsid w:val="00963B61"/>
  </w:style>
  <w:style w:type="character" w:customStyle="1" w:styleId="highwire-cite-doi">
    <w:name w:val="highwire-cite-doi"/>
    <w:basedOn w:val="DefaultParagraphFont"/>
    <w:rsid w:val="00963B61"/>
  </w:style>
  <w:style w:type="paragraph" w:styleId="Revision">
    <w:name w:val="Revision"/>
    <w:hidden/>
    <w:uiPriority w:val="99"/>
    <w:semiHidden/>
    <w:rsid w:val="003B7B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28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88A"/>
    <w:rPr>
      <w:rFonts w:ascii="Calibri" w:hAnsi="Calibri"/>
      <w:szCs w:val="21"/>
    </w:rPr>
  </w:style>
  <w:style w:type="paragraph" w:styleId="ListParagraph">
    <w:name w:val="List Paragraph"/>
    <w:basedOn w:val="Normal"/>
    <w:uiPriority w:val="34"/>
    <w:qFormat/>
    <w:rsid w:val="004B288A"/>
    <w:pPr>
      <w:ind w:left="720"/>
      <w:contextualSpacing/>
    </w:pPr>
  </w:style>
  <w:style w:type="character" w:customStyle="1" w:styleId="st">
    <w:name w:val="st"/>
    <w:rsid w:val="00256BB5"/>
    <w:rPr>
      <w:rFonts w:cs="Times New Roman"/>
    </w:rPr>
  </w:style>
  <w:style w:type="paragraph" w:customStyle="1" w:styleId="Heading24">
    <w:name w:val="Heading 24"/>
    <w:basedOn w:val="Normal"/>
    <w:rsid w:val="00402A36"/>
    <w:pPr>
      <w:shd w:val="clear" w:color="auto" w:fill="FFFFFF"/>
      <w:spacing w:after="0" w:line="240" w:lineRule="auto"/>
      <w:outlineLvl w:val="2"/>
    </w:pPr>
    <w:rPr>
      <w:rFonts w:ascii="Arial" w:eastAsia="Times New Roman" w:hAnsi="Arial" w:cs="Arial"/>
      <w:color w:val="2B5757"/>
      <w:sz w:val="38"/>
      <w:szCs w:val="38"/>
      <w:lang w:val="en-US"/>
    </w:rPr>
  </w:style>
  <w:style w:type="character" w:customStyle="1" w:styleId="apple-style-span">
    <w:name w:val="apple-style-span"/>
    <w:basedOn w:val="DefaultParagraphFont"/>
    <w:rsid w:val="00402A36"/>
  </w:style>
  <w:style w:type="character" w:styleId="Hyperlink">
    <w:name w:val="Hyperlink"/>
    <w:rsid w:val="00402A36"/>
    <w:rPr>
      <w:rFonts w:cs="Times New Roman"/>
      <w:color w:val="0000FF"/>
      <w:u w:val="single"/>
    </w:rPr>
  </w:style>
  <w:style w:type="paragraph" w:styleId="BalloonText">
    <w:name w:val="Balloon Text"/>
    <w:basedOn w:val="Normal"/>
    <w:link w:val="BalloonTextChar"/>
    <w:uiPriority w:val="99"/>
    <w:semiHidden/>
    <w:unhideWhenUsed/>
    <w:rsid w:val="00E5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5F"/>
    <w:rPr>
      <w:rFonts w:ascii="Tahoma" w:hAnsi="Tahoma" w:cs="Tahoma"/>
      <w:sz w:val="16"/>
      <w:szCs w:val="16"/>
    </w:rPr>
  </w:style>
  <w:style w:type="paragraph" w:styleId="Header">
    <w:name w:val="header"/>
    <w:basedOn w:val="Normal"/>
    <w:link w:val="HeaderChar"/>
    <w:uiPriority w:val="99"/>
    <w:unhideWhenUsed/>
    <w:rsid w:val="00E5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C5F"/>
  </w:style>
  <w:style w:type="paragraph" w:styleId="Footer">
    <w:name w:val="footer"/>
    <w:basedOn w:val="Normal"/>
    <w:link w:val="FooterChar"/>
    <w:uiPriority w:val="99"/>
    <w:unhideWhenUsed/>
    <w:rsid w:val="00E50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C5F"/>
  </w:style>
  <w:style w:type="paragraph" w:styleId="NormalWeb">
    <w:name w:val="Normal (Web)"/>
    <w:basedOn w:val="Normal"/>
    <w:uiPriority w:val="99"/>
    <w:semiHidden/>
    <w:unhideWhenUsed/>
    <w:rsid w:val="009C235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2125"/>
    <w:rPr>
      <w:sz w:val="16"/>
      <w:szCs w:val="16"/>
    </w:rPr>
  </w:style>
  <w:style w:type="paragraph" w:styleId="CommentText">
    <w:name w:val="annotation text"/>
    <w:basedOn w:val="Normal"/>
    <w:link w:val="CommentTextChar"/>
    <w:uiPriority w:val="99"/>
    <w:semiHidden/>
    <w:unhideWhenUsed/>
    <w:rsid w:val="00A92125"/>
    <w:pPr>
      <w:spacing w:line="240" w:lineRule="auto"/>
    </w:pPr>
    <w:rPr>
      <w:sz w:val="20"/>
      <w:szCs w:val="20"/>
    </w:rPr>
  </w:style>
  <w:style w:type="character" w:customStyle="1" w:styleId="CommentTextChar">
    <w:name w:val="Comment Text Char"/>
    <w:basedOn w:val="DefaultParagraphFont"/>
    <w:link w:val="CommentText"/>
    <w:uiPriority w:val="99"/>
    <w:semiHidden/>
    <w:rsid w:val="00A92125"/>
    <w:rPr>
      <w:sz w:val="20"/>
      <w:szCs w:val="20"/>
    </w:rPr>
  </w:style>
  <w:style w:type="paragraph" w:styleId="CommentSubject">
    <w:name w:val="annotation subject"/>
    <w:basedOn w:val="CommentText"/>
    <w:next w:val="CommentText"/>
    <w:link w:val="CommentSubjectChar"/>
    <w:uiPriority w:val="99"/>
    <w:semiHidden/>
    <w:unhideWhenUsed/>
    <w:rsid w:val="00CE5715"/>
    <w:rPr>
      <w:b/>
      <w:bCs/>
    </w:rPr>
  </w:style>
  <w:style w:type="character" w:customStyle="1" w:styleId="CommentSubjectChar">
    <w:name w:val="Comment Subject Char"/>
    <w:basedOn w:val="CommentTextChar"/>
    <w:link w:val="CommentSubject"/>
    <w:uiPriority w:val="99"/>
    <w:semiHidden/>
    <w:rsid w:val="00CE5715"/>
    <w:rPr>
      <w:b/>
      <w:bCs/>
      <w:sz w:val="20"/>
      <w:szCs w:val="20"/>
    </w:rPr>
  </w:style>
  <w:style w:type="paragraph" w:customStyle="1" w:styleId="p0">
    <w:name w:val="p0"/>
    <w:basedOn w:val="Normal"/>
    <w:rsid w:val="00F207EA"/>
    <w:pPr>
      <w:suppressAutoHyphens/>
      <w:spacing w:line="264" w:lineRule="auto"/>
    </w:pPr>
    <w:rPr>
      <w:rFonts w:ascii="Calibri" w:eastAsia="Times New Roman" w:hAnsi="Calibri" w:cs="Calibri"/>
      <w:sz w:val="20"/>
      <w:szCs w:val="20"/>
      <w:lang w:eastAsia="ar-SA"/>
    </w:rPr>
  </w:style>
  <w:style w:type="character" w:customStyle="1" w:styleId="highwire-cite-article-as">
    <w:name w:val="highwire-cite-article-as"/>
    <w:basedOn w:val="DefaultParagraphFont"/>
    <w:rsid w:val="00963B61"/>
  </w:style>
  <w:style w:type="character" w:customStyle="1" w:styleId="highwire-cite-doi">
    <w:name w:val="highwire-cite-doi"/>
    <w:basedOn w:val="DefaultParagraphFont"/>
    <w:rsid w:val="00963B61"/>
  </w:style>
  <w:style w:type="paragraph" w:styleId="Revision">
    <w:name w:val="Revision"/>
    <w:hidden/>
    <w:uiPriority w:val="99"/>
    <w:semiHidden/>
    <w:rsid w:val="003B7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050">
      <w:bodyDiv w:val="1"/>
      <w:marLeft w:val="0"/>
      <w:marRight w:val="0"/>
      <w:marTop w:val="0"/>
      <w:marBottom w:val="0"/>
      <w:divBdr>
        <w:top w:val="none" w:sz="0" w:space="0" w:color="auto"/>
        <w:left w:val="none" w:sz="0" w:space="0" w:color="auto"/>
        <w:bottom w:val="none" w:sz="0" w:space="0" w:color="auto"/>
        <w:right w:val="none" w:sz="0" w:space="0" w:color="auto"/>
      </w:divBdr>
    </w:div>
    <w:div w:id="784236000">
      <w:bodyDiv w:val="1"/>
      <w:marLeft w:val="0"/>
      <w:marRight w:val="0"/>
      <w:marTop w:val="0"/>
      <w:marBottom w:val="0"/>
      <w:divBdr>
        <w:top w:val="none" w:sz="0" w:space="0" w:color="auto"/>
        <w:left w:val="none" w:sz="0" w:space="0" w:color="auto"/>
        <w:bottom w:val="none" w:sz="0" w:space="0" w:color="auto"/>
        <w:right w:val="none" w:sz="0" w:space="0" w:color="auto"/>
      </w:divBdr>
    </w:div>
    <w:div w:id="900947020">
      <w:bodyDiv w:val="1"/>
      <w:marLeft w:val="0"/>
      <w:marRight w:val="0"/>
      <w:marTop w:val="0"/>
      <w:marBottom w:val="0"/>
      <w:divBdr>
        <w:top w:val="none" w:sz="0" w:space="0" w:color="auto"/>
        <w:left w:val="none" w:sz="0" w:space="0" w:color="auto"/>
        <w:bottom w:val="none" w:sz="0" w:space="0" w:color="auto"/>
        <w:right w:val="none" w:sz="0" w:space="0" w:color="auto"/>
      </w:divBdr>
    </w:div>
    <w:div w:id="1676303101">
      <w:bodyDiv w:val="1"/>
      <w:marLeft w:val="0"/>
      <w:marRight w:val="0"/>
      <w:marTop w:val="0"/>
      <w:marBottom w:val="0"/>
      <w:divBdr>
        <w:top w:val="none" w:sz="0" w:space="0" w:color="auto"/>
        <w:left w:val="none" w:sz="0" w:space="0" w:color="auto"/>
        <w:bottom w:val="none" w:sz="0" w:space="0" w:color="auto"/>
        <w:right w:val="none" w:sz="0" w:space="0" w:color="auto"/>
      </w:divBdr>
      <w:divsChild>
        <w:div w:id="1134105834">
          <w:marLeft w:val="1440"/>
          <w:marRight w:val="0"/>
          <w:marTop w:val="96"/>
          <w:marBottom w:val="0"/>
          <w:divBdr>
            <w:top w:val="none" w:sz="0" w:space="0" w:color="auto"/>
            <w:left w:val="none" w:sz="0" w:space="0" w:color="auto"/>
            <w:bottom w:val="none" w:sz="0" w:space="0" w:color="auto"/>
            <w:right w:val="none" w:sz="0" w:space="0" w:color="auto"/>
          </w:divBdr>
        </w:div>
      </w:divsChild>
    </w:div>
    <w:div w:id="2034384180">
      <w:bodyDiv w:val="1"/>
      <w:marLeft w:val="0"/>
      <w:marRight w:val="0"/>
      <w:marTop w:val="0"/>
      <w:marBottom w:val="0"/>
      <w:divBdr>
        <w:top w:val="none" w:sz="0" w:space="0" w:color="auto"/>
        <w:left w:val="none" w:sz="0" w:space="0" w:color="auto"/>
        <w:bottom w:val="none" w:sz="0" w:space="0" w:color="auto"/>
        <w:right w:val="none" w:sz="0" w:space="0" w:color="auto"/>
      </w:divBdr>
      <w:divsChild>
        <w:div w:id="1956517615">
          <w:marLeft w:val="547"/>
          <w:marRight w:val="0"/>
          <w:marTop w:val="280"/>
          <w:marBottom w:val="0"/>
          <w:divBdr>
            <w:top w:val="none" w:sz="0" w:space="0" w:color="auto"/>
            <w:left w:val="none" w:sz="0" w:space="0" w:color="auto"/>
            <w:bottom w:val="none" w:sz="0" w:space="0" w:color="auto"/>
            <w:right w:val="none" w:sz="0" w:space="0" w:color="auto"/>
          </w:divBdr>
        </w:div>
        <w:div w:id="1341272420">
          <w:marLeft w:val="547"/>
          <w:marRight w:val="0"/>
          <w:marTop w:val="280"/>
          <w:marBottom w:val="0"/>
          <w:divBdr>
            <w:top w:val="none" w:sz="0" w:space="0" w:color="auto"/>
            <w:left w:val="none" w:sz="0" w:space="0" w:color="auto"/>
            <w:bottom w:val="none" w:sz="0" w:space="0" w:color="auto"/>
            <w:right w:val="none" w:sz="0" w:space="0" w:color="auto"/>
          </w:divBdr>
        </w:div>
        <w:div w:id="106507329">
          <w:marLeft w:val="547"/>
          <w:marRight w:val="0"/>
          <w:marTop w:val="280"/>
          <w:marBottom w:val="0"/>
          <w:divBdr>
            <w:top w:val="none" w:sz="0" w:space="0" w:color="auto"/>
            <w:left w:val="none" w:sz="0" w:space="0" w:color="auto"/>
            <w:bottom w:val="none" w:sz="0" w:space="0" w:color="auto"/>
            <w:right w:val="none" w:sz="0" w:space="0" w:color="auto"/>
          </w:divBdr>
        </w:div>
        <w:div w:id="468134898">
          <w:marLeft w:val="547"/>
          <w:marRight w:val="0"/>
          <w:marTop w:val="280"/>
          <w:marBottom w:val="0"/>
          <w:divBdr>
            <w:top w:val="none" w:sz="0" w:space="0" w:color="auto"/>
            <w:left w:val="none" w:sz="0" w:space="0" w:color="auto"/>
            <w:bottom w:val="none" w:sz="0" w:space="0" w:color="auto"/>
            <w:right w:val="none" w:sz="0" w:space="0" w:color="auto"/>
          </w:divBdr>
        </w:div>
      </w:divsChild>
    </w:div>
    <w:div w:id="21384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147351">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patientsafety/education/curriculum/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ja.com.au/system/files/issues/184_10_150506/sma10326_f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ra.ioe.ac.uk/8646/1/12_03_09_children.pdf" TargetMode="External"/><Relationship Id="rId5" Type="http://schemas.openxmlformats.org/officeDocument/2006/relationships/settings" Target="settings.xml"/><Relationship Id="rId15" Type="http://schemas.openxmlformats.org/officeDocument/2006/relationships/hyperlink" Target="http://www.euro.who.int/en/what-we-do/health-topics/Health-systems/patient-safety" TargetMode="External"/><Relationship Id="rId10" Type="http://schemas.openxmlformats.org/officeDocument/2006/relationships/hyperlink" Target="http://dx.doi.org/10.1136/bmj.c5347"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royalcollege.ca/portal/page/portal/rc/common/documents/publications/patient_safety_dictionary_e.pdf" TargetMode="External"/><Relationship Id="rId14" Type="http://schemas.openxmlformats.org/officeDocument/2006/relationships/hyperlink" Target="http://www.who.int/patientsafety/education/curriculu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2504-97CA-4469-B250-EFD6F5FF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7320</Words>
  <Characters>41726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esa1</dc:creator>
  <cp:lastModifiedBy>Kim Price</cp:lastModifiedBy>
  <cp:revision>2</cp:revision>
  <cp:lastPrinted>2016-06-28T08:41:00Z</cp:lastPrinted>
  <dcterms:created xsi:type="dcterms:W3CDTF">2017-02-10T11:02:00Z</dcterms:created>
  <dcterms:modified xsi:type="dcterms:W3CDTF">2017-02-10T11:02:00Z</dcterms:modified>
</cp:coreProperties>
</file>