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C9" w:rsidRDefault="00985567">
      <w:pPr>
        <w:pStyle w:val="Heading1"/>
        <w:spacing w:line="240" w:lineRule="auto"/>
        <w:ind w:left="1440"/>
        <w:rPr>
          <w:rFonts w:ascii="Times New Roman" w:hAnsi="Times New Roman" w:cs="Times New Roman"/>
          <w:color w:val="auto"/>
          <w:sz w:val="36"/>
          <w:szCs w:val="36"/>
        </w:rPr>
      </w:pPr>
      <w:r w:rsidRPr="00985567">
        <w:rPr>
          <w:rFonts w:ascii="Times New Roman" w:hAnsi="Times New Roman" w:cs="Times New Roman"/>
          <w:color w:val="auto"/>
          <w:sz w:val="36"/>
          <w:szCs w:val="36"/>
        </w:rPr>
        <w:t>The ICC’s Office of the Prosecutor and the Limits of Performance Indicators</w:t>
      </w:r>
    </w:p>
    <w:p w:rsidR="00D456C9" w:rsidRDefault="00D456C9">
      <w:pPr>
        <w:spacing w:line="240" w:lineRule="auto"/>
        <w:ind w:left="720" w:firstLine="720"/>
        <w:rPr>
          <w:szCs w:val="24"/>
        </w:rPr>
      </w:pPr>
    </w:p>
    <w:p w:rsidR="00D456C9" w:rsidRDefault="00985567">
      <w:pPr>
        <w:spacing w:line="240" w:lineRule="auto"/>
        <w:ind w:left="720" w:firstLine="720"/>
        <w:rPr>
          <w:szCs w:val="24"/>
        </w:rPr>
      </w:pPr>
      <w:r w:rsidRPr="00985567">
        <w:rPr>
          <w:szCs w:val="24"/>
        </w:rPr>
        <w:t>Birju Kotecha</w:t>
      </w:r>
      <w:r w:rsidRPr="00985567">
        <w:rPr>
          <w:rStyle w:val="FootnoteReference"/>
          <w:szCs w:val="24"/>
          <w:vertAlign w:val="baseline"/>
        </w:rPr>
        <w:footnoteReference w:customMarkFollows="1" w:id="1"/>
        <w:sym w:font="Symbol" w:char="F02A"/>
      </w:r>
    </w:p>
    <w:p w:rsidR="00D456C9" w:rsidRDefault="00312544">
      <w:pPr>
        <w:pStyle w:val="Heading1"/>
        <w:spacing w:line="240" w:lineRule="auto"/>
        <w:jc w:val="both"/>
        <w:rPr>
          <w:rFonts w:ascii="Times New Roman" w:hAnsi="Times New Roman" w:cs="Times New Roman"/>
          <w:b/>
          <w:color w:val="auto"/>
          <w:sz w:val="24"/>
          <w:szCs w:val="24"/>
        </w:rPr>
      </w:pPr>
      <w:r w:rsidRPr="00146AE1">
        <w:rPr>
          <w:rFonts w:ascii="Times New Roman" w:hAnsi="Times New Roman" w:cs="Times New Roman"/>
          <w:b/>
          <w:color w:val="auto"/>
          <w:sz w:val="24"/>
          <w:szCs w:val="24"/>
        </w:rPr>
        <w:t>Abstract</w:t>
      </w:r>
    </w:p>
    <w:p w:rsidR="00D456C9" w:rsidRDefault="00985567">
      <w:pPr>
        <w:spacing w:line="240" w:lineRule="auto"/>
        <w:jc w:val="both"/>
        <w:rPr>
          <w:i/>
          <w:szCs w:val="24"/>
        </w:rPr>
      </w:pPr>
      <w:r w:rsidRPr="00985567">
        <w:rPr>
          <w:i/>
          <w:sz w:val="22"/>
        </w:rPr>
        <w:t>Performance indicators have long been part of the vocabulary of businesses and public administrations. Essentially, they are market-oriented tools occupying a central role in both the management and measurement of organizational performance. The present article assesses, in particular, the performance indicators adopted by the International Criminal Court’s (ICC) Office of the Prosecutor (OTP). In so doing, it traces the development of such indicators within the OTP strategies, and argues that current indicators do not measure prosecution effectiveness in terms of outcomes within conflict-affected societies. The article corroborates this argument by explaining how current indicators are inclined to prioriti</w:t>
      </w:r>
      <w:r w:rsidR="0095540F">
        <w:rPr>
          <w:i/>
          <w:sz w:val="22"/>
        </w:rPr>
        <w:t>z</w:t>
      </w:r>
      <w:r w:rsidRPr="00985567">
        <w:rPr>
          <w:i/>
          <w:sz w:val="22"/>
        </w:rPr>
        <w:t>e the economy and efficiency of prosecutions, thus producing a gap in the measurement of the prosecutions’ effectiveness. The mentioned gap is explained by the OTP’s fundamental lack of clarity in precisely identifying the outcomes of prosecutions. In turn, the performance indicators adopted by the OTP may engender perverse effects, further aggravating the lack of clarity concerning outcomes. The article recommends the adoption of principles aimed at improving future OTP performance measurement</w:t>
      </w:r>
      <w:r w:rsidR="006627E6" w:rsidRPr="00146AE1">
        <w:rPr>
          <w:i/>
          <w:szCs w:val="24"/>
        </w:rPr>
        <w:t>.</w:t>
      </w:r>
    </w:p>
    <w:p w:rsidR="001B55DE" w:rsidRPr="00146AE1" w:rsidRDefault="001B55DE" w:rsidP="00646176">
      <w:pPr>
        <w:jc w:val="both"/>
        <w:rPr>
          <w:i/>
          <w:szCs w:val="24"/>
        </w:rPr>
      </w:pPr>
    </w:p>
    <w:p w:rsidR="00312544" w:rsidRPr="00146AE1" w:rsidRDefault="001B55DE" w:rsidP="00646176">
      <w:pPr>
        <w:jc w:val="both"/>
        <w:rPr>
          <w:b/>
          <w:szCs w:val="24"/>
        </w:rPr>
      </w:pPr>
      <w:r w:rsidRPr="00146AE1">
        <w:rPr>
          <w:b/>
          <w:szCs w:val="24"/>
        </w:rPr>
        <w:t xml:space="preserve">1. </w:t>
      </w:r>
      <w:r w:rsidR="00312544" w:rsidRPr="00146AE1">
        <w:rPr>
          <w:b/>
          <w:szCs w:val="24"/>
        </w:rPr>
        <w:t>Introduction</w:t>
      </w:r>
    </w:p>
    <w:p w:rsidR="00312544" w:rsidRPr="00146AE1" w:rsidRDefault="00312544" w:rsidP="00646176">
      <w:pPr>
        <w:jc w:val="both"/>
        <w:rPr>
          <w:szCs w:val="24"/>
        </w:rPr>
      </w:pPr>
      <w:r w:rsidRPr="00146AE1">
        <w:rPr>
          <w:szCs w:val="24"/>
        </w:rPr>
        <w:t>Performance is an ambiguous and contested concept. On one hand, it denotes capability and success, and often exudes ‘an aroma of action, dynamism and purposeful effort</w:t>
      </w:r>
      <w:r w:rsidR="00646176">
        <w:rPr>
          <w:szCs w:val="24"/>
        </w:rPr>
        <w:t>’</w:t>
      </w:r>
      <w:r w:rsidRPr="00146AE1">
        <w:rPr>
          <w:szCs w:val="24"/>
        </w:rPr>
        <w:t>.</w:t>
      </w:r>
      <w:r w:rsidRPr="00146AE1">
        <w:rPr>
          <w:rStyle w:val="FootnoteReference"/>
          <w:sz w:val="24"/>
          <w:szCs w:val="24"/>
        </w:rPr>
        <w:footnoteReference w:id="2"/>
      </w:r>
      <w:r w:rsidRPr="00146AE1">
        <w:rPr>
          <w:szCs w:val="24"/>
        </w:rPr>
        <w:t xml:space="preserve"> However, in a common and often pejorative sense, performance can mean an overstated demonstration or presentation.</w:t>
      </w:r>
      <w:r w:rsidRPr="00146AE1">
        <w:rPr>
          <w:rStyle w:val="FootnoteReference"/>
          <w:sz w:val="24"/>
          <w:szCs w:val="24"/>
        </w:rPr>
        <w:footnoteReference w:id="3"/>
      </w:r>
      <w:r w:rsidRPr="00146AE1">
        <w:rPr>
          <w:szCs w:val="24"/>
        </w:rPr>
        <w:t xml:space="preserve"> This ambiguity is most common within businesses and </w:t>
      </w:r>
      <w:r w:rsidR="00B43595">
        <w:rPr>
          <w:szCs w:val="24"/>
        </w:rPr>
        <w:t>organiz</w:t>
      </w:r>
      <w:r w:rsidRPr="00146AE1">
        <w:rPr>
          <w:szCs w:val="24"/>
        </w:rPr>
        <w:t>ations</w:t>
      </w:r>
      <w:r w:rsidR="00AD43F3" w:rsidRPr="00146AE1">
        <w:rPr>
          <w:szCs w:val="24"/>
        </w:rPr>
        <w:t>,</w:t>
      </w:r>
      <w:r w:rsidRPr="00146AE1">
        <w:rPr>
          <w:szCs w:val="24"/>
        </w:rPr>
        <w:t xml:space="preserve"> where performance is juxtaposed to two further concepts: management and measurement. The relationship is aptly surmised</w:t>
      </w:r>
      <w:r w:rsidR="00467FFC">
        <w:rPr>
          <w:szCs w:val="24"/>
        </w:rPr>
        <w:t>:</w:t>
      </w:r>
      <w:r w:rsidRPr="00146AE1">
        <w:rPr>
          <w:szCs w:val="24"/>
        </w:rPr>
        <w:t xml:space="preserve"> ‘to manage performance it is also essential to measure performance</w:t>
      </w:r>
      <w:r w:rsidR="00646176">
        <w:rPr>
          <w:szCs w:val="24"/>
        </w:rPr>
        <w:t>’</w:t>
      </w:r>
      <w:r w:rsidRPr="00146AE1">
        <w:rPr>
          <w:szCs w:val="24"/>
        </w:rPr>
        <w:t>.</w:t>
      </w:r>
      <w:r w:rsidRPr="00146AE1">
        <w:rPr>
          <w:szCs w:val="24"/>
          <w:vertAlign w:val="superscript"/>
        </w:rPr>
        <w:footnoteReference w:id="4"/>
      </w:r>
      <w:r w:rsidRPr="00146AE1">
        <w:rPr>
          <w:szCs w:val="24"/>
        </w:rPr>
        <w:t xml:space="preserve"> Hence, ‘everyone is measuring performance</w:t>
      </w:r>
      <w:r w:rsidR="00646176">
        <w:rPr>
          <w:szCs w:val="24"/>
        </w:rPr>
        <w:t>’</w:t>
      </w:r>
      <w:r w:rsidRPr="00146AE1">
        <w:rPr>
          <w:szCs w:val="24"/>
        </w:rPr>
        <w:t>.</w:t>
      </w:r>
      <w:r w:rsidRPr="00146AE1">
        <w:rPr>
          <w:rStyle w:val="FootnoteReference"/>
          <w:sz w:val="24"/>
          <w:szCs w:val="24"/>
        </w:rPr>
        <w:footnoteReference w:id="5"/>
      </w:r>
      <w:r w:rsidRPr="00146AE1">
        <w:rPr>
          <w:szCs w:val="24"/>
        </w:rPr>
        <w:t xml:space="preserve"> The motivation for performance measurement is based on the oft-cited beliefs that ‘what gets measured gets done’</w:t>
      </w:r>
      <w:r w:rsidRPr="00146AE1">
        <w:rPr>
          <w:rStyle w:val="FootnoteReference"/>
          <w:sz w:val="24"/>
          <w:szCs w:val="24"/>
        </w:rPr>
        <w:footnoteReference w:id="6"/>
      </w:r>
      <w:r w:rsidRPr="00146AE1">
        <w:rPr>
          <w:szCs w:val="24"/>
        </w:rPr>
        <w:t xml:space="preserve"> and ‘if you don’t measure results, how can you tell success from failure</w:t>
      </w:r>
      <w:r w:rsidR="00646176">
        <w:rPr>
          <w:szCs w:val="24"/>
        </w:rPr>
        <w:t>’</w:t>
      </w:r>
      <w:r w:rsidRPr="00146AE1">
        <w:rPr>
          <w:szCs w:val="24"/>
        </w:rPr>
        <w:t>.</w:t>
      </w:r>
      <w:r w:rsidRPr="00146AE1">
        <w:rPr>
          <w:szCs w:val="24"/>
          <w:vertAlign w:val="superscript"/>
        </w:rPr>
        <w:footnoteReference w:id="7"/>
      </w:r>
      <w:r w:rsidRPr="00146AE1">
        <w:rPr>
          <w:szCs w:val="24"/>
        </w:rPr>
        <w:t xml:space="preserve"> </w:t>
      </w:r>
      <w:r w:rsidR="00AD43F3" w:rsidRPr="00146AE1">
        <w:rPr>
          <w:szCs w:val="24"/>
        </w:rPr>
        <w:t>O</w:t>
      </w:r>
      <w:r w:rsidRPr="00146AE1">
        <w:rPr>
          <w:szCs w:val="24"/>
        </w:rPr>
        <w:t xml:space="preserve">nce a commitment to measurement has been made, the only </w:t>
      </w:r>
      <w:r w:rsidR="00AD43F3" w:rsidRPr="00146AE1">
        <w:rPr>
          <w:szCs w:val="24"/>
        </w:rPr>
        <w:t xml:space="preserve">remaining </w:t>
      </w:r>
      <w:r w:rsidRPr="00146AE1">
        <w:rPr>
          <w:szCs w:val="24"/>
        </w:rPr>
        <w:t>question is how to measure</w:t>
      </w:r>
      <w:r w:rsidR="00AD43F3" w:rsidRPr="00146AE1">
        <w:rPr>
          <w:szCs w:val="24"/>
        </w:rPr>
        <w:t xml:space="preserve"> </w:t>
      </w:r>
      <w:r w:rsidR="00AD43F3" w:rsidRPr="00146AE1">
        <w:rPr>
          <w:szCs w:val="24"/>
        </w:rPr>
        <w:lastRenderedPageBreak/>
        <w:t>performance</w:t>
      </w:r>
      <w:r w:rsidRPr="00146AE1">
        <w:rPr>
          <w:szCs w:val="24"/>
        </w:rPr>
        <w:t xml:space="preserve">. </w:t>
      </w:r>
      <w:r w:rsidR="00A84962" w:rsidRPr="00146AE1">
        <w:rPr>
          <w:szCs w:val="24"/>
        </w:rPr>
        <w:t>A</w:t>
      </w:r>
      <w:r w:rsidRPr="00146AE1">
        <w:rPr>
          <w:szCs w:val="24"/>
        </w:rPr>
        <w:t xml:space="preserve"> measurement tool first made fashionable during public administration reforms in the 1980s</w:t>
      </w:r>
      <w:r w:rsidR="00A84962" w:rsidRPr="00146AE1">
        <w:rPr>
          <w:szCs w:val="24"/>
        </w:rPr>
        <w:t>,</w:t>
      </w:r>
      <w:r w:rsidRPr="00146AE1">
        <w:rPr>
          <w:rStyle w:val="FootnoteReference"/>
          <w:sz w:val="24"/>
          <w:szCs w:val="24"/>
        </w:rPr>
        <w:footnoteReference w:id="8"/>
      </w:r>
      <w:r w:rsidR="00A84962" w:rsidRPr="00146AE1">
        <w:rPr>
          <w:szCs w:val="24"/>
        </w:rPr>
        <w:t xml:space="preserve"> p</w:t>
      </w:r>
      <w:r w:rsidRPr="00146AE1">
        <w:rPr>
          <w:szCs w:val="24"/>
        </w:rPr>
        <w:t>erformance indicators provide standards that can help describe progress towards established goals</w:t>
      </w:r>
      <w:r w:rsidR="00A84962" w:rsidRPr="00146AE1">
        <w:rPr>
          <w:szCs w:val="24"/>
        </w:rPr>
        <w:t>,</w:t>
      </w:r>
      <w:r w:rsidRPr="00146AE1">
        <w:rPr>
          <w:szCs w:val="24"/>
        </w:rPr>
        <w:t xml:space="preserve"> and thus are central to measurement practice.</w:t>
      </w:r>
      <w:r w:rsidRPr="00146AE1">
        <w:rPr>
          <w:szCs w:val="24"/>
          <w:vertAlign w:val="superscript"/>
        </w:rPr>
        <w:footnoteReference w:id="9"/>
      </w:r>
      <w:r w:rsidRPr="00146AE1">
        <w:rPr>
          <w:szCs w:val="24"/>
        </w:rPr>
        <w:t xml:space="preserve"> </w:t>
      </w:r>
    </w:p>
    <w:p w:rsidR="00312544" w:rsidRPr="00146AE1" w:rsidRDefault="00312544" w:rsidP="00646176">
      <w:pPr>
        <w:ind w:firstLine="720"/>
        <w:jc w:val="both"/>
        <w:rPr>
          <w:szCs w:val="24"/>
        </w:rPr>
      </w:pPr>
      <w:r w:rsidRPr="00146AE1">
        <w:rPr>
          <w:szCs w:val="24"/>
        </w:rPr>
        <w:t>From hospital waiting list times, to graduation numbers, to user satisfaction scores, to rates of recorded crime, there is virtually no area of public life where performance indicators do not extend. Their significance and prevalence has been transformative. The significance of indicators is based on their perceived utility</w:t>
      </w:r>
      <w:r w:rsidR="00A84962" w:rsidRPr="00146AE1">
        <w:rPr>
          <w:szCs w:val="24"/>
        </w:rPr>
        <w:t>.</w:t>
      </w:r>
      <w:r w:rsidRPr="00146AE1">
        <w:rPr>
          <w:szCs w:val="24"/>
        </w:rPr>
        <w:t xml:space="preserve"> </w:t>
      </w:r>
      <w:r w:rsidR="00A84962" w:rsidRPr="00146AE1">
        <w:rPr>
          <w:szCs w:val="24"/>
        </w:rPr>
        <w:t>T</w:t>
      </w:r>
      <w:r w:rsidRPr="00146AE1">
        <w:rPr>
          <w:szCs w:val="24"/>
        </w:rPr>
        <w:t>hey can focus action plans, help budget, motivate workforces and provide feedback to help improve performance.</w:t>
      </w:r>
      <w:r w:rsidRPr="00146AE1">
        <w:rPr>
          <w:rStyle w:val="FootnoteReference"/>
          <w:sz w:val="24"/>
          <w:szCs w:val="24"/>
        </w:rPr>
        <w:footnoteReference w:id="10"/>
      </w:r>
      <w:r w:rsidRPr="00146AE1">
        <w:rPr>
          <w:szCs w:val="24"/>
        </w:rPr>
        <w:t xml:space="preserve"> Their prevalence reflects the importance attached to holding </w:t>
      </w:r>
      <w:r w:rsidR="00B43595">
        <w:rPr>
          <w:szCs w:val="24"/>
        </w:rPr>
        <w:t>organiz</w:t>
      </w:r>
      <w:r w:rsidRPr="00146AE1">
        <w:rPr>
          <w:szCs w:val="24"/>
        </w:rPr>
        <w:t xml:space="preserve">ations accountable, and thus indicators are central to what </w:t>
      </w:r>
      <w:r w:rsidR="00A84962" w:rsidRPr="00146AE1">
        <w:rPr>
          <w:szCs w:val="24"/>
        </w:rPr>
        <w:t>has been</w:t>
      </w:r>
      <w:r w:rsidRPr="00146AE1">
        <w:rPr>
          <w:szCs w:val="24"/>
        </w:rPr>
        <w:t xml:space="preserve"> described as an ‘audit explosion.’</w:t>
      </w:r>
      <w:r w:rsidRPr="00146AE1">
        <w:rPr>
          <w:rStyle w:val="FootnoteReference"/>
          <w:sz w:val="24"/>
          <w:szCs w:val="24"/>
        </w:rPr>
        <w:footnoteReference w:id="11"/>
      </w:r>
      <w:r w:rsidRPr="00146AE1">
        <w:rPr>
          <w:szCs w:val="24"/>
        </w:rPr>
        <w:t xml:space="preserve">  Accordingly, performance indicators speak to many audiences beyond those concerned with day-to</w:t>
      </w:r>
      <w:r w:rsidR="003E09E4" w:rsidRPr="00146AE1">
        <w:rPr>
          <w:szCs w:val="24"/>
        </w:rPr>
        <w:t>-</w:t>
      </w:r>
      <w:r w:rsidRPr="00146AE1">
        <w:rPr>
          <w:szCs w:val="24"/>
        </w:rPr>
        <w:t>day management</w:t>
      </w:r>
      <w:r w:rsidR="003E09E4" w:rsidRPr="00146AE1">
        <w:rPr>
          <w:szCs w:val="24"/>
        </w:rPr>
        <w:t>.</w:t>
      </w:r>
      <w:r w:rsidRPr="00146AE1">
        <w:rPr>
          <w:szCs w:val="24"/>
        </w:rPr>
        <w:t xml:space="preserve"> </w:t>
      </w:r>
      <w:r w:rsidR="003E09E4" w:rsidRPr="00146AE1">
        <w:rPr>
          <w:szCs w:val="24"/>
        </w:rPr>
        <w:t>T</w:t>
      </w:r>
      <w:r w:rsidRPr="00146AE1">
        <w:rPr>
          <w:szCs w:val="24"/>
        </w:rPr>
        <w:t xml:space="preserve">hese include funding and supervisory bodies concerned with audit, monitoring and oversight, and to whom an </w:t>
      </w:r>
      <w:r w:rsidR="00B43595">
        <w:rPr>
          <w:szCs w:val="24"/>
        </w:rPr>
        <w:t>organiz</w:t>
      </w:r>
      <w:r w:rsidRPr="00146AE1">
        <w:rPr>
          <w:szCs w:val="24"/>
        </w:rPr>
        <w:t>ation is accountable.</w:t>
      </w:r>
      <w:r w:rsidRPr="00146AE1">
        <w:rPr>
          <w:rStyle w:val="FootnoteReference"/>
          <w:sz w:val="24"/>
          <w:szCs w:val="24"/>
        </w:rPr>
        <w:footnoteReference w:id="12"/>
      </w:r>
      <w:r w:rsidRPr="00146AE1">
        <w:rPr>
          <w:szCs w:val="24"/>
        </w:rPr>
        <w:t xml:space="preserve"> </w:t>
      </w:r>
    </w:p>
    <w:p w:rsidR="00312544" w:rsidRPr="00146AE1" w:rsidRDefault="00312544" w:rsidP="00646176">
      <w:pPr>
        <w:pStyle w:val="Default"/>
        <w:spacing w:line="360" w:lineRule="auto"/>
        <w:ind w:firstLine="720"/>
        <w:jc w:val="both"/>
      </w:pPr>
      <w:r w:rsidRPr="00146AE1">
        <w:t>In this context, this article assesses the performance indicators</w:t>
      </w:r>
      <w:r w:rsidR="003E09E4" w:rsidRPr="00146AE1">
        <w:t xml:space="preserve"> of the International Criminal Court’s (ICC) Office of the Prosecutor (OTP)</w:t>
      </w:r>
      <w:r w:rsidRPr="00146AE1">
        <w:t xml:space="preserve">. </w:t>
      </w:r>
      <w:r w:rsidR="003E09E4" w:rsidRPr="00146AE1">
        <w:t>To date</w:t>
      </w:r>
      <w:r w:rsidRPr="00146AE1">
        <w:t xml:space="preserve">, literature on the Court has </w:t>
      </w:r>
      <w:r w:rsidR="003E09E4" w:rsidRPr="00146AE1">
        <w:t>mostly</w:t>
      </w:r>
      <w:r w:rsidRPr="00146AE1">
        <w:t xml:space="preserve"> overlooked performance indicators. For instance, there is little scrutiny on the Court-wide attempt to develop </w:t>
      </w:r>
      <w:r w:rsidR="003E09E4" w:rsidRPr="00146AE1">
        <w:t xml:space="preserve">such </w:t>
      </w:r>
      <w:r w:rsidRPr="00146AE1">
        <w:t>indicators.</w:t>
      </w:r>
      <w:r w:rsidRPr="00146AE1">
        <w:rPr>
          <w:vertAlign w:val="superscript"/>
        </w:rPr>
        <w:footnoteReference w:id="13"/>
      </w:r>
      <w:r w:rsidRPr="00146AE1">
        <w:t xml:space="preserve"> Th</w:t>
      </w:r>
      <w:r w:rsidR="003E09E4" w:rsidRPr="00146AE1">
        <w:t>is</w:t>
      </w:r>
      <w:r w:rsidRPr="00146AE1">
        <w:t xml:space="preserve"> lack of research is surprising</w:t>
      </w:r>
      <w:r w:rsidR="00A114FB" w:rsidRPr="00146AE1">
        <w:t>,</w:t>
      </w:r>
      <w:r w:rsidRPr="00146AE1">
        <w:t xml:space="preserve"> </w:t>
      </w:r>
      <w:r w:rsidR="00A114FB" w:rsidRPr="00146AE1">
        <w:t xml:space="preserve">considering that </w:t>
      </w:r>
      <w:r w:rsidRPr="00146AE1">
        <w:t xml:space="preserve">the </w:t>
      </w:r>
      <w:r w:rsidR="00A114FB" w:rsidRPr="00146AE1">
        <w:t xml:space="preserve">adoption </w:t>
      </w:r>
      <w:r w:rsidRPr="00146AE1">
        <w:t xml:space="preserve">of performance indicators is </w:t>
      </w:r>
      <w:r w:rsidR="00A114FB" w:rsidRPr="00146AE1">
        <w:t xml:space="preserve">a </w:t>
      </w:r>
      <w:r w:rsidRPr="00146AE1">
        <w:t>novel</w:t>
      </w:r>
      <w:r w:rsidR="00A114FB" w:rsidRPr="00146AE1">
        <w:t xml:space="preserve"> feature of the ICC</w:t>
      </w:r>
      <w:r w:rsidRPr="00146AE1">
        <w:t xml:space="preserve">, with no </w:t>
      </w:r>
      <w:r w:rsidR="00A114FB" w:rsidRPr="00146AE1">
        <w:t>comparison</w:t>
      </w:r>
      <w:r w:rsidRPr="00146AE1">
        <w:t xml:space="preserve"> </w:t>
      </w:r>
      <w:r w:rsidR="005A5691" w:rsidRPr="00146AE1">
        <w:t>at</w:t>
      </w:r>
      <w:r w:rsidR="00A114FB" w:rsidRPr="00146AE1">
        <w:t xml:space="preserve"> other international criminal</w:t>
      </w:r>
      <w:r w:rsidRPr="00146AE1">
        <w:t xml:space="preserve"> tribunals. Similarly, there is no literature on the OTP’s development of performance indicators</w:t>
      </w:r>
      <w:r w:rsidR="005A5691" w:rsidRPr="00146AE1">
        <w:t>,</w:t>
      </w:r>
      <w:r w:rsidRPr="00146AE1">
        <w:t xml:space="preserve"> </w:t>
      </w:r>
      <w:r w:rsidR="005A5691" w:rsidRPr="00146AE1">
        <w:t xml:space="preserve">in particular </w:t>
      </w:r>
      <w:r w:rsidRPr="00146AE1">
        <w:t xml:space="preserve">the set of indicators </w:t>
      </w:r>
      <w:r w:rsidR="005A5691" w:rsidRPr="00146AE1">
        <w:t xml:space="preserve">identified by </w:t>
      </w:r>
      <w:r w:rsidRPr="00146AE1">
        <w:t>its current prosecut</w:t>
      </w:r>
      <w:r w:rsidR="005A5691" w:rsidRPr="00146AE1">
        <w:t>orial</w:t>
      </w:r>
      <w:r w:rsidRPr="00146AE1">
        <w:t xml:space="preserve"> strategy.</w:t>
      </w:r>
      <w:r w:rsidR="004C0A05">
        <w:rPr>
          <w:rStyle w:val="FootnoteReference"/>
        </w:rPr>
        <w:footnoteReference w:id="14"/>
      </w:r>
      <w:r w:rsidRPr="00146AE1">
        <w:t xml:space="preserve"> This latter research gap is </w:t>
      </w:r>
      <w:r w:rsidR="009C5AAD" w:rsidRPr="00146AE1">
        <w:t xml:space="preserve">even more </w:t>
      </w:r>
      <w:r w:rsidRPr="00146AE1">
        <w:t>surprising</w:t>
      </w:r>
      <w:r w:rsidR="009C5AAD" w:rsidRPr="00146AE1">
        <w:t xml:space="preserve"> and significant,</w:t>
      </w:r>
      <w:r w:rsidRPr="00146AE1">
        <w:t xml:space="preserve"> </w:t>
      </w:r>
      <w:r w:rsidR="009C5AAD" w:rsidRPr="00146AE1">
        <w:t>for</w:t>
      </w:r>
      <w:r w:rsidRPr="00146AE1">
        <w:t xml:space="preserve"> two reasons. </w:t>
      </w:r>
    </w:p>
    <w:p w:rsidR="00312544" w:rsidRPr="00146AE1" w:rsidRDefault="009C5AAD" w:rsidP="00646176">
      <w:pPr>
        <w:pStyle w:val="Default"/>
        <w:spacing w:line="360" w:lineRule="auto"/>
        <w:ind w:firstLine="720"/>
        <w:jc w:val="both"/>
        <w:rPr>
          <w:shd w:val="clear" w:color="auto" w:fill="FFFFFF"/>
        </w:rPr>
      </w:pPr>
      <w:r w:rsidRPr="00146AE1">
        <w:t>F</w:t>
      </w:r>
      <w:r w:rsidR="00312544" w:rsidRPr="00146AE1">
        <w:t>irst</w:t>
      </w:r>
      <w:r w:rsidRPr="00146AE1">
        <w:t xml:space="preserve">, </w:t>
      </w:r>
      <w:r w:rsidR="00312544" w:rsidRPr="00146AE1">
        <w:t xml:space="preserve">the </w:t>
      </w:r>
      <w:r w:rsidRPr="00146AE1">
        <w:t xml:space="preserve">choice </w:t>
      </w:r>
      <w:r w:rsidR="00312544" w:rsidRPr="00146AE1">
        <w:t>of certain performance indicators (</w:t>
      </w:r>
      <w:r w:rsidRPr="00146AE1">
        <w:t>as opposed to</w:t>
      </w:r>
      <w:r w:rsidR="00312544" w:rsidRPr="00146AE1">
        <w:t xml:space="preserve"> others) </w:t>
      </w:r>
      <w:r w:rsidR="00CB529E">
        <w:t>embodies</w:t>
      </w:r>
      <w:r w:rsidR="00CB529E" w:rsidRPr="00146AE1">
        <w:t xml:space="preserve"> </w:t>
      </w:r>
      <w:r w:rsidR="00312544" w:rsidRPr="00146AE1">
        <w:t xml:space="preserve">a normative </w:t>
      </w:r>
      <w:r w:rsidR="00312544" w:rsidRPr="00146AE1">
        <w:rPr>
          <w:shd w:val="clear" w:color="auto" w:fill="FFFFFF"/>
        </w:rPr>
        <w:t>claim about the appropriate standards for evaluating the conduct of actors.</w:t>
      </w:r>
      <w:r w:rsidR="00312544" w:rsidRPr="00146AE1">
        <w:rPr>
          <w:rStyle w:val="FootnoteReference"/>
          <w:sz w:val="24"/>
          <w:shd w:val="clear" w:color="auto" w:fill="FFFFFF"/>
        </w:rPr>
        <w:footnoteReference w:id="15"/>
      </w:r>
      <w:r w:rsidR="00312544" w:rsidRPr="00146AE1">
        <w:rPr>
          <w:shd w:val="clear" w:color="auto" w:fill="FFFFFF"/>
        </w:rPr>
        <w:t xml:space="preserve"> As Davis, Kingsbury and Merry </w:t>
      </w:r>
      <w:r w:rsidRPr="00146AE1">
        <w:rPr>
          <w:shd w:val="clear" w:color="auto" w:fill="FFFFFF"/>
        </w:rPr>
        <w:t>contend</w:t>
      </w:r>
      <w:r w:rsidR="00312544" w:rsidRPr="00146AE1">
        <w:rPr>
          <w:shd w:val="clear" w:color="auto" w:fill="FFFFFF"/>
        </w:rPr>
        <w:t xml:space="preserve">, indicators </w:t>
      </w:r>
      <w:r w:rsidRPr="00146AE1">
        <w:rPr>
          <w:shd w:val="clear" w:color="auto" w:fill="FFFFFF"/>
        </w:rPr>
        <w:t xml:space="preserve">are </w:t>
      </w:r>
      <w:r w:rsidR="00312544" w:rsidRPr="00146AE1">
        <w:rPr>
          <w:shd w:val="clear" w:color="auto" w:fill="FFFFFF"/>
        </w:rPr>
        <w:t xml:space="preserve">embedded with </w:t>
      </w:r>
      <w:r w:rsidR="00FA349A">
        <w:rPr>
          <w:shd w:val="clear" w:color="auto" w:fill="FFFFFF"/>
        </w:rPr>
        <w:t>a model for</w:t>
      </w:r>
      <w:r w:rsidR="00312544" w:rsidRPr="00146AE1">
        <w:rPr>
          <w:shd w:val="clear" w:color="auto" w:fill="FFFFFF"/>
        </w:rPr>
        <w:t xml:space="preserve"> an ideal conduct and governance and</w:t>
      </w:r>
      <w:r w:rsidRPr="00146AE1">
        <w:rPr>
          <w:shd w:val="clear" w:color="auto" w:fill="FFFFFF"/>
        </w:rPr>
        <w:t>,</w:t>
      </w:r>
      <w:r w:rsidR="00312544" w:rsidRPr="00146AE1">
        <w:rPr>
          <w:shd w:val="clear" w:color="auto" w:fill="FFFFFF"/>
        </w:rPr>
        <w:t xml:space="preserve"> thus, the best process </w:t>
      </w:r>
      <w:r w:rsidR="0014496B">
        <w:rPr>
          <w:shd w:val="clear" w:color="auto" w:fill="FFFFFF"/>
        </w:rPr>
        <w:t>for</w:t>
      </w:r>
      <w:r w:rsidR="0014496B" w:rsidRPr="00146AE1">
        <w:rPr>
          <w:shd w:val="clear" w:color="auto" w:fill="FFFFFF"/>
        </w:rPr>
        <w:t xml:space="preserve"> </w:t>
      </w:r>
      <w:r w:rsidR="00312544" w:rsidRPr="00146AE1">
        <w:rPr>
          <w:shd w:val="clear" w:color="auto" w:fill="FFFFFF"/>
        </w:rPr>
        <w:t>achieving it.</w:t>
      </w:r>
      <w:r w:rsidR="00312544" w:rsidRPr="00146AE1">
        <w:rPr>
          <w:rStyle w:val="FootnoteReference"/>
          <w:sz w:val="24"/>
          <w:shd w:val="clear" w:color="auto" w:fill="FFFFFF"/>
        </w:rPr>
        <w:footnoteReference w:id="16"/>
      </w:r>
      <w:r w:rsidR="00312544" w:rsidRPr="00146AE1">
        <w:rPr>
          <w:shd w:val="clear" w:color="auto" w:fill="FFFFFF"/>
        </w:rPr>
        <w:t xml:space="preserve"> Hence, the </w:t>
      </w:r>
      <w:r w:rsidR="0014496B">
        <w:rPr>
          <w:shd w:val="clear" w:color="auto" w:fill="FFFFFF"/>
        </w:rPr>
        <w:t>OTP</w:t>
      </w:r>
      <w:r w:rsidR="00CB529E">
        <w:rPr>
          <w:shd w:val="clear" w:color="auto" w:fill="FFFFFF"/>
        </w:rPr>
        <w:t xml:space="preserve">’s selection of </w:t>
      </w:r>
      <w:r w:rsidR="00312544" w:rsidRPr="00146AE1">
        <w:rPr>
          <w:shd w:val="clear" w:color="auto" w:fill="FFFFFF"/>
        </w:rPr>
        <w:t>indicators</w:t>
      </w:r>
      <w:r w:rsidR="0014496B">
        <w:rPr>
          <w:shd w:val="clear" w:color="auto" w:fill="FFFFFF"/>
        </w:rPr>
        <w:t xml:space="preserve"> </w:t>
      </w:r>
      <w:r w:rsidR="00FA349A">
        <w:rPr>
          <w:shd w:val="clear" w:color="auto" w:fill="FFFFFF"/>
        </w:rPr>
        <w:t xml:space="preserve">expresses a policy and </w:t>
      </w:r>
      <w:r w:rsidR="00CB529E">
        <w:rPr>
          <w:shd w:val="clear" w:color="auto" w:fill="FFFFFF"/>
        </w:rPr>
        <w:t>a</w:t>
      </w:r>
      <w:r w:rsidR="00312544" w:rsidRPr="00146AE1">
        <w:rPr>
          <w:shd w:val="clear" w:color="auto" w:fill="FFFFFF"/>
        </w:rPr>
        <w:t xml:space="preserve"> vision of </w:t>
      </w:r>
      <w:r w:rsidR="0014496B">
        <w:rPr>
          <w:shd w:val="clear" w:color="auto" w:fill="FFFFFF"/>
        </w:rPr>
        <w:t>what is</w:t>
      </w:r>
      <w:r w:rsidR="0014496B" w:rsidRPr="00146AE1">
        <w:rPr>
          <w:shd w:val="clear" w:color="auto" w:fill="FFFFFF"/>
        </w:rPr>
        <w:t xml:space="preserve"> </w:t>
      </w:r>
      <w:r w:rsidR="00312544" w:rsidRPr="00146AE1">
        <w:rPr>
          <w:shd w:val="clear" w:color="auto" w:fill="FFFFFF"/>
        </w:rPr>
        <w:t>desirable</w:t>
      </w:r>
      <w:r w:rsidR="00FA349A">
        <w:rPr>
          <w:shd w:val="clear" w:color="auto" w:fill="FFFFFF"/>
        </w:rPr>
        <w:t>,</w:t>
      </w:r>
      <w:r w:rsidR="00312544" w:rsidRPr="00146AE1">
        <w:rPr>
          <w:shd w:val="clear" w:color="auto" w:fill="FFFFFF"/>
        </w:rPr>
        <w:t xml:space="preserve"> </w:t>
      </w:r>
      <w:r w:rsidR="00FA349A">
        <w:rPr>
          <w:shd w:val="clear" w:color="auto" w:fill="FFFFFF"/>
        </w:rPr>
        <w:t xml:space="preserve">and thus </w:t>
      </w:r>
      <w:r w:rsidR="00CB529E">
        <w:rPr>
          <w:shd w:val="clear" w:color="auto" w:fill="FFFFFF"/>
        </w:rPr>
        <w:t>explains</w:t>
      </w:r>
      <w:r w:rsidR="00312544" w:rsidRPr="00146AE1">
        <w:rPr>
          <w:shd w:val="clear" w:color="auto" w:fill="FFFFFF"/>
        </w:rPr>
        <w:t xml:space="preserve"> </w:t>
      </w:r>
      <w:r w:rsidR="00FA349A">
        <w:rPr>
          <w:shd w:val="clear" w:color="auto" w:fill="FFFFFF"/>
        </w:rPr>
        <w:t>what the</w:t>
      </w:r>
      <w:r w:rsidR="00312544" w:rsidRPr="00146AE1">
        <w:rPr>
          <w:shd w:val="clear" w:color="auto" w:fill="FFFFFF"/>
        </w:rPr>
        <w:t xml:space="preserve"> Office</w:t>
      </w:r>
      <w:r w:rsidR="00FA349A">
        <w:rPr>
          <w:shd w:val="clear" w:color="auto" w:fill="FFFFFF"/>
        </w:rPr>
        <w:t xml:space="preserve"> interprets</w:t>
      </w:r>
      <w:r w:rsidR="00CB529E">
        <w:rPr>
          <w:shd w:val="clear" w:color="auto" w:fill="FFFFFF"/>
        </w:rPr>
        <w:t xml:space="preserve"> </w:t>
      </w:r>
      <w:r w:rsidR="00FA349A">
        <w:rPr>
          <w:shd w:val="clear" w:color="auto" w:fill="FFFFFF"/>
        </w:rPr>
        <w:t>as</w:t>
      </w:r>
      <w:r w:rsidR="00312544" w:rsidRPr="00146AE1">
        <w:rPr>
          <w:shd w:val="clear" w:color="auto" w:fill="FFFFFF"/>
        </w:rPr>
        <w:t xml:space="preserve"> excellent performance.</w:t>
      </w:r>
      <w:r w:rsidR="00312544" w:rsidRPr="00146AE1">
        <w:rPr>
          <w:rStyle w:val="FootnoteReference"/>
          <w:sz w:val="24"/>
          <w:shd w:val="clear" w:color="auto" w:fill="FFFFFF"/>
        </w:rPr>
        <w:footnoteReference w:id="17"/>
      </w:r>
    </w:p>
    <w:p w:rsidR="00312544" w:rsidRPr="00146AE1" w:rsidRDefault="0014496B" w:rsidP="00646176">
      <w:pPr>
        <w:pStyle w:val="Default"/>
        <w:spacing w:line="360" w:lineRule="auto"/>
        <w:ind w:firstLine="720"/>
        <w:jc w:val="both"/>
      </w:pPr>
      <w:r>
        <w:t>S</w:t>
      </w:r>
      <w:r w:rsidR="00312544" w:rsidRPr="00146AE1">
        <w:t>econd</w:t>
      </w:r>
      <w:r>
        <w:t>,</w:t>
      </w:r>
      <w:r w:rsidR="00312544" w:rsidRPr="00146AE1">
        <w:t xml:space="preserve"> performance indicators have a communicative element that resonate</w:t>
      </w:r>
      <w:r>
        <w:t>s</w:t>
      </w:r>
      <w:r w:rsidR="00312544" w:rsidRPr="00146AE1">
        <w:t xml:space="preserve"> with diverse audiences within political and social environments.</w:t>
      </w:r>
      <w:r w:rsidR="00312544" w:rsidRPr="00146AE1">
        <w:rPr>
          <w:vertAlign w:val="superscript"/>
        </w:rPr>
        <w:footnoteReference w:id="18"/>
      </w:r>
      <w:r w:rsidR="00312544" w:rsidRPr="00146AE1">
        <w:t xml:space="preserve"> These indicators </w:t>
      </w:r>
      <w:r w:rsidR="00991046">
        <w:t>can</w:t>
      </w:r>
      <w:r w:rsidRPr="00146AE1">
        <w:t xml:space="preserve"> </w:t>
      </w:r>
      <w:r w:rsidR="00312544" w:rsidRPr="00146AE1">
        <w:t xml:space="preserve">communicate </w:t>
      </w:r>
      <w:r>
        <w:t xml:space="preserve">with </w:t>
      </w:r>
      <w:r w:rsidR="00312544" w:rsidRPr="00146AE1">
        <w:t xml:space="preserve">and seek to influence the expectations of external constituencies. </w:t>
      </w:r>
      <w:r w:rsidR="0092158C">
        <w:t>With regard</w:t>
      </w:r>
      <w:r w:rsidR="0092158C" w:rsidRPr="00146AE1">
        <w:t xml:space="preserve"> </w:t>
      </w:r>
      <w:r w:rsidR="00312544" w:rsidRPr="00146AE1">
        <w:t xml:space="preserve">to the OTP, it is worth </w:t>
      </w:r>
      <w:r w:rsidR="0092158C">
        <w:t>noting</w:t>
      </w:r>
      <w:r w:rsidR="00312544" w:rsidRPr="00146AE1">
        <w:t xml:space="preserve"> that the </w:t>
      </w:r>
      <w:r w:rsidR="0092158C" w:rsidRPr="00146AE1">
        <w:t>Office</w:t>
      </w:r>
      <w:r w:rsidR="0092158C">
        <w:t>’s</w:t>
      </w:r>
      <w:r w:rsidR="0092158C" w:rsidRPr="00146AE1">
        <w:t xml:space="preserve"> </w:t>
      </w:r>
      <w:r w:rsidR="00312544" w:rsidRPr="00146AE1">
        <w:t xml:space="preserve">conduct is often </w:t>
      </w:r>
      <w:r w:rsidR="0092158C">
        <w:t xml:space="preserve">perceived as </w:t>
      </w:r>
      <w:r w:rsidR="00312544" w:rsidRPr="00146AE1">
        <w:t>synonymous with the Court</w:t>
      </w:r>
      <w:r w:rsidR="0092158C">
        <w:t>’s conduct</w:t>
      </w:r>
      <w:r w:rsidR="00312544" w:rsidRPr="00146AE1">
        <w:t xml:space="preserve">. The Prosecutor is </w:t>
      </w:r>
      <w:r w:rsidR="0092158C">
        <w:t>the ICC’s</w:t>
      </w:r>
      <w:r w:rsidR="0092158C" w:rsidRPr="00146AE1">
        <w:t xml:space="preserve"> </w:t>
      </w:r>
      <w:r w:rsidR="00312544" w:rsidRPr="00146AE1">
        <w:t>most public-facing actor, and the OTP’s function</w:t>
      </w:r>
      <w:r w:rsidR="0092158C">
        <w:t>s</w:t>
      </w:r>
      <w:r w:rsidR="00312544" w:rsidRPr="00146AE1">
        <w:t xml:space="preserve"> </w:t>
      </w:r>
      <w:r w:rsidR="0092158C">
        <w:t>are</w:t>
      </w:r>
      <w:r w:rsidR="0092158C" w:rsidRPr="00146AE1">
        <w:t xml:space="preserve"> </w:t>
      </w:r>
      <w:r w:rsidR="00312544" w:rsidRPr="00146AE1">
        <w:t xml:space="preserve">critical </w:t>
      </w:r>
      <w:r w:rsidR="0092158C">
        <w:t>for</w:t>
      </w:r>
      <w:r w:rsidR="0092158C" w:rsidRPr="00146AE1">
        <w:t xml:space="preserve"> </w:t>
      </w:r>
      <w:r w:rsidR="0092158C">
        <w:t>the Court’s</w:t>
      </w:r>
      <w:r w:rsidR="0092158C" w:rsidRPr="00146AE1">
        <w:t xml:space="preserve"> </w:t>
      </w:r>
      <w:r w:rsidR="0092158C">
        <w:t>operation</w:t>
      </w:r>
      <w:r w:rsidR="00312544" w:rsidRPr="00146AE1">
        <w:t xml:space="preserve">. As such, it </w:t>
      </w:r>
      <w:r w:rsidR="0092158C" w:rsidRPr="00146AE1">
        <w:t xml:space="preserve">hardly </w:t>
      </w:r>
      <w:r w:rsidR="00312544" w:rsidRPr="00146AE1">
        <w:t>need</w:t>
      </w:r>
      <w:r w:rsidR="0092158C">
        <w:t>s</w:t>
      </w:r>
      <w:r w:rsidR="00312544" w:rsidRPr="00146AE1">
        <w:t xml:space="preserve"> </w:t>
      </w:r>
      <w:r w:rsidR="0092158C">
        <w:t xml:space="preserve">to </w:t>
      </w:r>
      <w:r w:rsidR="00312544" w:rsidRPr="00146AE1">
        <w:t xml:space="preserve">be said that </w:t>
      </w:r>
      <w:r w:rsidR="0092158C">
        <w:t>the OTP’s activities</w:t>
      </w:r>
      <w:r w:rsidR="00312544" w:rsidRPr="00146AE1">
        <w:t xml:space="preserve">, e.g. </w:t>
      </w:r>
      <w:r w:rsidR="0092158C">
        <w:t>the selection of</w:t>
      </w:r>
      <w:r w:rsidR="0092158C" w:rsidRPr="00146AE1">
        <w:t xml:space="preserve"> </w:t>
      </w:r>
      <w:r w:rsidR="00312544" w:rsidRPr="00146AE1">
        <w:t>situation</w:t>
      </w:r>
      <w:r w:rsidR="0092158C">
        <w:t>s</w:t>
      </w:r>
      <w:r w:rsidR="00312544" w:rsidRPr="00146AE1">
        <w:t xml:space="preserve"> and case</w:t>
      </w:r>
      <w:r w:rsidR="0092158C">
        <w:t>s,</w:t>
      </w:r>
      <w:r w:rsidR="00312544" w:rsidRPr="00146AE1">
        <w:t xml:space="preserve"> </w:t>
      </w:r>
      <w:r w:rsidR="0092158C">
        <w:t>are</w:t>
      </w:r>
      <w:r w:rsidR="00312544" w:rsidRPr="00146AE1">
        <w:t xml:space="preserve"> the most common target for criticism about the Court. </w:t>
      </w:r>
      <w:r w:rsidR="0063576A">
        <w:t>Hence</w:t>
      </w:r>
      <w:r w:rsidR="00312544" w:rsidRPr="00146AE1">
        <w:t xml:space="preserve">, indicators are also an institutional response to the conflict-affected and political environments within which the OTP’s decisions are perceived and inevitably contested. Perhaps more importantly, these indicators also speak to the Office’s attempt at having an ultimate impact within these environments. Thus, performance indicators reveal how the Office </w:t>
      </w:r>
      <w:r w:rsidR="0063576A">
        <w:t xml:space="preserve">intends to </w:t>
      </w:r>
      <w:r w:rsidR="00312544" w:rsidRPr="00146AE1">
        <w:t>contribute</w:t>
      </w:r>
      <w:r w:rsidR="0063576A">
        <w:t xml:space="preserve"> </w:t>
      </w:r>
      <w:r w:rsidR="002A75D2">
        <w:t>—</w:t>
      </w:r>
      <w:r w:rsidR="0063576A">
        <w:t xml:space="preserve"> and how it </w:t>
      </w:r>
      <w:r w:rsidR="002A75D2">
        <w:t xml:space="preserve">indeed </w:t>
      </w:r>
      <w:r w:rsidR="0063576A">
        <w:t xml:space="preserve">contributes  </w:t>
      </w:r>
      <w:r w:rsidR="002A75D2">
        <w:t>—</w:t>
      </w:r>
      <w:r w:rsidR="00312544" w:rsidRPr="00146AE1">
        <w:t xml:space="preserve"> to the Court’s goals of ending impunity and preventing crimes, alongside a number of often-labelled idealistic goals, such as peace, stability and reconciliation.</w:t>
      </w:r>
      <w:r w:rsidR="00312544" w:rsidRPr="00146AE1">
        <w:rPr>
          <w:vertAlign w:val="superscript"/>
        </w:rPr>
        <w:footnoteReference w:id="19"/>
      </w:r>
      <w:r w:rsidR="00312544" w:rsidRPr="00146AE1">
        <w:t xml:space="preserve"> </w:t>
      </w:r>
    </w:p>
    <w:p w:rsidR="00312544" w:rsidRPr="00146AE1" w:rsidRDefault="00312544">
      <w:pPr>
        <w:pStyle w:val="Default"/>
        <w:spacing w:line="360" w:lineRule="auto"/>
        <w:ind w:firstLine="720"/>
        <w:jc w:val="both"/>
      </w:pPr>
      <w:r w:rsidRPr="00146AE1">
        <w:t xml:space="preserve">The article conducts its assessment of performance indicators with the use of public administration perspectives, </w:t>
      </w:r>
      <w:r w:rsidR="00764752">
        <w:t>positioning itself</w:t>
      </w:r>
      <w:r w:rsidR="00764752" w:rsidRPr="00146AE1">
        <w:t xml:space="preserve"> </w:t>
      </w:r>
      <w:r w:rsidR="00764752">
        <w:t>at</w:t>
      </w:r>
      <w:r w:rsidR="00764752" w:rsidRPr="00146AE1">
        <w:t xml:space="preserve"> </w:t>
      </w:r>
      <w:r w:rsidRPr="00146AE1">
        <w:t>a disciplinary intersection that is described as ‘international bureaucracy research</w:t>
      </w:r>
      <w:r w:rsidR="002A75D2">
        <w:t>’</w:t>
      </w:r>
      <w:r w:rsidRPr="00146AE1">
        <w:t>.</w:t>
      </w:r>
      <w:r w:rsidRPr="00146AE1">
        <w:rPr>
          <w:vertAlign w:val="superscript"/>
        </w:rPr>
        <w:footnoteReference w:id="20"/>
      </w:r>
      <w:r w:rsidRPr="00146AE1">
        <w:t xml:space="preserve"> </w:t>
      </w:r>
      <w:r w:rsidR="00991046">
        <w:t xml:space="preserve">At </w:t>
      </w:r>
      <w:r w:rsidR="007D363C">
        <w:t xml:space="preserve">the heart of </w:t>
      </w:r>
      <w:r w:rsidR="00991046">
        <w:t xml:space="preserve">this disciplinary intersection </w:t>
      </w:r>
      <w:r w:rsidR="007D363C">
        <w:t xml:space="preserve">lies the </w:t>
      </w:r>
      <w:r w:rsidR="00991046">
        <w:t>recognition that</w:t>
      </w:r>
      <w:r w:rsidRPr="00146AE1">
        <w:t>, historically,</w:t>
      </w:r>
      <w:r w:rsidR="00991046">
        <w:t xml:space="preserve"> </w:t>
      </w:r>
      <w:r w:rsidRPr="00146AE1">
        <w:t xml:space="preserve">international </w:t>
      </w:r>
      <w:r w:rsidR="00B43595">
        <w:t>organiz</w:t>
      </w:r>
      <w:r w:rsidRPr="00146AE1">
        <w:t xml:space="preserve">ations have adopted management approaches that progressively </w:t>
      </w:r>
      <w:r w:rsidR="004A324B">
        <w:t>mirrored</w:t>
      </w:r>
      <w:r w:rsidR="004A324B" w:rsidRPr="00146AE1">
        <w:t xml:space="preserve"> </w:t>
      </w:r>
      <w:r w:rsidRPr="00146AE1">
        <w:t>national public management reforms.</w:t>
      </w:r>
      <w:r w:rsidRPr="00146AE1">
        <w:rPr>
          <w:vertAlign w:val="superscript"/>
        </w:rPr>
        <w:footnoteReference w:id="21"/>
      </w:r>
      <w:r w:rsidRPr="00146AE1">
        <w:t xml:space="preserve"> Th</w:t>
      </w:r>
      <w:r w:rsidR="0051133A">
        <w:t>is</w:t>
      </w:r>
      <w:r w:rsidRPr="00146AE1">
        <w:t xml:space="preserve"> disciplinary perspective also provide</w:t>
      </w:r>
      <w:r w:rsidR="0051133A">
        <w:t>s</w:t>
      </w:r>
      <w:r w:rsidRPr="00146AE1">
        <w:t xml:space="preserve"> insight into </w:t>
      </w:r>
      <w:r w:rsidR="0051133A" w:rsidRPr="00146AE1">
        <w:t xml:space="preserve">international </w:t>
      </w:r>
      <w:r w:rsidR="00B43595">
        <w:t>organiz</w:t>
      </w:r>
      <w:r w:rsidR="0051133A" w:rsidRPr="00146AE1">
        <w:t>ations</w:t>
      </w:r>
      <w:r w:rsidR="0051133A">
        <w:t>’</w:t>
      </w:r>
      <w:r w:rsidR="0051133A" w:rsidRPr="00146AE1">
        <w:t xml:space="preserve"> </w:t>
      </w:r>
      <w:r w:rsidRPr="00146AE1">
        <w:t>strategy</w:t>
      </w:r>
      <w:r w:rsidR="0051133A">
        <w:t>-</w:t>
      </w:r>
      <w:r w:rsidRPr="00146AE1">
        <w:t>making and, in turn, point</w:t>
      </w:r>
      <w:r w:rsidR="0051133A">
        <w:t>s</w:t>
      </w:r>
      <w:r w:rsidRPr="00146AE1">
        <w:t xml:space="preserve"> to the context of performance indicators.</w:t>
      </w:r>
      <w:r w:rsidRPr="00146AE1">
        <w:rPr>
          <w:vertAlign w:val="superscript"/>
        </w:rPr>
        <w:footnoteReference w:id="22"/>
      </w:r>
      <w:r w:rsidRPr="00146AE1">
        <w:t xml:space="preserve"> </w:t>
      </w:r>
      <w:r w:rsidR="00991046">
        <w:t>Indeed, traditionally,</w:t>
      </w:r>
      <w:r w:rsidR="0051133A">
        <w:t xml:space="preserve"> </w:t>
      </w:r>
      <w:r w:rsidRPr="00146AE1">
        <w:t>public administration literature does not regard indicators as an isolated management tool</w:t>
      </w:r>
      <w:r w:rsidR="0051133A">
        <w:t>,</w:t>
      </w:r>
      <w:r w:rsidRPr="00146AE1">
        <w:t xml:space="preserve"> but rather as one component of a suite of market-oriented principles</w:t>
      </w:r>
      <w:r w:rsidR="0051133A">
        <w:t xml:space="preserve"> known as</w:t>
      </w:r>
      <w:r w:rsidRPr="00146AE1">
        <w:t xml:space="preserve"> ‘managerialism’.</w:t>
      </w:r>
      <w:r w:rsidRPr="00146AE1">
        <w:rPr>
          <w:rStyle w:val="FootnoteReference"/>
          <w:sz w:val="24"/>
        </w:rPr>
        <w:footnoteReference w:id="23"/>
      </w:r>
      <w:r w:rsidRPr="00146AE1">
        <w:t xml:space="preserve"> </w:t>
      </w:r>
    </w:p>
    <w:p w:rsidR="00D4510A" w:rsidRDefault="00312544">
      <w:pPr>
        <w:pStyle w:val="Default"/>
        <w:spacing w:line="360" w:lineRule="auto"/>
        <w:ind w:firstLine="720"/>
        <w:jc w:val="both"/>
      </w:pPr>
      <w:r w:rsidRPr="00146AE1">
        <w:t xml:space="preserve">Performance indicators (often prefixed with the </w:t>
      </w:r>
      <w:r w:rsidR="00476CF2">
        <w:t>qualifier</w:t>
      </w:r>
      <w:r w:rsidR="00476CF2" w:rsidRPr="00146AE1">
        <w:t xml:space="preserve"> </w:t>
      </w:r>
      <w:r w:rsidRPr="00146AE1">
        <w:t xml:space="preserve">‘key’) sprung originally within highly managerial environments. Within these environments, indicators became routinely associated with maximising the virtuous three </w:t>
      </w:r>
      <w:r w:rsidR="00FF2F4D">
        <w:t>‘</w:t>
      </w:r>
      <w:r w:rsidRPr="00146AE1">
        <w:t>E</w:t>
      </w:r>
      <w:r w:rsidR="00FF2F4D">
        <w:t>’</w:t>
      </w:r>
      <w:r w:rsidRPr="00146AE1">
        <w:t>s of performance: economy, efficiency and effectiveness.</w:t>
      </w:r>
      <w:r w:rsidRPr="00146AE1">
        <w:rPr>
          <w:vertAlign w:val="superscript"/>
        </w:rPr>
        <w:footnoteReference w:id="24"/>
      </w:r>
      <w:r w:rsidR="00D4510A">
        <w:t xml:space="preserve"> These three performance concerns</w:t>
      </w:r>
      <w:r w:rsidR="001B78B4">
        <w:t xml:space="preserve"> incorporate</w:t>
      </w:r>
      <w:r w:rsidR="00D4510A">
        <w:t xml:space="preserve"> the relationship between</w:t>
      </w:r>
      <w:r w:rsidR="001B78B4">
        <w:t xml:space="preserve"> </w:t>
      </w:r>
      <w:r w:rsidR="002A75D2">
        <w:t xml:space="preserve">organizational </w:t>
      </w:r>
      <w:r w:rsidR="00D4510A">
        <w:t xml:space="preserve">inputs, outputs and outcomes. </w:t>
      </w:r>
      <w:r w:rsidRPr="00146AE1">
        <w:t xml:space="preserve">In short, economy is concerned with performance that minimises inputs </w:t>
      </w:r>
      <w:r w:rsidR="00D4510A">
        <w:t>(</w:t>
      </w:r>
      <w:r w:rsidRPr="00146AE1">
        <w:t>most often</w:t>
      </w:r>
      <w:r w:rsidR="009E375A">
        <w:t xml:space="preserve"> understood</w:t>
      </w:r>
      <w:r w:rsidRPr="00146AE1">
        <w:t xml:space="preserve"> in terms of financial costs</w:t>
      </w:r>
      <w:r w:rsidR="009E375A">
        <w:t xml:space="preserve"> and resources</w:t>
      </w:r>
      <w:r w:rsidR="00D4510A">
        <w:t>)</w:t>
      </w:r>
      <w:r w:rsidR="00FA349A">
        <w:t>.</w:t>
      </w:r>
      <w:r w:rsidRPr="00146AE1">
        <w:t xml:space="preserve"> In light of those costs, efficiency targets performance that maximises outputs</w:t>
      </w:r>
      <w:r w:rsidR="007D363C">
        <w:t xml:space="preserve"> – i.e. </w:t>
      </w:r>
      <w:r w:rsidRPr="00146AE1">
        <w:t>the day-to</w:t>
      </w:r>
      <w:r w:rsidR="007D363C">
        <w:t>-</w:t>
      </w:r>
      <w:r w:rsidRPr="00146AE1">
        <w:t>day service activities</w:t>
      </w:r>
      <w:r w:rsidR="009E375A">
        <w:t xml:space="preserve"> </w:t>
      </w:r>
      <w:r w:rsidR="007D363C">
        <w:t>that</w:t>
      </w:r>
      <w:r w:rsidR="009E375A">
        <w:t xml:space="preserve"> an </w:t>
      </w:r>
      <w:r w:rsidR="002A75D2">
        <w:t xml:space="preserve">organization </w:t>
      </w:r>
      <w:r w:rsidR="009E375A">
        <w:t>deliver</w:t>
      </w:r>
      <w:r w:rsidR="001B78B4">
        <w:t>s or provides</w:t>
      </w:r>
      <w:r w:rsidR="009E375A">
        <w:t xml:space="preserve"> (</w:t>
      </w:r>
      <w:r w:rsidR="00040EC5">
        <w:t xml:space="preserve">e.g., </w:t>
      </w:r>
      <w:r w:rsidR="009E375A">
        <w:t>schools deliver educational qualifications and hospitals provide treatments and operations</w:t>
      </w:r>
      <w:r w:rsidR="007D363C">
        <w:t xml:space="preserve"> </w:t>
      </w:r>
      <w:r w:rsidR="002A75D2">
        <w:t>—</w:t>
      </w:r>
      <w:r w:rsidR="007D363C">
        <w:t xml:space="preserve"> th</w:t>
      </w:r>
      <w:r w:rsidR="00024AFF">
        <w:t>e</w:t>
      </w:r>
      <w:r w:rsidR="007D363C">
        <w:t>se are their outputs</w:t>
      </w:r>
      <w:r w:rsidR="009E375A">
        <w:t xml:space="preserve">). </w:t>
      </w:r>
      <w:r w:rsidRPr="00146AE1">
        <w:t xml:space="preserve">Finally, effectiveness is concerned with performance that </w:t>
      </w:r>
      <w:r w:rsidR="00FF2F4D">
        <w:t>transforms</w:t>
      </w:r>
      <w:r w:rsidR="009E375A">
        <w:t xml:space="preserve"> </w:t>
      </w:r>
      <w:r w:rsidR="00361ED3">
        <w:t>successful</w:t>
      </w:r>
      <w:r w:rsidR="00FF2F4D" w:rsidRPr="00146AE1">
        <w:t xml:space="preserve"> </w:t>
      </w:r>
      <w:r w:rsidRPr="00146AE1">
        <w:t>outputs into particular outcomes within target audiences.</w:t>
      </w:r>
      <w:r w:rsidRPr="00146AE1">
        <w:rPr>
          <w:rStyle w:val="FootnoteReference"/>
          <w:sz w:val="24"/>
        </w:rPr>
        <w:footnoteReference w:id="25"/>
      </w:r>
      <w:r w:rsidR="009E375A">
        <w:t xml:space="preserve"> As </w:t>
      </w:r>
      <w:r w:rsidR="00D827D6">
        <w:t>such,</w:t>
      </w:r>
      <w:r w:rsidR="009E375A">
        <w:t xml:space="preserve"> outcomes are concerned with</w:t>
      </w:r>
      <w:r w:rsidR="00205B27">
        <w:t xml:space="preserve"> real-world</w:t>
      </w:r>
      <w:r w:rsidR="00E03E58">
        <w:t xml:space="preserve"> phenomena </w:t>
      </w:r>
      <w:r w:rsidR="001B78B4">
        <w:t>occurring</w:t>
      </w:r>
      <w:r w:rsidR="00E03E58">
        <w:rPr>
          <w:i/>
          <w:iCs/>
        </w:rPr>
        <w:t xml:space="preserve"> </w:t>
      </w:r>
      <w:r w:rsidR="00E03E58" w:rsidRPr="00F46D82">
        <w:rPr>
          <w:iCs/>
        </w:rPr>
        <w:t>outside the organization</w:t>
      </w:r>
      <w:r w:rsidR="00D4510A">
        <w:rPr>
          <w:iCs/>
        </w:rPr>
        <w:t xml:space="preserve">, and </w:t>
      </w:r>
      <w:r w:rsidR="00FA349A">
        <w:rPr>
          <w:iCs/>
        </w:rPr>
        <w:t>these outcomes, in turn, are intended to support the original and</w:t>
      </w:r>
      <w:r w:rsidR="00D4510A">
        <w:rPr>
          <w:iCs/>
        </w:rPr>
        <w:t xml:space="preserve"> </w:t>
      </w:r>
      <w:r w:rsidR="007D2690">
        <w:rPr>
          <w:iCs/>
        </w:rPr>
        <w:t>fundamental</w:t>
      </w:r>
      <w:r w:rsidR="0005531B">
        <w:rPr>
          <w:iCs/>
        </w:rPr>
        <w:t xml:space="preserve"> goals</w:t>
      </w:r>
      <w:r w:rsidR="00D4510A">
        <w:rPr>
          <w:iCs/>
        </w:rPr>
        <w:t xml:space="preserve"> </w:t>
      </w:r>
      <w:r w:rsidR="0005531B">
        <w:rPr>
          <w:iCs/>
        </w:rPr>
        <w:t xml:space="preserve">set by an </w:t>
      </w:r>
      <w:r w:rsidR="002A75D2">
        <w:rPr>
          <w:iCs/>
        </w:rPr>
        <w:t>organization</w:t>
      </w:r>
      <w:r w:rsidR="00D4510A">
        <w:rPr>
          <w:iCs/>
        </w:rPr>
        <w:t xml:space="preserve">. </w:t>
      </w:r>
      <w:r w:rsidR="00205B27">
        <w:t>For example</w:t>
      </w:r>
      <w:r w:rsidR="00040EC5">
        <w:t xml:space="preserve">, </w:t>
      </w:r>
      <w:r w:rsidR="00FC5A80">
        <w:t>high quality</w:t>
      </w:r>
      <w:r w:rsidR="00012FE7">
        <w:t xml:space="preserve"> </w:t>
      </w:r>
      <w:r w:rsidR="00205B27">
        <w:t>school qualifications</w:t>
      </w:r>
      <w:r w:rsidR="00012FE7">
        <w:t xml:space="preserve"> </w:t>
      </w:r>
      <w:r w:rsidR="00040EC5">
        <w:t xml:space="preserve">can </w:t>
      </w:r>
      <w:r w:rsidR="0005531B">
        <w:t>achieve specific</w:t>
      </w:r>
      <w:r w:rsidR="00205B27">
        <w:t xml:space="preserve"> outcome</w:t>
      </w:r>
      <w:r w:rsidR="0005531B">
        <w:t xml:space="preserve">s (e.g. to </w:t>
      </w:r>
      <w:r w:rsidR="00197200">
        <w:t xml:space="preserve">make students </w:t>
      </w:r>
      <w:r w:rsidR="0005531B">
        <w:t xml:space="preserve">literate and numerate, or </w:t>
      </w:r>
      <w:r w:rsidR="00197200">
        <w:t>to develop their</w:t>
      </w:r>
      <w:r w:rsidR="0005531B">
        <w:t xml:space="preserve"> critical reasoning skills</w:t>
      </w:r>
      <w:r w:rsidR="00197200">
        <w:t>,</w:t>
      </w:r>
      <w:r w:rsidR="0005531B">
        <w:t xml:space="preserve"> etc.) that produce</w:t>
      </w:r>
      <w:r w:rsidR="00205B27">
        <w:t xml:space="preserve"> well-informed and skilled citizens, </w:t>
      </w:r>
      <w:r w:rsidR="00012FE7">
        <w:t xml:space="preserve">or </w:t>
      </w:r>
      <w:r w:rsidR="00205B27">
        <w:t>successful hospital treatments and operations</w:t>
      </w:r>
      <w:r w:rsidR="0005531B">
        <w:t xml:space="preserve"> </w:t>
      </w:r>
      <w:r w:rsidR="00040EC5">
        <w:t xml:space="preserve">can </w:t>
      </w:r>
      <w:r w:rsidR="0005531B">
        <w:t xml:space="preserve">achieve specific outcomes (e.g. to </w:t>
      </w:r>
      <w:r w:rsidR="00197200">
        <w:t xml:space="preserve">make patients </w:t>
      </w:r>
      <w:r w:rsidR="0005531B">
        <w:t xml:space="preserve">free from ill-health symptoms, physically mobile, or to </w:t>
      </w:r>
      <w:r w:rsidR="00197200">
        <w:t xml:space="preserve">help them </w:t>
      </w:r>
      <w:r w:rsidR="0005531B">
        <w:t>self-manage pain etc.) that</w:t>
      </w:r>
      <w:r w:rsidR="00D4510A">
        <w:t xml:space="preserve"> lead to long-term</w:t>
      </w:r>
      <w:r w:rsidR="0005531B">
        <w:t xml:space="preserve"> health and</w:t>
      </w:r>
      <w:r w:rsidR="00D4510A">
        <w:t xml:space="preserve"> </w:t>
      </w:r>
      <w:r w:rsidR="00205B27">
        <w:t>well-being</w:t>
      </w:r>
      <w:r w:rsidR="00D4510A">
        <w:t>.</w:t>
      </w:r>
      <w:r w:rsidR="00205B27">
        <w:rPr>
          <w:rStyle w:val="FootnoteReference"/>
        </w:rPr>
        <w:footnoteReference w:id="26"/>
      </w:r>
    </w:p>
    <w:p w:rsidR="00312544" w:rsidRPr="007D2690" w:rsidRDefault="00040EC5">
      <w:pPr>
        <w:pStyle w:val="Default"/>
        <w:spacing w:line="360" w:lineRule="auto"/>
        <w:ind w:firstLine="720"/>
        <w:jc w:val="both"/>
      </w:pPr>
      <w:r>
        <w:t>Thus</w:t>
      </w:r>
      <w:r w:rsidR="005A2A3D">
        <w:t>,</w:t>
      </w:r>
      <w:r>
        <w:t xml:space="preserve"> i</w:t>
      </w:r>
      <w:r w:rsidR="00312544" w:rsidRPr="00146AE1">
        <w:t>n the case of the OTP</w:t>
      </w:r>
      <w:r>
        <w:t>, performance can be translated</w:t>
      </w:r>
      <w:r w:rsidR="00312544" w:rsidRPr="00146AE1">
        <w:t xml:space="preserve"> </w:t>
      </w:r>
      <w:r w:rsidR="00FF2F4D">
        <w:t>in</w:t>
      </w:r>
      <w:r w:rsidR="00312544" w:rsidRPr="00146AE1">
        <w:t>to managing its running costs (</w:t>
      </w:r>
      <w:r w:rsidR="00312544" w:rsidRPr="00146AE1">
        <w:rPr>
          <w:i/>
        </w:rPr>
        <w:t>economy/inputs</w:t>
      </w:r>
      <w:r w:rsidR="00312544" w:rsidRPr="00146AE1">
        <w:t xml:space="preserve">), </w:t>
      </w:r>
      <w:r w:rsidR="00FF2F4D">
        <w:t xml:space="preserve">into </w:t>
      </w:r>
      <w:r w:rsidR="00312544" w:rsidRPr="00146AE1">
        <w:t>maximi</w:t>
      </w:r>
      <w:r w:rsidR="00FF2F4D">
        <w:t>zing</w:t>
      </w:r>
      <w:r w:rsidR="00312544" w:rsidRPr="00146AE1">
        <w:t xml:space="preserve"> prosecution</w:t>
      </w:r>
      <w:r w:rsidR="00186171">
        <w:t xml:space="preserve"> activities</w:t>
      </w:r>
      <w:r w:rsidR="00312544" w:rsidRPr="00146AE1">
        <w:t xml:space="preserve"> </w:t>
      </w:r>
      <w:r w:rsidR="00FF2F4D" w:rsidRPr="00146AE1">
        <w:t xml:space="preserve">in light of those costs </w:t>
      </w:r>
      <w:r w:rsidR="00312544" w:rsidRPr="00146AE1">
        <w:t>(</w:t>
      </w:r>
      <w:r w:rsidR="00312544" w:rsidRPr="00146AE1">
        <w:rPr>
          <w:i/>
        </w:rPr>
        <w:t>efficiency/outputs</w:t>
      </w:r>
      <w:r w:rsidR="00312544" w:rsidRPr="00146AE1">
        <w:t xml:space="preserve">) and, finally, </w:t>
      </w:r>
      <w:r w:rsidR="00FF2F4D">
        <w:t>in</w:t>
      </w:r>
      <w:r w:rsidR="00312544" w:rsidRPr="00146AE1">
        <w:t>to ensur</w:t>
      </w:r>
      <w:r w:rsidR="00FF2F4D">
        <w:t>ing</w:t>
      </w:r>
      <w:r w:rsidR="00312544" w:rsidRPr="00146AE1">
        <w:t xml:space="preserve"> that</w:t>
      </w:r>
      <w:r w:rsidR="007D2690">
        <w:t xml:space="preserve"> successful</w:t>
      </w:r>
      <w:r w:rsidR="00312544" w:rsidRPr="00146AE1">
        <w:t xml:space="preserve"> prosecutions</w:t>
      </w:r>
      <w:r w:rsidR="007D2690">
        <w:t xml:space="preserve"> can</w:t>
      </w:r>
      <w:r w:rsidR="00312544" w:rsidRPr="00146AE1">
        <w:t xml:space="preserve"> achieve outcomes </w:t>
      </w:r>
      <w:r w:rsidR="00012FE7">
        <w:t>that further</w:t>
      </w:r>
      <w:r w:rsidR="007D2690">
        <w:t xml:space="preserve"> the goals of the Rome Statute</w:t>
      </w:r>
      <w:r w:rsidR="005A2A3D">
        <w:t>,</w:t>
      </w:r>
      <w:r w:rsidR="007D2690">
        <w:t xml:space="preserve"> i.e. ending impunity and contributing to the prevention of crimes </w:t>
      </w:r>
      <w:r w:rsidR="007D2690" w:rsidRPr="00146AE1">
        <w:t>(</w:t>
      </w:r>
      <w:r w:rsidR="007D2690" w:rsidRPr="00146AE1">
        <w:rPr>
          <w:i/>
        </w:rPr>
        <w:t>effectiveness/outcomes</w:t>
      </w:r>
      <w:r w:rsidR="007D2690" w:rsidRPr="00146AE1">
        <w:t>)</w:t>
      </w:r>
      <w:r w:rsidR="007D2690">
        <w:t>.</w:t>
      </w:r>
    </w:p>
    <w:p w:rsidR="001B55DE" w:rsidRPr="00146AE1" w:rsidRDefault="00FF2F4D">
      <w:pPr>
        <w:pStyle w:val="Default"/>
        <w:spacing w:line="360" w:lineRule="auto"/>
        <w:ind w:firstLine="720"/>
        <w:jc w:val="both"/>
      </w:pPr>
      <w:r w:rsidRPr="00146AE1">
        <w:t>Th</w:t>
      </w:r>
      <w:r>
        <w:t>is</w:t>
      </w:r>
      <w:r w:rsidRPr="00146AE1">
        <w:t xml:space="preserve"> article begins by tracing the historical development of performance indicators within the Office’s prosecut</w:t>
      </w:r>
      <w:r w:rsidR="00297EBF">
        <w:t>orial</w:t>
      </w:r>
      <w:r w:rsidRPr="00146AE1">
        <w:t xml:space="preserve"> strategy. </w:t>
      </w:r>
      <w:r w:rsidR="00297EBF">
        <w:t>Then</w:t>
      </w:r>
      <w:r w:rsidR="00312544" w:rsidRPr="00146AE1">
        <w:t xml:space="preserve">, </w:t>
      </w:r>
      <w:r w:rsidR="00297EBF">
        <w:t>it</w:t>
      </w:r>
      <w:r w:rsidR="00312544" w:rsidRPr="00146AE1">
        <w:t xml:space="preserve"> adopts the </w:t>
      </w:r>
      <w:r w:rsidR="00297EBF">
        <w:t xml:space="preserve">mentioned </w:t>
      </w:r>
      <w:r w:rsidR="00312544" w:rsidRPr="00146AE1">
        <w:t>three</w:t>
      </w:r>
      <w:r w:rsidR="00297EBF">
        <w:t>-‘</w:t>
      </w:r>
      <w:r w:rsidR="00312544" w:rsidRPr="00146AE1">
        <w:t>E</w:t>
      </w:r>
      <w:r w:rsidR="00297EBF">
        <w:t>’</w:t>
      </w:r>
      <w:r w:rsidR="00312544" w:rsidRPr="00146AE1">
        <w:t xml:space="preserve">s framework </w:t>
      </w:r>
      <w:r w:rsidR="00297EBF">
        <w:t xml:space="preserve">in order </w:t>
      </w:r>
      <w:r w:rsidR="00312544" w:rsidRPr="00146AE1">
        <w:t xml:space="preserve">to assess OTP’s performance indicators. This framework corroborates the article’s </w:t>
      </w:r>
      <w:r>
        <w:t>main contention</w:t>
      </w:r>
      <w:r w:rsidR="00312544" w:rsidRPr="00146AE1">
        <w:t xml:space="preserve"> that the OTP’s indicators do not sufficiently measure the effectiveness of prosecutions in terms of their intended outcomes</w:t>
      </w:r>
      <w:r>
        <w:t>,</w:t>
      </w:r>
      <w:r w:rsidR="00312544" w:rsidRPr="00146AE1">
        <w:t xml:space="preserve"> particularly within conflict-affected societies. In this light, the article concludes by offering principles that can improve the future measurement of effectiveness. </w:t>
      </w:r>
    </w:p>
    <w:p w:rsidR="001B55DE" w:rsidRPr="00146AE1" w:rsidRDefault="001B55DE">
      <w:pPr>
        <w:pStyle w:val="Default"/>
        <w:spacing w:line="360" w:lineRule="auto"/>
        <w:jc w:val="both"/>
      </w:pPr>
    </w:p>
    <w:p w:rsidR="00312544" w:rsidRPr="00146AE1" w:rsidRDefault="001B55DE">
      <w:pPr>
        <w:pStyle w:val="Default"/>
        <w:spacing w:line="360" w:lineRule="auto"/>
        <w:jc w:val="both"/>
        <w:rPr>
          <w:b/>
        </w:rPr>
      </w:pPr>
      <w:r w:rsidRPr="00146AE1">
        <w:rPr>
          <w:b/>
        </w:rPr>
        <w:t xml:space="preserve">2. </w:t>
      </w:r>
      <w:r w:rsidR="00283497">
        <w:rPr>
          <w:b/>
        </w:rPr>
        <w:t>Prosecutorial Strategy</w:t>
      </w:r>
      <w:r w:rsidR="00312544" w:rsidRPr="00146AE1">
        <w:rPr>
          <w:b/>
        </w:rPr>
        <w:t xml:space="preserve"> and Performance Indicators</w:t>
      </w:r>
    </w:p>
    <w:p w:rsidR="00312544" w:rsidRPr="00146AE1" w:rsidRDefault="00312544">
      <w:pPr>
        <w:jc w:val="both"/>
        <w:rPr>
          <w:szCs w:val="24"/>
        </w:rPr>
      </w:pPr>
      <w:r w:rsidRPr="00146AE1">
        <w:rPr>
          <w:szCs w:val="24"/>
        </w:rPr>
        <w:t xml:space="preserve">First of all, it is important to consider the OTP’s motivation for establishing performance indicators. </w:t>
      </w:r>
      <w:r w:rsidR="005D6C9A">
        <w:rPr>
          <w:szCs w:val="24"/>
        </w:rPr>
        <w:t>This move was</w:t>
      </w:r>
      <w:r w:rsidRPr="00146AE1">
        <w:rPr>
          <w:szCs w:val="24"/>
        </w:rPr>
        <w:t xml:space="preserve"> evidently inspired by a Court-wide commitment to managerialism. </w:t>
      </w:r>
      <w:r w:rsidR="00251476">
        <w:rPr>
          <w:szCs w:val="24"/>
        </w:rPr>
        <w:t>Indeed</w:t>
      </w:r>
      <w:r w:rsidR="00345E67">
        <w:rPr>
          <w:szCs w:val="24"/>
        </w:rPr>
        <w:t>,</w:t>
      </w:r>
      <w:r w:rsidR="00251476">
        <w:rPr>
          <w:szCs w:val="24"/>
        </w:rPr>
        <w:t xml:space="preserve"> t</w:t>
      </w:r>
      <w:r w:rsidRPr="00146AE1">
        <w:rPr>
          <w:szCs w:val="24"/>
        </w:rPr>
        <w:t>he ICC’s first Strategic Plan</w:t>
      </w:r>
      <w:r w:rsidR="005D6C9A">
        <w:rPr>
          <w:szCs w:val="24"/>
        </w:rPr>
        <w:t xml:space="preserve"> explicitly makes</w:t>
      </w:r>
      <w:r w:rsidRPr="00146AE1">
        <w:rPr>
          <w:szCs w:val="24"/>
        </w:rPr>
        <w:t xml:space="preserve"> one of the Court’s goals to be a ‘model of public administration.’</w:t>
      </w:r>
      <w:r w:rsidRPr="00146AE1">
        <w:rPr>
          <w:szCs w:val="24"/>
          <w:vertAlign w:val="superscript"/>
        </w:rPr>
        <w:footnoteReference w:id="27"/>
      </w:r>
      <w:r w:rsidRPr="00146AE1">
        <w:rPr>
          <w:szCs w:val="24"/>
        </w:rPr>
        <w:t xml:space="preserve"> The Plan describes this goal as focused on results rather than processes, empowering managers to take decisions to increase </w:t>
      </w:r>
      <w:r w:rsidR="005D6C9A">
        <w:rPr>
          <w:szCs w:val="24"/>
        </w:rPr>
        <w:t xml:space="preserve">activities’ </w:t>
      </w:r>
      <w:r w:rsidRPr="00146AE1">
        <w:rPr>
          <w:szCs w:val="24"/>
        </w:rPr>
        <w:t>speed, quality and</w:t>
      </w:r>
      <w:r w:rsidR="00251476">
        <w:rPr>
          <w:szCs w:val="24"/>
        </w:rPr>
        <w:t xml:space="preserve"> </w:t>
      </w:r>
      <w:r w:rsidRPr="00146AE1">
        <w:rPr>
          <w:szCs w:val="24"/>
        </w:rPr>
        <w:t>efficiency</w:t>
      </w:r>
      <w:r w:rsidR="000B38B1">
        <w:rPr>
          <w:szCs w:val="24"/>
        </w:rPr>
        <w:t xml:space="preserve">, </w:t>
      </w:r>
      <w:r w:rsidRPr="00146AE1">
        <w:rPr>
          <w:szCs w:val="24"/>
        </w:rPr>
        <w:t xml:space="preserve">and to guarantee accountability within a non-bureaucratic </w:t>
      </w:r>
      <w:r w:rsidR="000C48E1">
        <w:rPr>
          <w:szCs w:val="24"/>
        </w:rPr>
        <w:t>administration</w:t>
      </w:r>
      <w:r w:rsidR="000B38B1">
        <w:rPr>
          <w:szCs w:val="24"/>
        </w:rPr>
        <w:t>.</w:t>
      </w:r>
      <w:r w:rsidRPr="00146AE1">
        <w:rPr>
          <w:szCs w:val="24"/>
          <w:vertAlign w:val="superscript"/>
        </w:rPr>
        <w:footnoteReference w:id="28"/>
      </w:r>
      <w:r w:rsidRPr="00146AE1">
        <w:rPr>
          <w:szCs w:val="24"/>
        </w:rPr>
        <w:t xml:space="preserve"> This language chimes with characteristic managerial methods that are ‘hard-headed, business-minded, cost-conscious, and data-driven</w:t>
      </w:r>
      <w:r w:rsidR="00D456C9">
        <w:rPr>
          <w:szCs w:val="24"/>
        </w:rPr>
        <w:t>’</w:t>
      </w:r>
      <w:r w:rsidRPr="00146AE1">
        <w:rPr>
          <w:szCs w:val="24"/>
        </w:rPr>
        <w:t>.</w:t>
      </w:r>
      <w:r w:rsidRPr="00146AE1">
        <w:rPr>
          <w:szCs w:val="24"/>
          <w:vertAlign w:val="superscript"/>
        </w:rPr>
        <w:footnoteReference w:id="29"/>
      </w:r>
      <w:r w:rsidRPr="00146AE1">
        <w:rPr>
          <w:szCs w:val="24"/>
        </w:rPr>
        <w:t xml:space="preserve"> </w:t>
      </w:r>
    </w:p>
    <w:p w:rsidR="00312544" w:rsidRPr="00146AE1" w:rsidRDefault="00312544">
      <w:pPr>
        <w:ind w:firstLine="720"/>
        <w:jc w:val="both"/>
        <w:rPr>
          <w:szCs w:val="24"/>
        </w:rPr>
      </w:pPr>
      <w:r w:rsidRPr="00146AE1">
        <w:rPr>
          <w:szCs w:val="24"/>
        </w:rPr>
        <w:t>The goal of being a model of public administration also establishes a ‘One Court’ structure</w:t>
      </w:r>
      <w:r w:rsidR="009B5D3A">
        <w:rPr>
          <w:szCs w:val="24"/>
        </w:rPr>
        <w:t>,</w:t>
      </w:r>
      <w:r w:rsidRPr="00146AE1">
        <w:rPr>
          <w:szCs w:val="24"/>
        </w:rPr>
        <w:t xml:space="preserve"> </w:t>
      </w:r>
      <w:r w:rsidR="009B5D3A">
        <w:rPr>
          <w:szCs w:val="24"/>
        </w:rPr>
        <w:t>whereby</w:t>
      </w:r>
      <w:r w:rsidRPr="00146AE1">
        <w:rPr>
          <w:szCs w:val="24"/>
        </w:rPr>
        <w:t xml:space="preserve"> the OTP work</w:t>
      </w:r>
      <w:r w:rsidR="009B5D3A">
        <w:rPr>
          <w:szCs w:val="24"/>
        </w:rPr>
        <w:t>s</w:t>
      </w:r>
      <w:r w:rsidRPr="00146AE1">
        <w:rPr>
          <w:szCs w:val="24"/>
        </w:rPr>
        <w:t xml:space="preserve"> with </w:t>
      </w:r>
      <w:r w:rsidR="009B5D3A">
        <w:rPr>
          <w:szCs w:val="24"/>
        </w:rPr>
        <w:t>other</w:t>
      </w:r>
      <w:r w:rsidR="009B5D3A" w:rsidRPr="00146AE1">
        <w:rPr>
          <w:szCs w:val="24"/>
        </w:rPr>
        <w:t xml:space="preserve"> </w:t>
      </w:r>
      <w:r w:rsidRPr="00146AE1">
        <w:rPr>
          <w:szCs w:val="24"/>
        </w:rPr>
        <w:t>Court</w:t>
      </w:r>
      <w:r w:rsidR="009B5D3A">
        <w:rPr>
          <w:szCs w:val="24"/>
        </w:rPr>
        <w:t xml:space="preserve"> organs</w:t>
      </w:r>
      <w:r w:rsidRPr="00146AE1">
        <w:rPr>
          <w:szCs w:val="24"/>
        </w:rPr>
        <w:t xml:space="preserve"> on matters of common concern.</w:t>
      </w:r>
      <w:r w:rsidRPr="00146AE1">
        <w:rPr>
          <w:szCs w:val="24"/>
          <w:vertAlign w:val="superscript"/>
        </w:rPr>
        <w:footnoteReference w:id="30"/>
      </w:r>
      <w:r w:rsidRPr="00146AE1">
        <w:rPr>
          <w:szCs w:val="24"/>
        </w:rPr>
        <w:t xml:space="preserve"> This framework maintains respect for the </w:t>
      </w:r>
      <w:r w:rsidR="009D581F">
        <w:rPr>
          <w:szCs w:val="24"/>
        </w:rPr>
        <w:t xml:space="preserve">OTP’s </w:t>
      </w:r>
      <w:r w:rsidRPr="00146AE1">
        <w:rPr>
          <w:szCs w:val="24"/>
        </w:rPr>
        <w:t>independence but allows for the OTP’s ‘maximal integration’ into the Court, especially within strategic planning.</w:t>
      </w:r>
      <w:r w:rsidRPr="00146AE1">
        <w:rPr>
          <w:szCs w:val="24"/>
          <w:vertAlign w:val="superscript"/>
        </w:rPr>
        <w:footnoteReference w:id="31"/>
      </w:r>
      <w:r w:rsidRPr="00146AE1">
        <w:rPr>
          <w:szCs w:val="24"/>
        </w:rPr>
        <w:t xml:space="preserve"> </w:t>
      </w:r>
      <w:r w:rsidR="009D581F">
        <w:rPr>
          <w:szCs w:val="24"/>
        </w:rPr>
        <w:t>W</w:t>
      </w:r>
      <w:r w:rsidRPr="00146AE1">
        <w:rPr>
          <w:szCs w:val="24"/>
        </w:rPr>
        <w:t>ithin this context</w:t>
      </w:r>
      <w:r w:rsidR="009D581F">
        <w:rPr>
          <w:szCs w:val="24"/>
        </w:rPr>
        <w:t>,</w:t>
      </w:r>
      <w:r w:rsidRPr="00146AE1">
        <w:rPr>
          <w:szCs w:val="24"/>
        </w:rPr>
        <w:t xml:space="preserve"> the OTP’s first </w:t>
      </w:r>
      <w:r w:rsidR="00283497">
        <w:rPr>
          <w:szCs w:val="24"/>
        </w:rPr>
        <w:t>prosecutorial strategy</w:t>
      </w:r>
      <w:r w:rsidRPr="00146AE1">
        <w:rPr>
          <w:szCs w:val="24"/>
        </w:rPr>
        <w:t xml:space="preserve"> fully subscribed to the Court’s goal to be a model of public administration and committed to devising performance indicators.</w:t>
      </w:r>
      <w:r w:rsidRPr="00146AE1">
        <w:rPr>
          <w:szCs w:val="24"/>
          <w:vertAlign w:val="superscript"/>
        </w:rPr>
        <w:footnoteReference w:id="32"/>
      </w:r>
    </w:p>
    <w:p w:rsidR="00283497" w:rsidRDefault="00186171">
      <w:pPr>
        <w:jc w:val="both"/>
        <w:rPr>
          <w:szCs w:val="24"/>
        </w:rPr>
      </w:pPr>
      <w:r>
        <w:rPr>
          <w:szCs w:val="24"/>
        </w:rPr>
        <w:tab/>
      </w:r>
      <w:r w:rsidR="00312544" w:rsidRPr="00146AE1">
        <w:rPr>
          <w:szCs w:val="24"/>
        </w:rPr>
        <w:t>Since that moment, the development of performance indicators has been an incremental and decade-long process, evidence of which is found within four OTP</w:t>
      </w:r>
      <w:r w:rsidR="00283497">
        <w:rPr>
          <w:szCs w:val="24"/>
        </w:rPr>
        <w:t>’s</w:t>
      </w:r>
      <w:r w:rsidR="00312544" w:rsidRPr="00146AE1">
        <w:rPr>
          <w:szCs w:val="24"/>
        </w:rPr>
        <w:t xml:space="preserve"> strateg</w:t>
      </w:r>
      <w:r w:rsidR="00283497">
        <w:rPr>
          <w:szCs w:val="24"/>
        </w:rPr>
        <w:t>ic</w:t>
      </w:r>
      <w:r w:rsidR="00312544" w:rsidRPr="00146AE1">
        <w:rPr>
          <w:szCs w:val="24"/>
        </w:rPr>
        <w:t xml:space="preserve"> documents.</w:t>
      </w:r>
      <w:r w:rsidR="00312544" w:rsidRPr="00146AE1">
        <w:rPr>
          <w:szCs w:val="24"/>
          <w:vertAlign w:val="superscript"/>
        </w:rPr>
        <w:footnoteReference w:id="33"/>
      </w:r>
      <w:r w:rsidR="00312544" w:rsidRPr="00146AE1">
        <w:rPr>
          <w:szCs w:val="24"/>
        </w:rPr>
        <w:t xml:space="preserve"> </w:t>
      </w:r>
    </w:p>
    <w:p w:rsidR="00312544" w:rsidRPr="00146AE1" w:rsidRDefault="00283497" w:rsidP="00D456C9">
      <w:pPr>
        <w:ind w:firstLine="720"/>
        <w:jc w:val="both"/>
        <w:rPr>
          <w:szCs w:val="24"/>
        </w:rPr>
      </w:pPr>
      <w:r>
        <w:rPr>
          <w:szCs w:val="24"/>
        </w:rPr>
        <w:t>In the</w:t>
      </w:r>
      <w:r w:rsidR="00312544" w:rsidRPr="00146AE1">
        <w:rPr>
          <w:szCs w:val="24"/>
        </w:rPr>
        <w:t xml:space="preserve"> begin</w:t>
      </w:r>
      <w:r>
        <w:rPr>
          <w:szCs w:val="24"/>
        </w:rPr>
        <w:t>ning</w:t>
      </w:r>
      <w:r w:rsidR="00312544" w:rsidRPr="00146AE1">
        <w:rPr>
          <w:szCs w:val="24"/>
        </w:rPr>
        <w:t>, the OTP’s first strateg</w:t>
      </w:r>
      <w:r>
        <w:rPr>
          <w:szCs w:val="24"/>
        </w:rPr>
        <w:t>ic document</w:t>
      </w:r>
      <w:r w:rsidR="00312544" w:rsidRPr="00146AE1">
        <w:rPr>
          <w:szCs w:val="24"/>
        </w:rPr>
        <w:t xml:space="preserve"> ma</w:t>
      </w:r>
      <w:r>
        <w:rPr>
          <w:szCs w:val="24"/>
        </w:rPr>
        <w:t>de</w:t>
      </w:r>
      <w:r w:rsidR="00312544" w:rsidRPr="00146AE1">
        <w:rPr>
          <w:szCs w:val="24"/>
        </w:rPr>
        <w:t xml:space="preserve"> a cursory statement of intent to ‘establish a clear set of performance indicators and evaluation processes’ while </w:t>
      </w:r>
      <w:r w:rsidR="00D456C9" w:rsidRPr="00146AE1">
        <w:rPr>
          <w:szCs w:val="24"/>
        </w:rPr>
        <w:t>recogni</w:t>
      </w:r>
      <w:r w:rsidR="00D456C9">
        <w:rPr>
          <w:szCs w:val="24"/>
        </w:rPr>
        <w:t>z</w:t>
      </w:r>
      <w:r w:rsidR="00D456C9" w:rsidRPr="00146AE1">
        <w:rPr>
          <w:szCs w:val="24"/>
        </w:rPr>
        <w:t xml:space="preserve">ing </w:t>
      </w:r>
      <w:r w:rsidR="00312544" w:rsidRPr="00146AE1">
        <w:rPr>
          <w:szCs w:val="24"/>
        </w:rPr>
        <w:t>that</w:t>
      </w:r>
      <w:r>
        <w:rPr>
          <w:szCs w:val="24"/>
        </w:rPr>
        <w:t xml:space="preserve"> </w:t>
      </w:r>
      <w:r w:rsidR="00D456C9">
        <w:rPr>
          <w:rFonts w:cs="Times New Roman"/>
          <w:szCs w:val="24"/>
        </w:rPr>
        <w:t xml:space="preserve">— </w:t>
      </w:r>
      <w:r w:rsidR="00312544" w:rsidRPr="00146AE1">
        <w:rPr>
          <w:szCs w:val="24"/>
        </w:rPr>
        <w:t>as no trials had yet commenced</w:t>
      </w:r>
      <w:r>
        <w:rPr>
          <w:szCs w:val="24"/>
        </w:rPr>
        <w:t xml:space="preserve"> </w:t>
      </w:r>
      <w:r w:rsidR="00D456C9">
        <w:rPr>
          <w:rFonts w:cs="Times New Roman"/>
          <w:szCs w:val="24"/>
        </w:rPr>
        <w:t>—</w:t>
      </w:r>
      <w:r w:rsidR="00312544" w:rsidRPr="00146AE1">
        <w:rPr>
          <w:szCs w:val="24"/>
        </w:rPr>
        <w:t xml:space="preserve"> it was too early to </w:t>
      </w:r>
      <w:r>
        <w:rPr>
          <w:szCs w:val="24"/>
        </w:rPr>
        <w:t>start</w:t>
      </w:r>
      <w:r w:rsidRPr="00146AE1">
        <w:rPr>
          <w:szCs w:val="24"/>
        </w:rPr>
        <w:t xml:space="preserve"> </w:t>
      </w:r>
      <w:r>
        <w:rPr>
          <w:szCs w:val="24"/>
        </w:rPr>
        <w:t>evaluating</w:t>
      </w:r>
      <w:r w:rsidRPr="00146AE1">
        <w:rPr>
          <w:szCs w:val="24"/>
        </w:rPr>
        <w:t xml:space="preserve"> </w:t>
      </w:r>
      <w:r w:rsidR="00312544" w:rsidRPr="00146AE1">
        <w:rPr>
          <w:szCs w:val="24"/>
        </w:rPr>
        <w:t>its performance.</w:t>
      </w:r>
      <w:r w:rsidR="00312544" w:rsidRPr="00146AE1">
        <w:rPr>
          <w:szCs w:val="24"/>
          <w:vertAlign w:val="superscript"/>
        </w:rPr>
        <w:footnoteReference w:id="34"/>
      </w:r>
      <w:r w:rsidR="00312544" w:rsidRPr="00146AE1">
        <w:rPr>
          <w:szCs w:val="24"/>
        </w:rPr>
        <w:t xml:space="preserve"> </w:t>
      </w:r>
    </w:p>
    <w:p w:rsidR="00312544" w:rsidRPr="00146AE1" w:rsidRDefault="00312544">
      <w:pPr>
        <w:ind w:firstLine="720"/>
        <w:jc w:val="both"/>
        <w:rPr>
          <w:szCs w:val="24"/>
        </w:rPr>
      </w:pPr>
      <w:r w:rsidRPr="00146AE1">
        <w:rPr>
          <w:rFonts w:cs="Times New Roman"/>
          <w:szCs w:val="24"/>
        </w:rPr>
        <w:t>Four years on, and in spite of trials having commenced, the second strategy affirmed a commitment to participate in the Court</w:t>
      </w:r>
      <w:r w:rsidR="00283497">
        <w:rPr>
          <w:rFonts w:cs="Times New Roman"/>
          <w:szCs w:val="24"/>
        </w:rPr>
        <w:t>-wide</w:t>
      </w:r>
      <w:r w:rsidRPr="00146AE1">
        <w:rPr>
          <w:rFonts w:cs="Times New Roman"/>
          <w:szCs w:val="24"/>
        </w:rPr>
        <w:t xml:space="preserve"> work on performance indicators. The strategy recogni</w:t>
      </w:r>
      <w:r w:rsidR="0095540F">
        <w:rPr>
          <w:rFonts w:cs="Times New Roman"/>
          <w:szCs w:val="24"/>
        </w:rPr>
        <w:t>z</w:t>
      </w:r>
      <w:r w:rsidRPr="00146AE1">
        <w:rPr>
          <w:rFonts w:cs="Times New Roman"/>
          <w:szCs w:val="24"/>
        </w:rPr>
        <w:t xml:space="preserve">ed that measuring the </w:t>
      </w:r>
      <w:r w:rsidR="00283497" w:rsidRPr="00146AE1">
        <w:rPr>
          <w:rFonts w:cs="Times New Roman"/>
          <w:szCs w:val="24"/>
        </w:rPr>
        <w:t>Office</w:t>
      </w:r>
      <w:r w:rsidR="00283497">
        <w:rPr>
          <w:rFonts w:cs="Times New Roman"/>
          <w:szCs w:val="24"/>
        </w:rPr>
        <w:t>’s</w:t>
      </w:r>
      <w:r w:rsidR="00283497" w:rsidRPr="00146AE1">
        <w:rPr>
          <w:rFonts w:cs="Times New Roman"/>
          <w:szCs w:val="24"/>
        </w:rPr>
        <w:t xml:space="preserve"> </w:t>
      </w:r>
      <w:r w:rsidRPr="00146AE1">
        <w:rPr>
          <w:rFonts w:cs="Times New Roman"/>
          <w:szCs w:val="24"/>
        </w:rPr>
        <w:t xml:space="preserve">performance is a complex task that requires an evaluation of the entire Rome </w:t>
      </w:r>
      <w:r w:rsidR="00042AB6">
        <w:rPr>
          <w:rFonts w:cs="Times New Roman"/>
          <w:szCs w:val="24"/>
        </w:rPr>
        <w:t xml:space="preserve">Statute’s </w:t>
      </w:r>
      <w:r w:rsidRPr="00146AE1">
        <w:rPr>
          <w:rFonts w:cs="Times New Roman"/>
          <w:szCs w:val="24"/>
        </w:rPr>
        <w:t>system. The strategy highlight</w:t>
      </w:r>
      <w:r w:rsidR="00283497">
        <w:rPr>
          <w:rFonts w:cs="Times New Roman"/>
          <w:szCs w:val="24"/>
        </w:rPr>
        <w:t>ed</w:t>
      </w:r>
      <w:r w:rsidRPr="00146AE1">
        <w:rPr>
          <w:rFonts w:cs="Times New Roman"/>
          <w:szCs w:val="24"/>
        </w:rPr>
        <w:t xml:space="preserve"> </w:t>
      </w:r>
      <w:r w:rsidR="00283497">
        <w:rPr>
          <w:rFonts w:cs="Times New Roman"/>
          <w:szCs w:val="24"/>
        </w:rPr>
        <w:t>that</w:t>
      </w:r>
      <w:r w:rsidR="00283497" w:rsidRPr="00146AE1">
        <w:rPr>
          <w:rFonts w:cs="Times New Roman"/>
          <w:szCs w:val="24"/>
        </w:rPr>
        <w:t xml:space="preserve"> </w:t>
      </w:r>
      <w:r w:rsidRPr="00146AE1">
        <w:rPr>
          <w:rFonts w:cs="Times New Roman"/>
          <w:szCs w:val="24"/>
        </w:rPr>
        <w:t>this evaluation should recogni</w:t>
      </w:r>
      <w:r w:rsidR="0095540F">
        <w:rPr>
          <w:rFonts w:cs="Times New Roman"/>
          <w:szCs w:val="24"/>
        </w:rPr>
        <w:t>z</w:t>
      </w:r>
      <w:r w:rsidRPr="00146AE1">
        <w:rPr>
          <w:rFonts w:cs="Times New Roman"/>
          <w:szCs w:val="24"/>
        </w:rPr>
        <w:t>e the role and function of complementarity</w:t>
      </w:r>
      <w:r w:rsidR="00040EC5">
        <w:rPr>
          <w:rFonts w:cs="Times New Roman"/>
          <w:szCs w:val="24"/>
        </w:rPr>
        <w:t>,</w:t>
      </w:r>
      <w:r w:rsidRPr="00146AE1">
        <w:rPr>
          <w:rFonts w:cs="Times New Roman"/>
          <w:szCs w:val="24"/>
        </w:rPr>
        <w:t xml:space="preserve"> and how co</w:t>
      </w:r>
      <w:r w:rsidR="00040EC5">
        <w:rPr>
          <w:rFonts w:cs="Times New Roman"/>
          <w:szCs w:val="24"/>
        </w:rPr>
        <w:t>-</w:t>
      </w:r>
      <w:r w:rsidRPr="00146AE1">
        <w:rPr>
          <w:rFonts w:cs="Times New Roman"/>
          <w:szCs w:val="24"/>
        </w:rPr>
        <w:t xml:space="preserve">operation is </w:t>
      </w:r>
      <w:r w:rsidR="007869D7">
        <w:rPr>
          <w:rFonts w:cs="Times New Roman"/>
          <w:szCs w:val="24"/>
        </w:rPr>
        <w:t xml:space="preserve">fundamental for </w:t>
      </w:r>
      <w:r w:rsidRPr="00146AE1">
        <w:rPr>
          <w:rFonts w:cs="Times New Roman"/>
          <w:szCs w:val="24"/>
        </w:rPr>
        <w:t xml:space="preserve">the </w:t>
      </w:r>
      <w:r w:rsidR="007869D7">
        <w:rPr>
          <w:rFonts w:cs="Times New Roman"/>
          <w:szCs w:val="24"/>
        </w:rPr>
        <w:t xml:space="preserve">system’s </w:t>
      </w:r>
      <w:r w:rsidRPr="00146AE1">
        <w:rPr>
          <w:rFonts w:cs="Times New Roman"/>
          <w:szCs w:val="24"/>
        </w:rPr>
        <w:t>effective functioning.</w:t>
      </w:r>
      <w:r w:rsidRPr="00146AE1">
        <w:rPr>
          <w:rStyle w:val="FootnoteReference"/>
          <w:rFonts w:cs="Times New Roman"/>
          <w:sz w:val="24"/>
          <w:szCs w:val="24"/>
        </w:rPr>
        <w:footnoteReference w:id="35"/>
      </w:r>
      <w:r w:rsidRPr="00146AE1">
        <w:rPr>
          <w:rFonts w:cs="Times New Roman"/>
          <w:szCs w:val="24"/>
        </w:rPr>
        <w:t xml:space="preserve"> The strategy</w:t>
      </w:r>
      <w:r w:rsidR="00040EC5">
        <w:rPr>
          <w:rFonts w:cs="Times New Roman"/>
          <w:szCs w:val="24"/>
        </w:rPr>
        <w:t xml:space="preserve"> also </w:t>
      </w:r>
      <w:r w:rsidR="007869D7" w:rsidRPr="00146AE1">
        <w:rPr>
          <w:rFonts w:cs="Times New Roman"/>
          <w:szCs w:val="24"/>
        </w:rPr>
        <w:t>provide</w:t>
      </w:r>
      <w:r w:rsidR="007869D7">
        <w:rPr>
          <w:rFonts w:cs="Times New Roman"/>
          <w:szCs w:val="24"/>
        </w:rPr>
        <w:t>d</w:t>
      </w:r>
      <w:r w:rsidRPr="00146AE1">
        <w:rPr>
          <w:rFonts w:cs="Times New Roman"/>
          <w:szCs w:val="24"/>
        </w:rPr>
        <w:t>, rather tentatively, examples of ‘diversified performance indicators’</w:t>
      </w:r>
      <w:r w:rsidR="00042AB6">
        <w:rPr>
          <w:rFonts w:cs="Times New Roman"/>
          <w:szCs w:val="24"/>
        </w:rPr>
        <w:t>.</w:t>
      </w:r>
      <w:r w:rsidRPr="00146AE1">
        <w:rPr>
          <w:rStyle w:val="FootnoteReference"/>
          <w:rFonts w:cs="Times New Roman"/>
          <w:sz w:val="24"/>
          <w:szCs w:val="24"/>
        </w:rPr>
        <w:footnoteReference w:id="36"/>
      </w:r>
      <w:r w:rsidRPr="00146AE1">
        <w:rPr>
          <w:rFonts w:cs="Times New Roman"/>
          <w:szCs w:val="24"/>
        </w:rPr>
        <w:t xml:space="preserve"> Th</w:t>
      </w:r>
      <w:r w:rsidR="007869D7">
        <w:rPr>
          <w:rFonts w:cs="Times New Roman"/>
          <w:szCs w:val="24"/>
        </w:rPr>
        <w:t>e</w:t>
      </w:r>
      <w:r w:rsidRPr="00146AE1">
        <w:rPr>
          <w:rFonts w:cs="Times New Roman"/>
          <w:szCs w:val="24"/>
        </w:rPr>
        <w:t>se include</w:t>
      </w:r>
      <w:r w:rsidR="007869D7">
        <w:rPr>
          <w:rFonts w:cs="Times New Roman"/>
          <w:szCs w:val="24"/>
        </w:rPr>
        <w:t>d</w:t>
      </w:r>
      <w:r w:rsidR="007869D7" w:rsidRPr="00146AE1">
        <w:rPr>
          <w:rFonts w:cs="Times New Roman"/>
          <w:szCs w:val="24"/>
        </w:rPr>
        <w:t xml:space="preserve"> </w:t>
      </w:r>
      <w:r w:rsidR="007869D7">
        <w:rPr>
          <w:rFonts w:cs="Times New Roman"/>
          <w:szCs w:val="24"/>
        </w:rPr>
        <w:t xml:space="preserve">measuring </w:t>
      </w:r>
      <w:r w:rsidRPr="00146AE1">
        <w:rPr>
          <w:szCs w:val="24"/>
        </w:rPr>
        <w:t xml:space="preserve">the number of national prosecutions </w:t>
      </w:r>
      <w:r w:rsidR="007869D7">
        <w:rPr>
          <w:szCs w:val="24"/>
        </w:rPr>
        <w:t>for</w:t>
      </w:r>
      <w:r w:rsidR="007869D7" w:rsidRPr="00146AE1">
        <w:rPr>
          <w:szCs w:val="24"/>
        </w:rPr>
        <w:t xml:space="preserve"> </w:t>
      </w:r>
      <w:r w:rsidRPr="00146AE1">
        <w:rPr>
          <w:szCs w:val="24"/>
        </w:rPr>
        <w:t>international crimes</w:t>
      </w:r>
      <w:r w:rsidR="007869D7">
        <w:rPr>
          <w:szCs w:val="24"/>
        </w:rPr>
        <w:t>,</w:t>
      </w:r>
      <w:r w:rsidRPr="00146AE1">
        <w:rPr>
          <w:szCs w:val="24"/>
        </w:rPr>
        <w:t xml:space="preserve"> </w:t>
      </w:r>
      <w:r w:rsidR="007869D7">
        <w:rPr>
          <w:szCs w:val="24"/>
        </w:rPr>
        <w:t xml:space="preserve">of </w:t>
      </w:r>
      <w:r w:rsidRPr="00146AE1">
        <w:rPr>
          <w:szCs w:val="24"/>
        </w:rPr>
        <w:t>peace accords that exclude amnesty for ICC crimes</w:t>
      </w:r>
      <w:r w:rsidR="007869D7">
        <w:rPr>
          <w:szCs w:val="24"/>
        </w:rPr>
        <w:t>,</w:t>
      </w:r>
      <w:r w:rsidRPr="00146AE1">
        <w:rPr>
          <w:szCs w:val="24"/>
        </w:rPr>
        <w:t xml:space="preserve"> </w:t>
      </w:r>
      <w:r w:rsidR="007869D7">
        <w:rPr>
          <w:szCs w:val="24"/>
        </w:rPr>
        <w:t xml:space="preserve">of </w:t>
      </w:r>
      <w:r w:rsidRPr="00146AE1">
        <w:rPr>
          <w:szCs w:val="24"/>
        </w:rPr>
        <w:t>public declarations of political leaders in support of the Court’s decisions</w:t>
      </w:r>
      <w:r w:rsidR="007869D7">
        <w:rPr>
          <w:szCs w:val="24"/>
        </w:rPr>
        <w:t>,</w:t>
      </w:r>
      <w:r w:rsidRPr="00146AE1">
        <w:rPr>
          <w:szCs w:val="24"/>
        </w:rPr>
        <w:t xml:space="preserve"> and </w:t>
      </w:r>
      <w:r w:rsidR="007869D7">
        <w:rPr>
          <w:szCs w:val="24"/>
        </w:rPr>
        <w:t xml:space="preserve">the </w:t>
      </w:r>
      <w:r w:rsidRPr="00146AE1">
        <w:rPr>
          <w:szCs w:val="24"/>
        </w:rPr>
        <w:t>reduction in the number of armed groups and armed forces using children.</w:t>
      </w:r>
      <w:r w:rsidRPr="00146AE1">
        <w:rPr>
          <w:rStyle w:val="FootnoteReference"/>
          <w:sz w:val="24"/>
          <w:szCs w:val="24"/>
        </w:rPr>
        <w:footnoteReference w:id="37"/>
      </w:r>
      <w:r w:rsidRPr="00146AE1">
        <w:rPr>
          <w:szCs w:val="24"/>
        </w:rPr>
        <w:t xml:space="preserve"> Nonetheless, these were solely included for the purpose of demonstrating what future indicators may look like.   </w:t>
      </w:r>
    </w:p>
    <w:p w:rsidR="00312544" w:rsidRPr="00146AE1" w:rsidRDefault="00312544">
      <w:pPr>
        <w:ind w:firstLine="720"/>
        <w:jc w:val="both"/>
        <w:rPr>
          <w:szCs w:val="24"/>
        </w:rPr>
      </w:pPr>
      <w:r w:rsidRPr="00146AE1">
        <w:rPr>
          <w:rFonts w:cs="Times New Roman"/>
          <w:szCs w:val="24"/>
        </w:rPr>
        <w:t>One might have thought that by the time of the third strategy a concrete set of relevant performance indicators would have been developed. By contrast, the third strategy cite</w:t>
      </w:r>
      <w:r w:rsidR="00EF75E2">
        <w:rPr>
          <w:rFonts w:cs="Times New Roman"/>
          <w:szCs w:val="24"/>
        </w:rPr>
        <w:t>d</w:t>
      </w:r>
      <w:r w:rsidRPr="00146AE1">
        <w:rPr>
          <w:rFonts w:cs="Times New Roman"/>
          <w:szCs w:val="24"/>
        </w:rPr>
        <w:t xml:space="preserve"> measurement complexity</w:t>
      </w:r>
      <w:r w:rsidR="00EF75E2">
        <w:rPr>
          <w:rFonts w:cs="Times New Roman"/>
          <w:szCs w:val="24"/>
        </w:rPr>
        <w:t xml:space="preserve"> </w:t>
      </w:r>
      <w:r w:rsidRPr="00146AE1">
        <w:rPr>
          <w:rFonts w:cs="Times New Roman"/>
          <w:szCs w:val="24"/>
        </w:rPr>
        <w:t xml:space="preserve">and a lack of </w:t>
      </w:r>
      <w:r w:rsidR="00EF75E2">
        <w:rPr>
          <w:rFonts w:cs="Times New Roman"/>
          <w:szCs w:val="24"/>
        </w:rPr>
        <w:t>time and resources</w:t>
      </w:r>
      <w:r w:rsidRPr="00146AE1">
        <w:rPr>
          <w:rFonts w:cs="Times New Roman"/>
          <w:szCs w:val="24"/>
        </w:rPr>
        <w:t xml:space="preserve"> to explain the continuing absence of </w:t>
      </w:r>
      <w:r w:rsidR="00EF75E2">
        <w:rPr>
          <w:rFonts w:cs="Times New Roman"/>
          <w:szCs w:val="24"/>
        </w:rPr>
        <w:t xml:space="preserve">clear </w:t>
      </w:r>
      <w:r w:rsidRPr="00146AE1">
        <w:rPr>
          <w:rFonts w:cs="Times New Roman"/>
          <w:szCs w:val="24"/>
        </w:rPr>
        <w:t>performance indicators.</w:t>
      </w:r>
      <w:r w:rsidRPr="00146AE1">
        <w:rPr>
          <w:rStyle w:val="FootnoteReference"/>
          <w:rFonts w:cs="Times New Roman"/>
          <w:sz w:val="24"/>
          <w:szCs w:val="24"/>
        </w:rPr>
        <w:footnoteReference w:id="38"/>
      </w:r>
      <w:r w:rsidRPr="00146AE1">
        <w:rPr>
          <w:rFonts w:cs="Times New Roman"/>
          <w:szCs w:val="24"/>
        </w:rPr>
        <w:t xml:space="preserve"> </w:t>
      </w:r>
      <w:r w:rsidR="00EF75E2">
        <w:rPr>
          <w:rFonts w:cs="Times New Roman"/>
          <w:szCs w:val="24"/>
        </w:rPr>
        <w:t>According to t</w:t>
      </w:r>
      <w:r w:rsidRPr="00146AE1">
        <w:rPr>
          <w:rFonts w:cs="Times New Roman"/>
          <w:szCs w:val="24"/>
        </w:rPr>
        <w:t>he strategy</w:t>
      </w:r>
      <w:r w:rsidR="00EF75E2">
        <w:rPr>
          <w:rFonts w:cs="Times New Roman"/>
          <w:szCs w:val="24"/>
        </w:rPr>
        <w:t>,</w:t>
      </w:r>
      <w:r w:rsidRPr="00146AE1">
        <w:rPr>
          <w:rFonts w:cs="Times New Roman"/>
          <w:szCs w:val="24"/>
        </w:rPr>
        <w:t xml:space="preserve"> measurement complexity </w:t>
      </w:r>
      <w:r w:rsidR="00EF75E2">
        <w:rPr>
          <w:rFonts w:cs="Times New Roman"/>
          <w:szCs w:val="24"/>
        </w:rPr>
        <w:t>was</w:t>
      </w:r>
      <w:r w:rsidR="00EF75E2" w:rsidRPr="00146AE1">
        <w:rPr>
          <w:rFonts w:cs="Times New Roman"/>
          <w:szCs w:val="24"/>
        </w:rPr>
        <w:t xml:space="preserve"> </w:t>
      </w:r>
      <w:r w:rsidR="00EF75E2">
        <w:rPr>
          <w:rFonts w:cs="Times New Roman"/>
          <w:szCs w:val="24"/>
        </w:rPr>
        <w:t>due</w:t>
      </w:r>
      <w:r w:rsidRPr="00146AE1">
        <w:rPr>
          <w:rFonts w:cs="Times New Roman"/>
          <w:szCs w:val="24"/>
        </w:rPr>
        <w:t xml:space="preserve">, </w:t>
      </w:r>
      <w:r w:rsidR="00EF75E2">
        <w:rPr>
          <w:rFonts w:cs="Times New Roman"/>
          <w:szCs w:val="24"/>
        </w:rPr>
        <w:t>on one side</w:t>
      </w:r>
      <w:r w:rsidRPr="00146AE1">
        <w:rPr>
          <w:rFonts w:cs="Times New Roman"/>
          <w:szCs w:val="24"/>
        </w:rPr>
        <w:t xml:space="preserve">, </w:t>
      </w:r>
      <w:r w:rsidR="00EF75E2">
        <w:rPr>
          <w:rFonts w:cs="Times New Roman"/>
          <w:szCs w:val="24"/>
        </w:rPr>
        <w:t xml:space="preserve">to </w:t>
      </w:r>
      <w:r w:rsidRPr="00146AE1">
        <w:rPr>
          <w:rFonts w:cs="Times New Roman"/>
          <w:szCs w:val="24"/>
        </w:rPr>
        <w:t xml:space="preserve">the challenge of determining the </w:t>
      </w:r>
      <w:r w:rsidR="00EF75E2">
        <w:rPr>
          <w:rFonts w:cs="Times New Roman"/>
          <w:szCs w:val="24"/>
        </w:rPr>
        <w:t xml:space="preserve">precise </w:t>
      </w:r>
      <w:r w:rsidRPr="00146AE1">
        <w:rPr>
          <w:rFonts w:cs="Times New Roman"/>
          <w:szCs w:val="24"/>
        </w:rPr>
        <w:t>outcome</w:t>
      </w:r>
      <w:r w:rsidR="00EF75E2">
        <w:rPr>
          <w:rFonts w:cs="Times New Roman"/>
          <w:szCs w:val="24"/>
        </w:rPr>
        <w:t xml:space="preserve"> of OTP’s activities (</w:t>
      </w:r>
      <w:r w:rsidR="00056EA5">
        <w:rPr>
          <w:rFonts w:cs="Times New Roman"/>
          <w:szCs w:val="24"/>
        </w:rPr>
        <w:t>offering the prevention of crimes as an example</w:t>
      </w:r>
      <w:r w:rsidR="00012FE7">
        <w:rPr>
          <w:rFonts w:cs="Times New Roman"/>
          <w:szCs w:val="24"/>
        </w:rPr>
        <w:t xml:space="preserve"> of such an outcome</w:t>
      </w:r>
      <w:r w:rsidR="00056EA5">
        <w:rPr>
          <w:rFonts w:cs="Times New Roman"/>
          <w:szCs w:val="24"/>
        </w:rPr>
        <w:t>)</w:t>
      </w:r>
      <w:r w:rsidR="00040EC5">
        <w:rPr>
          <w:rFonts w:cs="Times New Roman"/>
          <w:szCs w:val="24"/>
        </w:rPr>
        <w:t xml:space="preserve"> and</w:t>
      </w:r>
      <w:r w:rsidR="00042AB6">
        <w:rPr>
          <w:rFonts w:cs="Times New Roman"/>
          <w:szCs w:val="24"/>
        </w:rPr>
        <w:t xml:space="preserve"> –</w:t>
      </w:r>
      <w:r w:rsidR="00056EA5">
        <w:rPr>
          <w:rFonts w:cs="Times New Roman"/>
          <w:szCs w:val="24"/>
        </w:rPr>
        <w:t xml:space="preserve"> </w:t>
      </w:r>
      <w:r w:rsidR="00040EC5">
        <w:rPr>
          <w:rFonts w:cs="Times New Roman"/>
          <w:szCs w:val="24"/>
        </w:rPr>
        <w:t>o</w:t>
      </w:r>
      <w:r w:rsidR="00EF75E2">
        <w:rPr>
          <w:rFonts w:cs="Times New Roman"/>
          <w:szCs w:val="24"/>
        </w:rPr>
        <w:t>n the other side</w:t>
      </w:r>
      <w:r w:rsidR="00056EA5">
        <w:rPr>
          <w:rFonts w:cs="Times New Roman"/>
          <w:szCs w:val="24"/>
        </w:rPr>
        <w:t xml:space="preserve">, </w:t>
      </w:r>
      <w:r w:rsidR="00040EC5">
        <w:rPr>
          <w:rFonts w:cs="Times New Roman"/>
          <w:szCs w:val="24"/>
        </w:rPr>
        <w:t>to</w:t>
      </w:r>
      <w:r w:rsidR="00056EA5">
        <w:rPr>
          <w:rFonts w:cs="Times New Roman"/>
          <w:szCs w:val="24"/>
        </w:rPr>
        <w:t xml:space="preserve"> </w:t>
      </w:r>
      <w:r w:rsidRPr="00146AE1">
        <w:rPr>
          <w:rFonts w:cs="Times New Roman"/>
          <w:szCs w:val="24"/>
        </w:rPr>
        <w:t>accurately measur</w:t>
      </w:r>
      <w:r w:rsidR="00EF75E2">
        <w:rPr>
          <w:rFonts w:cs="Times New Roman"/>
          <w:szCs w:val="24"/>
        </w:rPr>
        <w:t>ing</w:t>
      </w:r>
      <w:r w:rsidRPr="00146AE1">
        <w:rPr>
          <w:rFonts w:cs="Times New Roman"/>
          <w:szCs w:val="24"/>
        </w:rPr>
        <w:t xml:space="preserve"> the </w:t>
      </w:r>
      <w:r w:rsidR="00EF75E2">
        <w:rPr>
          <w:rFonts w:cs="Times New Roman"/>
          <w:szCs w:val="24"/>
        </w:rPr>
        <w:t xml:space="preserve">OTP’s </w:t>
      </w:r>
      <w:r w:rsidRPr="00146AE1">
        <w:rPr>
          <w:rFonts w:cs="Times New Roman"/>
          <w:szCs w:val="24"/>
        </w:rPr>
        <w:t xml:space="preserve">impact on </w:t>
      </w:r>
      <w:r w:rsidR="00040EC5" w:rsidRPr="00146AE1">
        <w:rPr>
          <w:rFonts w:cs="Times New Roman"/>
          <w:szCs w:val="24"/>
        </w:rPr>
        <w:t>outcomes</w:t>
      </w:r>
      <w:r w:rsidR="00040EC5">
        <w:rPr>
          <w:rFonts w:cs="Times New Roman"/>
          <w:szCs w:val="24"/>
        </w:rPr>
        <w:t>, which</w:t>
      </w:r>
      <w:r w:rsidR="00EF75E2">
        <w:rPr>
          <w:rFonts w:cs="Times New Roman"/>
          <w:szCs w:val="24"/>
        </w:rPr>
        <w:t xml:space="preserve"> may have been determined – alternatively or cumulatively – by</w:t>
      </w:r>
      <w:r w:rsidRPr="00146AE1">
        <w:rPr>
          <w:rFonts w:cs="Times New Roman"/>
          <w:szCs w:val="24"/>
        </w:rPr>
        <w:t xml:space="preserve"> other causes. Hence, the strategy retreat</w:t>
      </w:r>
      <w:r w:rsidR="00EF75E2">
        <w:rPr>
          <w:rFonts w:cs="Times New Roman"/>
          <w:szCs w:val="24"/>
        </w:rPr>
        <w:t>ed</w:t>
      </w:r>
      <w:r w:rsidRPr="00146AE1">
        <w:rPr>
          <w:rFonts w:cs="Times New Roman"/>
          <w:szCs w:val="24"/>
        </w:rPr>
        <w:t xml:space="preserve"> from measuring outcomes</w:t>
      </w:r>
      <w:r w:rsidR="00D827D6">
        <w:rPr>
          <w:rFonts w:cs="Times New Roman"/>
          <w:szCs w:val="24"/>
        </w:rPr>
        <w:t xml:space="preserve"> and</w:t>
      </w:r>
      <w:r w:rsidRPr="00146AE1">
        <w:rPr>
          <w:rFonts w:cs="Times New Roman"/>
          <w:szCs w:val="24"/>
        </w:rPr>
        <w:t xml:space="preserve"> declar</w:t>
      </w:r>
      <w:r w:rsidR="00D827D6">
        <w:rPr>
          <w:rFonts w:cs="Times New Roman"/>
          <w:szCs w:val="24"/>
        </w:rPr>
        <w:t>ed</w:t>
      </w:r>
      <w:r w:rsidRPr="00146AE1">
        <w:rPr>
          <w:rFonts w:cs="Times New Roman"/>
          <w:szCs w:val="24"/>
        </w:rPr>
        <w:t xml:space="preserve"> an intent to (re)evaluate whether a ‘refocused and limited’ set of indicators would be more suitable.</w:t>
      </w:r>
      <w:r w:rsidRPr="00146AE1">
        <w:rPr>
          <w:rStyle w:val="FootnoteReference"/>
          <w:rFonts w:cs="Times New Roman"/>
          <w:sz w:val="24"/>
          <w:szCs w:val="24"/>
        </w:rPr>
        <w:footnoteReference w:id="39"/>
      </w:r>
      <w:r w:rsidRPr="00146AE1">
        <w:rPr>
          <w:rFonts w:cs="Times New Roman"/>
          <w:szCs w:val="24"/>
        </w:rPr>
        <w:t xml:space="preserve"> To underline the retreat, the strategy hint</w:t>
      </w:r>
      <w:r w:rsidR="00EF75E2">
        <w:rPr>
          <w:rFonts w:cs="Times New Roman"/>
          <w:szCs w:val="24"/>
        </w:rPr>
        <w:t>ed</w:t>
      </w:r>
      <w:r w:rsidRPr="00146AE1">
        <w:rPr>
          <w:rFonts w:cs="Times New Roman"/>
          <w:szCs w:val="24"/>
        </w:rPr>
        <w:t xml:space="preserve"> at what such indicators </w:t>
      </w:r>
      <w:r w:rsidR="00EF75E2">
        <w:rPr>
          <w:rFonts w:cs="Times New Roman"/>
          <w:szCs w:val="24"/>
        </w:rPr>
        <w:t>c</w:t>
      </w:r>
      <w:r w:rsidRPr="00146AE1">
        <w:rPr>
          <w:rFonts w:cs="Times New Roman"/>
          <w:szCs w:val="24"/>
        </w:rPr>
        <w:t>ould be</w:t>
      </w:r>
      <w:r w:rsidR="00EF75E2">
        <w:rPr>
          <w:rFonts w:cs="Times New Roman"/>
          <w:szCs w:val="24"/>
        </w:rPr>
        <w:t>,</w:t>
      </w:r>
      <w:r w:rsidRPr="00146AE1">
        <w:rPr>
          <w:rFonts w:cs="Times New Roman"/>
          <w:szCs w:val="24"/>
        </w:rPr>
        <w:t xml:space="preserve"> </w:t>
      </w:r>
      <w:r w:rsidR="00EF75E2">
        <w:rPr>
          <w:rFonts w:cs="Times New Roman"/>
          <w:szCs w:val="24"/>
        </w:rPr>
        <w:t>making a</w:t>
      </w:r>
      <w:r w:rsidR="00EF75E2" w:rsidRPr="00146AE1">
        <w:rPr>
          <w:rFonts w:cs="Times New Roman"/>
          <w:szCs w:val="24"/>
        </w:rPr>
        <w:t xml:space="preserve"> </w:t>
      </w:r>
      <w:r w:rsidRPr="00146AE1">
        <w:rPr>
          <w:rFonts w:cs="Times New Roman"/>
          <w:szCs w:val="24"/>
        </w:rPr>
        <w:t>reference to ‘securing convictions …</w:t>
      </w:r>
      <w:r w:rsidR="00EF75E2">
        <w:rPr>
          <w:rFonts w:cs="Times New Roman"/>
          <w:szCs w:val="24"/>
        </w:rPr>
        <w:t xml:space="preserve"> </w:t>
      </w:r>
      <w:r w:rsidRPr="00146AE1">
        <w:rPr>
          <w:rFonts w:cs="Times New Roman"/>
          <w:szCs w:val="24"/>
        </w:rPr>
        <w:t xml:space="preserve">and </w:t>
      </w:r>
      <w:r w:rsidR="00EF75E2">
        <w:rPr>
          <w:rFonts w:cs="Times New Roman"/>
          <w:szCs w:val="24"/>
        </w:rPr>
        <w:t xml:space="preserve">[to] </w:t>
      </w:r>
      <w:r w:rsidRPr="00146AE1">
        <w:rPr>
          <w:rFonts w:cs="Times New Roman"/>
          <w:szCs w:val="24"/>
        </w:rPr>
        <w:t xml:space="preserve">an increase of the percentage of charges confirmed and </w:t>
      </w:r>
      <w:r w:rsidR="00EF75E2">
        <w:rPr>
          <w:rFonts w:cs="Times New Roman"/>
          <w:szCs w:val="24"/>
        </w:rPr>
        <w:t>[of the]</w:t>
      </w:r>
      <w:r w:rsidR="00EF75E2" w:rsidRPr="00146AE1">
        <w:rPr>
          <w:rFonts w:cs="Times New Roman"/>
          <w:szCs w:val="24"/>
        </w:rPr>
        <w:t xml:space="preserve"> </w:t>
      </w:r>
      <w:r w:rsidRPr="00146AE1">
        <w:rPr>
          <w:rFonts w:cs="Times New Roman"/>
          <w:szCs w:val="24"/>
        </w:rPr>
        <w:t>conviction rate.’</w:t>
      </w:r>
      <w:r w:rsidRPr="00146AE1">
        <w:rPr>
          <w:rStyle w:val="FootnoteReference"/>
          <w:rFonts w:cs="Times New Roman"/>
          <w:sz w:val="24"/>
          <w:szCs w:val="24"/>
        </w:rPr>
        <w:footnoteReference w:id="40"/>
      </w:r>
      <w:r w:rsidRPr="00146AE1">
        <w:rPr>
          <w:rFonts w:cs="Times New Roman"/>
          <w:szCs w:val="24"/>
        </w:rPr>
        <w:t xml:space="preserve">  </w:t>
      </w:r>
    </w:p>
    <w:p w:rsidR="00EF4453" w:rsidRDefault="00312544">
      <w:pPr>
        <w:ind w:firstLine="720"/>
        <w:jc w:val="both"/>
        <w:rPr>
          <w:szCs w:val="24"/>
        </w:rPr>
      </w:pPr>
      <w:r w:rsidRPr="00146AE1">
        <w:rPr>
          <w:rFonts w:cs="Times New Roman"/>
          <w:szCs w:val="24"/>
        </w:rPr>
        <w:t>The first formal performance indicators surface</w:t>
      </w:r>
      <w:r w:rsidR="00EF75E2">
        <w:rPr>
          <w:rFonts w:cs="Times New Roman"/>
          <w:szCs w:val="24"/>
        </w:rPr>
        <w:t>d</w:t>
      </w:r>
      <w:r w:rsidRPr="00146AE1">
        <w:rPr>
          <w:rFonts w:cs="Times New Roman"/>
          <w:szCs w:val="24"/>
        </w:rPr>
        <w:t xml:space="preserve"> when the current strategy </w:t>
      </w:r>
      <w:r w:rsidR="00EF75E2">
        <w:rPr>
          <w:rFonts w:cs="Times New Roman"/>
          <w:szCs w:val="24"/>
        </w:rPr>
        <w:t>was</w:t>
      </w:r>
      <w:r w:rsidR="00EF75E2" w:rsidRPr="00146AE1">
        <w:rPr>
          <w:rFonts w:cs="Times New Roman"/>
          <w:szCs w:val="24"/>
        </w:rPr>
        <w:t xml:space="preserve"> </w:t>
      </w:r>
      <w:r w:rsidRPr="00146AE1">
        <w:rPr>
          <w:rFonts w:cs="Times New Roman"/>
          <w:szCs w:val="24"/>
        </w:rPr>
        <w:t>released</w:t>
      </w:r>
      <w:r w:rsidR="00EF75E2">
        <w:rPr>
          <w:rFonts w:cs="Times New Roman"/>
          <w:szCs w:val="24"/>
        </w:rPr>
        <w:t>,</w:t>
      </w:r>
      <w:r w:rsidRPr="00146AE1">
        <w:rPr>
          <w:rFonts w:cs="Times New Roman"/>
          <w:szCs w:val="24"/>
        </w:rPr>
        <w:t xml:space="preserve"> in July 2015. Again, the strategy grapples with </w:t>
      </w:r>
      <w:r w:rsidR="00446474">
        <w:rPr>
          <w:rFonts w:cs="Times New Roman"/>
          <w:szCs w:val="24"/>
        </w:rPr>
        <w:t>contributory causes</w:t>
      </w:r>
      <w:r w:rsidR="00446474" w:rsidRPr="00146AE1">
        <w:rPr>
          <w:rFonts w:cs="Times New Roman"/>
          <w:szCs w:val="24"/>
        </w:rPr>
        <w:t xml:space="preserve"> </w:t>
      </w:r>
      <w:r w:rsidRPr="00146AE1">
        <w:rPr>
          <w:rFonts w:cs="Times New Roman"/>
          <w:szCs w:val="24"/>
        </w:rPr>
        <w:t>and measurement complexity</w:t>
      </w:r>
      <w:r w:rsidR="00446474">
        <w:rPr>
          <w:rFonts w:cs="Times New Roman"/>
          <w:szCs w:val="24"/>
        </w:rPr>
        <w:t>.</w:t>
      </w:r>
      <w:r w:rsidRPr="00146AE1">
        <w:rPr>
          <w:rFonts w:cs="Times New Roman"/>
          <w:szCs w:val="24"/>
        </w:rPr>
        <w:t xml:space="preserve"> </w:t>
      </w:r>
      <w:r w:rsidR="00446474">
        <w:rPr>
          <w:rFonts w:cs="Times New Roman"/>
          <w:szCs w:val="24"/>
        </w:rPr>
        <w:t xml:space="preserve">It </w:t>
      </w:r>
      <w:r w:rsidRPr="00146AE1">
        <w:rPr>
          <w:rFonts w:cs="Times New Roman"/>
          <w:szCs w:val="24"/>
        </w:rPr>
        <w:t>explain</w:t>
      </w:r>
      <w:r w:rsidR="00446474">
        <w:rPr>
          <w:rFonts w:cs="Times New Roman"/>
          <w:szCs w:val="24"/>
        </w:rPr>
        <w:t>s</w:t>
      </w:r>
      <w:r w:rsidRPr="00146AE1">
        <w:rPr>
          <w:rFonts w:cs="Times New Roman"/>
          <w:szCs w:val="24"/>
        </w:rPr>
        <w:t xml:space="preserve"> </w:t>
      </w:r>
      <w:r w:rsidR="00446474">
        <w:rPr>
          <w:rFonts w:cs="Times New Roman"/>
          <w:szCs w:val="24"/>
        </w:rPr>
        <w:t>that the OTP does not have sufficient control over certain</w:t>
      </w:r>
      <w:r w:rsidRPr="00146AE1">
        <w:rPr>
          <w:rFonts w:cs="Times New Roman"/>
          <w:szCs w:val="24"/>
        </w:rPr>
        <w:t xml:space="preserve"> outcomes, </w:t>
      </w:r>
      <w:r w:rsidR="00446474">
        <w:rPr>
          <w:rFonts w:cs="Times New Roman"/>
          <w:szCs w:val="24"/>
        </w:rPr>
        <w:t>for instance</w:t>
      </w:r>
      <w:r w:rsidR="00AD793C">
        <w:rPr>
          <w:rFonts w:cs="Times New Roman"/>
          <w:szCs w:val="24"/>
        </w:rPr>
        <w:t xml:space="preserve"> on</w:t>
      </w:r>
      <w:r w:rsidR="00446474" w:rsidRPr="00146AE1">
        <w:rPr>
          <w:rFonts w:cs="Times New Roman"/>
          <w:szCs w:val="24"/>
        </w:rPr>
        <w:t xml:space="preserve"> </w:t>
      </w:r>
      <w:r w:rsidRPr="00146AE1">
        <w:rPr>
          <w:rFonts w:cs="Times New Roman"/>
          <w:szCs w:val="24"/>
        </w:rPr>
        <w:t>crime prevention.</w:t>
      </w:r>
      <w:r w:rsidRPr="00146AE1">
        <w:rPr>
          <w:rStyle w:val="FootnoteReference"/>
          <w:rFonts w:cs="Times New Roman"/>
          <w:sz w:val="24"/>
          <w:szCs w:val="24"/>
        </w:rPr>
        <w:footnoteReference w:id="41"/>
      </w:r>
      <w:r w:rsidRPr="00146AE1">
        <w:rPr>
          <w:rFonts w:cs="Times New Roman"/>
          <w:szCs w:val="24"/>
        </w:rPr>
        <w:t xml:space="preserve"> However, the strategy identifies a start-up of fourteen interrelated indicators</w:t>
      </w:r>
      <w:r w:rsidR="00446474">
        <w:rPr>
          <w:rFonts w:cs="Times New Roman"/>
          <w:szCs w:val="24"/>
        </w:rPr>
        <w:t>, reproduced below.</w:t>
      </w:r>
      <w:r w:rsidRPr="00146AE1">
        <w:rPr>
          <w:rStyle w:val="FootnoteReference"/>
          <w:rFonts w:cs="Times New Roman"/>
          <w:sz w:val="24"/>
          <w:szCs w:val="24"/>
        </w:rPr>
        <w:footnoteReference w:id="42"/>
      </w:r>
    </w:p>
    <w:p w:rsidR="00890B93" w:rsidRPr="00F46D82" w:rsidRDefault="00890B93">
      <w:pPr>
        <w:jc w:val="both"/>
        <w:rPr>
          <w:sz w:val="20"/>
          <w:szCs w:val="20"/>
        </w:rPr>
      </w:pPr>
    </w:p>
    <w:tbl>
      <w:tblPr>
        <w:tblStyle w:val="TableGrid"/>
        <w:tblpPr w:leftFromText="180" w:rightFromText="180" w:vertAnchor="text" w:tblpY="206"/>
        <w:tblW w:w="9493" w:type="dxa"/>
        <w:tblLook w:val="04A0"/>
      </w:tblPr>
      <w:tblGrid>
        <w:gridCol w:w="2405"/>
        <w:gridCol w:w="7088"/>
      </w:tblGrid>
      <w:tr w:rsidR="00890B93" w:rsidRPr="009143F5" w:rsidTr="00FB4004">
        <w:tc>
          <w:tcPr>
            <w:tcW w:w="2405" w:type="dxa"/>
          </w:tcPr>
          <w:p w:rsidR="00890B93" w:rsidRPr="00F46D82" w:rsidRDefault="00890B93" w:rsidP="00824076">
            <w:pPr>
              <w:jc w:val="both"/>
              <w:rPr>
                <w:rFonts w:eastAsiaTheme="minorHAnsi" w:cs="Times New Roman"/>
                <w:b/>
                <w:sz w:val="20"/>
                <w:szCs w:val="20"/>
                <w:lang w:eastAsia="en-US"/>
              </w:rPr>
            </w:pPr>
            <w:r w:rsidRPr="00F46D82">
              <w:rPr>
                <w:rFonts w:cs="Times New Roman"/>
                <w:b/>
                <w:sz w:val="20"/>
                <w:szCs w:val="20"/>
              </w:rPr>
              <w:t>Area of Performance</w:t>
            </w:r>
          </w:p>
        </w:tc>
        <w:tc>
          <w:tcPr>
            <w:tcW w:w="7088" w:type="dxa"/>
          </w:tcPr>
          <w:p w:rsidR="00890B93" w:rsidRPr="00F46D82" w:rsidRDefault="00890B93" w:rsidP="00071207">
            <w:pPr>
              <w:jc w:val="both"/>
              <w:rPr>
                <w:rFonts w:eastAsiaTheme="minorHAnsi" w:cs="Times New Roman"/>
                <w:b/>
                <w:sz w:val="20"/>
                <w:szCs w:val="20"/>
                <w:lang w:eastAsia="en-US"/>
              </w:rPr>
            </w:pPr>
            <w:r w:rsidRPr="00F46D82">
              <w:rPr>
                <w:rFonts w:cs="Times New Roman"/>
                <w:b/>
                <w:sz w:val="20"/>
                <w:szCs w:val="20"/>
              </w:rPr>
              <w:t>Indicator</w:t>
            </w:r>
          </w:p>
        </w:tc>
      </w:tr>
      <w:tr w:rsidR="00890B93" w:rsidRPr="009143F5" w:rsidTr="00FB4004">
        <w:tc>
          <w:tcPr>
            <w:tcW w:w="9493" w:type="dxa"/>
            <w:gridSpan w:val="2"/>
          </w:tcPr>
          <w:p w:rsidR="00890B93" w:rsidRPr="00F46D82" w:rsidRDefault="00890B93" w:rsidP="00646176">
            <w:pPr>
              <w:jc w:val="both"/>
              <w:rPr>
                <w:rFonts w:eastAsiaTheme="minorHAnsi" w:cs="Times New Roman"/>
                <w:b/>
                <w:sz w:val="20"/>
                <w:szCs w:val="20"/>
                <w:lang w:eastAsia="en-US"/>
              </w:rPr>
            </w:pPr>
            <w:r w:rsidRPr="00F46D82">
              <w:rPr>
                <w:rFonts w:cs="Times New Roman"/>
                <w:b/>
                <w:sz w:val="20"/>
                <w:szCs w:val="20"/>
              </w:rPr>
              <w:t>Strategic</w:t>
            </w:r>
          </w:p>
        </w:tc>
      </w:tr>
      <w:tr w:rsidR="00890B93" w:rsidRPr="009143F5" w:rsidTr="00FB4004">
        <w:tc>
          <w:tcPr>
            <w:tcW w:w="2405" w:type="dxa"/>
          </w:tcPr>
          <w:p w:rsidR="00890B93" w:rsidRPr="00F46D82" w:rsidRDefault="00890B93" w:rsidP="00646176">
            <w:pPr>
              <w:jc w:val="both"/>
              <w:rPr>
                <w:rFonts w:eastAsiaTheme="minorHAnsi" w:cs="Times New Roman"/>
                <w:b/>
                <w:sz w:val="20"/>
                <w:szCs w:val="20"/>
                <w:lang w:eastAsia="en-US"/>
              </w:rPr>
            </w:pPr>
            <w:r w:rsidRPr="00F46D82">
              <w:rPr>
                <w:rFonts w:cs="Times New Roman"/>
                <w:b/>
                <w:sz w:val="20"/>
                <w:szCs w:val="20"/>
              </w:rPr>
              <w:t>Effectiveness</w:t>
            </w:r>
          </w:p>
        </w:tc>
        <w:tc>
          <w:tcPr>
            <w:tcW w:w="7088" w:type="dxa"/>
          </w:tcPr>
          <w:p w:rsidR="00890B93" w:rsidRPr="00F46D82" w:rsidRDefault="00890B93" w:rsidP="00646176">
            <w:pPr>
              <w:numPr>
                <w:ilvl w:val="0"/>
                <w:numId w:val="12"/>
              </w:numPr>
              <w:ind w:firstLine="0"/>
              <w:jc w:val="both"/>
              <w:rPr>
                <w:rFonts w:eastAsiaTheme="minorHAnsi" w:cs="Times New Roman"/>
                <w:sz w:val="20"/>
                <w:szCs w:val="20"/>
                <w:lang w:eastAsia="en-US"/>
              </w:rPr>
            </w:pPr>
            <w:r w:rsidRPr="00F46D82">
              <w:rPr>
                <w:rFonts w:cs="Times New Roman"/>
                <w:sz w:val="20"/>
                <w:szCs w:val="20"/>
              </w:rPr>
              <w:t>Prosecutorial results in terms [of] perpetrators</w:t>
            </w:r>
          </w:p>
          <w:p w:rsidR="00890B93" w:rsidRPr="00F46D82" w:rsidRDefault="00890B93" w:rsidP="00646176">
            <w:pPr>
              <w:numPr>
                <w:ilvl w:val="0"/>
                <w:numId w:val="13"/>
              </w:numPr>
              <w:ind w:firstLine="0"/>
              <w:jc w:val="both"/>
              <w:rPr>
                <w:rFonts w:eastAsiaTheme="minorHAnsi" w:cs="Times New Roman"/>
                <w:sz w:val="20"/>
                <w:szCs w:val="20"/>
                <w:lang w:eastAsia="en-US"/>
              </w:rPr>
            </w:pPr>
            <w:r w:rsidRPr="00F46D82">
              <w:rPr>
                <w:rFonts w:cs="Times New Roman"/>
                <w:sz w:val="20"/>
                <w:szCs w:val="20"/>
              </w:rPr>
              <w:t>Arrest warrants’, summonses to appear granted</w:t>
            </w:r>
            <w:r w:rsidR="00A967FB">
              <w:rPr>
                <w:rFonts w:cs="Times New Roman"/>
                <w:sz w:val="20"/>
                <w:szCs w:val="20"/>
              </w:rPr>
              <w:t xml:space="preserve"> </w:t>
            </w:r>
            <w:r w:rsidRPr="00F46D82">
              <w:rPr>
                <w:rFonts w:cs="Times New Roman"/>
                <w:sz w:val="20"/>
                <w:szCs w:val="20"/>
              </w:rPr>
              <w:t>/</w:t>
            </w:r>
            <w:r w:rsidR="00A967FB">
              <w:rPr>
                <w:rFonts w:cs="Times New Roman"/>
                <w:sz w:val="20"/>
                <w:szCs w:val="20"/>
              </w:rPr>
              <w:t xml:space="preserve"> </w:t>
            </w:r>
            <w:r w:rsidRPr="00F46D82">
              <w:rPr>
                <w:rFonts w:cs="Times New Roman"/>
                <w:sz w:val="20"/>
                <w:szCs w:val="20"/>
              </w:rPr>
              <w:t>requested</w:t>
            </w:r>
          </w:p>
          <w:p w:rsidR="00890B93" w:rsidRPr="00F46D82" w:rsidRDefault="00890B93" w:rsidP="00646176">
            <w:pPr>
              <w:numPr>
                <w:ilvl w:val="0"/>
                <w:numId w:val="13"/>
              </w:numPr>
              <w:ind w:firstLine="0"/>
              <w:jc w:val="both"/>
              <w:rPr>
                <w:rFonts w:eastAsiaTheme="minorHAnsi" w:cs="Times New Roman"/>
                <w:sz w:val="20"/>
                <w:szCs w:val="20"/>
                <w:lang w:eastAsia="en-US"/>
              </w:rPr>
            </w:pPr>
            <w:r w:rsidRPr="00F46D82">
              <w:rPr>
                <w:rFonts w:cs="Times New Roman"/>
                <w:sz w:val="20"/>
                <w:szCs w:val="20"/>
              </w:rPr>
              <w:t>Persons confirmed</w:t>
            </w:r>
            <w:r w:rsidR="00A967FB">
              <w:rPr>
                <w:rFonts w:cs="Times New Roman"/>
                <w:sz w:val="20"/>
                <w:szCs w:val="20"/>
              </w:rPr>
              <w:t xml:space="preserve"> </w:t>
            </w:r>
            <w:r w:rsidRPr="00F46D82">
              <w:rPr>
                <w:rFonts w:cs="Times New Roman"/>
                <w:sz w:val="20"/>
                <w:szCs w:val="20"/>
              </w:rPr>
              <w:t>/</w:t>
            </w:r>
            <w:r w:rsidR="00A967FB">
              <w:rPr>
                <w:rFonts w:cs="Times New Roman"/>
                <w:sz w:val="20"/>
                <w:szCs w:val="20"/>
              </w:rPr>
              <w:t xml:space="preserve"> </w:t>
            </w:r>
            <w:r w:rsidRPr="00F46D82">
              <w:rPr>
                <w:rFonts w:cs="Times New Roman"/>
                <w:sz w:val="20"/>
                <w:szCs w:val="20"/>
              </w:rPr>
              <w:t>charged</w:t>
            </w:r>
          </w:p>
          <w:p w:rsidR="00890B93" w:rsidRPr="00F46D82" w:rsidRDefault="00890B93" w:rsidP="00646176">
            <w:pPr>
              <w:numPr>
                <w:ilvl w:val="0"/>
                <w:numId w:val="13"/>
              </w:numPr>
              <w:ind w:firstLine="0"/>
              <w:jc w:val="both"/>
              <w:rPr>
                <w:rFonts w:eastAsiaTheme="minorHAnsi" w:cs="Times New Roman"/>
                <w:sz w:val="20"/>
                <w:szCs w:val="20"/>
                <w:lang w:eastAsia="en-US"/>
              </w:rPr>
            </w:pPr>
            <w:r w:rsidRPr="00F46D82">
              <w:rPr>
                <w:rFonts w:cs="Times New Roman"/>
                <w:sz w:val="20"/>
                <w:szCs w:val="20"/>
              </w:rPr>
              <w:t>Persons convicted</w:t>
            </w:r>
            <w:r w:rsidR="00A967FB">
              <w:rPr>
                <w:rFonts w:cs="Times New Roman"/>
                <w:sz w:val="20"/>
                <w:szCs w:val="20"/>
              </w:rPr>
              <w:t xml:space="preserve"> </w:t>
            </w:r>
            <w:r w:rsidRPr="00F46D82">
              <w:rPr>
                <w:rFonts w:cs="Times New Roman"/>
                <w:sz w:val="20"/>
                <w:szCs w:val="20"/>
              </w:rPr>
              <w:t>/</w:t>
            </w:r>
            <w:r w:rsidR="00A967FB">
              <w:rPr>
                <w:rFonts w:cs="Times New Roman"/>
                <w:sz w:val="20"/>
                <w:szCs w:val="20"/>
              </w:rPr>
              <w:t xml:space="preserve"> </w:t>
            </w:r>
            <w:r w:rsidRPr="00F46D82">
              <w:rPr>
                <w:rFonts w:cs="Times New Roman"/>
                <w:sz w:val="20"/>
                <w:szCs w:val="20"/>
              </w:rPr>
              <w:t>charged</w:t>
            </w:r>
          </w:p>
          <w:p w:rsidR="00D456C9" w:rsidRDefault="00890B93">
            <w:pPr>
              <w:numPr>
                <w:ilvl w:val="0"/>
                <w:numId w:val="12"/>
              </w:numPr>
              <w:ind w:firstLine="0"/>
              <w:jc w:val="both"/>
              <w:rPr>
                <w:rFonts w:eastAsiaTheme="minorHAnsi" w:cs="Times New Roman"/>
                <w:sz w:val="20"/>
                <w:szCs w:val="20"/>
                <w:lang w:eastAsia="en-US"/>
              </w:rPr>
              <w:pPrChange w:id="0" w:author="Author">
                <w:pPr>
                  <w:framePr w:hSpace="180" w:wrap="around" w:vAnchor="text" w:hAnchor="text" w:y="206"/>
                  <w:numPr>
                    <w:numId w:val="12"/>
                  </w:numPr>
                  <w:ind w:left="720" w:hanging="360"/>
                  <w:jc w:val="both"/>
                </w:pPr>
              </w:pPrChange>
            </w:pPr>
            <w:r w:rsidRPr="00F46D82">
              <w:rPr>
                <w:rFonts w:cs="Times New Roman"/>
                <w:sz w:val="20"/>
                <w:szCs w:val="20"/>
              </w:rPr>
              <w:t>Counts granted/counts charged at stage or arrest warrant, confirmation, trial</w:t>
            </w:r>
          </w:p>
        </w:tc>
      </w:tr>
      <w:tr w:rsidR="00890B93" w:rsidRPr="009143F5" w:rsidTr="00FB4004">
        <w:tc>
          <w:tcPr>
            <w:tcW w:w="9493" w:type="dxa"/>
            <w:gridSpan w:val="2"/>
          </w:tcPr>
          <w:p w:rsidR="00890B93" w:rsidRPr="00F46D82" w:rsidRDefault="00890B93" w:rsidP="00646176">
            <w:pPr>
              <w:jc w:val="both"/>
              <w:rPr>
                <w:rFonts w:eastAsiaTheme="minorHAnsi" w:cs="Times New Roman"/>
                <w:sz w:val="20"/>
                <w:szCs w:val="20"/>
                <w:lang w:eastAsia="en-US"/>
              </w:rPr>
            </w:pPr>
            <w:r w:rsidRPr="00F46D82">
              <w:rPr>
                <w:rFonts w:cs="Times New Roman"/>
                <w:b/>
                <w:sz w:val="20"/>
                <w:szCs w:val="20"/>
              </w:rPr>
              <w:t xml:space="preserve">Operational </w:t>
            </w:r>
          </w:p>
        </w:tc>
      </w:tr>
      <w:tr w:rsidR="00890B93" w:rsidRPr="009143F5" w:rsidTr="00FB4004">
        <w:trPr>
          <w:trHeight w:val="2405"/>
        </w:trPr>
        <w:tc>
          <w:tcPr>
            <w:tcW w:w="2405" w:type="dxa"/>
          </w:tcPr>
          <w:p w:rsidR="00890B93" w:rsidRPr="00F46D82" w:rsidRDefault="00890B93" w:rsidP="00646176">
            <w:pPr>
              <w:jc w:val="both"/>
              <w:rPr>
                <w:rFonts w:eastAsiaTheme="minorHAnsi" w:cs="Times New Roman"/>
                <w:b/>
                <w:bCs/>
                <w:sz w:val="20"/>
                <w:szCs w:val="20"/>
                <w:lang w:eastAsia="en-US"/>
              </w:rPr>
            </w:pPr>
            <w:r w:rsidRPr="00F46D82">
              <w:rPr>
                <w:rFonts w:cs="Times New Roman"/>
                <w:b/>
                <w:bCs/>
                <w:sz w:val="20"/>
                <w:szCs w:val="20"/>
              </w:rPr>
              <w:t>Operational Excellence</w:t>
            </w:r>
          </w:p>
          <w:p w:rsidR="00890B93" w:rsidRPr="00F46D82" w:rsidRDefault="00890B93" w:rsidP="00646176">
            <w:pPr>
              <w:jc w:val="both"/>
              <w:rPr>
                <w:rFonts w:eastAsiaTheme="minorHAnsi" w:cs="Times New Roman"/>
                <w:i/>
                <w:sz w:val="20"/>
                <w:szCs w:val="20"/>
                <w:lang w:eastAsia="en-US"/>
              </w:rPr>
            </w:pPr>
            <w:r w:rsidRPr="00F46D82">
              <w:rPr>
                <w:rFonts w:cs="Times New Roman"/>
                <w:bCs/>
                <w:i/>
                <w:sz w:val="20"/>
                <w:szCs w:val="20"/>
              </w:rPr>
              <w:t>Quality</w:t>
            </w:r>
            <w:r w:rsidRPr="00F46D82">
              <w:rPr>
                <w:rFonts w:cs="Times New Roman"/>
                <w:i/>
                <w:sz w:val="20"/>
                <w:szCs w:val="20"/>
              </w:rPr>
              <w:t xml:space="preserve">                                                                                                                                                  </w:t>
            </w:r>
          </w:p>
          <w:p w:rsidR="00890B93" w:rsidRPr="00F46D82" w:rsidRDefault="00890B93" w:rsidP="00646176">
            <w:pPr>
              <w:ind w:left="720"/>
              <w:contextualSpacing/>
              <w:jc w:val="both"/>
              <w:rPr>
                <w:rFonts w:eastAsiaTheme="minorHAnsi" w:cs="Times New Roman"/>
                <w:bCs/>
                <w:i/>
                <w:sz w:val="20"/>
                <w:szCs w:val="20"/>
                <w:lang w:eastAsia="en-US"/>
              </w:rPr>
            </w:pPr>
          </w:p>
          <w:p w:rsidR="00890B93" w:rsidRPr="00F46D82" w:rsidRDefault="00890B93" w:rsidP="00646176">
            <w:pPr>
              <w:ind w:left="720"/>
              <w:contextualSpacing/>
              <w:jc w:val="both"/>
              <w:rPr>
                <w:rFonts w:eastAsiaTheme="minorHAnsi" w:cs="Times New Roman"/>
                <w:bCs/>
                <w:i/>
                <w:sz w:val="20"/>
                <w:szCs w:val="20"/>
                <w:lang w:eastAsia="en-US"/>
              </w:rPr>
            </w:pPr>
          </w:p>
          <w:p w:rsidR="00890B93" w:rsidRPr="00F46D82" w:rsidRDefault="00890B93" w:rsidP="00646176">
            <w:pPr>
              <w:ind w:left="720"/>
              <w:contextualSpacing/>
              <w:jc w:val="both"/>
              <w:rPr>
                <w:rFonts w:eastAsiaTheme="minorHAnsi" w:cs="Times New Roman"/>
                <w:bCs/>
                <w:i/>
                <w:sz w:val="20"/>
                <w:szCs w:val="20"/>
                <w:lang w:eastAsia="en-US"/>
              </w:rPr>
            </w:pPr>
          </w:p>
          <w:p w:rsidR="00890B93" w:rsidRPr="00F46D82" w:rsidRDefault="00890B93" w:rsidP="00824076">
            <w:pPr>
              <w:jc w:val="both"/>
              <w:rPr>
                <w:rFonts w:eastAsiaTheme="minorHAnsi" w:cs="Times New Roman"/>
                <w:bCs/>
                <w:i/>
                <w:sz w:val="20"/>
                <w:szCs w:val="20"/>
                <w:lang w:eastAsia="en-US"/>
              </w:rPr>
            </w:pPr>
            <w:r w:rsidRPr="00F46D82">
              <w:rPr>
                <w:rFonts w:cs="Times New Roman"/>
                <w:bCs/>
                <w:i/>
                <w:sz w:val="20"/>
                <w:szCs w:val="20"/>
              </w:rPr>
              <w:t>Efficiency</w:t>
            </w:r>
          </w:p>
          <w:p w:rsidR="00890B93" w:rsidRPr="00F46D82" w:rsidRDefault="00890B93" w:rsidP="00071207">
            <w:pPr>
              <w:jc w:val="both"/>
              <w:rPr>
                <w:rFonts w:eastAsiaTheme="minorHAnsi" w:cs="Times New Roman"/>
                <w:bCs/>
                <w:i/>
                <w:sz w:val="20"/>
                <w:szCs w:val="20"/>
                <w:lang w:eastAsia="en-US"/>
              </w:rPr>
            </w:pPr>
            <w:r w:rsidRPr="00F46D82">
              <w:rPr>
                <w:rFonts w:cs="Times New Roman"/>
                <w:bCs/>
                <w:i/>
                <w:sz w:val="20"/>
                <w:szCs w:val="20"/>
              </w:rPr>
              <w:t>Productivity</w:t>
            </w:r>
          </w:p>
        </w:tc>
        <w:tc>
          <w:tcPr>
            <w:tcW w:w="7088" w:type="dxa"/>
          </w:tcPr>
          <w:p w:rsidR="00890B93" w:rsidRPr="00F46D82" w:rsidRDefault="00890B93" w:rsidP="008A4C98">
            <w:pPr>
              <w:ind w:left="720"/>
              <w:contextualSpacing/>
              <w:jc w:val="both"/>
              <w:rPr>
                <w:rFonts w:eastAsiaTheme="minorHAnsi" w:cs="Times New Roman"/>
                <w:b/>
                <w:sz w:val="20"/>
                <w:szCs w:val="20"/>
                <w:lang w:eastAsia="en-US"/>
              </w:rPr>
            </w:pPr>
          </w:p>
          <w:p w:rsidR="00D456C9" w:rsidRDefault="00890B93">
            <w:pPr>
              <w:numPr>
                <w:ilvl w:val="0"/>
                <w:numId w:val="12"/>
              </w:numPr>
              <w:ind w:firstLine="0"/>
              <w:jc w:val="both"/>
              <w:rPr>
                <w:rFonts w:eastAsiaTheme="minorHAnsi" w:cs="Times New Roman"/>
                <w:sz w:val="20"/>
                <w:szCs w:val="20"/>
                <w:lang w:eastAsia="en-US"/>
              </w:rPr>
              <w:pPrChange w:id="1" w:author="Author">
                <w:pPr>
                  <w:framePr w:hSpace="180" w:wrap="around" w:vAnchor="text" w:hAnchor="text" w:y="206"/>
                  <w:numPr>
                    <w:numId w:val="12"/>
                  </w:numPr>
                  <w:ind w:left="720" w:hanging="360"/>
                  <w:jc w:val="both"/>
                </w:pPr>
              </w:pPrChange>
            </w:pPr>
            <w:r w:rsidRPr="00F46D82">
              <w:rPr>
                <w:rFonts w:cs="Times New Roman"/>
                <w:sz w:val="20"/>
                <w:szCs w:val="20"/>
              </w:rPr>
              <w:t>Pattern of judicial findings on how the Office conducts its preliminary examinations, investigations and prosecutions</w:t>
            </w:r>
          </w:p>
          <w:p w:rsidR="00D456C9" w:rsidRDefault="00890B93">
            <w:pPr>
              <w:numPr>
                <w:ilvl w:val="0"/>
                <w:numId w:val="12"/>
              </w:numPr>
              <w:ind w:firstLine="0"/>
              <w:jc w:val="both"/>
              <w:rPr>
                <w:rFonts w:eastAsiaTheme="minorHAnsi" w:cs="Times New Roman"/>
                <w:sz w:val="20"/>
                <w:szCs w:val="20"/>
                <w:lang w:eastAsia="en-US"/>
              </w:rPr>
              <w:pPrChange w:id="2" w:author="Author">
                <w:pPr>
                  <w:framePr w:hSpace="180" w:wrap="around" w:vAnchor="text" w:hAnchor="text" w:y="206"/>
                  <w:numPr>
                    <w:numId w:val="12"/>
                  </w:numPr>
                  <w:ind w:left="720" w:hanging="360"/>
                  <w:jc w:val="both"/>
                </w:pPr>
              </w:pPrChange>
            </w:pPr>
            <w:r w:rsidRPr="00F46D82">
              <w:rPr>
                <w:rFonts w:cs="Times New Roman"/>
                <w:sz w:val="20"/>
                <w:szCs w:val="20"/>
              </w:rPr>
              <w:t>Compliance with Key Office Policies and Standards</w:t>
            </w:r>
          </w:p>
          <w:p w:rsidR="00D456C9" w:rsidRDefault="00890B93">
            <w:pPr>
              <w:numPr>
                <w:ilvl w:val="0"/>
                <w:numId w:val="12"/>
              </w:numPr>
              <w:ind w:firstLine="0"/>
              <w:jc w:val="both"/>
              <w:rPr>
                <w:rFonts w:eastAsiaTheme="minorHAnsi" w:cs="Times New Roman"/>
                <w:sz w:val="20"/>
                <w:szCs w:val="20"/>
                <w:lang w:eastAsia="en-US"/>
              </w:rPr>
              <w:pPrChange w:id="3" w:author="Author">
                <w:pPr>
                  <w:framePr w:hSpace="180" w:wrap="around" w:vAnchor="text" w:hAnchor="text" w:y="206"/>
                  <w:numPr>
                    <w:numId w:val="12"/>
                  </w:numPr>
                  <w:ind w:left="720" w:hanging="360"/>
                  <w:jc w:val="both"/>
                </w:pPr>
              </w:pPrChange>
            </w:pPr>
            <w:r w:rsidRPr="00F46D82">
              <w:rPr>
                <w:rFonts w:cs="Times New Roman"/>
                <w:sz w:val="20"/>
                <w:szCs w:val="20"/>
              </w:rPr>
              <w:t>Quality of interaction with the Office</w:t>
            </w:r>
          </w:p>
          <w:p w:rsidR="00D456C9" w:rsidRDefault="00890B93">
            <w:pPr>
              <w:numPr>
                <w:ilvl w:val="0"/>
                <w:numId w:val="12"/>
              </w:numPr>
              <w:ind w:firstLine="0"/>
              <w:jc w:val="both"/>
              <w:rPr>
                <w:rFonts w:eastAsiaTheme="minorHAnsi" w:cs="Times New Roman"/>
                <w:sz w:val="20"/>
                <w:szCs w:val="20"/>
                <w:lang w:eastAsia="en-US"/>
              </w:rPr>
              <w:pPrChange w:id="4" w:author="Author">
                <w:pPr>
                  <w:framePr w:hSpace="180" w:wrap="around" w:vAnchor="text" w:hAnchor="text" w:y="206"/>
                  <w:numPr>
                    <w:numId w:val="12"/>
                  </w:numPr>
                  <w:ind w:left="720" w:hanging="360"/>
                  <w:jc w:val="both"/>
                </w:pPr>
              </w:pPrChange>
            </w:pPr>
            <w:r w:rsidRPr="00F46D82">
              <w:rPr>
                <w:rFonts w:cs="Times New Roman"/>
                <w:sz w:val="20"/>
                <w:szCs w:val="20"/>
              </w:rPr>
              <w:t>Yearly achieved efficiency gains</w:t>
            </w:r>
          </w:p>
          <w:p w:rsidR="00D456C9" w:rsidRDefault="00890B93">
            <w:pPr>
              <w:numPr>
                <w:ilvl w:val="0"/>
                <w:numId w:val="12"/>
              </w:numPr>
              <w:ind w:firstLine="0"/>
              <w:jc w:val="both"/>
              <w:rPr>
                <w:rFonts w:eastAsiaTheme="minorHAnsi" w:cs="Times New Roman"/>
                <w:sz w:val="20"/>
                <w:szCs w:val="20"/>
                <w:lang w:eastAsia="en-US"/>
              </w:rPr>
              <w:pPrChange w:id="5" w:author="Author">
                <w:pPr>
                  <w:framePr w:hSpace="180" w:wrap="around" w:vAnchor="text" w:hAnchor="text" w:y="206"/>
                  <w:numPr>
                    <w:numId w:val="12"/>
                  </w:numPr>
                  <w:ind w:left="720" w:hanging="360"/>
                  <w:jc w:val="both"/>
                </w:pPr>
              </w:pPrChange>
            </w:pPr>
            <w:r w:rsidRPr="00F46D82">
              <w:rPr>
                <w:rFonts w:cs="Times New Roman"/>
                <w:sz w:val="20"/>
                <w:szCs w:val="20"/>
              </w:rPr>
              <w:t xml:space="preserve">Milestones per activity: planned versus actual. </w:t>
            </w:r>
          </w:p>
        </w:tc>
      </w:tr>
      <w:tr w:rsidR="00890B93" w:rsidRPr="009143F5" w:rsidTr="00FB4004">
        <w:tc>
          <w:tcPr>
            <w:tcW w:w="2405" w:type="dxa"/>
          </w:tcPr>
          <w:p w:rsidR="00890B93" w:rsidRPr="00F46D82" w:rsidRDefault="00890B93" w:rsidP="00646176">
            <w:pPr>
              <w:jc w:val="both"/>
              <w:rPr>
                <w:rFonts w:eastAsiaTheme="minorHAnsi" w:cs="Times New Roman"/>
                <w:b/>
                <w:bCs/>
                <w:sz w:val="20"/>
                <w:szCs w:val="20"/>
                <w:lang w:eastAsia="en-US"/>
              </w:rPr>
            </w:pPr>
            <w:r w:rsidRPr="00F46D82">
              <w:rPr>
                <w:rFonts w:cs="Times New Roman"/>
                <w:b/>
                <w:bCs/>
                <w:sz w:val="20"/>
                <w:szCs w:val="20"/>
              </w:rPr>
              <w:t>Management Excellence</w:t>
            </w:r>
          </w:p>
          <w:p w:rsidR="00890B93" w:rsidRPr="00F46D82" w:rsidRDefault="00890B93" w:rsidP="00646176">
            <w:pPr>
              <w:jc w:val="both"/>
              <w:rPr>
                <w:rFonts w:eastAsiaTheme="minorHAnsi" w:cs="Times New Roman"/>
                <w:bCs/>
                <w:i/>
                <w:sz w:val="20"/>
                <w:szCs w:val="20"/>
                <w:lang w:eastAsia="en-US"/>
              </w:rPr>
            </w:pPr>
            <w:r w:rsidRPr="00F46D82">
              <w:rPr>
                <w:rFonts w:cs="Times New Roman"/>
                <w:bCs/>
                <w:i/>
                <w:sz w:val="20"/>
                <w:szCs w:val="20"/>
              </w:rPr>
              <w:t>HR</w:t>
            </w:r>
          </w:p>
          <w:p w:rsidR="00890B93" w:rsidRPr="00F46D82" w:rsidRDefault="00890B93" w:rsidP="00646176">
            <w:pPr>
              <w:ind w:left="720"/>
              <w:contextualSpacing/>
              <w:jc w:val="both"/>
              <w:rPr>
                <w:rFonts w:eastAsiaTheme="minorHAnsi" w:cs="Times New Roman"/>
                <w:bCs/>
                <w:i/>
                <w:sz w:val="20"/>
                <w:szCs w:val="20"/>
                <w:lang w:eastAsia="en-US"/>
              </w:rPr>
            </w:pPr>
          </w:p>
          <w:p w:rsidR="00890B93" w:rsidRPr="00F46D82" w:rsidRDefault="00890B93" w:rsidP="00646176">
            <w:pPr>
              <w:ind w:left="720"/>
              <w:contextualSpacing/>
              <w:jc w:val="both"/>
              <w:rPr>
                <w:rFonts w:eastAsiaTheme="minorHAnsi" w:cs="Times New Roman"/>
                <w:bCs/>
                <w:i/>
                <w:sz w:val="20"/>
                <w:szCs w:val="20"/>
                <w:lang w:eastAsia="en-US"/>
              </w:rPr>
            </w:pPr>
          </w:p>
          <w:p w:rsidR="00890B93" w:rsidRPr="00F46D82" w:rsidRDefault="00890B93" w:rsidP="00646176">
            <w:pPr>
              <w:ind w:left="720"/>
              <w:contextualSpacing/>
              <w:jc w:val="both"/>
              <w:rPr>
                <w:rFonts w:eastAsiaTheme="minorHAnsi" w:cs="Times New Roman"/>
                <w:bCs/>
                <w:i/>
                <w:sz w:val="20"/>
                <w:szCs w:val="20"/>
                <w:lang w:eastAsia="en-US"/>
              </w:rPr>
            </w:pPr>
          </w:p>
          <w:p w:rsidR="00890B93" w:rsidRPr="00F46D82" w:rsidRDefault="00890B93" w:rsidP="00824076">
            <w:pPr>
              <w:jc w:val="both"/>
              <w:rPr>
                <w:rFonts w:eastAsiaTheme="minorHAnsi" w:cs="Times New Roman"/>
                <w:bCs/>
                <w:i/>
                <w:sz w:val="20"/>
                <w:szCs w:val="20"/>
                <w:lang w:eastAsia="en-US"/>
              </w:rPr>
            </w:pPr>
            <w:r w:rsidRPr="00F46D82">
              <w:rPr>
                <w:rFonts w:cs="Times New Roman"/>
                <w:bCs/>
                <w:i/>
                <w:sz w:val="20"/>
                <w:szCs w:val="20"/>
              </w:rPr>
              <w:t>Financial Management</w:t>
            </w:r>
          </w:p>
          <w:p w:rsidR="00890B93" w:rsidRPr="00F46D82" w:rsidRDefault="00890B93" w:rsidP="00071207">
            <w:pPr>
              <w:jc w:val="both"/>
              <w:rPr>
                <w:rFonts w:eastAsiaTheme="minorHAnsi" w:cs="Times New Roman"/>
                <w:bCs/>
                <w:i/>
                <w:sz w:val="20"/>
                <w:szCs w:val="20"/>
                <w:lang w:eastAsia="en-US"/>
              </w:rPr>
            </w:pPr>
            <w:r w:rsidRPr="00F46D82">
              <w:rPr>
                <w:rFonts w:cs="Times New Roman"/>
                <w:bCs/>
                <w:i/>
                <w:sz w:val="20"/>
                <w:szCs w:val="20"/>
              </w:rPr>
              <w:t>Risks</w:t>
            </w:r>
          </w:p>
        </w:tc>
        <w:tc>
          <w:tcPr>
            <w:tcW w:w="7088" w:type="dxa"/>
          </w:tcPr>
          <w:p w:rsidR="00890B93" w:rsidRPr="00F46D82" w:rsidRDefault="00890B93" w:rsidP="008A4C98">
            <w:pPr>
              <w:ind w:left="720"/>
              <w:contextualSpacing/>
              <w:jc w:val="both"/>
              <w:rPr>
                <w:rFonts w:eastAsiaTheme="minorHAnsi" w:cs="Times New Roman"/>
                <w:bCs/>
                <w:sz w:val="20"/>
                <w:szCs w:val="20"/>
                <w:lang w:eastAsia="en-US"/>
              </w:rPr>
            </w:pPr>
          </w:p>
          <w:p w:rsidR="00D456C9" w:rsidRDefault="00890B93">
            <w:pPr>
              <w:numPr>
                <w:ilvl w:val="0"/>
                <w:numId w:val="12"/>
              </w:numPr>
              <w:ind w:firstLine="0"/>
              <w:jc w:val="both"/>
              <w:rPr>
                <w:rFonts w:eastAsiaTheme="minorHAnsi" w:cs="Times New Roman"/>
                <w:bCs/>
                <w:sz w:val="20"/>
                <w:szCs w:val="20"/>
                <w:lang w:eastAsia="en-US"/>
              </w:rPr>
              <w:pPrChange w:id="6" w:author="Author">
                <w:pPr>
                  <w:framePr w:hSpace="180" w:wrap="around" w:vAnchor="text" w:hAnchor="text" w:y="206"/>
                  <w:numPr>
                    <w:numId w:val="12"/>
                  </w:numPr>
                  <w:ind w:left="720" w:hanging="360"/>
                  <w:jc w:val="both"/>
                </w:pPr>
              </w:pPrChange>
            </w:pPr>
            <w:r w:rsidRPr="00F46D82">
              <w:rPr>
                <w:rFonts w:cs="Times New Roman"/>
                <w:bCs/>
                <w:sz w:val="20"/>
                <w:szCs w:val="20"/>
              </w:rPr>
              <w:t>Implementation of training program per year: planned versus actual</w:t>
            </w:r>
          </w:p>
          <w:p w:rsidR="00D456C9" w:rsidRDefault="00890B93">
            <w:pPr>
              <w:numPr>
                <w:ilvl w:val="0"/>
                <w:numId w:val="12"/>
              </w:numPr>
              <w:ind w:firstLine="0"/>
              <w:jc w:val="both"/>
              <w:rPr>
                <w:rFonts w:eastAsiaTheme="minorHAnsi" w:cs="Times New Roman"/>
                <w:bCs/>
                <w:sz w:val="20"/>
                <w:szCs w:val="20"/>
                <w:lang w:eastAsia="en-US"/>
              </w:rPr>
              <w:pPrChange w:id="7" w:author="Author">
                <w:pPr>
                  <w:framePr w:hSpace="180" w:wrap="around" w:vAnchor="text" w:hAnchor="text" w:y="206"/>
                  <w:numPr>
                    <w:numId w:val="12"/>
                  </w:numPr>
                  <w:ind w:left="720" w:hanging="360"/>
                  <w:jc w:val="both"/>
                </w:pPr>
              </w:pPrChange>
            </w:pPr>
            <w:r w:rsidRPr="00F46D82">
              <w:rPr>
                <w:rFonts w:cs="Times New Roman"/>
                <w:bCs/>
                <w:sz w:val="20"/>
                <w:szCs w:val="20"/>
              </w:rPr>
              <w:t>Working climate survey</w:t>
            </w:r>
          </w:p>
          <w:p w:rsidR="00D456C9" w:rsidRDefault="00890B93">
            <w:pPr>
              <w:numPr>
                <w:ilvl w:val="0"/>
                <w:numId w:val="12"/>
              </w:numPr>
              <w:ind w:firstLine="0"/>
              <w:jc w:val="both"/>
              <w:rPr>
                <w:rFonts w:eastAsiaTheme="minorHAnsi" w:cs="Times New Roman"/>
                <w:bCs/>
                <w:sz w:val="20"/>
                <w:szCs w:val="20"/>
                <w:lang w:eastAsia="en-US"/>
              </w:rPr>
              <w:pPrChange w:id="8" w:author="Author">
                <w:pPr>
                  <w:framePr w:hSpace="180" w:wrap="around" w:vAnchor="text" w:hAnchor="text" w:y="206"/>
                  <w:numPr>
                    <w:numId w:val="12"/>
                  </w:numPr>
                  <w:ind w:left="720" w:hanging="360"/>
                  <w:jc w:val="both"/>
                </w:pPr>
              </w:pPrChange>
            </w:pPr>
            <w:r w:rsidRPr="00F46D82">
              <w:rPr>
                <w:rFonts w:cs="Times New Roman"/>
                <w:bCs/>
                <w:sz w:val="20"/>
                <w:szCs w:val="20"/>
              </w:rPr>
              <w:t>Evolution of fitness of work</w:t>
            </w:r>
          </w:p>
          <w:p w:rsidR="00D456C9" w:rsidRDefault="00890B93">
            <w:pPr>
              <w:numPr>
                <w:ilvl w:val="0"/>
                <w:numId w:val="12"/>
              </w:numPr>
              <w:ind w:firstLine="0"/>
              <w:jc w:val="both"/>
              <w:rPr>
                <w:rFonts w:eastAsiaTheme="minorHAnsi" w:cs="Times New Roman"/>
                <w:bCs/>
                <w:sz w:val="20"/>
                <w:szCs w:val="20"/>
                <w:lang w:eastAsia="en-US"/>
              </w:rPr>
              <w:pPrChange w:id="9" w:author="Author">
                <w:pPr>
                  <w:framePr w:hSpace="180" w:wrap="around" w:vAnchor="text" w:hAnchor="text" w:y="206"/>
                  <w:numPr>
                    <w:numId w:val="12"/>
                  </w:numPr>
                  <w:ind w:left="720" w:hanging="360"/>
                  <w:jc w:val="both"/>
                </w:pPr>
              </w:pPrChange>
            </w:pPr>
            <w:r w:rsidRPr="00F46D82">
              <w:rPr>
                <w:rFonts w:cs="Times New Roman"/>
                <w:bCs/>
                <w:sz w:val="20"/>
                <w:szCs w:val="20"/>
              </w:rPr>
              <w:t>Evolution of the general gender and nationality balance per year</w:t>
            </w:r>
          </w:p>
          <w:p w:rsidR="00D456C9" w:rsidRDefault="00890B93">
            <w:pPr>
              <w:numPr>
                <w:ilvl w:val="0"/>
                <w:numId w:val="12"/>
              </w:numPr>
              <w:ind w:firstLine="0"/>
              <w:jc w:val="both"/>
              <w:rPr>
                <w:rFonts w:eastAsiaTheme="minorHAnsi" w:cs="Times New Roman"/>
                <w:bCs/>
                <w:sz w:val="20"/>
                <w:szCs w:val="20"/>
                <w:lang w:eastAsia="en-US"/>
              </w:rPr>
              <w:pPrChange w:id="10" w:author="Author">
                <w:pPr>
                  <w:framePr w:hSpace="180" w:wrap="around" w:vAnchor="text" w:hAnchor="text" w:y="206"/>
                  <w:numPr>
                    <w:numId w:val="12"/>
                  </w:numPr>
                  <w:ind w:left="720" w:hanging="360"/>
                  <w:jc w:val="both"/>
                </w:pPr>
              </w:pPrChange>
            </w:pPr>
            <w:r w:rsidRPr="00F46D82">
              <w:rPr>
                <w:rFonts w:cs="Times New Roman"/>
                <w:bCs/>
                <w:sz w:val="20"/>
                <w:szCs w:val="20"/>
              </w:rPr>
              <w:t xml:space="preserve">Yearly implementation rate of the budget </w:t>
            </w:r>
          </w:p>
          <w:p w:rsidR="00D456C9" w:rsidRDefault="00890B93">
            <w:pPr>
              <w:numPr>
                <w:ilvl w:val="0"/>
                <w:numId w:val="12"/>
              </w:numPr>
              <w:ind w:firstLine="0"/>
              <w:jc w:val="both"/>
              <w:rPr>
                <w:rFonts w:eastAsiaTheme="minorHAnsi" w:cs="Times New Roman"/>
                <w:bCs/>
                <w:sz w:val="20"/>
                <w:szCs w:val="20"/>
                <w:lang w:eastAsia="en-US"/>
              </w:rPr>
              <w:pPrChange w:id="11" w:author="Author">
                <w:pPr>
                  <w:framePr w:hSpace="180" w:wrap="around" w:vAnchor="text" w:hAnchor="text" w:y="206"/>
                  <w:numPr>
                    <w:numId w:val="12"/>
                  </w:numPr>
                  <w:ind w:left="720" w:hanging="360"/>
                  <w:jc w:val="both"/>
                </w:pPr>
              </w:pPrChange>
            </w:pPr>
            <w:r w:rsidRPr="00F46D82">
              <w:rPr>
                <w:rFonts w:cs="Times New Roman"/>
                <w:bCs/>
                <w:sz w:val="20"/>
                <w:szCs w:val="20"/>
              </w:rPr>
              <w:t>Implementation rate of measures to control priority risks out of the OTP risk register</w:t>
            </w:r>
          </w:p>
        </w:tc>
      </w:tr>
      <w:tr w:rsidR="00890B93" w:rsidRPr="009143F5" w:rsidTr="00FB4004">
        <w:tc>
          <w:tcPr>
            <w:tcW w:w="2405" w:type="dxa"/>
          </w:tcPr>
          <w:p w:rsidR="00890B93" w:rsidRPr="00F46D82" w:rsidRDefault="00890B93" w:rsidP="00646176">
            <w:pPr>
              <w:jc w:val="both"/>
              <w:rPr>
                <w:rFonts w:eastAsiaTheme="minorHAnsi" w:cs="Times New Roman"/>
                <w:b/>
                <w:bCs/>
                <w:sz w:val="20"/>
                <w:szCs w:val="20"/>
                <w:lang w:eastAsia="en-US"/>
              </w:rPr>
            </w:pPr>
            <w:r w:rsidRPr="00F46D82">
              <w:rPr>
                <w:rFonts w:cs="Times New Roman"/>
                <w:b/>
                <w:bCs/>
                <w:sz w:val="20"/>
                <w:szCs w:val="20"/>
              </w:rPr>
              <w:t>Innovation and Learning</w:t>
            </w:r>
          </w:p>
        </w:tc>
        <w:tc>
          <w:tcPr>
            <w:tcW w:w="7088" w:type="dxa"/>
          </w:tcPr>
          <w:p w:rsidR="00890B93" w:rsidRPr="00F46D82" w:rsidRDefault="00890B93" w:rsidP="00646176">
            <w:pPr>
              <w:numPr>
                <w:ilvl w:val="0"/>
                <w:numId w:val="12"/>
              </w:numPr>
              <w:ind w:firstLine="0"/>
              <w:jc w:val="both"/>
              <w:rPr>
                <w:rFonts w:eastAsiaTheme="minorHAnsi" w:cs="Times New Roman"/>
                <w:b/>
                <w:bCs/>
                <w:sz w:val="20"/>
                <w:szCs w:val="20"/>
                <w:lang w:eastAsia="en-US"/>
              </w:rPr>
            </w:pPr>
            <w:r w:rsidRPr="00F46D82">
              <w:rPr>
                <w:rFonts w:cs="Times New Roman"/>
                <w:bCs/>
                <w:sz w:val="20"/>
                <w:szCs w:val="20"/>
              </w:rPr>
              <w:t xml:space="preserve">Impact of improvement projects on effectiveness, operational excellence and management excellence. </w:t>
            </w:r>
          </w:p>
        </w:tc>
      </w:tr>
    </w:tbl>
    <w:p w:rsidR="00312544" w:rsidRPr="00146AE1" w:rsidRDefault="00312544" w:rsidP="00646176">
      <w:pPr>
        <w:jc w:val="both"/>
        <w:rPr>
          <w:rFonts w:cs="Times New Roman"/>
          <w:szCs w:val="24"/>
        </w:rPr>
      </w:pPr>
    </w:p>
    <w:p w:rsidR="00312544" w:rsidRPr="00146AE1" w:rsidRDefault="00186171" w:rsidP="00646176">
      <w:pPr>
        <w:jc w:val="both"/>
        <w:rPr>
          <w:rFonts w:cs="Times New Roman"/>
          <w:szCs w:val="24"/>
        </w:rPr>
      </w:pPr>
      <w:r>
        <w:rPr>
          <w:rFonts w:cs="Times New Roman"/>
          <w:szCs w:val="24"/>
        </w:rPr>
        <w:tab/>
      </w:r>
      <w:r w:rsidR="00312544" w:rsidRPr="00146AE1">
        <w:rPr>
          <w:rFonts w:cs="Times New Roman"/>
          <w:szCs w:val="24"/>
        </w:rPr>
        <w:t>As displayed, the fourteen indicators are divided in two categories: strategic and operational. The strategic category includes those indicators intended to measure the Office’s effectiveness in achieving its mandate under the Rome Statute.</w:t>
      </w:r>
      <w:r w:rsidR="00312544" w:rsidRPr="00146AE1">
        <w:rPr>
          <w:rFonts w:cs="Times New Roman"/>
          <w:szCs w:val="24"/>
          <w:vertAlign w:val="superscript"/>
        </w:rPr>
        <w:footnoteReference w:id="43"/>
      </w:r>
      <w:r w:rsidR="00AF00FF">
        <w:rPr>
          <w:rFonts w:cs="Times New Roman"/>
          <w:szCs w:val="24"/>
        </w:rPr>
        <w:t xml:space="preserve"> </w:t>
      </w:r>
      <w:r w:rsidR="00312544" w:rsidRPr="00146AE1">
        <w:rPr>
          <w:rFonts w:cs="Times New Roman"/>
          <w:szCs w:val="24"/>
        </w:rPr>
        <w:t xml:space="preserve">Operational indicators measure the implementation of </w:t>
      </w:r>
      <w:r w:rsidR="00A967FB">
        <w:rPr>
          <w:rFonts w:cs="Times New Roman"/>
          <w:szCs w:val="24"/>
        </w:rPr>
        <w:t xml:space="preserve">the </w:t>
      </w:r>
      <w:r w:rsidR="00312544" w:rsidRPr="00146AE1">
        <w:rPr>
          <w:rFonts w:cs="Times New Roman"/>
          <w:szCs w:val="24"/>
        </w:rPr>
        <w:t>OTP strategy</w:t>
      </w:r>
      <w:r w:rsidR="003A70AB">
        <w:rPr>
          <w:rFonts w:cs="Times New Roman"/>
          <w:szCs w:val="24"/>
        </w:rPr>
        <w:t>,</w:t>
      </w:r>
      <w:r w:rsidR="00312544" w:rsidRPr="00146AE1">
        <w:rPr>
          <w:rFonts w:cs="Times New Roman"/>
          <w:szCs w:val="24"/>
        </w:rPr>
        <w:t xml:space="preserve"> which is assumed to impact positively on the strategic indicators.</w:t>
      </w:r>
      <w:r w:rsidR="00312544" w:rsidRPr="00146AE1">
        <w:rPr>
          <w:rFonts w:cs="Times New Roman"/>
          <w:szCs w:val="24"/>
          <w:vertAlign w:val="superscript"/>
        </w:rPr>
        <w:footnoteReference w:id="44"/>
      </w:r>
      <w:r w:rsidR="00312544" w:rsidRPr="00146AE1">
        <w:rPr>
          <w:rFonts w:cs="Times New Roman"/>
          <w:szCs w:val="24"/>
        </w:rPr>
        <w:t xml:space="preserve"> Hence, the twelve operational indicators are intended to </w:t>
      </w:r>
      <w:r w:rsidR="00A967FB">
        <w:rPr>
          <w:rFonts w:cs="Times New Roman"/>
          <w:szCs w:val="24"/>
        </w:rPr>
        <w:t>foster</w:t>
      </w:r>
      <w:r w:rsidR="00A967FB" w:rsidRPr="00146AE1">
        <w:rPr>
          <w:rFonts w:cs="Times New Roman"/>
          <w:szCs w:val="24"/>
        </w:rPr>
        <w:t xml:space="preserve"> </w:t>
      </w:r>
      <w:r w:rsidR="00312544" w:rsidRPr="00146AE1">
        <w:rPr>
          <w:rFonts w:cs="Times New Roman"/>
          <w:szCs w:val="24"/>
        </w:rPr>
        <w:t xml:space="preserve">the achievement of the two pivotal strategic performance indicators. </w:t>
      </w:r>
    </w:p>
    <w:p w:rsidR="00DD75FD" w:rsidRDefault="00A967FB" w:rsidP="00646176">
      <w:pPr>
        <w:ind w:firstLine="720"/>
        <w:jc w:val="both"/>
        <w:rPr>
          <w:rFonts w:cs="Times New Roman"/>
          <w:szCs w:val="24"/>
        </w:rPr>
      </w:pPr>
      <w:r>
        <w:rPr>
          <w:rFonts w:cs="Times New Roman"/>
          <w:szCs w:val="24"/>
        </w:rPr>
        <w:t>As shown in the table</w:t>
      </w:r>
      <w:r w:rsidR="00312544" w:rsidRPr="00146AE1">
        <w:rPr>
          <w:rFonts w:cs="Times New Roman"/>
          <w:szCs w:val="24"/>
        </w:rPr>
        <w:t xml:space="preserve">, the first strategic indicator </w:t>
      </w:r>
      <w:r w:rsidR="00BB220F">
        <w:rPr>
          <w:rFonts w:cs="Times New Roman"/>
          <w:szCs w:val="24"/>
        </w:rPr>
        <w:t>—</w:t>
      </w:r>
      <w:r>
        <w:rPr>
          <w:rFonts w:cs="Times New Roman"/>
          <w:szCs w:val="24"/>
        </w:rPr>
        <w:t xml:space="preserve"> labelled</w:t>
      </w:r>
      <w:r w:rsidR="00312544" w:rsidRPr="00146AE1">
        <w:rPr>
          <w:rFonts w:cs="Times New Roman"/>
          <w:szCs w:val="24"/>
        </w:rPr>
        <w:t xml:space="preserve"> </w:t>
      </w:r>
      <w:r>
        <w:rPr>
          <w:rFonts w:cs="Times New Roman"/>
          <w:szCs w:val="24"/>
        </w:rPr>
        <w:t>‘</w:t>
      </w:r>
      <w:r w:rsidR="00312544" w:rsidRPr="00146AE1">
        <w:rPr>
          <w:rFonts w:cs="Times New Roman"/>
          <w:szCs w:val="24"/>
        </w:rPr>
        <w:t>prosecutorial results in terms [of] perpetrators</w:t>
      </w:r>
      <w:r>
        <w:rPr>
          <w:rFonts w:cs="Times New Roman"/>
          <w:szCs w:val="24"/>
        </w:rPr>
        <w:t xml:space="preserve">’ </w:t>
      </w:r>
      <w:r w:rsidR="00BB220F">
        <w:rPr>
          <w:rFonts w:cs="Times New Roman"/>
          <w:szCs w:val="24"/>
        </w:rPr>
        <w:t>—</w:t>
      </w:r>
      <w:r w:rsidR="00312544" w:rsidRPr="00146AE1">
        <w:rPr>
          <w:rFonts w:cs="Times New Roman"/>
          <w:szCs w:val="24"/>
        </w:rPr>
        <w:t xml:space="preserve"> is concerned</w:t>
      </w:r>
      <w:r>
        <w:rPr>
          <w:rFonts w:cs="Times New Roman"/>
          <w:szCs w:val="24"/>
        </w:rPr>
        <w:t>:</w:t>
      </w:r>
      <w:r w:rsidR="00312544" w:rsidRPr="00146AE1">
        <w:rPr>
          <w:rFonts w:cs="Times New Roman"/>
          <w:szCs w:val="24"/>
        </w:rPr>
        <w:t xml:space="preserve"> with </w:t>
      </w:r>
      <w:r>
        <w:rPr>
          <w:rFonts w:cs="Times New Roman"/>
          <w:szCs w:val="24"/>
        </w:rPr>
        <w:t xml:space="preserve">the number of </w:t>
      </w:r>
      <w:r w:rsidR="00312544" w:rsidRPr="00146AE1">
        <w:rPr>
          <w:rFonts w:cs="Times New Roman"/>
          <w:szCs w:val="24"/>
        </w:rPr>
        <w:t>arrest warrants or summonses to appear granted</w:t>
      </w:r>
      <w:r w:rsidR="006D6D58">
        <w:rPr>
          <w:rFonts w:cs="Times New Roman"/>
          <w:szCs w:val="24"/>
        </w:rPr>
        <w:t xml:space="preserve">, out of those </w:t>
      </w:r>
      <w:r w:rsidR="00312544" w:rsidRPr="00146AE1">
        <w:rPr>
          <w:rFonts w:cs="Times New Roman"/>
          <w:szCs w:val="24"/>
        </w:rPr>
        <w:t>requested</w:t>
      </w:r>
      <w:r>
        <w:rPr>
          <w:rFonts w:cs="Times New Roman"/>
          <w:szCs w:val="24"/>
        </w:rPr>
        <w:t>; with the number of defendants whose charges have been confirmed, out</w:t>
      </w:r>
      <w:r w:rsidR="006D6D58">
        <w:rPr>
          <w:rFonts w:cs="Times New Roman"/>
          <w:szCs w:val="24"/>
        </w:rPr>
        <w:t xml:space="preserve"> of those for </w:t>
      </w:r>
      <w:r w:rsidR="00D827D6">
        <w:rPr>
          <w:rFonts w:cs="Times New Roman"/>
          <w:szCs w:val="24"/>
        </w:rPr>
        <w:t>whom</w:t>
      </w:r>
      <w:r w:rsidR="006D6D58">
        <w:rPr>
          <w:rFonts w:cs="Times New Roman"/>
          <w:szCs w:val="24"/>
        </w:rPr>
        <w:t xml:space="preserve"> charges </w:t>
      </w:r>
      <w:r w:rsidR="00D827D6">
        <w:rPr>
          <w:rFonts w:cs="Times New Roman"/>
          <w:szCs w:val="24"/>
        </w:rPr>
        <w:t>were</w:t>
      </w:r>
      <w:r>
        <w:rPr>
          <w:rFonts w:cs="Times New Roman"/>
          <w:szCs w:val="24"/>
        </w:rPr>
        <w:t xml:space="preserve"> </w:t>
      </w:r>
      <w:r w:rsidR="006D6D58">
        <w:rPr>
          <w:rFonts w:cs="Times New Roman"/>
          <w:szCs w:val="24"/>
        </w:rPr>
        <w:t>presented</w:t>
      </w:r>
      <w:r>
        <w:rPr>
          <w:rFonts w:cs="Times New Roman"/>
          <w:szCs w:val="24"/>
        </w:rPr>
        <w:t>;</w:t>
      </w:r>
      <w:r w:rsidR="00312544" w:rsidRPr="00146AE1">
        <w:rPr>
          <w:rFonts w:cs="Times New Roman"/>
          <w:szCs w:val="24"/>
        </w:rPr>
        <w:t xml:space="preserve"> and </w:t>
      </w:r>
      <w:r>
        <w:rPr>
          <w:rFonts w:cs="Times New Roman"/>
          <w:szCs w:val="24"/>
        </w:rPr>
        <w:t xml:space="preserve">the number of persons </w:t>
      </w:r>
      <w:r w:rsidR="00D827D6">
        <w:rPr>
          <w:rFonts w:cs="Times New Roman"/>
          <w:szCs w:val="24"/>
        </w:rPr>
        <w:t>who</w:t>
      </w:r>
      <w:r>
        <w:rPr>
          <w:rFonts w:cs="Times New Roman"/>
          <w:szCs w:val="24"/>
        </w:rPr>
        <w:t xml:space="preserve"> have been ultimately </w:t>
      </w:r>
      <w:r w:rsidR="00312544" w:rsidRPr="00146AE1">
        <w:rPr>
          <w:rFonts w:cs="Times New Roman"/>
          <w:szCs w:val="24"/>
        </w:rPr>
        <w:t>convict</w:t>
      </w:r>
      <w:r>
        <w:rPr>
          <w:rFonts w:cs="Times New Roman"/>
          <w:szCs w:val="24"/>
        </w:rPr>
        <w:t>ed</w:t>
      </w:r>
      <w:r w:rsidR="00B822AB">
        <w:rPr>
          <w:rFonts w:cs="Times New Roman"/>
          <w:szCs w:val="24"/>
        </w:rPr>
        <w:t>,</w:t>
      </w:r>
      <w:r>
        <w:rPr>
          <w:rFonts w:cs="Times New Roman"/>
          <w:szCs w:val="24"/>
        </w:rPr>
        <w:t xml:space="preserve"> out of those </w:t>
      </w:r>
      <w:r w:rsidR="00B822AB">
        <w:rPr>
          <w:rFonts w:cs="Times New Roman"/>
          <w:szCs w:val="24"/>
        </w:rPr>
        <w:t>who</w:t>
      </w:r>
      <w:r w:rsidR="00D827D6">
        <w:rPr>
          <w:rFonts w:cs="Times New Roman"/>
          <w:szCs w:val="24"/>
        </w:rPr>
        <w:t>m</w:t>
      </w:r>
      <w:r w:rsidR="00B822AB">
        <w:rPr>
          <w:rFonts w:cs="Times New Roman"/>
          <w:szCs w:val="24"/>
        </w:rPr>
        <w:t xml:space="preserve"> </w:t>
      </w:r>
      <w:r w:rsidR="00012FE7">
        <w:rPr>
          <w:rFonts w:cs="Times New Roman"/>
          <w:szCs w:val="24"/>
        </w:rPr>
        <w:t>were</w:t>
      </w:r>
      <w:r w:rsidR="00B822AB">
        <w:rPr>
          <w:rFonts w:cs="Times New Roman"/>
          <w:szCs w:val="24"/>
        </w:rPr>
        <w:t xml:space="preserve"> charged</w:t>
      </w:r>
      <w:r w:rsidR="00312544" w:rsidRPr="00146AE1">
        <w:rPr>
          <w:rFonts w:cs="Times New Roman"/>
          <w:szCs w:val="24"/>
        </w:rPr>
        <w:t xml:space="preserve">. The second indicator </w:t>
      </w:r>
      <w:r w:rsidR="002B0DD7">
        <w:rPr>
          <w:rFonts w:cs="Times New Roman"/>
          <w:szCs w:val="24"/>
        </w:rPr>
        <w:t>refers to the number of</w:t>
      </w:r>
      <w:r w:rsidR="00312544" w:rsidRPr="00146AE1">
        <w:rPr>
          <w:rFonts w:cs="Times New Roman"/>
          <w:szCs w:val="24"/>
        </w:rPr>
        <w:t xml:space="preserve"> counts granted</w:t>
      </w:r>
      <w:r w:rsidR="002B0DD7">
        <w:rPr>
          <w:rFonts w:cs="Times New Roman"/>
          <w:szCs w:val="24"/>
        </w:rPr>
        <w:t>, out of those</w:t>
      </w:r>
      <w:r w:rsidR="00312544" w:rsidRPr="00146AE1">
        <w:rPr>
          <w:rFonts w:cs="Times New Roman"/>
          <w:szCs w:val="24"/>
        </w:rPr>
        <w:t xml:space="preserve"> charged at the stage of the arrest warrant, confirmation or trial.</w:t>
      </w:r>
      <w:r w:rsidR="00312544" w:rsidRPr="00146AE1">
        <w:rPr>
          <w:rFonts w:cs="Times New Roman"/>
          <w:szCs w:val="24"/>
          <w:vertAlign w:val="superscript"/>
        </w:rPr>
        <w:footnoteReference w:id="45"/>
      </w:r>
      <w:r w:rsidR="00312544" w:rsidRPr="00146AE1">
        <w:rPr>
          <w:rFonts w:cs="Times New Roman"/>
          <w:szCs w:val="24"/>
        </w:rPr>
        <w:t xml:space="preserve"> As the annex of the strategy makes clear, these indicators </w:t>
      </w:r>
      <w:r w:rsidR="00722845" w:rsidRPr="00146AE1">
        <w:rPr>
          <w:rFonts w:cs="Times New Roman"/>
          <w:szCs w:val="24"/>
        </w:rPr>
        <w:t xml:space="preserve">are </w:t>
      </w:r>
      <w:r w:rsidR="00312544" w:rsidRPr="00146AE1">
        <w:rPr>
          <w:rFonts w:cs="Times New Roman"/>
          <w:szCs w:val="24"/>
        </w:rPr>
        <w:t xml:space="preserve">intended to meet </w:t>
      </w:r>
      <w:r w:rsidR="00722845">
        <w:rPr>
          <w:rFonts w:cs="Times New Roman"/>
          <w:szCs w:val="24"/>
        </w:rPr>
        <w:t>the</w:t>
      </w:r>
      <w:r w:rsidR="00722845" w:rsidRPr="00146AE1">
        <w:rPr>
          <w:rFonts w:cs="Times New Roman"/>
          <w:szCs w:val="24"/>
        </w:rPr>
        <w:t xml:space="preserve"> </w:t>
      </w:r>
      <w:r w:rsidR="00312544" w:rsidRPr="00146AE1">
        <w:rPr>
          <w:rFonts w:cs="Times New Roman"/>
          <w:szCs w:val="24"/>
        </w:rPr>
        <w:t xml:space="preserve">strategic goal </w:t>
      </w:r>
      <w:r w:rsidR="00722845">
        <w:rPr>
          <w:rFonts w:cs="Times New Roman"/>
          <w:szCs w:val="24"/>
        </w:rPr>
        <w:t>of</w:t>
      </w:r>
      <w:r w:rsidR="00722845" w:rsidRPr="00146AE1">
        <w:rPr>
          <w:rFonts w:cs="Times New Roman"/>
          <w:szCs w:val="24"/>
        </w:rPr>
        <w:t xml:space="preserve"> </w:t>
      </w:r>
      <w:r w:rsidR="00312544" w:rsidRPr="00146AE1">
        <w:rPr>
          <w:rFonts w:cs="Times New Roman"/>
          <w:szCs w:val="24"/>
        </w:rPr>
        <w:t>conduct</w:t>
      </w:r>
      <w:r w:rsidR="00722845">
        <w:rPr>
          <w:rFonts w:cs="Times New Roman"/>
          <w:szCs w:val="24"/>
        </w:rPr>
        <w:t>ing</w:t>
      </w:r>
      <w:r w:rsidR="00312544" w:rsidRPr="00146AE1">
        <w:rPr>
          <w:rFonts w:cs="Times New Roman"/>
          <w:szCs w:val="24"/>
        </w:rPr>
        <w:t xml:space="preserve"> impartial, independent, high quality preliminary examinations, investigations and prosecutions.</w:t>
      </w:r>
      <w:r w:rsidR="00312544" w:rsidRPr="00146AE1">
        <w:rPr>
          <w:rFonts w:cs="Times New Roman"/>
          <w:szCs w:val="24"/>
          <w:vertAlign w:val="superscript"/>
        </w:rPr>
        <w:footnoteReference w:id="46"/>
      </w:r>
      <w:r w:rsidR="00312544" w:rsidRPr="00146AE1">
        <w:rPr>
          <w:rFonts w:cs="Times New Roman"/>
          <w:szCs w:val="24"/>
        </w:rPr>
        <w:t xml:space="preserve"> </w:t>
      </w:r>
      <w:r w:rsidR="00DD75FD">
        <w:rPr>
          <w:rFonts w:cs="Times New Roman"/>
          <w:szCs w:val="24"/>
        </w:rPr>
        <w:t>Thus b</w:t>
      </w:r>
      <w:r w:rsidR="00361ED3" w:rsidRPr="00146AE1">
        <w:rPr>
          <w:rFonts w:cs="Times New Roman"/>
          <w:szCs w:val="24"/>
        </w:rPr>
        <w:t>oth</w:t>
      </w:r>
      <w:r w:rsidR="00B029F9">
        <w:rPr>
          <w:rFonts w:cs="Times New Roman"/>
          <w:szCs w:val="24"/>
        </w:rPr>
        <w:t xml:space="preserve"> the</w:t>
      </w:r>
      <w:r w:rsidR="00361ED3" w:rsidRPr="00146AE1">
        <w:rPr>
          <w:rFonts w:cs="Times New Roman"/>
          <w:szCs w:val="24"/>
        </w:rPr>
        <w:t xml:space="preserve"> </w:t>
      </w:r>
      <w:r w:rsidR="00361ED3">
        <w:rPr>
          <w:rFonts w:cs="Times New Roman"/>
          <w:szCs w:val="24"/>
        </w:rPr>
        <w:t>strategic indicators</w:t>
      </w:r>
      <w:r w:rsidR="00B029F9">
        <w:rPr>
          <w:rFonts w:cs="Times New Roman"/>
          <w:szCs w:val="24"/>
        </w:rPr>
        <w:t xml:space="preserve"> are</w:t>
      </w:r>
      <w:r w:rsidR="00361ED3">
        <w:rPr>
          <w:rFonts w:cs="Times New Roman"/>
          <w:szCs w:val="24"/>
        </w:rPr>
        <w:t xml:space="preserve"> </w:t>
      </w:r>
      <w:r w:rsidR="00361ED3" w:rsidRPr="00146AE1">
        <w:rPr>
          <w:rFonts w:cs="Times New Roman"/>
          <w:szCs w:val="24"/>
        </w:rPr>
        <w:t>primarily concerned with quantitative and qualitative outputs</w:t>
      </w:r>
      <w:r w:rsidR="00361ED3">
        <w:rPr>
          <w:rFonts w:cs="Times New Roman"/>
          <w:szCs w:val="24"/>
        </w:rPr>
        <w:t>,</w:t>
      </w:r>
      <w:r w:rsidR="00361ED3" w:rsidRPr="00146AE1">
        <w:rPr>
          <w:rFonts w:cs="Times New Roman"/>
          <w:szCs w:val="24"/>
        </w:rPr>
        <w:t xml:space="preserve"> intending to motivate prosecut</w:t>
      </w:r>
      <w:r w:rsidR="00361ED3">
        <w:rPr>
          <w:rFonts w:cs="Times New Roman"/>
          <w:szCs w:val="24"/>
        </w:rPr>
        <w:t>orial</w:t>
      </w:r>
      <w:r w:rsidR="00361ED3" w:rsidRPr="00146AE1">
        <w:rPr>
          <w:rFonts w:cs="Times New Roman"/>
          <w:szCs w:val="24"/>
        </w:rPr>
        <w:t xml:space="preserve"> </w:t>
      </w:r>
      <w:r w:rsidR="00361ED3">
        <w:rPr>
          <w:rFonts w:cs="Times New Roman"/>
          <w:szCs w:val="24"/>
        </w:rPr>
        <w:t>‘</w:t>
      </w:r>
      <w:r w:rsidR="00361ED3" w:rsidRPr="00146AE1">
        <w:rPr>
          <w:rFonts w:cs="Times New Roman"/>
          <w:szCs w:val="24"/>
        </w:rPr>
        <w:t>wins</w:t>
      </w:r>
      <w:r w:rsidR="00361ED3">
        <w:rPr>
          <w:rFonts w:cs="Times New Roman"/>
          <w:szCs w:val="24"/>
        </w:rPr>
        <w:t xml:space="preserve">’ and dis-incentivise the construction and presentation of </w:t>
      </w:r>
      <w:r w:rsidR="00B029F9">
        <w:rPr>
          <w:rFonts w:cs="Times New Roman"/>
          <w:szCs w:val="24"/>
        </w:rPr>
        <w:t xml:space="preserve">requests, charges and </w:t>
      </w:r>
      <w:r w:rsidR="00361ED3">
        <w:rPr>
          <w:rFonts w:cs="Times New Roman"/>
          <w:szCs w:val="24"/>
        </w:rPr>
        <w:t>cases unlikely to succeed.</w:t>
      </w:r>
      <w:r w:rsidR="00B029F9">
        <w:rPr>
          <w:rFonts w:cs="Times New Roman"/>
          <w:szCs w:val="24"/>
        </w:rPr>
        <w:t xml:space="preserve"> </w:t>
      </w:r>
    </w:p>
    <w:p w:rsidR="00361ED3" w:rsidRDefault="00B029F9" w:rsidP="00646176">
      <w:pPr>
        <w:ind w:firstLine="720"/>
        <w:jc w:val="both"/>
        <w:rPr>
          <w:rFonts w:cs="Times New Roman"/>
          <w:szCs w:val="24"/>
        </w:rPr>
      </w:pPr>
      <w:r>
        <w:rPr>
          <w:rFonts w:cs="Times New Roman"/>
          <w:szCs w:val="24"/>
        </w:rPr>
        <w:t>S</w:t>
      </w:r>
      <w:r w:rsidR="00AF00FF">
        <w:rPr>
          <w:rFonts w:cs="Times New Roman"/>
          <w:szCs w:val="24"/>
        </w:rPr>
        <w:t>trikingly</w:t>
      </w:r>
      <w:r w:rsidR="005E6701">
        <w:rPr>
          <w:rFonts w:cs="Times New Roman"/>
          <w:szCs w:val="24"/>
        </w:rPr>
        <w:t>,</w:t>
      </w:r>
      <w:r w:rsidR="00DD75FD">
        <w:rPr>
          <w:rFonts w:cs="Times New Roman"/>
          <w:szCs w:val="24"/>
        </w:rPr>
        <w:t xml:space="preserve"> the </w:t>
      </w:r>
      <w:r w:rsidR="00612EA5">
        <w:rPr>
          <w:rFonts w:cs="Times New Roman"/>
          <w:szCs w:val="24"/>
        </w:rPr>
        <w:t>table of indicators</w:t>
      </w:r>
      <w:r w:rsidR="00DD75FD">
        <w:rPr>
          <w:rFonts w:cs="Times New Roman"/>
          <w:szCs w:val="24"/>
        </w:rPr>
        <w:t xml:space="preserve"> also reveal</w:t>
      </w:r>
      <w:r w:rsidR="00612EA5">
        <w:rPr>
          <w:rFonts w:cs="Times New Roman"/>
          <w:szCs w:val="24"/>
        </w:rPr>
        <w:t>s</w:t>
      </w:r>
      <w:r w:rsidR="00DD75FD">
        <w:rPr>
          <w:rFonts w:cs="Times New Roman"/>
          <w:szCs w:val="24"/>
        </w:rPr>
        <w:t xml:space="preserve"> a different interpretation </w:t>
      </w:r>
      <w:r w:rsidR="005E6701">
        <w:rPr>
          <w:rFonts w:cs="Times New Roman"/>
          <w:szCs w:val="24"/>
        </w:rPr>
        <w:t xml:space="preserve">of </w:t>
      </w:r>
      <w:r w:rsidR="00DD75FD">
        <w:rPr>
          <w:rFonts w:cs="Times New Roman"/>
          <w:szCs w:val="24"/>
        </w:rPr>
        <w:t xml:space="preserve">the three E’s of performance. For </w:t>
      </w:r>
      <w:r w:rsidR="00D827D6">
        <w:rPr>
          <w:rFonts w:cs="Times New Roman"/>
          <w:szCs w:val="24"/>
        </w:rPr>
        <w:t>instance,</w:t>
      </w:r>
      <w:r w:rsidR="00AF00FF">
        <w:rPr>
          <w:rFonts w:cs="Times New Roman"/>
          <w:szCs w:val="24"/>
        </w:rPr>
        <w:t xml:space="preserve"> both</w:t>
      </w:r>
      <w:r w:rsidR="00DD75FD">
        <w:rPr>
          <w:rFonts w:cs="Times New Roman"/>
          <w:szCs w:val="24"/>
        </w:rPr>
        <w:t xml:space="preserve"> strategic</w:t>
      </w:r>
      <w:r w:rsidR="00AF00FF">
        <w:rPr>
          <w:rFonts w:cs="Times New Roman"/>
          <w:szCs w:val="24"/>
        </w:rPr>
        <w:t xml:space="preserve"> indicators are juxtaposed with effectiveness, and thus, in contrast</w:t>
      </w:r>
      <w:r w:rsidR="00361ED3">
        <w:rPr>
          <w:rFonts w:cs="Times New Roman"/>
          <w:szCs w:val="24"/>
        </w:rPr>
        <w:t xml:space="preserve"> to the understanding outlined at the outset</w:t>
      </w:r>
      <w:r>
        <w:rPr>
          <w:rFonts w:cs="Times New Roman"/>
          <w:szCs w:val="24"/>
        </w:rPr>
        <w:t xml:space="preserve"> of the article</w:t>
      </w:r>
      <w:r w:rsidR="00361ED3">
        <w:rPr>
          <w:rFonts w:cs="Times New Roman"/>
          <w:szCs w:val="24"/>
        </w:rPr>
        <w:t xml:space="preserve">, </w:t>
      </w:r>
      <w:r w:rsidR="00361ED3" w:rsidRPr="00146AE1">
        <w:rPr>
          <w:rFonts w:cs="Times New Roman"/>
          <w:szCs w:val="24"/>
        </w:rPr>
        <w:t>the O</w:t>
      </w:r>
      <w:r w:rsidR="00DD75FD">
        <w:rPr>
          <w:rFonts w:cs="Times New Roman"/>
          <w:szCs w:val="24"/>
        </w:rPr>
        <w:t>TP interprets</w:t>
      </w:r>
      <w:r>
        <w:rPr>
          <w:rFonts w:cs="Times New Roman"/>
          <w:szCs w:val="24"/>
        </w:rPr>
        <w:t xml:space="preserve"> effective</w:t>
      </w:r>
      <w:r w:rsidR="00361ED3" w:rsidRPr="00146AE1">
        <w:rPr>
          <w:rFonts w:cs="Times New Roman"/>
          <w:szCs w:val="24"/>
        </w:rPr>
        <w:t xml:space="preserve"> performance </w:t>
      </w:r>
      <w:r w:rsidR="00DD75FD">
        <w:rPr>
          <w:rFonts w:cs="Times New Roman"/>
          <w:szCs w:val="24"/>
        </w:rPr>
        <w:t>solely in</w:t>
      </w:r>
      <w:r w:rsidR="00361ED3" w:rsidRPr="00146AE1">
        <w:rPr>
          <w:rFonts w:cs="Times New Roman"/>
          <w:szCs w:val="24"/>
        </w:rPr>
        <w:t xml:space="preserve"> terms of</w:t>
      </w:r>
      <w:r>
        <w:rPr>
          <w:rFonts w:cs="Times New Roman"/>
          <w:szCs w:val="24"/>
        </w:rPr>
        <w:t xml:space="preserve"> the success of its output activities</w:t>
      </w:r>
      <w:r w:rsidR="005E6701">
        <w:rPr>
          <w:rFonts w:cs="Times New Roman"/>
          <w:szCs w:val="24"/>
        </w:rPr>
        <w:t xml:space="preserve"> </w:t>
      </w:r>
      <w:r w:rsidR="00D456C9">
        <w:rPr>
          <w:rFonts w:cs="Times New Roman"/>
          <w:szCs w:val="24"/>
        </w:rPr>
        <w:t>—</w:t>
      </w:r>
      <w:r w:rsidR="00361ED3" w:rsidRPr="00146AE1">
        <w:rPr>
          <w:rFonts w:cs="Times New Roman"/>
          <w:szCs w:val="24"/>
        </w:rPr>
        <w:t xml:space="preserve"> </w:t>
      </w:r>
      <w:r>
        <w:rPr>
          <w:rFonts w:cs="Times New Roman"/>
          <w:szCs w:val="24"/>
        </w:rPr>
        <w:t>evidenced</w:t>
      </w:r>
      <w:r w:rsidR="00361ED3">
        <w:rPr>
          <w:rFonts w:cs="Times New Roman"/>
          <w:szCs w:val="24"/>
        </w:rPr>
        <w:t xml:space="preserve"> </w:t>
      </w:r>
      <w:r>
        <w:rPr>
          <w:rFonts w:cs="Times New Roman"/>
          <w:szCs w:val="24"/>
        </w:rPr>
        <w:t>i</w:t>
      </w:r>
      <w:r w:rsidR="00361ED3" w:rsidRPr="00146AE1">
        <w:rPr>
          <w:rFonts w:cs="Times New Roman"/>
          <w:szCs w:val="24"/>
        </w:rPr>
        <w:t>n</w:t>
      </w:r>
      <w:r>
        <w:rPr>
          <w:rFonts w:cs="Times New Roman"/>
          <w:szCs w:val="24"/>
        </w:rPr>
        <w:t xml:space="preserve"> positive</w:t>
      </w:r>
      <w:r w:rsidR="00361ED3" w:rsidRPr="00146AE1">
        <w:rPr>
          <w:rFonts w:cs="Times New Roman"/>
          <w:szCs w:val="24"/>
        </w:rPr>
        <w:t xml:space="preserve"> rulings and verdicts</w:t>
      </w:r>
      <w:r>
        <w:rPr>
          <w:rFonts w:cs="Times New Roman"/>
          <w:szCs w:val="24"/>
        </w:rPr>
        <w:t>.</w:t>
      </w:r>
      <w:r w:rsidR="00186171">
        <w:rPr>
          <w:rFonts w:cs="Times New Roman"/>
          <w:szCs w:val="24"/>
        </w:rPr>
        <w:t xml:space="preserve"> </w:t>
      </w:r>
      <w:r>
        <w:rPr>
          <w:rFonts w:cs="Times New Roman"/>
          <w:szCs w:val="24"/>
        </w:rPr>
        <w:t xml:space="preserve">There is no recognition that effectiveness </w:t>
      </w:r>
      <w:r w:rsidR="00FE7AC8">
        <w:rPr>
          <w:rFonts w:cs="Times New Roman"/>
          <w:szCs w:val="24"/>
        </w:rPr>
        <w:t>is normally</w:t>
      </w:r>
      <w:r w:rsidR="00040EC5">
        <w:rPr>
          <w:rFonts w:cs="Times New Roman"/>
          <w:szCs w:val="24"/>
        </w:rPr>
        <w:t xml:space="preserve"> </w:t>
      </w:r>
      <w:r>
        <w:rPr>
          <w:rFonts w:cs="Times New Roman"/>
          <w:szCs w:val="24"/>
        </w:rPr>
        <w:t>measured against the real-world outcomes produced upon the success of outputs</w:t>
      </w:r>
      <w:r w:rsidR="00040EC5">
        <w:rPr>
          <w:rFonts w:cs="Times New Roman"/>
          <w:szCs w:val="24"/>
        </w:rPr>
        <w:t>, or the relationship between those</w:t>
      </w:r>
      <w:r w:rsidR="00FE7AC8">
        <w:rPr>
          <w:rFonts w:cs="Times New Roman"/>
          <w:szCs w:val="24"/>
        </w:rPr>
        <w:t xml:space="preserve"> outcomes and the ultimate goals of the Court. </w:t>
      </w:r>
      <w:r w:rsidR="00D827D6">
        <w:rPr>
          <w:rFonts w:cs="Times New Roman"/>
          <w:szCs w:val="24"/>
        </w:rPr>
        <w:t>Similarly,</w:t>
      </w:r>
      <w:r w:rsidR="00DD75FD">
        <w:rPr>
          <w:rFonts w:cs="Times New Roman"/>
          <w:szCs w:val="24"/>
        </w:rPr>
        <w:t xml:space="preserve"> the sixth operational performance indicator refers to efficiency</w:t>
      </w:r>
      <w:r w:rsidR="00D92660">
        <w:rPr>
          <w:rFonts w:cs="Times New Roman"/>
          <w:szCs w:val="24"/>
        </w:rPr>
        <w:t xml:space="preserve"> gains but</w:t>
      </w:r>
      <w:r w:rsidR="00DD75FD">
        <w:rPr>
          <w:rFonts w:cs="Times New Roman"/>
          <w:szCs w:val="24"/>
        </w:rPr>
        <w:t xml:space="preserve"> its detachment from outputs suggests that the OTP understands efficiency</w:t>
      </w:r>
      <w:r w:rsidR="00D92660">
        <w:rPr>
          <w:rFonts w:cs="Times New Roman"/>
          <w:szCs w:val="24"/>
        </w:rPr>
        <w:t xml:space="preserve"> more</w:t>
      </w:r>
      <w:r w:rsidR="00DD75FD">
        <w:rPr>
          <w:rFonts w:cs="Times New Roman"/>
          <w:szCs w:val="24"/>
        </w:rPr>
        <w:t xml:space="preserve"> </w:t>
      </w:r>
      <w:r w:rsidR="00D92660">
        <w:rPr>
          <w:rFonts w:cs="Times New Roman"/>
          <w:szCs w:val="24"/>
        </w:rPr>
        <w:t xml:space="preserve">in terms of economy, rather than </w:t>
      </w:r>
      <w:r w:rsidR="00D92660" w:rsidRPr="00F46D82">
        <w:rPr>
          <w:rFonts w:cs="Times New Roman"/>
          <w:i/>
          <w:szCs w:val="24"/>
        </w:rPr>
        <w:t>a priori</w:t>
      </w:r>
      <w:r w:rsidR="00D92660">
        <w:rPr>
          <w:rFonts w:cs="Times New Roman"/>
          <w:szCs w:val="24"/>
        </w:rPr>
        <w:t xml:space="preserve"> maximis</w:t>
      </w:r>
      <w:r w:rsidR="006B6C7A">
        <w:rPr>
          <w:rFonts w:cs="Times New Roman"/>
          <w:szCs w:val="24"/>
        </w:rPr>
        <w:t>ing successful</w:t>
      </w:r>
      <w:r w:rsidR="00D92660">
        <w:rPr>
          <w:rFonts w:cs="Times New Roman"/>
          <w:szCs w:val="24"/>
        </w:rPr>
        <w:t xml:space="preserve"> outputs with the least amount of resources.</w:t>
      </w:r>
      <w:r w:rsidR="00D92660" w:rsidRPr="00D47D75">
        <w:rPr>
          <w:rStyle w:val="FootnoteReference"/>
          <w:rFonts w:cs="Times New Roman"/>
          <w:sz w:val="24"/>
          <w:szCs w:val="24"/>
        </w:rPr>
        <w:footnoteReference w:id="47"/>
      </w:r>
    </w:p>
    <w:p w:rsidR="00312544" w:rsidRPr="00146AE1" w:rsidRDefault="00B029F9" w:rsidP="00646176">
      <w:pPr>
        <w:jc w:val="both"/>
        <w:rPr>
          <w:rFonts w:cs="Times New Roman"/>
          <w:szCs w:val="24"/>
        </w:rPr>
      </w:pPr>
      <w:r>
        <w:rPr>
          <w:rFonts w:cs="Times New Roman"/>
          <w:szCs w:val="24"/>
        </w:rPr>
        <w:tab/>
      </w:r>
      <w:r w:rsidR="00FC3544">
        <w:rPr>
          <w:rFonts w:cs="Times New Roman"/>
          <w:szCs w:val="24"/>
        </w:rPr>
        <w:t xml:space="preserve">Leaving these concerns aside, what is left is a set of performance indicators that are exclusively output-focused and, as such, they invite general concerns about their limitations. </w:t>
      </w:r>
      <w:r w:rsidR="00312544" w:rsidRPr="00146AE1">
        <w:rPr>
          <w:rFonts w:cs="Times New Roman"/>
          <w:szCs w:val="24"/>
        </w:rPr>
        <w:t xml:space="preserve">Typically, </w:t>
      </w:r>
      <w:r w:rsidR="00FC3544">
        <w:rPr>
          <w:rFonts w:cs="Times New Roman"/>
          <w:szCs w:val="24"/>
        </w:rPr>
        <w:t>these</w:t>
      </w:r>
      <w:r w:rsidR="00FC3544" w:rsidRPr="00146AE1">
        <w:rPr>
          <w:rFonts w:cs="Times New Roman"/>
          <w:szCs w:val="24"/>
        </w:rPr>
        <w:t xml:space="preserve"> </w:t>
      </w:r>
      <w:r w:rsidR="00312544" w:rsidRPr="00146AE1">
        <w:rPr>
          <w:rFonts w:cs="Times New Roman"/>
          <w:szCs w:val="24"/>
        </w:rPr>
        <w:t>indicators reduce what is a complex phenomenon into raw data.</w:t>
      </w:r>
      <w:r w:rsidR="00312544" w:rsidRPr="00146AE1">
        <w:rPr>
          <w:rStyle w:val="FootnoteReference"/>
          <w:rFonts w:cs="Times New Roman"/>
          <w:sz w:val="24"/>
          <w:szCs w:val="24"/>
        </w:rPr>
        <w:footnoteReference w:id="48"/>
      </w:r>
      <w:r w:rsidR="00312544" w:rsidRPr="00146AE1">
        <w:rPr>
          <w:rFonts w:cs="Times New Roman"/>
          <w:szCs w:val="24"/>
        </w:rPr>
        <w:t xml:space="preserve"> This conversion can be attractive because it </w:t>
      </w:r>
      <w:r w:rsidR="00D456C9" w:rsidRPr="00146AE1">
        <w:rPr>
          <w:rFonts w:cs="Times New Roman"/>
          <w:szCs w:val="24"/>
        </w:rPr>
        <w:t>standardi</w:t>
      </w:r>
      <w:r w:rsidR="00D456C9">
        <w:rPr>
          <w:rFonts w:cs="Times New Roman"/>
          <w:szCs w:val="24"/>
        </w:rPr>
        <w:t>z</w:t>
      </w:r>
      <w:r w:rsidR="00D456C9" w:rsidRPr="00146AE1">
        <w:rPr>
          <w:rFonts w:cs="Times New Roman"/>
          <w:szCs w:val="24"/>
        </w:rPr>
        <w:t xml:space="preserve">es </w:t>
      </w:r>
      <w:r w:rsidR="00312544" w:rsidRPr="00146AE1">
        <w:rPr>
          <w:rFonts w:cs="Times New Roman"/>
          <w:szCs w:val="24"/>
        </w:rPr>
        <w:t>information</w:t>
      </w:r>
      <w:r w:rsidR="006E7862">
        <w:rPr>
          <w:rFonts w:cs="Times New Roman"/>
          <w:szCs w:val="24"/>
        </w:rPr>
        <w:t xml:space="preserve"> </w:t>
      </w:r>
      <w:r w:rsidR="00BB220F">
        <w:rPr>
          <w:rFonts w:cs="Times New Roman"/>
          <w:szCs w:val="24"/>
        </w:rPr>
        <w:t>—</w:t>
      </w:r>
      <w:r w:rsidR="00312544" w:rsidRPr="00146AE1">
        <w:rPr>
          <w:rFonts w:cs="Times New Roman"/>
          <w:szCs w:val="24"/>
        </w:rPr>
        <w:t xml:space="preserve"> making data easy</w:t>
      </w:r>
      <w:r w:rsidR="006E7862">
        <w:rPr>
          <w:rFonts w:cs="Times New Roman"/>
          <w:szCs w:val="24"/>
        </w:rPr>
        <w:t xml:space="preserve"> to read and</w:t>
      </w:r>
      <w:r w:rsidR="006B6C7A">
        <w:rPr>
          <w:rFonts w:cs="Times New Roman"/>
          <w:szCs w:val="24"/>
        </w:rPr>
        <w:t xml:space="preserve"> to </w:t>
      </w:r>
      <w:r w:rsidR="00312544" w:rsidRPr="00146AE1">
        <w:rPr>
          <w:rFonts w:cs="Times New Roman"/>
          <w:szCs w:val="24"/>
        </w:rPr>
        <w:t>compar</w:t>
      </w:r>
      <w:r w:rsidR="006E7862">
        <w:rPr>
          <w:rFonts w:cs="Times New Roman"/>
          <w:szCs w:val="24"/>
        </w:rPr>
        <w:t>e</w:t>
      </w:r>
      <w:r w:rsidR="00312544" w:rsidRPr="00146AE1">
        <w:rPr>
          <w:rFonts w:cs="Times New Roman"/>
          <w:szCs w:val="24"/>
        </w:rPr>
        <w:t xml:space="preserve"> </w:t>
      </w:r>
      <w:r w:rsidR="00BB220F">
        <w:rPr>
          <w:rFonts w:cs="Times New Roman"/>
          <w:szCs w:val="24"/>
        </w:rPr>
        <w:t>—</w:t>
      </w:r>
      <w:r w:rsidR="006E7862">
        <w:rPr>
          <w:rFonts w:cs="Times New Roman"/>
          <w:szCs w:val="24"/>
        </w:rPr>
        <w:t xml:space="preserve"> </w:t>
      </w:r>
      <w:r w:rsidR="00FE7AC8" w:rsidRPr="00146AE1">
        <w:rPr>
          <w:rFonts w:cs="Times New Roman"/>
          <w:szCs w:val="24"/>
        </w:rPr>
        <w:t>but</w:t>
      </w:r>
      <w:r w:rsidR="00FE7AC8">
        <w:rPr>
          <w:rFonts w:cs="Times New Roman"/>
          <w:szCs w:val="24"/>
        </w:rPr>
        <w:t>,</w:t>
      </w:r>
      <w:r w:rsidR="00312544" w:rsidRPr="00146AE1">
        <w:rPr>
          <w:rFonts w:cs="Times New Roman"/>
          <w:szCs w:val="24"/>
        </w:rPr>
        <w:t xml:space="preserve"> in doing so, </w:t>
      </w:r>
      <w:r w:rsidR="006E7862">
        <w:rPr>
          <w:rFonts w:cs="Times New Roman"/>
          <w:szCs w:val="24"/>
        </w:rPr>
        <w:t>it</w:t>
      </w:r>
      <w:r w:rsidR="00312544" w:rsidRPr="00146AE1">
        <w:rPr>
          <w:rFonts w:cs="Times New Roman"/>
          <w:szCs w:val="24"/>
        </w:rPr>
        <w:t xml:space="preserve"> strip</w:t>
      </w:r>
      <w:r w:rsidR="006E7862">
        <w:rPr>
          <w:rFonts w:cs="Times New Roman"/>
          <w:szCs w:val="24"/>
        </w:rPr>
        <w:t>s</w:t>
      </w:r>
      <w:r w:rsidR="00312544" w:rsidRPr="00146AE1">
        <w:rPr>
          <w:rFonts w:cs="Times New Roman"/>
          <w:szCs w:val="24"/>
        </w:rPr>
        <w:t xml:space="preserve"> meaning and context from the particular phenomena the indicators seek to capture.</w:t>
      </w:r>
      <w:r w:rsidR="00312544" w:rsidRPr="00146AE1">
        <w:rPr>
          <w:rStyle w:val="FootnoteReference"/>
          <w:rFonts w:cs="Times New Roman"/>
          <w:sz w:val="24"/>
          <w:szCs w:val="24"/>
        </w:rPr>
        <w:footnoteReference w:id="49"/>
      </w:r>
      <w:r w:rsidR="00312544" w:rsidRPr="00146AE1">
        <w:rPr>
          <w:rFonts w:cs="Times New Roman"/>
          <w:szCs w:val="24"/>
        </w:rPr>
        <w:t xml:space="preserve"> In </w:t>
      </w:r>
      <w:r w:rsidR="00BC2264">
        <w:rPr>
          <w:rFonts w:cs="Times New Roman"/>
          <w:szCs w:val="24"/>
        </w:rPr>
        <w:t>this</w:t>
      </w:r>
      <w:r w:rsidR="00BC2264" w:rsidRPr="00146AE1">
        <w:rPr>
          <w:rFonts w:cs="Times New Roman"/>
          <w:szCs w:val="24"/>
        </w:rPr>
        <w:t xml:space="preserve"> </w:t>
      </w:r>
      <w:r w:rsidR="00312544" w:rsidRPr="00146AE1">
        <w:rPr>
          <w:rFonts w:cs="Times New Roman"/>
          <w:szCs w:val="24"/>
        </w:rPr>
        <w:t>sense</w:t>
      </w:r>
      <w:r w:rsidR="00BC2264">
        <w:rPr>
          <w:rFonts w:cs="Times New Roman"/>
          <w:szCs w:val="24"/>
        </w:rPr>
        <w:t>,</w:t>
      </w:r>
      <w:r w:rsidR="00312544" w:rsidRPr="00146AE1">
        <w:rPr>
          <w:rFonts w:cs="Times New Roman"/>
          <w:szCs w:val="24"/>
        </w:rPr>
        <w:t xml:space="preserve"> output indicators always act like ‘tin-openers’.</w:t>
      </w:r>
      <w:r w:rsidR="00312544" w:rsidRPr="00146AE1">
        <w:rPr>
          <w:rStyle w:val="FootnoteReference"/>
          <w:rFonts w:cs="Times New Roman"/>
          <w:sz w:val="24"/>
          <w:szCs w:val="24"/>
        </w:rPr>
        <w:footnoteReference w:id="50"/>
      </w:r>
      <w:r w:rsidR="00312544" w:rsidRPr="00146AE1">
        <w:rPr>
          <w:rFonts w:cs="Times New Roman"/>
          <w:szCs w:val="24"/>
        </w:rPr>
        <w:t xml:space="preserve"> They do not provide authoritative conclusions about performance, but rather prompt further qualitative inquiry because the performance ‘reading’ is contestable. At the OTP, this can be illustrated by two examples.  </w:t>
      </w:r>
    </w:p>
    <w:p w:rsidR="00312544" w:rsidRPr="00146AE1" w:rsidRDefault="00312544" w:rsidP="00646176">
      <w:pPr>
        <w:ind w:firstLine="720"/>
        <w:jc w:val="both"/>
        <w:rPr>
          <w:rFonts w:cs="Times New Roman"/>
          <w:szCs w:val="24"/>
        </w:rPr>
      </w:pPr>
      <w:r w:rsidRPr="00146AE1">
        <w:rPr>
          <w:rFonts w:cs="Times New Roman"/>
          <w:szCs w:val="24"/>
        </w:rPr>
        <w:t>To take the first, prosecution results do not account for diverse causal factors</w:t>
      </w:r>
      <w:r w:rsidRPr="00146AE1" w:rsidDel="00DF7998">
        <w:rPr>
          <w:rFonts w:cs="Times New Roman"/>
          <w:szCs w:val="24"/>
        </w:rPr>
        <w:t xml:space="preserve"> </w:t>
      </w:r>
      <w:r w:rsidRPr="00146AE1">
        <w:rPr>
          <w:rFonts w:cs="Times New Roman"/>
          <w:szCs w:val="24"/>
        </w:rPr>
        <w:t xml:space="preserve">that may contribute to their achievement rates.  The OTP has </w:t>
      </w:r>
      <w:r w:rsidR="00D456C9" w:rsidRPr="00146AE1">
        <w:rPr>
          <w:rFonts w:cs="Times New Roman"/>
          <w:szCs w:val="24"/>
        </w:rPr>
        <w:t>recogni</w:t>
      </w:r>
      <w:r w:rsidR="00D456C9">
        <w:rPr>
          <w:rFonts w:cs="Times New Roman"/>
          <w:szCs w:val="24"/>
        </w:rPr>
        <w:t>z</w:t>
      </w:r>
      <w:r w:rsidR="00D456C9" w:rsidRPr="00146AE1">
        <w:rPr>
          <w:rFonts w:cs="Times New Roman"/>
          <w:szCs w:val="24"/>
        </w:rPr>
        <w:t xml:space="preserve">ed </w:t>
      </w:r>
      <w:r w:rsidRPr="00146AE1">
        <w:rPr>
          <w:rFonts w:cs="Times New Roman"/>
          <w:szCs w:val="24"/>
        </w:rPr>
        <w:t xml:space="preserve">this, and has supplemented its performance indicators by creating ‘external critical success factors’. These include </w:t>
      </w:r>
      <w:r w:rsidR="00BC2264">
        <w:rPr>
          <w:rFonts w:cs="Times New Roman"/>
          <w:szCs w:val="24"/>
        </w:rPr>
        <w:t xml:space="preserve">the presence or lack of </w:t>
      </w:r>
      <w:r w:rsidRPr="00146AE1">
        <w:rPr>
          <w:rFonts w:cs="Times New Roman"/>
          <w:szCs w:val="24"/>
        </w:rPr>
        <w:t>co-operation (</w:t>
      </w:r>
      <w:r w:rsidR="00BC2264">
        <w:rPr>
          <w:rFonts w:cs="Times New Roman"/>
          <w:szCs w:val="24"/>
        </w:rPr>
        <w:t xml:space="preserve">i.e. </w:t>
      </w:r>
      <w:r w:rsidRPr="00146AE1">
        <w:rPr>
          <w:rFonts w:cs="Times New Roman"/>
          <w:szCs w:val="24"/>
        </w:rPr>
        <w:t xml:space="preserve">the general support </w:t>
      </w:r>
      <w:r w:rsidR="00BC2264">
        <w:rPr>
          <w:rFonts w:cs="Times New Roman"/>
          <w:szCs w:val="24"/>
        </w:rPr>
        <w:t>received by</w:t>
      </w:r>
      <w:r w:rsidRPr="00146AE1">
        <w:rPr>
          <w:rFonts w:cs="Times New Roman"/>
          <w:szCs w:val="24"/>
        </w:rPr>
        <w:t xml:space="preserve"> the Office) as well as security (</w:t>
      </w:r>
      <w:r w:rsidR="00BC2264">
        <w:rPr>
          <w:rFonts w:cs="Times New Roman"/>
          <w:szCs w:val="24"/>
        </w:rPr>
        <w:t xml:space="preserve">i.e. </w:t>
      </w:r>
      <w:r w:rsidRPr="00146AE1">
        <w:rPr>
          <w:rFonts w:cs="Times New Roman"/>
          <w:szCs w:val="24"/>
        </w:rPr>
        <w:t>the inability to conduct operations due to security concerns and the impact of witness interference).</w:t>
      </w:r>
      <w:r w:rsidRPr="00146AE1">
        <w:rPr>
          <w:rStyle w:val="FootnoteReference"/>
          <w:rFonts w:cs="Times New Roman"/>
          <w:sz w:val="24"/>
          <w:szCs w:val="24"/>
        </w:rPr>
        <w:footnoteReference w:id="51"/>
      </w:r>
      <w:r w:rsidRPr="00146AE1">
        <w:rPr>
          <w:rFonts w:cs="Times New Roman"/>
          <w:szCs w:val="24"/>
        </w:rPr>
        <w:t xml:space="preserve"> Presumably, the reading </w:t>
      </w:r>
      <w:r w:rsidR="00BC2264">
        <w:rPr>
          <w:rFonts w:cs="Times New Roman"/>
          <w:szCs w:val="24"/>
        </w:rPr>
        <w:t>of</w:t>
      </w:r>
      <w:r w:rsidRPr="00146AE1">
        <w:rPr>
          <w:rFonts w:cs="Times New Roman"/>
          <w:szCs w:val="24"/>
        </w:rPr>
        <w:t xml:space="preserve"> prosecution results indicators will need to be reconciled with an accompanying assessment of these critical success factors. </w:t>
      </w:r>
    </w:p>
    <w:p w:rsidR="00312544" w:rsidRPr="00146AE1" w:rsidRDefault="00312544">
      <w:pPr>
        <w:ind w:firstLine="720"/>
        <w:jc w:val="both"/>
        <w:rPr>
          <w:rFonts w:cs="Times New Roman"/>
          <w:szCs w:val="24"/>
        </w:rPr>
      </w:pPr>
      <w:r w:rsidRPr="00146AE1">
        <w:rPr>
          <w:rFonts w:cs="Times New Roman"/>
          <w:szCs w:val="24"/>
        </w:rPr>
        <w:t xml:space="preserve">The second illustration concerns the common risk of skewed data contributing to those results. Current OTP strategy provides an example of this risk with its statistics on the </w:t>
      </w:r>
      <w:r w:rsidR="00BC2264">
        <w:rPr>
          <w:rFonts w:cs="Times New Roman"/>
          <w:szCs w:val="24"/>
        </w:rPr>
        <w:t>rate</w:t>
      </w:r>
      <w:r w:rsidR="00BC2264" w:rsidRPr="00146AE1">
        <w:rPr>
          <w:rFonts w:cs="Times New Roman"/>
          <w:szCs w:val="24"/>
        </w:rPr>
        <w:t xml:space="preserve"> </w:t>
      </w:r>
      <w:r w:rsidRPr="00146AE1">
        <w:rPr>
          <w:rFonts w:cs="Times New Roman"/>
          <w:szCs w:val="24"/>
        </w:rPr>
        <w:t>of charges confirmed at the confirmation stage.</w:t>
      </w:r>
      <w:r w:rsidRPr="00146AE1">
        <w:rPr>
          <w:rStyle w:val="FootnoteReference"/>
          <w:rFonts w:cs="Times New Roman"/>
          <w:sz w:val="24"/>
          <w:szCs w:val="24"/>
        </w:rPr>
        <w:footnoteReference w:id="52"/>
      </w:r>
      <w:r w:rsidRPr="00146AE1">
        <w:rPr>
          <w:rFonts w:cs="Times New Roman"/>
          <w:szCs w:val="24"/>
        </w:rPr>
        <w:t xml:space="preserve"> The OTP admits (conveniently in a footnote) that the positive performance increase from its previous strategy is rather drastically affected by a single case</w:t>
      </w:r>
      <w:r w:rsidR="004A1A83">
        <w:rPr>
          <w:rFonts w:cs="Times New Roman"/>
          <w:szCs w:val="24"/>
        </w:rPr>
        <w:t xml:space="preserve">, i.e. the contempt case </w:t>
      </w:r>
      <w:r w:rsidR="004A1A83" w:rsidRPr="00146AE1">
        <w:rPr>
          <w:rFonts w:cs="Times New Roman"/>
          <w:i/>
          <w:szCs w:val="24"/>
        </w:rPr>
        <w:t>Bemba</w:t>
      </w:r>
      <w:r w:rsidR="004A1A83" w:rsidRPr="00146AE1">
        <w:rPr>
          <w:rFonts w:cs="Times New Roman"/>
          <w:szCs w:val="24"/>
        </w:rPr>
        <w:t xml:space="preserve"> </w:t>
      </w:r>
      <w:r w:rsidR="004A1A83" w:rsidRPr="00146AE1">
        <w:rPr>
          <w:rFonts w:cs="Times New Roman"/>
          <w:i/>
          <w:szCs w:val="24"/>
        </w:rPr>
        <w:t>et al</w:t>
      </w:r>
      <w:r w:rsidR="00BB220F">
        <w:rPr>
          <w:rFonts w:cs="Times New Roman"/>
          <w:i/>
          <w:szCs w:val="24"/>
        </w:rPr>
        <w:t>.</w:t>
      </w:r>
      <w:r w:rsidR="004A1A83" w:rsidRPr="00146AE1">
        <w:rPr>
          <w:rFonts w:cs="Times New Roman"/>
          <w:szCs w:val="24"/>
        </w:rPr>
        <w:t xml:space="preserve"> </w:t>
      </w:r>
      <w:r w:rsidR="00BB220F">
        <w:rPr>
          <w:rFonts w:cs="Times New Roman"/>
          <w:szCs w:val="24"/>
        </w:rPr>
        <w:t>—</w:t>
      </w:r>
      <w:r w:rsidR="00BC2264">
        <w:rPr>
          <w:rFonts w:cs="Times New Roman"/>
          <w:szCs w:val="24"/>
        </w:rPr>
        <w:t xml:space="preserve"> </w:t>
      </w:r>
      <w:r w:rsidR="004A1A83">
        <w:rPr>
          <w:rFonts w:cs="Times New Roman"/>
          <w:szCs w:val="24"/>
        </w:rPr>
        <w:t>where each of</w:t>
      </w:r>
      <w:r w:rsidRPr="00146AE1">
        <w:rPr>
          <w:rFonts w:cs="Times New Roman"/>
          <w:szCs w:val="24"/>
        </w:rPr>
        <w:t xml:space="preserve"> the five defendants </w:t>
      </w:r>
      <w:r w:rsidR="004A1A83">
        <w:rPr>
          <w:rFonts w:cs="Times New Roman"/>
          <w:szCs w:val="24"/>
        </w:rPr>
        <w:t>received approximately double the number of total charges that the Office had requested for all other proceedings in the same period</w:t>
      </w:r>
      <w:r w:rsidR="00BC2264">
        <w:rPr>
          <w:rFonts w:cs="Times New Roman"/>
          <w:i/>
          <w:szCs w:val="24"/>
        </w:rPr>
        <w:t>.</w:t>
      </w:r>
      <w:r w:rsidRPr="00146AE1">
        <w:rPr>
          <w:rStyle w:val="FootnoteReference"/>
          <w:rFonts w:cs="Times New Roman"/>
          <w:sz w:val="24"/>
          <w:szCs w:val="24"/>
        </w:rPr>
        <w:footnoteReference w:id="53"/>
      </w:r>
      <w:r w:rsidRPr="00146AE1">
        <w:rPr>
          <w:rFonts w:cs="Times New Roman"/>
          <w:szCs w:val="24"/>
        </w:rPr>
        <w:t xml:space="preserve"> </w:t>
      </w:r>
      <w:r w:rsidR="004A1A83">
        <w:t>Hence, about 90% of all charges presented by the Prosecutor in the time period from June 2012 to June 2015 pertain to one single case</w:t>
      </w:r>
      <w:r w:rsidR="009D63DD">
        <w:t xml:space="preserve"> </w:t>
      </w:r>
      <w:r w:rsidR="00012FE7">
        <w:t>concerning multiple</w:t>
      </w:r>
      <w:r w:rsidR="009D63DD">
        <w:t xml:space="preserve"> offences against the administration of justice</w:t>
      </w:r>
      <w:r w:rsidR="004A1A83">
        <w:t>.</w:t>
      </w:r>
    </w:p>
    <w:p w:rsidR="00312544" w:rsidRPr="00146AE1" w:rsidRDefault="00312544">
      <w:pPr>
        <w:ind w:firstLine="720"/>
        <w:jc w:val="both"/>
        <w:rPr>
          <w:rFonts w:cs="Times New Roman"/>
          <w:szCs w:val="24"/>
        </w:rPr>
      </w:pPr>
      <w:r w:rsidRPr="00146AE1">
        <w:rPr>
          <w:rFonts w:cs="Times New Roman"/>
          <w:szCs w:val="24"/>
        </w:rPr>
        <w:t xml:space="preserve">This is not to argue that </w:t>
      </w:r>
      <w:r w:rsidR="00D43B46">
        <w:rPr>
          <w:rFonts w:cs="Times New Roman"/>
          <w:szCs w:val="24"/>
        </w:rPr>
        <w:t>output</w:t>
      </w:r>
      <w:r w:rsidRPr="00146AE1">
        <w:rPr>
          <w:rFonts w:cs="Times New Roman"/>
          <w:szCs w:val="24"/>
        </w:rPr>
        <w:t xml:space="preserve"> indicators are of no value. Indeed</w:t>
      </w:r>
      <w:r w:rsidR="009D63DD">
        <w:rPr>
          <w:rFonts w:cs="Times New Roman"/>
          <w:szCs w:val="24"/>
        </w:rPr>
        <w:t>,</w:t>
      </w:r>
      <w:r w:rsidRPr="00146AE1">
        <w:rPr>
          <w:rFonts w:cs="Times New Roman"/>
          <w:szCs w:val="24"/>
        </w:rPr>
        <w:t xml:space="preserve"> even when further explanation is needed</w:t>
      </w:r>
      <w:r w:rsidR="009D63DD">
        <w:rPr>
          <w:rFonts w:cs="Times New Roman"/>
          <w:szCs w:val="24"/>
        </w:rPr>
        <w:t>,</w:t>
      </w:r>
      <w:r w:rsidRPr="00146AE1">
        <w:rPr>
          <w:rFonts w:cs="Times New Roman"/>
          <w:szCs w:val="24"/>
        </w:rPr>
        <w:t xml:space="preserve"> the OTP’s pursuit of positive prosecution </w:t>
      </w:r>
      <w:r w:rsidR="0043616A">
        <w:rPr>
          <w:rFonts w:cs="Times New Roman"/>
          <w:szCs w:val="24"/>
        </w:rPr>
        <w:t>outputs</w:t>
      </w:r>
      <w:r w:rsidR="00D43B46" w:rsidRPr="00146AE1">
        <w:rPr>
          <w:rFonts w:cs="Times New Roman"/>
          <w:szCs w:val="24"/>
        </w:rPr>
        <w:t xml:space="preserve"> </w:t>
      </w:r>
      <w:r w:rsidRPr="00146AE1">
        <w:rPr>
          <w:rFonts w:cs="Times New Roman"/>
          <w:szCs w:val="24"/>
        </w:rPr>
        <w:t xml:space="preserve">is </w:t>
      </w:r>
      <w:r w:rsidR="0054064B">
        <w:rPr>
          <w:rFonts w:cs="Times New Roman"/>
          <w:szCs w:val="24"/>
        </w:rPr>
        <w:t xml:space="preserve">one of </w:t>
      </w:r>
      <w:r w:rsidRPr="00146AE1">
        <w:rPr>
          <w:rFonts w:cs="Times New Roman"/>
          <w:szCs w:val="24"/>
        </w:rPr>
        <w:t>its core endeavour</w:t>
      </w:r>
      <w:r w:rsidR="0054064B">
        <w:rPr>
          <w:rFonts w:cs="Times New Roman"/>
          <w:szCs w:val="24"/>
        </w:rPr>
        <w:t>s</w:t>
      </w:r>
      <w:r w:rsidRPr="00146AE1">
        <w:rPr>
          <w:rFonts w:cs="Times New Roman"/>
          <w:szCs w:val="24"/>
        </w:rPr>
        <w:t xml:space="preserve">. Furthermore, as an international court, the ICC is in a reasonable state of infancy and the Prosecutor’s desire to </w:t>
      </w:r>
      <w:r w:rsidR="0054064B">
        <w:rPr>
          <w:rFonts w:cs="Times New Roman"/>
          <w:szCs w:val="24"/>
        </w:rPr>
        <w:t>improve</w:t>
      </w:r>
      <w:r w:rsidR="0054064B" w:rsidRPr="00146AE1">
        <w:rPr>
          <w:rFonts w:cs="Times New Roman"/>
          <w:szCs w:val="24"/>
        </w:rPr>
        <w:t xml:space="preserve"> </w:t>
      </w:r>
      <w:r w:rsidRPr="00146AE1">
        <w:rPr>
          <w:rFonts w:cs="Times New Roman"/>
          <w:szCs w:val="24"/>
        </w:rPr>
        <w:t>prosecution results can be characteri</w:t>
      </w:r>
      <w:r w:rsidR="0095540F">
        <w:rPr>
          <w:rFonts w:cs="Times New Roman"/>
          <w:szCs w:val="24"/>
        </w:rPr>
        <w:t>z</w:t>
      </w:r>
      <w:r w:rsidRPr="00146AE1">
        <w:rPr>
          <w:rFonts w:cs="Times New Roman"/>
          <w:szCs w:val="24"/>
        </w:rPr>
        <w:t>ed as wanting to put ‘legal runs on the board.’</w:t>
      </w:r>
      <w:r w:rsidRPr="00146AE1">
        <w:rPr>
          <w:rStyle w:val="FootnoteReference"/>
          <w:rFonts w:cs="Times New Roman"/>
          <w:sz w:val="24"/>
          <w:szCs w:val="24"/>
        </w:rPr>
        <w:footnoteReference w:id="54"/>
      </w:r>
      <w:r w:rsidRPr="00146AE1">
        <w:rPr>
          <w:rFonts w:cs="Times New Roman"/>
          <w:szCs w:val="24"/>
        </w:rPr>
        <w:t xml:space="preserve"> Successful ‘runs’ demonstrate </w:t>
      </w:r>
      <w:r w:rsidR="00A64B00">
        <w:rPr>
          <w:rFonts w:cs="Times New Roman"/>
          <w:szCs w:val="24"/>
        </w:rPr>
        <w:t>the Prosecutor’s</w:t>
      </w:r>
      <w:r w:rsidR="00012FE7" w:rsidRPr="00146AE1">
        <w:rPr>
          <w:rFonts w:cs="Times New Roman"/>
          <w:szCs w:val="24"/>
        </w:rPr>
        <w:t xml:space="preserve"> </w:t>
      </w:r>
      <w:r w:rsidRPr="00146AE1">
        <w:rPr>
          <w:rFonts w:cs="Times New Roman"/>
          <w:szCs w:val="24"/>
        </w:rPr>
        <w:t xml:space="preserve">ability to </w:t>
      </w:r>
      <w:r w:rsidR="00012FE7">
        <w:rPr>
          <w:rFonts w:cs="Times New Roman"/>
          <w:szCs w:val="24"/>
        </w:rPr>
        <w:t>prosecute defendants</w:t>
      </w:r>
      <w:r w:rsidR="00012FE7" w:rsidRPr="00146AE1">
        <w:rPr>
          <w:rFonts w:cs="Times New Roman"/>
          <w:szCs w:val="24"/>
        </w:rPr>
        <w:t xml:space="preserve"> </w:t>
      </w:r>
      <w:r w:rsidRPr="00146AE1">
        <w:rPr>
          <w:rFonts w:cs="Times New Roman"/>
          <w:szCs w:val="24"/>
        </w:rPr>
        <w:t>through to</w:t>
      </w:r>
      <w:r w:rsidR="00012FE7">
        <w:rPr>
          <w:rFonts w:cs="Times New Roman"/>
          <w:szCs w:val="24"/>
        </w:rPr>
        <w:t xml:space="preserve"> </w:t>
      </w:r>
      <w:r w:rsidRPr="00146AE1">
        <w:rPr>
          <w:rFonts w:cs="Times New Roman"/>
          <w:szCs w:val="24"/>
        </w:rPr>
        <w:t>conviction and, in the process</w:t>
      </w:r>
      <w:r w:rsidR="0054064B">
        <w:rPr>
          <w:rFonts w:cs="Times New Roman"/>
          <w:szCs w:val="24"/>
        </w:rPr>
        <w:t>,</w:t>
      </w:r>
      <w:r w:rsidRPr="00146AE1">
        <w:rPr>
          <w:rFonts w:cs="Times New Roman"/>
          <w:szCs w:val="24"/>
        </w:rPr>
        <w:t xml:space="preserve"> help improve her procedural conduct at all stages in future cases.</w:t>
      </w:r>
    </w:p>
    <w:p w:rsidR="006100D0" w:rsidRDefault="00312544">
      <w:pPr>
        <w:jc w:val="both"/>
        <w:rPr>
          <w:rFonts w:cs="Times New Roman"/>
          <w:szCs w:val="24"/>
        </w:rPr>
      </w:pPr>
      <w:r w:rsidRPr="00146AE1">
        <w:rPr>
          <w:rFonts w:cs="Times New Roman"/>
          <w:szCs w:val="24"/>
        </w:rPr>
        <w:t xml:space="preserve"> </w:t>
      </w:r>
      <w:r w:rsidR="00DD75FD">
        <w:rPr>
          <w:rFonts w:cs="Times New Roman"/>
          <w:szCs w:val="24"/>
        </w:rPr>
        <w:tab/>
      </w:r>
      <w:r w:rsidRPr="00146AE1">
        <w:rPr>
          <w:rFonts w:cs="Times New Roman"/>
          <w:szCs w:val="24"/>
        </w:rPr>
        <w:t>Rather</w:t>
      </w:r>
      <w:r w:rsidR="0054064B">
        <w:rPr>
          <w:rFonts w:cs="Times New Roman"/>
          <w:szCs w:val="24"/>
        </w:rPr>
        <w:t>,</w:t>
      </w:r>
      <w:r w:rsidRPr="00146AE1">
        <w:rPr>
          <w:rFonts w:cs="Times New Roman"/>
          <w:szCs w:val="24"/>
        </w:rPr>
        <w:t xml:space="preserve"> the more fundamental problem with the OTP’s performance indicators is the lack of attention shown to measuring prosecution effectiveness in terms of their</w:t>
      </w:r>
      <w:r w:rsidR="00012FE7">
        <w:rPr>
          <w:rFonts w:cs="Times New Roman"/>
          <w:szCs w:val="24"/>
        </w:rPr>
        <w:t xml:space="preserve"> specific</w:t>
      </w:r>
      <w:r w:rsidRPr="00146AE1">
        <w:rPr>
          <w:rFonts w:cs="Times New Roman"/>
          <w:szCs w:val="24"/>
        </w:rPr>
        <w:t xml:space="preserve"> outcomes</w:t>
      </w:r>
      <w:r w:rsidR="00F05452">
        <w:rPr>
          <w:rFonts w:cs="Times New Roman"/>
          <w:szCs w:val="24"/>
        </w:rPr>
        <w:t xml:space="preserve"> (i.e. desired effects on conflict-affected populations that </w:t>
      </w:r>
      <w:r w:rsidR="00A64B00">
        <w:rPr>
          <w:rFonts w:cs="Times New Roman"/>
          <w:szCs w:val="24"/>
        </w:rPr>
        <w:t>help</w:t>
      </w:r>
      <w:r w:rsidR="00F05452">
        <w:rPr>
          <w:rFonts w:cs="Times New Roman"/>
          <w:szCs w:val="24"/>
        </w:rPr>
        <w:t xml:space="preserve"> </w:t>
      </w:r>
      <w:r w:rsidR="00A64B00">
        <w:rPr>
          <w:rFonts w:cs="Times New Roman"/>
          <w:szCs w:val="24"/>
        </w:rPr>
        <w:t>end the impunity of perpetrators and contribute to the</w:t>
      </w:r>
      <w:r w:rsidR="00F05452">
        <w:rPr>
          <w:rFonts w:cs="Times New Roman"/>
          <w:szCs w:val="24"/>
        </w:rPr>
        <w:t xml:space="preserve"> prevention of crimes). </w:t>
      </w:r>
      <w:r w:rsidRPr="00146AE1">
        <w:rPr>
          <w:szCs w:val="24"/>
        </w:rPr>
        <w:t xml:space="preserve">This problem can be expressed as the gap between what </w:t>
      </w:r>
      <w:r w:rsidRPr="00146AE1">
        <w:rPr>
          <w:i/>
          <w:szCs w:val="24"/>
        </w:rPr>
        <w:t>ought</w:t>
      </w:r>
      <w:r w:rsidRPr="00146AE1">
        <w:rPr>
          <w:szCs w:val="24"/>
        </w:rPr>
        <w:t xml:space="preserve"> to be measured with what </w:t>
      </w:r>
      <w:r w:rsidRPr="00146AE1">
        <w:rPr>
          <w:i/>
          <w:szCs w:val="24"/>
        </w:rPr>
        <w:t xml:space="preserve">can </w:t>
      </w:r>
      <w:r w:rsidRPr="00146AE1">
        <w:rPr>
          <w:szCs w:val="24"/>
        </w:rPr>
        <w:t xml:space="preserve">(accurately) be measured. In </w:t>
      </w:r>
      <w:r w:rsidR="00B43595">
        <w:rPr>
          <w:szCs w:val="24"/>
        </w:rPr>
        <w:t>organiz</w:t>
      </w:r>
      <w:r w:rsidRPr="00146AE1">
        <w:rPr>
          <w:szCs w:val="24"/>
        </w:rPr>
        <w:t>ations that pursue complex goals, this gap is often articulated with frustration best captured by the expression ‘</w:t>
      </w:r>
      <w:r w:rsidR="00F05452">
        <w:rPr>
          <w:szCs w:val="24"/>
        </w:rPr>
        <w:t>only what is measurable</w:t>
      </w:r>
      <w:r w:rsidRPr="00146AE1">
        <w:rPr>
          <w:szCs w:val="24"/>
        </w:rPr>
        <w:t xml:space="preserve"> matters.’</w:t>
      </w:r>
      <w:r w:rsidRPr="00146AE1">
        <w:rPr>
          <w:rStyle w:val="FootnoteReference"/>
          <w:sz w:val="24"/>
          <w:szCs w:val="24"/>
        </w:rPr>
        <w:footnoteReference w:id="55"/>
      </w:r>
      <w:r w:rsidRPr="00146AE1">
        <w:rPr>
          <w:szCs w:val="24"/>
        </w:rPr>
        <w:t xml:space="preserve"> </w:t>
      </w:r>
      <w:r w:rsidRPr="00146AE1">
        <w:rPr>
          <w:rFonts w:cs="Times New Roman"/>
          <w:szCs w:val="24"/>
        </w:rPr>
        <w:t xml:space="preserve"> The OTP has fallen into this measurement trap</w:t>
      </w:r>
      <w:r w:rsidR="00F05452">
        <w:rPr>
          <w:rFonts w:cs="Times New Roman"/>
          <w:szCs w:val="24"/>
        </w:rPr>
        <w:t xml:space="preserve">, with its failure to measure prosecution effectiveness explained by a combination of outcome uncertainty and the </w:t>
      </w:r>
      <w:r w:rsidR="0054064B">
        <w:rPr>
          <w:rFonts w:cs="Times New Roman"/>
          <w:szCs w:val="24"/>
        </w:rPr>
        <w:t xml:space="preserve">impossibility </w:t>
      </w:r>
      <w:r w:rsidR="00F05452">
        <w:rPr>
          <w:rFonts w:cs="Times New Roman"/>
          <w:szCs w:val="24"/>
        </w:rPr>
        <w:t>of</w:t>
      </w:r>
      <w:r w:rsidR="0054064B">
        <w:rPr>
          <w:rFonts w:cs="Times New Roman"/>
          <w:szCs w:val="24"/>
        </w:rPr>
        <w:t xml:space="preserve"> unequivocally</w:t>
      </w:r>
      <w:r w:rsidRPr="00146AE1">
        <w:rPr>
          <w:rFonts w:cs="Times New Roman"/>
          <w:szCs w:val="24"/>
        </w:rPr>
        <w:t xml:space="preserve"> attribut</w:t>
      </w:r>
      <w:r w:rsidR="00F05452">
        <w:rPr>
          <w:rFonts w:cs="Times New Roman"/>
          <w:szCs w:val="24"/>
        </w:rPr>
        <w:t>ing</w:t>
      </w:r>
      <w:r w:rsidR="0054064B">
        <w:rPr>
          <w:rFonts w:cs="Times New Roman"/>
          <w:szCs w:val="24"/>
        </w:rPr>
        <w:t xml:space="preserve"> certain outcomes to</w:t>
      </w:r>
      <w:r w:rsidRPr="00146AE1">
        <w:rPr>
          <w:rFonts w:cs="Times New Roman"/>
          <w:szCs w:val="24"/>
        </w:rPr>
        <w:t xml:space="preserve"> its own </w:t>
      </w:r>
      <w:r w:rsidR="0054064B">
        <w:rPr>
          <w:rFonts w:cs="Times New Roman"/>
          <w:szCs w:val="24"/>
        </w:rPr>
        <w:t xml:space="preserve">prosecutorial </w:t>
      </w:r>
      <w:r w:rsidRPr="00146AE1">
        <w:rPr>
          <w:rFonts w:cs="Times New Roman"/>
          <w:szCs w:val="24"/>
        </w:rPr>
        <w:t xml:space="preserve">performance. </w:t>
      </w:r>
    </w:p>
    <w:p w:rsidR="001B55DE" w:rsidRPr="00146AE1" w:rsidRDefault="00312544">
      <w:pPr>
        <w:ind w:firstLine="720"/>
        <w:jc w:val="both"/>
        <w:rPr>
          <w:rFonts w:cs="Times New Roman"/>
          <w:szCs w:val="24"/>
        </w:rPr>
      </w:pPr>
      <w:r w:rsidRPr="00146AE1">
        <w:rPr>
          <w:rFonts w:cs="Times New Roman"/>
          <w:szCs w:val="24"/>
        </w:rPr>
        <w:t xml:space="preserve">However, </w:t>
      </w:r>
      <w:r w:rsidR="006100D0">
        <w:rPr>
          <w:rFonts w:cs="Times New Roman"/>
          <w:szCs w:val="24"/>
        </w:rPr>
        <w:t>beyond measurement difficulties</w:t>
      </w:r>
      <w:r w:rsidRPr="00146AE1">
        <w:rPr>
          <w:rFonts w:cs="Times New Roman"/>
          <w:szCs w:val="24"/>
        </w:rPr>
        <w:t xml:space="preserve">, two further </w:t>
      </w:r>
      <w:r w:rsidR="006100D0">
        <w:rPr>
          <w:rFonts w:cs="Times New Roman"/>
          <w:szCs w:val="24"/>
        </w:rPr>
        <w:t>concerns</w:t>
      </w:r>
      <w:r w:rsidR="006100D0" w:rsidRPr="00146AE1">
        <w:rPr>
          <w:rFonts w:cs="Times New Roman"/>
          <w:szCs w:val="24"/>
        </w:rPr>
        <w:t xml:space="preserve"> </w:t>
      </w:r>
      <w:r w:rsidRPr="00146AE1">
        <w:rPr>
          <w:rFonts w:cs="Times New Roman"/>
          <w:szCs w:val="24"/>
        </w:rPr>
        <w:t xml:space="preserve">explain the lack of attention </w:t>
      </w:r>
      <w:r w:rsidR="006100D0">
        <w:rPr>
          <w:rFonts w:cs="Times New Roman"/>
          <w:szCs w:val="24"/>
        </w:rPr>
        <w:t>towards</w:t>
      </w:r>
      <w:r w:rsidR="006100D0" w:rsidRPr="00146AE1">
        <w:rPr>
          <w:rFonts w:cs="Times New Roman"/>
          <w:szCs w:val="24"/>
        </w:rPr>
        <w:t xml:space="preserve"> </w:t>
      </w:r>
      <w:r w:rsidRPr="00146AE1">
        <w:rPr>
          <w:rFonts w:cs="Times New Roman"/>
          <w:szCs w:val="24"/>
        </w:rPr>
        <w:t>prosecution effectiveness</w:t>
      </w:r>
      <w:r w:rsidR="006100D0">
        <w:rPr>
          <w:rFonts w:cs="Times New Roman"/>
          <w:szCs w:val="24"/>
        </w:rPr>
        <w:t>: economy and efficiency</w:t>
      </w:r>
      <w:r w:rsidRPr="00146AE1">
        <w:rPr>
          <w:rFonts w:cs="Times New Roman"/>
          <w:szCs w:val="24"/>
        </w:rPr>
        <w:t xml:space="preserve">. </w:t>
      </w:r>
    </w:p>
    <w:p w:rsidR="001B55DE" w:rsidRPr="00146AE1" w:rsidRDefault="001B55DE">
      <w:pPr>
        <w:jc w:val="both"/>
        <w:rPr>
          <w:rFonts w:cs="Times New Roman"/>
          <w:szCs w:val="24"/>
        </w:rPr>
      </w:pPr>
    </w:p>
    <w:p w:rsidR="00312544" w:rsidRPr="00146AE1" w:rsidRDefault="00312544">
      <w:pPr>
        <w:jc w:val="both"/>
        <w:rPr>
          <w:rFonts w:cs="Times New Roman"/>
          <w:b/>
          <w:i/>
          <w:szCs w:val="24"/>
        </w:rPr>
      </w:pPr>
      <w:r w:rsidRPr="00146AE1">
        <w:rPr>
          <w:rFonts w:cs="Times New Roman"/>
          <w:b/>
          <w:i/>
          <w:szCs w:val="24"/>
        </w:rPr>
        <w:t>A. Economy and Inputs</w:t>
      </w:r>
    </w:p>
    <w:p w:rsidR="00312544" w:rsidRPr="00146AE1" w:rsidRDefault="00A22D9D">
      <w:pPr>
        <w:jc w:val="both"/>
        <w:rPr>
          <w:szCs w:val="24"/>
        </w:rPr>
      </w:pPr>
      <w:r>
        <w:rPr>
          <w:szCs w:val="24"/>
        </w:rPr>
        <w:t>The aim of ‘e</w:t>
      </w:r>
      <w:r w:rsidR="00312544" w:rsidRPr="00146AE1">
        <w:rPr>
          <w:szCs w:val="24"/>
        </w:rPr>
        <w:t>conomy</w:t>
      </w:r>
      <w:r>
        <w:rPr>
          <w:szCs w:val="24"/>
        </w:rPr>
        <w:t>’</w:t>
      </w:r>
      <w:r w:rsidR="00056EA5">
        <w:rPr>
          <w:szCs w:val="24"/>
        </w:rPr>
        <w:t xml:space="preserve"> is to</w:t>
      </w:r>
      <w:r w:rsidR="00312544" w:rsidRPr="00146AE1">
        <w:rPr>
          <w:szCs w:val="24"/>
        </w:rPr>
        <w:t xml:space="preserve"> </w:t>
      </w:r>
      <w:r>
        <w:rPr>
          <w:szCs w:val="24"/>
        </w:rPr>
        <w:t>drive</w:t>
      </w:r>
      <w:r w:rsidR="00312544" w:rsidRPr="00146AE1">
        <w:rPr>
          <w:szCs w:val="24"/>
        </w:rPr>
        <w:t xml:space="preserve"> performance </w:t>
      </w:r>
      <w:r>
        <w:rPr>
          <w:szCs w:val="24"/>
        </w:rPr>
        <w:t>towards</w:t>
      </w:r>
      <w:r w:rsidR="00312544" w:rsidRPr="00146AE1">
        <w:rPr>
          <w:szCs w:val="24"/>
        </w:rPr>
        <w:t xml:space="preserve"> the reduction of costs (or inputs) or, simply, </w:t>
      </w:r>
      <w:r w:rsidR="00702C3A">
        <w:rPr>
          <w:szCs w:val="24"/>
        </w:rPr>
        <w:t xml:space="preserve">towards </w:t>
      </w:r>
      <w:r w:rsidR="00312544" w:rsidRPr="00146AE1">
        <w:rPr>
          <w:szCs w:val="24"/>
        </w:rPr>
        <w:t>minimising the consumption of resources.</w:t>
      </w:r>
      <w:r w:rsidR="00312544" w:rsidRPr="00146AE1">
        <w:rPr>
          <w:szCs w:val="24"/>
          <w:vertAlign w:val="superscript"/>
        </w:rPr>
        <w:footnoteReference w:id="56"/>
      </w:r>
      <w:r w:rsidR="00312544" w:rsidRPr="00146AE1">
        <w:rPr>
          <w:szCs w:val="24"/>
        </w:rPr>
        <w:t xml:space="preserve"> However, in </w:t>
      </w:r>
      <w:r w:rsidR="00702C3A">
        <w:rPr>
          <w:szCs w:val="24"/>
        </w:rPr>
        <w:t>most</w:t>
      </w:r>
      <w:r w:rsidR="00702C3A" w:rsidRPr="00146AE1">
        <w:rPr>
          <w:szCs w:val="24"/>
        </w:rPr>
        <w:t xml:space="preserve"> </w:t>
      </w:r>
      <w:r w:rsidR="00B43595">
        <w:rPr>
          <w:szCs w:val="24"/>
        </w:rPr>
        <w:t>organiz</w:t>
      </w:r>
      <w:r w:rsidR="00312544" w:rsidRPr="00146AE1">
        <w:rPr>
          <w:szCs w:val="24"/>
        </w:rPr>
        <w:t>ations economy is rarely an end itself</w:t>
      </w:r>
      <w:r w:rsidR="00702C3A">
        <w:rPr>
          <w:szCs w:val="24"/>
        </w:rPr>
        <w:t>,</w:t>
      </w:r>
      <w:r w:rsidR="00312544" w:rsidRPr="00146AE1">
        <w:rPr>
          <w:szCs w:val="24"/>
        </w:rPr>
        <w:t xml:space="preserve"> but is </w:t>
      </w:r>
      <w:r w:rsidR="00702C3A">
        <w:rPr>
          <w:szCs w:val="24"/>
        </w:rPr>
        <w:t xml:space="preserve">usually </w:t>
      </w:r>
      <w:r w:rsidR="00312544" w:rsidRPr="00146AE1">
        <w:rPr>
          <w:szCs w:val="24"/>
        </w:rPr>
        <w:t>combined with a commitment to an acceptable benchmark of output quality.</w:t>
      </w:r>
      <w:r w:rsidR="00312544" w:rsidRPr="00146AE1">
        <w:rPr>
          <w:szCs w:val="24"/>
          <w:vertAlign w:val="superscript"/>
        </w:rPr>
        <w:footnoteReference w:id="57"/>
      </w:r>
      <w:r w:rsidR="00312544" w:rsidRPr="00146AE1">
        <w:rPr>
          <w:szCs w:val="24"/>
        </w:rPr>
        <w:t xml:space="preserve"> In this regard, this section discusses the OTP’s performance indicators within an economic </w:t>
      </w:r>
      <w:r w:rsidR="00AD793C">
        <w:rPr>
          <w:szCs w:val="24"/>
        </w:rPr>
        <w:t>mind-set</w:t>
      </w:r>
      <w:r w:rsidR="00312544" w:rsidRPr="00146AE1">
        <w:rPr>
          <w:szCs w:val="24"/>
        </w:rPr>
        <w:t xml:space="preserve">. </w:t>
      </w:r>
      <w:r w:rsidR="00702C3A">
        <w:rPr>
          <w:szCs w:val="24"/>
        </w:rPr>
        <w:t>Whilst</w:t>
      </w:r>
      <w:r w:rsidR="00312544" w:rsidRPr="00146AE1">
        <w:rPr>
          <w:szCs w:val="24"/>
        </w:rPr>
        <w:t xml:space="preserve"> performance indicators </w:t>
      </w:r>
      <w:r w:rsidR="00702C3A">
        <w:rPr>
          <w:szCs w:val="24"/>
        </w:rPr>
        <w:t xml:space="preserve">based on economic considerations </w:t>
      </w:r>
      <w:r w:rsidR="00312544" w:rsidRPr="00146AE1">
        <w:rPr>
          <w:szCs w:val="24"/>
        </w:rPr>
        <w:t xml:space="preserve">fulfil </w:t>
      </w:r>
      <w:r w:rsidR="00702C3A">
        <w:rPr>
          <w:szCs w:val="24"/>
        </w:rPr>
        <w:t>(arguably desirable)</w:t>
      </w:r>
      <w:r w:rsidR="00312544" w:rsidRPr="00146AE1">
        <w:rPr>
          <w:szCs w:val="24"/>
        </w:rPr>
        <w:t xml:space="preserve"> accountability and audit purpose</w:t>
      </w:r>
      <w:r w:rsidR="00702C3A">
        <w:rPr>
          <w:szCs w:val="24"/>
        </w:rPr>
        <w:t>s</w:t>
      </w:r>
      <w:r w:rsidR="00312544" w:rsidRPr="00146AE1">
        <w:rPr>
          <w:szCs w:val="24"/>
        </w:rPr>
        <w:t xml:space="preserve">, </w:t>
      </w:r>
      <w:r w:rsidR="00702C3A">
        <w:rPr>
          <w:szCs w:val="24"/>
        </w:rPr>
        <w:t>they</w:t>
      </w:r>
      <w:r w:rsidR="00702C3A" w:rsidRPr="00146AE1">
        <w:rPr>
          <w:szCs w:val="24"/>
        </w:rPr>
        <w:t xml:space="preserve"> </w:t>
      </w:r>
      <w:r w:rsidR="00702C3A">
        <w:rPr>
          <w:szCs w:val="24"/>
        </w:rPr>
        <w:t xml:space="preserve">may </w:t>
      </w:r>
      <w:r w:rsidR="00312544" w:rsidRPr="00146AE1">
        <w:rPr>
          <w:szCs w:val="24"/>
        </w:rPr>
        <w:t xml:space="preserve">also produce negative consequences for the Prosecutor’s professional identity. In turn, </w:t>
      </w:r>
      <w:r w:rsidR="00702C3A">
        <w:rPr>
          <w:szCs w:val="24"/>
        </w:rPr>
        <w:t>such consequences</w:t>
      </w:r>
      <w:r w:rsidR="00312544" w:rsidRPr="00146AE1">
        <w:rPr>
          <w:szCs w:val="24"/>
        </w:rPr>
        <w:t xml:space="preserve"> further explain the lack of attention </w:t>
      </w:r>
      <w:r w:rsidR="00702C3A">
        <w:rPr>
          <w:szCs w:val="24"/>
        </w:rPr>
        <w:t>with regard to</w:t>
      </w:r>
      <w:r w:rsidR="00312544" w:rsidRPr="00146AE1">
        <w:rPr>
          <w:szCs w:val="24"/>
        </w:rPr>
        <w:t xml:space="preserve"> measuring prosecution effectiveness.</w:t>
      </w:r>
    </w:p>
    <w:p w:rsidR="00312544" w:rsidRPr="00146AE1" w:rsidRDefault="00312544">
      <w:pPr>
        <w:jc w:val="both"/>
        <w:rPr>
          <w:szCs w:val="24"/>
        </w:rPr>
      </w:pPr>
      <w:r w:rsidRPr="00146AE1">
        <w:rPr>
          <w:szCs w:val="24"/>
        </w:rPr>
        <w:t xml:space="preserve"> </w:t>
      </w:r>
      <w:r w:rsidR="00056EA5">
        <w:rPr>
          <w:szCs w:val="24"/>
        </w:rPr>
        <w:tab/>
        <w:t>Seeking</w:t>
      </w:r>
      <w:r w:rsidRPr="00146AE1">
        <w:rPr>
          <w:szCs w:val="24"/>
        </w:rPr>
        <w:t xml:space="preserve"> economy while maintaining </w:t>
      </w:r>
      <w:r w:rsidR="00543183">
        <w:rPr>
          <w:szCs w:val="24"/>
        </w:rPr>
        <w:t xml:space="preserve">the </w:t>
      </w:r>
      <w:r w:rsidRPr="00146AE1">
        <w:rPr>
          <w:szCs w:val="24"/>
        </w:rPr>
        <w:t xml:space="preserve">quality of outputs is often associated with a ‘hard’ form of </w:t>
      </w:r>
      <w:r w:rsidR="00186171" w:rsidRPr="00146AE1">
        <w:rPr>
          <w:szCs w:val="24"/>
        </w:rPr>
        <w:t>managerialism</w:t>
      </w:r>
      <w:r w:rsidR="00186171">
        <w:rPr>
          <w:szCs w:val="24"/>
        </w:rPr>
        <w:t>, which</w:t>
      </w:r>
      <w:r w:rsidR="00AD793C">
        <w:rPr>
          <w:szCs w:val="24"/>
        </w:rPr>
        <w:t xml:space="preserve"> holds that</w:t>
      </w:r>
      <w:r w:rsidR="00C57605">
        <w:rPr>
          <w:szCs w:val="24"/>
        </w:rPr>
        <w:t xml:space="preserve"> reducing the amount of available resource</w:t>
      </w:r>
      <w:r w:rsidR="00AD793C">
        <w:rPr>
          <w:szCs w:val="24"/>
        </w:rPr>
        <w:t>s can</w:t>
      </w:r>
      <w:r w:rsidR="00C57605">
        <w:rPr>
          <w:szCs w:val="24"/>
        </w:rPr>
        <w:t xml:space="preserve"> increase their relative value </w:t>
      </w:r>
      <w:r w:rsidR="00AD793C">
        <w:rPr>
          <w:szCs w:val="24"/>
        </w:rPr>
        <w:t xml:space="preserve">(i.e. </w:t>
      </w:r>
      <w:r w:rsidR="00C57605">
        <w:rPr>
          <w:szCs w:val="24"/>
        </w:rPr>
        <w:t>avoiding waste</w:t>
      </w:r>
      <w:r w:rsidR="00AD793C">
        <w:rPr>
          <w:szCs w:val="24"/>
        </w:rPr>
        <w:t>)</w:t>
      </w:r>
      <w:r w:rsidR="00C57605">
        <w:rPr>
          <w:szCs w:val="24"/>
        </w:rPr>
        <w:t xml:space="preserve"> and</w:t>
      </w:r>
      <w:r w:rsidR="00AD793C">
        <w:rPr>
          <w:szCs w:val="24"/>
        </w:rPr>
        <w:t>, thus,</w:t>
      </w:r>
      <w:r w:rsidR="00C57605">
        <w:rPr>
          <w:szCs w:val="24"/>
        </w:rPr>
        <w:t xml:space="preserve"> produc</w:t>
      </w:r>
      <w:r w:rsidR="00AD793C">
        <w:rPr>
          <w:szCs w:val="24"/>
        </w:rPr>
        <w:t>e</w:t>
      </w:r>
      <w:r w:rsidR="00186171">
        <w:rPr>
          <w:szCs w:val="24"/>
        </w:rPr>
        <w:t>s</w:t>
      </w:r>
      <w:r w:rsidR="00AD793C">
        <w:rPr>
          <w:szCs w:val="24"/>
        </w:rPr>
        <w:t xml:space="preserve"> </w:t>
      </w:r>
      <w:r w:rsidR="00C57605">
        <w:rPr>
          <w:szCs w:val="24"/>
        </w:rPr>
        <w:t>better results.</w:t>
      </w:r>
      <w:r w:rsidRPr="00146AE1">
        <w:rPr>
          <w:szCs w:val="24"/>
          <w:vertAlign w:val="superscript"/>
        </w:rPr>
        <w:footnoteReference w:id="58"/>
      </w:r>
      <w:r w:rsidRPr="00146AE1">
        <w:rPr>
          <w:b/>
          <w:i/>
          <w:szCs w:val="24"/>
        </w:rPr>
        <w:t xml:space="preserve"> </w:t>
      </w:r>
      <w:r w:rsidR="00C57605">
        <w:rPr>
          <w:szCs w:val="24"/>
        </w:rPr>
        <w:t>Typically</w:t>
      </w:r>
      <w:r w:rsidRPr="00146AE1">
        <w:rPr>
          <w:szCs w:val="24"/>
        </w:rPr>
        <w:t xml:space="preserve">, this </w:t>
      </w:r>
      <w:r w:rsidR="00AD793C">
        <w:rPr>
          <w:szCs w:val="24"/>
        </w:rPr>
        <w:t>requires</w:t>
      </w:r>
      <w:r w:rsidR="00AD793C" w:rsidRPr="00146AE1">
        <w:rPr>
          <w:szCs w:val="24"/>
        </w:rPr>
        <w:t xml:space="preserve"> </w:t>
      </w:r>
      <w:r w:rsidRPr="00146AE1">
        <w:rPr>
          <w:szCs w:val="24"/>
        </w:rPr>
        <w:t>aggressive monitor</w:t>
      </w:r>
      <w:r w:rsidR="00AD793C">
        <w:rPr>
          <w:szCs w:val="24"/>
        </w:rPr>
        <w:t>ing</w:t>
      </w:r>
      <w:r w:rsidRPr="00146AE1">
        <w:rPr>
          <w:szCs w:val="24"/>
        </w:rPr>
        <w:t xml:space="preserve"> by a management and</w:t>
      </w:r>
      <w:r w:rsidR="00517D87">
        <w:rPr>
          <w:szCs w:val="24"/>
        </w:rPr>
        <w:t>/or</w:t>
      </w:r>
      <w:r w:rsidRPr="00146AE1">
        <w:rPr>
          <w:szCs w:val="24"/>
        </w:rPr>
        <w:t xml:space="preserve"> funding body that exerts accountability for those results</w:t>
      </w:r>
      <w:r w:rsidR="00AD793C">
        <w:rPr>
          <w:szCs w:val="24"/>
        </w:rPr>
        <w:t xml:space="preserve"> but</w:t>
      </w:r>
      <w:r w:rsidRPr="00146AE1">
        <w:rPr>
          <w:szCs w:val="24"/>
        </w:rPr>
        <w:t xml:space="preserve"> simultaneously</w:t>
      </w:r>
      <w:r w:rsidR="00AD793C">
        <w:rPr>
          <w:szCs w:val="24"/>
        </w:rPr>
        <w:t xml:space="preserve"> can</w:t>
      </w:r>
      <w:r w:rsidRPr="00146AE1">
        <w:rPr>
          <w:szCs w:val="24"/>
        </w:rPr>
        <w:t xml:space="preserve"> place a financial </w:t>
      </w:r>
      <w:r w:rsidR="00517D87">
        <w:rPr>
          <w:szCs w:val="24"/>
        </w:rPr>
        <w:t>restraint</w:t>
      </w:r>
      <w:r w:rsidR="00517D87" w:rsidRPr="00146AE1">
        <w:rPr>
          <w:szCs w:val="24"/>
        </w:rPr>
        <w:t xml:space="preserve"> </w:t>
      </w:r>
      <w:r w:rsidRPr="00146AE1">
        <w:rPr>
          <w:szCs w:val="24"/>
        </w:rPr>
        <w:t xml:space="preserve">on the </w:t>
      </w:r>
      <w:r w:rsidR="00B43595">
        <w:rPr>
          <w:szCs w:val="24"/>
        </w:rPr>
        <w:t>organiz</w:t>
      </w:r>
      <w:r w:rsidRPr="00146AE1">
        <w:rPr>
          <w:szCs w:val="24"/>
        </w:rPr>
        <w:t>ation.</w:t>
      </w:r>
    </w:p>
    <w:p w:rsidR="00312544" w:rsidRPr="00146AE1" w:rsidRDefault="00517D87">
      <w:pPr>
        <w:ind w:firstLine="720"/>
        <w:jc w:val="both"/>
        <w:rPr>
          <w:szCs w:val="24"/>
        </w:rPr>
      </w:pPr>
      <w:r>
        <w:rPr>
          <w:szCs w:val="24"/>
        </w:rPr>
        <w:t>In the ICC</w:t>
      </w:r>
      <w:r w:rsidR="00AD793C">
        <w:rPr>
          <w:szCs w:val="24"/>
        </w:rPr>
        <w:t>’s</w:t>
      </w:r>
      <w:r>
        <w:rPr>
          <w:szCs w:val="24"/>
        </w:rPr>
        <w:t xml:space="preserve"> case, </w:t>
      </w:r>
      <w:r w:rsidR="00312544" w:rsidRPr="00146AE1">
        <w:rPr>
          <w:szCs w:val="24"/>
        </w:rPr>
        <w:t xml:space="preserve">this body </w:t>
      </w:r>
      <w:r>
        <w:rPr>
          <w:szCs w:val="24"/>
        </w:rPr>
        <w:t>would be</w:t>
      </w:r>
      <w:r w:rsidR="00312544" w:rsidRPr="00146AE1">
        <w:rPr>
          <w:szCs w:val="24"/>
        </w:rPr>
        <w:t xml:space="preserve"> the Assembly of States Parties</w:t>
      </w:r>
      <w:r w:rsidR="005B16F7">
        <w:rPr>
          <w:szCs w:val="24"/>
        </w:rPr>
        <w:t xml:space="preserve"> (ASP)</w:t>
      </w:r>
      <w:r>
        <w:rPr>
          <w:szCs w:val="24"/>
        </w:rPr>
        <w:t>,</w:t>
      </w:r>
      <w:r w:rsidR="00312544" w:rsidRPr="00146AE1">
        <w:rPr>
          <w:szCs w:val="24"/>
        </w:rPr>
        <w:t xml:space="preserve"> </w:t>
      </w:r>
      <w:r>
        <w:rPr>
          <w:szCs w:val="24"/>
        </w:rPr>
        <w:t>which</w:t>
      </w:r>
      <w:r w:rsidRPr="00146AE1">
        <w:rPr>
          <w:szCs w:val="24"/>
        </w:rPr>
        <w:t xml:space="preserve"> </w:t>
      </w:r>
      <w:r w:rsidR="00312544" w:rsidRPr="00146AE1">
        <w:rPr>
          <w:szCs w:val="24"/>
        </w:rPr>
        <w:t xml:space="preserve">elects </w:t>
      </w:r>
      <w:r>
        <w:rPr>
          <w:szCs w:val="24"/>
        </w:rPr>
        <w:t>and</w:t>
      </w:r>
      <w:r w:rsidRPr="00146AE1">
        <w:rPr>
          <w:szCs w:val="24"/>
        </w:rPr>
        <w:t xml:space="preserve"> </w:t>
      </w:r>
      <w:r w:rsidR="00312544" w:rsidRPr="00146AE1">
        <w:rPr>
          <w:szCs w:val="24"/>
        </w:rPr>
        <w:t>can formally remove the Prosecutor.</w:t>
      </w:r>
      <w:r w:rsidR="00312544" w:rsidRPr="00146AE1">
        <w:rPr>
          <w:bCs/>
          <w:szCs w:val="24"/>
          <w:vertAlign w:val="superscript"/>
        </w:rPr>
        <w:footnoteReference w:id="59"/>
      </w:r>
      <w:r w:rsidR="00312544" w:rsidRPr="00146AE1">
        <w:rPr>
          <w:szCs w:val="24"/>
        </w:rPr>
        <w:t xml:space="preserve"> Critically</w:t>
      </w:r>
      <w:r>
        <w:rPr>
          <w:szCs w:val="24"/>
        </w:rPr>
        <w:t>,</w:t>
      </w:r>
      <w:r w:rsidR="00312544" w:rsidRPr="00146AE1">
        <w:rPr>
          <w:szCs w:val="24"/>
        </w:rPr>
        <w:t xml:space="preserve"> the ASP also provides management and budgetary oversight of the Court</w:t>
      </w:r>
      <w:r w:rsidR="005B16F7">
        <w:rPr>
          <w:szCs w:val="24"/>
        </w:rPr>
        <w:t>,</w:t>
      </w:r>
      <w:r w:rsidR="00312544" w:rsidRPr="00146AE1">
        <w:rPr>
          <w:szCs w:val="24"/>
        </w:rPr>
        <w:t xml:space="preserve"> including </w:t>
      </w:r>
      <w:r w:rsidR="005B16F7">
        <w:rPr>
          <w:szCs w:val="24"/>
        </w:rPr>
        <w:t xml:space="preserve">by </w:t>
      </w:r>
      <w:r w:rsidR="00312544" w:rsidRPr="00146AE1">
        <w:rPr>
          <w:szCs w:val="24"/>
        </w:rPr>
        <w:t>approving the OTP’s budget.</w:t>
      </w:r>
      <w:r w:rsidR="00312544" w:rsidRPr="00146AE1">
        <w:rPr>
          <w:rStyle w:val="FootnoteReference"/>
          <w:sz w:val="24"/>
          <w:szCs w:val="24"/>
        </w:rPr>
        <w:footnoteReference w:id="60"/>
      </w:r>
      <w:r w:rsidR="00312544" w:rsidRPr="00146AE1">
        <w:rPr>
          <w:szCs w:val="24"/>
        </w:rPr>
        <w:t xml:space="preserve"> Arguably</w:t>
      </w:r>
      <w:r w:rsidR="005B16F7">
        <w:rPr>
          <w:szCs w:val="24"/>
        </w:rPr>
        <w:t>,</w:t>
      </w:r>
      <w:r w:rsidR="00312544" w:rsidRPr="00146AE1">
        <w:rPr>
          <w:szCs w:val="24"/>
        </w:rPr>
        <w:t xml:space="preserve"> </w:t>
      </w:r>
      <w:r w:rsidR="005B16F7">
        <w:rPr>
          <w:szCs w:val="24"/>
        </w:rPr>
        <w:t>then, there is</w:t>
      </w:r>
      <w:r w:rsidR="00312544" w:rsidRPr="00146AE1">
        <w:rPr>
          <w:szCs w:val="24"/>
        </w:rPr>
        <w:t xml:space="preserve"> a clear </w:t>
      </w:r>
      <w:r w:rsidR="005B16F7">
        <w:rPr>
          <w:szCs w:val="24"/>
        </w:rPr>
        <w:t>relationship</w:t>
      </w:r>
      <w:r w:rsidR="005B16F7" w:rsidRPr="00146AE1">
        <w:rPr>
          <w:szCs w:val="24"/>
        </w:rPr>
        <w:t xml:space="preserve"> </w:t>
      </w:r>
      <w:r w:rsidR="00312544" w:rsidRPr="00146AE1">
        <w:rPr>
          <w:szCs w:val="24"/>
        </w:rPr>
        <w:t>of accountability between the ASP and OTP</w:t>
      </w:r>
      <w:r w:rsidR="005B16F7">
        <w:rPr>
          <w:szCs w:val="24"/>
        </w:rPr>
        <w:t>. Nonetheless,</w:t>
      </w:r>
      <w:r w:rsidR="00312544" w:rsidRPr="00146AE1">
        <w:rPr>
          <w:szCs w:val="24"/>
        </w:rPr>
        <w:t xml:space="preserve"> in the context of financial prudence, the relationship is not as ’hard’ as </w:t>
      </w:r>
      <w:r w:rsidR="005B16F7">
        <w:rPr>
          <w:szCs w:val="24"/>
        </w:rPr>
        <w:t xml:space="preserve">in </w:t>
      </w:r>
      <w:r w:rsidR="00312544" w:rsidRPr="00146AE1">
        <w:rPr>
          <w:szCs w:val="24"/>
        </w:rPr>
        <w:t xml:space="preserve">those </w:t>
      </w:r>
      <w:r w:rsidR="00B43595">
        <w:rPr>
          <w:szCs w:val="24"/>
        </w:rPr>
        <w:t>organiz</w:t>
      </w:r>
      <w:r w:rsidR="00312544" w:rsidRPr="00146AE1">
        <w:rPr>
          <w:szCs w:val="24"/>
        </w:rPr>
        <w:t>ations requiring the achievement of a financial bottom-line</w:t>
      </w:r>
      <w:r w:rsidR="00AD793C">
        <w:rPr>
          <w:szCs w:val="24"/>
        </w:rPr>
        <w:t xml:space="preserve"> (i.e. final net income/profits). </w:t>
      </w:r>
      <w:r w:rsidR="00312544" w:rsidRPr="00146AE1">
        <w:rPr>
          <w:szCs w:val="24"/>
        </w:rPr>
        <w:t xml:space="preserve"> Rather</w:t>
      </w:r>
      <w:r w:rsidR="00717462">
        <w:rPr>
          <w:szCs w:val="24"/>
        </w:rPr>
        <w:t>,</w:t>
      </w:r>
      <w:r w:rsidR="00312544" w:rsidRPr="00146AE1">
        <w:rPr>
          <w:szCs w:val="24"/>
        </w:rPr>
        <w:t xml:space="preserve"> the better description would be </w:t>
      </w:r>
      <w:r w:rsidR="009954F1">
        <w:rPr>
          <w:szCs w:val="24"/>
        </w:rPr>
        <w:t xml:space="preserve">that </w:t>
      </w:r>
      <w:r w:rsidR="00312544" w:rsidRPr="00146AE1">
        <w:rPr>
          <w:szCs w:val="24"/>
        </w:rPr>
        <w:t>the ASP acts as a principal (or even trustor) with a more indirect influence over a trustee OTP</w:t>
      </w:r>
      <w:r w:rsidR="00312544" w:rsidRPr="00146AE1">
        <w:rPr>
          <w:bCs/>
          <w:szCs w:val="24"/>
        </w:rPr>
        <w:t xml:space="preserve"> actor.</w:t>
      </w:r>
      <w:r w:rsidR="00312544" w:rsidRPr="00146AE1">
        <w:rPr>
          <w:rStyle w:val="FootnoteReference"/>
          <w:bCs/>
          <w:sz w:val="24"/>
          <w:szCs w:val="24"/>
        </w:rPr>
        <w:footnoteReference w:id="61"/>
      </w:r>
      <w:r w:rsidR="00312544" w:rsidRPr="00146AE1">
        <w:rPr>
          <w:bCs/>
          <w:szCs w:val="24"/>
        </w:rPr>
        <w:t xml:space="preserve"> Whichever the </w:t>
      </w:r>
      <w:r w:rsidR="002A75D2" w:rsidRPr="00146AE1">
        <w:rPr>
          <w:bCs/>
          <w:szCs w:val="24"/>
        </w:rPr>
        <w:t>characteri</w:t>
      </w:r>
      <w:r w:rsidR="002A75D2">
        <w:rPr>
          <w:bCs/>
          <w:szCs w:val="24"/>
        </w:rPr>
        <w:t>z</w:t>
      </w:r>
      <w:r w:rsidR="002A75D2" w:rsidRPr="00146AE1">
        <w:rPr>
          <w:bCs/>
          <w:szCs w:val="24"/>
        </w:rPr>
        <w:t>ation</w:t>
      </w:r>
      <w:r w:rsidR="00312544" w:rsidRPr="00146AE1">
        <w:rPr>
          <w:bCs/>
          <w:szCs w:val="24"/>
        </w:rPr>
        <w:t xml:space="preserve">, the effect of </w:t>
      </w:r>
      <w:r w:rsidR="009954F1">
        <w:rPr>
          <w:bCs/>
          <w:szCs w:val="24"/>
        </w:rPr>
        <w:t xml:space="preserve">the said </w:t>
      </w:r>
      <w:r w:rsidR="00312544" w:rsidRPr="00146AE1">
        <w:rPr>
          <w:bCs/>
          <w:szCs w:val="24"/>
        </w:rPr>
        <w:t xml:space="preserve">financial influence has culminated in the ASP’s demand for a </w:t>
      </w:r>
      <w:r w:rsidR="009954F1">
        <w:rPr>
          <w:bCs/>
          <w:szCs w:val="24"/>
        </w:rPr>
        <w:t>‘</w:t>
      </w:r>
      <w:r w:rsidR="00312544" w:rsidRPr="00146AE1">
        <w:rPr>
          <w:bCs/>
          <w:szCs w:val="24"/>
        </w:rPr>
        <w:t>Basic Size</w:t>
      </w:r>
      <w:r w:rsidR="009954F1">
        <w:rPr>
          <w:bCs/>
          <w:szCs w:val="24"/>
        </w:rPr>
        <w:t>’</w:t>
      </w:r>
      <w:r w:rsidR="00312544" w:rsidRPr="00146AE1">
        <w:rPr>
          <w:bCs/>
          <w:szCs w:val="24"/>
        </w:rPr>
        <w:t xml:space="preserve"> OTP model. </w:t>
      </w:r>
      <w:r w:rsidR="00312544" w:rsidRPr="00146AE1">
        <w:rPr>
          <w:bCs/>
          <w:szCs w:val="24"/>
          <w:vertAlign w:val="superscript"/>
        </w:rPr>
        <w:footnoteReference w:id="62"/>
      </w:r>
      <w:r w:rsidR="00312544" w:rsidRPr="00146AE1">
        <w:rPr>
          <w:bCs/>
          <w:szCs w:val="24"/>
        </w:rPr>
        <w:t xml:space="preserve"> Th</w:t>
      </w:r>
      <w:r w:rsidR="009954F1">
        <w:rPr>
          <w:bCs/>
          <w:szCs w:val="24"/>
        </w:rPr>
        <w:t>e</w:t>
      </w:r>
      <w:r w:rsidR="00312544" w:rsidRPr="00146AE1">
        <w:rPr>
          <w:bCs/>
          <w:szCs w:val="24"/>
        </w:rPr>
        <w:t xml:space="preserve"> Basic Size model </w:t>
      </w:r>
      <w:r w:rsidR="009954F1">
        <w:rPr>
          <w:bCs/>
          <w:szCs w:val="24"/>
        </w:rPr>
        <w:t>seeks to</w:t>
      </w:r>
      <w:r w:rsidR="00312544" w:rsidRPr="00146AE1">
        <w:rPr>
          <w:bCs/>
          <w:szCs w:val="24"/>
        </w:rPr>
        <w:t xml:space="preserve"> provid</w:t>
      </w:r>
      <w:r w:rsidR="009954F1">
        <w:rPr>
          <w:bCs/>
          <w:szCs w:val="24"/>
        </w:rPr>
        <w:t>e</w:t>
      </w:r>
      <w:r w:rsidR="00312544" w:rsidRPr="00146AE1">
        <w:rPr>
          <w:bCs/>
          <w:szCs w:val="24"/>
        </w:rPr>
        <w:t xml:space="preserve"> State</w:t>
      </w:r>
      <w:r w:rsidR="009954F1">
        <w:rPr>
          <w:bCs/>
          <w:szCs w:val="24"/>
        </w:rPr>
        <w:t>s</w:t>
      </w:r>
      <w:r w:rsidR="00312544" w:rsidRPr="00146AE1">
        <w:rPr>
          <w:bCs/>
          <w:szCs w:val="24"/>
        </w:rPr>
        <w:t xml:space="preserve"> Parties </w:t>
      </w:r>
      <w:r w:rsidR="009954F1">
        <w:rPr>
          <w:bCs/>
          <w:szCs w:val="24"/>
        </w:rPr>
        <w:t xml:space="preserve">with </w:t>
      </w:r>
      <w:r w:rsidR="00312544" w:rsidRPr="00146AE1">
        <w:rPr>
          <w:bCs/>
          <w:szCs w:val="24"/>
        </w:rPr>
        <w:t>a</w:t>
      </w:r>
      <w:r w:rsidR="00AD793C">
        <w:rPr>
          <w:bCs/>
          <w:szCs w:val="24"/>
        </w:rPr>
        <w:t xml:space="preserve"> more</w:t>
      </w:r>
      <w:r w:rsidR="00312544" w:rsidRPr="00146AE1">
        <w:rPr>
          <w:bCs/>
          <w:szCs w:val="24"/>
        </w:rPr>
        <w:t xml:space="preserve"> </w:t>
      </w:r>
      <w:r w:rsidR="00AD793C">
        <w:rPr>
          <w:bCs/>
          <w:szCs w:val="24"/>
        </w:rPr>
        <w:t>predictable</w:t>
      </w:r>
      <w:r w:rsidR="00AD793C" w:rsidRPr="00146AE1">
        <w:rPr>
          <w:bCs/>
          <w:szCs w:val="24"/>
        </w:rPr>
        <w:t xml:space="preserve"> </w:t>
      </w:r>
      <w:r w:rsidR="00312544" w:rsidRPr="00146AE1">
        <w:rPr>
          <w:bCs/>
          <w:szCs w:val="24"/>
        </w:rPr>
        <w:t xml:space="preserve">basis for budgetary planning, </w:t>
      </w:r>
      <w:r w:rsidR="00AD793C">
        <w:rPr>
          <w:bCs/>
          <w:szCs w:val="24"/>
        </w:rPr>
        <w:t>while</w:t>
      </w:r>
      <w:r w:rsidR="00AD793C" w:rsidRPr="00146AE1">
        <w:rPr>
          <w:bCs/>
          <w:szCs w:val="24"/>
        </w:rPr>
        <w:t xml:space="preserve"> </w:t>
      </w:r>
      <w:r w:rsidR="00312544" w:rsidRPr="00146AE1">
        <w:rPr>
          <w:bCs/>
          <w:szCs w:val="24"/>
        </w:rPr>
        <w:t xml:space="preserve">providing the OTP with a model for managing its financial affairs </w:t>
      </w:r>
      <w:r w:rsidR="009954F1">
        <w:rPr>
          <w:bCs/>
          <w:szCs w:val="24"/>
        </w:rPr>
        <w:t>in view of</w:t>
      </w:r>
      <w:r w:rsidR="009954F1" w:rsidRPr="00146AE1">
        <w:rPr>
          <w:bCs/>
          <w:szCs w:val="24"/>
        </w:rPr>
        <w:t xml:space="preserve"> </w:t>
      </w:r>
      <w:r w:rsidR="00312544" w:rsidRPr="00146AE1">
        <w:rPr>
          <w:bCs/>
          <w:szCs w:val="24"/>
        </w:rPr>
        <w:t xml:space="preserve">long-term sustainability. This model </w:t>
      </w:r>
      <w:r w:rsidR="00FC7A29">
        <w:rPr>
          <w:bCs/>
          <w:szCs w:val="24"/>
        </w:rPr>
        <w:t>depends</w:t>
      </w:r>
      <w:r w:rsidR="00312544" w:rsidRPr="00146AE1">
        <w:rPr>
          <w:bCs/>
          <w:szCs w:val="24"/>
        </w:rPr>
        <w:t xml:space="preserve"> on financial forecasts of outputs, based on assumptions of</w:t>
      </w:r>
      <w:r w:rsidR="00A64B00">
        <w:rPr>
          <w:bCs/>
          <w:szCs w:val="24"/>
        </w:rPr>
        <w:t xml:space="preserve"> their</w:t>
      </w:r>
      <w:r w:rsidR="00312544" w:rsidRPr="00146AE1">
        <w:rPr>
          <w:bCs/>
          <w:szCs w:val="24"/>
        </w:rPr>
        <w:t xml:space="preserve"> success at various stages from preliminary examination through to trial.</w:t>
      </w:r>
      <w:r w:rsidR="00312544" w:rsidRPr="00146AE1">
        <w:rPr>
          <w:bCs/>
          <w:szCs w:val="24"/>
          <w:vertAlign w:val="superscript"/>
        </w:rPr>
        <w:footnoteReference w:id="63"/>
      </w:r>
    </w:p>
    <w:p w:rsidR="00312544" w:rsidRPr="00146AE1" w:rsidRDefault="00312544">
      <w:pPr>
        <w:ind w:firstLine="720"/>
        <w:jc w:val="both"/>
        <w:rPr>
          <w:bCs/>
          <w:szCs w:val="24"/>
        </w:rPr>
      </w:pPr>
      <w:r w:rsidRPr="00146AE1">
        <w:rPr>
          <w:bCs/>
          <w:szCs w:val="24"/>
        </w:rPr>
        <w:t>Moving to the issue of costs, the OTP can be described as the Court’s ‘engine-room’ and is a significant component of the Court’s budget. The OTP’s caseload also determines the financial burdens of other organs, most evidently the Chambers and the Registry. For instance, in 2017, the OTP will be reserved more than €46 million from a proposed Court budget of approximately €147 million.</w:t>
      </w:r>
      <w:r w:rsidRPr="00146AE1">
        <w:rPr>
          <w:bCs/>
          <w:szCs w:val="24"/>
          <w:vertAlign w:val="superscript"/>
        </w:rPr>
        <w:footnoteReference w:id="64"/>
      </w:r>
      <w:r w:rsidRPr="00146AE1">
        <w:rPr>
          <w:bCs/>
          <w:szCs w:val="24"/>
        </w:rPr>
        <w:t xml:space="preserve"> As is now well known</w:t>
      </w:r>
      <w:r w:rsidR="00F6189F">
        <w:rPr>
          <w:bCs/>
          <w:szCs w:val="24"/>
        </w:rPr>
        <w:t>,</w:t>
      </w:r>
      <w:r w:rsidRPr="00146AE1">
        <w:rPr>
          <w:bCs/>
          <w:szCs w:val="24"/>
        </w:rPr>
        <w:t xml:space="preserve"> states have been notoriously slow in fulfilling financial commitments to the Court, with some remaining in long-term arrears.</w:t>
      </w:r>
      <w:r w:rsidRPr="00146AE1">
        <w:rPr>
          <w:bCs/>
          <w:szCs w:val="24"/>
          <w:vertAlign w:val="superscript"/>
        </w:rPr>
        <w:footnoteReference w:id="65"/>
      </w:r>
      <w:r w:rsidRPr="00146AE1">
        <w:rPr>
          <w:bCs/>
          <w:szCs w:val="24"/>
        </w:rPr>
        <w:t xml:space="preserve"> For example</w:t>
      </w:r>
      <w:r w:rsidR="00F80ADD">
        <w:rPr>
          <w:bCs/>
          <w:szCs w:val="24"/>
        </w:rPr>
        <w:t>,</w:t>
      </w:r>
      <w:r w:rsidRPr="00146AE1">
        <w:rPr>
          <w:bCs/>
          <w:szCs w:val="24"/>
        </w:rPr>
        <w:t xml:space="preserve"> between 2009 and 2013 the </w:t>
      </w:r>
      <w:r w:rsidR="00F80ADD">
        <w:rPr>
          <w:bCs/>
          <w:szCs w:val="24"/>
        </w:rPr>
        <w:t xml:space="preserve">overall </w:t>
      </w:r>
      <w:r w:rsidRPr="00146AE1">
        <w:rPr>
          <w:bCs/>
          <w:szCs w:val="24"/>
        </w:rPr>
        <w:t>budget growth for the Court was minimal and even shrank in real-terms in 2011.</w:t>
      </w:r>
      <w:r w:rsidRPr="00146AE1">
        <w:rPr>
          <w:bCs/>
          <w:szCs w:val="24"/>
          <w:vertAlign w:val="superscript"/>
        </w:rPr>
        <w:footnoteReference w:id="66"/>
      </w:r>
      <w:r w:rsidRPr="00146AE1">
        <w:rPr>
          <w:bCs/>
          <w:szCs w:val="24"/>
        </w:rPr>
        <w:t xml:space="preserve"> However, the relative flat lining of the ICC’s budget has been accompanied by the OTP’s accumulating caseload, which from 2009 to 2013 effectively doubled.</w:t>
      </w:r>
      <w:r w:rsidRPr="00146AE1">
        <w:rPr>
          <w:bCs/>
          <w:szCs w:val="24"/>
          <w:vertAlign w:val="superscript"/>
        </w:rPr>
        <w:footnoteReference w:id="67"/>
      </w:r>
      <w:r w:rsidRPr="00146AE1">
        <w:rPr>
          <w:bCs/>
          <w:szCs w:val="24"/>
        </w:rPr>
        <w:t xml:space="preserve"> </w:t>
      </w:r>
    </w:p>
    <w:p w:rsidR="00312544" w:rsidRPr="00146AE1" w:rsidRDefault="00312544">
      <w:pPr>
        <w:ind w:firstLine="720"/>
        <w:jc w:val="both"/>
        <w:rPr>
          <w:bCs/>
          <w:szCs w:val="24"/>
        </w:rPr>
      </w:pPr>
      <w:r w:rsidRPr="00146AE1">
        <w:rPr>
          <w:bCs/>
          <w:szCs w:val="24"/>
        </w:rPr>
        <w:t xml:space="preserve">In short, the OTP suffers from the aforementioned hard form of managerialism. The ASP exerts the pressure of accountability </w:t>
      </w:r>
      <w:r w:rsidR="00186171">
        <w:rPr>
          <w:bCs/>
          <w:szCs w:val="24"/>
        </w:rPr>
        <w:t>but</w:t>
      </w:r>
      <w:r w:rsidRPr="00146AE1">
        <w:rPr>
          <w:bCs/>
          <w:szCs w:val="24"/>
        </w:rPr>
        <w:t xml:space="preserve"> in spite of the OTP’s increased workload,</w:t>
      </w:r>
      <w:r w:rsidR="00A64B00">
        <w:rPr>
          <w:bCs/>
          <w:szCs w:val="24"/>
        </w:rPr>
        <w:t xml:space="preserve"> it</w:t>
      </w:r>
      <w:r w:rsidRPr="00146AE1">
        <w:rPr>
          <w:bCs/>
          <w:szCs w:val="24"/>
        </w:rPr>
        <w:t xml:space="preserve"> </w:t>
      </w:r>
      <w:r w:rsidR="00F80ADD">
        <w:rPr>
          <w:bCs/>
          <w:szCs w:val="24"/>
        </w:rPr>
        <w:t xml:space="preserve">did not proportionally increase </w:t>
      </w:r>
      <w:r w:rsidR="00A64B00">
        <w:rPr>
          <w:bCs/>
          <w:szCs w:val="24"/>
        </w:rPr>
        <w:t>OTP</w:t>
      </w:r>
      <w:r w:rsidRPr="00146AE1">
        <w:rPr>
          <w:bCs/>
          <w:szCs w:val="24"/>
        </w:rPr>
        <w:t xml:space="preserve"> funding. This has created tensions in the ASP-OTP relationship</w:t>
      </w:r>
      <w:r w:rsidR="00F80ADD">
        <w:rPr>
          <w:bCs/>
          <w:szCs w:val="24"/>
        </w:rPr>
        <w:t>.</w:t>
      </w:r>
      <w:r w:rsidRPr="00146AE1">
        <w:rPr>
          <w:bCs/>
          <w:szCs w:val="24"/>
        </w:rPr>
        <w:t xml:space="preserve"> </w:t>
      </w:r>
      <w:r w:rsidR="00F80ADD">
        <w:rPr>
          <w:bCs/>
          <w:szCs w:val="24"/>
        </w:rPr>
        <w:t>F</w:t>
      </w:r>
      <w:r w:rsidRPr="00146AE1">
        <w:rPr>
          <w:bCs/>
          <w:szCs w:val="24"/>
        </w:rPr>
        <w:t xml:space="preserve">or </w:t>
      </w:r>
      <w:r w:rsidR="00F80ADD">
        <w:rPr>
          <w:bCs/>
          <w:szCs w:val="24"/>
        </w:rPr>
        <w:t>instance</w:t>
      </w:r>
      <w:r w:rsidRPr="00146AE1">
        <w:rPr>
          <w:bCs/>
          <w:szCs w:val="24"/>
        </w:rPr>
        <w:t>, former Prosecutor Luis Moreno</w:t>
      </w:r>
      <w:r w:rsidR="00F80ADD">
        <w:rPr>
          <w:bCs/>
          <w:szCs w:val="24"/>
        </w:rPr>
        <w:t xml:space="preserve"> </w:t>
      </w:r>
      <w:r w:rsidRPr="00146AE1">
        <w:rPr>
          <w:bCs/>
          <w:szCs w:val="24"/>
        </w:rPr>
        <w:t>Ocampo publically critici</w:t>
      </w:r>
      <w:r w:rsidR="0095540F">
        <w:rPr>
          <w:bCs/>
          <w:szCs w:val="24"/>
        </w:rPr>
        <w:t>z</w:t>
      </w:r>
      <w:r w:rsidR="00F80ADD">
        <w:rPr>
          <w:bCs/>
          <w:szCs w:val="24"/>
        </w:rPr>
        <w:t>ed</w:t>
      </w:r>
      <w:r w:rsidRPr="00146AE1">
        <w:rPr>
          <w:bCs/>
          <w:szCs w:val="24"/>
        </w:rPr>
        <w:t xml:space="preserve"> </w:t>
      </w:r>
      <w:r w:rsidR="00F80ADD">
        <w:rPr>
          <w:bCs/>
          <w:szCs w:val="24"/>
        </w:rPr>
        <w:t>the UK</w:t>
      </w:r>
      <w:r w:rsidRPr="00146AE1">
        <w:rPr>
          <w:bCs/>
          <w:szCs w:val="24"/>
        </w:rPr>
        <w:t>, France and Germany for</w:t>
      </w:r>
      <w:r w:rsidR="00F80ADD">
        <w:rPr>
          <w:bCs/>
          <w:szCs w:val="24"/>
        </w:rPr>
        <w:t xml:space="preserve"> having </w:t>
      </w:r>
      <w:r w:rsidRPr="00146AE1">
        <w:rPr>
          <w:bCs/>
          <w:szCs w:val="24"/>
        </w:rPr>
        <w:t>increa</w:t>
      </w:r>
      <w:r w:rsidR="00F80ADD">
        <w:rPr>
          <w:bCs/>
          <w:szCs w:val="24"/>
        </w:rPr>
        <w:t>sed</w:t>
      </w:r>
      <w:r w:rsidRPr="00146AE1">
        <w:rPr>
          <w:bCs/>
          <w:szCs w:val="24"/>
        </w:rPr>
        <w:t xml:space="preserve"> the Court’s workload </w:t>
      </w:r>
      <w:r w:rsidR="00F80ADD">
        <w:rPr>
          <w:bCs/>
          <w:szCs w:val="24"/>
        </w:rPr>
        <w:t>by voting</w:t>
      </w:r>
      <w:r w:rsidR="00F80ADD" w:rsidRPr="00146AE1">
        <w:rPr>
          <w:bCs/>
          <w:szCs w:val="24"/>
        </w:rPr>
        <w:t xml:space="preserve"> </w:t>
      </w:r>
      <w:r w:rsidR="00F80ADD">
        <w:rPr>
          <w:bCs/>
          <w:szCs w:val="24"/>
        </w:rPr>
        <w:t>for the</w:t>
      </w:r>
      <w:r w:rsidR="00F80ADD" w:rsidRPr="00146AE1">
        <w:rPr>
          <w:bCs/>
          <w:szCs w:val="24"/>
        </w:rPr>
        <w:t xml:space="preserve"> </w:t>
      </w:r>
      <w:r w:rsidRPr="00146AE1">
        <w:rPr>
          <w:bCs/>
          <w:szCs w:val="24"/>
        </w:rPr>
        <w:t xml:space="preserve">referral of the </w:t>
      </w:r>
      <w:r w:rsidR="00F80ADD" w:rsidRPr="00F46D82">
        <w:rPr>
          <w:bCs/>
          <w:i/>
          <w:szCs w:val="24"/>
        </w:rPr>
        <w:t>Libya</w:t>
      </w:r>
      <w:r w:rsidR="00F80ADD">
        <w:rPr>
          <w:bCs/>
          <w:szCs w:val="24"/>
        </w:rPr>
        <w:t xml:space="preserve"> </w:t>
      </w:r>
      <w:r w:rsidRPr="00146AE1">
        <w:rPr>
          <w:bCs/>
          <w:szCs w:val="24"/>
        </w:rPr>
        <w:t xml:space="preserve">situation </w:t>
      </w:r>
      <w:r w:rsidR="00F80ADD">
        <w:rPr>
          <w:bCs/>
          <w:szCs w:val="24"/>
        </w:rPr>
        <w:t>at the U</w:t>
      </w:r>
      <w:r w:rsidR="0095540F">
        <w:rPr>
          <w:bCs/>
          <w:szCs w:val="24"/>
        </w:rPr>
        <w:t xml:space="preserve">nited </w:t>
      </w:r>
      <w:r w:rsidR="00F80ADD">
        <w:rPr>
          <w:bCs/>
          <w:szCs w:val="24"/>
        </w:rPr>
        <w:t>N</w:t>
      </w:r>
      <w:r w:rsidR="0095540F">
        <w:rPr>
          <w:bCs/>
          <w:szCs w:val="24"/>
        </w:rPr>
        <w:t>ations</w:t>
      </w:r>
      <w:r w:rsidR="00F80ADD">
        <w:rPr>
          <w:bCs/>
          <w:szCs w:val="24"/>
        </w:rPr>
        <w:t xml:space="preserve"> Security Council</w:t>
      </w:r>
      <w:r w:rsidRPr="00146AE1">
        <w:rPr>
          <w:bCs/>
          <w:szCs w:val="24"/>
        </w:rPr>
        <w:t xml:space="preserve">, while </w:t>
      </w:r>
      <w:r w:rsidR="00071207">
        <w:rPr>
          <w:bCs/>
          <w:szCs w:val="24"/>
        </w:rPr>
        <w:t>at the same time advocating to</w:t>
      </w:r>
      <w:r w:rsidRPr="00146AE1">
        <w:rPr>
          <w:bCs/>
          <w:szCs w:val="24"/>
        </w:rPr>
        <w:t xml:space="preserve"> </w:t>
      </w:r>
      <w:r w:rsidR="00071207">
        <w:rPr>
          <w:bCs/>
          <w:szCs w:val="24"/>
        </w:rPr>
        <w:t>limit</w:t>
      </w:r>
      <w:r w:rsidR="00071207" w:rsidRPr="00146AE1">
        <w:rPr>
          <w:bCs/>
          <w:szCs w:val="24"/>
        </w:rPr>
        <w:t xml:space="preserve"> </w:t>
      </w:r>
      <w:r w:rsidRPr="00146AE1">
        <w:rPr>
          <w:bCs/>
          <w:szCs w:val="24"/>
        </w:rPr>
        <w:t>the ICC’s budget.</w:t>
      </w:r>
      <w:r w:rsidRPr="00146AE1">
        <w:rPr>
          <w:bCs/>
          <w:szCs w:val="24"/>
          <w:vertAlign w:val="superscript"/>
        </w:rPr>
        <w:footnoteReference w:id="68"/>
      </w:r>
      <w:r w:rsidRPr="00146AE1">
        <w:rPr>
          <w:bCs/>
          <w:szCs w:val="24"/>
        </w:rPr>
        <w:t xml:space="preserve"> There have also been regular warnings from the current Prosecutor Fatou Bensouda who, in the past, has protested that the lack of funding will </w:t>
      </w:r>
      <w:r w:rsidRPr="00146AE1">
        <w:rPr>
          <w:bCs/>
          <w:szCs w:val="24"/>
        </w:rPr>
        <w:t xml:space="preserve">significantly affect the work of the Office and </w:t>
      </w:r>
      <w:r w:rsidR="00D84478">
        <w:rPr>
          <w:bCs/>
          <w:szCs w:val="24"/>
        </w:rPr>
        <w:t>may engender</w:t>
      </w:r>
      <w:r w:rsidR="00D84478" w:rsidRPr="00146AE1">
        <w:rPr>
          <w:bCs/>
          <w:szCs w:val="24"/>
        </w:rPr>
        <w:t xml:space="preserve"> </w:t>
      </w:r>
      <w:r w:rsidRPr="00146AE1">
        <w:rPr>
          <w:bCs/>
          <w:szCs w:val="24"/>
        </w:rPr>
        <w:t>‘real detrimental results.’</w:t>
      </w:r>
      <w:r w:rsidRPr="00146AE1">
        <w:rPr>
          <w:bCs/>
          <w:szCs w:val="24"/>
          <w:vertAlign w:val="superscript"/>
        </w:rPr>
        <w:footnoteReference w:id="69"/>
      </w:r>
      <w:r w:rsidRPr="00146AE1">
        <w:rPr>
          <w:bCs/>
          <w:szCs w:val="24"/>
        </w:rPr>
        <w:t xml:space="preserve"> </w:t>
      </w:r>
    </w:p>
    <w:p w:rsidR="00312544" w:rsidRPr="00146AE1" w:rsidRDefault="0071292D">
      <w:pPr>
        <w:ind w:firstLine="720"/>
        <w:jc w:val="both"/>
        <w:rPr>
          <w:szCs w:val="24"/>
        </w:rPr>
      </w:pPr>
      <w:r>
        <w:rPr>
          <w:bCs/>
          <w:szCs w:val="24"/>
        </w:rPr>
        <w:t>T</w:t>
      </w:r>
      <w:r w:rsidR="00312544" w:rsidRPr="00146AE1">
        <w:rPr>
          <w:bCs/>
          <w:szCs w:val="24"/>
        </w:rPr>
        <w:t xml:space="preserve">he OTP’s development of performance indicators cannot be divorced from </w:t>
      </w:r>
      <w:r w:rsidR="00D84478">
        <w:rPr>
          <w:bCs/>
          <w:szCs w:val="24"/>
        </w:rPr>
        <w:t>the</w:t>
      </w:r>
      <w:r>
        <w:rPr>
          <w:bCs/>
          <w:szCs w:val="24"/>
        </w:rPr>
        <w:t xml:space="preserve"> </w:t>
      </w:r>
      <w:r w:rsidR="000D6E98">
        <w:rPr>
          <w:bCs/>
          <w:szCs w:val="24"/>
        </w:rPr>
        <w:t>aforementioned</w:t>
      </w:r>
      <w:r w:rsidR="00D84478" w:rsidRPr="00146AE1">
        <w:rPr>
          <w:bCs/>
          <w:szCs w:val="24"/>
        </w:rPr>
        <w:t xml:space="preserve"> </w:t>
      </w:r>
      <w:r w:rsidR="00312544" w:rsidRPr="00146AE1">
        <w:rPr>
          <w:bCs/>
          <w:szCs w:val="24"/>
        </w:rPr>
        <w:t>background of restricted funding</w:t>
      </w:r>
      <w:r w:rsidR="002A69E6">
        <w:rPr>
          <w:bCs/>
          <w:szCs w:val="24"/>
        </w:rPr>
        <w:t>,</w:t>
      </w:r>
      <w:r w:rsidR="00312544" w:rsidRPr="00146AE1">
        <w:rPr>
          <w:bCs/>
          <w:szCs w:val="24"/>
        </w:rPr>
        <w:t xml:space="preserve"> combined with </w:t>
      </w:r>
      <w:r w:rsidR="002A69E6">
        <w:rPr>
          <w:bCs/>
          <w:szCs w:val="24"/>
        </w:rPr>
        <w:t>an</w:t>
      </w:r>
      <w:r w:rsidR="002A69E6" w:rsidRPr="00146AE1">
        <w:rPr>
          <w:bCs/>
          <w:szCs w:val="24"/>
        </w:rPr>
        <w:t xml:space="preserve"> </w:t>
      </w:r>
      <w:r w:rsidR="00312544" w:rsidRPr="00146AE1">
        <w:rPr>
          <w:bCs/>
          <w:szCs w:val="24"/>
        </w:rPr>
        <w:t xml:space="preserve">increased workload. </w:t>
      </w:r>
      <w:r>
        <w:rPr>
          <w:bCs/>
          <w:szCs w:val="24"/>
        </w:rPr>
        <w:t>As things stand</w:t>
      </w:r>
      <w:r w:rsidRPr="00146AE1">
        <w:rPr>
          <w:bCs/>
          <w:szCs w:val="24"/>
        </w:rPr>
        <w:t xml:space="preserve">, </w:t>
      </w:r>
      <w:r w:rsidR="00312544" w:rsidRPr="00146AE1">
        <w:rPr>
          <w:bCs/>
          <w:szCs w:val="24"/>
        </w:rPr>
        <w:t xml:space="preserve">the ASP’s accountability and funding pressures </w:t>
      </w:r>
      <w:r>
        <w:rPr>
          <w:bCs/>
          <w:szCs w:val="24"/>
        </w:rPr>
        <w:t>originate</w:t>
      </w:r>
      <w:r w:rsidR="00312544" w:rsidRPr="00146AE1">
        <w:rPr>
          <w:bCs/>
          <w:szCs w:val="24"/>
        </w:rPr>
        <w:t xml:space="preserve"> a degree of ‘back-seat driving’</w:t>
      </w:r>
      <w:r w:rsidR="00312544" w:rsidRPr="00146AE1">
        <w:rPr>
          <w:bCs/>
          <w:szCs w:val="24"/>
          <w:vertAlign w:val="superscript"/>
        </w:rPr>
        <w:footnoteReference w:id="70"/>
      </w:r>
      <w:r w:rsidR="00312544" w:rsidRPr="00146AE1">
        <w:rPr>
          <w:bCs/>
          <w:szCs w:val="24"/>
        </w:rPr>
        <w:t xml:space="preserve"> over the OTP, inevitably directing the </w:t>
      </w:r>
      <w:r>
        <w:rPr>
          <w:bCs/>
          <w:szCs w:val="24"/>
        </w:rPr>
        <w:t>Office</w:t>
      </w:r>
      <w:r w:rsidRPr="00146AE1">
        <w:rPr>
          <w:bCs/>
          <w:szCs w:val="24"/>
        </w:rPr>
        <w:t xml:space="preserve"> </w:t>
      </w:r>
      <w:r w:rsidR="00312544" w:rsidRPr="00146AE1">
        <w:rPr>
          <w:bCs/>
          <w:szCs w:val="24"/>
        </w:rPr>
        <w:t xml:space="preserve">towards demonstrating economy of performance. </w:t>
      </w:r>
      <w:r>
        <w:rPr>
          <w:szCs w:val="24"/>
        </w:rPr>
        <w:t>The ASP’s influence can be</w:t>
      </w:r>
      <w:r w:rsidR="00312544" w:rsidRPr="00146AE1">
        <w:rPr>
          <w:szCs w:val="24"/>
        </w:rPr>
        <w:t xml:space="preserve"> readily identified within </w:t>
      </w:r>
      <w:r>
        <w:rPr>
          <w:szCs w:val="24"/>
        </w:rPr>
        <w:t xml:space="preserve">the </w:t>
      </w:r>
      <w:r w:rsidR="00312544" w:rsidRPr="00146AE1">
        <w:rPr>
          <w:szCs w:val="24"/>
        </w:rPr>
        <w:t xml:space="preserve">OTP </w:t>
      </w:r>
      <w:r w:rsidR="00283497">
        <w:rPr>
          <w:szCs w:val="24"/>
        </w:rPr>
        <w:t>prosecutorial strategy</w:t>
      </w:r>
      <w:r w:rsidR="00312544" w:rsidRPr="00146AE1">
        <w:rPr>
          <w:szCs w:val="24"/>
        </w:rPr>
        <w:t xml:space="preserve">. For instance, </w:t>
      </w:r>
      <w:r w:rsidR="00312544" w:rsidRPr="00146AE1">
        <w:rPr>
          <w:bCs/>
          <w:szCs w:val="24"/>
        </w:rPr>
        <w:t>financial oversight has become increasingly integrated into the OTP’s assessment of its own capabilities and resources.</w:t>
      </w:r>
      <w:r w:rsidR="00312544" w:rsidRPr="00146AE1">
        <w:rPr>
          <w:bCs/>
          <w:szCs w:val="24"/>
          <w:vertAlign w:val="superscript"/>
        </w:rPr>
        <w:footnoteReference w:id="71"/>
      </w:r>
      <w:r w:rsidR="00312544" w:rsidRPr="00146AE1">
        <w:rPr>
          <w:bCs/>
          <w:szCs w:val="24"/>
        </w:rPr>
        <w:t xml:space="preserve"> </w:t>
      </w:r>
      <w:r w:rsidR="00AC1786">
        <w:rPr>
          <w:bCs/>
          <w:szCs w:val="24"/>
        </w:rPr>
        <w:t>As a matter of fact</w:t>
      </w:r>
      <w:r w:rsidR="00312544" w:rsidRPr="00146AE1">
        <w:rPr>
          <w:bCs/>
          <w:szCs w:val="24"/>
        </w:rPr>
        <w:t>, in the latest two OTP strategies, goals are expressly linked to budget assumptions.</w:t>
      </w:r>
      <w:r w:rsidR="00312544" w:rsidRPr="00146AE1">
        <w:rPr>
          <w:bCs/>
          <w:szCs w:val="24"/>
          <w:vertAlign w:val="superscript"/>
        </w:rPr>
        <w:footnoteReference w:id="72"/>
      </w:r>
      <w:r w:rsidR="00312544" w:rsidRPr="00146AE1">
        <w:rPr>
          <w:bCs/>
          <w:szCs w:val="24"/>
        </w:rPr>
        <w:t xml:space="preserve"> This may account for the increasing page length of the strategies as they have become progressively more audit, budget and operationally focused, </w:t>
      </w:r>
      <w:r w:rsidR="008B5A3F">
        <w:rPr>
          <w:bCs/>
          <w:szCs w:val="24"/>
        </w:rPr>
        <w:t>growing</w:t>
      </w:r>
      <w:r w:rsidR="008B5A3F" w:rsidRPr="00146AE1">
        <w:rPr>
          <w:bCs/>
          <w:szCs w:val="24"/>
        </w:rPr>
        <w:t xml:space="preserve"> </w:t>
      </w:r>
      <w:r w:rsidR="00312544" w:rsidRPr="00146AE1">
        <w:rPr>
          <w:bCs/>
          <w:szCs w:val="24"/>
        </w:rPr>
        <w:t xml:space="preserve">from </w:t>
      </w:r>
      <w:r w:rsidR="00C274D1">
        <w:rPr>
          <w:bCs/>
          <w:szCs w:val="24"/>
        </w:rPr>
        <w:t>10</w:t>
      </w:r>
      <w:r w:rsidR="00C274D1" w:rsidRPr="00146AE1">
        <w:rPr>
          <w:bCs/>
          <w:szCs w:val="24"/>
        </w:rPr>
        <w:t xml:space="preserve"> </w:t>
      </w:r>
      <w:r w:rsidR="00312544" w:rsidRPr="00146AE1">
        <w:rPr>
          <w:bCs/>
          <w:szCs w:val="24"/>
        </w:rPr>
        <w:t xml:space="preserve">pages in 2006, </w:t>
      </w:r>
      <w:r w:rsidR="008B5A3F">
        <w:rPr>
          <w:bCs/>
          <w:szCs w:val="24"/>
        </w:rPr>
        <w:t xml:space="preserve">to </w:t>
      </w:r>
      <w:r w:rsidR="00C274D1">
        <w:rPr>
          <w:bCs/>
          <w:szCs w:val="24"/>
        </w:rPr>
        <w:t>18</w:t>
      </w:r>
      <w:r w:rsidR="00C274D1" w:rsidRPr="00146AE1">
        <w:rPr>
          <w:bCs/>
          <w:szCs w:val="24"/>
        </w:rPr>
        <w:t xml:space="preserve"> </w:t>
      </w:r>
      <w:r w:rsidR="00312544" w:rsidRPr="00146AE1">
        <w:rPr>
          <w:bCs/>
          <w:szCs w:val="24"/>
        </w:rPr>
        <w:t xml:space="preserve">pages in 2010, jumping to </w:t>
      </w:r>
      <w:r w:rsidR="00C274D1">
        <w:rPr>
          <w:bCs/>
          <w:szCs w:val="24"/>
        </w:rPr>
        <w:t>43</w:t>
      </w:r>
      <w:r w:rsidR="00312544" w:rsidRPr="00146AE1">
        <w:rPr>
          <w:bCs/>
          <w:szCs w:val="24"/>
        </w:rPr>
        <w:t xml:space="preserve"> pages in 2013 and</w:t>
      </w:r>
      <w:r w:rsidR="000D6E98">
        <w:rPr>
          <w:bCs/>
          <w:szCs w:val="24"/>
        </w:rPr>
        <w:t>, finally,</w:t>
      </w:r>
      <w:r w:rsidR="00312544" w:rsidRPr="00146AE1">
        <w:rPr>
          <w:bCs/>
          <w:szCs w:val="24"/>
        </w:rPr>
        <w:t xml:space="preserve"> </w:t>
      </w:r>
      <w:r w:rsidR="008B5A3F">
        <w:rPr>
          <w:bCs/>
          <w:szCs w:val="24"/>
        </w:rPr>
        <w:t xml:space="preserve">to the </w:t>
      </w:r>
      <w:r w:rsidR="00C274D1">
        <w:rPr>
          <w:bCs/>
          <w:szCs w:val="24"/>
        </w:rPr>
        <w:t>60</w:t>
      </w:r>
      <w:r w:rsidR="00C274D1" w:rsidRPr="00146AE1">
        <w:rPr>
          <w:bCs/>
          <w:szCs w:val="24"/>
        </w:rPr>
        <w:t xml:space="preserve"> </w:t>
      </w:r>
      <w:r w:rsidR="008B5A3F" w:rsidRPr="00146AE1">
        <w:rPr>
          <w:bCs/>
          <w:szCs w:val="24"/>
        </w:rPr>
        <w:t xml:space="preserve">pages </w:t>
      </w:r>
      <w:r w:rsidR="008B5A3F">
        <w:rPr>
          <w:bCs/>
          <w:szCs w:val="24"/>
        </w:rPr>
        <w:t xml:space="preserve">of </w:t>
      </w:r>
      <w:r w:rsidR="000D6E98">
        <w:rPr>
          <w:bCs/>
          <w:szCs w:val="24"/>
        </w:rPr>
        <w:t>the</w:t>
      </w:r>
      <w:r w:rsidR="00312544" w:rsidRPr="00146AE1">
        <w:rPr>
          <w:bCs/>
          <w:szCs w:val="24"/>
        </w:rPr>
        <w:t xml:space="preserve"> current strategy.</w:t>
      </w:r>
      <w:r w:rsidR="00312544" w:rsidRPr="00146AE1">
        <w:rPr>
          <w:bCs/>
          <w:szCs w:val="24"/>
          <w:vertAlign w:val="superscript"/>
        </w:rPr>
        <w:footnoteReference w:id="73"/>
      </w:r>
      <w:r w:rsidR="00312544" w:rsidRPr="00146AE1">
        <w:rPr>
          <w:bCs/>
          <w:szCs w:val="24"/>
        </w:rPr>
        <w:t xml:space="preserve"> In addition, as if to demonstrate the pressing importance of economy</w:t>
      </w:r>
      <w:r w:rsidR="008B5A3F">
        <w:rPr>
          <w:bCs/>
          <w:szCs w:val="24"/>
        </w:rPr>
        <w:t xml:space="preserve"> considerations</w:t>
      </w:r>
      <w:r w:rsidR="00312544" w:rsidRPr="00146AE1">
        <w:rPr>
          <w:bCs/>
          <w:szCs w:val="24"/>
        </w:rPr>
        <w:t xml:space="preserve">, the term ‘budget’ </w:t>
      </w:r>
      <w:r w:rsidR="008B5A3F">
        <w:rPr>
          <w:bCs/>
          <w:szCs w:val="24"/>
        </w:rPr>
        <w:t xml:space="preserve">is used </w:t>
      </w:r>
      <w:r w:rsidR="00C274D1">
        <w:rPr>
          <w:bCs/>
          <w:szCs w:val="24"/>
        </w:rPr>
        <w:t>57</w:t>
      </w:r>
      <w:r w:rsidR="008B5A3F">
        <w:rPr>
          <w:bCs/>
          <w:szCs w:val="24"/>
        </w:rPr>
        <w:t xml:space="preserve"> times</w:t>
      </w:r>
      <w:r w:rsidR="00312544" w:rsidRPr="00146AE1">
        <w:rPr>
          <w:bCs/>
          <w:szCs w:val="24"/>
        </w:rPr>
        <w:t xml:space="preserve"> in the latter two strategies</w:t>
      </w:r>
      <w:r w:rsidR="008B5A3F">
        <w:rPr>
          <w:bCs/>
          <w:szCs w:val="24"/>
        </w:rPr>
        <w:t xml:space="preserve"> (combined), after appearing only twice in the first two strategies</w:t>
      </w:r>
      <w:r w:rsidR="00312544" w:rsidRPr="00146AE1">
        <w:rPr>
          <w:bCs/>
          <w:szCs w:val="24"/>
        </w:rPr>
        <w:t xml:space="preserve">. </w:t>
      </w:r>
    </w:p>
    <w:p w:rsidR="00312544" w:rsidRPr="00146AE1" w:rsidRDefault="00F90CDB">
      <w:pPr>
        <w:ind w:firstLine="720"/>
        <w:jc w:val="both"/>
        <w:rPr>
          <w:bCs/>
          <w:szCs w:val="24"/>
        </w:rPr>
      </w:pPr>
      <w:r>
        <w:rPr>
          <w:bCs/>
          <w:szCs w:val="24"/>
        </w:rPr>
        <w:t>The OTP’s concern about the economy of its activities is not misplaced, but it certainly produces discernible effects on its performance measurement. First,</w:t>
      </w:r>
      <w:r w:rsidR="00312544" w:rsidRPr="00146AE1">
        <w:rPr>
          <w:szCs w:val="24"/>
        </w:rPr>
        <w:t xml:space="preserve"> economy </w:t>
      </w:r>
      <w:r w:rsidR="006D125B">
        <w:rPr>
          <w:szCs w:val="24"/>
        </w:rPr>
        <w:t xml:space="preserve">risks shaping the purpose of performance measurement into a simple </w:t>
      </w:r>
      <w:r w:rsidR="00312544" w:rsidRPr="00146AE1">
        <w:rPr>
          <w:bCs/>
          <w:szCs w:val="24"/>
        </w:rPr>
        <w:t>‘reward-or punish’ exerci</w:t>
      </w:r>
      <w:r w:rsidR="0095540F">
        <w:rPr>
          <w:bCs/>
          <w:szCs w:val="24"/>
        </w:rPr>
        <w:t>s</w:t>
      </w:r>
      <w:r w:rsidR="00312544" w:rsidRPr="00146AE1">
        <w:rPr>
          <w:bCs/>
          <w:szCs w:val="24"/>
        </w:rPr>
        <w:t xml:space="preserve">e. This comes with </w:t>
      </w:r>
      <w:r w:rsidR="00E932D6">
        <w:rPr>
          <w:bCs/>
          <w:szCs w:val="24"/>
        </w:rPr>
        <w:t>the</w:t>
      </w:r>
      <w:r w:rsidR="00E932D6" w:rsidRPr="00146AE1">
        <w:rPr>
          <w:bCs/>
          <w:szCs w:val="24"/>
        </w:rPr>
        <w:t xml:space="preserve"> </w:t>
      </w:r>
      <w:r w:rsidR="00312544" w:rsidRPr="00146AE1">
        <w:rPr>
          <w:bCs/>
          <w:szCs w:val="24"/>
        </w:rPr>
        <w:t xml:space="preserve">belief that hard numbers are the basis for positive external judgment </w:t>
      </w:r>
      <w:r w:rsidR="00612EA5">
        <w:rPr>
          <w:bCs/>
          <w:szCs w:val="24"/>
        </w:rPr>
        <w:t>and</w:t>
      </w:r>
      <w:r w:rsidR="00E932D6">
        <w:rPr>
          <w:bCs/>
          <w:szCs w:val="24"/>
        </w:rPr>
        <w:t xml:space="preserve"> </w:t>
      </w:r>
      <w:r w:rsidR="00312544" w:rsidRPr="00146AE1">
        <w:rPr>
          <w:bCs/>
          <w:szCs w:val="24"/>
        </w:rPr>
        <w:t>the search for funding.</w:t>
      </w:r>
      <w:r w:rsidR="00312544" w:rsidRPr="00146AE1">
        <w:rPr>
          <w:bCs/>
          <w:szCs w:val="24"/>
          <w:vertAlign w:val="superscript"/>
        </w:rPr>
        <w:footnoteReference w:id="74"/>
      </w:r>
      <w:r w:rsidR="00312544" w:rsidRPr="00146AE1">
        <w:rPr>
          <w:bCs/>
          <w:szCs w:val="24"/>
        </w:rPr>
        <w:t xml:space="preserve"> </w:t>
      </w:r>
      <w:r w:rsidR="00E932D6">
        <w:rPr>
          <w:bCs/>
          <w:szCs w:val="24"/>
        </w:rPr>
        <w:t>S</w:t>
      </w:r>
      <w:r w:rsidR="00312544" w:rsidRPr="00146AE1">
        <w:rPr>
          <w:bCs/>
          <w:szCs w:val="24"/>
        </w:rPr>
        <w:t>econd</w:t>
      </w:r>
      <w:r w:rsidR="00E932D6">
        <w:rPr>
          <w:bCs/>
          <w:szCs w:val="24"/>
        </w:rPr>
        <w:t>,</w:t>
      </w:r>
      <w:r w:rsidR="00312544" w:rsidRPr="00146AE1">
        <w:rPr>
          <w:bCs/>
          <w:szCs w:val="24"/>
        </w:rPr>
        <w:t xml:space="preserve"> and related</w:t>
      </w:r>
      <w:r w:rsidR="00E932D6">
        <w:rPr>
          <w:bCs/>
          <w:szCs w:val="24"/>
        </w:rPr>
        <w:t>ly,</w:t>
      </w:r>
      <w:r w:rsidR="00312544" w:rsidRPr="00146AE1">
        <w:rPr>
          <w:bCs/>
          <w:szCs w:val="24"/>
        </w:rPr>
        <w:t xml:space="preserve"> economy </w:t>
      </w:r>
      <w:r w:rsidR="00E932D6">
        <w:rPr>
          <w:bCs/>
          <w:szCs w:val="24"/>
        </w:rPr>
        <w:t xml:space="preserve">pushes performance indicators to produce </w:t>
      </w:r>
      <w:r w:rsidR="0071740A">
        <w:rPr>
          <w:rFonts w:cs="Times New Roman"/>
          <w:bCs/>
          <w:szCs w:val="24"/>
        </w:rPr>
        <w:t>—</w:t>
      </w:r>
      <w:r w:rsidR="00E932D6">
        <w:rPr>
          <w:bCs/>
          <w:szCs w:val="24"/>
        </w:rPr>
        <w:t xml:space="preserve"> as much as possible </w:t>
      </w:r>
      <w:r w:rsidR="0071740A">
        <w:rPr>
          <w:rFonts w:cs="Times New Roman"/>
          <w:bCs/>
          <w:szCs w:val="24"/>
        </w:rPr>
        <w:t>—</w:t>
      </w:r>
      <w:r w:rsidR="00E932D6">
        <w:rPr>
          <w:bCs/>
          <w:szCs w:val="24"/>
        </w:rPr>
        <w:t xml:space="preserve"> hard data, for the</w:t>
      </w:r>
      <w:r w:rsidR="00312544" w:rsidRPr="00146AE1">
        <w:rPr>
          <w:bCs/>
          <w:szCs w:val="24"/>
        </w:rPr>
        <w:t xml:space="preserve"> purpose </w:t>
      </w:r>
      <w:r w:rsidR="00E932D6">
        <w:rPr>
          <w:bCs/>
          <w:szCs w:val="24"/>
        </w:rPr>
        <w:t>of auditing</w:t>
      </w:r>
      <w:r w:rsidR="00312544" w:rsidRPr="00146AE1">
        <w:rPr>
          <w:bCs/>
          <w:szCs w:val="24"/>
        </w:rPr>
        <w:t>. As argue</w:t>
      </w:r>
      <w:r w:rsidR="00E932D6">
        <w:rPr>
          <w:bCs/>
          <w:szCs w:val="24"/>
        </w:rPr>
        <w:t>d in the literature,</w:t>
      </w:r>
      <w:r w:rsidR="00312544" w:rsidRPr="00146AE1">
        <w:rPr>
          <w:bCs/>
          <w:szCs w:val="24"/>
        </w:rPr>
        <w:t xml:space="preserve"> auditing and the development of performance indicators are mutually constitutive.</w:t>
      </w:r>
      <w:r w:rsidR="00312544" w:rsidRPr="00146AE1">
        <w:rPr>
          <w:rStyle w:val="FootnoteReference"/>
          <w:bCs/>
          <w:sz w:val="24"/>
          <w:szCs w:val="24"/>
        </w:rPr>
        <w:footnoteReference w:id="75"/>
      </w:r>
      <w:r w:rsidR="00312544" w:rsidRPr="00146AE1">
        <w:rPr>
          <w:bCs/>
          <w:szCs w:val="24"/>
        </w:rPr>
        <w:t xml:space="preserve"> </w:t>
      </w:r>
      <w:r w:rsidR="00071207">
        <w:rPr>
          <w:bCs/>
          <w:szCs w:val="24"/>
        </w:rPr>
        <w:t>T</w:t>
      </w:r>
      <w:r w:rsidR="006D125B">
        <w:rPr>
          <w:bCs/>
          <w:szCs w:val="24"/>
        </w:rPr>
        <w:t>he d</w:t>
      </w:r>
      <w:r w:rsidR="006D125B">
        <w:rPr>
          <w:bCs/>
          <w:szCs w:val="24"/>
        </w:rPr>
        <w:t xml:space="preserve">evelopment of performance measurement </w:t>
      </w:r>
      <w:r w:rsidR="002F64E8">
        <w:rPr>
          <w:bCs/>
          <w:szCs w:val="24"/>
        </w:rPr>
        <w:t xml:space="preserve">tends to conform to the image </w:t>
      </w:r>
      <w:r w:rsidR="002F64E8">
        <w:rPr>
          <w:bCs/>
          <w:szCs w:val="24"/>
        </w:rPr>
        <w:t>and practice of auditing</w:t>
      </w:r>
      <w:r w:rsidR="00312544" w:rsidRPr="00146AE1">
        <w:rPr>
          <w:bCs/>
          <w:szCs w:val="24"/>
        </w:rPr>
        <w:t>.</w:t>
      </w:r>
      <w:r w:rsidR="00312544" w:rsidRPr="00146AE1">
        <w:rPr>
          <w:rStyle w:val="FootnoteReference"/>
          <w:bCs/>
          <w:sz w:val="24"/>
          <w:szCs w:val="24"/>
        </w:rPr>
        <w:footnoteReference w:id="76"/>
      </w:r>
      <w:r w:rsidR="00312544" w:rsidRPr="00146AE1">
        <w:rPr>
          <w:bCs/>
          <w:szCs w:val="24"/>
        </w:rPr>
        <w:t xml:space="preserve"> Thus, </w:t>
      </w:r>
      <w:r w:rsidR="002F64E8">
        <w:rPr>
          <w:bCs/>
          <w:szCs w:val="24"/>
        </w:rPr>
        <w:t xml:space="preserve">both </w:t>
      </w:r>
      <w:r w:rsidR="00312544" w:rsidRPr="00146AE1">
        <w:rPr>
          <w:bCs/>
          <w:szCs w:val="24"/>
        </w:rPr>
        <w:t xml:space="preserve">accountability and audit </w:t>
      </w:r>
      <w:r w:rsidR="00204D13">
        <w:rPr>
          <w:bCs/>
          <w:szCs w:val="24"/>
        </w:rPr>
        <w:t>explain</w:t>
      </w:r>
      <w:r w:rsidR="00312544" w:rsidRPr="00146AE1">
        <w:rPr>
          <w:bCs/>
          <w:szCs w:val="24"/>
        </w:rPr>
        <w:t xml:space="preserve"> </w:t>
      </w:r>
      <w:r w:rsidR="00204D13">
        <w:rPr>
          <w:bCs/>
          <w:szCs w:val="24"/>
        </w:rPr>
        <w:t>why</w:t>
      </w:r>
      <w:r w:rsidR="00312544" w:rsidRPr="00146AE1">
        <w:rPr>
          <w:bCs/>
          <w:szCs w:val="24"/>
        </w:rPr>
        <w:t xml:space="preserve"> the OTP prioriti</w:t>
      </w:r>
      <w:r w:rsidR="00204D13">
        <w:rPr>
          <w:bCs/>
          <w:szCs w:val="24"/>
        </w:rPr>
        <w:t>zes</w:t>
      </w:r>
      <w:r w:rsidR="00312544" w:rsidRPr="00146AE1">
        <w:rPr>
          <w:bCs/>
          <w:szCs w:val="24"/>
        </w:rPr>
        <w:t xml:space="preserve"> </w:t>
      </w:r>
      <w:r w:rsidR="00204D13" w:rsidRPr="00146AE1">
        <w:rPr>
          <w:bCs/>
          <w:szCs w:val="24"/>
        </w:rPr>
        <w:t xml:space="preserve">indicators </w:t>
      </w:r>
      <w:r w:rsidR="00204D13">
        <w:rPr>
          <w:bCs/>
          <w:szCs w:val="24"/>
        </w:rPr>
        <w:t xml:space="preserve">based on </w:t>
      </w:r>
      <w:r w:rsidR="00312544" w:rsidRPr="00146AE1">
        <w:rPr>
          <w:bCs/>
          <w:szCs w:val="24"/>
        </w:rPr>
        <w:t>prosecut</w:t>
      </w:r>
      <w:r w:rsidR="00204D13">
        <w:rPr>
          <w:bCs/>
          <w:szCs w:val="24"/>
        </w:rPr>
        <w:t>orial</w:t>
      </w:r>
      <w:r w:rsidR="00312544" w:rsidRPr="00146AE1">
        <w:rPr>
          <w:bCs/>
          <w:szCs w:val="24"/>
        </w:rPr>
        <w:t xml:space="preserve"> </w:t>
      </w:r>
      <w:r w:rsidR="00581E5B">
        <w:rPr>
          <w:bCs/>
          <w:szCs w:val="24"/>
        </w:rPr>
        <w:t>outputs</w:t>
      </w:r>
      <w:r w:rsidR="00204D13">
        <w:rPr>
          <w:bCs/>
          <w:szCs w:val="24"/>
        </w:rPr>
        <w:t>:</w:t>
      </w:r>
      <w:r w:rsidR="00312544" w:rsidRPr="00146AE1">
        <w:rPr>
          <w:bCs/>
          <w:szCs w:val="24"/>
        </w:rPr>
        <w:t xml:space="preserve"> because </w:t>
      </w:r>
      <w:r w:rsidR="00204D13">
        <w:rPr>
          <w:bCs/>
          <w:szCs w:val="24"/>
        </w:rPr>
        <w:t>they</w:t>
      </w:r>
      <w:r w:rsidR="00204D13" w:rsidRPr="00146AE1">
        <w:rPr>
          <w:bCs/>
          <w:szCs w:val="24"/>
        </w:rPr>
        <w:t xml:space="preserve"> </w:t>
      </w:r>
      <w:r w:rsidR="00312544" w:rsidRPr="00146AE1">
        <w:rPr>
          <w:bCs/>
          <w:szCs w:val="24"/>
        </w:rPr>
        <w:t>are readily amenable to auditable standards of performance.</w:t>
      </w:r>
      <w:r w:rsidR="00312544" w:rsidRPr="00146AE1">
        <w:rPr>
          <w:rStyle w:val="FootnoteReference"/>
          <w:bCs/>
          <w:sz w:val="24"/>
          <w:szCs w:val="24"/>
        </w:rPr>
        <w:footnoteReference w:id="77"/>
      </w:r>
      <w:r w:rsidR="00312544" w:rsidRPr="00146AE1">
        <w:rPr>
          <w:bCs/>
          <w:szCs w:val="24"/>
        </w:rPr>
        <w:t xml:space="preserve"> </w:t>
      </w:r>
    </w:p>
    <w:p w:rsidR="00312544" w:rsidRPr="00FC5A80" w:rsidRDefault="00786B96">
      <w:pPr>
        <w:ind w:firstLine="720"/>
        <w:jc w:val="both"/>
        <w:rPr>
          <w:szCs w:val="24"/>
        </w:rPr>
      </w:pPr>
      <w:r>
        <w:rPr>
          <w:bCs/>
          <w:szCs w:val="24"/>
        </w:rPr>
        <w:t>One should then question why</w:t>
      </w:r>
      <w:r w:rsidR="00312544" w:rsidRPr="00146AE1">
        <w:rPr>
          <w:bCs/>
          <w:szCs w:val="24"/>
        </w:rPr>
        <w:t xml:space="preserve"> audit-rooted performance measurement </w:t>
      </w:r>
      <w:r>
        <w:rPr>
          <w:bCs/>
          <w:szCs w:val="24"/>
        </w:rPr>
        <w:t>excludes or dis</w:t>
      </w:r>
      <w:r w:rsidR="00186171">
        <w:rPr>
          <w:bCs/>
          <w:szCs w:val="24"/>
        </w:rPr>
        <w:t>-</w:t>
      </w:r>
      <w:r>
        <w:rPr>
          <w:bCs/>
          <w:szCs w:val="24"/>
        </w:rPr>
        <w:t>incentiv</w:t>
      </w:r>
      <w:r w:rsidR="00186171">
        <w:rPr>
          <w:bCs/>
          <w:szCs w:val="24"/>
        </w:rPr>
        <w:t>i</w:t>
      </w:r>
      <w:r w:rsidR="00071207">
        <w:rPr>
          <w:bCs/>
          <w:szCs w:val="24"/>
        </w:rPr>
        <w:t>z</w:t>
      </w:r>
      <w:r w:rsidR="00186171">
        <w:rPr>
          <w:bCs/>
          <w:szCs w:val="24"/>
        </w:rPr>
        <w:t>es</w:t>
      </w:r>
      <w:r w:rsidR="00312544" w:rsidRPr="00146AE1">
        <w:rPr>
          <w:bCs/>
          <w:szCs w:val="24"/>
        </w:rPr>
        <w:t xml:space="preserve"> the measurement of prosecution effectiveness. Generally, one explanation is that these indicators </w:t>
      </w:r>
      <w:r w:rsidR="007E330F">
        <w:rPr>
          <w:bCs/>
          <w:szCs w:val="24"/>
        </w:rPr>
        <w:t>may generate</w:t>
      </w:r>
      <w:r w:rsidR="002F64E8">
        <w:rPr>
          <w:bCs/>
          <w:szCs w:val="24"/>
        </w:rPr>
        <w:t xml:space="preserve"> a</w:t>
      </w:r>
      <w:r w:rsidR="00312544" w:rsidRPr="00146AE1">
        <w:rPr>
          <w:bCs/>
          <w:szCs w:val="24"/>
        </w:rPr>
        <w:t xml:space="preserve"> powerful (and unanticipated) cultural consequence </w:t>
      </w:r>
      <w:r w:rsidR="002F64E8">
        <w:rPr>
          <w:bCs/>
          <w:szCs w:val="24"/>
        </w:rPr>
        <w:t>on</w:t>
      </w:r>
      <w:r w:rsidR="00312544" w:rsidRPr="00146AE1">
        <w:rPr>
          <w:bCs/>
          <w:szCs w:val="24"/>
        </w:rPr>
        <w:t xml:space="preserve"> </w:t>
      </w:r>
      <w:r w:rsidR="007E330F">
        <w:rPr>
          <w:bCs/>
          <w:szCs w:val="24"/>
        </w:rPr>
        <w:t>the organization’s</w:t>
      </w:r>
      <w:r w:rsidR="007E330F" w:rsidRPr="00146AE1">
        <w:rPr>
          <w:bCs/>
          <w:szCs w:val="24"/>
        </w:rPr>
        <w:t xml:space="preserve"> </w:t>
      </w:r>
      <w:r w:rsidR="00312544" w:rsidRPr="00146AE1">
        <w:rPr>
          <w:bCs/>
          <w:szCs w:val="24"/>
        </w:rPr>
        <w:t xml:space="preserve">personnel. In short, audit indicators </w:t>
      </w:r>
      <w:r w:rsidR="007E330F">
        <w:rPr>
          <w:bCs/>
          <w:szCs w:val="24"/>
        </w:rPr>
        <w:t>may</w:t>
      </w:r>
      <w:r w:rsidR="007E330F" w:rsidRPr="00146AE1">
        <w:rPr>
          <w:bCs/>
          <w:szCs w:val="24"/>
        </w:rPr>
        <w:t xml:space="preserve"> </w:t>
      </w:r>
      <w:r w:rsidR="00312544" w:rsidRPr="00146AE1">
        <w:rPr>
          <w:bCs/>
          <w:szCs w:val="24"/>
        </w:rPr>
        <w:t>deeply implant audit values within professional identities.</w:t>
      </w:r>
      <w:r w:rsidR="00312544" w:rsidRPr="00146AE1">
        <w:rPr>
          <w:bCs/>
          <w:szCs w:val="24"/>
          <w:vertAlign w:val="superscript"/>
        </w:rPr>
        <w:footnoteReference w:id="78"/>
      </w:r>
      <w:r w:rsidR="00312544" w:rsidRPr="00146AE1">
        <w:rPr>
          <w:bCs/>
          <w:szCs w:val="24"/>
        </w:rPr>
        <w:t xml:space="preserve"> </w:t>
      </w:r>
      <w:r w:rsidR="007E330F">
        <w:rPr>
          <w:bCs/>
          <w:szCs w:val="24"/>
        </w:rPr>
        <w:t>T</w:t>
      </w:r>
      <w:r w:rsidR="00312544" w:rsidRPr="00146AE1">
        <w:rPr>
          <w:bCs/>
          <w:szCs w:val="24"/>
        </w:rPr>
        <w:t xml:space="preserve">his </w:t>
      </w:r>
      <w:r w:rsidR="007E330F">
        <w:rPr>
          <w:bCs/>
          <w:szCs w:val="24"/>
        </w:rPr>
        <w:t>may</w:t>
      </w:r>
      <w:r w:rsidR="00312544" w:rsidRPr="00146AE1">
        <w:rPr>
          <w:bCs/>
          <w:szCs w:val="24"/>
        </w:rPr>
        <w:t xml:space="preserve"> lead</w:t>
      </w:r>
      <w:r w:rsidR="007E330F">
        <w:rPr>
          <w:bCs/>
          <w:szCs w:val="24"/>
        </w:rPr>
        <w:t xml:space="preserve"> personnel</w:t>
      </w:r>
      <w:r w:rsidR="00312544" w:rsidRPr="00146AE1">
        <w:rPr>
          <w:bCs/>
          <w:szCs w:val="24"/>
        </w:rPr>
        <w:t xml:space="preserve"> to change </w:t>
      </w:r>
      <w:r w:rsidR="007E330F">
        <w:rPr>
          <w:bCs/>
          <w:szCs w:val="24"/>
        </w:rPr>
        <w:t>their vision</w:t>
      </w:r>
      <w:r w:rsidR="00312544" w:rsidRPr="00146AE1">
        <w:rPr>
          <w:bCs/>
          <w:szCs w:val="24"/>
        </w:rPr>
        <w:t xml:space="preserve"> about</w:t>
      </w:r>
      <w:r w:rsidR="002F64E8">
        <w:rPr>
          <w:bCs/>
          <w:szCs w:val="24"/>
        </w:rPr>
        <w:t xml:space="preserve"> who they professionally are and w</w:t>
      </w:r>
      <w:r w:rsidR="00312544" w:rsidRPr="00146AE1">
        <w:rPr>
          <w:bCs/>
          <w:szCs w:val="24"/>
        </w:rPr>
        <w:t>hat</w:t>
      </w:r>
      <w:r w:rsidR="002F64E8">
        <w:rPr>
          <w:bCs/>
          <w:szCs w:val="24"/>
        </w:rPr>
        <w:t xml:space="preserve"> it is</w:t>
      </w:r>
      <w:r w:rsidR="00312544" w:rsidRPr="00146AE1">
        <w:rPr>
          <w:bCs/>
          <w:szCs w:val="24"/>
        </w:rPr>
        <w:t xml:space="preserve"> they do.</w:t>
      </w:r>
      <w:r w:rsidR="00312544" w:rsidRPr="00146AE1">
        <w:rPr>
          <w:rStyle w:val="FootnoteReference"/>
          <w:bCs/>
          <w:sz w:val="24"/>
          <w:szCs w:val="24"/>
        </w:rPr>
        <w:footnoteReference w:id="79"/>
      </w:r>
      <w:r w:rsidR="00312544" w:rsidRPr="00146AE1">
        <w:rPr>
          <w:bCs/>
          <w:szCs w:val="24"/>
        </w:rPr>
        <w:t xml:space="preserve"> </w:t>
      </w:r>
      <w:r w:rsidR="003D68E4">
        <w:rPr>
          <w:szCs w:val="24"/>
        </w:rPr>
        <w:t>Taking the Prosecutor</w:t>
      </w:r>
      <w:r w:rsidR="00186171">
        <w:rPr>
          <w:szCs w:val="24"/>
        </w:rPr>
        <w:t>, her</w:t>
      </w:r>
      <w:r w:rsidR="00312544" w:rsidRPr="00146AE1">
        <w:rPr>
          <w:bCs/>
          <w:szCs w:val="24"/>
        </w:rPr>
        <w:t xml:space="preserve"> professional identit</w:t>
      </w:r>
      <w:r w:rsidR="00186171">
        <w:rPr>
          <w:bCs/>
          <w:szCs w:val="24"/>
        </w:rPr>
        <w:t xml:space="preserve">y is not only </w:t>
      </w:r>
      <w:r w:rsidR="00FE7AC8">
        <w:rPr>
          <w:bCs/>
          <w:szCs w:val="24"/>
        </w:rPr>
        <w:t>that of a</w:t>
      </w:r>
      <w:r w:rsidR="00186171">
        <w:rPr>
          <w:bCs/>
          <w:szCs w:val="24"/>
        </w:rPr>
        <w:t xml:space="preserve"> courtroom advocate </w:t>
      </w:r>
      <w:r w:rsidR="002F64E8">
        <w:rPr>
          <w:bCs/>
          <w:szCs w:val="24"/>
        </w:rPr>
        <w:t>concerned with question</w:t>
      </w:r>
      <w:r w:rsidR="003D68E4">
        <w:rPr>
          <w:bCs/>
          <w:szCs w:val="24"/>
        </w:rPr>
        <w:t xml:space="preserve">s of evidence and procedure, but </w:t>
      </w:r>
      <w:r w:rsidR="00FE7AC8">
        <w:rPr>
          <w:bCs/>
          <w:szCs w:val="24"/>
        </w:rPr>
        <w:t>also one</w:t>
      </w:r>
      <w:r w:rsidR="00186171">
        <w:rPr>
          <w:bCs/>
          <w:szCs w:val="24"/>
        </w:rPr>
        <w:t xml:space="preserve"> akin to </w:t>
      </w:r>
      <w:r w:rsidR="00312544" w:rsidRPr="00146AE1">
        <w:rPr>
          <w:bCs/>
          <w:szCs w:val="24"/>
        </w:rPr>
        <w:t xml:space="preserve">a </w:t>
      </w:r>
      <w:r w:rsidR="00CE69B2" w:rsidRPr="00146AE1">
        <w:rPr>
          <w:bCs/>
          <w:szCs w:val="24"/>
        </w:rPr>
        <w:t>‘cause</w:t>
      </w:r>
      <w:r w:rsidR="00581E5B">
        <w:rPr>
          <w:bCs/>
          <w:szCs w:val="24"/>
        </w:rPr>
        <w:t xml:space="preserve"> </w:t>
      </w:r>
      <w:r w:rsidR="00312544" w:rsidRPr="00146AE1">
        <w:rPr>
          <w:bCs/>
          <w:szCs w:val="24"/>
        </w:rPr>
        <w:t xml:space="preserve">lawyer’: </w:t>
      </w:r>
      <w:r w:rsidR="00312544" w:rsidRPr="00146AE1">
        <w:rPr>
          <w:szCs w:val="24"/>
        </w:rPr>
        <w:t xml:space="preserve">someone whose </w:t>
      </w:r>
      <w:r w:rsidR="003D68E4">
        <w:rPr>
          <w:szCs w:val="24"/>
        </w:rPr>
        <w:t>prosecution</w:t>
      </w:r>
      <w:r w:rsidR="00573EE4">
        <w:rPr>
          <w:szCs w:val="24"/>
        </w:rPr>
        <w:t>s</w:t>
      </w:r>
      <w:r w:rsidR="003D68E4" w:rsidRPr="00146AE1">
        <w:rPr>
          <w:szCs w:val="24"/>
        </w:rPr>
        <w:t xml:space="preserve"> </w:t>
      </w:r>
      <w:r w:rsidR="00312544" w:rsidRPr="00146AE1">
        <w:rPr>
          <w:szCs w:val="24"/>
        </w:rPr>
        <w:t>inevitably come with an activist</w:t>
      </w:r>
      <w:r w:rsidR="00F41087">
        <w:rPr>
          <w:szCs w:val="24"/>
        </w:rPr>
        <w:t xml:space="preserve"> concern and</w:t>
      </w:r>
      <w:r w:rsidR="00312544" w:rsidRPr="00146AE1">
        <w:rPr>
          <w:szCs w:val="24"/>
        </w:rPr>
        <w:t xml:space="preserve"> mission to </w:t>
      </w:r>
      <w:r w:rsidR="00A64B00">
        <w:rPr>
          <w:szCs w:val="24"/>
        </w:rPr>
        <w:t>promote</w:t>
      </w:r>
      <w:r w:rsidR="00A64B00" w:rsidRPr="00146AE1">
        <w:rPr>
          <w:szCs w:val="24"/>
        </w:rPr>
        <w:t xml:space="preserve"> </w:t>
      </w:r>
      <w:r w:rsidR="00312544" w:rsidRPr="00146AE1">
        <w:rPr>
          <w:szCs w:val="24"/>
        </w:rPr>
        <w:t>social change in conflict-affected societies.</w:t>
      </w:r>
      <w:r w:rsidR="00312544" w:rsidRPr="00146AE1">
        <w:rPr>
          <w:rStyle w:val="FootnoteReference"/>
          <w:sz w:val="24"/>
          <w:szCs w:val="24"/>
        </w:rPr>
        <w:footnoteReference w:id="80"/>
      </w:r>
      <w:r w:rsidR="003D68E4">
        <w:rPr>
          <w:szCs w:val="24"/>
        </w:rPr>
        <w:t xml:space="preserve"> C</w:t>
      </w:r>
      <w:bookmarkStart w:id="12" w:name="_GoBack"/>
      <w:bookmarkEnd w:id="12"/>
      <w:r w:rsidR="003D68E4">
        <w:rPr>
          <w:szCs w:val="24"/>
        </w:rPr>
        <w:t>urrent OTP indicators</w:t>
      </w:r>
      <w:r w:rsidR="00F41087">
        <w:rPr>
          <w:szCs w:val="24"/>
        </w:rPr>
        <w:t xml:space="preserve"> </w:t>
      </w:r>
      <w:r w:rsidR="005F1A3A">
        <w:rPr>
          <w:szCs w:val="24"/>
        </w:rPr>
        <w:t xml:space="preserve">may </w:t>
      </w:r>
      <w:r w:rsidR="00A64B00">
        <w:rPr>
          <w:szCs w:val="24"/>
        </w:rPr>
        <w:t>undermine</w:t>
      </w:r>
      <w:r w:rsidR="00312544" w:rsidRPr="00146AE1">
        <w:rPr>
          <w:szCs w:val="24"/>
        </w:rPr>
        <w:t xml:space="preserve"> </w:t>
      </w:r>
      <w:r w:rsidR="005F1A3A">
        <w:rPr>
          <w:szCs w:val="24"/>
        </w:rPr>
        <w:t>such ‘cause lawyer’</w:t>
      </w:r>
      <w:r w:rsidR="00A64B00">
        <w:rPr>
          <w:szCs w:val="24"/>
        </w:rPr>
        <w:t xml:space="preserve"> </w:t>
      </w:r>
      <w:r w:rsidR="00312544" w:rsidRPr="00146AE1">
        <w:rPr>
          <w:szCs w:val="24"/>
        </w:rPr>
        <w:t>identity</w:t>
      </w:r>
      <w:r w:rsidR="00A64B00">
        <w:rPr>
          <w:szCs w:val="24"/>
        </w:rPr>
        <w:t xml:space="preserve"> by </w:t>
      </w:r>
      <w:r w:rsidR="00581E5B">
        <w:rPr>
          <w:szCs w:val="24"/>
        </w:rPr>
        <w:t>shift</w:t>
      </w:r>
      <w:r w:rsidR="00A64B00">
        <w:rPr>
          <w:szCs w:val="24"/>
        </w:rPr>
        <w:t xml:space="preserve">ing </w:t>
      </w:r>
      <w:r w:rsidR="00F41087">
        <w:rPr>
          <w:szCs w:val="24"/>
        </w:rPr>
        <w:t xml:space="preserve">her concern towards </w:t>
      </w:r>
      <w:r w:rsidR="00312544" w:rsidRPr="00146AE1">
        <w:rPr>
          <w:szCs w:val="24"/>
        </w:rPr>
        <w:t>internal-</w:t>
      </w:r>
      <w:r w:rsidR="00581E5B">
        <w:rPr>
          <w:szCs w:val="24"/>
        </w:rPr>
        <w:t>facing</w:t>
      </w:r>
      <w:r w:rsidR="00F41087">
        <w:rPr>
          <w:szCs w:val="24"/>
        </w:rPr>
        <w:t xml:space="preserve"> considerations, casting her </w:t>
      </w:r>
      <w:r w:rsidR="00312544" w:rsidRPr="00146AE1">
        <w:rPr>
          <w:szCs w:val="24"/>
        </w:rPr>
        <w:t>a</w:t>
      </w:r>
      <w:r w:rsidR="00F41087">
        <w:rPr>
          <w:szCs w:val="24"/>
        </w:rPr>
        <w:t>s a</w:t>
      </w:r>
      <w:r w:rsidR="00312544" w:rsidRPr="00146AE1">
        <w:rPr>
          <w:szCs w:val="24"/>
        </w:rPr>
        <w:t xml:space="preserve"> private </w:t>
      </w:r>
      <w:r w:rsidR="00312544" w:rsidRPr="00146AE1">
        <w:rPr>
          <w:bCs/>
          <w:szCs w:val="24"/>
        </w:rPr>
        <w:t xml:space="preserve">entrepreneur </w:t>
      </w:r>
      <w:r w:rsidR="005F1A3A">
        <w:rPr>
          <w:bCs/>
          <w:szCs w:val="24"/>
        </w:rPr>
        <w:t xml:space="preserve">who </w:t>
      </w:r>
      <w:r w:rsidR="00312544" w:rsidRPr="00146AE1">
        <w:rPr>
          <w:bCs/>
          <w:szCs w:val="24"/>
        </w:rPr>
        <w:t>view</w:t>
      </w:r>
      <w:r w:rsidR="005F1A3A">
        <w:rPr>
          <w:bCs/>
          <w:szCs w:val="24"/>
        </w:rPr>
        <w:t>s</w:t>
      </w:r>
      <w:r w:rsidR="00312544" w:rsidRPr="00146AE1">
        <w:rPr>
          <w:bCs/>
          <w:szCs w:val="24"/>
        </w:rPr>
        <w:t xml:space="preserve"> prosecutions as a private commodity (rather than a public good), and positive </w:t>
      </w:r>
      <w:r w:rsidR="00581E5B">
        <w:rPr>
          <w:bCs/>
          <w:szCs w:val="24"/>
        </w:rPr>
        <w:t>prosecutorial outputs</w:t>
      </w:r>
      <w:r w:rsidR="00581E5B" w:rsidRPr="00146AE1">
        <w:rPr>
          <w:bCs/>
          <w:szCs w:val="24"/>
        </w:rPr>
        <w:t xml:space="preserve"> </w:t>
      </w:r>
      <w:r w:rsidR="00312544" w:rsidRPr="00146AE1">
        <w:rPr>
          <w:bCs/>
          <w:szCs w:val="24"/>
        </w:rPr>
        <w:t xml:space="preserve">as essential </w:t>
      </w:r>
      <w:r w:rsidR="00B43595">
        <w:rPr>
          <w:bCs/>
          <w:szCs w:val="24"/>
        </w:rPr>
        <w:t>organiz</w:t>
      </w:r>
      <w:r w:rsidR="00312544" w:rsidRPr="00146AE1">
        <w:rPr>
          <w:bCs/>
          <w:szCs w:val="24"/>
        </w:rPr>
        <w:t>ational ‘profit’. Th</w:t>
      </w:r>
      <w:r w:rsidR="009E2BF3">
        <w:rPr>
          <w:bCs/>
          <w:szCs w:val="24"/>
        </w:rPr>
        <w:t>is identity</w:t>
      </w:r>
      <w:r w:rsidR="00312544" w:rsidRPr="00146AE1">
        <w:rPr>
          <w:bCs/>
          <w:szCs w:val="24"/>
        </w:rPr>
        <w:t xml:space="preserve"> shift</w:t>
      </w:r>
      <w:r w:rsidR="003D68E4">
        <w:rPr>
          <w:bCs/>
          <w:szCs w:val="24"/>
        </w:rPr>
        <w:t xml:space="preserve"> also</w:t>
      </w:r>
      <w:r w:rsidR="00312544" w:rsidRPr="00146AE1">
        <w:rPr>
          <w:bCs/>
          <w:szCs w:val="24"/>
        </w:rPr>
        <w:t xml:space="preserve"> </w:t>
      </w:r>
      <w:r w:rsidR="009E2BF3">
        <w:rPr>
          <w:bCs/>
          <w:szCs w:val="24"/>
        </w:rPr>
        <w:t>implies</w:t>
      </w:r>
      <w:r w:rsidR="00312544" w:rsidRPr="00146AE1">
        <w:rPr>
          <w:bCs/>
          <w:szCs w:val="24"/>
        </w:rPr>
        <w:t xml:space="preserve"> a change in the primary audience for </w:t>
      </w:r>
      <w:r w:rsidR="009E2BF3">
        <w:rPr>
          <w:bCs/>
          <w:szCs w:val="24"/>
        </w:rPr>
        <w:t>the Office’s</w:t>
      </w:r>
      <w:r w:rsidR="009E2BF3" w:rsidRPr="00146AE1">
        <w:rPr>
          <w:bCs/>
          <w:szCs w:val="24"/>
        </w:rPr>
        <w:t xml:space="preserve"> </w:t>
      </w:r>
      <w:r w:rsidR="009E2BF3">
        <w:rPr>
          <w:bCs/>
          <w:szCs w:val="24"/>
        </w:rPr>
        <w:t>activities</w:t>
      </w:r>
      <w:r w:rsidR="00312544" w:rsidRPr="00146AE1">
        <w:rPr>
          <w:bCs/>
          <w:szCs w:val="24"/>
        </w:rPr>
        <w:t xml:space="preserve">, encouraging </w:t>
      </w:r>
      <w:r w:rsidR="009E2BF3">
        <w:rPr>
          <w:bCs/>
          <w:szCs w:val="24"/>
        </w:rPr>
        <w:t>a</w:t>
      </w:r>
      <w:r w:rsidR="00312544" w:rsidRPr="00146AE1">
        <w:rPr>
          <w:bCs/>
          <w:szCs w:val="24"/>
        </w:rPr>
        <w:t xml:space="preserve"> focus on the ASP</w:t>
      </w:r>
      <w:r w:rsidR="005F1A3A">
        <w:rPr>
          <w:rFonts w:cs="Times New Roman"/>
          <w:bCs/>
          <w:szCs w:val="24"/>
        </w:rPr>
        <w:t>,</w:t>
      </w:r>
      <w:r w:rsidR="009E2BF3">
        <w:rPr>
          <w:bCs/>
          <w:szCs w:val="24"/>
        </w:rPr>
        <w:t xml:space="preserve"> which</w:t>
      </w:r>
      <w:r w:rsidR="009E2BF3" w:rsidRPr="00146AE1">
        <w:rPr>
          <w:bCs/>
          <w:szCs w:val="24"/>
        </w:rPr>
        <w:t xml:space="preserve"> </w:t>
      </w:r>
      <w:r w:rsidR="00312544" w:rsidRPr="00146AE1">
        <w:rPr>
          <w:bCs/>
          <w:szCs w:val="24"/>
        </w:rPr>
        <w:t>hold</w:t>
      </w:r>
      <w:r w:rsidR="009E2BF3">
        <w:rPr>
          <w:bCs/>
          <w:szCs w:val="24"/>
        </w:rPr>
        <w:t>s</w:t>
      </w:r>
      <w:r w:rsidR="00312544" w:rsidRPr="00146AE1">
        <w:rPr>
          <w:bCs/>
          <w:szCs w:val="24"/>
        </w:rPr>
        <w:t xml:space="preserve"> </w:t>
      </w:r>
      <w:r w:rsidR="009E2BF3">
        <w:rPr>
          <w:bCs/>
          <w:szCs w:val="24"/>
        </w:rPr>
        <w:t>the OTP</w:t>
      </w:r>
      <w:r w:rsidR="009E2BF3" w:rsidRPr="00146AE1">
        <w:rPr>
          <w:bCs/>
          <w:szCs w:val="24"/>
        </w:rPr>
        <w:t xml:space="preserve"> </w:t>
      </w:r>
      <w:r w:rsidR="00312544" w:rsidRPr="00146AE1">
        <w:rPr>
          <w:bCs/>
          <w:szCs w:val="24"/>
        </w:rPr>
        <w:t xml:space="preserve">accountable and whose demands </w:t>
      </w:r>
      <w:r w:rsidR="009E2BF3">
        <w:rPr>
          <w:bCs/>
          <w:szCs w:val="24"/>
        </w:rPr>
        <w:t>the Office</w:t>
      </w:r>
      <w:r w:rsidR="009E2BF3" w:rsidRPr="00146AE1">
        <w:rPr>
          <w:bCs/>
          <w:szCs w:val="24"/>
        </w:rPr>
        <w:t xml:space="preserve"> </w:t>
      </w:r>
      <w:r w:rsidR="00312544" w:rsidRPr="00146AE1">
        <w:rPr>
          <w:bCs/>
          <w:szCs w:val="24"/>
        </w:rPr>
        <w:t>must strive to meet.</w:t>
      </w:r>
      <w:r w:rsidR="00312544" w:rsidRPr="00146AE1">
        <w:rPr>
          <w:rStyle w:val="FootnoteReference"/>
          <w:bCs/>
          <w:sz w:val="24"/>
          <w:szCs w:val="24"/>
        </w:rPr>
        <w:footnoteReference w:id="81"/>
      </w:r>
      <w:r w:rsidR="00312544" w:rsidRPr="00146AE1">
        <w:rPr>
          <w:bCs/>
          <w:szCs w:val="24"/>
        </w:rPr>
        <w:t xml:space="preserve"> At its worst, </w:t>
      </w:r>
      <w:r w:rsidR="009E2BF3">
        <w:rPr>
          <w:bCs/>
          <w:szCs w:val="24"/>
        </w:rPr>
        <w:t>quoting</w:t>
      </w:r>
      <w:r w:rsidR="00312544" w:rsidRPr="00146AE1">
        <w:rPr>
          <w:bCs/>
          <w:szCs w:val="24"/>
        </w:rPr>
        <w:t xml:space="preserve"> Max Weber</w:t>
      </w:r>
      <w:r w:rsidR="009E2BF3">
        <w:rPr>
          <w:bCs/>
          <w:szCs w:val="24"/>
        </w:rPr>
        <w:t>’s</w:t>
      </w:r>
      <w:r w:rsidR="009E2BF3" w:rsidRPr="009E2BF3">
        <w:rPr>
          <w:bCs/>
          <w:szCs w:val="24"/>
        </w:rPr>
        <w:t xml:space="preserve"> </w:t>
      </w:r>
      <w:r w:rsidR="009E2BF3" w:rsidRPr="00146AE1">
        <w:rPr>
          <w:bCs/>
          <w:szCs w:val="24"/>
        </w:rPr>
        <w:t>language</w:t>
      </w:r>
      <w:r w:rsidR="00312544" w:rsidRPr="00146AE1">
        <w:rPr>
          <w:bCs/>
          <w:szCs w:val="24"/>
        </w:rPr>
        <w:t xml:space="preserve">, the Prosecutor </w:t>
      </w:r>
      <w:r w:rsidR="009E2BF3">
        <w:rPr>
          <w:bCs/>
          <w:szCs w:val="24"/>
        </w:rPr>
        <w:t>becomes</w:t>
      </w:r>
      <w:r w:rsidR="009E2BF3" w:rsidRPr="00146AE1">
        <w:rPr>
          <w:bCs/>
          <w:szCs w:val="24"/>
        </w:rPr>
        <w:t xml:space="preserve"> </w:t>
      </w:r>
      <w:r w:rsidR="00312544" w:rsidRPr="00146AE1">
        <w:rPr>
          <w:bCs/>
          <w:szCs w:val="24"/>
        </w:rPr>
        <w:t>‘bureaucrati</w:t>
      </w:r>
      <w:r w:rsidR="0095540F">
        <w:rPr>
          <w:bCs/>
          <w:szCs w:val="24"/>
        </w:rPr>
        <w:t>z</w:t>
      </w:r>
      <w:r w:rsidR="00312544" w:rsidRPr="00146AE1">
        <w:rPr>
          <w:bCs/>
          <w:szCs w:val="24"/>
        </w:rPr>
        <w:t xml:space="preserve">ed’ and bound by an officialdom comprised of habitual and hierarchical </w:t>
      </w:r>
      <w:r w:rsidR="00312544" w:rsidRPr="00146AE1">
        <w:rPr>
          <w:rFonts w:cs="Times New Roman"/>
          <w:szCs w:val="24"/>
        </w:rPr>
        <w:t>obedience.</w:t>
      </w:r>
      <w:r w:rsidR="00312544" w:rsidRPr="00146AE1">
        <w:rPr>
          <w:rStyle w:val="FootnoteReference"/>
          <w:rFonts w:cs="Times New Roman"/>
          <w:sz w:val="24"/>
          <w:szCs w:val="24"/>
        </w:rPr>
        <w:footnoteReference w:id="82"/>
      </w:r>
      <w:r w:rsidR="00312544" w:rsidRPr="00146AE1">
        <w:rPr>
          <w:rFonts w:cs="Times New Roman"/>
          <w:szCs w:val="24"/>
        </w:rPr>
        <w:t xml:space="preserve"> </w:t>
      </w:r>
      <w:r w:rsidR="009E2BF3">
        <w:rPr>
          <w:rFonts w:cs="Times New Roman"/>
          <w:szCs w:val="24"/>
        </w:rPr>
        <w:t>Therefore,</w:t>
      </w:r>
      <w:r w:rsidR="00312544" w:rsidRPr="00146AE1">
        <w:rPr>
          <w:rFonts w:cs="Times New Roman"/>
          <w:szCs w:val="24"/>
        </w:rPr>
        <w:t xml:space="preserve"> concern</w:t>
      </w:r>
      <w:r w:rsidR="009E2BF3">
        <w:rPr>
          <w:rFonts w:cs="Times New Roman"/>
          <w:szCs w:val="24"/>
        </w:rPr>
        <w:t>s</w:t>
      </w:r>
      <w:r w:rsidR="00312544" w:rsidRPr="00146AE1">
        <w:rPr>
          <w:rFonts w:cs="Times New Roman"/>
          <w:szCs w:val="24"/>
        </w:rPr>
        <w:t xml:space="preserve"> for accountability and audit </w:t>
      </w:r>
      <w:r w:rsidR="009E2BF3">
        <w:rPr>
          <w:rFonts w:cs="Times New Roman"/>
          <w:szCs w:val="24"/>
        </w:rPr>
        <w:t xml:space="preserve">deflect </w:t>
      </w:r>
      <w:r w:rsidR="00312544" w:rsidRPr="00146AE1">
        <w:rPr>
          <w:rFonts w:cs="Times New Roman"/>
          <w:szCs w:val="24"/>
        </w:rPr>
        <w:t>the Prosecutor</w:t>
      </w:r>
      <w:r w:rsidR="009E2BF3">
        <w:rPr>
          <w:rFonts w:cs="Times New Roman"/>
          <w:szCs w:val="24"/>
        </w:rPr>
        <w:t>’s attention</w:t>
      </w:r>
      <w:r w:rsidR="00312544" w:rsidRPr="00146AE1">
        <w:rPr>
          <w:rFonts w:cs="Times New Roman"/>
          <w:szCs w:val="24"/>
        </w:rPr>
        <w:t xml:space="preserve"> away from </w:t>
      </w:r>
      <w:r w:rsidR="009E2BF3">
        <w:rPr>
          <w:rFonts w:cs="Times New Roman"/>
          <w:szCs w:val="24"/>
        </w:rPr>
        <w:t xml:space="preserve">the desired </w:t>
      </w:r>
      <w:r w:rsidR="00312544" w:rsidRPr="00146AE1">
        <w:rPr>
          <w:bCs/>
          <w:szCs w:val="24"/>
        </w:rPr>
        <w:t xml:space="preserve">outcomes within conflict-affected societies. </w:t>
      </w:r>
    </w:p>
    <w:p w:rsidR="001B55DE" w:rsidRPr="00146AE1" w:rsidRDefault="009E2BF3">
      <w:pPr>
        <w:ind w:firstLine="720"/>
        <w:jc w:val="both"/>
        <w:rPr>
          <w:szCs w:val="24"/>
        </w:rPr>
      </w:pPr>
      <w:r>
        <w:rPr>
          <w:szCs w:val="24"/>
        </w:rPr>
        <w:t>T</w:t>
      </w:r>
      <w:r w:rsidR="00312544" w:rsidRPr="00146AE1">
        <w:rPr>
          <w:szCs w:val="24"/>
        </w:rPr>
        <w:t xml:space="preserve">his </w:t>
      </w:r>
      <w:r>
        <w:rPr>
          <w:szCs w:val="24"/>
        </w:rPr>
        <w:t>article</w:t>
      </w:r>
      <w:r w:rsidR="00312544" w:rsidRPr="00146AE1">
        <w:rPr>
          <w:szCs w:val="24"/>
        </w:rPr>
        <w:t xml:space="preserve"> is not </w:t>
      </w:r>
      <w:r>
        <w:rPr>
          <w:szCs w:val="24"/>
        </w:rPr>
        <w:t xml:space="preserve">suggesting </w:t>
      </w:r>
      <w:r w:rsidR="00312544" w:rsidRPr="00146AE1">
        <w:rPr>
          <w:szCs w:val="24"/>
        </w:rPr>
        <w:t xml:space="preserve">the Prosecutor should not be concerned with economy. </w:t>
      </w:r>
      <w:r>
        <w:rPr>
          <w:szCs w:val="24"/>
        </w:rPr>
        <w:t>That would be im</w:t>
      </w:r>
      <w:r w:rsidR="00312544" w:rsidRPr="00146AE1">
        <w:rPr>
          <w:szCs w:val="24"/>
        </w:rPr>
        <w:t>possible</w:t>
      </w:r>
      <w:r>
        <w:rPr>
          <w:szCs w:val="24"/>
        </w:rPr>
        <w:t xml:space="preserve"> and unreasonable</w:t>
      </w:r>
      <w:r w:rsidR="00312544" w:rsidRPr="00146AE1">
        <w:rPr>
          <w:szCs w:val="24"/>
        </w:rPr>
        <w:t xml:space="preserve">, </w:t>
      </w:r>
      <w:r>
        <w:rPr>
          <w:szCs w:val="24"/>
        </w:rPr>
        <w:t>especially</w:t>
      </w:r>
      <w:r w:rsidR="00312544" w:rsidRPr="00146AE1">
        <w:rPr>
          <w:szCs w:val="24"/>
        </w:rPr>
        <w:t xml:space="preserve"> in times of </w:t>
      </w:r>
      <w:r>
        <w:rPr>
          <w:szCs w:val="24"/>
        </w:rPr>
        <w:t>financial restraints</w:t>
      </w:r>
      <w:r w:rsidR="00312544" w:rsidRPr="00146AE1">
        <w:rPr>
          <w:szCs w:val="24"/>
        </w:rPr>
        <w:t xml:space="preserve">. </w:t>
      </w:r>
      <w:r w:rsidR="00704AC0">
        <w:rPr>
          <w:szCs w:val="24"/>
        </w:rPr>
        <w:t xml:space="preserve">Nevertheless, </w:t>
      </w:r>
      <w:r w:rsidR="00312544" w:rsidRPr="00146AE1">
        <w:rPr>
          <w:szCs w:val="24"/>
        </w:rPr>
        <w:t xml:space="preserve">economy </w:t>
      </w:r>
      <w:r w:rsidR="00704AC0">
        <w:rPr>
          <w:szCs w:val="24"/>
        </w:rPr>
        <w:t xml:space="preserve">alarmingly </w:t>
      </w:r>
      <w:r w:rsidR="00312544" w:rsidRPr="00146AE1">
        <w:rPr>
          <w:szCs w:val="24"/>
        </w:rPr>
        <w:t>shapes the purpose of performance indicators</w:t>
      </w:r>
      <w:r w:rsidR="00F41087">
        <w:rPr>
          <w:szCs w:val="24"/>
        </w:rPr>
        <w:t xml:space="preserve"> and</w:t>
      </w:r>
      <w:r w:rsidR="005F1A3A">
        <w:rPr>
          <w:szCs w:val="24"/>
        </w:rPr>
        <w:t>,</w:t>
      </w:r>
      <w:r w:rsidR="00F41087">
        <w:rPr>
          <w:szCs w:val="24"/>
        </w:rPr>
        <w:t xml:space="preserve"> as a consequence</w:t>
      </w:r>
      <w:r w:rsidR="00704AC0">
        <w:rPr>
          <w:szCs w:val="24"/>
        </w:rPr>
        <w:t>,</w:t>
      </w:r>
      <w:r w:rsidR="00312544" w:rsidRPr="00146AE1">
        <w:rPr>
          <w:szCs w:val="24"/>
        </w:rPr>
        <w:t xml:space="preserve"> the Prosecutor’s professional identity and the primary audience for her performance</w:t>
      </w:r>
      <w:r w:rsidR="00704AC0">
        <w:rPr>
          <w:szCs w:val="24"/>
        </w:rPr>
        <w:t xml:space="preserve"> </w:t>
      </w:r>
      <w:r w:rsidR="00F41087">
        <w:rPr>
          <w:szCs w:val="24"/>
        </w:rPr>
        <w:t>can be</w:t>
      </w:r>
      <w:r w:rsidR="00704AC0">
        <w:rPr>
          <w:szCs w:val="24"/>
        </w:rPr>
        <w:t xml:space="preserve"> altered</w:t>
      </w:r>
      <w:r w:rsidR="00312544" w:rsidRPr="00146AE1">
        <w:rPr>
          <w:szCs w:val="24"/>
        </w:rPr>
        <w:t xml:space="preserve">, explaining the </w:t>
      </w:r>
      <w:r w:rsidR="00704AC0">
        <w:rPr>
          <w:szCs w:val="24"/>
        </w:rPr>
        <w:t>neglect</w:t>
      </w:r>
      <w:r w:rsidR="00704AC0" w:rsidRPr="00146AE1">
        <w:rPr>
          <w:szCs w:val="24"/>
        </w:rPr>
        <w:t xml:space="preserve"> </w:t>
      </w:r>
      <w:r w:rsidR="00312544" w:rsidRPr="00146AE1">
        <w:rPr>
          <w:szCs w:val="24"/>
        </w:rPr>
        <w:t>in measuring prosecuti</w:t>
      </w:r>
      <w:r w:rsidR="00704AC0">
        <w:rPr>
          <w:szCs w:val="24"/>
        </w:rPr>
        <w:t>on</w:t>
      </w:r>
      <w:r w:rsidR="00312544" w:rsidRPr="00146AE1">
        <w:rPr>
          <w:szCs w:val="24"/>
        </w:rPr>
        <w:t xml:space="preserve"> effectiveness. </w:t>
      </w:r>
    </w:p>
    <w:p w:rsidR="001B55DE" w:rsidRPr="00146AE1" w:rsidRDefault="001B55DE">
      <w:pPr>
        <w:jc w:val="both"/>
        <w:rPr>
          <w:szCs w:val="24"/>
        </w:rPr>
      </w:pPr>
    </w:p>
    <w:p w:rsidR="00312544" w:rsidRPr="00146AE1" w:rsidRDefault="00312544">
      <w:pPr>
        <w:jc w:val="both"/>
        <w:rPr>
          <w:rFonts w:cs="Times New Roman"/>
          <w:b/>
          <w:i/>
          <w:szCs w:val="24"/>
        </w:rPr>
      </w:pPr>
      <w:r w:rsidRPr="00146AE1">
        <w:rPr>
          <w:rFonts w:cs="Times New Roman"/>
          <w:b/>
          <w:i/>
          <w:szCs w:val="24"/>
        </w:rPr>
        <w:t>B. Efficiency and Outputs</w:t>
      </w:r>
    </w:p>
    <w:p w:rsidR="00D456C9" w:rsidRDefault="007470F1">
      <w:pPr>
        <w:jc w:val="both"/>
        <w:rPr>
          <w:szCs w:val="24"/>
        </w:rPr>
      </w:pPr>
      <w:r>
        <w:rPr>
          <w:szCs w:val="24"/>
        </w:rPr>
        <w:t>Similar</w:t>
      </w:r>
      <w:r w:rsidR="00B115E2">
        <w:rPr>
          <w:szCs w:val="24"/>
        </w:rPr>
        <w:t xml:space="preserve"> considerations</w:t>
      </w:r>
      <w:r w:rsidR="00704AC0" w:rsidRPr="00146AE1">
        <w:rPr>
          <w:szCs w:val="24"/>
        </w:rPr>
        <w:t xml:space="preserve"> </w:t>
      </w:r>
      <w:r>
        <w:rPr>
          <w:szCs w:val="24"/>
        </w:rPr>
        <w:t xml:space="preserve">can be derived </w:t>
      </w:r>
      <w:r w:rsidR="00B115E2">
        <w:rPr>
          <w:szCs w:val="24"/>
        </w:rPr>
        <w:t>from an analysis of</w:t>
      </w:r>
      <w:r w:rsidR="00704AC0" w:rsidRPr="00146AE1">
        <w:rPr>
          <w:szCs w:val="24"/>
        </w:rPr>
        <w:t xml:space="preserve"> the </w:t>
      </w:r>
      <w:r w:rsidR="00B115E2">
        <w:rPr>
          <w:szCs w:val="24"/>
        </w:rPr>
        <w:t xml:space="preserve">impact of the </w:t>
      </w:r>
      <w:r w:rsidR="00704AC0" w:rsidRPr="00146AE1">
        <w:rPr>
          <w:szCs w:val="24"/>
        </w:rPr>
        <w:t xml:space="preserve">second </w:t>
      </w:r>
      <w:r w:rsidR="00B115E2">
        <w:rPr>
          <w:szCs w:val="24"/>
        </w:rPr>
        <w:t>‘E’</w:t>
      </w:r>
      <w:r w:rsidR="00A7777B">
        <w:rPr>
          <w:szCs w:val="24"/>
        </w:rPr>
        <w:t xml:space="preserve">, </w:t>
      </w:r>
      <w:r w:rsidR="00B115E2">
        <w:rPr>
          <w:szCs w:val="24"/>
        </w:rPr>
        <w:t>i.e. efficiency</w:t>
      </w:r>
      <w:r w:rsidR="00A7777B">
        <w:rPr>
          <w:szCs w:val="24"/>
        </w:rPr>
        <w:t xml:space="preserve">, </w:t>
      </w:r>
      <w:r w:rsidR="00B115E2">
        <w:rPr>
          <w:szCs w:val="24"/>
        </w:rPr>
        <w:t>on performance indicators</w:t>
      </w:r>
      <w:r w:rsidR="00704AC0" w:rsidRPr="00146AE1">
        <w:rPr>
          <w:szCs w:val="24"/>
        </w:rPr>
        <w:t xml:space="preserve">. </w:t>
      </w:r>
    </w:p>
    <w:p w:rsidR="00312544" w:rsidRPr="00146AE1" w:rsidRDefault="00312544" w:rsidP="00646176">
      <w:pPr>
        <w:ind w:firstLine="720"/>
        <w:jc w:val="both"/>
        <w:rPr>
          <w:szCs w:val="24"/>
        </w:rPr>
      </w:pPr>
      <w:r w:rsidRPr="00146AE1">
        <w:rPr>
          <w:szCs w:val="24"/>
        </w:rPr>
        <w:t>Efficiency is natural</w:t>
      </w:r>
      <w:r w:rsidR="0066578F">
        <w:rPr>
          <w:szCs w:val="24"/>
        </w:rPr>
        <w:t>ly</w:t>
      </w:r>
      <w:r w:rsidRPr="00146AE1">
        <w:rPr>
          <w:szCs w:val="24"/>
        </w:rPr>
        <w:t xml:space="preserve"> relat</w:t>
      </w:r>
      <w:r w:rsidR="0066578F">
        <w:rPr>
          <w:szCs w:val="24"/>
        </w:rPr>
        <w:t>ed to</w:t>
      </w:r>
      <w:r w:rsidRPr="00146AE1">
        <w:rPr>
          <w:szCs w:val="24"/>
        </w:rPr>
        <w:t xml:space="preserve"> economy</w:t>
      </w:r>
      <w:r w:rsidR="0066578F">
        <w:rPr>
          <w:szCs w:val="24"/>
        </w:rPr>
        <w:t>.</w:t>
      </w:r>
      <w:r w:rsidRPr="00146AE1">
        <w:rPr>
          <w:szCs w:val="24"/>
        </w:rPr>
        <w:t xml:space="preserve"> </w:t>
      </w:r>
      <w:r w:rsidR="0066578F">
        <w:rPr>
          <w:szCs w:val="24"/>
        </w:rPr>
        <w:t>It</w:t>
      </w:r>
      <w:r w:rsidR="0066578F" w:rsidRPr="00146AE1">
        <w:rPr>
          <w:szCs w:val="24"/>
        </w:rPr>
        <w:t xml:space="preserve"> </w:t>
      </w:r>
      <w:r w:rsidRPr="00146AE1">
        <w:rPr>
          <w:szCs w:val="24"/>
        </w:rPr>
        <w:t xml:space="preserve">is concerned with the ratio of inputs to outputs and the desire to gain the maximum </w:t>
      </w:r>
      <w:r w:rsidR="0066578F">
        <w:rPr>
          <w:szCs w:val="24"/>
        </w:rPr>
        <w:t xml:space="preserve">possible </w:t>
      </w:r>
      <w:r w:rsidRPr="00146AE1">
        <w:rPr>
          <w:szCs w:val="24"/>
        </w:rPr>
        <w:t>output from a given input.</w:t>
      </w:r>
      <w:r w:rsidRPr="00146AE1">
        <w:rPr>
          <w:szCs w:val="24"/>
          <w:vertAlign w:val="superscript"/>
        </w:rPr>
        <w:footnoteReference w:id="83"/>
      </w:r>
      <w:r w:rsidRPr="00146AE1">
        <w:rPr>
          <w:szCs w:val="24"/>
        </w:rPr>
        <w:t xml:space="preserve"> </w:t>
      </w:r>
      <w:r w:rsidRPr="00146AE1">
        <w:rPr>
          <w:bCs/>
          <w:szCs w:val="24"/>
        </w:rPr>
        <w:t>The relationship of outputs to inputs is often captured by the notion of ‘value</w:t>
      </w:r>
      <w:r w:rsidRPr="00146AE1">
        <w:rPr>
          <w:szCs w:val="24"/>
        </w:rPr>
        <w:t xml:space="preserve"> for money’</w:t>
      </w:r>
      <w:r w:rsidR="005D1ECF">
        <w:rPr>
          <w:szCs w:val="24"/>
        </w:rPr>
        <w:t>,</w:t>
      </w:r>
      <w:r w:rsidRPr="00146AE1">
        <w:rPr>
          <w:szCs w:val="24"/>
        </w:rPr>
        <w:t xml:space="preserve"> where ‘value’ is still understood as a number </w:t>
      </w:r>
      <w:r w:rsidR="005D1ECF">
        <w:rPr>
          <w:szCs w:val="24"/>
        </w:rPr>
        <w:t>reflecting the</w:t>
      </w:r>
      <w:r w:rsidR="005D1ECF" w:rsidRPr="00146AE1">
        <w:rPr>
          <w:szCs w:val="24"/>
        </w:rPr>
        <w:t xml:space="preserve"> </w:t>
      </w:r>
      <w:r w:rsidR="005D1ECF">
        <w:rPr>
          <w:szCs w:val="24"/>
        </w:rPr>
        <w:t xml:space="preserve">quantity and </w:t>
      </w:r>
      <w:r w:rsidRPr="00146AE1">
        <w:rPr>
          <w:szCs w:val="24"/>
        </w:rPr>
        <w:t>quality of outputs.</w:t>
      </w:r>
      <w:r w:rsidRPr="00146AE1">
        <w:rPr>
          <w:szCs w:val="24"/>
          <w:vertAlign w:val="superscript"/>
        </w:rPr>
        <w:footnoteReference w:id="84"/>
      </w:r>
      <w:r w:rsidRPr="00146AE1">
        <w:rPr>
          <w:bCs/>
          <w:szCs w:val="24"/>
        </w:rPr>
        <w:t xml:space="preserve"> This notion tends to resonate in public debate about the Court’s performance. For instance, it is hardly surprising that headlines regularly decry the Court’s return of convictions from </w:t>
      </w:r>
      <w:r w:rsidR="00A7777B">
        <w:rPr>
          <w:bCs/>
          <w:szCs w:val="24"/>
        </w:rPr>
        <w:t>15</w:t>
      </w:r>
      <w:r w:rsidR="00A7777B" w:rsidRPr="00146AE1">
        <w:rPr>
          <w:bCs/>
          <w:szCs w:val="24"/>
        </w:rPr>
        <w:t xml:space="preserve"> </w:t>
      </w:r>
      <w:r w:rsidRPr="00146AE1">
        <w:rPr>
          <w:bCs/>
          <w:szCs w:val="24"/>
        </w:rPr>
        <w:t>years of operation, particular when its expenses run to well over $1 billion dollars.</w:t>
      </w:r>
      <w:r w:rsidRPr="00146AE1">
        <w:rPr>
          <w:bCs/>
          <w:szCs w:val="24"/>
          <w:vertAlign w:val="superscript"/>
        </w:rPr>
        <w:footnoteReference w:id="85"/>
      </w:r>
      <w:r w:rsidRPr="00146AE1">
        <w:rPr>
          <w:bCs/>
          <w:szCs w:val="24"/>
        </w:rPr>
        <w:t xml:space="preserve"> Efficiency is not solely assessed </w:t>
      </w:r>
      <w:r w:rsidR="007470F1">
        <w:rPr>
          <w:bCs/>
          <w:szCs w:val="24"/>
        </w:rPr>
        <w:t>quantitatively</w:t>
      </w:r>
      <w:r w:rsidR="005D1ECF">
        <w:rPr>
          <w:bCs/>
          <w:szCs w:val="24"/>
        </w:rPr>
        <w:t xml:space="preserve"> </w:t>
      </w:r>
      <w:r w:rsidRPr="00146AE1">
        <w:rPr>
          <w:bCs/>
          <w:szCs w:val="24"/>
        </w:rPr>
        <w:t xml:space="preserve">by reference to </w:t>
      </w:r>
      <w:r w:rsidR="005D1ECF">
        <w:rPr>
          <w:bCs/>
          <w:szCs w:val="24"/>
        </w:rPr>
        <w:t xml:space="preserve">sheer </w:t>
      </w:r>
      <w:r w:rsidRPr="00146AE1">
        <w:rPr>
          <w:bCs/>
          <w:szCs w:val="24"/>
        </w:rPr>
        <w:t>numbers</w:t>
      </w:r>
      <w:r w:rsidR="005D1ECF">
        <w:rPr>
          <w:bCs/>
          <w:szCs w:val="24"/>
        </w:rPr>
        <w:t>,</w:t>
      </w:r>
      <w:r w:rsidR="00F41087">
        <w:rPr>
          <w:bCs/>
          <w:szCs w:val="24"/>
        </w:rPr>
        <w:t xml:space="preserve"> but also qualitatively</w:t>
      </w:r>
      <w:r w:rsidR="00AF79F9">
        <w:rPr>
          <w:bCs/>
          <w:szCs w:val="24"/>
        </w:rPr>
        <w:t>:</w:t>
      </w:r>
      <w:r w:rsidR="00F41087">
        <w:rPr>
          <w:bCs/>
          <w:szCs w:val="24"/>
        </w:rPr>
        <w:t xml:space="preserve"> only</w:t>
      </w:r>
      <w:r w:rsidR="005D1ECF">
        <w:rPr>
          <w:bCs/>
          <w:szCs w:val="24"/>
        </w:rPr>
        <w:t xml:space="preserve"> positive numbers</w:t>
      </w:r>
      <w:r w:rsidR="00F41087">
        <w:rPr>
          <w:bCs/>
          <w:szCs w:val="24"/>
        </w:rPr>
        <w:t xml:space="preserve"> </w:t>
      </w:r>
      <w:r w:rsidR="005D1ECF">
        <w:rPr>
          <w:bCs/>
          <w:szCs w:val="24"/>
        </w:rPr>
        <w:t>reflect</w:t>
      </w:r>
      <w:r w:rsidR="005D1ECF" w:rsidRPr="00146AE1">
        <w:rPr>
          <w:bCs/>
          <w:szCs w:val="24"/>
        </w:rPr>
        <w:t xml:space="preserve"> </w:t>
      </w:r>
      <w:r w:rsidR="005D1ECF">
        <w:rPr>
          <w:bCs/>
          <w:szCs w:val="24"/>
        </w:rPr>
        <w:t>the</w:t>
      </w:r>
      <w:r w:rsidR="005D1ECF" w:rsidRPr="00146AE1">
        <w:rPr>
          <w:bCs/>
          <w:szCs w:val="24"/>
        </w:rPr>
        <w:t xml:space="preserve"> </w:t>
      </w:r>
      <w:r w:rsidR="005D1ECF">
        <w:rPr>
          <w:bCs/>
          <w:szCs w:val="24"/>
        </w:rPr>
        <w:t>Office’s proficiency</w:t>
      </w:r>
      <w:r w:rsidRPr="00146AE1">
        <w:rPr>
          <w:bCs/>
          <w:szCs w:val="24"/>
        </w:rPr>
        <w:t>.</w:t>
      </w:r>
      <w:r w:rsidRPr="00146AE1">
        <w:rPr>
          <w:bCs/>
          <w:szCs w:val="24"/>
          <w:vertAlign w:val="superscript"/>
        </w:rPr>
        <w:footnoteReference w:id="86"/>
      </w:r>
      <w:r w:rsidRPr="00146AE1">
        <w:rPr>
          <w:bCs/>
          <w:szCs w:val="24"/>
        </w:rPr>
        <w:t xml:space="preserve">  </w:t>
      </w:r>
      <w:r w:rsidRPr="00146AE1">
        <w:rPr>
          <w:szCs w:val="24"/>
        </w:rPr>
        <w:t xml:space="preserve">This section considers how the OTP’s indicators privilege an increase in the number and quality of prosecutions, </w:t>
      </w:r>
      <w:r w:rsidR="005D1ECF">
        <w:rPr>
          <w:szCs w:val="24"/>
        </w:rPr>
        <w:t>drifting further apart from</w:t>
      </w:r>
      <w:r w:rsidRPr="00146AE1">
        <w:rPr>
          <w:szCs w:val="24"/>
        </w:rPr>
        <w:t xml:space="preserve"> the measurement of prosecution effectiveness.  </w:t>
      </w:r>
    </w:p>
    <w:p w:rsidR="00312544" w:rsidRPr="00146AE1" w:rsidRDefault="00467922" w:rsidP="00E547C8">
      <w:pPr>
        <w:ind w:firstLine="720"/>
        <w:jc w:val="both"/>
        <w:rPr>
          <w:bCs/>
          <w:szCs w:val="24"/>
        </w:rPr>
      </w:pPr>
      <w:r>
        <w:rPr>
          <w:szCs w:val="24"/>
        </w:rPr>
        <w:t>I</w:t>
      </w:r>
      <w:r w:rsidR="00312544" w:rsidRPr="00146AE1">
        <w:rPr>
          <w:szCs w:val="24"/>
        </w:rPr>
        <w:t xml:space="preserve">t is self-evident that </w:t>
      </w:r>
      <w:r w:rsidR="00D43B46">
        <w:rPr>
          <w:szCs w:val="24"/>
        </w:rPr>
        <w:t>output</w:t>
      </w:r>
      <w:r w:rsidR="00D43B46" w:rsidRPr="00146AE1">
        <w:rPr>
          <w:szCs w:val="24"/>
        </w:rPr>
        <w:t xml:space="preserve"> </w:t>
      </w:r>
      <w:r w:rsidR="00312544" w:rsidRPr="00146AE1">
        <w:rPr>
          <w:szCs w:val="24"/>
        </w:rPr>
        <w:t xml:space="preserve">indicators motivate increasing numbers of outputs. </w:t>
      </w:r>
      <w:r w:rsidR="00D43B46">
        <w:rPr>
          <w:bCs/>
          <w:szCs w:val="24"/>
        </w:rPr>
        <w:t>Such</w:t>
      </w:r>
      <w:r w:rsidR="00D43B46" w:rsidRPr="00146AE1">
        <w:rPr>
          <w:bCs/>
          <w:szCs w:val="24"/>
        </w:rPr>
        <w:t xml:space="preserve"> </w:t>
      </w:r>
      <w:r w:rsidR="00312544" w:rsidRPr="00146AE1">
        <w:rPr>
          <w:bCs/>
          <w:szCs w:val="24"/>
        </w:rPr>
        <w:t>indicators inherently exert pressure</w:t>
      </w:r>
      <w:r>
        <w:rPr>
          <w:bCs/>
          <w:szCs w:val="24"/>
        </w:rPr>
        <w:t xml:space="preserve"> towards</w:t>
      </w:r>
      <w:r w:rsidR="00312544" w:rsidRPr="00146AE1">
        <w:rPr>
          <w:bCs/>
          <w:szCs w:val="24"/>
        </w:rPr>
        <w:t xml:space="preserve"> positive (prosecution-leaning) conclusions</w:t>
      </w:r>
      <w:r>
        <w:rPr>
          <w:bCs/>
          <w:szCs w:val="24"/>
        </w:rPr>
        <w:t xml:space="preserve"> when the Office faces the dilemma o</w:t>
      </w:r>
      <w:r w:rsidR="00F41087">
        <w:rPr>
          <w:bCs/>
          <w:szCs w:val="24"/>
        </w:rPr>
        <w:t>f</w:t>
      </w:r>
      <w:r>
        <w:rPr>
          <w:bCs/>
          <w:szCs w:val="24"/>
        </w:rPr>
        <w:t xml:space="preserve"> whether to proceed in a given situation or case</w:t>
      </w:r>
      <w:r w:rsidR="00312544" w:rsidRPr="00146AE1">
        <w:rPr>
          <w:bCs/>
          <w:szCs w:val="24"/>
        </w:rPr>
        <w:t>.</w:t>
      </w:r>
      <w:r w:rsidR="007470F1">
        <w:rPr>
          <w:bCs/>
          <w:szCs w:val="24"/>
        </w:rPr>
        <w:t xml:space="preserve"> </w:t>
      </w:r>
      <w:r w:rsidR="00747BDD">
        <w:rPr>
          <w:bCs/>
          <w:szCs w:val="24"/>
        </w:rPr>
        <w:t>For instance, this happens when,</w:t>
      </w:r>
      <w:r w:rsidR="00D57CA3">
        <w:rPr>
          <w:bCs/>
          <w:szCs w:val="24"/>
        </w:rPr>
        <w:t xml:space="preserve"> subsequent to an</w:t>
      </w:r>
      <w:r w:rsidR="007470F1">
        <w:rPr>
          <w:bCs/>
          <w:szCs w:val="24"/>
        </w:rPr>
        <w:t xml:space="preserve"> investigation</w:t>
      </w:r>
      <w:r w:rsidR="00747BDD" w:rsidRPr="00747BDD">
        <w:rPr>
          <w:bCs/>
          <w:szCs w:val="24"/>
        </w:rPr>
        <w:t xml:space="preserve"> </w:t>
      </w:r>
      <w:r w:rsidR="00747BDD">
        <w:rPr>
          <w:bCs/>
          <w:szCs w:val="24"/>
        </w:rPr>
        <w:t>and pursuant to</w:t>
      </w:r>
      <w:r w:rsidR="00747BDD" w:rsidRPr="00146AE1">
        <w:rPr>
          <w:bCs/>
          <w:szCs w:val="24"/>
        </w:rPr>
        <w:t xml:space="preserve"> Article 53(2)(a-c) </w:t>
      </w:r>
      <w:r w:rsidR="00747BDD">
        <w:rPr>
          <w:bCs/>
          <w:szCs w:val="24"/>
        </w:rPr>
        <w:t>ICC</w:t>
      </w:r>
      <w:r w:rsidR="00747BDD" w:rsidRPr="00146AE1">
        <w:rPr>
          <w:bCs/>
          <w:szCs w:val="24"/>
        </w:rPr>
        <w:t xml:space="preserve"> Statute</w:t>
      </w:r>
      <w:r w:rsidR="00D57CA3">
        <w:rPr>
          <w:bCs/>
          <w:szCs w:val="24"/>
        </w:rPr>
        <w:t>,</w:t>
      </w:r>
      <w:r w:rsidR="007470F1">
        <w:rPr>
          <w:bCs/>
          <w:szCs w:val="24"/>
        </w:rPr>
        <w:t xml:space="preserve"> the Prosecutor </w:t>
      </w:r>
      <w:r w:rsidR="00747BDD">
        <w:rPr>
          <w:bCs/>
          <w:szCs w:val="24"/>
        </w:rPr>
        <w:t>must decide:</w:t>
      </w:r>
      <w:r w:rsidR="007470F1">
        <w:rPr>
          <w:bCs/>
          <w:szCs w:val="24"/>
        </w:rPr>
        <w:t xml:space="preserve"> </w:t>
      </w:r>
      <w:r w:rsidR="00312544" w:rsidRPr="00146AE1">
        <w:rPr>
          <w:bCs/>
          <w:szCs w:val="24"/>
        </w:rPr>
        <w:t>whether there is a sufficient legal and factual basis to seek a</w:t>
      </w:r>
      <w:r>
        <w:rPr>
          <w:bCs/>
          <w:szCs w:val="24"/>
        </w:rPr>
        <w:t>n arrest</w:t>
      </w:r>
      <w:r w:rsidR="00312544" w:rsidRPr="00146AE1">
        <w:rPr>
          <w:bCs/>
          <w:szCs w:val="24"/>
        </w:rPr>
        <w:t xml:space="preserve"> warrant or </w:t>
      </w:r>
      <w:r>
        <w:rPr>
          <w:bCs/>
          <w:szCs w:val="24"/>
        </w:rPr>
        <w:t xml:space="preserve">a </w:t>
      </w:r>
      <w:r w:rsidR="00312544" w:rsidRPr="00146AE1">
        <w:rPr>
          <w:bCs/>
          <w:szCs w:val="24"/>
        </w:rPr>
        <w:t>summons</w:t>
      </w:r>
      <w:r>
        <w:rPr>
          <w:bCs/>
          <w:szCs w:val="24"/>
        </w:rPr>
        <w:t xml:space="preserve"> to appear</w:t>
      </w:r>
      <w:r w:rsidR="00573EE4">
        <w:rPr>
          <w:bCs/>
          <w:szCs w:val="24"/>
        </w:rPr>
        <w:t>;</w:t>
      </w:r>
      <w:r w:rsidR="00312544" w:rsidRPr="00146AE1">
        <w:rPr>
          <w:bCs/>
          <w:szCs w:val="24"/>
        </w:rPr>
        <w:t xml:space="preserve"> whether the </w:t>
      </w:r>
      <w:r w:rsidR="009D3A82">
        <w:rPr>
          <w:bCs/>
          <w:szCs w:val="24"/>
        </w:rPr>
        <w:t xml:space="preserve">ensuing </w:t>
      </w:r>
      <w:r w:rsidR="00312544" w:rsidRPr="00146AE1">
        <w:rPr>
          <w:bCs/>
          <w:szCs w:val="24"/>
        </w:rPr>
        <w:t>case would be admissible</w:t>
      </w:r>
      <w:r w:rsidR="00747BDD">
        <w:rPr>
          <w:bCs/>
          <w:szCs w:val="24"/>
        </w:rPr>
        <w:t>;</w:t>
      </w:r>
      <w:r w:rsidR="00312544" w:rsidRPr="00146AE1">
        <w:rPr>
          <w:bCs/>
          <w:szCs w:val="24"/>
        </w:rPr>
        <w:t xml:space="preserve"> and</w:t>
      </w:r>
      <w:r w:rsidR="009D3A82">
        <w:rPr>
          <w:bCs/>
          <w:szCs w:val="24"/>
        </w:rPr>
        <w:t xml:space="preserve"> </w:t>
      </w:r>
      <w:r w:rsidR="00312544" w:rsidRPr="00146AE1">
        <w:rPr>
          <w:bCs/>
          <w:szCs w:val="24"/>
        </w:rPr>
        <w:t xml:space="preserve">whether </w:t>
      </w:r>
      <w:r w:rsidR="00D57CA3">
        <w:rPr>
          <w:bCs/>
          <w:szCs w:val="24"/>
        </w:rPr>
        <w:t xml:space="preserve">a prosecution would be in the </w:t>
      </w:r>
      <w:r w:rsidR="00312544" w:rsidRPr="00146AE1">
        <w:rPr>
          <w:bCs/>
          <w:szCs w:val="24"/>
        </w:rPr>
        <w:t xml:space="preserve"> ‘interests of justice’</w:t>
      </w:r>
      <w:r w:rsidR="007470F1">
        <w:rPr>
          <w:bCs/>
          <w:szCs w:val="24"/>
        </w:rPr>
        <w:t>.</w:t>
      </w:r>
      <w:r w:rsidR="009D3A82">
        <w:rPr>
          <w:bCs/>
          <w:szCs w:val="24"/>
        </w:rPr>
        <w:t xml:space="preserve"> </w:t>
      </w:r>
      <w:r w:rsidR="00312544" w:rsidRPr="00146AE1">
        <w:rPr>
          <w:bCs/>
          <w:szCs w:val="24"/>
        </w:rPr>
        <w:t>Logically</w:t>
      </w:r>
      <w:r w:rsidR="004302BA">
        <w:rPr>
          <w:bCs/>
          <w:szCs w:val="24"/>
        </w:rPr>
        <w:t>,</w:t>
      </w:r>
      <w:r w:rsidR="00312544" w:rsidRPr="00146AE1">
        <w:rPr>
          <w:bCs/>
          <w:szCs w:val="24"/>
        </w:rPr>
        <w:t xml:space="preserve"> the extent of </w:t>
      </w:r>
      <w:r w:rsidR="004C672C">
        <w:rPr>
          <w:bCs/>
          <w:szCs w:val="24"/>
        </w:rPr>
        <w:t xml:space="preserve">available </w:t>
      </w:r>
      <w:r w:rsidR="00312544" w:rsidRPr="00146AE1">
        <w:rPr>
          <w:bCs/>
          <w:szCs w:val="24"/>
        </w:rPr>
        <w:t xml:space="preserve">evidence </w:t>
      </w:r>
      <w:r w:rsidR="004C672C">
        <w:rPr>
          <w:bCs/>
          <w:szCs w:val="24"/>
        </w:rPr>
        <w:t>determines the</w:t>
      </w:r>
      <w:r w:rsidR="00312544" w:rsidRPr="00146AE1">
        <w:rPr>
          <w:bCs/>
          <w:szCs w:val="24"/>
        </w:rPr>
        <w:t xml:space="preserve"> decision to charge a suspect</w:t>
      </w:r>
      <w:r w:rsidR="004C672C">
        <w:rPr>
          <w:bCs/>
          <w:szCs w:val="24"/>
        </w:rPr>
        <w:t>,</w:t>
      </w:r>
      <w:r w:rsidR="00312544" w:rsidRPr="00146AE1">
        <w:rPr>
          <w:bCs/>
          <w:szCs w:val="24"/>
        </w:rPr>
        <w:t xml:space="preserve"> and thus evidence is the strongest countervailing restraint on simply pursuing </w:t>
      </w:r>
      <w:r w:rsidR="004C672C">
        <w:rPr>
          <w:bCs/>
          <w:szCs w:val="24"/>
        </w:rPr>
        <w:t xml:space="preserve">an </w:t>
      </w:r>
      <w:r w:rsidR="004C672C">
        <w:rPr>
          <w:bCs/>
          <w:szCs w:val="24"/>
        </w:rPr>
        <w:t>increase in</w:t>
      </w:r>
      <w:r w:rsidR="004C672C" w:rsidRPr="00146AE1">
        <w:rPr>
          <w:bCs/>
          <w:szCs w:val="24"/>
        </w:rPr>
        <w:t xml:space="preserve"> </w:t>
      </w:r>
      <w:r w:rsidR="00312544" w:rsidRPr="00146AE1">
        <w:rPr>
          <w:bCs/>
          <w:szCs w:val="24"/>
        </w:rPr>
        <w:t xml:space="preserve">the number of positive charging decisions. </w:t>
      </w:r>
      <w:r w:rsidR="004C672C">
        <w:rPr>
          <w:bCs/>
          <w:szCs w:val="24"/>
        </w:rPr>
        <w:t>On the contrary</w:t>
      </w:r>
      <w:r w:rsidR="00312544" w:rsidRPr="00146AE1">
        <w:rPr>
          <w:bCs/>
          <w:szCs w:val="24"/>
        </w:rPr>
        <w:t xml:space="preserve">, the OTP’s discretion not to prosecute ‘in the interests of justice’ is a much weaker restraint. As vague as the expression is, the OTP is on </w:t>
      </w:r>
      <w:r w:rsidR="00312544" w:rsidRPr="00146AE1">
        <w:rPr>
          <w:bCs/>
          <w:szCs w:val="24"/>
        </w:rPr>
        <w:t xml:space="preserve">record stating that there is a general </w:t>
      </w:r>
      <w:r w:rsidR="004C672C">
        <w:rPr>
          <w:bCs/>
          <w:szCs w:val="24"/>
        </w:rPr>
        <w:t>presumption</w:t>
      </w:r>
      <w:r w:rsidR="004C672C" w:rsidRPr="00146AE1">
        <w:rPr>
          <w:bCs/>
          <w:szCs w:val="24"/>
        </w:rPr>
        <w:t xml:space="preserve"> </w:t>
      </w:r>
      <w:r w:rsidR="00312544" w:rsidRPr="00146AE1">
        <w:rPr>
          <w:bCs/>
          <w:szCs w:val="24"/>
        </w:rPr>
        <w:t xml:space="preserve">in favour of prosecution, and recourse to this </w:t>
      </w:r>
      <w:r w:rsidR="004C672C">
        <w:rPr>
          <w:bCs/>
          <w:szCs w:val="24"/>
        </w:rPr>
        <w:t>clause</w:t>
      </w:r>
      <w:r w:rsidR="004C672C" w:rsidRPr="00146AE1">
        <w:rPr>
          <w:bCs/>
          <w:szCs w:val="24"/>
        </w:rPr>
        <w:t xml:space="preserve"> </w:t>
      </w:r>
      <w:r w:rsidR="00312544" w:rsidRPr="00146AE1">
        <w:rPr>
          <w:bCs/>
          <w:szCs w:val="24"/>
        </w:rPr>
        <w:t xml:space="preserve">would be exceptional and </w:t>
      </w:r>
      <w:r w:rsidR="004C672C">
        <w:rPr>
          <w:bCs/>
          <w:szCs w:val="24"/>
        </w:rPr>
        <w:t xml:space="preserve">as </w:t>
      </w:r>
      <w:r w:rsidR="00312544" w:rsidRPr="00146AE1">
        <w:rPr>
          <w:bCs/>
          <w:szCs w:val="24"/>
        </w:rPr>
        <w:t>a last resort.</w:t>
      </w:r>
      <w:r w:rsidR="00312544" w:rsidRPr="00146AE1">
        <w:rPr>
          <w:rStyle w:val="FootnoteReference"/>
          <w:bCs/>
          <w:sz w:val="24"/>
          <w:szCs w:val="24"/>
        </w:rPr>
        <w:footnoteReference w:id="87"/>
      </w:r>
      <w:r w:rsidR="00312544" w:rsidRPr="00146AE1">
        <w:rPr>
          <w:bCs/>
          <w:szCs w:val="24"/>
        </w:rPr>
        <w:t xml:space="preserve">  </w:t>
      </w:r>
    </w:p>
    <w:p w:rsidR="00312544" w:rsidRPr="00146AE1" w:rsidRDefault="00312544" w:rsidP="00E046F6">
      <w:pPr>
        <w:ind w:firstLine="720"/>
        <w:jc w:val="both"/>
        <w:rPr>
          <w:bCs/>
          <w:szCs w:val="24"/>
        </w:rPr>
      </w:pPr>
      <w:r w:rsidRPr="00146AE1">
        <w:rPr>
          <w:bCs/>
          <w:szCs w:val="24"/>
        </w:rPr>
        <w:t>Perhaps</w:t>
      </w:r>
      <w:r w:rsidR="005E0422">
        <w:rPr>
          <w:bCs/>
          <w:szCs w:val="24"/>
        </w:rPr>
        <w:t>,</w:t>
      </w:r>
      <w:r w:rsidRPr="00146AE1">
        <w:rPr>
          <w:bCs/>
          <w:szCs w:val="24"/>
        </w:rPr>
        <w:t xml:space="preserve"> the strongest factor mitigating the pursuit of increasing numbers of prosecutions is </w:t>
      </w:r>
      <w:r w:rsidR="000901A2">
        <w:rPr>
          <w:bCs/>
          <w:szCs w:val="24"/>
        </w:rPr>
        <w:t>the principle of complementarity of ICC jurisdiction</w:t>
      </w:r>
      <w:r w:rsidR="005E0422">
        <w:rPr>
          <w:bCs/>
          <w:szCs w:val="24"/>
        </w:rPr>
        <w:t>.</w:t>
      </w:r>
      <w:r w:rsidRPr="00146AE1">
        <w:rPr>
          <w:bCs/>
          <w:szCs w:val="24"/>
          <w:vertAlign w:val="superscript"/>
        </w:rPr>
        <w:footnoteReference w:id="88"/>
      </w:r>
      <w:r w:rsidRPr="00146AE1">
        <w:rPr>
          <w:bCs/>
          <w:szCs w:val="24"/>
        </w:rPr>
        <w:t xml:space="preserve"> </w:t>
      </w:r>
      <w:r w:rsidR="005E0422">
        <w:rPr>
          <w:bCs/>
          <w:szCs w:val="24"/>
        </w:rPr>
        <w:t xml:space="preserve">In particular, </w:t>
      </w:r>
      <w:r w:rsidR="00377802">
        <w:rPr>
          <w:bCs/>
          <w:szCs w:val="24"/>
        </w:rPr>
        <w:t>results</w:t>
      </w:r>
      <w:r w:rsidR="005E0422">
        <w:rPr>
          <w:bCs/>
          <w:szCs w:val="24"/>
        </w:rPr>
        <w:t xml:space="preserve"> indicators seem to be incompatible with</w:t>
      </w:r>
      <w:r w:rsidR="0010608D">
        <w:rPr>
          <w:bCs/>
          <w:szCs w:val="24"/>
        </w:rPr>
        <w:t xml:space="preserve"> </w:t>
      </w:r>
      <w:r w:rsidR="005E0422">
        <w:rPr>
          <w:bCs/>
          <w:szCs w:val="24"/>
        </w:rPr>
        <w:t xml:space="preserve">the concept of </w:t>
      </w:r>
      <w:r w:rsidR="005E0422" w:rsidRPr="00146AE1">
        <w:rPr>
          <w:bCs/>
          <w:szCs w:val="24"/>
        </w:rPr>
        <w:t xml:space="preserve">‘positive </w:t>
      </w:r>
      <w:r w:rsidR="005E0422">
        <w:rPr>
          <w:bCs/>
          <w:szCs w:val="24"/>
        </w:rPr>
        <w:t>complementarity</w:t>
      </w:r>
      <w:r w:rsidR="005E0422" w:rsidRPr="00146AE1">
        <w:rPr>
          <w:bCs/>
          <w:szCs w:val="24"/>
        </w:rPr>
        <w:t>’</w:t>
      </w:r>
      <w:r w:rsidR="005E0422">
        <w:rPr>
          <w:bCs/>
          <w:szCs w:val="24"/>
        </w:rPr>
        <w:t>, i.e.</w:t>
      </w:r>
      <w:r w:rsidR="0010608D">
        <w:rPr>
          <w:bCs/>
          <w:szCs w:val="24"/>
        </w:rPr>
        <w:t xml:space="preserve"> </w:t>
      </w:r>
      <w:r w:rsidR="005E0422">
        <w:rPr>
          <w:bCs/>
          <w:szCs w:val="24"/>
        </w:rPr>
        <w:t xml:space="preserve">an </w:t>
      </w:r>
      <w:r w:rsidR="0010608D">
        <w:rPr>
          <w:bCs/>
          <w:szCs w:val="24"/>
        </w:rPr>
        <w:t xml:space="preserve">interpretation </w:t>
      </w:r>
      <w:r w:rsidR="00377802">
        <w:rPr>
          <w:bCs/>
          <w:szCs w:val="24"/>
        </w:rPr>
        <w:t>of the principle according to which the OTP does not only act subsidiarily to national criminal proceedings, but actively promotes them.</w:t>
      </w:r>
      <w:r w:rsidRPr="00146AE1">
        <w:rPr>
          <w:bCs/>
          <w:szCs w:val="24"/>
          <w:vertAlign w:val="superscript"/>
        </w:rPr>
        <w:footnoteReference w:id="89"/>
      </w:r>
      <w:r w:rsidRPr="00146AE1">
        <w:rPr>
          <w:bCs/>
          <w:szCs w:val="24"/>
        </w:rPr>
        <w:t xml:space="preserve"> </w:t>
      </w:r>
      <w:r w:rsidR="00377802">
        <w:rPr>
          <w:bCs/>
          <w:szCs w:val="24"/>
        </w:rPr>
        <w:t>In this regard</w:t>
      </w:r>
      <w:r w:rsidRPr="00146AE1">
        <w:rPr>
          <w:bCs/>
          <w:szCs w:val="24"/>
        </w:rPr>
        <w:t xml:space="preserve">, the OTP has previously declared that the number of cases </w:t>
      </w:r>
      <w:r w:rsidR="00377802">
        <w:rPr>
          <w:bCs/>
          <w:szCs w:val="24"/>
        </w:rPr>
        <w:t>brought to trial at the ICC</w:t>
      </w:r>
      <w:r w:rsidRPr="00146AE1">
        <w:rPr>
          <w:bCs/>
          <w:szCs w:val="24"/>
        </w:rPr>
        <w:t xml:space="preserve"> should not be the sole or even decisive measure of </w:t>
      </w:r>
      <w:r w:rsidR="00377802">
        <w:rPr>
          <w:bCs/>
          <w:szCs w:val="24"/>
        </w:rPr>
        <w:t xml:space="preserve">its </w:t>
      </w:r>
      <w:r w:rsidRPr="00146AE1">
        <w:rPr>
          <w:bCs/>
          <w:szCs w:val="24"/>
        </w:rPr>
        <w:t>effectiveness.</w:t>
      </w:r>
      <w:r w:rsidRPr="00146AE1">
        <w:rPr>
          <w:bCs/>
          <w:szCs w:val="24"/>
          <w:vertAlign w:val="superscript"/>
        </w:rPr>
        <w:footnoteReference w:id="90"/>
      </w:r>
      <w:r w:rsidRPr="00146AE1">
        <w:rPr>
          <w:bCs/>
          <w:szCs w:val="24"/>
        </w:rPr>
        <w:t xml:space="preserve"> </w:t>
      </w:r>
      <w:r w:rsidR="00D5343A">
        <w:rPr>
          <w:bCs/>
          <w:szCs w:val="24"/>
        </w:rPr>
        <w:t>F</w:t>
      </w:r>
      <w:r w:rsidRPr="00146AE1">
        <w:rPr>
          <w:bCs/>
          <w:szCs w:val="24"/>
        </w:rPr>
        <w:t>ormer Prosecutor Luis Moreno</w:t>
      </w:r>
      <w:r w:rsidR="00D5343A">
        <w:rPr>
          <w:bCs/>
          <w:szCs w:val="24"/>
        </w:rPr>
        <w:t xml:space="preserve"> </w:t>
      </w:r>
      <w:r w:rsidRPr="00146AE1">
        <w:rPr>
          <w:bCs/>
          <w:szCs w:val="24"/>
        </w:rPr>
        <w:t xml:space="preserve">Ocampo </w:t>
      </w:r>
      <w:r w:rsidR="00377802">
        <w:rPr>
          <w:bCs/>
          <w:szCs w:val="24"/>
        </w:rPr>
        <w:t>went even</w:t>
      </w:r>
      <w:r w:rsidR="00377802" w:rsidRPr="00146AE1">
        <w:rPr>
          <w:bCs/>
          <w:szCs w:val="24"/>
        </w:rPr>
        <w:t xml:space="preserve"> </w:t>
      </w:r>
      <w:r w:rsidRPr="00146AE1">
        <w:rPr>
          <w:bCs/>
          <w:szCs w:val="24"/>
        </w:rPr>
        <w:t xml:space="preserve">one step further, stating that the very </w:t>
      </w:r>
      <w:r w:rsidRPr="00146AE1">
        <w:rPr>
          <w:bCs/>
          <w:i/>
          <w:szCs w:val="24"/>
        </w:rPr>
        <w:t>absence</w:t>
      </w:r>
      <w:r w:rsidRPr="00146AE1">
        <w:rPr>
          <w:bCs/>
          <w:szCs w:val="24"/>
        </w:rPr>
        <w:t xml:space="preserve"> of cases would demonstrate the Court’s </w:t>
      </w:r>
      <w:r w:rsidR="00D5343A">
        <w:rPr>
          <w:bCs/>
          <w:szCs w:val="24"/>
        </w:rPr>
        <w:t>effectiveness,</w:t>
      </w:r>
      <w:r w:rsidR="00D5343A" w:rsidRPr="00146AE1">
        <w:rPr>
          <w:bCs/>
          <w:szCs w:val="24"/>
        </w:rPr>
        <w:t xml:space="preserve"> </w:t>
      </w:r>
      <w:r w:rsidRPr="00146AE1">
        <w:rPr>
          <w:bCs/>
          <w:szCs w:val="24"/>
        </w:rPr>
        <w:t xml:space="preserve">as it would imply </w:t>
      </w:r>
      <w:r w:rsidR="00D5343A">
        <w:rPr>
          <w:bCs/>
          <w:szCs w:val="24"/>
        </w:rPr>
        <w:t xml:space="preserve">that </w:t>
      </w:r>
      <w:r w:rsidRPr="00146AE1">
        <w:rPr>
          <w:bCs/>
          <w:szCs w:val="24"/>
        </w:rPr>
        <w:t xml:space="preserve">national authorities </w:t>
      </w:r>
      <w:r w:rsidR="00D5343A">
        <w:rPr>
          <w:bCs/>
          <w:szCs w:val="24"/>
        </w:rPr>
        <w:t xml:space="preserve">are </w:t>
      </w:r>
      <w:r w:rsidRPr="00146AE1">
        <w:rPr>
          <w:bCs/>
          <w:szCs w:val="24"/>
        </w:rPr>
        <w:t>undertaking their own prosecutions.</w:t>
      </w:r>
      <w:r w:rsidRPr="00146AE1">
        <w:rPr>
          <w:bCs/>
          <w:szCs w:val="24"/>
          <w:vertAlign w:val="superscript"/>
        </w:rPr>
        <w:footnoteReference w:id="91"/>
      </w:r>
      <w:r w:rsidRPr="00146AE1">
        <w:rPr>
          <w:bCs/>
          <w:szCs w:val="24"/>
        </w:rPr>
        <w:t xml:space="preserve"> </w:t>
      </w:r>
    </w:p>
    <w:p w:rsidR="00312544" w:rsidRPr="00146AE1" w:rsidRDefault="00312544">
      <w:pPr>
        <w:ind w:firstLine="720"/>
        <w:jc w:val="both"/>
        <w:rPr>
          <w:bCs/>
          <w:szCs w:val="24"/>
        </w:rPr>
      </w:pPr>
      <w:r w:rsidRPr="00146AE1">
        <w:rPr>
          <w:bCs/>
          <w:szCs w:val="24"/>
        </w:rPr>
        <w:t xml:space="preserve">This confusion could be resolved </w:t>
      </w:r>
      <w:r w:rsidR="00377802">
        <w:rPr>
          <w:rFonts w:cs="Times New Roman"/>
          <w:szCs w:val="24"/>
        </w:rPr>
        <w:t>by resorting to</w:t>
      </w:r>
      <w:r w:rsidRPr="00146AE1">
        <w:rPr>
          <w:rFonts w:cs="Times New Roman"/>
          <w:szCs w:val="24"/>
        </w:rPr>
        <w:t xml:space="preserve"> </w:t>
      </w:r>
      <w:r w:rsidR="00377802">
        <w:rPr>
          <w:rFonts w:cs="Times New Roman"/>
          <w:szCs w:val="24"/>
        </w:rPr>
        <w:t xml:space="preserve">‘positive </w:t>
      </w:r>
      <w:r w:rsidRPr="00146AE1">
        <w:rPr>
          <w:rFonts w:cs="Times New Roman"/>
          <w:szCs w:val="24"/>
        </w:rPr>
        <w:t>complementarity</w:t>
      </w:r>
      <w:r w:rsidR="00377802">
        <w:rPr>
          <w:rFonts w:cs="Times New Roman"/>
          <w:szCs w:val="24"/>
        </w:rPr>
        <w:t>’</w:t>
      </w:r>
      <w:r w:rsidRPr="00146AE1">
        <w:rPr>
          <w:rFonts w:cs="Times New Roman"/>
          <w:szCs w:val="24"/>
        </w:rPr>
        <w:t xml:space="preserve"> performance indicators</w:t>
      </w:r>
      <w:r w:rsidR="00377802">
        <w:rPr>
          <w:rFonts w:cs="Times New Roman"/>
          <w:szCs w:val="24"/>
        </w:rPr>
        <w:t>,</w:t>
      </w:r>
      <w:r w:rsidRPr="00146AE1">
        <w:rPr>
          <w:rFonts w:cs="Times New Roman"/>
          <w:szCs w:val="24"/>
        </w:rPr>
        <w:t xml:space="preserve"> measuring the OTP’s impact on national proceedings</w:t>
      </w:r>
      <w:r w:rsidR="00377802">
        <w:rPr>
          <w:rFonts w:cs="Times New Roman"/>
          <w:szCs w:val="24"/>
        </w:rPr>
        <w:t>.</w:t>
      </w:r>
      <w:r w:rsidRPr="00146AE1">
        <w:rPr>
          <w:rFonts w:cs="Times New Roman"/>
          <w:szCs w:val="24"/>
        </w:rPr>
        <w:t xml:space="preserve"> </w:t>
      </w:r>
      <w:r w:rsidR="00377802">
        <w:rPr>
          <w:rFonts w:cs="Times New Roman"/>
          <w:szCs w:val="24"/>
        </w:rPr>
        <w:t>However</w:t>
      </w:r>
      <w:r w:rsidRPr="00146AE1">
        <w:rPr>
          <w:rFonts w:cs="Times New Roman"/>
          <w:szCs w:val="24"/>
        </w:rPr>
        <w:t>, hitherto, the OTP has failed to develop any. Thus, so long as the OTP’s performance indicators privilege prosecution results, they provide an additional reason for the Prosecutor to interpret complementarity as a competitive ‘grab’ for jurisdiction.</w:t>
      </w:r>
      <w:r w:rsidRPr="00146AE1">
        <w:rPr>
          <w:rStyle w:val="FootnoteReference"/>
          <w:rFonts w:cs="Times New Roman"/>
          <w:sz w:val="24"/>
          <w:szCs w:val="24"/>
        </w:rPr>
        <w:footnoteReference w:id="92"/>
      </w:r>
      <w:r w:rsidRPr="00146AE1">
        <w:rPr>
          <w:rFonts w:cs="Times New Roman"/>
          <w:szCs w:val="24"/>
        </w:rPr>
        <w:t xml:space="preserve"> In short, the indicators will motivate an aggressive interpretation of complementarity allow</w:t>
      </w:r>
      <w:r w:rsidR="00661AAE">
        <w:rPr>
          <w:rFonts w:cs="Times New Roman"/>
          <w:szCs w:val="24"/>
        </w:rPr>
        <w:t>ing</w:t>
      </w:r>
      <w:r w:rsidRPr="00146AE1">
        <w:rPr>
          <w:rFonts w:cs="Times New Roman"/>
          <w:szCs w:val="24"/>
        </w:rPr>
        <w:t xml:space="preserve"> more cases to be </w:t>
      </w:r>
      <w:r w:rsidR="0035792C">
        <w:rPr>
          <w:rFonts w:cs="Times New Roman"/>
          <w:szCs w:val="24"/>
        </w:rPr>
        <w:t xml:space="preserve">considered as </w:t>
      </w:r>
      <w:r w:rsidRPr="00146AE1">
        <w:rPr>
          <w:rFonts w:cs="Times New Roman"/>
          <w:szCs w:val="24"/>
        </w:rPr>
        <w:t xml:space="preserve">admissible, and thus potentially prosecuted. </w:t>
      </w:r>
    </w:p>
    <w:p w:rsidR="00312544" w:rsidRPr="00146AE1" w:rsidRDefault="00312544">
      <w:pPr>
        <w:ind w:firstLine="720"/>
        <w:jc w:val="both"/>
        <w:rPr>
          <w:szCs w:val="24"/>
        </w:rPr>
      </w:pPr>
      <w:r w:rsidRPr="00146AE1">
        <w:rPr>
          <w:rFonts w:cs="Times New Roman"/>
          <w:szCs w:val="24"/>
        </w:rPr>
        <w:t xml:space="preserve">Turning to quality, while results indicators encourage </w:t>
      </w:r>
      <w:r w:rsidR="0035792C">
        <w:rPr>
          <w:rFonts w:cs="Times New Roman"/>
          <w:szCs w:val="24"/>
        </w:rPr>
        <w:t>higher output</w:t>
      </w:r>
      <w:r w:rsidR="0035792C" w:rsidRPr="00146AE1">
        <w:rPr>
          <w:rFonts w:cs="Times New Roman"/>
          <w:szCs w:val="24"/>
        </w:rPr>
        <w:t xml:space="preserve"> </w:t>
      </w:r>
      <w:r w:rsidRPr="00146AE1">
        <w:rPr>
          <w:rFonts w:cs="Times New Roman"/>
          <w:szCs w:val="24"/>
        </w:rPr>
        <w:t>numbers</w:t>
      </w:r>
      <w:r w:rsidR="00E235DE">
        <w:rPr>
          <w:rFonts w:cs="Times New Roman"/>
          <w:szCs w:val="24"/>
        </w:rPr>
        <w:t>,</w:t>
      </w:r>
      <w:r w:rsidRPr="00146AE1">
        <w:rPr>
          <w:rFonts w:cs="Times New Roman"/>
          <w:szCs w:val="24"/>
        </w:rPr>
        <w:t xml:space="preserve"> </w:t>
      </w:r>
      <w:r w:rsidR="000B2CAC">
        <w:rPr>
          <w:rFonts w:cs="Times New Roman"/>
          <w:szCs w:val="24"/>
        </w:rPr>
        <w:t xml:space="preserve">they may generate </w:t>
      </w:r>
      <w:r w:rsidRPr="00146AE1">
        <w:rPr>
          <w:rFonts w:cs="Times New Roman"/>
          <w:szCs w:val="24"/>
        </w:rPr>
        <w:t xml:space="preserve">concern </w:t>
      </w:r>
      <w:r w:rsidR="000B2CAC">
        <w:rPr>
          <w:rFonts w:cs="Times New Roman"/>
          <w:szCs w:val="24"/>
        </w:rPr>
        <w:t>as to</w:t>
      </w:r>
      <w:r w:rsidRPr="00146AE1">
        <w:rPr>
          <w:rFonts w:cs="Times New Roman"/>
          <w:szCs w:val="24"/>
        </w:rPr>
        <w:t xml:space="preserve"> the final quality of those outputs. </w:t>
      </w:r>
      <w:r w:rsidR="000B2CAC">
        <w:rPr>
          <w:rFonts w:cs="Times New Roman"/>
          <w:szCs w:val="24"/>
        </w:rPr>
        <w:t>The</w:t>
      </w:r>
      <w:r w:rsidRPr="00146AE1">
        <w:rPr>
          <w:rFonts w:cs="Times New Roman"/>
          <w:szCs w:val="24"/>
        </w:rPr>
        <w:t xml:space="preserve"> zeal to increase </w:t>
      </w:r>
      <w:r w:rsidR="000B2CAC">
        <w:rPr>
          <w:rFonts w:cs="Times New Roman"/>
          <w:szCs w:val="24"/>
        </w:rPr>
        <w:t xml:space="preserve">prosecution </w:t>
      </w:r>
      <w:r w:rsidRPr="00146AE1">
        <w:rPr>
          <w:rFonts w:cs="Times New Roman"/>
          <w:szCs w:val="24"/>
        </w:rPr>
        <w:t xml:space="preserve">numbers </w:t>
      </w:r>
      <w:r w:rsidR="000B2CAC">
        <w:rPr>
          <w:rFonts w:cs="Times New Roman"/>
          <w:szCs w:val="24"/>
        </w:rPr>
        <w:t>may</w:t>
      </w:r>
      <w:r w:rsidRPr="00146AE1">
        <w:rPr>
          <w:rFonts w:cs="Times New Roman"/>
          <w:szCs w:val="24"/>
        </w:rPr>
        <w:t xml:space="preserve"> affect the Prosecutor’s </w:t>
      </w:r>
      <w:r w:rsidR="000B2CAC">
        <w:rPr>
          <w:rFonts w:cs="Times New Roman"/>
          <w:szCs w:val="24"/>
        </w:rPr>
        <w:t>ability to make</w:t>
      </w:r>
      <w:r w:rsidRPr="00146AE1">
        <w:rPr>
          <w:rFonts w:cs="Times New Roman"/>
          <w:szCs w:val="24"/>
        </w:rPr>
        <w:t xml:space="preserve"> </w:t>
      </w:r>
      <w:r w:rsidR="000B2CAC">
        <w:rPr>
          <w:rFonts w:cs="Times New Roman"/>
          <w:szCs w:val="24"/>
        </w:rPr>
        <w:t>an</w:t>
      </w:r>
      <w:r w:rsidRPr="00146AE1">
        <w:rPr>
          <w:rFonts w:cs="Times New Roman"/>
          <w:szCs w:val="24"/>
        </w:rPr>
        <w:t xml:space="preserve"> independent and objective assessment </w:t>
      </w:r>
      <w:r w:rsidRPr="00146AE1">
        <w:rPr>
          <w:rFonts w:cs="Times New Roman"/>
          <w:szCs w:val="24"/>
        </w:rPr>
        <w:t xml:space="preserve">of facts, evidence and law. After all, it is the quality of these assessments that provide the best prospect for success, </w:t>
      </w:r>
      <w:r w:rsidR="000B2CAC">
        <w:rPr>
          <w:rFonts w:cs="Times New Roman"/>
          <w:szCs w:val="24"/>
        </w:rPr>
        <w:t xml:space="preserve">increasing the chances of </w:t>
      </w:r>
      <w:r w:rsidR="001C379C">
        <w:rPr>
          <w:rFonts w:cs="Times New Roman"/>
          <w:szCs w:val="24"/>
        </w:rPr>
        <w:t>achieving</w:t>
      </w:r>
      <w:r w:rsidRPr="00146AE1">
        <w:rPr>
          <w:rFonts w:cs="Times New Roman"/>
          <w:szCs w:val="24"/>
        </w:rPr>
        <w:t xml:space="preserve"> rulings in the Prosecutor’s favour. </w:t>
      </w:r>
    </w:p>
    <w:p w:rsidR="00312544" w:rsidRPr="008051AD" w:rsidRDefault="001C379C">
      <w:pPr>
        <w:jc w:val="both"/>
        <w:rPr>
          <w:rFonts w:cs="Times New Roman"/>
          <w:szCs w:val="24"/>
        </w:rPr>
      </w:pPr>
      <w:r>
        <w:rPr>
          <w:szCs w:val="24"/>
        </w:rPr>
        <w:tab/>
      </w:r>
      <w:r w:rsidR="0018618E">
        <w:rPr>
          <w:szCs w:val="24"/>
        </w:rPr>
        <w:t>Can</w:t>
      </w:r>
      <w:r w:rsidR="000B2CAC">
        <w:rPr>
          <w:szCs w:val="24"/>
        </w:rPr>
        <w:t>,</w:t>
      </w:r>
      <w:r w:rsidR="00312544" w:rsidRPr="00146AE1">
        <w:rPr>
          <w:szCs w:val="24"/>
        </w:rPr>
        <w:t xml:space="preserve"> then, current performance indicators equally </w:t>
      </w:r>
      <w:r w:rsidR="000B2CAC">
        <w:rPr>
          <w:szCs w:val="24"/>
        </w:rPr>
        <w:t>bolster</w:t>
      </w:r>
      <w:r w:rsidR="000B2CAC" w:rsidRPr="00146AE1">
        <w:rPr>
          <w:szCs w:val="24"/>
        </w:rPr>
        <w:t xml:space="preserve"> </w:t>
      </w:r>
      <w:r w:rsidR="00312544" w:rsidRPr="00146AE1">
        <w:rPr>
          <w:szCs w:val="24"/>
        </w:rPr>
        <w:t xml:space="preserve">the quality of prosecution outputs? </w:t>
      </w:r>
      <w:r w:rsidR="0018618E">
        <w:rPr>
          <w:szCs w:val="24"/>
        </w:rPr>
        <w:t>One should take into account that t</w:t>
      </w:r>
      <w:r w:rsidR="00312544" w:rsidRPr="00146AE1">
        <w:rPr>
          <w:szCs w:val="24"/>
        </w:rPr>
        <w:t xml:space="preserve">hese indicators have been developed in an environment that is </w:t>
      </w:r>
      <w:r>
        <w:rPr>
          <w:szCs w:val="24"/>
        </w:rPr>
        <w:t>increasingly</w:t>
      </w:r>
      <w:r w:rsidR="0018618E">
        <w:rPr>
          <w:szCs w:val="24"/>
        </w:rPr>
        <w:t xml:space="preserve"> </w:t>
      </w:r>
      <w:r w:rsidR="00312544" w:rsidRPr="00146AE1">
        <w:rPr>
          <w:szCs w:val="24"/>
        </w:rPr>
        <w:t xml:space="preserve">recognising the importance of quality over quantity, </w:t>
      </w:r>
      <w:r w:rsidR="0018618E">
        <w:rPr>
          <w:szCs w:val="24"/>
        </w:rPr>
        <w:t>as</w:t>
      </w:r>
      <w:r w:rsidR="00312544" w:rsidRPr="00146AE1">
        <w:rPr>
          <w:szCs w:val="24"/>
        </w:rPr>
        <w:t xml:space="preserve"> plainly acknowledged in the Plan for a Basic Size OTP.</w:t>
      </w:r>
      <w:r w:rsidR="00312544" w:rsidRPr="00146AE1">
        <w:rPr>
          <w:rStyle w:val="FootnoteReference"/>
          <w:sz w:val="24"/>
          <w:szCs w:val="24"/>
        </w:rPr>
        <w:footnoteReference w:id="93"/>
      </w:r>
      <w:r w:rsidR="00312544" w:rsidRPr="00146AE1">
        <w:rPr>
          <w:szCs w:val="24"/>
        </w:rPr>
        <w:t xml:space="preserve"> Furthermore, t</w:t>
      </w:r>
      <w:r w:rsidR="00312544" w:rsidRPr="00146AE1">
        <w:rPr>
          <w:rFonts w:cs="Times New Roman"/>
          <w:szCs w:val="24"/>
        </w:rPr>
        <w:t xml:space="preserve">he OTP has explicitly accommodated quality within its current indicator regime. The OTP has </w:t>
      </w:r>
      <w:r w:rsidR="003E7656">
        <w:rPr>
          <w:rFonts w:cs="Times New Roman"/>
          <w:szCs w:val="24"/>
        </w:rPr>
        <w:t>recognized</w:t>
      </w:r>
      <w:r w:rsidR="00312544" w:rsidRPr="00146AE1">
        <w:rPr>
          <w:rFonts w:cs="Times New Roman"/>
          <w:szCs w:val="24"/>
        </w:rPr>
        <w:t xml:space="preserve"> that its </w:t>
      </w:r>
      <w:r w:rsidR="003E7656">
        <w:rPr>
          <w:rFonts w:cs="Times New Roman"/>
          <w:szCs w:val="24"/>
        </w:rPr>
        <w:t>strategic</w:t>
      </w:r>
      <w:r w:rsidR="003E7656" w:rsidRPr="00146AE1">
        <w:rPr>
          <w:rFonts w:cs="Times New Roman"/>
          <w:szCs w:val="24"/>
        </w:rPr>
        <w:t xml:space="preserve"> </w:t>
      </w:r>
      <w:r w:rsidR="00312544" w:rsidRPr="00146AE1">
        <w:rPr>
          <w:rFonts w:cs="Times New Roman"/>
          <w:szCs w:val="24"/>
        </w:rPr>
        <w:t xml:space="preserve">indicators </w:t>
      </w:r>
      <w:r w:rsidR="00010987">
        <w:rPr>
          <w:rFonts w:cs="Times New Roman"/>
          <w:szCs w:val="24"/>
        </w:rPr>
        <w:t>clearly</w:t>
      </w:r>
      <w:r w:rsidR="0018618E">
        <w:rPr>
          <w:rFonts w:cs="Times New Roman"/>
          <w:szCs w:val="24"/>
        </w:rPr>
        <w:t xml:space="preserve"> </w:t>
      </w:r>
      <w:r w:rsidR="00312544" w:rsidRPr="00146AE1">
        <w:rPr>
          <w:rFonts w:cs="Times New Roman"/>
          <w:szCs w:val="24"/>
        </w:rPr>
        <w:t>reflect the quality of investigations and prosecutions</w:t>
      </w:r>
      <w:r w:rsidR="003E7656">
        <w:rPr>
          <w:rFonts w:cs="Times New Roman"/>
          <w:szCs w:val="24"/>
        </w:rPr>
        <w:t>, since they attest the success rate of prosecutorial activities</w:t>
      </w:r>
      <w:r w:rsidR="00312544" w:rsidRPr="00146AE1">
        <w:rPr>
          <w:rFonts w:cs="Times New Roman"/>
          <w:szCs w:val="24"/>
        </w:rPr>
        <w:t>.</w:t>
      </w:r>
      <w:r w:rsidR="00312544" w:rsidRPr="00146AE1">
        <w:rPr>
          <w:rStyle w:val="FootnoteReference"/>
          <w:rFonts w:cs="Times New Roman"/>
          <w:sz w:val="24"/>
          <w:szCs w:val="24"/>
        </w:rPr>
        <w:footnoteReference w:id="94"/>
      </w:r>
      <w:r w:rsidR="00312544" w:rsidRPr="00146AE1">
        <w:rPr>
          <w:rFonts w:cs="Times New Roman"/>
          <w:szCs w:val="24"/>
        </w:rPr>
        <w:t xml:space="preserve"> Moreover, </w:t>
      </w:r>
      <w:r w:rsidR="003E7656">
        <w:rPr>
          <w:rFonts w:cs="Times New Roman"/>
          <w:szCs w:val="24"/>
        </w:rPr>
        <w:t xml:space="preserve">operational </w:t>
      </w:r>
      <w:r w:rsidR="00312544" w:rsidRPr="00146AE1">
        <w:rPr>
          <w:rFonts w:cs="Times New Roman"/>
          <w:szCs w:val="24"/>
        </w:rPr>
        <w:t xml:space="preserve">indicator </w:t>
      </w:r>
      <w:r w:rsidR="003E7656">
        <w:rPr>
          <w:rFonts w:cs="Times New Roman"/>
          <w:szCs w:val="24"/>
        </w:rPr>
        <w:t xml:space="preserve">n. </w:t>
      </w:r>
      <w:r w:rsidR="00E046F6">
        <w:rPr>
          <w:rFonts w:cs="Times New Roman"/>
          <w:szCs w:val="24"/>
        </w:rPr>
        <w:t xml:space="preserve">3 </w:t>
      </w:r>
      <w:r w:rsidR="003E7656">
        <w:rPr>
          <w:rFonts w:cs="Times New Roman"/>
          <w:szCs w:val="24"/>
        </w:rPr>
        <w:t>measures</w:t>
      </w:r>
      <w:r w:rsidR="003E7656" w:rsidRPr="00146AE1">
        <w:rPr>
          <w:rFonts w:cs="Times New Roman"/>
          <w:szCs w:val="24"/>
        </w:rPr>
        <w:t xml:space="preserve"> </w:t>
      </w:r>
      <w:r w:rsidR="003E7656">
        <w:rPr>
          <w:rFonts w:cs="Times New Roman"/>
          <w:szCs w:val="24"/>
        </w:rPr>
        <w:t>the</w:t>
      </w:r>
      <w:r w:rsidR="00312544" w:rsidRPr="00146AE1">
        <w:rPr>
          <w:rFonts w:cs="Times New Roman"/>
          <w:szCs w:val="24"/>
        </w:rPr>
        <w:t xml:space="preserve"> ‘pattern of judicial findings on how the Office conducts its preliminary examinations, investigations and prosecutions (particularly at the Appeals Stage).’</w:t>
      </w:r>
      <w:r w:rsidR="00312544" w:rsidRPr="00146AE1">
        <w:rPr>
          <w:rStyle w:val="FootnoteReference"/>
          <w:rFonts w:cs="Times New Roman"/>
          <w:sz w:val="24"/>
          <w:szCs w:val="24"/>
        </w:rPr>
        <w:footnoteReference w:id="95"/>
      </w:r>
      <w:r w:rsidR="00312544" w:rsidRPr="00146AE1">
        <w:rPr>
          <w:rFonts w:cs="Times New Roman"/>
          <w:szCs w:val="24"/>
        </w:rPr>
        <w:t xml:space="preserve"> Hence, </w:t>
      </w:r>
      <w:r w:rsidR="00670D20">
        <w:rPr>
          <w:rFonts w:cs="Times New Roman"/>
          <w:szCs w:val="24"/>
        </w:rPr>
        <w:t>the current performance</w:t>
      </w:r>
      <w:r w:rsidR="00312544" w:rsidRPr="00146AE1">
        <w:rPr>
          <w:rFonts w:cs="Times New Roman"/>
          <w:szCs w:val="24"/>
        </w:rPr>
        <w:t xml:space="preserve"> indicators are</w:t>
      </w:r>
      <w:r w:rsidR="00F41087">
        <w:rPr>
          <w:rFonts w:cs="Times New Roman"/>
          <w:szCs w:val="24"/>
        </w:rPr>
        <w:t xml:space="preserve"> also</w:t>
      </w:r>
      <w:r w:rsidR="00312544" w:rsidRPr="00146AE1">
        <w:rPr>
          <w:rFonts w:cs="Times New Roman"/>
          <w:szCs w:val="24"/>
        </w:rPr>
        <w:t xml:space="preserve"> focused on the need for the Prosecutor to be meticulous </w:t>
      </w:r>
      <w:r w:rsidR="00312544" w:rsidRPr="008051AD">
        <w:rPr>
          <w:rFonts w:cs="Times New Roman"/>
          <w:szCs w:val="24"/>
        </w:rPr>
        <w:t xml:space="preserve">and demonstrate probity because, otherwise, the prospects of successful </w:t>
      </w:r>
      <w:r w:rsidR="00E0576C" w:rsidRPr="008051AD">
        <w:rPr>
          <w:rFonts w:cs="Times New Roman"/>
          <w:szCs w:val="24"/>
        </w:rPr>
        <w:t xml:space="preserve">prosecutions </w:t>
      </w:r>
      <w:r w:rsidR="00670D20" w:rsidRPr="008051AD">
        <w:rPr>
          <w:rFonts w:cs="Times New Roman"/>
          <w:szCs w:val="24"/>
        </w:rPr>
        <w:t xml:space="preserve">would </w:t>
      </w:r>
      <w:r w:rsidR="00312544" w:rsidRPr="008051AD">
        <w:rPr>
          <w:rFonts w:cs="Times New Roman"/>
          <w:szCs w:val="24"/>
        </w:rPr>
        <w:t>diminish.</w:t>
      </w:r>
      <w:r w:rsidR="008B144D" w:rsidRPr="008051AD">
        <w:rPr>
          <w:rStyle w:val="FootnoteReference"/>
          <w:rFonts w:cs="Times New Roman"/>
          <w:sz w:val="24"/>
          <w:szCs w:val="24"/>
        </w:rPr>
        <w:footnoteReference w:id="96"/>
      </w:r>
      <w:r w:rsidR="00312544" w:rsidRPr="008051AD">
        <w:rPr>
          <w:rFonts w:cs="Times New Roman"/>
          <w:szCs w:val="24"/>
        </w:rPr>
        <w:t xml:space="preserve"> </w:t>
      </w:r>
    </w:p>
    <w:p w:rsidR="00D456C9" w:rsidRDefault="006D258B">
      <w:pPr>
        <w:jc w:val="both"/>
        <w:rPr>
          <w:rFonts w:cs="Times New Roman"/>
          <w:sz w:val="22"/>
          <w:szCs w:val="24"/>
        </w:rPr>
      </w:pPr>
      <w:r w:rsidRPr="008051AD">
        <w:rPr>
          <w:rFonts w:cs="Times New Roman"/>
          <w:szCs w:val="24"/>
        </w:rPr>
        <w:tab/>
      </w:r>
      <w:r w:rsidR="00CF2189" w:rsidRPr="008051AD">
        <w:rPr>
          <w:rFonts w:cs="Times New Roman"/>
          <w:szCs w:val="24"/>
        </w:rPr>
        <w:t>Generally</w:t>
      </w:r>
      <w:r w:rsidR="00187DB0" w:rsidRPr="008051AD">
        <w:rPr>
          <w:rFonts w:cs="Times New Roman"/>
          <w:szCs w:val="24"/>
        </w:rPr>
        <w:t>,</w:t>
      </w:r>
      <w:r w:rsidR="00CF2189" w:rsidRPr="008051AD">
        <w:rPr>
          <w:rFonts w:cs="Times New Roman"/>
          <w:szCs w:val="24"/>
        </w:rPr>
        <w:t xml:space="preserve"> output-focused performance measurement is embedded in resource-limited environments, where economy and efficiency are primary concerns.</w:t>
      </w:r>
      <w:r w:rsidR="00CF2189" w:rsidRPr="008051AD">
        <w:rPr>
          <w:rFonts w:cs="Times New Roman"/>
          <w:szCs w:val="24"/>
          <w:vertAlign w:val="superscript"/>
        </w:rPr>
        <w:footnoteReference w:id="97"/>
      </w:r>
      <w:r w:rsidR="00CF2189" w:rsidRPr="008051AD">
        <w:rPr>
          <w:rFonts w:cs="Times New Roman"/>
          <w:szCs w:val="24"/>
        </w:rPr>
        <w:t xml:space="preserve"> </w:t>
      </w:r>
      <w:r w:rsidR="006B2EF2" w:rsidRPr="008051AD">
        <w:rPr>
          <w:rFonts w:cs="Times New Roman"/>
          <w:szCs w:val="24"/>
        </w:rPr>
        <w:t>As explained above</w:t>
      </w:r>
      <w:r w:rsidR="00312544" w:rsidRPr="008051AD">
        <w:rPr>
          <w:rFonts w:cs="Times New Roman"/>
          <w:szCs w:val="24"/>
        </w:rPr>
        <w:t>,</w:t>
      </w:r>
      <w:r w:rsidRPr="008051AD">
        <w:rPr>
          <w:rFonts w:cs="Times New Roman"/>
          <w:szCs w:val="24"/>
        </w:rPr>
        <w:t xml:space="preserve"> the OTP’s performance indicators privilege exclusive concern for the number and quality of prosecution outputs.</w:t>
      </w:r>
      <w:r w:rsidR="00C80FBF" w:rsidRPr="008051AD">
        <w:rPr>
          <w:rStyle w:val="FootnoteReference"/>
          <w:rFonts w:cs="Times New Roman"/>
          <w:sz w:val="24"/>
          <w:szCs w:val="24"/>
        </w:rPr>
        <w:footnoteReference w:id="98"/>
      </w:r>
      <w:r w:rsidR="00C80FBF">
        <w:rPr>
          <w:rFonts w:cs="Times New Roman"/>
          <w:sz w:val="22"/>
          <w:szCs w:val="24"/>
        </w:rPr>
        <w:t xml:space="preserve"> </w:t>
      </w:r>
      <w:r w:rsidR="003160EC">
        <w:rPr>
          <w:rFonts w:cs="Times New Roman"/>
          <w:szCs w:val="24"/>
        </w:rPr>
        <w:t>T</w:t>
      </w:r>
      <w:r w:rsidR="006B2EF2">
        <w:rPr>
          <w:rFonts w:cs="Times New Roman"/>
          <w:szCs w:val="24"/>
        </w:rPr>
        <w:t>he adoption of</w:t>
      </w:r>
      <w:r w:rsidR="00CF2189">
        <w:rPr>
          <w:rFonts w:cs="Times New Roman"/>
          <w:szCs w:val="24"/>
        </w:rPr>
        <w:t xml:space="preserve"> these</w:t>
      </w:r>
      <w:r w:rsidR="006B2EF2">
        <w:rPr>
          <w:rFonts w:cs="Times New Roman"/>
          <w:szCs w:val="24"/>
        </w:rPr>
        <w:t xml:space="preserve"> efficiency-based indicators</w:t>
      </w:r>
      <w:r w:rsidR="00312544" w:rsidRPr="00146AE1">
        <w:rPr>
          <w:rFonts w:cs="Times New Roman"/>
          <w:szCs w:val="24"/>
        </w:rPr>
        <w:t xml:space="preserve"> </w:t>
      </w:r>
      <w:r w:rsidR="006B2EF2">
        <w:rPr>
          <w:rFonts w:cs="Times New Roman"/>
          <w:szCs w:val="24"/>
        </w:rPr>
        <w:t xml:space="preserve">has </w:t>
      </w:r>
      <w:r w:rsidR="00312544" w:rsidRPr="00146AE1">
        <w:rPr>
          <w:rFonts w:cs="Times New Roman"/>
          <w:szCs w:val="24"/>
        </w:rPr>
        <w:t xml:space="preserve">further </w:t>
      </w:r>
      <w:r w:rsidR="006B2EF2">
        <w:rPr>
          <w:rFonts w:cs="Times New Roman"/>
          <w:szCs w:val="24"/>
        </w:rPr>
        <w:t>contributed</w:t>
      </w:r>
      <w:r w:rsidR="006B2EF2" w:rsidRPr="00146AE1">
        <w:rPr>
          <w:rFonts w:cs="Times New Roman"/>
          <w:szCs w:val="24"/>
        </w:rPr>
        <w:t xml:space="preserve"> </w:t>
      </w:r>
      <w:r w:rsidR="006B2EF2">
        <w:rPr>
          <w:rFonts w:cs="Times New Roman"/>
          <w:szCs w:val="24"/>
        </w:rPr>
        <w:t>to</w:t>
      </w:r>
      <w:r w:rsidR="006B2EF2" w:rsidRPr="00146AE1">
        <w:rPr>
          <w:rFonts w:cs="Times New Roman"/>
          <w:szCs w:val="24"/>
        </w:rPr>
        <w:t xml:space="preserve"> </w:t>
      </w:r>
      <w:r w:rsidR="00312544" w:rsidRPr="00146AE1">
        <w:rPr>
          <w:rFonts w:cs="Times New Roman"/>
          <w:szCs w:val="24"/>
        </w:rPr>
        <w:t>slid</w:t>
      </w:r>
      <w:r w:rsidR="003160EC">
        <w:rPr>
          <w:rFonts w:cs="Times New Roman"/>
          <w:szCs w:val="24"/>
        </w:rPr>
        <w:t>ing</w:t>
      </w:r>
      <w:r w:rsidR="00312544" w:rsidRPr="00146AE1">
        <w:rPr>
          <w:rFonts w:cs="Times New Roman"/>
          <w:szCs w:val="24"/>
        </w:rPr>
        <w:t xml:space="preserve"> away from measuring prosecution effectiveness. </w:t>
      </w:r>
      <w:r w:rsidR="006B2EF2">
        <w:rPr>
          <w:rFonts w:cs="Times New Roman"/>
          <w:szCs w:val="24"/>
        </w:rPr>
        <w:t>Nevertheless</w:t>
      </w:r>
      <w:r w:rsidR="00CE69B2" w:rsidRPr="00146AE1">
        <w:rPr>
          <w:rFonts w:cs="Times New Roman"/>
          <w:szCs w:val="24"/>
        </w:rPr>
        <w:t>,</w:t>
      </w:r>
      <w:r w:rsidR="00312544" w:rsidRPr="00146AE1">
        <w:rPr>
          <w:rFonts w:cs="Times New Roman"/>
          <w:szCs w:val="24"/>
        </w:rPr>
        <w:t xml:space="preserve"> </w:t>
      </w:r>
      <w:r w:rsidR="003160EC">
        <w:rPr>
          <w:rFonts w:cs="Times New Roman"/>
          <w:szCs w:val="24"/>
        </w:rPr>
        <w:t>the lack of effectiveness measurement</w:t>
      </w:r>
      <w:r w:rsidR="003160EC" w:rsidRPr="00146AE1">
        <w:rPr>
          <w:rFonts w:cs="Times New Roman"/>
          <w:szCs w:val="24"/>
        </w:rPr>
        <w:t xml:space="preserve"> </w:t>
      </w:r>
      <w:r w:rsidR="00312544" w:rsidRPr="00146AE1">
        <w:rPr>
          <w:rFonts w:cs="Times New Roman"/>
          <w:szCs w:val="24"/>
        </w:rPr>
        <w:t xml:space="preserve">is </w:t>
      </w:r>
      <w:r w:rsidR="006B2EF2">
        <w:rPr>
          <w:rFonts w:cs="Times New Roman"/>
          <w:szCs w:val="24"/>
        </w:rPr>
        <w:t xml:space="preserve">also </w:t>
      </w:r>
      <w:r w:rsidR="00312544" w:rsidRPr="00146AE1">
        <w:rPr>
          <w:rFonts w:cs="Times New Roman"/>
          <w:szCs w:val="24"/>
        </w:rPr>
        <w:t xml:space="preserve">explained by </w:t>
      </w:r>
      <w:r w:rsidR="003160EC">
        <w:rPr>
          <w:rFonts w:cs="Times New Roman"/>
          <w:szCs w:val="24"/>
        </w:rPr>
        <w:t>its</w:t>
      </w:r>
      <w:r w:rsidR="003160EC" w:rsidRPr="00146AE1">
        <w:rPr>
          <w:rFonts w:cs="Times New Roman"/>
          <w:szCs w:val="24"/>
        </w:rPr>
        <w:t xml:space="preserve"> </w:t>
      </w:r>
      <w:r w:rsidR="00312544" w:rsidRPr="00146AE1">
        <w:rPr>
          <w:rFonts w:cs="Times New Roman"/>
          <w:szCs w:val="24"/>
        </w:rPr>
        <w:t>very complexity</w:t>
      </w:r>
      <w:r w:rsidR="006B2EF2">
        <w:rPr>
          <w:rFonts w:cs="Times New Roman"/>
          <w:szCs w:val="24"/>
        </w:rPr>
        <w:t xml:space="preserve">, </w:t>
      </w:r>
      <w:r w:rsidR="003160EC">
        <w:rPr>
          <w:rFonts w:cs="Times New Roman"/>
          <w:szCs w:val="24"/>
        </w:rPr>
        <w:t>as illustrated below</w:t>
      </w:r>
      <w:r w:rsidR="001B55DE" w:rsidRPr="00146AE1">
        <w:rPr>
          <w:rFonts w:cs="Times New Roman"/>
          <w:szCs w:val="24"/>
        </w:rPr>
        <w:t>.</w:t>
      </w:r>
    </w:p>
    <w:p w:rsidR="001B55DE" w:rsidRPr="00146AE1" w:rsidRDefault="001B55DE">
      <w:pPr>
        <w:jc w:val="both"/>
        <w:rPr>
          <w:rFonts w:cs="Times New Roman"/>
          <w:szCs w:val="24"/>
        </w:rPr>
      </w:pPr>
    </w:p>
    <w:p w:rsidR="00312544" w:rsidRPr="00146AE1" w:rsidRDefault="00312544">
      <w:pPr>
        <w:jc w:val="both"/>
        <w:rPr>
          <w:rFonts w:cs="Times New Roman"/>
          <w:b/>
          <w:i/>
          <w:szCs w:val="24"/>
        </w:rPr>
      </w:pPr>
      <w:r w:rsidRPr="00146AE1">
        <w:rPr>
          <w:rFonts w:cs="Times New Roman"/>
          <w:b/>
          <w:i/>
          <w:szCs w:val="24"/>
        </w:rPr>
        <w:t>C. Effectiveness and Outcomes</w:t>
      </w:r>
    </w:p>
    <w:p w:rsidR="00425F3A" w:rsidRDefault="00293659" w:rsidP="00D0748C">
      <w:pPr>
        <w:jc w:val="both"/>
        <w:rPr>
          <w:szCs w:val="24"/>
        </w:rPr>
      </w:pPr>
      <w:r>
        <w:rPr>
          <w:szCs w:val="24"/>
        </w:rPr>
        <w:t>E</w:t>
      </w:r>
      <w:r w:rsidR="00312544" w:rsidRPr="00146AE1">
        <w:rPr>
          <w:szCs w:val="24"/>
        </w:rPr>
        <w:t xml:space="preserve">ffectiveness </w:t>
      </w:r>
      <w:r>
        <w:rPr>
          <w:szCs w:val="24"/>
        </w:rPr>
        <w:t>describes</w:t>
      </w:r>
      <w:r w:rsidRPr="00146AE1">
        <w:rPr>
          <w:szCs w:val="24"/>
        </w:rPr>
        <w:t xml:space="preserve"> </w:t>
      </w:r>
      <w:r w:rsidR="00312544" w:rsidRPr="00146AE1">
        <w:rPr>
          <w:szCs w:val="24"/>
        </w:rPr>
        <w:t>the degree to which an organi</w:t>
      </w:r>
      <w:r>
        <w:rPr>
          <w:szCs w:val="24"/>
        </w:rPr>
        <w:t>z</w:t>
      </w:r>
      <w:r w:rsidR="00312544" w:rsidRPr="00146AE1">
        <w:rPr>
          <w:szCs w:val="24"/>
        </w:rPr>
        <w:t xml:space="preserve">ation’s outputs translate </w:t>
      </w:r>
      <w:r>
        <w:rPr>
          <w:szCs w:val="24"/>
        </w:rPr>
        <w:t>in</w:t>
      </w:r>
      <w:r w:rsidR="00312544" w:rsidRPr="00146AE1">
        <w:rPr>
          <w:szCs w:val="24"/>
        </w:rPr>
        <w:t xml:space="preserve">to an intended outcome. In other words, effectiveness </w:t>
      </w:r>
      <w:r>
        <w:rPr>
          <w:szCs w:val="24"/>
        </w:rPr>
        <w:t>is concerned with</w:t>
      </w:r>
      <w:r w:rsidRPr="00146AE1">
        <w:rPr>
          <w:szCs w:val="24"/>
        </w:rPr>
        <w:t xml:space="preserve"> </w:t>
      </w:r>
      <w:r w:rsidR="00312544" w:rsidRPr="00146AE1">
        <w:rPr>
          <w:szCs w:val="24"/>
        </w:rPr>
        <w:t>the consequence</w:t>
      </w:r>
      <w:r>
        <w:rPr>
          <w:szCs w:val="24"/>
        </w:rPr>
        <w:t>s</w:t>
      </w:r>
      <w:r w:rsidR="00312544" w:rsidRPr="00146AE1">
        <w:rPr>
          <w:szCs w:val="24"/>
        </w:rPr>
        <w:t xml:space="preserve"> of </w:t>
      </w:r>
      <w:r>
        <w:rPr>
          <w:szCs w:val="24"/>
        </w:rPr>
        <w:t>a given</w:t>
      </w:r>
      <w:r w:rsidRPr="00146AE1">
        <w:rPr>
          <w:szCs w:val="24"/>
        </w:rPr>
        <w:t xml:space="preserve"> </w:t>
      </w:r>
      <w:r w:rsidR="00312544" w:rsidRPr="00146AE1">
        <w:rPr>
          <w:szCs w:val="24"/>
        </w:rPr>
        <w:t>output</w:t>
      </w:r>
      <w:r>
        <w:rPr>
          <w:szCs w:val="24"/>
        </w:rPr>
        <w:t>, including</w:t>
      </w:r>
      <w:r w:rsidR="00312544" w:rsidRPr="00146AE1">
        <w:rPr>
          <w:szCs w:val="24"/>
        </w:rPr>
        <w:t xml:space="preserve"> </w:t>
      </w:r>
      <w:r>
        <w:rPr>
          <w:szCs w:val="24"/>
        </w:rPr>
        <w:t>its</w:t>
      </w:r>
      <w:r w:rsidR="00312544" w:rsidRPr="00146AE1">
        <w:rPr>
          <w:szCs w:val="24"/>
        </w:rPr>
        <w:t xml:space="preserve"> short</w:t>
      </w:r>
      <w:r w:rsidR="006D258B">
        <w:rPr>
          <w:szCs w:val="24"/>
        </w:rPr>
        <w:t xml:space="preserve">, </w:t>
      </w:r>
      <w:r w:rsidR="00312544" w:rsidRPr="00146AE1">
        <w:rPr>
          <w:szCs w:val="24"/>
        </w:rPr>
        <w:t>me</w:t>
      </w:r>
      <w:r w:rsidR="006D258B">
        <w:rPr>
          <w:szCs w:val="24"/>
        </w:rPr>
        <w:t>dium and even long-</w:t>
      </w:r>
      <w:r w:rsidR="00312544" w:rsidRPr="00146AE1">
        <w:rPr>
          <w:szCs w:val="24"/>
        </w:rPr>
        <w:t xml:space="preserve">term effects on a target population or </w:t>
      </w:r>
      <w:r w:rsidR="00312544" w:rsidRPr="00146AE1">
        <w:rPr>
          <w:szCs w:val="24"/>
        </w:rPr>
        <w:t>group.</w:t>
      </w:r>
      <w:r w:rsidR="00312544" w:rsidRPr="00146AE1">
        <w:rPr>
          <w:szCs w:val="24"/>
          <w:vertAlign w:val="superscript"/>
        </w:rPr>
        <w:footnoteReference w:id="99"/>
      </w:r>
      <w:r w:rsidR="00312544" w:rsidRPr="00146AE1">
        <w:rPr>
          <w:szCs w:val="24"/>
        </w:rPr>
        <w:t xml:space="preserve"> </w:t>
      </w:r>
      <w:r w:rsidR="000920D5">
        <w:rPr>
          <w:szCs w:val="24"/>
        </w:rPr>
        <w:t>The</w:t>
      </w:r>
      <w:r w:rsidR="00425F3A">
        <w:rPr>
          <w:szCs w:val="24"/>
        </w:rPr>
        <w:t xml:space="preserve">se </w:t>
      </w:r>
      <w:r w:rsidR="00312544" w:rsidRPr="00146AE1">
        <w:rPr>
          <w:szCs w:val="24"/>
        </w:rPr>
        <w:t>outcomes</w:t>
      </w:r>
      <w:r w:rsidR="00530930">
        <w:rPr>
          <w:szCs w:val="24"/>
        </w:rPr>
        <w:t xml:space="preserve"> </w:t>
      </w:r>
      <w:r w:rsidR="00312544" w:rsidRPr="00146AE1">
        <w:rPr>
          <w:szCs w:val="24"/>
        </w:rPr>
        <w:t>are</w:t>
      </w:r>
      <w:r w:rsidR="00425F3A">
        <w:rPr>
          <w:szCs w:val="24"/>
        </w:rPr>
        <w:t xml:space="preserve"> </w:t>
      </w:r>
      <w:r w:rsidR="00312544" w:rsidRPr="00146AE1">
        <w:rPr>
          <w:szCs w:val="24"/>
        </w:rPr>
        <w:t>achieved by influencing target audiences</w:t>
      </w:r>
      <w:r w:rsidR="000920D5">
        <w:rPr>
          <w:szCs w:val="24"/>
        </w:rPr>
        <w:t xml:space="preserve"> </w:t>
      </w:r>
      <w:r w:rsidR="00D0748C">
        <w:rPr>
          <w:rFonts w:cs="Times New Roman"/>
          <w:szCs w:val="24"/>
        </w:rPr>
        <w:t>—</w:t>
      </w:r>
      <w:r w:rsidR="00312544" w:rsidRPr="00146AE1">
        <w:rPr>
          <w:szCs w:val="24"/>
        </w:rPr>
        <w:t xml:space="preserve"> </w:t>
      </w:r>
      <w:r w:rsidR="000920D5">
        <w:rPr>
          <w:szCs w:val="24"/>
        </w:rPr>
        <w:t>by changing</w:t>
      </w:r>
      <w:r w:rsidR="00312544" w:rsidRPr="00146AE1">
        <w:rPr>
          <w:szCs w:val="24"/>
        </w:rPr>
        <w:t xml:space="preserve"> attitudes, behaviour, perceptions and conditions.</w:t>
      </w:r>
      <w:r w:rsidR="00312544" w:rsidRPr="00146AE1">
        <w:rPr>
          <w:szCs w:val="24"/>
          <w:vertAlign w:val="superscript"/>
        </w:rPr>
        <w:footnoteReference w:id="100"/>
      </w:r>
      <w:r w:rsidR="00312544" w:rsidRPr="00146AE1">
        <w:rPr>
          <w:szCs w:val="24"/>
        </w:rPr>
        <w:t xml:space="preserve"> </w:t>
      </w:r>
    </w:p>
    <w:p w:rsidR="00312544" w:rsidRPr="00146AE1" w:rsidRDefault="00312544">
      <w:pPr>
        <w:ind w:firstLine="720"/>
        <w:jc w:val="both"/>
        <w:rPr>
          <w:szCs w:val="24"/>
        </w:rPr>
      </w:pPr>
      <w:r w:rsidRPr="00146AE1">
        <w:rPr>
          <w:szCs w:val="24"/>
        </w:rPr>
        <w:t xml:space="preserve">In business and </w:t>
      </w:r>
      <w:r w:rsidR="009E6442">
        <w:rPr>
          <w:szCs w:val="24"/>
        </w:rPr>
        <w:t>public administration</w:t>
      </w:r>
      <w:r w:rsidR="009E6442" w:rsidRPr="00146AE1">
        <w:rPr>
          <w:szCs w:val="24"/>
        </w:rPr>
        <w:t xml:space="preserve"> </w:t>
      </w:r>
      <w:r w:rsidRPr="00146AE1">
        <w:rPr>
          <w:szCs w:val="24"/>
        </w:rPr>
        <w:t>contexts, effectiveness is often cast in terms of</w:t>
      </w:r>
      <w:r w:rsidR="00425F3A">
        <w:rPr>
          <w:szCs w:val="24"/>
        </w:rPr>
        <w:t xml:space="preserve"> achieving an outcome of </w:t>
      </w:r>
      <w:r w:rsidRPr="00146AE1">
        <w:rPr>
          <w:szCs w:val="24"/>
        </w:rPr>
        <w:t>‘end-user satisfaction’</w:t>
      </w:r>
      <w:r w:rsidR="00535453">
        <w:rPr>
          <w:szCs w:val="24"/>
        </w:rPr>
        <w:t>.</w:t>
      </w:r>
      <w:r w:rsidR="00425F3A">
        <w:rPr>
          <w:szCs w:val="24"/>
        </w:rPr>
        <w:t xml:space="preserve"> </w:t>
      </w:r>
      <w:r w:rsidR="009E6442">
        <w:rPr>
          <w:szCs w:val="24"/>
        </w:rPr>
        <w:t xml:space="preserve">As such, </w:t>
      </w:r>
      <w:r w:rsidRPr="00146AE1">
        <w:rPr>
          <w:szCs w:val="24"/>
        </w:rPr>
        <w:t xml:space="preserve">the OTP </w:t>
      </w:r>
      <w:r w:rsidR="00530930">
        <w:rPr>
          <w:szCs w:val="24"/>
        </w:rPr>
        <w:t>can</w:t>
      </w:r>
      <w:r w:rsidR="000920D5">
        <w:rPr>
          <w:szCs w:val="24"/>
        </w:rPr>
        <w:t xml:space="preserve"> only </w:t>
      </w:r>
      <w:r w:rsidR="009E6442">
        <w:rPr>
          <w:szCs w:val="24"/>
        </w:rPr>
        <w:t>measure</w:t>
      </w:r>
      <w:r w:rsidR="000920D5">
        <w:rPr>
          <w:szCs w:val="24"/>
        </w:rPr>
        <w:t xml:space="preserve"> </w:t>
      </w:r>
      <w:r w:rsidR="009E6442">
        <w:rPr>
          <w:szCs w:val="24"/>
        </w:rPr>
        <w:t>such</w:t>
      </w:r>
      <w:r w:rsidR="000920D5">
        <w:rPr>
          <w:szCs w:val="24"/>
        </w:rPr>
        <w:t xml:space="preserve"> outcomes after having identified</w:t>
      </w:r>
      <w:r w:rsidR="009E6442">
        <w:rPr>
          <w:szCs w:val="24"/>
        </w:rPr>
        <w:t xml:space="preserve"> its</w:t>
      </w:r>
      <w:r w:rsidR="000920D5">
        <w:rPr>
          <w:szCs w:val="24"/>
        </w:rPr>
        <w:t xml:space="preserve"> relevant</w:t>
      </w:r>
      <w:r w:rsidR="000920D5" w:rsidRPr="00146AE1">
        <w:rPr>
          <w:szCs w:val="24"/>
        </w:rPr>
        <w:t xml:space="preserve"> </w:t>
      </w:r>
      <w:r w:rsidRPr="00146AE1">
        <w:rPr>
          <w:szCs w:val="24"/>
        </w:rPr>
        <w:t xml:space="preserve">audiences. </w:t>
      </w:r>
      <w:r w:rsidR="000920D5">
        <w:rPr>
          <w:szCs w:val="24"/>
        </w:rPr>
        <w:t>Normally</w:t>
      </w:r>
      <w:r w:rsidRPr="00146AE1">
        <w:rPr>
          <w:szCs w:val="24"/>
        </w:rPr>
        <w:t xml:space="preserve">, </w:t>
      </w:r>
      <w:r w:rsidR="000920D5">
        <w:rPr>
          <w:szCs w:val="24"/>
        </w:rPr>
        <w:t xml:space="preserve">ICC </w:t>
      </w:r>
      <w:r w:rsidRPr="00146AE1">
        <w:rPr>
          <w:szCs w:val="24"/>
        </w:rPr>
        <w:t xml:space="preserve">prosecutions </w:t>
      </w:r>
      <w:r w:rsidR="000920D5">
        <w:rPr>
          <w:szCs w:val="24"/>
        </w:rPr>
        <w:t>speak to</w:t>
      </w:r>
      <w:r w:rsidR="000920D5" w:rsidRPr="00146AE1">
        <w:rPr>
          <w:szCs w:val="24"/>
        </w:rPr>
        <w:t xml:space="preserve"> </w:t>
      </w:r>
      <w:r w:rsidRPr="00146AE1">
        <w:rPr>
          <w:szCs w:val="24"/>
        </w:rPr>
        <w:t>several audiences simultaneously</w:t>
      </w:r>
      <w:r w:rsidR="00433485">
        <w:rPr>
          <w:szCs w:val="24"/>
        </w:rPr>
        <w:t>,</w:t>
      </w:r>
      <w:r w:rsidRPr="00146AE1">
        <w:rPr>
          <w:szCs w:val="24"/>
        </w:rPr>
        <w:t xml:space="preserve"> from abstract entities (such as </w:t>
      </w:r>
      <w:r w:rsidR="000920D5">
        <w:rPr>
          <w:szCs w:val="24"/>
        </w:rPr>
        <w:t xml:space="preserve">the </w:t>
      </w:r>
      <w:r w:rsidRPr="00146AE1">
        <w:rPr>
          <w:szCs w:val="24"/>
        </w:rPr>
        <w:t xml:space="preserve">‘international community’) to concrete constituencies (e.g. </w:t>
      </w:r>
      <w:r w:rsidR="000920D5">
        <w:rPr>
          <w:szCs w:val="24"/>
        </w:rPr>
        <w:t xml:space="preserve">specific </w:t>
      </w:r>
      <w:r w:rsidRPr="00146AE1">
        <w:rPr>
          <w:szCs w:val="24"/>
        </w:rPr>
        <w:t xml:space="preserve">institutions, civil society and </w:t>
      </w:r>
      <w:r w:rsidR="000920D5">
        <w:rPr>
          <w:szCs w:val="24"/>
        </w:rPr>
        <w:t xml:space="preserve">other </w:t>
      </w:r>
      <w:r w:rsidRPr="00146AE1">
        <w:rPr>
          <w:szCs w:val="24"/>
        </w:rPr>
        <w:t xml:space="preserve">state </w:t>
      </w:r>
      <w:r w:rsidR="000920D5">
        <w:rPr>
          <w:szCs w:val="24"/>
        </w:rPr>
        <w:t xml:space="preserve">or non-state </w:t>
      </w:r>
      <w:r w:rsidRPr="00146AE1">
        <w:rPr>
          <w:szCs w:val="24"/>
        </w:rPr>
        <w:t xml:space="preserve">actors). </w:t>
      </w:r>
      <w:r w:rsidR="007C2C36">
        <w:rPr>
          <w:szCs w:val="24"/>
        </w:rPr>
        <w:t>Yet</w:t>
      </w:r>
      <w:r w:rsidRPr="00146AE1">
        <w:rPr>
          <w:szCs w:val="24"/>
        </w:rPr>
        <w:t xml:space="preserve">, the most relevant audiences are those within which the Court’s goals </w:t>
      </w:r>
      <w:r w:rsidR="00D91472">
        <w:rPr>
          <w:szCs w:val="24"/>
        </w:rPr>
        <w:t>should</w:t>
      </w:r>
      <w:r w:rsidR="00D91472" w:rsidRPr="00146AE1">
        <w:rPr>
          <w:szCs w:val="24"/>
        </w:rPr>
        <w:t xml:space="preserve"> </w:t>
      </w:r>
      <w:r w:rsidRPr="00146AE1">
        <w:rPr>
          <w:szCs w:val="24"/>
        </w:rPr>
        <w:t>be empirically achieved</w:t>
      </w:r>
      <w:r w:rsidR="000920D5">
        <w:rPr>
          <w:szCs w:val="24"/>
        </w:rPr>
        <w:t>. T</w:t>
      </w:r>
      <w:r w:rsidRPr="00146AE1">
        <w:rPr>
          <w:szCs w:val="24"/>
        </w:rPr>
        <w:t xml:space="preserve">hese </w:t>
      </w:r>
      <w:r w:rsidR="000920D5">
        <w:rPr>
          <w:szCs w:val="24"/>
        </w:rPr>
        <w:t xml:space="preserve">goals </w:t>
      </w:r>
      <w:r w:rsidRPr="00146AE1">
        <w:rPr>
          <w:szCs w:val="24"/>
        </w:rPr>
        <w:t xml:space="preserve">include ending impunity, </w:t>
      </w:r>
      <w:r w:rsidR="000920D5">
        <w:rPr>
          <w:szCs w:val="24"/>
        </w:rPr>
        <w:t xml:space="preserve">preventing further </w:t>
      </w:r>
      <w:r w:rsidRPr="00146AE1">
        <w:rPr>
          <w:szCs w:val="24"/>
        </w:rPr>
        <w:t>crim</w:t>
      </w:r>
      <w:r w:rsidR="000920D5">
        <w:rPr>
          <w:szCs w:val="24"/>
        </w:rPr>
        <w:t>inality and, more in general, promoting</w:t>
      </w:r>
      <w:r w:rsidRPr="00146AE1">
        <w:rPr>
          <w:szCs w:val="24"/>
        </w:rPr>
        <w:t xml:space="preserve"> stability, peace and reconciliation.</w:t>
      </w:r>
      <w:r w:rsidR="00985567" w:rsidRPr="00985567">
        <w:rPr>
          <w:rStyle w:val="FootnoteReference"/>
          <w:sz w:val="24"/>
          <w:szCs w:val="24"/>
        </w:rPr>
        <w:footnoteReference w:id="101"/>
      </w:r>
      <w:r w:rsidR="00985567" w:rsidRPr="00985567">
        <w:rPr>
          <w:sz w:val="32"/>
          <w:szCs w:val="24"/>
        </w:rPr>
        <w:t xml:space="preserve"> </w:t>
      </w:r>
      <w:r w:rsidRPr="00146AE1">
        <w:rPr>
          <w:szCs w:val="24"/>
        </w:rPr>
        <w:t xml:space="preserve">Thus, international criminal </w:t>
      </w:r>
      <w:r w:rsidR="000920D5">
        <w:rPr>
          <w:szCs w:val="24"/>
        </w:rPr>
        <w:t>proceedings</w:t>
      </w:r>
      <w:r w:rsidR="000920D5" w:rsidRPr="00146AE1">
        <w:rPr>
          <w:szCs w:val="24"/>
        </w:rPr>
        <w:t xml:space="preserve"> </w:t>
      </w:r>
      <w:r w:rsidRPr="00146AE1">
        <w:rPr>
          <w:szCs w:val="24"/>
        </w:rPr>
        <w:t xml:space="preserve">are </w:t>
      </w:r>
      <w:r w:rsidR="000920D5">
        <w:rPr>
          <w:szCs w:val="24"/>
        </w:rPr>
        <w:t xml:space="preserve">of </w:t>
      </w:r>
      <w:r w:rsidR="00D91472">
        <w:rPr>
          <w:szCs w:val="24"/>
        </w:rPr>
        <w:t xml:space="preserve">critical </w:t>
      </w:r>
      <w:r w:rsidR="000920D5">
        <w:rPr>
          <w:szCs w:val="24"/>
        </w:rPr>
        <w:t>interest for</w:t>
      </w:r>
      <w:r w:rsidRPr="00146AE1">
        <w:rPr>
          <w:szCs w:val="24"/>
        </w:rPr>
        <w:t xml:space="preserve"> audiences of potential perpetrators, victims and conflict</w:t>
      </w:r>
      <w:r w:rsidRPr="00146AE1">
        <w:rPr>
          <w:szCs w:val="24"/>
        </w:rPr>
        <w:t xml:space="preserve">-affected populations. </w:t>
      </w:r>
    </w:p>
    <w:p w:rsidR="00635C49" w:rsidRDefault="00530930">
      <w:pPr>
        <w:jc w:val="both"/>
        <w:rPr>
          <w:szCs w:val="24"/>
        </w:rPr>
      </w:pPr>
      <w:r>
        <w:rPr>
          <w:szCs w:val="24"/>
        </w:rPr>
        <w:tab/>
      </w:r>
      <w:r w:rsidR="00312544" w:rsidRPr="00146AE1">
        <w:rPr>
          <w:szCs w:val="24"/>
        </w:rPr>
        <w:t xml:space="preserve">However, herewith lies the root cause for the OTP’s absence of effectiveness measurement: its lack of clarity in defining </w:t>
      </w:r>
      <w:r w:rsidR="007C2C36">
        <w:rPr>
          <w:szCs w:val="24"/>
        </w:rPr>
        <w:t xml:space="preserve">the desired </w:t>
      </w:r>
      <w:r w:rsidR="00312544" w:rsidRPr="00146AE1">
        <w:rPr>
          <w:szCs w:val="24"/>
        </w:rPr>
        <w:t xml:space="preserve">prosecution outcomes. </w:t>
      </w:r>
      <w:r w:rsidR="007C2C36">
        <w:rPr>
          <w:szCs w:val="24"/>
        </w:rPr>
        <w:t xml:space="preserve">Establishing </w:t>
      </w:r>
      <w:r w:rsidR="00312544" w:rsidRPr="00146AE1">
        <w:rPr>
          <w:szCs w:val="24"/>
        </w:rPr>
        <w:t>a set of desired outcomes</w:t>
      </w:r>
      <w:r w:rsidR="007C2C36" w:rsidRPr="00146AE1">
        <w:rPr>
          <w:szCs w:val="24"/>
        </w:rPr>
        <w:t xml:space="preserve">, </w:t>
      </w:r>
      <w:r w:rsidR="007C2C36" w:rsidRPr="00146AE1">
        <w:rPr>
          <w:i/>
          <w:szCs w:val="24"/>
        </w:rPr>
        <w:t>a priori</w:t>
      </w:r>
      <w:r w:rsidR="007C2C36" w:rsidRPr="00146AE1">
        <w:rPr>
          <w:szCs w:val="24"/>
        </w:rPr>
        <w:t xml:space="preserve">, </w:t>
      </w:r>
      <w:r w:rsidR="00312544" w:rsidRPr="00146AE1">
        <w:rPr>
          <w:szCs w:val="24"/>
        </w:rPr>
        <w:t xml:space="preserve">requires </w:t>
      </w:r>
      <w:r w:rsidR="00276379">
        <w:rPr>
          <w:szCs w:val="24"/>
        </w:rPr>
        <w:t>identifying</w:t>
      </w:r>
      <w:r w:rsidR="00312544" w:rsidRPr="00146AE1">
        <w:rPr>
          <w:szCs w:val="24"/>
        </w:rPr>
        <w:t xml:space="preserve"> </w:t>
      </w:r>
      <w:r w:rsidR="007C2C36">
        <w:rPr>
          <w:szCs w:val="24"/>
        </w:rPr>
        <w:t>target</w:t>
      </w:r>
      <w:r w:rsidR="00312544" w:rsidRPr="00146AE1">
        <w:rPr>
          <w:szCs w:val="24"/>
        </w:rPr>
        <w:t xml:space="preserve"> audience</w:t>
      </w:r>
      <w:r w:rsidR="000E0A20">
        <w:rPr>
          <w:szCs w:val="24"/>
        </w:rPr>
        <w:t>s</w:t>
      </w:r>
      <w:r w:rsidR="00312544" w:rsidRPr="00146AE1">
        <w:rPr>
          <w:szCs w:val="24"/>
        </w:rPr>
        <w:t xml:space="preserve"> </w:t>
      </w:r>
      <w:r w:rsidR="007C2C36">
        <w:rPr>
          <w:szCs w:val="24"/>
        </w:rPr>
        <w:t xml:space="preserve">and </w:t>
      </w:r>
      <w:r w:rsidR="00276379">
        <w:rPr>
          <w:szCs w:val="24"/>
        </w:rPr>
        <w:t>the specific</w:t>
      </w:r>
      <w:r w:rsidR="00312544" w:rsidRPr="00146AE1">
        <w:rPr>
          <w:szCs w:val="24"/>
        </w:rPr>
        <w:t xml:space="preserve"> outcome</w:t>
      </w:r>
      <w:r w:rsidR="000E0A20">
        <w:rPr>
          <w:szCs w:val="24"/>
        </w:rPr>
        <w:t>s</w:t>
      </w:r>
      <w:r w:rsidR="00312544" w:rsidRPr="00146AE1">
        <w:rPr>
          <w:szCs w:val="24"/>
        </w:rPr>
        <w:t xml:space="preserve"> intended </w:t>
      </w:r>
      <w:r w:rsidR="00276379">
        <w:rPr>
          <w:szCs w:val="24"/>
        </w:rPr>
        <w:t>for</w:t>
      </w:r>
      <w:r w:rsidR="00276379" w:rsidRPr="00146AE1">
        <w:rPr>
          <w:szCs w:val="24"/>
        </w:rPr>
        <w:t xml:space="preserve"> </w:t>
      </w:r>
      <w:r w:rsidR="000E0A20">
        <w:rPr>
          <w:szCs w:val="24"/>
        </w:rPr>
        <w:t xml:space="preserve">each </w:t>
      </w:r>
      <w:r w:rsidR="00276379">
        <w:rPr>
          <w:szCs w:val="24"/>
        </w:rPr>
        <w:t>such</w:t>
      </w:r>
      <w:r w:rsidR="00276379" w:rsidRPr="00146AE1">
        <w:rPr>
          <w:szCs w:val="24"/>
        </w:rPr>
        <w:t xml:space="preserve"> </w:t>
      </w:r>
      <w:r w:rsidR="00312544" w:rsidRPr="00146AE1">
        <w:rPr>
          <w:szCs w:val="24"/>
        </w:rPr>
        <w:t xml:space="preserve">audience. </w:t>
      </w:r>
    </w:p>
    <w:p w:rsidR="00312544" w:rsidRPr="00146AE1" w:rsidRDefault="00530930">
      <w:pPr>
        <w:jc w:val="both"/>
        <w:rPr>
          <w:szCs w:val="24"/>
        </w:rPr>
      </w:pPr>
      <w:r>
        <w:rPr>
          <w:szCs w:val="24"/>
        </w:rPr>
        <w:tab/>
      </w:r>
      <w:r w:rsidR="00312544" w:rsidRPr="00146AE1">
        <w:rPr>
          <w:szCs w:val="24"/>
        </w:rPr>
        <w:t xml:space="preserve">The OTP has previously </w:t>
      </w:r>
      <w:r w:rsidR="007C0602" w:rsidRPr="00146AE1">
        <w:rPr>
          <w:szCs w:val="24"/>
        </w:rPr>
        <w:t>recogni</w:t>
      </w:r>
      <w:r w:rsidR="007C0602">
        <w:rPr>
          <w:szCs w:val="24"/>
        </w:rPr>
        <w:t>z</w:t>
      </w:r>
      <w:r w:rsidR="007C0602" w:rsidRPr="00146AE1">
        <w:rPr>
          <w:szCs w:val="24"/>
        </w:rPr>
        <w:t xml:space="preserve">ed </w:t>
      </w:r>
      <w:r w:rsidR="00312544" w:rsidRPr="00146AE1">
        <w:rPr>
          <w:szCs w:val="24"/>
        </w:rPr>
        <w:t>the importance of outcomes as the starting point for performance measurement</w:t>
      </w:r>
      <w:r w:rsidR="000E0A20">
        <w:rPr>
          <w:szCs w:val="24"/>
        </w:rPr>
        <w:t xml:space="preserve"> by stating</w:t>
      </w:r>
      <w:r w:rsidR="00312544" w:rsidRPr="00146AE1">
        <w:rPr>
          <w:szCs w:val="24"/>
        </w:rPr>
        <w:t>, for example</w:t>
      </w:r>
      <w:r w:rsidR="000E0A20">
        <w:rPr>
          <w:szCs w:val="24"/>
        </w:rPr>
        <w:t>, that</w:t>
      </w:r>
      <w:r w:rsidR="00635C49">
        <w:rPr>
          <w:szCs w:val="24"/>
        </w:rPr>
        <w:t xml:space="preserve"> </w:t>
      </w:r>
      <w:r w:rsidR="00312544" w:rsidRPr="00146AE1">
        <w:rPr>
          <w:szCs w:val="24"/>
        </w:rPr>
        <w:t>‘</w:t>
      </w:r>
      <w:r w:rsidR="00635C49">
        <w:rPr>
          <w:szCs w:val="24"/>
        </w:rPr>
        <w:t>[t]</w:t>
      </w:r>
      <w:r w:rsidR="00312544" w:rsidRPr="00146AE1">
        <w:rPr>
          <w:szCs w:val="24"/>
        </w:rPr>
        <w:t xml:space="preserve">o evaluate the (cost-) effectiveness of the Office requires first determining what </w:t>
      </w:r>
      <w:r w:rsidR="001310DC">
        <w:rPr>
          <w:szCs w:val="24"/>
        </w:rPr>
        <w:tab/>
      </w:r>
      <w:r w:rsidR="00312544" w:rsidRPr="00146AE1">
        <w:rPr>
          <w:szCs w:val="24"/>
        </w:rPr>
        <w:t>outcome the Office is supposed to produce; prevention of crimes, complementarity</w:t>
      </w:r>
      <w:r w:rsidR="001310DC">
        <w:rPr>
          <w:szCs w:val="24"/>
        </w:rPr>
        <w:tab/>
      </w:r>
      <w:r w:rsidR="00312544" w:rsidRPr="00146AE1">
        <w:rPr>
          <w:szCs w:val="24"/>
        </w:rPr>
        <w:t>achieved, justice (seen to be) done, etc.’</w:t>
      </w:r>
      <w:r w:rsidR="00312544" w:rsidRPr="00146AE1">
        <w:rPr>
          <w:szCs w:val="24"/>
          <w:vertAlign w:val="superscript"/>
        </w:rPr>
        <w:footnoteReference w:id="102"/>
      </w:r>
      <w:r w:rsidR="00635C49">
        <w:rPr>
          <w:szCs w:val="24"/>
        </w:rPr>
        <w:t xml:space="preserve"> </w:t>
      </w:r>
      <w:r w:rsidR="001310DC">
        <w:rPr>
          <w:szCs w:val="24"/>
        </w:rPr>
        <w:tab/>
      </w:r>
      <w:r w:rsidR="00312544" w:rsidRPr="00146AE1">
        <w:rPr>
          <w:szCs w:val="24"/>
        </w:rPr>
        <w:t>However, this excerpt is also revealing of the problem. Reference</w:t>
      </w:r>
      <w:r w:rsidR="00635C49">
        <w:rPr>
          <w:szCs w:val="24"/>
        </w:rPr>
        <w:t>s</w:t>
      </w:r>
      <w:r w:rsidR="00312544" w:rsidRPr="00146AE1">
        <w:rPr>
          <w:szCs w:val="24"/>
        </w:rPr>
        <w:t xml:space="preserve"> to outcomes are broad, generic and scattered in differing directions. There has been little reflection about some necessary a</w:t>
      </w:r>
      <w:r w:rsidR="00312544" w:rsidRPr="00146AE1">
        <w:rPr>
          <w:szCs w:val="24"/>
        </w:rPr>
        <w:t>nd crucial distinctions</w:t>
      </w:r>
      <w:r w:rsidR="00635C49">
        <w:rPr>
          <w:szCs w:val="24"/>
        </w:rPr>
        <w:t>, like the one</w:t>
      </w:r>
      <w:r w:rsidR="00312544" w:rsidRPr="00146AE1">
        <w:rPr>
          <w:szCs w:val="24"/>
        </w:rPr>
        <w:t xml:space="preserve"> between prosecution outcomes </w:t>
      </w:r>
      <w:r w:rsidR="00635C49">
        <w:rPr>
          <w:szCs w:val="24"/>
        </w:rPr>
        <w:t>and</w:t>
      </w:r>
      <w:r w:rsidR="00312544" w:rsidRPr="00146AE1">
        <w:rPr>
          <w:szCs w:val="24"/>
        </w:rPr>
        <w:t xml:space="preserve"> the goals of the Court</w:t>
      </w:r>
      <w:r w:rsidR="00635C49">
        <w:rPr>
          <w:szCs w:val="24"/>
        </w:rPr>
        <w:t xml:space="preserve"> as a whole</w:t>
      </w:r>
      <w:r w:rsidR="00312544" w:rsidRPr="00146AE1">
        <w:rPr>
          <w:szCs w:val="24"/>
        </w:rPr>
        <w:t xml:space="preserve">, </w:t>
      </w:r>
      <w:r w:rsidR="00635C49">
        <w:rPr>
          <w:szCs w:val="24"/>
        </w:rPr>
        <w:t>or</w:t>
      </w:r>
      <w:r w:rsidR="00635C49" w:rsidRPr="00146AE1">
        <w:rPr>
          <w:szCs w:val="24"/>
        </w:rPr>
        <w:t xml:space="preserve"> </w:t>
      </w:r>
      <w:r w:rsidR="00312544" w:rsidRPr="00146AE1">
        <w:rPr>
          <w:szCs w:val="24"/>
        </w:rPr>
        <w:t xml:space="preserve">the distinction between outcomes generated from the Office </w:t>
      </w:r>
      <w:r w:rsidR="00635C49">
        <w:rPr>
          <w:szCs w:val="24"/>
        </w:rPr>
        <w:t>and</w:t>
      </w:r>
      <w:r w:rsidR="00635C49" w:rsidRPr="00146AE1">
        <w:rPr>
          <w:szCs w:val="24"/>
        </w:rPr>
        <w:t xml:space="preserve"> </w:t>
      </w:r>
      <w:r w:rsidR="00312544" w:rsidRPr="00146AE1">
        <w:rPr>
          <w:szCs w:val="24"/>
        </w:rPr>
        <w:t>those from prosecution outputs.</w:t>
      </w:r>
      <w:r w:rsidR="00130477">
        <w:rPr>
          <w:szCs w:val="24"/>
        </w:rPr>
        <w:t xml:space="preserve"> </w:t>
      </w:r>
      <w:r w:rsidR="00840263">
        <w:rPr>
          <w:szCs w:val="24"/>
        </w:rPr>
        <w:t xml:space="preserve">For </w:t>
      </w:r>
      <w:r w:rsidR="004B45F6">
        <w:rPr>
          <w:szCs w:val="24"/>
        </w:rPr>
        <w:t>instance, successful</w:t>
      </w:r>
      <w:r w:rsidR="00130477">
        <w:rPr>
          <w:szCs w:val="24"/>
        </w:rPr>
        <w:t xml:space="preserve"> prosecutions </w:t>
      </w:r>
      <w:r w:rsidR="00840263">
        <w:rPr>
          <w:szCs w:val="24"/>
        </w:rPr>
        <w:t>may</w:t>
      </w:r>
      <w:r w:rsidR="00130477">
        <w:rPr>
          <w:szCs w:val="24"/>
        </w:rPr>
        <w:t xml:space="preserve"> achieve specific outcomes (e.g. positive perceptions of Prosecutor decision-making) that </w:t>
      </w:r>
      <w:r w:rsidR="00840263">
        <w:rPr>
          <w:szCs w:val="24"/>
        </w:rPr>
        <w:t xml:space="preserve">may </w:t>
      </w:r>
      <w:r w:rsidR="00130477">
        <w:rPr>
          <w:szCs w:val="24"/>
        </w:rPr>
        <w:t xml:space="preserve">lead to </w:t>
      </w:r>
      <w:r w:rsidR="00130477">
        <w:rPr>
          <w:szCs w:val="24"/>
        </w:rPr>
        <w:t xml:space="preserve">the achievement of </w:t>
      </w:r>
      <w:r w:rsidR="00840263">
        <w:rPr>
          <w:szCs w:val="24"/>
        </w:rPr>
        <w:t xml:space="preserve">the </w:t>
      </w:r>
      <w:r w:rsidR="00130477">
        <w:rPr>
          <w:szCs w:val="24"/>
        </w:rPr>
        <w:t>Court</w:t>
      </w:r>
      <w:r w:rsidR="00840263">
        <w:rPr>
          <w:szCs w:val="24"/>
        </w:rPr>
        <w:t>’s goals</w:t>
      </w:r>
      <w:r w:rsidR="004B45F6">
        <w:rPr>
          <w:szCs w:val="24"/>
        </w:rPr>
        <w:t xml:space="preserve">, but those prosecution outcomes are not identical to the Court’s goals. </w:t>
      </w:r>
      <w:r w:rsidR="00840263">
        <w:rPr>
          <w:szCs w:val="24"/>
        </w:rPr>
        <w:t>Alternatively, the Office’s wider operations may achieve an outcome of an increase in national proceedings (i.e. positive complementarity) but</w:t>
      </w:r>
      <w:r w:rsidR="007A3760">
        <w:rPr>
          <w:szCs w:val="24"/>
        </w:rPr>
        <w:t>,</w:t>
      </w:r>
      <w:r w:rsidR="00840263">
        <w:rPr>
          <w:szCs w:val="24"/>
        </w:rPr>
        <w:t xml:space="preserve"> evidently, this is not</w:t>
      </w:r>
      <w:r w:rsidR="00C80FBF">
        <w:rPr>
          <w:szCs w:val="24"/>
        </w:rPr>
        <w:t xml:space="preserve"> directly</w:t>
      </w:r>
      <w:r w:rsidR="00840263">
        <w:rPr>
          <w:szCs w:val="24"/>
        </w:rPr>
        <w:t xml:space="preserve"> </w:t>
      </w:r>
      <w:r w:rsidR="00C80FBF">
        <w:rPr>
          <w:szCs w:val="24"/>
        </w:rPr>
        <w:t>related</w:t>
      </w:r>
      <w:r w:rsidR="00840263">
        <w:rPr>
          <w:szCs w:val="24"/>
        </w:rPr>
        <w:t xml:space="preserve"> to</w:t>
      </w:r>
      <w:r w:rsidR="00D43B46">
        <w:rPr>
          <w:szCs w:val="24"/>
        </w:rPr>
        <w:t xml:space="preserve"> its</w:t>
      </w:r>
      <w:r w:rsidR="00840263">
        <w:rPr>
          <w:szCs w:val="24"/>
        </w:rPr>
        <w:t xml:space="preserve"> prosecution outputs. </w:t>
      </w:r>
      <w:r w:rsidR="00635C49">
        <w:rPr>
          <w:szCs w:val="24"/>
        </w:rPr>
        <w:t>The OTP would also</w:t>
      </w:r>
      <w:r w:rsidR="00312544" w:rsidRPr="00146AE1">
        <w:rPr>
          <w:szCs w:val="24"/>
        </w:rPr>
        <w:t xml:space="preserve"> need to </w:t>
      </w:r>
      <w:r w:rsidR="00C80FBF">
        <w:rPr>
          <w:szCs w:val="24"/>
        </w:rPr>
        <w:t>determine</w:t>
      </w:r>
      <w:r w:rsidR="00312544" w:rsidRPr="00146AE1">
        <w:rPr>
          <w:szCs w:val="24"/>
        </w:rPr>
        <w:t xml:space="preserve"> whether the </w:t>
      </w:r>
      <w:r w:rsidR="00635C49">
        <w:rPr>
          <w:szCs w:val="24"/>
        </w:rPr>
        <w:t xml:space="preserve">desired </w:t>
      </w:r>
      <w:r w:rsidR="00312544" w:rsidRPr="00146AE1">
        <w:rPr>
          <w:szCs w:val="24"/>
        </w:rPr>
        <w:t xml:space="preserve">outcomes </w:t>
      </w:r>
      <w:r w:rsidR="00635C49">
        <w:rPr>
          <w:szCs w:val="24"/>
        </w:rPr>
        <w:t>are identical for</w:t>
      </w:r>
      <w:r w:rsidR="00635C49" w:rsidRPr="00146AE1">
        <w:rPr>
          <w:szCs w:val="24"/>
        </w:rPr>
        <w:t xml:space="preserve"> </w:t>
      </w:r>
      <w:r w:rsidR="00312544" w:rsidRPr="00146AE1">
        <w:rPr>
          <w:szCs w:val="24"/>
        </w:rPr>
        <w:t>all prosecutions</w:t>
      </w:r>
      <w:r w:rsidR="00635C49">
        <w:rPr>
          <w:szCs w:val="24"/>
        </w:rPr>
        <w:t xml:space="preserve">, </w:t>
      </w:r>
      <w:r w:rsidR="00312544" w:rsidRPr="00146AE1">
        <w:rPr>
          <w:szCs w:val="24"/>
        </w:rPr>
        <w:t xml:space="preserve">or whether they should </w:t>
      </w:r>
      <w:r w:rsidR="00635C49">
        <w:rPr>
          <w:szCs w:val="24"/>
        </w:rPr>
        <w:t>instead</w:t>
      </w:r>
      <w:r w:rsidR="00312544" w:rsidRPr="00146AE1">
        <w:rPr>
          <w:szCs w:val="24"/>
        </w:rPr>
        <w:t xml:space="preserve"> be context- specific</w:t>
      </w:r>
      <w:r w:rsidR="00635C49">
        <w:rPr>
          <w:szCs w:val="24"/>
        </w:rPr>
        <w:t>, taking into account the defendant identity</w:t>
      </w:r>
      <w:r w:rsidR="00312544" w:rsidRPr="00146AE1">
        <w:rPr>
          <w:szCs w:val="24"/>
        </w:rPr>
        <w:t xml:space="preserve">, the nature of the crimes and their </w:t>
      </w:r>
      <w:r w:rsidR="00635C49">
        <w:rPr>
          <w:szCs w:val="24"/>
        </w:rPr>
        <w:t>socio-political</w:t>
      </w:r>
      <w:r w:rsidR="00312544" w:rsidRPr="00146AE1">
        <w:rPr>
          <w:szCs w:val="24"/>
        </w:rPr>
        <w:t xml:space="preserve"> context. </w:t>
      </w:r>
      <w:r w:rsidR="006D61BC">
        <w:rPr>
          <w:szCs w:val="24"/>
        </w:rPr>
        <w:t>E</w:t>
      </w:r>
      <w:r w:rsidR="00312544" w:rsidRPr="00146AE1">
        <w:rPr>
          <w:szCs w:val="24"/>
        </w:rPr>
        <w:t xml:space="preserve">ffectiveness </w:t>
      </w:r>
      <w:r w:rsidR="006D61BC">
        <w:rPr>
          <w:szCs w:val="24"/>
        </w:rPr>
        <w:t>cannot be measured without</w:t>
      </w:r>
      <w:r w:rsidR="006D61BC" w:rsidRPr="00146AE1">
        <w:rPr>
          <w:szCs w:val="24"/>
        </w:rPr>
        <w:t xml:space="preserve"> </w:t>
      </w:r>
      <w:r w:rsidR="00312544" w:rsidRPr="00146AE1">
        <w:rPr>
          <w:szCs w:val="24"/>
        </w:rPr>
        <w:t>ask</w:t>
      </w:r>
      <w:r w:rsidR="006D61BC">
        <w:rPr>
          <w:szCs w:val="24"/>
        </w:rPr>
        <w:t>ing</w:t>
      </w:r>
      <w:r w:rsidR="00312544" w:rsidRPr="00146AE1">
        <w:rPr>
          <w:szCs w:val="24"/>
        </w:rPr>
        <w:t xml:space="preserve"> these questions. </w:t>
      </w:r>
      <w:r w:rsidR="006D61BC">
        <w:rPr>
          <w:szCs w:val="24"/>
        </w:rPr>
        <w:t>T</w:t>
      </w:r>
      <w:r w:rsidR="00312544" w:rsidRPr="00146AE1">
        <w:rPr>
          <w:szCs w:val="24"/>
        </w:rPr>
        <w:t xml:space="preserve">he </w:t>
      </w:r>
      <w:r w:rsidR="006D61BC">
        <w:rPr>
          <w:szCs w:val="24"/>
        </w:rPr>
        <w:t xml:space="preserve">quoted </w:t>
      </w:r>
      <w:r w:rsidR="00312544" w:rsidRPr="00146AE1">
        <w:rPr>
          <w:szCs w:val="24"/>
        </w:rPr>
        <w:t>excerpt</w:t>
      </w:r>
      <w:r w:rsidR="008B5FC4">
        <w:rPr>
          <w:szCs w:val="24"/>
        </w:rPr>
        <w:t xml:space="preserve"> </w:t>
      </w:r>
      <w:r w:rsidR="007C0602">
        <w:rPr>
          <w:rFonts w:cs="Times New Roman"/>
          <w:szCs w:val="24"/>
        </w:rPr>
        <w:t>—</w:t>
      </w:r>
      <w:r w:rsidR="00312544" w:rsidRPr="00146AE1">
        <w:rPr>
          <w:szCs w:val="24"/>
        </w:rPr>
        <w:t xml:space="preserve"> </w:t>
      </w:r>
      <w:r w:rsidR="008B5FC4">
        <w:rPr>
          <w:szCs w:val="24"/>
        </w:rPr>
        <w:t xml:space="preserve">by simply listing some of the outcomes </w:t>
      </w:r>
      <w:r w:rsidR="00312544" w:rsidRPr="00146AE1">
        <w:rPr>
          <w:szCs w:val="24"/>
        </w:rPr>
        <w:t xml:space="preserve">that the Office is ‘supposed’ to </w:t>
      </w:r>
      <w:r w:rsidR="008B5FC4">
        <w:rPr>
          <w:szCs w:val="24"/>
        </w:rPr>
        <w:t xml:space="preserve">achieve </w:t>
      </w:r>
      <w:r w:rsidR="007C0602">
        <w:rPr>
          <w:rFonts w:cs="Times New Roman"/>
          <w:szCs w:val="24"/>
        </w:rPr>
        <w:t>—</w:t>
      </w:r>
      <w:r w:rsidR="00312544" w:rsidRPr="00146AE1">
        <w:rPr>
          <w:szCs w:val="24"/>
        </w:rPr>
        <w:t xml:space="preserve"> reveals a casual circumventi</w:t>
      </w:r>
      <w:r w:rsidR="008B5FC4">
        <w:rPr>
          <w:szCs w:val="24"/>
        </w:rPr>
        <w:t>on</w:t>
      </w:r>
      <w:r w:rsidR="00312544" w:rsidRPr="00146AE1">
        <w:rPr>
          <w:szCs w:val="24"/>
        </w:rPr>
        <w:t xml:space="preserve"> of the deep and complex questions that need to </w:t>
      </w:r>
      <w:r w:rsidR="008B5FC4">
        <w:rPr>
          <w:szCs w:val="24"/>
        </w:rPr>
        <w:t>solved</w:t>
      </w:r>
      <w:r w:rsidR="008B5FC4" w:rsidRPr="00146AE1">
        <w:rPr>
          <w:szCs w:val="24"/>
        </w:rPr>
        <w:t xml:space="preserve"> </w:t>
      </w:r>
      <w:r w:rsidR="00312544" w:rsidRPr="00146AE1">
        <w:rPr>
          <w:szCs w:val="24"/>
        </w:rPr>
        <w:t>before articulating prosecution outcomes.</w:t>
      </w:r>
      <w:r w:rsidR="00312544" w:rsidRPr="00146AE1">
        <w:rPr>
          <w:szCs w:val="24"/>
          <w:vertAlign w:val="superscript"/>
        </w:rPr>
        <w:footnoteReference w:id="103"/>
      </w:r>
    </w:p>
    <w:p w:rsidR="00B85692" w:rsidRDefault="00530930">
      <w:pPr>
        <w:jc w:val="both"/>
        <w:rPr>
          <w:szCs w:val="24"/>
        </w:rPr>
      </w:pPr>
      <w:r>
        <w:rPr>
          <w:szCs w:val="24"/>
        </w:rPr>
        <w:tab/>
      </w:r>
      <w:r w:rsidR="00E20282">
        <w:rPr>
          <w:szCs w:val="24"/>
        </w:rPr>
        <w:t>T</w:t>
      </w:r>
      <w:r w:rsidR="00312544" w:rsidRPr="00146AE1">
        <w:rPr>
          <w:szCs w:val="24"/>
        </w:rPr>
        <w:t xml:space="preserve">his lack of clarity precedes and </w:t>
      </w:r>
      <w:r w:rsidR="00E20282">
        <w:rPr>
          <w:szCs w:val="24"/>
        </w:rPr>
        <w:t>feeds</w:t>
      </w:r>
      <w:r w:rsidR="00312544" w:rsidRPr="00146AE1">
        <w:rPr>
          <w:szCs w:val="24"/>
        </w:rPr>
        <w:t xml:space="preserve"> the OTP’s concern </w:t>
      </w:r>
      <w:r w:rsidR="00E20282">
        <w:rPr>
          <w:szCs w:val="24"/>
        </w:rPr>
        <w:t>that it is not possible to unequivocally attribute the production of a certain</w:t>
      </w:r>
      <w:r w:rsidR="00E20282" w:rsidRPr="00146AE1">
        <w:rPr>
          <w:szCs w:val="24"/>
        </w:rPr>
        <w:t xml:space="preserve"> </w:t>
      </w:r>
      <w:r w:rsidR="00E20282">
        <w:rPr>
          <w:szCs w:val="24"/>
        </w:rPr>
        <w:t xml:space="preserve">outcome to the Office’s activities (so-called </w:t>
      </w:r>
      <w:r w:rsidR="00312544" w:rsidRPr="00146AE1">
        <w:rPr>
          <w:szCs w:val="24"/>
        </w:rPr>
        <w:t>‘performance ownership’</w:t>
      </w:r>
      <w:r w:rsidR="00E20282">
        <w:rPr>
          <w:szCs w:val="24"/>
        </w:rPr>
        <w:t>)</w:t>
      </w:r>
      <w:r w:rsidR="00312544" w:rsidRPr="00146AE1">
        <w:rPr>
          <w:szCs w:val="24"/>
        </w:rPr>
        <w:t xml:space="preserve">. The Office has </w:t>
      </w:r>
      <w:r w:rsidR="00E20282">
        <w:rPr>
          <w:szCs w:val="24"/>
        </w:rPr>
        <w:t>made clear that</w:t>
      </w:r>
      <w:r w:rsidR="00312544" w:rsidRPr="00146AE1">
        <w:rPr>
          <w:szCs w:val="24"/>
        </w:rPr>
        <w:t xml:space="preserve"> </w:t>
      </w:r>
      <w:r w:rsidR="00E20282">
        <w:rPr>
          <w:szCs w:val="24"/>
        </w:rPr>
        <w:t>it can only</w:t>
      </w:r>
      <w:r w:rsidR="00312544" w:rsidRPr="00146AE1">
        <w:rPr>
          <w:szCs w:val="24"/>
        </w:rPr>
        <w:t xml:space="preserve"> measure what it sufficiently controls.</w:t>
      </w:r>
      <w:r w:rsidR="00312544" w:rsidRPr="00146AE1">
        <w:rPr>
          <w:szCs w:val="24"/>
          <w:vertAlign w:val="superscript"/>
        </w:rPr>
        <w:footnoteReference w:id="104"/>
      </w:r>
      <w:r w:rsidR="00312544" w:rsidRPr="00146AE1">
        <w:rPr>
          <w:szCs w:val="24"/>
        </w:rPr>
        <w:t xml:space="preserve"> </w:t>
      </w:r>
      <w:r w:rsidR="00E20282">
        <w:rPr>
          <w:szCs w:val="24"/>
        </w:rPr>
        <w:t>Then,</w:t>
      </w:r>
      <w:r w:rsidR="00312544" w:rsidRPr="00146AE1">
        <w:rPr>
          <w:szCs w:val="24"/>
        </w:rPr>
        <w:t xml:space="preserve"> effectiveness measurement </w:t>
      </w:r>
      <w:r w:rsidR="00E20282">
        <w:rPr>
          <w:szCs w:val="24"/>
        </w:rPr>
        <w:t xml:space="preserve">has been avoided </w:t>
      </w:r>
      <w:r w:rsidR="00312544" w:rsidRPr="00146AE1">
        <w:rPr>
          <w:szCs w:val="24"/>
        </w:rPr>
        <w:t xml:space="preserve">because </w:t>
      </w:r>
      <w:r w:rsidR="00E20282">
        <w:rPr>
          <w:szCs w:val="24"/>
        </w:rPr>
        <w:t xml:space="preserve">of its ‘causation complexity’: </w:t>
      </w:r>
      <w:r w:rsidR="00312544" w:rsidRPr="00146AE1">
        <w:rPr>
          <w:szCs w:val="24"/>
        </w:rPr>
        <w:t xml:space="preserve">outcomes can be </w:t>
      </w:r>
      <w:r w:rsidR="00E20282">
        <w:rPr>
          <w:szCs w:val="24"/>
        </w:rPr>
        <w:t>influenced</w:t>
      </w:r>
      <w:r w:rsidR="00E20282" w:rsidRPr="00146AE1">
        <w:rPr>
          <w:szCs w:val="24"/>
        </w:rPr>
        <w:t xml:space="preserve"> </w:t>
      </w:r>
      <w:r w:rsidR="00312544" w:rsidRPr="00146AE1">
        <w:rPr>
          <w:szCs w:val="24"/>
        </w:rPr>
        <w:t xml:space="preserve">by a multitude of </w:t>
      </w:r>
      <w:r w:rsidR="00E20282">
        <w:rPr>
          <w:szCs w:val="24"/>
        </w:rPr>
        <w:t xml:space="preserve">socio-political </w:t>
      </w:r>
      <w:r w:rsidR="00312544" w:rsidRPr="00146AE1">
        <w:rPr>
          <w:szCs w:val="24"/>
        </w:rPr>
        <w:t>factors</w:t>
      </w:r>
      <w:r w:rsidR="00E20282">
        <w:rPr>
          <w:szCs w:val="24"/>
        </w:rPr>
        <w:t xml:space="preserve"> independent from prosecutorial choices</w:t>
      </w:r>
      <w:r w:rsidR="00312544" w:rsidRPr="00146AE1">
        <w:rPr>
          <w:szCs w:val="24"/>
        </w:rPr>
        <w:t xml:space="preserve">. </w:t>
      </w:r>
    </w:p>
    <w:p w:rsidR="00312544" w:rsidRPr="00146AE1" w:rsidRDefault="00530930">
      <w:pPr>
        <w:jc w:val="both"/>
        <w:rPr>
          <w:szCs w:val="24"/>
        </w:rPr>
      </w:pPr>
      <w:r>
        <w:rPr>
          <w:szCs w:val="24"/>
        </w:rPr>
        <w:tab/>
      </w:r>
      <w:r w:rsidR="00E20282">
        <w:rPr>
          <w:szCs w:val="24"/>
        </w:rPr>
        <w:t>Even though</w:t>
      </w:r>
      <w:r w:rsidR="00312544" w:rsidRPr="00146AE1">
        <w:rPr>
          <w:szCs w:val="24"/>
        </w:rPr>
        <w:t xml:space="preserve"> reasonable</w:t>
      </w:r>
      <w:r w:rsidR="00E20282">
        <w:rPr>
          <w:szCs w:val="24"/>
        </w:rPr>
        <w:t xml:space="preserve"> </w:t>
      </w:r>
      <w:r w:rsidR="00273058">
        <w:rPr>
          <w:szCs w:val="24"/>
        </w:rPr>
        <w:t>(</w:t>
      </w:r>
      <w:r w:rsidR="00E20282">
        <w:rPr>
          <w:szCs w:val="24"/>
        </w:rPr>
        <w:t>since</w:t>
      </w:r>
      <w:r w:rsidR="00312544" w:rsidRPr="00146AE1">
        <w:rPr>
          <w:szCs w:val="24"/>
        </w:rPr>
        <w:t xml:space="preserve"> </w:t>
      </w:r>
      <w:r w:rsidR="00E20282">
        <w:rPr>
          <w:szCs w:val="24"/>
        </w:rPr>
        <w:t>effectiveness</w:t>
      </w:r>
      <w:r w:rsidR="00E20282" w:rsidRPr="00146AE1">
        <w:rPr>
          <w:szCs w:val="24"/>
        </w:rPr>
        <w:t xml:space="preserve"> </w:t>
      </w:r>
      <w:r w:rsidR="00312544" w:rsidRPr="00146AE1">
        <w:rPr>
          <w:szCs w:val="24"/>
        </w:rPr>
        <w:t xml:space="preserve">measurement </w:t>
      </w:r>
      <w:r w:rsidR="00E20282">
        <w:rPr>
          <w:szCs w:val="24"/>
        </w:rPr>
        <w:t>would</w:t>
      </w:r>
      <w:r w:rsidR="00312544" w:rsidRPr="00146AE1">
        <w:rPr>
          <w:szCs w:val="24"/>
        </w:rPr>
        <w:t xml:space="preserve"> be of limited value</w:t>
      </w:r>
      <w:r w:rsidR="00E20282">
        <w:rPr>
          <w:szCs w:val="24"/>
        </w:rPr>
        <w:t xml:space="preserve"> if its causes cannot be </w:t>
      </w:r>
      <w:r w:rsidR="007B6203">
        <w:rPr>
          <w:szCs w:val="24"/>
        </w:rPr>
        <w:t>sufficiently determined</w:t>
      </w:r>
      <w:r w:rsidR="00273058">
        <w:rPr>
          <w:szCs w:val="24"/>
        </w:rPr>
        <w:t>)</w:t>
      </w:r>
      <w:r w:rsidR="00312544" w:rsidRPr="00146AE1">
        <w:rPr>
          <w:szCs w:val="24"/>
        </w:rPr>
        <w:t xml:space="preserve"> this </w:t>
      </w:r>
      <w:r w:rsidR="007B6203">
        <w:rPr>
          <w:szCs w:val="24"/>
        </w:rPr>
        <w:t>approach</w:t>
      </w:r>
      <w:r w:rsidR="007B6203" w:rsidRPr="00146AE1">
        <w:rPr>
          <w:szCs w:val="24"/>
        </w:rPr>
        <w:t xml:space="preserve"> </w:t>
      </w:r>
      <w:r w:rsidR="007B6203">
        <w:rPr>
          <w:szCs w:val="24"/>
        </w:rPr>
        <w:t>meets two possible criticisms</w:t>
      </w:r>
      <w:r w:rsidR="00312544" w:rsidRPr="00146AE1">
        <w:rPr>
          <w:szCs w:val="24"/>
        </w:rPr>
        <w:t>.</w:t>
      </w:r>
      <w:r w:rsidR="00B85692">
        <w:rPr>
          <w:szCs w:val="24"/>
        </w:rPr>
        <w:t xml:space="preserve"> </w:t>
      </w:r>
      <w:r w:rsidR="00312544" w:rsidRPr="00146AE1">
        <w:rPr>
          <w:szCs w:val="24"/>
        </w:rPr>
        <w:t xml:space="preserve">First, performance indicators are always open to a degree of contention and scrutiny. Effectiveness indicators would </w:t>
      </w:r>
      <w:r w:rsidR="009C32A5">
        <w:rPr>
          <w:szCs w:val="24"/>
        </w:rPr>
        <w:t>encourage further</w:t>
      </w:r>
      <w:r w:rsidR="00312544" w:rsidRPr="00146AE1">
        <w:rPr>
          <w:szCs w:val="24"/>
        </w:rPr>
        <w:t xml:space="preserve"> scrutiny and </w:t>
      </w:r>
      <w:r w:rsidR="0041484A">
        <w:rPr>
          <w:szCs w:val="24"/>
        </w:rPr>
        <w:t>generate helpful debate about their possible</w:t>
      </w:r>
      <w:r w:rsidR="00312544" w:rsidRPr="00146AE1">
        <w:rPr>
          <w:szCs w:val="24"/>
        </w:rPr>
        <w:t xml:space="preserve"> reading. Second, the challenge </w:t>
      </w:r>
      <w:r w:rsidR="007A3760">
        <w:rPr>
          <w:szCs w:val="24"/>
        </w:rPr>
        <w:t>of</w:t>
      </w:r>
      <w:r w:rsidR="007A3760" w:rsidRPr="00146AE1">
        <w:rPr>
          <w:szCs w:val="24"/>
        </w:rPr>
        <w:t xml:space="preserve"> </w:t>
      </w:r>
      <w:r w:rsidR="00312544" w:rsidRPr="00146AE1">
        <w:rPr>
          <w:szCs w:val="24"/>
        </w:rPr>
        <w:t xml:space="preserve">measuring effectiveness </w:t>
      </w:r>
      <w:r w:rsidR="009C32A5">
        <w:rPr>
          <w:szCs w:val="24"/>
        </w:rPr>
        <w:t xml:space="preserve">is </w:t>
      </w:r>
      <w:r w:rsidR="00312544" w:rsidRPr="00146AE1">
        <w:rPr>
          <w:szCs w:val="24"/>
        </w:rPr>
        <w:t xml:space="preserve">logically </w:t>
      </w:r>
      <w:r w:rsidR="009C32A5">
        <w:rPr>
          <w:szCs w:val="24"/>
        </w:rPr>
        <w:t>preceded by the challenge</w:t>
      </w:r>
      <w:r w:rsidR="00312544" w:rsidRPr="00146AE1">
        <w:rPr>
          <w:szCs w:val="24"/>
        </w:rPr>
        <w:t xml:space="preserve"> </w:t>
      </w:r>
      <w:r w:rsidR="00C80FBF">
        <w:rPr>
          <w:szCs w:val="24"/>
        </w:rPr>
        <w:t>of</w:t>
      </w:r>
      <w:r w:rsidR="00C80FBF" w:rsidRPr="00146AE1">
        <w:rPr>
          <w:szCs w:val="24"/>
        </w:rPr>
        <w:t xml:space="preserve"> </w:t>
      </w:r>
      <w:r w:rsidR="00312544" w:rsidRPr="00146AE1">
        <w:rPr>
          <w:szCs w:val="24"/>
        </w:rPr>
        <w:t>defin</w:t>
      </w:r>
      <w:r w:rsidR="00C80FBF">
        <w:rPr>
          <w:szCs w:val="24"/>
        </w:rPr>
        <w:t>ing</w:t>
      </w:r>
      <w:r w:rsidR="00312544" w:rsidRPr="00146AE1">
        <w:rPr>
          <w:szCs w:val="24"/>
        </w:rPr>
        <w:t xml:space="preserve"> </w:t>
      </w:r>
      <w:r w:rsidR="009C32A5">
        <w:rPr>
          <w:szCs w:val="24"/>
        </w:rPr>
        <w:t xml:space="preserve">desired </w:t>
      </w:r>
      <w:r w:rsidR="00312544" w:rsidRPr="00146AE1">
        <w:rPr>
          <w:szCs w:val="24"/>
        </w:rPr>
        <w:t xml:space="preserve">outcomes. </w:t>
      </w:r>
      <w:r w:rsidR="009C32A5">
        <w:rPr>
          <w:szCs w:val="24"/>
        </w:rPr>
        <w:t>A</w:t>
      </w:r>
      <w:r w:rsidR="00312544" w:rsidRPr="00146AE1">
        <w:rPr>
          <w:szCs w:val="24"/>
        </w:rPr>
        <w:t xml:space="preserve">t present, </w:t>
      </w:r>
      <w:r w:rsidR="009C32A5">
        <w:rPr>
          <w:szCs w:val="24"/>
        </w:rPr>
        <w:t xml:space="preserve">it seems like </w:t>
      </w:r>
      <w:r w:rsidR="00312544" w:rsidRPr="00146AE1">
        <w:rPr>
          <w:szCs w:val="24"/>
        </w:rPr>
        <w:t>the OTP is rely</w:t>
      </w:r>
      <w:r w:rsidR="009C32A5">
        <w:rPr>
          <w:szCs w:val="24"/>
        </w:rPr>
        <w:t>ing</w:t>
      </w:r>
      <w:r w:rsidR="00312544" w:rsidRPr="00146AE1">
        <w:rPr>
          <w:szCs w:val="24"/>
        </w:rPr>
        <w:t xml:space="preserve"> on </w:t>
      </w:r>
      <w:r w:rsidR="009C32A5">
        <w:rPr>
          <w:szCs w:val="24"/>
        </w:rPr>
        <w:t>an</w:t>
      </w:r>
      <w:r w:rsidR="009C32A5" w:rsidRPr="00146AE1">
        <w:rPr>
          <w:szCs w:val="24"/>
        </w:rPr>
        <w:t xml:space="preserve"> </w:t>
      </w:r>
      <w:r w:rsidR="00312544" w:rsidRPr="00146AE1">
        <w:rPr>
          <w:szCs w:val="24"/>
        </w:rPr>
        <w:t xml:space="preserve">abstract </w:t>
      </w:r>
      <w:r w:rsidR="009C32A5">
        <w:rPr>
          <w:szCs w:val="24"/>
        </w:rPr>
        <w:t xml:space="preserve">‘causation </w:t>
      </w:r>
      <w:r w:rsidR="00312544" w:rsidRPr="00146AE1">
        <w:rPr>
          <w:szCs w:val="24"/>
        </w:rPr>
        <w:t>complexity</w:t>
      </w:r>
      <w:r w:rsidR="009C32A5">
        <w:rPr>
          <w:szCs w:val="24"/>
        </w:rPr>
        <w:t>’</w:t>
      </w:r>
      <w:r w:rsidR="00312544" w:rsidRPr="00146AE1">
        <w:rPr>
          <w:szCs w:val="24"/>
        </w:rPr>
        <w:t xml:space="preserve"> as an excuse to avoid genuine thinking about </w:t>
      </w:r>
      <w:r w:rsidR="009C32A5">
        <w:rPr>
          <w:szCs w:val="24"/>
        </w:rPr>
        <w:t xml:space="preserve">desired </w:t>
      </w:r>
      <w:r w:rsidR="00312544" w:rsidRPr="00146AE1">
        <w:rPr>
          <w:szCs w:val="24"/>
        </w:rPr>
        <w:t>prosecution outcomes.</w:t>
      </w:r>
      <w:r w:rsidR="00312544" w:rsidRPr="00146AE1">
        <w:rPr>
          <w:rStyle w:val="FootnoteReference"/>
          <w:sz w:val="24"/>
          <w:szCs w:val="24"/>
        </w:rPr>
        <w:footnoteReference w:id="105"/>
      </w:r>
    </w:p>
    <w:p w:rsidR="00312544" w:rsidRPr="00146AE1" w:rsidRDefault="00530930">
      <w:pPr>
        <w:jc w:val="both"/>
        <w:rPr>
          <w:szCs w:val="24"/>
        </w:rPr>
      </w:pPr>
      <w:r>
        <w:rPr>
          <w:szCs w:val="24"/>
        </w:rPr>
        <w:tab/>
      </w:r>
      <w:r w:rsidR="004630E9">
        <w:rPr>
          <w:szCs w:val="24"/>
        </w:rPr>
        <w:t xml:space="preserve">Moreover, the </w:t>
      </w:r>
      <w:r w:rsidR="00312544" w:rsidRPr="00146AE1">
        <w:rPr>
          <w:szCs w:val="24"/>
        </w:rPr>
        <w:t xml:space="preserve">current absence of effectiveness measurement is compounded by another concern: the OTP’s claim that prosecution results indicators </w:t>
      </w:r>
      <w:r w:rsidR="00312544" w:rsidRPr="00146AE1">
        <w:rPr>
          <w:i/>
          <w:szCs w:val="24"/>
        </w:rPr>
        <w:t xml:space="preserve">are </w:t>
      </w:r>
      <w:r w:rsidR="004630E9">
        <w:rPr>
          <w:szCs w:val="24"/>
        </w:rPr>
        <w:t xml:space="preserve">indeed </w:t>
      </w:r>
      <w:r w:rsidR="00312544" w:rsidRPr="00146AE1">
        <w:rPr>
          <w:szCs w:val="24"/>
        </w:rPr>
        <w:t xml:space="preserve">a measure of </w:t>
      </w:r>
      <w:r w:rsidR="00312544" w:rsidRPr="00146AE1">
        <w:rPr>
          <w:szCs w:val="24"/>
        </w:rPr>
        <w:t xml:space="preserve">effectiveness. On one hand, </w:t>
      </w:r>
      <w:r w:rsidR="004630E9">
        <w:rPr>
          <w:szCs w:val="24"/>
        </w:rPr>
        <w:t>one could argue</w:t>
      </w:r>
      <w:r w:rsidR="00312544" w:rsidRPr="00146AE1">
        <w:rPr>
          <w:szCs w:val="24"/>
        </w:rPr>
        <w:t xml:space="preserve"> that the OTP intends courtroom wins </w:t>
      </w:r>
      <w:r w:rsidR="004630E9">
        <w:rPr>
          <w:szCs w:val="24"/>
        </w:rPr>
        <w:t>as</w:t>
      </w:r>
      <w:r w:rsidR="004630E9" w:rsidRPr="00146AE1">
        <w:rPr>
          <w:szCs w:val="24"/>
        </w:rPr>
        <w:t xml:space="preserve"> </w:t>
      </w:r>
      <w:r w:rsidR="00312544" w:rsidRPr="00146AE1">
        <w:rPr>
          <w:szCs w:val="24"/>
        </w:rPr>
        <w:t xml:space="preserve">an indicator of the </w:t>
      </w:r>
      <w:r w:rsidR="004630E9">
        <w:rPr>
          <w:szCs w:val="24"/>
        </w:rPr>
        <w:t xml:space="preserve">Office’s </w:t>
      </w:r>
      <w:r w:rsidR="00312544" w:rsidRPr="00146AE1">
        <w:rPr>
          <w:szCs w:val="24"/>
        </w:rPr>
        <w:t>effectiveness</w:t>
      </w:r>
      <w:r w:rsidR="004630E9">
        <w:rPr>
          <w:szCs w:val="24"/>
        </w:rPr>
        <w:t xml:space="preserve">, </w:t>
      </w:r>
      <w:r w:rsidR="00F43C1C">
        <w:rPr>
          <w:szCs w:val="24"/>
        </w:rPr>
        <w:t xml:space="preserve">if </w:t>
      </w:r>
      <w:r w:rsidR="00312544" w:rsidRPr="00146AE1">
        <w:rPr>
          <w:szCs w:val="24"/>
        </w:rPr>
        <w:t xml:space="preserve">evidential integrity and </w:t>
      </w:r>
      <w:r w:rsidR="00F43C1C">
        <w:rPr>
          <w:szCs w:val="24"/>
        </w:rPr>
        <w:t xml:space="preserve">respect for </w:t>
      </w:r>
      <w:r w:rsidR="00312544" w:rsidRPr="00146AE1">
        <w:rPr>
          <w:szCs w:val="24"/>
        </w:rPr>
        <w:t>due process</w:t>
      </w:r>
      <w:r w:rsidR="00F43C1C">
        <w:rPr>
          <w:szCs w:val="24"/>
        </w:rPr>
        <w:t xml:space="preserve"> are </w:t>
      </w:r>
      <w:r w:rsidR="00F43C1C">
        <w:rPr>
          <w:szCs w:val="24"/>
        </w:rPr>
        <w:t>seen as desired outcomes</w:t>
      </w:r>
      <w:r w:rsidR="001310DC">
        <w:rPr>
          <w:szCs w:val="24"/>
        </w:rPr>
        <w:t xml:space="preserve"> in themselves</w:t>
      </w:r>
      <w:r w:rsidR="00312544" w:rsidRPr="00146AE1">
        <w:rPr>
          <w:szCs w:val="24"/>
        </w:rPr>
        <w:t xml:space="preserve">. However, </w:t>
      </w:r>
      <w:r w:rsidR="004630E9">
        <w:rPr>
          <w:szCs w:val="24"/>
        </w:rPr>
        <w:t>on the other hand,</w:t>
      </w:r>
      <w:r w:rsidR="00312544" w:rsidRPr="00146AE1">
        <w:rPr>
          <w:szCs w:val="24"/>
        </w:rPr>
        <w:t xml:space="preserve"> </w:t>
      </w:r>
      <w:r w:rsidR="004630E9">
        <w:rPr>
          <w:szCs w:val="24"/>
        </w:rPr>
        <w:t xml:space="preserve">one could argue that </w:t>
      </w:r>
      <w:r w:rsidR="00312544" w:rsidRPr="00146AE1">
        <w:rPr>
          <w:szCs w:val="24"/>
        </w:rPr>
        <w:t xml:space="preserve">prosecution wins are not </w:t>
      </w:r>
      <w:r w:rsidR="004630E9">
        <w:rPr>
          <w:szCs w:val="24"/>
        </w:rPr>
        <w:t xml:space="preserve">sufficient </w:t>
      </w:r>
      <w:r w:rsidR="007E5BAC">
        <w:rPr>
          <w:rFonts w:cs="Times New Roman"/>
          <w:szCs w:val="24"/>
        </w:rPr>
        <w:t>—</w:t>
      </w:r>
      <w:r w:rsidR="004630E9">
        <w:rPr>
          <w:szCs w:val="24"/>
        </w:rPr>
        <w:t xml:space="preserve"> </w:t>
      </w:r>
      <w:r w:rsidR="00A65CFA">
        <w:rPr>
          <w:szCs w:val="24"/>
        </w:rPr>
        <w:t xml:space="preserve">in themselves </w:t>
      </w:r>
      <w:r w:rsidR="007E5BAC">
        <w:rPr>
          <w:rFonts w:cs="Times New Roman"/>
          <w:szCs w:val="24"/>
        </w:rPr>
        <w:t>—</w:t>
      </w:r>
      <w:r w:rsidR="004630E9">
        <w:rPr>
          <w:szCs w:val="24"/>
        </w:rPr>
        <w:t xml:space="preserve"> to express the Office’s</w:t>
      </w:r>
      <w:r w:rsidR="00312544" w:rsidRPr="00146AE1">
        <w:rPr>
          <w:szCs w:val="24"/>
        </w:rPr>
        <w:t xml:space="preserve"> effectiveness</w:t>
      </w:r>
      <w:r w:rsidR="004630E9">
        <w:rPr>
          <w:szCs w:val="24"/>
        </w:rPr>
        <w:t xml:space="preserve"> in </w:t>
      </w:r>
      <w:r w:rsidR="00F43C1C">
        <w:rPr>
          <w:szCs w:val="24"/>
        </w:rPr>
        <w:t>fulfilling its broader mandate within affected communities</w:t>
      </w:r>
      <w:r w:rsidR="00954E52">
        <w:rPr>
          <w:szCs w:val="24"/>
        </w:rPr>
        <w:t>,</w:t>
      </w:r>
      <w:r w:rsidR="001310DC">
        <w:rPr>
          <w:szCs w:val="24"/>
        </w:rPr>
        <w:t xml:space="preserve"> </w:t>
      </w:r>
      <w:r w:rsidR="00312544" w:rsidRPr="00146AE1">
        <w:rPr>
          <w:szCs w:val="24"/>
        </w:rPr>
        <w:t>but</w:t>
      </w:r>
      <w:r w:rsidR="004630E9">
        <w:rPr>
          <w:szCs w:val="24"/>
        </w:rPr>
        <w:t xml:space="preserve"> </w:t>
      </w:r>
      <w:r w:rsidR="00954E52">
        <w:rPr>
          <w:szCs w:val="24"/>
        </w:rPr>
        <w:t xml:space="preserve">they are </w:t>
      </w:r>
      <w:r w:rsidR="004630E9">
        <w:rPr>
          <w:szCs w:val="24"/>
        </w:rPr>
        <w:t>just</w:t>
      </w:r>
      <w:r w:rsidR="00312544" w:rsidRPr="00146AE1">
        <w:rPr>
          <w:szCs w:val="24"/>
        </w:rPr>
        <w:t xml:space="preserve"> </w:t>
      </w:r>
      <w:r w:rsidR="00954E52">
        <w:rPr>
          <w:szCs w:val="24"/>
        </w:rPr>
        <w:t>a</w:t>
      </w:r>
      <w:r w:rsidR="00954E52" w:rsidRPr="00146AE1">
        <w:rPr>
          <w:szCs w:val="24"/>
        </w:rPr>
        <w:t xml:space="preserve"> </w:t>
      </w:r>
      <w:r w:rsidR="00312544" w:rsidRPr="00146AE1">
        <w:rPr>
          <w:szCs w:val="24"/>
        </w:rPr>
        <w:t xml:space="preserve">starting point </w:t>
      </w:r>
      <w:r w:rsidR="004630E9">
        <w:rPr>
          <w:szCs w:val="24"/>
        </w:rPr>
        <w:t>towards such end</w:t>
      </w:r>
      <w:r w:rsidR="00312544" w:rsidRPr="00146AE1">
        <w:rPr>
          <w:szCs w:val="24"/>
        </w:rPr>
        <w:t xml:space="preserve">. </w:t>
      </w:r>
      <w:r w:rsidR="00BD2E9C">
        <w:rPr>
          <w:szCs w:val="24"/>
        </w:rPr>
        <w:t>More w</w:t>
      </w:r>
      <w:r w:rsidR="00312544" w:rsidRPr="00146AE1">
        <w:rPr>
          <w:szCs w:val="24"/>
        </w:rPr>
        <w:t>orryingly</w:t>
      </w:r>
      <w:r w:rsidR="00BD2E9C">
        <w:rPr>
          <w:szCs w:val="24"/>
        </w:rPr>
        <w:t>,</w:t>
      </w:r>
      <w:r w:rsidR="00312544" w:rsidRPr="00146AE1">
        <w:rPr>
          <w:szCs w:val="24"/>
        </w:rPr>
        <w:t xml:space="preserve"> the OTP’s claim that </w:t>
      </w:r>
      <w:r w:rsidR="004E1CAE">
        <w:rPr>
          <w:szCs w:val="24"/>
        </w:rPr>
        <w:t xml:space="preserve">sheer </w:t>
      </w:r>
      <w:r w:rsidR="00312544" w:rsidRPr="00146AE1">
        <w:rPr>
          <w:szCs w:val="24"/>
        </w:rPr>
        <w:t xml:space="preserve">prosecution results </w:t>
      </w:r>
      <w:r w:rsidR="004E1CAE">
        <w:rPr>
          <w:szCs w:val="24"/>
        </w:rPr>
        <w:t>are an indicator of</w:t>
      </w:r>
      <w:r w:rsidR="00312544" w:rsidRPr="00146AE1">
        <w:rPr>
          <w:szCs w:val="24"/>
        </w:rPr>
        <w:t xml:space="preserve"> effectiveness </w:t>
      </w:r>
      <w:r w:rsidR="00BD2E9C">
        <w:rPr>
          <w:szCs w:val="24"/>
        </w:rPr>
        <w:t>may</w:t>
      </w:r>
      <w:r w:rsidR="00BD2E9C" w:rsidRPr="00146AE1">
        <w:rPr>
          <w:szCs w:val="24"/>
        </w:rPr>
        <w:t xml:space="preserve"> </w:t>
      </w:r>
      <w:r w:rsidR="001310DC">
        <w:rPr>
          <w:szCs w:val="24"/>
        </w:rPr>
        <w:t>produce</w:t>
      </w:r>
      <w:r w:rsidR="00312544" w:rsidRPr="00146AE1">
        <w:rPr>
          <w:szCs w:val="24"/>
        </w:rPr>
        <w:t xml:space="preserve"> </w:t>
      </w:r>
      <w:r w:rsidR="00C40660">
        <w:rPr>
          <w:szCs w:val="24"/>
        </w:rPr>
        <w:t xml:space="preserve">a few </w:t>
      </w:r>
      <w:r w:rsidR="00312544" w:rsidRPr="00146AE1">
        <w:rPr>
          <w:szCs w:val="24"/>
        </w:rPr>
        <w:t>perverse effects.</w:t>
      </w:r>
    </w:p>
    <w:p w:rsidR="00312544" w:rsidRPr="00146AE1" w:rsidRDefault="00530930">
      <w:pPr>
        <w:jc w:val="both"/>
        <w:rPr>
          <w:rFonts w:cs="Times New Roman"/>
          <w:szCs w:val="24"/>
        </w:rPr>
      </w:pPr>
      <w:r>
        <w:rPr>
          <w:szCs w:val="24"/>
        </w:rPr>
        <w:tab/>
      </w:r>
      <w:r w:rsidR="00312544" w:rsidRPr="00146AE1">
        <w:rPr>
          <w:szCs w:val="24"/>
        </w:rPr>
        <w:t>First, the OTP’s claim creates a well-known risk in performance measurement: obliterating the distinction between output and outcome.</w:t>
      </w:r>
      <w:r w:rsidR="00312544" w:rsidRPr="00146AE1">
        <w:rPr>
          <w:szCs w:val="24"/>
          <w:vertAlign w:val="superscript"/>
        </w:rPr>
        <w:footnoteReference w:id="106"/>
      </w:r>
      <w:r w:rsidR="00312544" w:rsidRPr="00146AE1">
        <w:rPr>
          <w:szCs w:val="24"/>
        </w:rPr>
        <w:t xml:space="preserve"> </w:t>
      </w:r>
      <w:r w:rsidR="000502FA">
        <w:rPr>
          <w:szCs w:val="24"/>
        </w:rPr>
        <w:t>The fusion between</w:t>
      </w:r>
      <w:r w:rsidR="00ED065D" w:rsidRPr="00146AE1">
        <w:rPr>
          <w:szCs w:val="24"/>
        </w:rPr>
        <w:t xml:space="preserve"> </w:t>
      </w:r>
      <w:r w:rsidR="000502FA">
        <w:rPr>
          <w:szCs w:val="24"/>
        </w:rPr>
        <w:t>the two is</w:t>
      </w:r>
      <w:r w:rsidR="00312544" w:rsidRPr="00146AE1">
        <w:rPr>
          <w:szCs w:val="24"/>
        </w:rPr>
        <w:t xml:space="preserve"> common in public administrations, particularly when </w:t>
      </w:r>
      <w:r w:rsidR="00B43595">
        <w:rPr>
          <w:szCs w:val="24"/>
        </w:rPr>
        <w:t>organiz</w:t>
      </w:r>
      <w:r w:rsidR="00312544" w:rsidRPr="00146AE1">
        <w:rPr>
          <w:szCs w:val="24"/>
        </w:rPr>
        <w:t>ations remain under the pressures of accountability for, and auditing of, outputs.</w:t>
      </w:r>
      <w:r w:rsidR="009C0A56">
        <w:rPr>
          <w:rStyle w:val="FootnoteReference"/>
          <w:szCs w:val="24"/>
        </w:rPr>
        <w:footnoteReference w:id="107"/>
      </w:r>
      <w:r w:rsidR="00375817">
        <w:rPr>
          <w:szCs w:val="24"/>
        </w:rPr>
        <w:t xml:space="preserve"> For the OTP</w:t>
      </w:r>
      <w:r w:rsidR="008C23DC">
        <w:rPr>
          <w:szCs w:val="24"/>
        </w:rPr>
        <w:t>,</w:t>
      </w:r>
      <w:r w:rsidR="00375817">
        <w:rPr>
          <w:szCs w:val="24"/>
        </w:rPr>
        <w:t xml:space="preserve"> p</w:t>
      </w:r>
      <w:r w:rsidR="000502FA">
        <w:rPr>
          <w:szCs w:val="24"/>
        </w:rPr>
        <w:t xml:space="preserve">rosecution outputs are expected to lead </w:t>
      </w:r>
      <w:r w:rsidR="00375817">
        <w:rPr>
          <w:szCs w:val="24"/>
        </w:rPr>
        <w:t>to prosecution</w:t>
      </w:r>
      <w:r w:rsidR="000502FA">
        <w:rPr>
          <w:szCs w:val="24"/>
        </w:rPr>
        <w:t xml:space="preserve"> successes, but that success in and of itself is not always equivalent </w:t>
      </w:r>
      <w:r w:rsidR="00375817">
        <w:rPr>
          <w:szCs w:val="24"/>
        </w:rPr>
        <w:t>to desired outcomes</w:t>
      </w:r>
      <w:r w:rsidR="000502FA">
        <w:rPr>
          <w:szCs w:val="24"/>
        </w:rPr>
        <w:t xml:space="preserve">. </w:t>
      </w:r>
      <w:r w:rsidR="00CD2F79">
        <w:rPr>
          <w:szCs w:val="24"/>
        </w:rPr>
        <w:t>For</w:t>
      </w:r>
      <w:r w:rsidR="00312544" w:rsidRPr="00146AE1">
        <w:rPr>
          <w:szCs w:val="24"/>
        </w:rPr>
        <w:t xml:space="preserve"> example, an increasingly positive indicator of </w:t>
      </w:r>
      <w:r w:rsidR="00312544" w:rsidRPr="00146AE1">
        <w:rPr>
          <w:szCs w:val="24"/>
        </w:rPr>
        <w:t>‘</w:t>
      </w:r>
      <w:r w:rsidR="00312544" w:rsidRPr="00146AE1">
        <w:rPr>
          <w:szCs w:val="24"/>
        </w:rPr>
        <w:t xml:space="preserve">qualification pass rates’ may </w:t>
      </w:r>
      <w:r w:rsidR="00CD2F79">
        <w:rPr>
          <w:szCs w:val="24"/>
        </w:rPr>
        <w:t>well be indicative</w:t>
      </w:r>
      <w:r w:rsidR="00CD2F79" w:rsidRPr="00146AE1">
        <w:rPr>
          <w:szCs w:val="24"/>
        </w:rPr>
        <w:t xml:space="preserve"> </w:t>
      </w:r>
      <w:r w:rsidR="00CD2F79">
        <w:rPr>
          <w:szCs w:val="24"/>
        </w:rPr>
        <w:t>of</w:t>
      </w:r>
      <w:r w:rsidR="00CD2F79" w:rsidRPr="00146AE1">
        <w:rPr>
          <w:szCs w:val="24"/>
        </w:rPr>
        <w:t xml:space="preserve"> a school’s desired outcome</w:t>
      </w:r>
      <w:r w:rsidR="00756750">
        <w:rPr>
          <w:szCs w:val="24"/>
        </w:rPr>
        <w:t>s that lead to</w:t>
      </w:r>
      <w:r w:rsidR="00CD2F79" w:rsidRPr="00146AE1">
        <w:rPr>
          <w:szCs w:val="24"/>
        </w:rPr>
        <w:t xml:space="preserve"> a body of well-</w:t>
      </w:r>
      <w:r w:rsidR="00756750">
        <w:rPr>
          <w:szCs w:val="24"/>
        </w:rPr>
        <w:t>informed and skilled</w:t>
      </w:r>
      <w:r w:rsidR="00CD2F79" w:rsidRPr="00146AE1">
        <w:rPr>
          <w:szCs w:val="24"/>
        </w:rPr>
        <w:t xml:space="preserve"> graduates</w:t>
      </w:r>
      <w:r w:rsidR="00CD2F79">
        <w:rPr>
          <w:szCs w:val="24"/>
        </w:rPr>
        <w:t>. However, it would</w:t>
      </w:r>
      <w:r w:rsidR="00312544" w:rsidRPr="00146AE1">
        <w:rPr>
          <w:szCs w:val="24"/>
        </w:rPr>
        <w:t xml:space="preserve"> not </w:t>
      </w:r>
      <w:r w:rsidR="00CD2F79">
        <w:rPr>
          <w:szCs w:val="24"/>
        </w:rPr>
        <w:t xml:space="preserve">be </w:t>
      </w:r>
      <w:r w:rsidR="00312544" w:rsidRPr="00146AE1">
        <w:rPr>
          <w:szCs w:val="24"/>
        </w:rPr>
        <w:t>wholly determinative of it</w:t>
      </w:r>
      <w:r w:rsidR="00CD2F79">
        <w:rPr>
          <w:szCs w:val="24"/>
        </w:rPr>
        <w:t>:</w:t>
      </w:r>
      <w:r w:rsidR="00312544" w:rsidRPr="00146AE1">
        <w:rPr>
          <w:szCs w:val="24"/>
        </w:rPr>
        <w:t xml:space="preserve"> </w:t>
      </w:r>
      <w:r w:rsidR="00CD2F79">
        <w:rPr>
          <w:szCs w:val="24"/>
        </w:rPr>
        <w:t>achieving the said outcome</w:t>
      </w:r>
      <w:r w:rsidR="00756750">
        <w:rPr>
          <w:szCs w:val="24"/>
        </w:rPr>
        <w:t>s</w:t>
      </w:r>
      <w:r w:rsidR="00CD2F79">
        <w:rPr>
          <w:szCs w:val="24"/>
        </w:rPr>
        <w:t xml:space="preserve"> </w:t>
      </w:r>
      <w:r w:rsidR="00312544" w:rsidRPr="00146AE1">
        <w:rPr>
          <w:szCs w:val="24"/>
        </w:rPr>
        <w:t xml:space="preserve">would </w:t>
      </w:r>
      <w:r w:rsidR="00CD2F79">
        <w:rPr>
          <w:szCs w:val="24"/>
        </w:rPr>
        <w:t>depend on</w:t>
      </w:r>
      <w:r w:rsidR="00312544" w:rsidRPr="00146AE1">
        <w:rPr>
          <w:szCs w:val="24"/>
        </w:rPr>
        <w:t xml:space="preserve"> the </w:t>
      </w:r>
      <w:r w:rsidR="00CD2F79">
        <w:rPr>
          <w:szCs w:val="24"/>
        </w:rPr>
        <w:t>type</w:t>
      </w:r>
      <w:r w:rsidR="00CD2F79" w:rsidRPr="00146AE1">
        <w:rPr>
          <w:szCs w:val="24"/>
        </w:rPr>
        <w:t xml:space="preserve"> </w:t>
      </w:r>
      <w:r w:rsidR="00312544" w:rsidRPr="00146AE1">
        <w:rPr>
          <w:szCs w:val="24"/>
        </w:rPr>
        <w:t>of the qualification</w:t>
      </w:r>
      <w:r w:rsidR="00CD2F79">
        <w:rPr>
          <w:szCs w:val="24"/>
        </w:rPr>
        <w:t>,</w:t>
      </w:r>
      <w:r w:rsidR="00312544" w:rsidRPr="00146AE1">
        <w:rPr>
          <w:szCs w:val="24"/>
        </w:rPr>
        <w:t xml:space="preserve"> </w:t>
      </w:r>
      <w:r w:rsidR="00CD2F79">
        <w:rPr>
          <w:szCs w:val="24"/>
        </w:rPr>
        <w:t xml:space="preserve">on </w:t>
      </w:r>
      <w:r w:rsidR="00312544" w:rsidRPr="00146AE1">
        <w:rPr>
          <w:szCs w:val="24"/>
        </w:rPr>
        <w:t xml:space="preserve">the </w:t>
      </w:r>
      <w:r w:rsidR="00CD2F79">
        <w:rPr>
          <w:szCs w:val="24"/>
        </w:rPr>
        <w:t xml:space="preserve">skill level required to </w:t>
      </w:r>
      <w:r w:rsidR="00312544" w:rsidRPr="00146AE1">
        <w:rPr>
          <w:szCs w:val="24"/>
        </w:rPr>
        <w:t xml:space="preserve">gain it, </w:t>
      </w:r>
      <w:r w:rsidR="00CD2F79">
        <w:rPr>
          <w:szCs w:val="24"/>
        </w:rPr>
        <w:t>and on</w:t>
      </w:r>
      <w:r w:rsidR="00312544" w:rsidRPr="00146AE1">
        <w:rPr>
          <w:szCs w:val="24"/>
        </w:rPr>
        <w:t xml:space="preserve"> a qualitative assessment of the </w:t>
      </w:r>
      <w:r w:rsidR="00CD2F79">
        <w:rPr>
          <w:szCs w:val="24"/>
        </w:rPr>
        <w:t>qualification’s</w:t>
      </w:r>
      <w:r w:rsidR="00CD2F79" w:rsidRPr="00146AE1">
        <w:rPr>
          <w:szCs w:val="24"/>
        </w:rPr>
        <w:t xml:space="preserve"> </w:t>
      </w:r>
      <w:r w:rsidR="00312544" w:rsidRPr="00146AE1">
        <w:rPr>
          <w:szCs w:val="24"/>
        </w:rPr>
        <w:t>recipients.</w:t>
      </w:r>
      <w:r w:rsidR="00312544" w:rsidRPr="00146AE1">
        <w:rPr>
          <w:szCs w:val="24"/>
          <w:vertAlign w:val="superscript"/>
        </w:rPr>
        <w:footnoteReference w:id="108"/>
      </w:r>
      <w:r w:rsidR="00312544" w:rsidRPr="00146AE1">
        <w:rPr>
          <w:szCs w:val="24"/>
        </w:rPr>
        <w:t xml:space="preserve"> </w:t>
      </w:r>
      <w:r w:rsidR="00375817">
        <w:rPr>
          <w:szCs w:val="24"/>
        </w:rPr>
        <w:t xml:space="preserve"> </w:t>
      </w:r>
      <w:r w:rsidR="00312544" w:rsidRPr="00146AE1">
        <w:rPr>
          <w:szCs w:val="24"/>
        </w:rPr>
        <w:t xml:space="preserve">Such </w:t>
      </w:r>
      <w:r w:rsidR="00B43595">
        <w:rPr>
          <w:szCs w:val="24"/>
        </w:rPr>
        <w:t>con</w:t>
      </w:r>
      <w:r w:rsidR="00312544" w:rsidRPr="00146AE1">
        <w:rPr>
          <w:szCs w:val="24"/>
        </w:rPr>
        <w:t xml:space="preserve">fusion between output and outcome </w:t>
      </w:r>
      <w:r w:rsidR="00375817">
        <w:rPr>
          <w:szCs w:val="24"/>
        </w:rPr>
        <w:t xml:space="preserve">can </w:t>
      </w:r>
      <w:r w:rsidR="00B43595">
        <w:rPr>
          <w:szCs w:val="24"/>
        </w:rPr>
        <w:t>lead</w:t>
      </w:r>
      <w:r w:rsidR="00375817">
        <w:rPr>
          <w:szCs w:val="24"/>
        </w:rPr>
        <w:t xml:space="preserve"> the OTP</w:t>
      </w:r>
      <w:r w:rsidR="00312544" w:rsidRPr="00146AE1">
        <w:rPr>
          <w:szCs w:val="24"/>
        </w:rPr>
        <w:t xml:space="preserve"> </w:t>
      </w:r>
      <w:r w:rsidR="00B43595">
        <w:rPr>
          <w:szCs w:val="24"/>
        </w:rPr>
        <w:t>to lose</w:t>
      </w:r>
      <w:r w:rsidR="00B43595" w:rsidRPr="00146AE1">
        <w:rPr>
          <w:szCs w:val="24"/>
        </w:rPr>
        <w:t xml:space="preserve"> </w:t>
      </w:r>
      <w:r w:rsidR="00312544" w:rsidRPr="00146AE1">
        <w:rPr>
          <w:szCs w:val="24"/>
        </w:rPr>
        <w:t>sight of outcomes</w:t>
      </w:r>
      <w:r w:rsidR="00B43595">
        <w:rPr>
          <w:szCs w:val="24"/>
        </w:rPr>
        <w:t>,</w:t>
      </w:r>
      <w:r w:rsidR="00312544" w:rsidRPr="00146AE1">
        <w:rPr>
          <w:szCs w:val="24"/>
        </w:rPr>
        <w:t xml:space="preserve"> </w:t>
      </w:r>
      <w:r w:rsidR="00375817">
        <w:rPr>
          <w:szCs w:val="24"/>
        </w:rPr>
        <w:t>further</w:t>
      </w:r>
      <w:r w:rsidR="00A21AB9">
        <w:rPr>
          <w:szCs w:val="24"/>
        </w:rPr>
        <w:t xml:space="preserve"> reduc</w:t>
      </w:r>
      <w:r w:rsidR="00375817">
        <w:rPr>
          <w:szCs w:val="24"/>
        </w:rPr>
        <w:t>ing</w:t>
      </w:r>
      <w:r w:rsidR="00A21AB9">
        <w:rPr>
          <w:szCs w:val="24"/>
        </w:rPr>
        <w:t xml:space="preserve"> attention towards them</w:t>
      </w:r>
      <w:r w:rsidR="00312544" w:rsidRPr="00146AE1">
        <w:rPr>
          <w:szCs w:val="24"/>
        </w:rPr>
        <w:t xml:space="preserve">. </w:t>
      </w:r>
      <w:r w:rsidR="005F116E">
        <w:rPr>
          <w:szCs w:val="24"/>
        </w:rPr>
        <w:t>Moreover,</w:t>
      </w:r>
      <w:r w:rsidR="00375817">
        <w:rPr>
          <w:szCs w:val="24"/>
        </w:rPr>
        <w:t xml:space="preserve"> the importance of </w:t>
      </w:r>
      <w:r w:rsidR="00312544" w:rsidRPr="00146AE1">
        <w:rPr>
          <w:szCs w:val="24"/>
        </w:rPr>
        <w:t>output performance</w:t>
      </w:r>
      <w:r w:rsidR="005F116E">
        <w:rPr>
          <w:szCs w:val="24"/>
        </w:rPr>
        <w:t xml:space="preserve"> may be overestimated, at the expense</w:t>
      </w:r>
      <w:r w:rsidR="00312544" w:rsidRPr="00146AE1">
        <w:rPr>
          <w:szCs w:val="24"/>
        </w:rPr>
        <w:t xml:space="preserve"> of normative discussions about the </w:t>
      </w:r>
      <w:r w:rsidR="005F116E">
        <w:rPr>
          <w:szCs w:val="24"/>
        </w:rPr>
        <w:t xml:space="preserve">most appropriate </w:t>
      </w:r>
      <w:r w:rsidR="00312544" w:rsidRPr="00146AE1">
        <w:rPr>
          <w:szCs w:val="24"/>
        </w:rPr>
        <w:t>outcomes of prosecut</w:t>
      </w:r>
      <w:r w:rsidR="005F116E">
        <w:rPr>
          <w:szCs w:val="24"/>
        </w:rPr>
        <w:t>orial</w:t>
      </w:r>
      <w:r w:rsidR="00312544" w:rsidRPr="00146AE1">
        <w:rPr>
          <w:szCs w:val="24"/>
        </w:rPr>
        <w:t xml:space="preserve"> decisions</w:t>
      </w:r>
      <w:r w:rsidR="0049709A">
        <w:rPr>
          <w:szCs w:val="24"/>
        </w:rPr>
        <w:t>.</w:t>
      </w:r>
      <w:r w:rsidR="00312544" w:rsidRPr="00146AE1">
        <w:rPr>
          <w:szCs w:val="24"/>
          <w:vertAlign w:val="superscript"/>
        </w:rPr>
        <w:footnoteReference w:id="109"/>
      </w:r>
      <w:r w:rsidR="0049709A">
        <w:rPr>
          <w:szCs w:val="24"/>
        </w:rPr>
        <w:t xml:space="preserve"> </w:t>
      </w:r>
    </w:p>
    <w:p w:rsidR="00312544" w:rsidRPr="00146AE1" w:rsidRDefault="00530930">
      <w:pPr>
        <w:jc w:val="both"/>
        <w:rPr>
          <w:szCs w:val="24"/>
        </w:rPr>
      </w:pPr>
      <w:r>
        <w:rPr>
          <w:rFonts w:cs="Times New Roman"/>
          <w:szCs w:val="24"/>
        </w:rPr>
        <w:tab/>
      </w:r>
      <w:r w:rsidR="00A94FFA">
        <w:rPr>
          <w:rFonts w:cs="Times New Roman"/>
          <w:szCs w:val="24"/>
        </w:rPr>
        <w:t xml:space="preserve">Second, </w:t>
      </w:r>
      <w:r w:rsidR="00312544" w:rsidRPr="00146AE1">
        <w:rPr>
          <w:rFonts w:cs="Times New Roman"/>
          <w:szCs w:val="24"/>
        </w:rPr>
        <w:t xml:space="preserve">in the absence of </w:t>
      </w:r>
      <w:r w:rsidR="00A94FFA">
        <w:rPr>
          <w:rFonts w:cs="Times New Roman"/>
          <w:szCs w:val="24"/>
        </w:rPr>
        <w:t>meaningful engagement</w:t>
      </w:r>
      <w:r w:rsidR="00A94FFA" w:rsidRPr="00146AE1">
        <w:rPr>
          <w:rFonts w:cs="Times New Roman"/>
          <w:szCs w:val="24"/>
        </w:rPr>
        <w:t xml:space="preserve"> </w:t>
      </w:r>
      <w:r w:rsidR="00312544" w:rsidRPr="00146AE1">
        <w:rPr>
          <w:rFonts w:cs="Times New Roman"/>
          <w:szCs w:val="24"/>
        </w:rPr>
        <w:t xml:space="preserve">with outcomes, the OTP embodies </w:t>
      </w:r>
      <w:r w:rsidR="001A49D8">
        <w:rPr>
          <w:rFonts w:cs="Times New Roman"/>
          <w:szCs w:val="24"/>
        </w:rPr>
        <w:t>precisely what Martti Koskenniemi describe</w:t>
      </w:r>
      <w:r w:rsidR="00D73665">
        <w:rPr>
          <w:rFonts w:cs="Times New Roman"/>
          <w:szCs w:val="24"/>
        </w:rPr>
        <w:t>s</w:t>
      </w:r>
      <w:r w:rsidR="001A49D8">
        <w:rPr>
          <w:rFonts w:cs="Times New Roman"/>
          <w:szCs w:val="24"/>
        </w:rPr>
        <w:t xml:space="preserve"> as</w:t>
      </w:r>
      <w:r w:rsidR="00312544" w:rsidRPr="00146AE1">
        <w:rPr>
          <w:rFonts w:cs="Times New Roman"/>
          <w:szCs w:val="24"/>
        </w:rPr>
        <w:t xml:space="preserve"> </w:t>
      </w:r>
      <w:r w:rsidR="001A49D8">
        <w:rPr>
          <w:rFonts w:cs="Times New Roman"/>
          <w:szCs w:val="24"/>
        </w:rPr>
        <w:t>‘</w:t>
      </w:r>
      <w:r w:rsidR="00312544" w:rsidRPr="00146AE1">
        <w:rPr>
          <w:rFonts w:cs="Times New Roman"/>
          <w:szCs w:val="24"/>
        </w:rPr>
        <w:t>managerialism</w:t>
      </w:r>
      <w:r w:rsidR="001A49D8">
        <w:rPr>
          <w:rFonts w:cs="Times New Roman"/>
          <w:szCs w:val="24"/>
        </w:rPr>
        <w:t>’</w:t>
      </w:r>
      <w:r w:rsidR="00312544" w:rsidRPr="00146AE1">
        <w:rPr>
          <w:rFonts w:cs="Times New Roman"/>
          <w:szCs w:val="24"/>
        </w:rPr>
        <w:t>. For Koskenniemi</w:t>
      </w:r>
      <w:r w:rsidR="001A49D8">
        <w:rPr>
          <w:rFonts w:cs="Times New Roman"/>
          <w:szCs w:val="24"/>
        </w:rPr>
        <w:t>,</w:t>
      </w:r>
      <w:r w:rsidR="00312544" w:rsidRPr="00146AE1">
        <w:rPr>
          <w:rFonts w:cs="Times New Roman"/>
          <w:szCs w:val="24"/>
        </w:rPr>
        <w:t xml:space="preserve"> managerialism </w:t>
      </w:r>
      <w:r w:rsidR="001A49D8">
        <w:rPr>
          <w:rFonts w:cs="Times New Roman"/>
          <w:szCs w:val="24"/>
        </w:rPr>
        <w:t>is an approach whereby decision-makers’ attention is focused on compliance with certain rules, rather than on the reasons for the very existence of such rules.</w:t>
      </w:r>
      <w:r w:rsidR="001A49D8" w:rsidRPr="00146AE1">
        <w:rPr>
          <w:rFonts w:cs="Times New Roman"/>
          <w:szCs w:val="24"/>
          <w:vertAlign w:val="superscript"/>
        </w:rPr>
        <w:footnoteReference w:id="110"/>
      </w:r>
      <w:r w:rsidR="001A49D8">
        <w:rPr>
          <w:rFonts w:cs="Times New Roman"/>
          <w:szCs w:val="24"/>
        </w:rPr>
        <w:t xml:space="preserve"> Consequently,</w:t>
      </w:r>
      <w:r w:rsidR="00312544" w:rsidRPr="00146AE1">
        <w:rPr>
          <w:rFonts w:cs="Times New Roman"/>
          <w:szCs w:val="24"/>
        </w:rPr>
        <w:t xml:space="preserve"> </w:t>
      </w:r>
      <w:r w:rsidR="006168AF">
        <w:rPr>
          <w:rFonts w:cs="Times New Roman"/>
          <w:szCs w:val="24"/>
        </w:rPr>
        <w:t xml:space="preserve">achievement of the intended institutional </w:t>
      </w:r>
      <w:r w:rsidR="00312544" w:rsidRPr="00146AE1">
        <w:rPr>
          <w:rFonts w:cs="Times New Roman"/>
          <w:szCs w:val="24"/>
        </w:rPr>
        <w:t xml:space="preserve">outcomes </w:t>
      </w:r>
      <w:r w:rsidR="006168AF">
        <w:rPr>
          <w:rFonts w:cs="Times New Roman"/>
          <w:szCs w:val="24"/>
        </w:rPr>
        <w:t>is</w:t>
      </w:r>
      <w:r w:rsidR="00312544" w:rsidRPr="00146AE1">
        <w:rPr>
          <w:rFonts w:cs="Times New Roman"/>
          <w:szCs w:val="24"/>
        </w:rPr>
        <w:t xml:space="preserve"> simply assumed due to the </w:t>
      </w:r>
      <w:r w:rsidR="006168AF">
        <w:rPr>
          <w:rFonts w:cs="Times New Roman"/>
          <w:szCs w:val="24"/>
        </w:rPr>
        <w:t>mere</w:t>
      </w:r>
      <w:r w:rsidR="006168AF" w:rsidRPr="00146AE1">
        <w:rPr>
          <w:rFonts w:cs="Times New Roman"/>
          <w:szCs w:val="24"/>
        </w:rPr>
        <w:t xml:space="preserve"> </w:t>
      </w:r>
      <w:r w:rsidR="006168AF">
        <w:rPr>
          <w:rFonts w:cs="Times New Roman"/>
          <w:szCs w:val="24"/>
        </w:rPr>
        <w:t>functioning</w:t>
      </w:r>
      <w:r w:rsidR="006168AF" w:rsidRPr="00146AE1">
        <w:rPr>
          <w:rFonts w:cs="Times New Roman"/>
          <w:szCs w:val="24"/>
        </w:rPr>
        <w:t xml:space="preserve"> </w:t>
      </w:r>
      <w:r w:rsidR="00312544" w:rsidRPr="00146AE1">
        <w:rPr>
          <w:rFonts w:cs="Times New Roman"/>
          <w:szCs w:val="24"/>
        </w:rPr>
        <w:t xml:space="preserve">of the institution. In these environments, the only concern is optimising </w:t>
      </w:r>
      <w:r w:rsidR="00312544" w:rsidRPr="00146AE1">
        <w:rPr>
          <w:rFonts w:cs="Times New Roman"/>
          <w:szCs w:val="24"/>
        </w:rPr>
        <w:t>performance towards concrete results</w:t>
      </w:r>
      <w:r w:rsidR="006168AF">
        <w:rPr>
          <w:rFonts w:cs="Times New Roman"/>
          <w:szCs w:val="24"/>
        </w:rPr>
        <w:t xml:space="preserve"> – </w:t>
      </w:r>
      <w:r w:rsidR="00312544" w:rsidRPr="00146AE1">
        <w:rPr>
          <w:rFonts w:cs="Times New Roman"/>
          <w:szCs w:val="24"/>
        </w:rPr>
        <w:t>further</w:t>
      </w:r>
      <w:r w:rsidR="006168AF">
        <w:rPr>
          <w:rFonts w:cs="Times New Roman"/>
          <w:szCs w:val="24"/>
        </w:rPr>
        <w:t>ing</w:t>
      </w:r>
      <w:r w:rsidR="00312544" w:rsidRPr="00146AE1">
        <w:rPr>
          <w:rFonts w:cs="Times New Roman"/>
          <w:szCs w:val="24"/>
        </w:rPr>
        <w:t xml:space="preserve"> a generic and undefined purpose</w:t>
      </w:r>
      <w:r w:rsidR="006168AF">
        <w:rPr>
          <w:rFonts w:cs="Times New Roman"/>
          <w:szCs w:val="24"/>
        </w:rPr>
        <w:t xml:space="preserve"> –</w:t>
      </w:r>
      <w:r w:rsidR="006168AF" w:rsidRPr="00146AE1">
        <w:rPr>
          <w:rFonts w:cs="Times New Roman"/>
          <w:szCs w:val="24"/>
        </w:rPr>
        <w:t xml:space="preserve"> </w:t>
      </w:r>
      <w:r w:rsidR="006168AF">
        <w:rPr>
          <w:rFonts w:cs="Times New Roman"/>
          <w:szCs w:val="24"/>
        </w:rPr>
        <w:t xml:space="preserve">through </w:t>
      </w:r>
      <w:r w:rsidR="006168AF">
        <w:rPr>
          <w:rFonts w:cs="Times New Roman"/>
          <w:szCs w:val="24"/>
        </w:rPr>
        <w:t>the increasing</w:t>
      </w:r>
      <w:r w:rsidR="006168AF" w:rsidRPr="00146AE1">
        <w:rPr>
          <w:rFonts w:cs="Times New Roman"/>
          <w:szCs w:val="24"/>
        </w:rPr>
        <w:t xml:space="preserve"> </w:t>
      </w:r>
      <w:r w:rsidR="006168AF">
        <w:rPr>
          <w:rFonts w:cs="Times New Roman"/>
          <w:szCs w:val="24"/>
        </w:rPr>
        <w:t>employment of</w:t>
      </w:r>
      <w:r w:rsidR="00312544" w:rsidRPr="00146AE1">
        <w:rPr>
          <w:rFonts w:cs="Times New Roman"/>
          <w:szCs w:val="24"/>
        </w:rPr>
        <w:t xml:space="preserve"> </w:t>
      </w:r>
      <w:r w:rsidR="00D73665">
        <w:rPr>
          <w:rFonts w:cs="Times New Roman"/>
          <w:szCs w:val="24"/>
        </w:rPr>
        <w:t xml:space="preserve">internal </w:t>
      </w:r>
      <w:r w:rsidR="00312544" w:rsidRPr="00146AE1">
        <w:rPr>
          <w:szCs w:val="24"/>
        </w:rPr>
        <w:t>expertise, resources and administrative vocabular</w:t>
      </w:r>
      <w:r w:rsidR="00D73665">
        <w:rPr>
          <w:szCs w:val="24"/>
        </w:rPr>
        <w:t>ies</w:t>
      </w:r>
      <w:r w:rsidR="00312544" w:rsidRPr="00146AE1">
        <w:rPr>
          <w:szCs w:val="24"/>
        </w:rPr>
        <w:t>.</w:t>
      </w:r>
      <w:r w:rsidR="00312544" w:rsidRPr="00146AE1">
        <w:rPr>
          <w:szCs w:val="24"/>
          <w:vertAlign w:val="superscript"/>
        </w:rPr>
        <w:footnoteReference w:id="111"/>
      </w:r>
      <w:r w:rsidR="00312544" w:rsidRPr="00146AE1">
        <w:rPr>
          <w:szCs w:val="24"/>
        </w:rPr>
        <w:t xml:space="preserve"> </w:t>
      </w:r>
      <w:r w:rsidR="00276B65">
        <w:rPr>
          <w:szCs w:val="24"/>
        </w:rPr>
        <w:t>Inasmuch as t</w:t>
      </w:r>
      <w:r w:rsidR="00312544" w:rsidRPr="00146AE1">
        <w:rPr>
          <w:szCs w:val="24"/>
        </w:rPr>
        <w:t xml:space="preserve">he OTP’s performance indicators </w:t>
      </w:r>
      <w:r w:rsidR="00276B65">
        <w:rPr>
          <w:szCs w:val="24"/>
        </w:rPr>
        <w:t>are</w:t>
      </w:r>
      <w:r w:rsidR="00D73665">
        <w:rPr>
          <w:szCs w:val="24"/>
        </w:rPr>
        <w:t xml:space="preserve"> an</w:t>
      </w:r>
      <w:r w:rsidR="00276B65">
        <w:rPr>
          <w:szCs w:val="24"/>
        </w:rPr>
        <w:t xml:space="preserve"> expression of</w:t>
      </w:r>
      <w:r w:rsidR="00276B65" w:rsidRPr="00146AE1">
        <w:rPr>
          <w:szCs w:val="24"/>
        </w:rPr>
        <w:t xml:space="preserve"> </w:t>
      </w:r>
      <w:r w:rsidR="00312544" w:rsidRPr="00146AE1">
        <w:rPr>
          <w:szCs w:val="24"/>
        </w:rPr>
        <w:t>this version of managerialism</w:t>
      </w:r>
      <w:r w:rsidR="00756750">
        <w:rPr>
          <w:szCs w:val="24"/>
        </w:rPr>
        <w:t>,</w:t>
      </w:r>
      <w:r w:rsidR="00312544" w:rsidRPr="00146AE1">
        <w:rPr>
          <w:szCs w:val="24"/>
        </w:rPr>
        <w:t xml:space="preserve"> </w:t>
      </w:r>
      <w:r w:rsidR="00276B65">
        <w:rPr>
          <w:szCs w:val="24"/>
        </w:rPr>
        <w:t>they</w:t>
      </w:r>
      <w:r w:rsidR="00756750">
        <w:rPr>
          <w:szCs w:val="24"/>
        </w:rPr>
        <w:t xml:space="preserve"> </w:t>
      </w:r>
      <w:r w:rsidR="00FE4FAF">
        <w:rPr>
          <w:szCs w:val="24"/>
        </w:rPr>
        <w:t xml:space="preserve">perversely </w:t>
      </w:r>
      <w:r w:rsidR="00756750">
        <w:rPr>
          <w:szCs w:val="24"/>
        </w:rPr>
        <w:t>introduce</w:t>
      </w:r>
      <w:r w:rsidR="00312544" w:rsidRPr="00146AE1">
        <w:rPr>
          <w:szCs w:val="24"/>
        </w:rPr>
        <w:t xml:space="preserve"> a degree of myopia about the inherent complexity </w:t>
      </w:r>
      <w:r w:rsidR="00756750">
        <w:rPr>
          <w:szCs w:val="24"/>
        </w:rPr>
        <w:t>of</w:t>
      </w:r>
      <w:r w:rsidR="00756750" w:rsidRPr="00146AE1">
        <w:rPr>
          <w:szCs w:val="24"/>
        </w:rPr>
        <w:t xml:space="preserve"> </w:t>
      </w:r>
      <w:r w:rsidR="00312544" w:rsidRPr="00146AE1">
        <w:rPr>
          <w:szCs w:val="24"/>
        </w:rPr>
        <w:t xml:space="preserve">achieving outcomes. </w:t>
      </w:r>
      <w:r w:rsidR="007C27E4">
        <w:rPr>
          <w:szCs w:val="24"/>
        </w:rPr>
        <w:t xml:space="preserve">The fact </w:t>
      </w:r>
      <w:r w:rsidR="00756750">
        <w:rPr>
          <w:szCs w:val="24"/>
        </w:rPr>
        <w:t>th</w:t>
      </w:r>
      <w:r w:rsidR="007C27E4">
        <w:rPr>
          <w:szCs w:val="24"/>
        </w:rPr>
        <w:t>at</w:t>
      </w:r>
      <w:r w:rsidR="00756750">
        <w:rPr>
          <w:szCs w:val="24"/>
        </w:rPr>
        <w:t xml:space="preserve"> </w:t>
      </w:r>
      <w:r w:rsidR="007C27E4">
        <w:rPr>
          <w:szCs w:val="24"/>
        </w:rPr>
        <w:t xml:space="preserve">current </w:t>
      </w:r>
      <w:r w:rsidR="00756750">
        <w:rPr>
          <w:szCs w:val="24"/>
        </w:rPr>
        <w:t>indicators give exclusive</w:t>
      </w:r>
      <w:r w:rsidR="00312544" w:rsidRPr="00146AE1">
        <w:rPr>
          <w:szCs w:val="24"/>
        </w:rPr>
        <w:t xml:space="preserve"> priority to prosecution outputs exaggerate</w:t>
      </w:r>
      <w:r w:rsidR="007C27E4">
        <w:rPr>
          <w:szCs w:val="24"/>
        </w:rPr>
        <w:t>s</w:t>
      </w:r>
      <w:r w:rsidR="00312544" w:rsidRPr="00146AE1">
        <w:rPr>
          <w:szCs w:val="24"/>
        </w:rPr>
        <w:t xml:space="preserve"> their very utility</w:t>
      </w:r>
      <w:r w:rsidR="009E61E9">
        <w:rPr>
          <w:szCs w:val="24"/>
        </w:rPr>
        <w:t xml:space="preserve">. </w:t>
      </w:r>
      <w:r w:rsidR="00312544" w:rsidRPr="00146AE1">
        <w:rPr>
          <w:szCs w:val="24"/>
        </w:rPr>
        <w:t xml:space="preserve">This </w:t>
      </w:r>
      <w:r w:rsidR="007C27E4">
        <w:rPr>
          <w:szCs w:val="24"/>
        </w:rPr>
        <w:t xml:space="preserve">is </w:t>
      </w:r>
      <w:r w:rsidR="009E61E9">
        <w:rPr>
          <w:szCs w:val="24"/>
        </w:rPr>
        <w:t xml:space="preserve">what </w:t>
      </w:r>
      <w:r w:rsidR="007F0061">
        <w:rPr>
          <w:szCs w:val="24"/>
        </w:rPr>
        <w:t>psychologists</w:t>
      </w:r>
      <w:r w:rsidR="009E61E9">
        <w:rPr>
          <w:szCs w:val="24"/>
        </w:rPr>
        <w:t xml:space="preserve"> </w:t>
      </w:r>
      <w:r w:rsidR="007C27E4">
        <w:rPr>
          <w:szCs w:val="24"/>
        </w:rPr>
        <w:t xml:space="preserve">would </w:t>
      </w:r>
      <w:r w:rsidR="007F0061">
        <w:rPr>
          <w:szCs w:val="24"/>
        </w:rPr>
        <w:t xml:space="preserve">label </w:t>
      </w:r>
      <w:r w:rsidR="007C27E4">
        <w:rPr>
          <w:szCs w:val="24"/>
        </w:rPr>
        <w:t>as ‘</w:t>
      </w:r>
      <w:r w:rsidR="009E61E9">
        <w:rPr>
          <w:szCs w:val="24"/>
        </w:rPr>
        <w:t>the law of the instrument</w:t>
      </w:r>
      <w:r w:rsidR="007C27E4">
        <w:rPr>
          <w:szCs w:val="24"/>
        </w:rPr>
        <w:t>’</w:t>
      </w:r>
      <w:r w:rsidR="00664D24">
        <w:rPr>
          <w:szCs w:val="24"/>
        </w:rPr>
        <w:t>:</w:t>
      </w:r>
      <w:r w:rsidR="009E61E9">
        <w:rPr>
          <w:szCs w:val="24"/>
        </w:rPr>
        <w:t xml:space="preserve"> </w:t>
      </w:r>
      <w:r w:rsidR="00312544" w:rsidRPr="00146AE1">
        <w:rPr>
          <w:szCs w:val="24"/>
        </w:rPr>
        <w:t>‘</w:t>
      </w:r>
      <w:r w:rsidR="00664D24" w:rsidRPr="00664D24">
        <w:rPr>
          <w:szCs w:val="24"/>
        </w:rPr>
        <w:t xml:space="preserve">it is tempting, if the only tool you have is a hammer, to treat </w:t>
      </w:r>
      <w:r w:rsidR="00664D24">
        <w:rPr>
          <w:szCs w:val="24"/>
        </w:rPr>
        <w:t>everything as if it were a nail</w:t>
      </w:r>
      <w:r w:rsidR="0056350B">
        <w:rPr>
          <w:szCs w:val="24"/>
        </w:rPr>
        <w:t>’</w:t>
      </w:r>
      <w:r w:rsidR="00D0354A">
        <w:rPr>
          <w:szCs w:val="24"/>
        </w:rPr>
        <w:t>.</w:t>
      </w:r>
      <w:r w:rsidR="009E61E9" w:rsidRPr="003A38FE">
        <w:rPr>
          <w:rStyle w:val="FootnoteReference"/>
          <w:sz w:val="24"/>
          <w:szCs w:val="24"/>
        </w:rPr>
        <w:footnoteReference w:id="112"/>
      </w:r>
      <w:r w:rsidR="00312544" w:rsidRPr="00146AE1">
        <w:rPr>
          <w:szCs w:val="24"/>
        </w:rPr>
        <w:t xml:space="preserve"> </w:t>
      </w:r>
      <w:r w:rsidR="00B27716">
        <w:rPr>
          <w:szCs w:val="24"/>
        </w:rPr>
        <w:t>T</w:t>
      </w:r>
      <w:r w:rsidR="00312544" w:rsidRPr="00146AE1">
        <w:rPr>
          <w:szCs w:val="24"/>
        </w:rPr>
        <w:t>he Prosecutor</w:t>
      </w:r>
      <w:r w:rsidR="00B27716">
        <w:rPr>
          <w:szCs w:val="24"/>
        </w:rPr>
        <w:t xml:space="preserve"> may </w:t>
      </w:r>
      <w:r w:rsidR="00D0354A">
        <w:rPr>
          <w:szCs w:val="24"/>
        </w:rPr>
        <w:t>be tempted</w:t>
      </w:r>
      <w:r w:rsidR="00B90DE6">
        <w:rPr>
          <w:szCs w:val="24"/>
        </w:rPr>
        <w:t xml:space="preserve"> to </w:t>
      </w:r>
      <w:r w:rsidR="00B27716">
        <w:rPr>
          <w:szCs w:val="24"/>
        </w:rPr>
        <w:t>think that</w:t>
      </w:r>
      <w:r w:rsidR="00B90DE6">
        <w:rPr>
          <w:szCs w:val="24"/>
        </w:rPr>
        <w:t>, in order</w:t>
      </w:r>
      <w:r w:rsidR="00B27716">
        <w:rPr>
          <w:szCs w:val="24"/>
        </w:rPr>
        <w:t xml:space="preserve"> to achieve the desired outcomes</w:t>
      </w:r>
      <w:r w:rsidR="00B90DE6">
        <w:rPr>
          <w:szCs w:val="24"/>
        </w:rPr>
        <w:t xml:space="preserve">, it is sufficient </w:t>
      </w:r>
      <w:r w:rsidR="00B27716">
        <w:rPr>
          <w:szCs w:val="24"/>
        </w:rPr>
        <w:t>to use her</w:t>
      </w:r>
      <w:r w:rsidR="00312544" w:rsidRPr="00146AE1">
        <w:rPr>
          <w:szCs w:val="24"/>
        </w:rPr>
        <w:t xml:space="preserve"> </w:t>
      </w:r>
      <w:r w:rsidR="00B27716">
        <w:rPr>
          <w:szCs w:val="24"/>
        </w:rPr>
        <w:t>‘</w:t>
      </w:r>
      <w:r w:rsidR="00C90075">
        <w:rPr>
          <w:szCs w:val="24"/>
        </w:rPr>
        <w:t>hammer</w:t>
      </w:r>
      <w:r w:rsidR="00B27716">
        <w:rPr>
          <w:szCs w:val="24"/>
        </w:rPr>
        <w:t>’</w:t>
      </w:r>
      <w:r w:rsidR="00C90075">
        <w:rPr>
          <w:szCs w:val="24"/>
        </w:rPr>
        <w:t xml:space="preserve"> (</w:t>
      </w:r>
      <w:r w:rsidR="00B27716">
        <w:rPr>
          <w:szCs w:val="24"/>
        </w:rPr>
        <w:t xml:space="preserve">i.e. </w:t>
      </w:r>
      <w:r w:rsidR="00C90075">
        <w:rPr>
          <w:szCs w:val="24"/>
        </w:rPr>
        <w:t xml:space="preserve">the power to conduct investigations and </w:t>
      </w:r>
      <w:r w:rsidR="00312544" w:rsidRPr="00146AE1">
        <w:rPr>
          <w:szCs w:val="24"/>
        </w:rPr>
        <w:t>prosecutions</w:t>
      </w:r>
      <w:r w:rsidR="00C90075">
        <w:rPr>
          <w:szCs w:val="24"/>
        </w:rPr>
        <w:t>)</w:t>
      </w:r>
      <w:r w:rsidR="00312544" w:rsidRPr="00146AE1">
        <w:rPr>
          <w:szCs w:val="24"/>
        </w:rPr>
        <w:t xml:space="preserve"> </w:t>
      </w:r>
      <w:r w:rsidR="003A38FE">
        <w:rPr>
          <w:szCs w:val="24"/>
        </w:rPr>
        <w:t>and ‘</w:t>
      </w:r>
      <w:r w:rsidR="00312544" w:rsidRPr="00146AE1">
        <w:rPr>
          <w:szCs w:val="24"/>
        </w:rPr>
        <w:t>strik</w:t>
      </w:r>
      <w:r w:rsidR="003A38FE">
        <w:rPr>
          <w:szCs w:val="24"/>
        </w:rPr>
        <w:t>e</w:t>
      </w:r>
      <w:r w:rsidR="00312544" w:rsidRPr="00146AE1">
        <w:rPr>
          <w:szCs w:val="24"/>
        </w:rPr>
        <w:t xml:space="preserve"> nails</w:t>
      </w:r>
      <w:r w:rsidR="003A38FE">
        <w:rPr>
          <w:szCs w:val="24"/>
        </w:rPr>
        <w:t>’</w:t>
      </w:r>
      <w:r w:rsidR="00CE0295">
        <w:rPr>
          <w:szCs w:val="24"/>
        </w:rPr>
        <w:t xml:space="preserve"> </w:t>
      </w:r>
      <w:r w:rsidR="00B27716">
        <w:rPr>
          <w:szCs w:val="24"/>
        </w:rPr>
        <w:t>(</w:t>
      </w:r>
      <w:r w:rsidR="00CE0295">
        <w:rPr>
          <w:szCs w:val="24"/>
        </w:rPr>
        <w:t>i.e.</w:t>
      </w:r>
      <w:r w:rsidR="00756750">
        <w:rPr>
          <w:szCs w:val="24"/>
        </w:rPr>
        <w:t xml:space="preserve"> </w:t>
      </w:r>
      <w:r w:rsidR="00B27716">
        <w:rPr>
          <w:szCs w:val="24"/>
        </w:rPr>
        <w:t xml:space="preserve">actually carry out </w:t>
      </w:r>
      <w:r w:rsidR="00B90DE6">
        <w:rPr>
          <w:szCs w:val="24"/>
        </w:rPr>
        <w:t xml:space="preserve">successful investigations and </w:t>
      </w:r>
      <w:r w:rsidR="00B27716">
        <w:rPr>
          <w:szCs w:val="24"/>
        </w:rPr>
        <w:t>prosecutions</w:t>
      </w:r>
      <w:r w:rsidR="00B90DE6">
        <w:rPr>
          <w:szCs w:val="24"/>
        </w:rPr>
        <w:t>).</w:t>
      </w:r>
      <w:r w:rsidR="00B27716">
        <w:rPr>
          <w:szCs w:val="24"/>
        </w:rPr>
        <w:t xml:space="preserve"> </w:t>
      </w:r>
      <w:r w:rsidR="00312544" w:rsidRPr="00146AE1">
        <w:rPr>
          <w:szCs w:val="24"/>
        </w:rPr>
        <w:t xml:space="preserve">However, as the OTP </w:t>
      </w:r>
      <w:r w:rsidR="00DE049F">
        <w:rPr>
          <w:szCs w:val="24"/>
        </w:rPr>
        <w:t xml:space="preserve">itself </w:t>
      </w:r>
      <w:r w:rsidR="00312544" w:rsidRPr="00146AE1">
        <w:rPr>
          <w:szCs w:val="24"/>
        </w:rPr>
        <w:t xml:space="preserve">has </w:t>
      </w:r>
      <w:r w:rsidR="00DE049F">
        <w:rPr>
          <w:szCs w:val="24"/>
        </w:rPr>
        <w:t>recognized when addressing</w:t>
      </w:r>
      <w:r w:rsidR="00312544" w:rsidRPr="00146AE1">
        <w:rPr>
          <w:szCs w:val="24"/>
        </w:rPr>
        <w:t xml:space="preserve"> causation </w:t>
      </w:r>
      <w:r w:rsidR="00DE049F">
        <w:rPr>
          <w:szCs w:val="24"/>
        </w:rPr>
        <w:t>complexity</w:t>
      </w:r>
      <w:r w:rsidR="00312544" w:rsidRPr="00146AE1">
        <w:rPr>
          <w:szCs w:val="24"/>
        </w:rPr>
        <w:t xml:space="preserve">, international criminal prosecutions are </w:t>
      </w:r>
      <w:r w:rsidR="00DE049F">
        <w:rPr>
          <w:szCs w:val="24"/>
        </w:rPr>
        <w:t xml:space="preserve">not the </w:t>
      </w:r>
      <w:r w:rsidR="00312544" w:rsidRPr="00146AE1">
        <w:rPr>
          <w:szCs w:val="24"/>
        </w:rPr>
        <w:t xml:space="preserve">only </w:t>
      </w:r>
      <w:r w:rsidR="00DE049F">
        <w:rPr>
          <w:szCs w:val="24"/>
        </w:rPr>
        <w:t>means</w:t>
      </w:r>
      <w:r w:rsidR="00312544" w:rsidRPr="00146AE1">
        <w:rPr>
          <w:szCs w:val="24"/>
        </w:rPr>
        <w:t xml:space="preserve"> towards achieving </w:t>
      </w:r>
      <w:r w:rsidR="00DE049F">
        <w:rPr>
          <w:szCs w:val="24"/>
        </w:rPr>
        <w:t>those outcomes</w:t>
      </w:r>
      <w:r w:rsidR="00312544" w:rsidRPr="00146AE1">
        <w:rPr>
          <w:szCs w:val="24"/>
        </w:rPr>
        <w:t>.</w:t>
      </w:r>
      <w:r w:rsidR="007F0061">
        <w:rPr>
          <w:szCs w:val="24"/>
        </w:rPr>
        <w:t xml:space="preserve"> On the</w:t>
      </w:r>
      <w:r w:rsidR="00312544" w:rsidRPr="00146AE1">
        <w:rPr>
          <w:szCs w:val="24"/>
        </w:rPr>
        <w:t xml:space="preserve"> </w:t>
      </w:r>
      <w:r w:rsidR="00DE049F">
        <w:rPr>
          <w:szCs w:val="24"/>
        </w:rPr>
        <w:t xml:space="preserve">contrary, for example, </w:t>
      </w:r>
      <w:r w:rsidR="00EE0872">
        <w:rPr>
          <w:szCs w:val="24"/>
        </w:rPr>
        <w:t>prosecutions can work within</w:t>
      </w:r>
      <w:r w:rsidR="00312544" w:rsidRPr="00146AE1">
        <w:rPr>
          <w:szCs w:val="24"/>
        </w:rPr>
        <w:t xml:space="preserve"> </w:t>
      </w:r>
      <w:r w:rsidR="00EE0872">
        <w:rPr>
          <w:szCs w:val="24"/>
        </w:rPr>
        <w:t>c</w:t>
      </w:r>
      <w:r w:rsidR="00DE049F">
        <w:rPr>
          <w:szCs w:val="24"/>
        </w:rPr>
        <w:t>onflict-</w:t>
      </w:r>
      <w:r w:rsidR="00312544" w:rsidRPr="00146AE1">
        <w:rPr>
          <w:szCs w:val="24"/>
        </w:rPr>
        <w:t>resolution strategies</w:t>
      </w:r>
      <w:r w:rsidR="00EE0872">
        <w:rPr>
          <w:szCs w:val="24"/>
        </w:rPr>
        <w:t xml:space="preserve"> and alongside other transitional justice mechanisms.</w:t>
      </w:r>
      <w:r w:rsidR="00312544" w:rsidRPr="00146AE1">
        <w:rPr>
          <w:rStyle w:val="FootnoteReference"/>
          <w:sz w:val="24"/>
          <w:szCs w:val="24"/>
        </w:rPr>
        <w:footnoteReference w:id="113"/>
      </w:r>
      <w:r w:rsidR="00312544" w:rsidRPr="00146AE1">
        <w:rPr>
          <w:szCs w:val="24"/>
        </w:rPr>
        <w:t xml:space="preserve"> Thus, the OTP </w:t>
      </w:r>
      <w:r w:rsidR="0049108B">
        <w:rPr>
          <w:szCs w:val="24"/>
        </w:rPr>
        <w:t>creates</w:t>
      </w:r>
      <w:r w:rsidR="00F835F0">
        <w:rPr>
          <w:szCs w:val="24"/>
        </w:rPr>
        <w:t xml:space="preserve"> </w:t>
      </w:r>
      <w:r w:rsidR="00EE0872">
        <w:rPr>
          <w:szCs w:val="24"/>
        </w:rPr>
        <w:t xml:space="preserve">a </w:t>
      </w:r>
      <w:r w:rsidR="0049108B">
        <w:rPr>
          <w:szCs w:val="24"/>
        </w:rPr>
        <w:t>paradox</w:t>
      </w:r>
      <w:r w:rsidR="002A0559">
        <w:rPr>
          <w:szCs w:val="24"/>
        </w:rPr>
        <w:t xml:space="preserve">: </w:t>
      </w:r>
      <w:r w:rsidR="00312544" w:rsidRPr="00146AE1">
        <w:rPr>
          <w:szCs w:val="24"/>
        </w:rPr>
        <w:t xml:space="preserve">on </w:t>
      </w:r>
      <w:r w:rsidR="00F835F0">
        <w:rPr>
          <w:szCs w:val="24"/>
        </w:rPr>
        <w:t xml:space="preserve">one hand </w:t>
      </w:r>
      <w:r w:rsidR="002A0559">
        <w:rPr>
          <w:szCs w:val="24"/>
        </w:rPr>
        <w:t xml:space="preserve">it </w:t>
      </w:r>
      <w:r w:rsidR="00312544" w:rsidRPr="00146AE1">
        <w:rPr>
          <w:szCs w:val="24"/>
        </w:rPr>
        <w:t>refus</w:t>
      </w:r>
      <w:r w:rsidR="002A0559">
        <w:rPr>
          <w:szCs w:val="24"/>
        </w:rPr>
        <w:t>es</w:t>
      </w:r>
      <w:r w:rsidR="00312544" w:rsidRPr="00146AE1">
        <w:rPr>
          <w:szCs w:val="24"/>
        </w:rPr>
        <w:t xml:space="preserve"> to engage with outcomes because of</w:t>
      </w:r>
      <w:r w:rsidR="00F835F0">
        <w:rPr>
          <w:szCs w:val="24"/>
        </w:rPr>
        <w:t xml:space="preserve"> perceived causation complexity</w:t>
      </w:r>
      <w:r w:rsidR="002A0559">
        <w:rPr>
          <w:szCs w:val="24"/>
        </w:rPr>
        <w:t xml:space="preserve">; </w:t>
      </w:r>
      <w:r w:rsidR="00F835F0">
        <w:rPr>
          <w:szCs w:val="24"/>
        </w:rPr>
        <w:t>on the other</w:t>
      </w:r>
      <w:r w:rsidR="00273058">
        <w:rPr>
          <w:szCs w:val="24"/>
        </w:rPr>
        <w:t xml:space="preserve">, </w:t>
      </w:r>
      <w:r w:rsidR="002A0559">
        <w:rPr>
          <w:szCs w:val="24"/>
        </w:rPr>
        <w:t xml:space="preserve">it </w:t>
      </w:r>
      <w:r w:rsidR="00312544" w:rsidRPr="00146AE1">
        <w:rPr>
          <w:szCs w:val="24"/>
        </w:rPr>
        <w:t>develop</w:t>
      </w:r>
      <w:r w:rsidR="002A0559">
        <w:rPr>
          <w:szCs w:val="24"/>
        </w:rPr>
        <w:t>s</w:t>
      </w:r>
      <w:r w:rsidR="00312544" w:rsidRPr="00146AE1">
        <w:rPr>
          <w:szCs w:val="24"/>
        </w:rPr>
        <w:t xml:space="preserve"> indicators that reduce the </w:t>
      </w:r>
      <w:r w:rsidR="00F835F0">
        <w:rPr>
          <w:szCs w:val="24"/>
        </w:rPr>
        <w:t xml:space="preserve">outcomes’ </w:t>
      </w:r>
      <w:r w:rsidR="00312544" w:rsidRPr="00146AE1">
        <w:rPr>
          <w:szCs w:val="24"/>
        </w:rPr>
        <w:t>complexity by</w:t>
      </w:r>
      <w:r w:rsidR="00756750">
        <w:rPr>
          <w:szCs w:val="24"/>
        </w:rPr>
        <w:t xml:space="preserve"> </w:t>
      </w:r>
      <w:r w:rsidR="0049108B">
        <w:rPr>
          <w:szCs w:val="24"/>
        </w:rPr>
        <w:t>implicitly</w:t>
      </w:r>
      <w:r w:rsidR="00312544" w:rsidRPr="00146AE1">
        <w:rPr>
          <w:szCs w:val="24"/>
        </w:rPr>
        <w:t xml:space="preserve"> assuming they are a </w:t>
      </w:r>
      <w:r w:rsidR="00F835F0">
        <w:rPr>
          <w:szCs w:val="24"/>
        </w:rPr>
        <w:t xml:space="preserve">natural </w:t>
      </w:r>
      <w:r w:rsidR="00EE0872">
        <w:rPr>
          <w:szCs w:val="24"/>
        </w:rPr>
        <w:t xml:space="preserve">extension </w:t>
      </w:r>
      <w:r w:rsidR="00F835F0">
        <w:rPr>
          <w:szCs w:val="24"/>
        </w:rPr>
        <w:t>of prosecutorial</w:t>
      </w:r>
      <w:r w:rsidR="00312544" w:rsidRPr="00146AE1">
        <w:rPr>
          <w:szCs w:val="24"/>
        </w:rPr>
        <w:t xml:space="preserve"> success.</w:t>
      </w:r>
    </w:p>
    <w:p w:rsidR="00FE4FAF" w:rsidRPr="00146AE1" w:rsidRDefault="00375817">
      <w:pPr>
        <w:jc w:val="both"/>
        <w:rPr>
          <w:szCs w:val="24"/>
        </w:rPr>
      </w:pPr>
      <w:r>
        <w:rPr>
          <w:szCs w:val="24"/>
        </w:rPr>
        <w:tab/>
      </w:r>
      <w:r w:rsidR="00312544" w:rsidRPr="00146AE1">
        <w:rPr>
          <w:szCs w:val="24"/>
        </w:rPr>
        <w:t xml:space="preserve">To </w:t>
      </w:r>
      <w:r w:rsidR="00273058" w:rsidRPr="00146AE1">
        <w:rPr>
          <w:szCs w:val="24"/>
        </w:rPr>
        <w:t>summari</w:t>
      </w:r>
      <w:r w:rsidR="00273058">
        <w:rPr>
          <w:szCs w:val="24"/>
        </w:rPr>
        <w:t>z</w:t>
      </w:r>
      <w:r w:rsidR="00273058" w:rsidRPr="00146AE1">
        <w:rPr>
          <w:szCs w:val="24"/>
        </w:rPr>
        <w:t>e</w:t>
      </w:r>
      <w:r w:rsidR="00312544" w:rsidRPr="00146AE1">
        <w:rPr>
          <w:szCs w:val="24"/>
        </w:rPr>
        <w:t xml:space="preserve">, the absence of performance indicators targeting prosecution effectiveness lies, first and foremost, in the OTP’s fundamental lack of clarity in defining their outcomes. Furthermore, by juxtaposing effectiveness with its output indicators, the Prosecutor has </w:t>
      </w:r>
      <w:r w:rsidR="008F377A">
        <w:rPr>
          <w:szCs w:val="24"/>
        </w:rPr>
        <w:t xml:space="preserve">merged outputs with outcomes, </w:t>
      </w:r>
      <w:r w:rsidR="00312544" w:rsidRPr="00146AE1">
        <w:rPr>
          <w:szCs w:val="24"/>
        </w:rPr>
        <w:t xml:space="preserve">further valorising the former while devaluing the latter. This not only exaggerates </w:t>
      </w:r>
      <w:r w:rsidR="008F377A">
        <w:rPr>
          <w:szCs w:val="24"/>
        </w:rPr>
        <w:t xml:space="preserve">the misconception of international criminal </w:t>
      </w:r>
      <w:r w:rsidR="00312544" w:rsidRPr="00146AE1">
        <w:rPr>
          <w:szCs w:val="24"/>
        </w:rPr>
        <w:t>prosecutions as a panacea</w:t>
      </w:r>
      <w:r w:rsidR="008F377A">
        <w:rPr>
          <w:szCs w:val="24"/>
        </w:rPr>
        <w:t xml:space="preserve"> to the world’s problems,</w:t>
      </w:r>
      <w:r w:rsidR="00312544" w:rsidRPr="00146AE1">
        <w:rPr>
          <w:szCs w:val="24"/>
        </w:rPr>
        <w:t xml:space="preserve"> but it </w:t>
      </w:r>
      <w:r w:rsidR="008F377A">
        <w:rPr>
          <w:szCs w:val="24"/>
        </w:rPr>
        <w:t>over</w:t>
      </w:r>
      <w:r w:rsidR="00312544" w:rsidRPr="00146AE1">
        <w:rPr>
          <w:szCs w:val="24"/>
        </w:rPr>
        <w:t>simpli</w:t>
      </w:r>
      <w:r w:rsidR="008F377A">
        <w:rPr>
          <w:szCs w:val="24"/>
        </w:rPr>
        <w:t>fies</w:t>
      </w:r>
      <w:r w:rsidR="00312544" w:rsidRPr="00146AE1">
        <w:rPr>
          <w:szCs w:val="24"/>
        </w:rPr>
        <w:t xml:space="preserve"> outcomes and naively treat</w:t>
      </w:r>
      <w:r w:rsidR="008F377A">
        <w:rPr>
          <w:szCs w:val="24"/>
        </w:rPr>
        <w:t>s</w:t>
      </w:r>
      <w:r w:rsidR="00312544" w:rsidRPr="00146AE1">
        <w:rPr>
          <w:szCs w:val="24"/>
        </w:rPr>
        <w:t xml:space="preserve"> them as</w:t>
      </w:r>
      <w:r w:rsidR="00EE0872">
        <w:rPr>
          <w:szCs w:val="24"/>
        </w:rPr>
        <w:t xml:space="preserve"> a </w:t>
      </w:r>
      <w:r w:rsidR="00273058">
        <w:rPr>
          <w:szCs w:val="24"/>
        </w:rPr>
        <w:t>spillover</w:t>
      </w:r>
      <w:r w:rsidR="00312544" w:rsidRPr="00146AE1">
        <w:rPr>
          <w:szCs w:val="24"/>
        </w:rPr>
        <w:t xml:space="preserve"> </w:t>
      </w:r>
      <w:r w:rsidR="006D1877">
        <w:rPr>
          <w:szCs w:val="24"/>
        </w:rPr>
        <w:t xml:space="preserve">of </w:t>
      </w:r>
      <w:r w:rsidR="008F377A">
        <w:rPr>
          <w:szCs w:val="24"/>
        </w:rPr>
        <w:t>prosecutorial</w:t>
      </w:r>
      <w:r w:rsidR="00312544" w:rsidRPr="00146AE1">
        <w:rPr>
          <w:szCs w:val="24"/>
        </w:rPr>
        <w:t xml:space="preserve"> successes.</w:t>
      </w:r>
    </w:p>
    <w:p w:rsidR="00EE0872" w:rsidRPr="00146AE1" w:rsidRDefault="00EE0872">
      <w:pPr>
        <w:jc w:val="both"/>
        <w:rPr>
          <w:szCs w:val="24"/>
        </w:rPr>
      </w:pPr>
    </w:p>
    <w:p w:rsidR="00312544" w:rsidRPr="00146AE1" w:rsidRDefault="001B55DE">
      <w:pPr>
        <w:jc w:val="both"/>
        <w:rPr>
          <w:b/>
          <w:szCs w:val="24"/>
        </w:rPr>
      </w:pPr>
      <w:r w:rsidRPr="00146AE1">
        <w:rPr>
          <w:b/>
          <w:szCs w:val="24"/>
        </w:rPr>
        <w:t xml:space="preserve">3. </w:t>
      </w:r>
      <w:r w:rsidR="00312544" w:rsidRPr="00146AE1">
        <w:rPr>
          <w:b/>
          <w:szCs w:val="24"/>
        </w:rPr>
        <w:t xml:space="preserve">Conclusion and </w:t>
      </w:r>
      <w:r w:rsidR="008D3729" w:rsidRPr="00146AE1">
        <w:rPr>
          <w:b/>
          <w:szCs w:val="24"/>
        </w:rPr>
        <w:t>Recommendations</w:t>
      </w:r>
      <w:r w:rsidR="00312544" w:rsidRPr="00146AE1">
        <w:rPr>
          <w:b/>
          <w:szCs w:val="24"/>
        </w:rPr>
        <w:t xml:space="preserve"> </w:t>
      </w:r>
    </w:p>
    <w:p w:rsidR="0011469E" w:rsidRDefault="00312544">
      <w:pPr>
        <w:jc w:val="both"/>
        <w:rPr>
          <w:szCs w:val="24"/>
        </w:rPr>
      </w:pPr>
      <w:r w:rsidRPr="00146AE1">
        <w:rPr>
          <w:szCs w:val="24"/>
        </w:rPr>
        <w:t>Performance measurement has long attracted criticism from many quarters. Andrew Natsios once pithily warned against ‘obsessive measurement disorder’</w:t>
      </w:r>
      <w:r w:rsidR="0011469E">
        <w:rPr>
          <w:szCs w:val="24"/>
        </w:rPr>
        <w:t xml:space="preserve"> </w:t>
      </w:r>
      <w:r w:rsidR="007E5BAC">
        <w:rPr>
          <w:rFonts w:cs="Times New Roman"/>
          <w:szCs w:val="24"/>
        </w:rPr>
        <w:t>—</w:t>
      </w:r>
      <w:r w:rsidR="0011469E">
        <w:rPr>
          <w:szCs w:val="24"/>
        </w:rPr>
        <w:t xml:space="preserve"> </w:t>
      </w:r>
      <w:r w:rsidRPr="00146AE1">
        <w:rPr>
          <w:szCs w:val="24"/>
        </w:rPr>
        <w:t xml:space="preserve">a flawed belief that incessant </w:t>
      </w:r>
      <w:r w:rsidRPr="00146AE1">
        <w:rPr>
          <w:szCs w:val="24"/>
        </w:rPr>
        <w:t>monitoring and measurement will improve policy effectiveness.</w:t>
      </w:r>
      <w:r w:rsidRPr="00146AE1">
        <w:rPr>
          <w:rStyle w:val="FootnoteReference"/>
          <w:sz w:val="24"/>
          <w:szCs w:val="24"/>
        </w:rPr>
        <w:footnoteReference w:id="114"/>
      </w:r>
      <w:r w:rsidRPr="00146AE1">
        <w:rPr>
          <w:szCs w:val="24"/>
        </w:rPr>
        <w:t xml:space="preserve"> In contrast</w:t>
      </w:r>
      <w:r w:rsidR="0011469E">
        <w:rPr>
          <w:szCs w:val="24"/>
        </w:rPr>
        <w:t>,</w:t>
      </w:r>
      <w:r w:rsidRPr="00146AE1">
        <w:rPr>
          <w:szCs w:val="24"/>
        </w:rPr>
        <w:t xml:space="preserve"> this article has not argued that performance</w:t>
      </w:r>
      <w:r w:rsidR="0011469E">
        <w:rPr>
          <w:szCs w:val="24"/>
        </w:rPr>
        <w:t xml:space="preserve"> measurement is futile</w:t>
      </w:r>
      <w:r w:rsidRPr="00146AE1">
        <w:rPr>
          <w:szCs w:val="24"/>
        </w:rPr>
        <w:t xml:space="preserve"> or, </w:t>
      </w:r>
      <w:r w:rsidR="0011469E">
        <w:rPr>
          <w:szCs w:val="24"/>
        </w:rPr>
        <w:t>even further</w:t>
      </w:r>
      <w:r w:rsidRPr="00146AE1">
        <w:rPr>
          <w:szCs w:val="24"/>
        </w:rPr>
        <w:t xml:space="preserve">, that the OTP’s efforts at developing indicators ought to be abandoned. </w:t>
      </w:r>
      <w:r w:rsidR="0011469E">
        <w:rPr>
          <w:szCs w:val="24"/>
        </w:rPr>
        <w:t>It is</w:t>
      </w:r>
      <w:r w:rsidRPr="00146AE1">
        <w:rPr>
          <w:szCs w:val="24"/>
        </w:rPr>
        <w:t xml:space="preserve"> inescapable that performance indicators continue to be viewed as indispensable. </w:t>
      </w:r>
      <w:r w:rsidR="0011469E">
        <w:rPr>
          <w:szCs w:val="24"/>
        </w:rPr>
        <w:t>T</w:t>
      </w:r>
      <w:r w:rsidRPr="00146AE1">
        <w:rPr>
          <w:szCs w:val="24"/>
        </w:rPr>
        <w:t xml:space="preserve">he OTP has </w:t>
      </w:r>
      <w:r w:rsidR="0011469E">
        <w:rPr>
          <w:szCs w:val="24"/>
        </w:rPr>
        <w:t xml:space="preserve">even </w:t>
      </w:r>
      <w:r w:rsidRPr="00146AE1">
        <w:rPr>
          <w:szCs w:val="24"/>
        </w:rPr>
        <w:t>declared that its current indicators are only a pragmatic start-up and, with more experience, it will refine and potentially e</w:t>
      </w:r>
      <w:r w:rsidR="0011469E">
        <w:rPr>
          <w:szCs w:val="24"/>
        </w:rPr>
        <w:t>xpand their number.</w:t>
      </w:r>
      <w:r w:rsidRPr="00146AE1">
        <w:rPr>
          <w:szCs w:val="24"/>
          <w:vertAlign w:val="superscript"/>
        </w:rPr>
        <w:footnoteReference w:id="115"/>
      </w:r>
      <w:r w:rsidRPr="00146AE1">
        <w:rPr>
          <w:szCs w:val="24"/>
        </w:rPr>
        <w:t xml:space="preserve"> This </w:t>
      </w:r>
      <w:r w:rsidR="0011469E">
        <w:rPr>
          <w:szCs w:val="24"/>
        </w:rPr>
        <w:t>will</w:t>
      </w:r>
      <w:r w:rsidRPr="00146AE1">
        <w:rPr>
          <w:szCs w:val="24"/>
        </w:rPr>
        <w:t xml:space="preserve"> likely be the case for the development of </w:t>
      </w:r>
      <w:r w:rsidR="0011469E" w:rsidRPr="00146AE1">
        <w:rPr>
          <w:szCs w:val="24"/>
        </w:rPr>
        <w:t xml:space="preserve">Court-wide </w:t>
      </w:r>
      <w:r w:rsidRPr="00146AE1">
        <w:rPr>
          <w:szCs w:val="24"/>
        </w:rPr>
        <w:t>performance indicators</w:t>
      </w:r>
      <w:r w:rsidR="0011469E">
        <w:rPr>
          <w:szCs w:val="24"/>
        </w:rPr>
        <w:t>,</w:t>
      </w:r>
      <w:r w:rsidRPr="00146AE1">
        <w:rPr>
          <w:szCs w:val="24"/>
        </w:rPr>
        <w:t xml:space="preserve"> too.</w:t>
      </w:r>
      <w:r w:rsidRPr="00146AE1">
        <w:rPr>
          <w:rStyle w:val="FootnoteReference"/>
          <w:sz w:val="24"/>
          <w:szCs w:val="24"/>
        </w:rPr>
        <w:footnoteReference w:id="116"/>
      </w:r>
      <w:r w:rsidRPr="00146AE1">
        <w:rPr>
          <w:szCs w:val="24"/>
        </w:rPr>
        <w:t xml:space="preserve"> </w:t>
      </w:r>
      <w:r w:rsidR="0011469E">
        <w:rPr>
          <w:szCs w:val="24"/>
        </w:rPr>
        <w:t>Hence,</w:t>
      </w:r>
      <w:r w:rsidRPr="00146AE1">
        <w:rPr>
          <w:szCs w:val="24"/>
        </w:rPr>
        <w:t xml:space="preserve"> the question is not whether to measure</w:t>
      </w:r>
      <w:r w:rsidR="0011469E">
        <w:rPr>
          <w:szCs w:val="24"/>
        </w:rPr>
        <w:t xml:space="preserve"> performance</w:t>
      </w:r>
      <w:r w:rsidRPr="00146AE1">
        <w:rPr>
          <w:szCs w:val="24"/>
        </w:rPr>
        <w:t xml:space="preserve">, but what to measure </w:t>
      </w:r>
      <w:r w:rsidR="0011469E">
        <w:rPr>
          <w:szCs w:val="24"/>
        </w:rPr>
        <w:t xml:space="preserve">exactly </w:t>
      </w:r>
      <w:r w:rsidRPr="00146AE1">
        <w:rPr>
          <w:szCs w:val="24"/>
        </w:rPr>
        <w:t xml:space="preserve">and how best to </w:t>
      </w:r>
      <w:r w:rsidR="0011469E">
        <w:rPr>
          <w:szCs w:val="24"/>
        </w:rPr>
        <w:t>do it.</w:t>
      </w:r>
    </w:p>
    <w:p w:rsidR="00312544" w:rsidRPr="00146AE1" w:rsidRDefault="00375817">
      <w:pPr>
        <w:jc w:val="both"/>
        <w:rPr>
          <w:szCs w:val="24"/>
        </w:rPr>
      </w:pPr>
      <w:r>
        <w:rPr>
          <w:szCs w:val="24"/>
        </w:rPr>
        <w:tab/>
      </w:r>
      <w:r w:rsidR="00312544" w:rsidRPr="00146AE1">
        <w:rPr>
          <w:szCs w:val="24"/>
        </w:rPr>
        <w:t>In this light, this article</w:t>
      </w:r>
      <w:r w:rsidR="003A5E90">
        <w:rPr>
          <w:szCs w:val="24"/>
        </w:rPr>
        <w:t>’s</w:t>
      </w:r>
      <w:r w:rsidR="00312544" w:rsidRPr="00146AE1">
        <w:rPr>
          <w:szCs w:val="24"/>
        </w:rPr>
        <w:t xml:space="preserve"> </w:t>
      </w:r>
      <w:r w:rsidR="003A5E90" w:rsidRPr="00146AE1">
        <w:rPr>
          <w:szCs w:val="24"/>
        </w:rPr>
        <w:t xml:space="preserve">intent </w:t>
      </w:r>
      <w:r w:rsidR="00312544" w:rsidRPr="00146AE1">
        <w:rPr>
          <w:szCs w:val="24"/>
        </w:rPr>
        <w:t xml:space="preserve">was to </w:t>
      </w:r>
      <w:r w:rsidR="007D1F3A">
        <w:rPr>
          <w:szCs w:val="24"/>
        </w:rPr>
        <w:t>stimulate a</w:t>
      </w:r>
      <w:r w:rsidR="00312544" w:rsidRPr="00146AE1">
        <w:rPr>
          <w:szCs w:val="24"/>
        </w:rPr>
        <w:t xml:space="preserve"> conversation about the OTP’s performance indicators. </w:t>
      </w:r>
      <w:r w:rsidR="00095F2A">
        <w:rPr>
          <w:szCs w:val="24"/>
        </w:rPr>
        <w:t xml:space="preserve">Current </w:t>
      </w:r>
      <w:r w:rsidR="00312544" w:rsidRPr="00146AE1">
        <w:rPr>
          <w:szCs w:val="24"/>
        </w:rPr>
        <w:t xml:space="preserve">OTP performance indicators are exclusively output-focused, </w:t>
      </w:r>
      <w:r w:rsidR="00095F2A">
        <w:rPr>
          <w:szCs w:val="24"/>
        </w:rPr>
        <w:t xml:space="preserve">overlooking the need to </w:t>
      </w:r>
      <w:r w:rsidR="00312544" w:rsidRPr="00146AE1">
        <w:rPr>
          <w:szCs w:val="24"/>
        </w:rPr>
        <w:t>measure the</w:t>
      </w:r>
      <w:r w:rsidR="00095F2A">
        <w:rPr>
          <w:szCs w:val="24"/>
        </w:rPr>
        <w:t xml:space="preserve"> OTP’s</w:t>
      </w:r>
      <w:r w:rsidR="00312544" w:rsidRPr="00146AE1">
        <w:rPr>
          <w:szCs w:val="24"/>
        </w:rPr>
        <w:t xml:space="preserve"> effectiveness </w:t>
      </w:r>
      <w:r w:rsidR="00095F2A">
        <w:rPr>
          <w:szCs w:val="24"/>
        </w:rPr>
        <w:t>in achieving certain</w:t>
      </w:r>
      <w:r w:rsidR="00095F2A" w:rsidRPr="00146AE1">
        <w:rPr>
          <w:szCs w:val="24"/>
        </w:rPr>
        <w:t xml:space="preserve"> </w:t>
      </w:r>
      <w:r w:rsidR="00312544" w:rsidRPr="00146AE1">
        <w:rPr>
          <w:szCs w:val="24"/>
        </w:rPr>
        <w:t>outcomes.</w:t>
      </w:r>
      <w:r w:rsidR="00F40D07">
        <w:rPr>
          <w:szCs w:val="24"/>
        </w:rPr>
        <w:t xml:space="preserve"> First,</w:t>
      </w:r>
      <w:r w:rsidR="00312544" w:rsidRPr="00146AE1">
        <w:rPr>
          <w:szCs w:val="24"/>
        </w:rPr>
        <w:t xml:space="preserve"> </w:t>
      </w:r>
      <w:r w:rsidR="00F40D07">
        <w:rPr>
          <w:szCs w:val="24"/>
        </w:rPr>
        <w:t>t</w:t>
      </w:r>
      <w:r w:rsidR="00312544" w:rsidRPr="00146AE1">
        <w:rPr>
          <w:szCs w:val="24"/>
        </w:rPr>
        <w:t>he current regime of indicators</w:t>
      </w:r>
      <w:r w:rsidR="00F40D07">
        <w:rPr>
          <w:szCs w:val="24"/>
        </w:rPr>
        <w:t xml:space="preserve"> </w:t>
      </w:r>
      <w:r w:rsidR="00312544" w:rsidRPr="00146AE1">
        <w:rPr>
          <w:szCs w:val="24"/>
        </w:rPr>
        <w:t xml:space="preserve">risks shifting the </w:t>
      </w:r>
      <w:r w:rsidR="00095F2A" w:rsidRPr="00146AE1">
        <w:rPr>
          <w:szCs w:val="24"/>
        </w:rPr>
        <w:t>Prosecutor</w:t>
      </w:r>
      <w:r w:rsidR="00095F2A">
        <w:rPr>
          <w:szCs w:val="24"/>
        </w:rPr>
        <w:t>’s</w:t>
      </w:r>
      <w:r w:rsidR="00095F2A" w:rsidRPr="00146AE1">
        <w:rPr>
          <w:szCs w:val="24"/>
        </w:rPr>
        <w:t xml:space="preserve"> </w:t>
      </w:r>
      <w:r w:rsidR="00312544" w:rsidRPr="00146AE1">
        <w:rPr>
          <w:szCs w:val="24"/>
        </w:rPr>
        <w:t>professional identity to that of a private entrepreneur, one who is focused on demonstrating financially auditable improvements to the ASP</w:t>
      </w:r>
      <w:r w:rsidR="00F40D07">
        <w:rPr>
          <w:szCs w:val="24"/>
        </w:rPr>
        <w:t xml:space="preserve">. Second, the indicators </w:t>
      </w:r>
      <w:r w:rsidR="00312544" w:rsidRPr="00146AE1">
        <w:rPr>
          <w:szCs w:val="24"/>
        </w:rPr>
        <w:t xml:space="preserve">privilege </w:t>
      </w:r>
      <w:r w:rsidR="00F40D07">
        <w:rPr>
          <w:szCs w:val="24"/>
        </w:rPr>
        <w:t>concern for prosecution</w:t>
      </w:r>
      <w:r w:rsidR="00F40D07" w:rsidRPr="00146AE1">
        <w:rPr>
          <w:szCs w:val="24"/>
        </w:rPr>
        <w:t xml:space="preserve"> </w:t>
      </w:r>
      <w:r w:rsidR="00312544" w:rsidRPr="00146AE1">
        <w:rPr>
          <w:szCs w:val="24"/>
        </w:rPr>
        <w:t>efficiency in terms of their number and quality</w:t>
      </w:r>
      <w:r w:rsidR="000B15E4">
        <w:rPr>
          <w:szCs w:val="24"/>
        </w:rPr>
        <w:t xml:space="preserve">. </w:t>
      </w:r>
      <w:r w:rsidR="00312544" w:rsidRPr="00146AE1">
        <w:rPr>
          <w:szCs w:val="24"/>
        </w:rPr>
        <w:t>Finally, the absence of effectiveness indicators is fundamentally due to the OTP’s lack</w:t>
      </w:r>
      <w:r w:rsidR="000B15E4">
        <w:rPr>
          <w:szCs w:val="24"/>
        </w:rPr>
        <w:t xml:space="preserve"> </w:t>
      </w:r>
      <w:r w:rsidR="00312544" w:rsidRPr="00146AE1">
        <w:rPr>
          <w:szCs w:val="24"/>
        </w:rPr>
        <w:t xml:space="preserve">of clarity in defining the </w:t>
      </w:r>
      <w:r w:rsidR="00095F2A">
        <w:rPr>
          <w:szCs w:val="24"/>
        </w:rPr>
        <w:t xml:space="preserve">desired </w:t>
      </w:r>
      <w:r w:rsidR="00312544" w:rsidRPr="00146AE1">
        <w:rPr>
          <w:szCs w:val="24"/>
        </w:rPr>
        <w:t>outcomes of prosecutions</w:t>
      </w:r>
      <w:r w:rsidR="00095F2A">
        <w:rPr>
          <w:szCs w:val="24"/>
        </w:rPr>
        <w:t>, which in turn</w:t>
      </w:r>
      <w:r w:rsidR="00312544" w:rsidRPr="00146AE1">
        <w:rPr>
          <w:szCs w:val="24"/>
        </w:rPr>
        <w:t xml:space="preserve"> </w:t>
      </w:r>
      <w:r w:rsidR="00F40D07">
        <w:rPr>
          <w:szCs w:val="24"/>
        </w:rPr>
        <w:t>precedes</w:t>
      </w:r>
      <w:r w:rsidR="00095F2A">
        <w:rPr>
          <w:szCs w:val="24"/>
        </w:rPr>
        <w:t xml:space="preserve"> the</w:t>
      </w:r>
      <w:r w:rsidR="00F40D07">
        <w:rPr>
          <w:szCs w:val="24"/>
        </w:rPr>
        <w:t xml:space="preserve"> challenge of</w:t>
      </w:r>
      <w:r w:rsidR="00095F2A">
        <w:rPr>
          <w:szCs w:val="24"/>
        </w:rPr>
        <w:t xml:space="preserve"> </w:t>
      </w:r>
      <w:r w:rsidR="00F40D07">
        <w:rPr>
          <w:szCs w:val="24"/>
        </w:rPr>
        <w:t xml:space="preserve">causation, namely </w:t>
      </w:r>
      <w:r w:rsidR="00095F2A">
        <w:rPr>
          <w:szCs w:val="24"/>
        </w:rPr>
        <w:t xml:space="preserve">attributing </w:t>
      </w:r>
      <w:r w:rsidR="000B15E4">
        <w:rPr>
          <w:szCs w:val="24"/>
        </w:rPr>
        <w:t>ownership</w:t>
      </w:r>
      <w:r w:rsidR="00095F2A">
        <w:rPr>
          <w:szCs w:val="24"/>
        </w:rPr>
        <w:t xml:space="preserve"> </w:t>
      </w:r>
      <w:r w:rsidR="000B15E4">
        <w:rPr>
          <w:szCs w:val="24"/>
        </w:rPr>
        <w:t>over</w:t>
      </w:r>
      <w:r w:rsidR="00312544" w:rsidRPr="00146AE1">
        <w:rPr>
          <w:szCs w:val="24"/>
        </w:rPr>
        <w:t xml:space="preserve"> those outcomes</w:t>
      </w:r>
      <w:r w:rsidR="00095F2A">
        <w:rPr>
          <w:szCs w:val="24"/>
        </w:rPr>
        <w:t xml:space="preserve"> to the OTP</w:t>
      </w:r>
      <w:r w:rsidR="00F40D07">
        <w:rPr>
          <w:szCs w:val="24"/>
        </w:rPr>
        <w:t xml:space="preserve"> alone. T</w:t>
      </w:r>
      <w:r w:rsidR="00AD1FFD">
        <w:rPr>
          <w:szCs w:val="24"/>
        </w:rPr>
        <w:t xml:space="preserve">he Office’s </w:t>
      </w:r>
      <w:r w:rsidR="00312544" w:rsidRPr="00146AE1">
        <w:rPr>
          <w:szCs w:val="24"/>
        </w:rPr>
        <w:t xml:space="preserve">claim that prosecution results </w:t>
      </w:r>
      <w:r w:rsidR="00AD1FFD">
        <w:rPr>
          <w:szCs w:val="24"/>
        </w:rPr>
        <w:t>also measure</w:t>
      </w:r>
      <w:r w:rsidR="00F40D07">
        <w:rPr>
          <w:szCs w:val="24"/>
        </w:rPr>
        <w:t xml:space="preserve"> its</w:t>
      </w:r>
      <w:r w:rsidR="00312544" w:rsidRPr="00146AE1">
        <w:rPr>
          <w:szCs w:val="24"/>
        </w:rPr>
        <w:t xml:space="preserve"> effectiveness</w:t>
      </w:r>
      <w:r w:rsidR="00AD1FFD">
        <w:rPr>
          <w:szCs w:val="24"/>
        </w:rPr>
        <w:t>, moreover,</w:t>
      </w:r>
      <w:r w:rsidR="00AD1FFD" w:rsidRPr="00146AE1">
        <w:rPr>
          <w:szCs w:val="24"/>
        </w:rPr>
        <w:t xml:space="preserve"> </w:t>
      </w:r>
      <w:r w:rsidR="00312544" w:rsidRPr="00146AE1">
        <w:rPr>
          <w:szCs w:val="24"/>
        </w:rPr>
        <w:t>blur</w:t>
      </w:r>
      <w:r w:rsidR="00AD1FFD">
        <w:rPr>
          <w:szCs w:val="24"/>
        </w:rPr>
        <w:t>s</w:t>
      </w:r>
      <w:r w:rsidR="00312544" w:rsidRPr="00146AE1">
        <w:rPr>
          <w:szCs w:val="24"/>
        </w:rPr>
        <w:t xml:space="preserve"> the distinction between output</w:t>
      </w:r>
      <w:r w:rsidR="00AD1FFD">
        <w:rPr>
          <w:szCs w:val="24"/>
        </w:rPr>
        <w:t>s</w:t>
      </w:r>
      <w:r w:rsidR="00312544" w:rsidRPr="00146AE1">
        <w:rPr>
          <w:szCs w:val="24"/>
        </w:rPr>
        <w:t xml:space="preserve"> and outcome</w:t>
      </w:r>
      <w:r w:rsidR="00AD1FFD">
        <w:rPr>
          <w:szCs w:val="24"/>
        </w:rPr>
        <w:t>s</w:t>
      </w:r>
      <w:r w:rsidR="00756750">
        <w:rPr>
          <w:szCs w:val="24"/>
        </w:rPr>
        <w:t>.</w:t>
      </w:r>
      <w:r w:rsidR="00312544" w:rsidRPr="00146AE1">
        <w:rPr>
          <w:szCs w:val="24"/>
        </w:rPr>
        <w:t xml:space="preserve"> </w:t>
      </w:r>
      <w:r w:rsidR="00AD1FFD">
        <w:rPr>
          <w:szCs w:val="24"/>
        </w:rPr>
        <w:t>In view of the above</w:t>
      </w:r>
      <w:r w:rsidR="00CE69B2" w:rsidRPr="00146AE1">
        <w:rPr>
          <w:szCs w:val="24"/>
        </w:rPr>
        <w:t>,</w:t>
      </w:r>
      <w:r w:rsidR="00312544" w:rsidRPr="00146AE1">
        <w:rPr>
          <w:szCs w:val="24"/>
        </w:rPr>
        <w:t xml:space="preserve"> the Prosecutor may consider the following principles as a </w:t>
      </w:r>
      <w:r w:rsidR="00AD1FFD">
        <w:rPr>
          <w:szCs w:val="24"/>
        </w:rPr>
        <w:t>way</w:t>
      </w:r>
      <w:r w:rsidR="00AD1FFD" w:rsidRPr="00146AE1">
        <w:rPr>
          <w:szCs w:val="24"/>
        </w:rPr>
        <w:t xml:space="preserve"> </w:t>
      </w:r>
      <w:r w:rsidR="00AD1FFD">
        <w:rPr>
          <w:szCs w:val="24"/>
        </w:rPr>
        <w:t>to improve</w:t>
      </w:r>
      <w:r w:rsidR="00312544" w:rsidRPr="00146AE1">
        <w:rPr>
          <w:szCs w:val="24"/>
        </w:rPr>
        <w:t xml:space="preserve"> future performance measurement</w:t>
      </w:r>
      <w:r w:rsidR="00426550">
        <w:rPr>
          <w:szCs w:val="24"/>
        </w:rPr>
        <w:t xml:space="preserve"> towards effectiveness. </w:t>
      </w:r>
      <w:r w:rsidR="00312544" w:rsidRPr="00146AE1">
        <w:rPr>
          <w:szCs w:val="24"/>
        </w:rPr>
        <w:t xml:space="preserve"> </w:t>
      </w:r>
    </w:p>
    <w:p w:rsidR="00312544" w:rsidRPr="00146AE1" w:rsidRDefault="00375817">
      <w:pPr>
        <w:jc w:val="both"/>
        <w:rPr>
          <w:szCs w:val="24"/>
        </w:rPr>
      </w:pPr>
      <w:r>
        <w:rPr>
          <w:szCs w:val="24"/>
        </w:rPr>
        <w:tab/>
      </w:r>
      <w:r w:rsidR="00520D76">
        <w:rPr>
          <w:szCs w:val="24"/>
        </w:rPr>
        <w:t>F</w:t>
      </w:r>
      <w:r w:rsidR="00312544" w:rsidRPr="00146AE1">
        <w:rPr>
          <w:szCs w:val="24"/>
        </w:rPr>
        <w:t>irst</w:t>
      </w:r>
      <w:r w:rsidR="00520D76">
        <w:rPr>
          <w:szCs w:val="24"/>
        </w:rPr>
        <w:t>,</w:t>
      </w:r>
      <w:r w:rsidR="00312544" w:rsidRPr="00146AE1">
        <w:rPr>
          <w:szCs w:val="24"/>
        </w:rPr>
        <w:t xml:space="preserve"> </w:t>
      </w:r>
      <w:r w:rsidR="00520D76" w:rsidRPr="00146AE1">
        <w:rPr>
          <w:szCs w:val="24"/>
        </w:rPr>
        <w:t xml:space="preserve">the OTP </w:t>
      </w:r>
      <w:r w:rsidR="00520D76">
        <w:rPr>
          <w:szCs w:val="24"/>
        </w:rPr>
        <w:t>could</w:t>
      </w:r>
      <w:r w:rsidR="00520D76" w:rsidRPr="00146AE1">
        <w:rPr>
          <w:szCs w:val="24"/>
        </w:rPr>
        <w:t xml:space="preserve"> realign its strate</w:t>
      </w:r>
      <w:r w:rsidR="008F5474">
        <w:rPr>
          <w:szCs w:val="24"/>
        </w:rPr>
        <w:t>gic</w:t>
      </w:r>
      <w:r w:rsidR="00426550">
        <w:rPr>
          <w:szCs w:val="24"/>
        </w:rPr>
        <w:t xml:space="preserve"> focus</w:t>
      </w:r>
      <w:r w:rsidR="00520D76">
        <w:rPr>
          <w:szCs w:val="24"/>
        </w:rPr>
        <w:t>, making it</w:t>
      </w:r>
      <w:r w:rsidR="00520D76" w:rsidRPr="00146AE1">
        <w:rPr>
          <w:szCs w:val="24"/>
        </w:rPr>
        <w:t xml:space="preserve"> less </w:t>
      </w:r>
      <w:r w:rsidR="00520D76">
        <w:rPr>
          <w:szCs w:val="24"/>
        </w:rPr>
        <w:t xml:space="preserve">about </w:t>
      </w:r>
      <w:r w:rsidR="00520D76" w:rsidRPr="00146AE1">
        <w:rPr>
          <w:szCs w:val="24"/>
        </w:rPr>
        <w:t xml:space="preserve">administrative </w:t>
      </w:r>
      <w:r w:rsidR="00520D76">
        <w:rPr>
          <w:szCs w:val="24"/>
        </w:rPr>
        <w:t xml:space="preserve">procedures </w:t>
      </w:r>
      <w:r w:rsidR="00520D76" w:rsidRPr="00146AE1">
        <w:rPr>
          <w:szCs w:val="24"/>
        </w:rPr>
        <w:t xml:space="preserve">and more </w:t>
      </w:r>
      <w:r w:rsidR="00520D76">
        <w:rPr>
          <w:szCs w:val="24"/>
        </w:rPr>
        <w:t>about the socio-</w:t>
      </w:r>
      <w:r w:rsidR="00520D76" w:rsidRPr="00146AE1">
        <w:rPr>
          <w:szCs w:val="24"/>
        </w:rPr>
        <w:t xml:space="preserve">political environments where prosecutions are </w:t>
      </w:r>
      <w:r w:rsidR="00520D76">
        <w:rPr>
          <w:szCs w:val="24"/>
        </w:rPr>
        <w:t>meant to have an impact</w:t>
      </w:r>
      <w:r w:rsidR="00520D76" w:rsidRPr="00146AE1">
        <w:rPr>
          <w:szCs w:val="24"/>
        </w:rPr>
        <w:t>.</w:t>
      </w:r>
      <w:r w:rsidR="00FE4FAF">
        <w:rPr>
          <w:szCs w:val="24"/>
        </w:rPr>
        <w:t xml:space="preserve"> </w:t>
      </w:r>
      <w:r w:rsidR="00520D76">
        <w:rPr>
          <w:szCs w:val="24"/>
        </w:rPr>
        <w:t>The c</w:t>
      </w:r>
      <w:r w:rsidR="00312544" w:rsidRPr="00146AE1">
        <w:rPr>
          <w:szCs w:val="24"/>
        </w:rPr>
        <w:t>urrent strateg</w:t>
      </w:r>
      <w:r w:rsidR="00520D76">
        <w:rPr>
          <w:szCs w:val="24"/>
        </w:rPr>
        <w:t>ic plan</w:t>
      </w:r>
      <w:r w:rsidR="00312544" w:rsidRPr="00146AE1">
        <w:rPr>
          <w:szCs w:val="24"/>
        </w:rPr>
        <w:t xml:space="preserve"> ha</w:t>
      </w:r>
      <w:r w:rsidR="00520D76">
        <w:rPr>
          <w:szCs w:val="24"/>
        </w:rPr>
        <w:t>s</w:t>
      </w:r>
      <w:r w:rsidR="00312544" w:rsidRPr="00146AE1">
        <w:rPr>
          <w:szCs w:val="24"/>
        </w:rPr>
        <w:t xml:space="preserve"> come to resemble </w:t>
      </w:r>
      <w:r w:rsidR="00520D76">
        <w:rPr>
          <w:szCs w:val="24"/>
        </w:rPr>
        <w:t xml:space="preserve">an </w:t>
      </w:r>
      <w:r w:rsidR="00312544" w:rsidRPr="00146AE1">
        <w:rPr>
          <w:szCs w:val="24"/>
        </w:rPr>
        <w:t>auditing document</w:t>
      </w:r>
      <w:r w:rsidR="00520D76">
        <w:rPr>
          <w:szCs w:val="24"/>
        </w:rPr>
        <w:t>,</w:t>
      </w:r>
      <w:r w:rsidR="00312544" w:rsidRPr="00146AE1">
        <w:rPr>
          <w:szCs w:val="24"/>
        </w:rPr>
        <w:t xml:space="preserve"> dominated by budgetary and operational orientations. However, one of the very functions of strateg</w:t>
      </w:r>
      <w:r w:rsidR="00520D76">
        <w:rPr>
          <w:szCs w:val="24"/>
        </w:rPr>
        <w:t>ies</w:t>
      </w:r>
      <w:r w:rsidR="00312544" w:rsidRPr="00146AE1">
        <w:rPr>
          <w:szCs w:val="24"/>
        </w:rPr>
        <w:t xml:space="preserve"> is to help </w:t>
      </w:r>
      <w:r w:rsidR="00FE4FAF">
        <w:rPr>
          <w:szCs w:val="24"/>
        </w:rPr>
        <w:t>ensure</w:t>
      </w:r>
      <w:r w:rsidR="00520D76">
        <w:rPr>
          <w:szCs w:val="24"/>
        </w:rPr>
        <w:t xml:space="preserve"> that</w:t>
      </w:r>
      <w:r w:rsidR="00312544" w:rsidRPr="00146AE1">
        <w:rPr>
          <w:szCs w:val="24"/>
        </w:rPr>
        <w:t xml:space="preserve"> the demands/needs of target </w:t>
      </w:r>
      <w:r w:rsidR="007170D5">
        <w:rPr>
          <w:szCs w:val="24"/>
        </w:rPr>
        <w:t xml:space="preserve">audiences </w:t>
      </w:r>
      <w:r w:rsidR="00520D76">
        <w:rPr>
          <w:szCs w:val="24"/>
        </w:rPr>
        <w:t>are met</w:t>
      </w:r>
      <w:r w:rsidR="00312544" w:rsidRPr="00146AE1">
        <w:rPr>
          <w:szCs w:val="24"/>
        </w:rPr>
        <w:t>.</w:t>
      </w:r>
      <w:r w:rsidR="00312544" w:rsidRPr="00146AE1">
        <w:rPr>
          <w:szCs w:val="24"/>
          <w:vertAlign w:val="superscript"/>
        </w:rPr>
        <w:footnoteReference w:id="117"/>
      </w:r>
      <w:r w:rsidR="00312544" w:rsidRPr="00146AE1">
        <w:rPr>
          <w:szCs w:val="24"/>
        </w:rPr>
        <w:t xml:space="preserve"> </w:t>
      </w:r>
      <w:r w:rsidR="007170D5">
        <w:rPr>
          <w:szCs w:val="24"/>
        </w:rPr>
        <w:t>As also made clear by</w:t>
      </w:r>
      <w:r w:rsidR="00312544" w:rsidRPr="00146AE1">
        <w:rPr>
          <w:szCs w:val="24"/>
        </w:rPr>
        <w:t xml:space="preserve"> the UN</w:t>
      </w:r>
      <w:r w:rsidR="007170D5">
        <w:rPr>
          <w:szCs w:val="24"/>
        </w:rPr>
        <w:t xml:space="preserve"> Secretary-General,</w:t>
      </w:r>
      <w:r w:rsidR="00312544" w:rsidRPr="00146AE1">
        <w:rPr>
          <w:szCs w:val="24"/>
        </w:rPr>
        <w:t xml:space="preserve"> prosecution policies </w:t>
      </w:r>
      <w:r w:rsidR="007170D5">
        <w:rPr>
          <w:szCs w:val="24"/>
        </w:rPr>
        <w:t>related to</w:t>
      </w:r>
      <w:r w:rsidR="007170D5" w:rsidRPr="00146AE1">
        <w:rPr>
          <w:szCs w:val="24"/>
        </w:rPr>
        <w:t xml:space="preserve"> </w:t>
      </w:r>
      <w:r w:rsidR="00312544" w:rsidRPr="00146AE1">
        <w:rPr>
          <w:szCs w:val="24"/>
        </w:rPr>
        <w:t xml:space="preserve">conflict-affected </w:t>
      </w:r>
      <w:r w:rsidR="007170D5">
        <w:rPr>
          <w:szCs w:val="24"/>
        </w:rPr>
        <w:t>societies</w:t>
      </w:r>
      <w:r w:rsidR="007170D5" w:rsidRPr="00146AE1">
        <w:rPr>
          <w:szCs w:val="24"/>
        </w:rPr>
        <w:t xml:space="preserve"> </w:t>
      </w:r>
      <w:r w:rsidR="00312544" w:rsidRPr="00146AE1">
        <w:rPr>
          <w:szCs w:val="24"/>
        </w:rPr>
        <w:t>need to t</w:t>
      </w:r>
      <w:r w:rsidR="00312544" w:rsidRPr="00146AE1">
        <w:rPr>
          <w:rFonts w:cs="Times New Roman"/>
          <w:szCs w:val="24"/>
        </w:rPr>
        <w:t xml:space="preserve">ake </w:t>
      </w:r>
      <w:r w:rsidR="007170D5">
        <w:rPr>
          <w:rFonts w:cs="Times New Roman"/>
          <w:szCs w:val="24"/>
        </w:rPr>
        <w:t xml:space="preserve">the socio-political context into </w:t>
      </w:r>
      <w:r w:rsidR="00312544" w:rsidRPr="00146AE1">
        <w:rPr>
          <w:rFonts w:cs="Times New Roman"/>
          <w:szCs w:val="24"/>
        </w:rPr>
        <w:t>account.</w:t>
      </w:r>
      <w:r w:rsidR="00312544" w:rsidRPr="00146AE1">
        <w:rPr>
          <w:rStyle w:val="FootnoteReference"/>
          <w:rFonts w:cs="Times New Roman"/>
          <w:sz w:val="24"/>
          <w:szCs w:val="24"/>
        </w:rPr>
        <w:footnoteReference w:id="118"/>
      </w:r>
      <w:r w:rsidR="00312544" w:rsidRPr="00146AE1">
        <w:rPr>
          <w:rFonts w:cs="Times New Roman"/>
          <w:szCs w:val="24"/>
        </w:rPr>
        <w:t xml:space="preserve"> </w:t>
      </w:r>
      <w:r w:rsidR="00426550">
        <w:rPr>
          <w:rFonts w:cs="Times New Roman"/>
          <w:szCs w:val="24"/>
        </w:rPr>
        <w:t>Thus, a realigned strate</w:t>
      </w:r>
      <w:r w:rsidR="00E23742">
        <w:rPr>
          <w:rFonts w:cs="Times New Roman"/>
          <w:szCs w:val="24"/>
        </w:rPr>
        <w:t>gic</w:t>
      </w:r>
      <w:r w:rsidR="00426550">
        <w:rPr>
          <w:rFonts w:cs="Times New Roman"/>
          <w:szCs w:val="24"/>
        </w:rPr>
        <w:t xml:space="preserve"> </w:t>
      </w:r>
      <w:r w:rsidR="00426550">
        <w:rPr>
          <w:rFonts w:cs="Times New Roman"/>
          <w:szCs w:val="24"/>
        </w:rPr>
        <w:t>focus</w:t>
      </w:r>
      <w:r w:rsidR="00426550" w:rsidRPr="00426550">
        <w:rPr>
          <w:rFonts w:cs="Times New Roman"/>
          <w:szCs w:val="24"/>
        </w:rPr>
        <w:t xml:space="preserve"> could include an assessment of situation-specific conditions and the</w:t>
      </w:r>
      <w:r w:rsidR="00426550">
        <w:rPr>
          <w:rFonts w:cs="Times New Roman"/>
          <w:szCs w:val="24"/>
        </w:rPr>
        <w:t xml:space="preserve"> precise</w:t>
      </w:r>
      <w:r w:rsidR="00426550" w:rsidRPr="00426550">
        <w:rPr>
          <w:rFonts w:cs="Times New Roman"/>
          <w:szCs w:val="24"/>
        </w:rPr>
        <w:t xml:space="preserve"> challenges</w:t>
      </w:r>
      <w:r w:rsidR="00196F25">
        <w:rPr>
          <w:rFonts w:cs="Times New Roman"/>
          <w:szCs w:val="24"/>
        </w:rPr>
        <w:t xml:space="preserve"> therein</w:t>
      </w:r>
      <w:r w:rsidR="00426550" w:rsidRPr="00426550">
        <w:rPr>
          <w:rFonts w:cs="Times New Roman"/>
          <w:szCs w:val="24"/>
        </w:rPr>
        <w:t xml:space="preserve"> inhibiting the achievement</w:t>
      </w:r>
      <w:r w:rsidR="00426550">
        <w:rPr>
          <w:rFonts w:cs="Times New Roman"/>
          <w:szCs w:val="24"/>
        </w:rPr>
        <w:t xml:space="preserve"> of</w:t>
      </w:r>
      <w:r w:rsidR="00426550" w:rsidRPr="00426550">
        <w:rPr>
          <w:rFonts w:cs="Times New Roman"/>
          <w:szCs w:val="24"/>
        </w:rPr>
        <w:t xml:space="preserve"> desired outcomes. </w:t>
      </w:r>
    </w:p>
    <w:p w:rsidR="00312544" w:rsidRPr="00146AE1" w:rsidRDefault="00375817">
      <w:pPr>
        <w:jc w:val="both"/>
        <w:rPr>
          <w:bCs/>
          <w:szCs w:val="24"/>
        </w:rPr>
      </w:pPr>
      <w:r>
        <w:rPr>
          <w:szCs w:val="24"/>
        </w:rPr>
        <w:tab/>
      </w:r>
      <w:r w:rsidR="00312544" w:rsidRPr="00146AE1">
        <w:rPr>
          <w:szCs w:val="24"/>
        </w:rPr>
        <w:t xml:space="preserve">Second, the OTP </w:t>
      </w:r>
      <w:r w:rsidR="00273A9C">
        <w:rPr>
          <w:szCs w:val="24"/>
        </w:rPr>
        <w:t>could</w:t>
      </w:r>
      <w:r w:rsidR="00273A9C" w:rsidRPr="00146AE1">
        <w:rPr>
          <w:szCs w:val="24"/>
        </w:rPr>
        <w:t xml:space="preserve"> </w:t>
      </w:r>
      <w:r w:rsidR="00312544" w:rsidRPr="00146AE1">
        <w:rPr>
          <w:szCs w:val="24"/>
        </w:rPr>
        <w:t>commit to a deep</w:t>
      </w:r>
      <w:r w:rsidR="00273A9C">
        <w:rPr>
          <w:szCs w:val="24"/>
        </w:rPr>
        <w:t>er</w:t>
      </w:r>
      <w:r w:rsidR="00312544" w:rsidRPr="00146AE1">
        <w:rPr>
          <w:szCs w:val="24"/>
        </w:rPr>
        <w:t xml:space="preserve"> process of </w:t>
      </w:r>
      <w:r w:rsidR="0021247A">
        <w:rPr>
          <w:szCs w:val="24"/>
        </w:rPr>
        <w:t xml:space="preserve">qualitative </w:t>
      </w:r>
      <w:r w:rsidR="00312544" w:rsidRPr="00146AE1">
        <w:rPr>
          <w:szCs w:val="24"/>
        </w:rPr>
        <w:t>performance evaluation</w:t>
      </w:r>
      <w:r w:rsidR="00273A9C">
        <w:rPr>
          <w:szCs w:val="24"/>
        </w:rPr>
        <w:t>, as opposed to</w:t>
      </w:r>
      <w:r w:rsidR="00312544" w:rsidRPr="00146AE1">
        <w:rPr>
          <w:szCs w:val="24"/>
        </w:rPr>
        <w:t xml:space="preserve"> </w:t>
      </w:r>
      <w:r w:rsidR="00273A9C">
        <w:rPr>
          <w:szCs w:val="24"/>
        </w:rPr>
        <w:t>the</w:t>
      </w:r>
      <w:r w:rsidR="00312544" w:rsidRPr="00146AE1">
        <w:rPr>
          <w:szCs w:val="24"/>
        </w:rPr>
        <w:t xml:space="preserve"> </w:t>
      </w:r>
      <w:r w:rsidR="00273A9C">
        <w:rPr>
          <w:szCs w:val="24"/>
        </w:rPr>
        <w:t>current</w:t>
      </w:r>
      <w:r w:rsidR="00312544" w:rsidRPr="00146AE1">
        <w:rPr>
          <w:szCs w:val="24"/>
        </w:rPr>
        <w:t xml:space="preserve"> preference for </w:t>
      </w:r>
      <w:r w:rsidR="0021247A">
        <w:rPr>
          <w:szCs w:val="24"/>
        </w:rPr>
        <w:t xml:space="preserve">quantitative </w:t>
      </w:r>
      <w:r w:rsidR="00312544" w:rsidRPr="00146AE1">
        <w:rPr>
          <w:szCs w:val="24"/>
        </w:rPr>
        <w:t xml:space="preserve">performance auditing. </w:t>
      </w:r>
      <w:r w:rsidR="0021247A">
        <w:rPr>
          <w:szCs w:val="24"/>
        </w:rPr>
        <w:t>I</w:t>
      </w:r>
      <w:r w:rsidR="00312544" w:rsidRPr="00146AE1">
        <w:rPr>
          <w:szCs w:val="24"/>
        </w:rPr>
        <w:t>n this sense,</w:t>
      </w:r>
      <w:r w:rsidR="0021247A">
        <w:rPr>
          <w:szCs w:val="24"/>
        </w:rPr>
        <w:t xml:space="preserve"> the OTP</w:t>
      </w:r>
      <w:r w:rsidR="00312544" w:rsidRPr="00146AE1">
        <w:rPr>
          <w:szCs w:val="24"/>
        </w:rPr>
        <w:t xml:space="preserve"> needs to embrace the ‘empirical-turn’ within international criminal justice.</w:t>
      </w:r>
      <w:r w:rsidR="00312544" w:rsidRPr="00146AE1">
        <w:rPr>
          <w:rStyle w:val="FootnoteReference"/>
          <w:sz w:val="24"/>
          <w:szCs w:val="24"/>
        </w:rPr>
        <w:footnoteReference w:id="119"/>
      </w:r>
      <w:r w:rsidR="00312544" w:rsidRPr="00146AE1">
        <w:rPr>
          <w:szCs w:val="24"/>
        </w:rPr>
        <w:t xml:space="preserve"> </w:t>
      </w:r>
      <w:r w:rsidR="00312544" w:rsidRPr="00146AE1">
        <w:rPr>
          <w:szCs w:val="24"/>
        </w:rPr>
        <w:t>There is a developing body of literature evaluating the domestic effects of ICC prosecutions within conflict-affected societies. In spite of such research</w:t>
      </w:r>
      <w:r w:rsidR="0021247A">
        <w:rPr>
          <w:szCs w:val="24"/>
        </w:rPr>
        <w:t>,</w:t>
      </w:r>
      <w:r w:rsidR="00312544" w:rsidRPr="00146AE1">
        <w:rPr>
          <w:szCs w:val="24"/>
        </w:rPr>
        <w:t xml:space="preserve"> </w:t>
      </w:r>
      <w:r w:rsidR="0021247A">
        <w:rPr>
          <w:szCs w:val="24"/>
        </w:rPr>
        <w:t>to date,</w:t>
      </w:r>
      <w:r w:rsidR="00312544" w:rsidRPr="00146AE1">
        <w:rPr>
          <w:szCs w:val="24"/>
        </w:rPr>
        <w:t xml:space="preserve"> the OTP has engaged in little self-evaluation </w:t>
      </w:r>
      <w:r w:rsidR="0021247A">
        <w:rPr>
          <w:szCs w:val="24"/>
        </w:rPr>
        <w:t>about the consequences of</w:t>
      </w:r>
      <w:r w:rsidR="0021247A" w:rsidRPr="00146AE1">
        <w:rPr>
          <w:szCs w:val="24"/>
        </w:rPr>
        <w:t xml:space="preserve"> </w:t>
      </w:r>
      <w:r w:rsidR="00312544" w:rsidRPr="00146AE1">
        <w:rPr>
          <w:szCs w:val="24"/>
        </w:rPr>
        <w:t xml:space="preserve">its decisions. This </w:t>
      </w:r>
      <w:r w:rsidR="0021247A">
        <w:rPr>
          <w:szCs w:val="24"/>
        </w:rPr>
        <w:t>c</w:t>
      </w:r>
      <w:r w:rsidR="0021247A" w:rsidRPr="00146AE1">
        <w:rPr>
          <w:szCs w:val="24"/>
        </w:rPr>
        <w:t xml:space="preserve">ould </w:t>
      </w:r>
      <w:r w:rsidR="00312544" w:rsidRPr="00146AE1">
        <w:rPr>
          <w:szCs w:val="24"/>
        </w:rPr>
        <w:t>be an annual process</w:t>
      </w:r>
      <w:r w:rsidR="0021247A">
        <w:rPr>
          <w:szCs w:val="24"/>
        </w:rPr>
        <w:t>,</w:t>
      </w:r>
      <w:r w:rsidR="00312544" w:rsidRPr="00146AE1">
        <w:rPr>
          <w:szCs w:val="24"/>
        </w:rPr>
        <w:t xml:space="preserve"> encourag</w:t>
      </w:r>
      <w:r w:rsidR="0021247A">
        <w:rPr>
          <w:szCs w:val="24"/>
        </w:rPr>
        <w:t>ing</w:t>
      </w:r>
      <w:r w:rsidR="00312544" w:rsidRPr="00146AE1">
        <w:rPr>
          <w:szCs w:val="24"/>
        </w:rPr>
        <w:t xml:space="preserve"> critical self-reflection about the progress made towards </w:t>
      </w:r>
      <w:r w:rsidR="0021247A">
        <w:rPr>
          <w:szCs w:val="24"/>
        </w:rPr>
        <w:t>achieving desired</w:t>
      </w:r>
      <w:r w:rsidR="0021247A" w:rsidRPr="00146AE1">
        <w:rPr>
          <w:szCs w:val="24"/>
        </w:rPr>
        <w:t xml:space="preserve"> </w:t>
      </w:r>
      <w:r w:rsidR="00312544" w:rsidRPr="00146AE1">
        <w:rPr>
          <w:szCs w:val="24"/>
        </w:rPr>
        <w:t>outcomes.</w:t>
      </w:r>
    </w:p>
    <w:p w:rsidR="00312544" w:rsidRPr="00146AE1" w:rsidRDefault="00375817">
      <w:pPr>
        <w:jc w:val="both"/>
        <w:rPr>
          <w:szCs w:val="24"/>
        </w:rPr>
      </w:pPr>
      <w:r>
        <w:rPr>
          <w:szCs w:val="24"/>
        </w:rPr>
        <w:tab/>
      </w:r>
      <w:r w:rsidR="00312544" w:rsidRPr="00146AE1">
        <w:rPr>
          <w:szCs w:val="24"/>
        </w:rPr>
        <w:t>Finally</w:t>
      </w:r>
      <w:r w:rsidR="00C635C2">
        <w:rPr>
          <w:szCs w:val="24"/>
        </w:rPr>
        <w:t>,</w:t>
      </w:r>
      <w:r w:rsidR="00312544" w:rsidRPr="00146AE1">
        <w:rPr>
          <w:szCs w:val="24"/>
        </w:rPr>
        <w:t xml:space="preserve"> and most importantly, the OTP </w:t>
      </w:r>
      <w:r w:rsidR="00C635C2">
        <w:rPr>
          <w:szCs w:val="24"/>
        </w:rPr>
        <w:t>could</w:t>
      </w:r>
      <w:r w:rsidR="00C635C2" w:rsidRPr="00146AE1">
        <w:rPr>
          <w:szCs w:val="24"/>
        </w:rPr>
        <w:t xml:space="preserve"> </w:t>
      </w:r>
      <w:r w:rsidR="00312544" w:rsidRPr="00146AE1">
        <w:rPr>
          <w:szCs w:val="24"/>
        </w:rPr>
        <w:t xml:space="preserve">make a resolute effort to </w:t>
      </w:r>
      <w:r w:rsidR="00C635C2">
        <w:rPr>
          <w:szCs w:val="24"/>
        </w:rPr>
        <w:t>identify the desired</w:t>
      </w:r>
      <w:r w:rsidR="00C635C2" w:rsidRPr="00146AE1">
        <w:rPr>
          <w:szCs w:val="24"/>
        </w:rPr>
        <w:t xml:space="preserve"> </w:t>
      </w:r>
      <w:r w:rsidR="00312544" w:rsidRPr="00146AE1">
        <w:rPr>
          <w:szCs w:val="24"/>
        </w:rPr>
        <w:t>outcomes for its prosecution activities. Th</w:t>
      </w:r>
      <w:r w:rsidR="00C635C2">
        <w:rPr>
          <w:szCs w:val="24"/>
        </w:rPr>
        <w:t>is</w:t>
      </w:r>
      <w:r w:rsidR="00312544" w:rsidRPr="00146AE1">
        <w:rPr>
          <w:szCs w:val="24"/>
        </w:rPr>
        <w:t xml:space="preserve"> </w:t>
      </w:r>
      <w:r w:rsidR="00C635C2">
        <w:rPr>
          <w:szCs w:val="24"/>
        </w:rPr>
        <w:t>effort</w:t>
      </w:r>
      <w:r w:rsidR="00C635C2" w:rsidRPr="00146AE1">
        <w:rPr>
          <w:szCs w:val="24"/>
        </w:rPr>
        <w:t xml:space="preserve"> </w:t>
      </w:r>
      <w:r w:rsidR="00C635C2">
        <w:rPr>
          <w:szCs w:val="24"/>
        </w:rPr>
        <w:t>could be</w:t>
      </w:r>
      <w:r w:rsidR="00312544" w:rsidRPr="00146AE1">
        <w:rPr>
          <w:szCs w:val="24"/>
        </w:rPr>
        <w:t xml:space="preserve"> coordinat</w:t>
      </w:r>
      <w:r w:rsidR="00C635C2">
        <w:rPr>
          <w:szCs w:val="24"/>
        </w:rPr>
        <w:t>ed</w:t>
      </w:r>
      <w:r w:rsidR="00312544" w:rsidRPr="00146AE1">
        <w:rPr>
          <w:szCs w:val="24"/>
        </w:rPr>
        <w:t xml:space="preserve"> with Court-wide efforts to develop outcome or impact</w:t>
      </w:r>
      <w:r w:rsidR="00E23742">
        <w:rPr>
          <w:szCs w:val="24"/>
        </w:rPr>
        <w:t>-</w:t>
      </w:r>
      <w:r w:rsidR="00476CF2">
        <w:rPr>
          <w:szCs w:val="24"/>
        </w:rPr>
        <w:t>oriented</w:t>
      </w:r>
      <w:r w:rsidR="00312544" w:rsidRPr="00146AE1">
        <w:rPr>
          <w:szCs w:val="24"/>
        </w:rPr>
        <w:t xml:space="preserve"> indicators.</w:t>
      </w:r>
      <w:r w:rsidR="00312544" w:rsidRPr="00146AE1">
        <w:rPr>
          <w:rStyle w:val="FootnoteReference"/>
          <w:sz w:val="24"/>
          <w:szCs w:val="24"/>
        </w:rPr>
        <w:footnoteReference w:id="120"/>
      </w:r>
      <w:r w:rsidR="00312544" w:rsidRPr="00146AE1">
        <w:rPr>
          <w:szCs w:val="24"/>
        </w:rPr>
        <w:t xml:space="preserve"> These </w:t>
      </w:r>
      <w:r w:rsidR="00EB4CB6">
        <w:rPr>
          <w:szCs w:val="24"/>
        </w:rPr>
        <w:t xml:space="preserve">outcomes would </w:t>
      </w:r>
      <w:r w:rsidR="00312544" w:rsidRPr="00146AE1">
        <w:rPr>
          <w:szCs w:val="24"/>
        </w:rPr>
        <w:t xml:space="preserve">need to be far less </w:t>
      </w:r>
      <w:r w:rsidR="008C23DC">
        <w:rPr>
          <w:szCs w:val="24"/>
        </w:rPr>
        <w:t>broad and general</w:t>
      </w:r>
      <w:r w:rsidR="00312544" w:rsidRPr="00146AE1">
        <w:rPr>
          <w:szCs w:val="24"/>
        </w:rPr>
        <w:t xml:space="preserve"> </w:t>
      </w:r>
      <w:r w:rsidR="00E23742">
        <w:rPr>
          <w:szCs w:val="24"/>
        </w:rPr>
        <w:t>than</w:t>
      </w:r>
      <w:r w:rsidR="0043616A">
        <w:rPr>
          <w:szCs w:val="24"/>
        </w:rPr>
        <w:t xml:space="preserve"> the </w:t>
      </w:r>
      <w:r w:rsidR="008C23DC">
        <w:rPr>
          <w:szCs w:val="24"/>
        </w:rPr>
        <w:t>Court’s goals of ending</w:t>
      </w:r>
      <w:r w:rsidR="00312544" w:rsidRPr="00146AE1">
        <w:rPr>
          <w:szCs w:val="24"/>
        </w:rPr>
        <w:t xml:space="preserve"> impunity or the prevention of crimes</w:t>
      </w:r>
      <w:r w:rsidR="00B439C2">
        <w:rPr>
          <w:szCs w:val="24"/>
        </w:rPr>
        <w:t>.</w:t>
      </w:r>
      <w:r w:rsidR="00312544" w:rsidRPr="00146AE1">
        <w:rPr>
          <w:szCs w:val="24"/>
        </w:rPr>
        <w:t xml:space="preserve"> Outcomes need to be narrowly defined and context-specific</w:t>
      </w:r>
      <w:r w:rsidR="00B439C2">
        <w:rPr>
          <w:szCs w:val="24"/>
        </w:rPr>
        <w:t>,</w:t>
      </w:r>
      <w:r w:rsidR="00312544" w:rsidRPr="00146AE1">
        <w:rPr>
          <w:szCs w:val="24"/>
        </w:rPr>
        <w:t xml:space="preserve"> with a given time-span for their potential achievement. The</w:t>
      </w:r>
      <w:r w:rsidR="00B439C2">
        <w:rPr>
          <w:szCs w:val="24"/>
        </w:rPr>
        <w:t>ir</w:t>
      </w:r>
      <w:r w:rsidR="00312544" w:rsidRPr="00146AE1">
        <w:rPr>
          <w:szCs w:val="24"/>
        </w:rPr>
        <w:t xml:space="preserve"> measurement </w:t>
      </w:r>
      <w:r w:rsidR="00B439C2">
        <w:rPr>
          <w:szCs w:val="24"/>
        </w:rPr>
        <w:t>could</w:t>
      </w:r>
      <w:r w:rsidR="00312544" w:rsidRPr="00146AE1">
        <w:rPr>
          <w:szCs w:val="24"/>
        </w:rPr>
        <w:t xml:space="preserve"> be supported by ongoing empirical fieldwork and be less focused on </w:t>
      </w:r>
      <w:r w:rsidR="00B439C2">
        <w:rPr>
          <w:szCs w:val="24"/>
        </w:rPr>
        <w:t>numerical</w:t>
      </w:r>
      <w:r w:rsidR="00B439C2" w:rsidRPr="00146AE1">
        <w:rPr>
          <w:szCs w:val="24"/>
        </w:rPr>
        <w:t xml:space="preserve"> </w:t>
      </w:r>
      <w:r w:rsidR="00312544" w:rsidRPr="00146AE1">
        <w:rPr>
          <w:szCs w:val="24"/>
        </w:rPr>
        <w:t>data</w:t>
      </w:r>
      <w:r w:rsidR="00B439C2">
        <w:rPr>
          <w:szCs w:val="24"/>
        </w:rPr>
        <w:t>. F</w:t>
      </w:r>
      <w:r w:rsidR="00312544" w:rsidRPr="00146AE1">
        <w:rPr>
          <w:szCs w:val="24"/>
        </w:rPr>
        <w:t xml:space="preserve">or example, </w:t>
      </w:r>
      <w:r w:rsidR="00B439C2">
        <w:rPr>
          <w:szCs w:val="24"/>
        </w:rPr>
        <w:t xml:space="preserve">useful indicators would </w:t>
      </w:r>
      <w:r w:rsidR="00312544" w:rsidRPr="00146AE1">
        <w:rPr>
          <w:szCs w:val="24"/>
        </w:rPr>
        <w:t>focus on critical issues of legitimacy</w:t>
      </w:r>
      <w:r w:rsidR="00B439C2">
        <w:rPr>
          <w:szCs w:val="24"/>
        </w:rPr>
        <w:t>,</w:t>
      </w:r>
      <w:r w:rsidR="00312544" w:rsidRPr="00146AE1">
        <w:rPr>
          <w:szCs w:val="24"/>
        </w:rPr>
        <w:t xml:space="preserve"> </w:t>
      </w:r>
      <w:r w:rsidR="00B439C2">
        <w:rPr>
          <w:szCs w:val="24"/>
        </w:rPr>
        <w:t>measuring</w:t>
      </w:r>
      <w:r w:rsidR="00B439C2" w:rsidRPr="00146AE1">
        <w:rPr>
          <w:szCs w:val="24"/>
        </w:rPr>
        <w:t xml:space="preserve"> </w:t>
      </w:r>
      <w:r w:rsidR="00312544" w:rsidRPr="00146AE1">
        <w:rPr>
          <w:szCs w:val="24"/>
        </w:rPr>
        <w:t>perception</w:t>
      </w:r>
      <w:r w:rsidR="00F84FD3">
        <w:rPr>
          <w:szCs w:val="24"/>
        </w:rPr>
        <w:t>s</w:t>
      </w:r>
      <w:r w:rsidR="00312544" w:rsidRPr="00146AE1">
        <w:rPr>
          <w:szCs w:val="24"/>
        </w:rPr>
        <w:t xml:space="preserve"> of the Prosecutor’s decisions</w:t>
      </w:r>
      <w:r w:rsidR="00B439C2">
        <w:rPr>
          <w:szCs w:val="24"/>
        </w:rPr>
        <w:t xml:space="preserve"> or</w:t>
      </w:r>
      <w:r w:rsidR="00312544" w:rsidRPr="00146AE1">
        <w:rPr>
          <w:szCs w:val="24"/>
        </w:rPr>
        <w:t xml:space="preserve"> belief</w:t>
      </w:r>
      <w:r w:rsidR="00F84FD3">
        <w:rPr>
          <w:szCs w:val="24"/>
        </w:rPr>
        <w:t>s</w:t>
      </w:r>
      <w:r w:rsidR="00312544" w:rsidRPr="00146AE1">
        <w:rPr>
          <w:szCs w:val="24"/>
        </w:rPr>
        <w:t xml:space="preserve"> in </w:t>
      </w:r>
      <w:r w:rsidR="00B439C2">
        <w:rPr>
          <w:szCs w:val="24"/>
        </w:rPr>
        <w:t xml:space="preserve">the Office’s </w:t>
      </w:r>
      <w:r w:rsidR="00312544" w:rsidRPr="00146AE1">
        <w:rPr>
          <w:szCs w:val="24"/>
        </w:rPr>
        <w:t>impartiality.</w:t>
      </w:r>
      <w:r w:rsidR="00312544" w:rsidRPr="00146AE1">
        <w:rPr>
          <w:rStyle w:val="FootnoteReference"/>
          <w:sz w:val="24"/>
          <w:szCs w:val="24"/>
        </w:rPr>
        <w:footnoteReference w:id="121"/>
      </w:r>
      <w:r w:rsidR="00312544" w:rsidRPr="00146AE1">
        <w:rPr>
          <w:szCs w:val="24"/>
        </w:rPr>
        <w:t xml:space="preserve"> Of course, such </w:t>
      </w:r>
      <w:r w:rsidR="00BC1734">
        <w:rPr>
          <w:szCs w:val="24"/>
        </w:rPr>
        <w:t>indicators</w:t>
      </w:r>
      <w:r w:rsidR="00BC1734" w:rsidRPr="00146AE1">
        <w:rPr>
          <w:szCs w:val="24"/>
        </w:rPr>
        <w:t xml:space="preserve"> </w:t>
      </w:r>
      <w:r w:rsidR="0072777E">
        <w:rPr>
          <w:szCs w:val="24"/>
        </w:rPr>
        <w:t xml:space="preserve">would incur </w:t>
      </w:r>
      <w:r w:rsidR="00312544" w:rsidRPr="00146AE1">
        <w:rPr>
          <w:szCs w:val="24"/>
        </w:rPr>
        <w:t xml:space="preserve">measurement difficulties as perceptions </w:t>
      </w:r>
      <w:r w:rsidR="007E5BAC">
        <w:rPr>
          <w:rFonts w:cs="Times New Roman"/>
          <w:szCs w:val="24"/>
        </w:rPr>
        <w:t>—</w:t>
      </w:r>
      <w:r w:rsidR="0072777E">
        <w:rPr>
          <w:szCs w:val="24"/>
        </w:rPr>
        <w:t xml:space="preserve"> to name only one problem </w:t>
      </w:r>
      <w:r w:rsidR="007E5BAC">
        <w:rPr>
          <w:rFonts w:cs="Times New Roman"/>
          <w:szCs w:val="24"/>
        </w:rPr>
        <w:t>—</w:t>
      </w:r>
      <w:r w:rsidR="0072777E">
        <w:rPr>
          <w:szCs w:val="24"/>
        </w:rPr>
        <w:t xml:space="preserve"> </w:t>
      </w:r>
      <w:r w:rsidR="00312544" w:rsidRPr="00146AE1">
        <w:rPr>
          <w:szCs w:val="24"/>
        </w:rPr>
        <w:t>intertwine with pre-existing ethnic affiliations. Thus, arguably</w:t>
      </w:r>
      <w:r w:rsidR="004D6DD8">
        <w:rPr>
          <w:szCs w:val="24"/>
        </w:rPr>
        <w:t>,</w:t>
      </w:r>
      <w:r w:rsidR="00312544" w:rsidRPr="00146AE1">
        <w:rPr>
          <w:szCs w:val="24"/>
        </w:rPr>
        <w:t xml:space="preserve"> these indicators </w:t>
      </w:r>
      <w:r w:rsidR="004D6DD8">
        <w:rPr>
          <w:szCs w:val="24"/>
        </w:rPr>
        <w:t>c</w:t>
      </w:r>
      <w:r w:rsidR="00312544" w:rsidRPr="00146AE1">
        <w:rPr>
          <w:szCs w:val="24"/>
        </w:rPr>
        <w:t xml:space="preserve">ould risk producing </w:t>
      </w:r>
      <w:r w:rsidR="004D6DD8">
        <w:rPr>
          <w:szCs w:val="24"/>
        </w:rPr>
        <w:t>unreliable data</w:t>
      </w:r>
      <w:r w:rsidR="00312544" w:rsidRPr="00146AE1">
        <w:rPr>
          <w:szCs w:val="24"/>
        </w:rPr>
        <w:t xml:space="preserve">. That being said, risk is not a sufficient reason not to attempt to develop them. Furthermore, </w:t>
      </w:r>
      <w:r w:rsidR="004D6DD8">
        <w:rPr>
          <w:szCs w:val="24"/>
        </w:rPr>
        <w:t>the influence of contributing causes on a</w:t>
      </w:r>
      <w:r w:rsidR="00312544" w:rsidRPr="00146AE1">
        <w:rPr>
          <w:szCs w:val="24"/>
        </w:rPr>
        <w:t xml:space="preserve"> performance</w:t>
      </w:r>
      <w:r w:rsidR="004D6DD8">
        <w:rPr>
          <w:szCs w:val="24"/>
        </w:rPr>
        <w:t>’s outcome is not necessarily fatal for such performance’s</w:t>
      </w:r>
      <w:r w:rsidR="00312544" w:rsidRPr="00146AE1">
        <w:rPr>
          <w:szCs w:val="24"/>
        </w:rPr>
        <w:t xml:space="preserve"> measurement. Th</w:t>
      </w:r>
      <w:r w:rsidR="007A780F">
        <w:rPr>
          <w:szCs w:val="24"/>
        </w:rPr>
        <w:t>is article’s</w:t>
      </w:r>
      <w:r w:rsidR="00312544" w:rsidRPr="00146AE1">
        <w:rPr>
          <w:szCs w:val="24"/>
        </w:rPr>
        <w:t xml:space="preserve"> </w:t>
      </w:r>
      <w:r w:rsidR="00C0224F">
        <w:rPr>
          <w:szCs w:val="24"/>
        </w:rPr>
        <w:t>suggestion</w:t>
      </w:r>
      <w:r w:rsidR="00C0224F" w:rsidRPr="00146AE1">
        <w:rPr>
          <w:szCs w:val="24"/>
        </w:rPr>
        <w:t xml:space="preserve"> </w:t>
      </w:r>
      <w:r w:rsidR="00312544" w:rsidRPr="00146AE1">
        <w:rPr>
          <w:szCs w:val="24"/>
        </w:rPr>
        <w:t xml:space="preserve">is not </w:t>
      </w:r>
      <w:r w:rsidR="00312544" w:rsidRPr="00146AE1">
        <w:rPr>
          <w:szCs w:val="24"/>
        </w:rPr>
        <w:t xml:space="preserve">to develop </w:t>
      </w:r>
      <w:r w:rsidR="007A780F">
        <w:rPr>
          <w:szCs w:val="24"/>
        </w:rPr>
        <w:t xml:space="preserve">outcome </w:t>
      </w:r>
      <w:r w:rsidR="00C0224F">
        <w:rPr>
          <w:szCs w:val="24"/>
        </w:rPr>
        <w:t>indicators that are immune to causation complexity,</w:t>
      </w:r>
      <w:r w:rsidR="00312544" w:rsidRPr="00146AE1">
        <w:rPr>
          <w:szCs w:val="24"/>
        </w:rPr>
        <w:t xml:space="preserve"> but to critically establish outcome</w:t>
      </w:r>
      <w:r w:rsidR="007A780F">
        <w:rPr>
          <w:szCs w:val="24"/>
        </w:rPr>
        <w:t xml:space="preserve"> indicators</w:t>
      </w:r>
      <w:r w:rsidR="00312544" w:rsidRPr="00146AE1">
        <w:rPr>
          <w:szCs w:val="24"/>
        </w:rPr>
        <w:t xml:space="preserve"> </w:t>
      </w:r>
      <w:r w:rsidR="007A780F">
        <w:rPr>
          <w:szCs w:val="24"/>
        </w:rPr>
        <w:t>at</w:t>
      </w:r>
      <w:r w:rsidR="007A780F" w:rsidRPr="00146AE1">
        <w:rPr>
          <w:szCs w:val="24"/>
        </w:rPr>
        <w:t xml:space="preserve"> </w:t>
      </w:r>
      <w:r w:rsidR="00312544" w:rsidRPr="00146AE1">
        <w:rPr>
          <w:szCs w:val="24"/>
        </w:rPr>
        <w:t xml:space="preserve">the </w:t>
      </w:r>
      <w:r w:rsidR="007A780F">
        <w:rPr>
          <w:szCs w:val="24"/>
        </w:rPr>
        <w:t>core</w:t>
      </w:r>
      <w:r w:rsidR="007A780F" w:rsidRPr="00146AE1">
        <w:rPr>
          <w:szCs w:val="24"/>
        </w:rPr>
        <w:t xml:space="preserve"> </w:t>
      </w:r>
      <w:r w:rsidR="00312544" w:rsidRPr="00146AE1">
        <w:rPr>
          <w:szCs w:val="24"/>
        </w:rPr>
        <w:t xml:space="preserve">of performance measurement. </w:t>
      </w:r>
    </w:p>
    <w:p w:rsidR="00F84FD3" w:rsidRDefault="00312544">
      <w:pPr>
        <w:jc w:val="both"/>
        <w:rPr>
          <w:bCs/>
          <w:szCs w:val="24"/>
        </w:rPr>
      </w:pPr>
      <w:r w:rsidRPr="00146AE1">
        <w:rPr>
          <w:bCs/>
          <w:szCs w:val="24"/>
        </w:rPr>
        <w:t xml:space="preserve">In his work on </w:t>
      </w:r>
      <w:r w:rsidR="007A780F">
        <w:rPr>
          <w:bCs/>
          <w:szCs w:val="24"/>
        </w:rPr>
        <w:t>b</w:t>
      </w:r>
      <w:r w:rsidRPr="00146AE1">
        <w:rPr>
          <w:bCs/>
          <w:szCs w:val="24"/>
        </w:rPr>
        <w:t>ureaucracy, Max Weber once described a bureaucrat unable to</w:t>
      </w:r>
      <w:r w:rsidR="00273058">
        <w:rPr>
          <w:bCs/>
          <w:szCs w:val="24"/>
        </w:rPr>
        <w:t xml:space="preserve"> ‘</w:t>
      </w:r>
      <w:r w:rsidRPr="00146AE1">
        <w:rPr>
          <w:rFonts w:cs="Times New Roman"/>
          <w:szCs w:val="24"/>
        </w:rPr>
        <w:t>squirm out of the apparatus in which he is harnessed</w:t>
      </w:r>
      <w:r w:rsidR="007A780F">
        <w:rPr>
          <w:rFonts w:cs="Times New Roman"/>
          <w:szCs w:val="24"/>
        </w:rPr>
        <w:t>’</w:t>
      </w:r>
      <w:r w:rsidR="00CA132D">
        <w:rPr>
          <w:rFonts w:cs="Times New Roman"/>
          <w:szCs w:val="24"/>
        </w:rPr>
        <w:t>,</w:t>
      </w:r>
      <w:r w:rsidR="007A780F">
        <w:rPr>
          <w:rFonts w:cs="Times New Roman"/>
          <w:szCs w:val="24"/>
        </w:rPr>
        <w:t xml:space="preserve"> ‘</w:t>
      </w:r>
      <w:r w:rsidRPr="00146AE1">
        <w:rPr>
          <w:rFonts w:cs="Times New Roman"/>
          <w:szCs w:val="24"/>
        </w:rPr>
        <w:t>chained to his activity by his entire material and ideal existence</w:t>
      </w:r>
      <w:r w:rsidR="00CA132D">
        <w:rPr>
          <w:rFonts w:cs="Times New Roman"/>
          <w:szCs w:val="24"/>
        </w:rPr>
        <w:t>’,</w:t>
      </w:r>
      <w:r w:rsidRPr="00146AE1">
        <w:rPr>
          <w:rFonts w:cs="Times New Roman"/>
          <w:szCs w:val="24"/>
        </w:rPr>
        <w:t xml:space="preserve"> </w:t>
      </w:r>
      <w:r w:rsidR="00CA132D">
        <w:rPr>
          <w:rFonts w:cs="Times New Roman"/>
          <w:szCs w:val="24"/>
        </w:rPr>
        <w:t>‘</w:t>
      </w:r>
      <w:r w:rsidRPr="00146AE1">
        <w:rPr>
          <w:rFonts w:cs="Times New Roman"/>
          <w:szCs w:val="24"/>
        </w:rPr>
        <w:t>a single cog in an ever-moving mechanism which prescribe</w:t>
      </w:r>
      <w:r w:rsidR="00CA132D">
        <w:rPr>
          <w:rFonts w:cs="Times New Roman"/>
          <w:szCs w:val="24"/>
        </w:rPr>
        <w:t>s</w:t>
      </w:r>
      <w:r w:rsidRPr="00146AE1">
        <w:rPr>
          <w:rFonts w:cs="Times New Roman"/>
          <w:szCs w:val="24"/>
        </w:rPr>
        <w:t xml:space="preserve"> to him an essential fixed route of march</w:t>
      </w:r>
      <w:r w:rsidR="00273058">
        <w:rPr>
          <w:rFonts w:cs="Times New Roman"/>
          <w:szCs w:val="24"/>
        </w:rPr>
        <w:t>’</w:t>
      </w:r>
      <w:r w:rsidRPr="00146AE1">
        <w:rPr>
          <w:rFonts w:cs="Times New Roman"/>
          <w:szCs w:val="24"/>
        </w:rPr>
        <w:t>.</w:t>
      </w:r>
      <w:r w:rsidRPr="00146AE1">
        <w:rPr>
          <w:rStyle w:val="FootnoteReference"/>
          <w:rFonts w:cs="Times New Roman"/>
          <w:sz w:val="24"/>
          <w:szCs w:val="24"/>
        </w:rPr>
        <w:footnoteReference w:id="122"/>
      </w:r>
    </w:p>
    <w:p w:rsidR="00312544" w:rsidRPr="00146AE1" w:rsidRDefault="00312544" w:rsidP="007E5BAC">
      <w:pPr>
        <w:ind w:firstLine="720"/>
        <w:jc w:val="both"/>
        <w:rPr>
          <w:bCs/>
          <w:szCs w:val="24"/>
        </w:rPr>
      </w:pPr>
      <w:r w:rsidRPr="00146AE1">
        <w:rPr>
          <w:bCs/>
          <w:szCs w:val="24"/>
        </w:rPr>
        <w:t xml:space="preserve">The Prosecutor can resist </w:t>
      </w:r>
      <w:r w:rsidR="007A31F5">
        <w:rPr>
          <w:bCs/>
          <w:szCs w:val="24"/>
        </w:rPr>
        <w:t xml:space="preserve">becoming </w:t>
      </w:r>
      <w:r w:rsidRPr="00146AE1">
        <w:rPr>
          <w:bCs/>
          <w:szCs w:val="24"/>
        </w:rPr>
        <w:t xml:space="preserve">such a </w:t>
      </w:r>
      <w:r w:rsidR="007A31F5">
        <w:rPr>
          <w:bCs/>
          <w:szCs w:val="24"/>
        </w:rPr>
        <w:t>chained bureaucrat</w:t>
      </w:r>
      <w:r w:rsidRPr="00146AE1">
        <w:rPr>
          <w:bCs/>
          <w:szCs w:val="24"/>
        </w:rPr>
        <w:t xml:space="preserve"> by engaging in the complex challenge of measuring the prosecutions</w:t>
      </w:r>
      <w:r w:rsidR="007A31F5">
        <w:rPr>
          <w:bCs/>
          <w:szCs w:val="24"/>
        </w:rPr>
        <w:t>’ effectiveness</w:t>
      </w:r>
      <w:r w:rsidRPr="00146AE1">
        <w:rPr>
          <w:bCs/>
          <w:szCs w:val="24"/>
        </w:rPr>
        <w:t xml:space="preserve"> </w:t>
      </w:r>
      <w:r w:rsidR="007A31F5">
        <w:rPr>
          <w:bCs/>
          <w:szCs w:val="24"/>
        </w:rPr>
        <w:t>in achieving</w:t>
      </w:r>
      <w:r w:rsidRPr="00146AE1">
        <w:rPr>
          <w:bCs/>
          <w:szCs w:val="24"/>
        </w:rPr>
        <w:t xml:space="preserve"> essential outcomes within the audiences she ultimately serves. In do</w:t>
      </w:r>
      <w:r w:rsidR="005E0BDD" w:rsidRPr="00146AE1">
        <w:rPr>
          <w:bCs/>
          <w:szCs w:val="24"/>
        </w:rPr>
        <w:t xml:space="preserve">ing </w:t>
      </w:r>
      <w:r w:rsidR="00590382" w:rsidRPr="00146AE1">
        <w:rPr>
          <w:bCs/>
          <w:szCs w:val="24"/>
        </w:rPr>
        <w:t xml:space="preserve">so, she may help </w:t>
      </w:r>
      <w:r w:rsidRPr="00146AE1">
        <w:rPr>
          <w:bCs/>
          <w:szCs w:val="24"/>
        </w:rPr>
        <w:t>recover much-needed faith in the w</w:t>
      </w:r>
      <w:r w:rsidR="007A31F5">
        <w:rPr>
          <w:bCs/>
          <w:szCs w:val="24"/>
        </w:rPr>
        <w:t>orthiness of her endeavour.</w:t>
      </w:r>
    </w:p>
    <w:p w:rsidR="00312544" w:rsidRPr="00146AE1" w:rsidRDefault="00312544">
      <w:pPr>
        <w:jc w:val="both"/>
        <w:rPr>
          <w:bCs/>
          <w:szCs w:val="24"/>
        </w:rPr>
      </w:pPr>
    </w:p>
    <w:p w:rsidR="008B3FBE" w:rsidRPr="00146AE1" w:rsidRDefault="008B3FBE">
      <w:pPr>
        <w:jc w:val="both"/>
        <w:rPr>
          <w:szCs w:val="24"/>
        </w:rPr>
      </w:pPr>
    </w:p>
    <w:sectPr w:rsidR="008B3FBE" w:rsidRPr="00146AE1" w:rsidSect="00227276">
      <w:footerReference w:type="even" r:id="rId8"/>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EB578E" w15:done="0"/>
  <w15:commentEx w15:paraId="317BAD00" w15:done="0"/>
  <w15:commentEx w15:paraId="708ACB68" w15:done="0"/>
  <w15:commentEx w15:paraId="17AA5968" w15:done="0"/>
  <w15:commentEx w15:paraId="407CD4E6" w15:done="0"/>
  <w15:commentEx w15:paraId="69937A0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EBC" w:rsidRDefault="008C5EBC" w:rsidP="00312544">
      <w:pPr>
        <w:spacing w:line="240" w:lineRule="auto"/>
      </w:pPr>
      <w:r>
        <w:separator/>
      </w:r>
    </w:p>
  </w:endnote>
  <w:endnote w:type="continuationSeparator" w:id="0">
    <w:p w:rsidR="008C5EBC" w:rsidRDefault="008C5EBC" w:rsidP="00312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C9" w:rsidRDefault="00D456C9" w:rsidP="00FB4004">
    <w:pPr>
      <w:pStyle w:val="Footer"/>
      <w:framePr w:wrap="around"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end"/>
    </w:r>
  </w:p>
  <w:p w:rsidR="00D456C9" w:rsidRDefault="00D456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C9" w:rsidRDefault="00D456C9" w:rsidP="00FB4004">
    <w:pPr>
      <w:pStyle w:val="Footer"/>
      <w:framePr w:wrap="around"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separate"/>
    </w:r>
    <w:r w:rsidR="008C5EBC">
      <w:rPr>
        <w:rStyle w:val="PageNumber0"/>
        <w:noProof/>
      </w:rPr>
      <w:t>1</w:t>
    </w:r>
    <w:r>
      <w:rPr>
        <w:rStyle w:val="PageNumber0"/>
      </w:rPr>
      <w:fldChar w:fldCharType="end"/>
    </w:r>
  </w:p>
  <w:p w:rsidR="00D456C9" w:rsidRDefault="00D45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EBC" w:rsidRDefault="008C5EBC" w:rsidP="00312544">
      <w:pPr>
        <w:spacing w:line="240" w:lineRule="auto"/>
      </w:pPr>
      <w:r>
        <w:separator/>
      </w:r>
    </w:p>
  </w:footnote>
  <w:footnote w:type="continuationSeparator" w:id="0">
    <w:p w:rsidR="008C5EBC" w:rsidRDefault="008C5EBC" w:rsidP="00312544">
      <w:pPr>
        <w:spacing w:line="240" w:lineRule="auto"/>
      </w:pPr>
      <w:r>
        <w:continuationSeparator/>
      </w:r>
    </w:p>
  </w:footnote>
  <w:footnote w:id="1">
    <w:p w:rsidR="00D456C9" w:rsidRDefault="00D456C9" w:rsidP="007E5BAC">
      <w:pPr>
        <w:pStyle w:val="FootnoteText"/>
        <w:jc w:val="both"/>
        <w:rPr>
          <w:sz w:val="20"/>
        </w:rPr>
      </w:pPr>
      <w:r w:rsidRPr="00985567">
        <w:rPr>
          <w:rStyle w:val="FootnoteReference"/>
          <w:vertAlign w:val="baseline"/>
        </w:rPr>
        <w:sym w:font="Symbol" w:char="F02A"/>
      </w:r>
      <w:r w:rsidRPr="00AB411F">
        <w:rPr>
          <w:sz w:val="20"/>
        </w:rPr>
        <w:t xml:space="preserve"> </w:t>
      </w:r>
      <w:r w:rsidRPr="00824076">
        <w:rPr>
          <w:sz w:val="20"/>
        </w:rPr>
        <w:t xml:space="preserve">I would like to thank David McGrogan, Robert C. Blitt and Sarah Dadush for helpful comments on a draft of this article. I am also grateful to Luke Moffett and Alison Bisset for feedback on a much earlier version. </w:t>
      </w:r>
      <w:r w:rsidRPr="0056350B">
        <w:rPr>
          <w:sz w:val="20"/>
        </w:rPr>
        <w:t>[</w:t>
      </w:r>
      <w:r w:rsidRPr="0056350B">
        <w:rPr>
          <w:rFonts w:cs="Arial"/>
          <w:color w:val="000000"/>
          <w:sz w:val="20"/>
          <w:shd w:val="clear" w:color="auto" w:fill="EEEEEE"/>
        </w:rPr>
        <w:t>birju.kotecha@northumbria.ac.uk]</w:t>
      </w:r>
    </w:p>
  </w:footnote>
  <w:footnote w:id="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C. Pollit, ‘Beyond the Managerial Model: The Case for Broadening Performance Assessment in the Government and the Public Services’, 2 </w:t>
      </w:r>
      <w:r w:rsidRPr="00824076">
        <w:rPr>
          <w:i/>
          <w:sz w:val="20"/>
        </w:rPr>
        <w:t>Financial Accountability and Management</w:t>
      </w:r>
      <w:r w:rsidRPr="00824076">
        <w:rPr>
          <w:sz w:val="20"/>
        </w:rPr>
        <w:t xml:space="preserve"> (1986) 155-169, at 160.</w:t>
      </w:r>
      <w:r w:rsidR="0056350B">
        <w:rPr>
          <w:sz w:val="20"/>
        </w:rPr>
        <w:t xml:space="preserve">  </w:t>
      </w:r>
    </w:p>
  </w:footnote>
  <w:footnote w:id="3">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rFonts w:cs="Times New Roman"/>
          <w:sz w:val="20"/>
        </w:rPr>
        <w:t xml:space="preserve">A. Stevenson (ed.), </w:t>
      </w:r>
      <w:r w:rsidRPr="00824076">
        <w:rPr>
          <w:rFonts w:cs="Times New Roman"/>
          <w:i/>
          <w:sz w:val="20"/>
        </w:rPr>
        <w:t xml:space="preserve">Oxford Dictionary of English </w:t>
      </w:r>
      <w:r w:rsidRPr="00824076">
        <w:rPr>
          <w:rFonts w:cs="Times New Roman"/>
          <w:sz w:val="20"/>
        </w:rPr>
        <w:t>(3</w:t>
      </w:r>
      <w:r w:rsidRPr="00985567">
        <w:rPr>
          <w:rFonts w:cs="Times New Roman"/>
          <w:sz w:val="20"/>
        </w:rPr>
        <w:t>rd</w:t>
      </w:r>
      <w:r w:rsidRPr="00824076">
        <w:rPr>
          <w:rFonts w:cs="Times New Roman"/>
          <w:sz w:val="20"/>
        </w:rPr>
        <w:t xml:space="preserve"> edn., Oxford University Press, 2010), at 1320.</w:t>
      </w:r>
    </w:p>
  </w:footnote>
  <w:footnote w:id="4">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International Criminal Court Office of the Prosecutor (ICC OTP), </w:t>
      </w:r>
      <w:r w:rsidRPr="00824076">
        <w:rPr>
          <w:i/>
          <w:sz w:val="20"/>
        </w:rPr>
        <w:t>Strategic plan June 2012-2015</w:t>
      </w:r>
      <w:r w:rsidRPr="00824076">
        <w:rPr>
          <w:sz w:val="20"/>
        </w:rPr>
        <w:t>, 11 October 2013, § 82.</w:t>
      </w:r>
    </w:p>
  </w:footnote>
  <w:footnote w:id="5">
    <w:p w:rsidR="00D456C9" w:rsidRPr="00824076" w:rsidRDefault="00D456C9" w:rsidP="007E5BAC">
      <w:pPr>
        <w:pStyle w:val="FootnoteText"/>
        <w:jc w:val="both"/>
        <w:rPr>
          <w:sz w:val="20"/>
        </w:rPr>
      </w:pPr>
      <w:r w:rsidRPr="00824076">
        <w:rPr>
          <w:rStyle w:val="FootnoteReference"/>
        </w:rPr>
        <w:footnoteRef/>
      </w:r>
      <w:r w:rsidRPr="00824076">
        <w:rPr>
          <w:sz w:val="20"/>
        </w:rPr>
        <w:t xml:space="preserve"> R.D Behn, ‘Why Measure Performance? Different Purposes Requires Different Measures’, 63 </w:t>
      </w:r>
      <w:r w:rsidRPr="00824076">
        <w:rPr>
          <w:i/>
          <w:sz w:val="20"/>
        </w:rPr>
        <w:t>Public Administration Review</w:t>
      </w:r>
      <w:r w:rsidRPr="00824076">
        <w:rPr>
          <w:sz w:val="20"/>
        </w:rPr>
        <w:t xml:space="preserve"> (2003) 586-606, at 586</w:t>
      </w:r>
    </w:p>
  </w:footnote>
  <w:footnote w:id="6">
    <w:p w:rsidR="00D456C9" w:rsidRPr="00824076" w:rsidRDefault="00D456C9" w:rsidP="007E5BAC">
      <w:pPr>
        <w:pStyle w:val="FootnoteText"/>
        <w:jc w:val="both"/>
        <w:rPr>
          <w:sz w:val="20"/>
        </w:rPr>
      </w:pPr>
      <w:r w:rsidRPr="00824076">
        <w:rPr>
          <w:rStyle w:val="FootnoteReference"/>
        </w:rPr>
        <w:footnoteRef/>
      </w:r>
      <w:r w:rsidRPr="00824076">
        <w:rPr>
          <w:sz w:val="20"/>
        </w:rPr>
        <w:t xml:space="preserve"> D. Osborne and T. Gaebler, </w:t>
      </w:r>
      <w:r w:rsidRPr="00824076">
        <w:rPr>
          <w:i/>
          <w:sz w:val="20"/>
        </w:rPr>
        <w:t>Reinventing Government: How the Entrepreneurial Spirit is Transforming the Public Sector</w:t>
      </w:r>
      <w:r w:rsidRPr="00824076">
        <w:rPr>
          <w:sz w:val="20"/>
        </w:rPr>
        <w:t xml:space="preserve"> (Addison-Wesley, 1992), at 146. </w:t>
      </w:r>
    </w:p>
  </w:footnote>
  <w:footnote w:id="7">
    <w:p w:rsidR="00D456C9" w:rsidRPr="00824076" w:rsidRDefault="00D456C9" w:rsidP="007E5BAC">
      <w:pPr>
        <w:pStyle w:val="FootnoteText"/>
        <w:jc w:val="both"/>
        <w:rPr>
          <w:sz w:val="20"/>
        </w:rPr>
      </w:pPr>
      <w:r w:rsidRPr="00824076">
        <w:rPr>
          <w:rStyle w:val="FootnoteReference"/>
        </w:rPr>
        <w:footnoteRef/>
      </w:r>
      <w:r w:rsidRPr="00824076">
        <w:rPr>
          <w:sz w:val="20"/>
        </w:rPr>
        <w:t xml:space="preserve"> B. Townley, D.J. Cooper and L. Oakes, ‘Performance Measures and the Rationalisation of Organizations’, 24</w:t>
      </w:r>
      <w:r w:rsidRPr="00824076">
        <w:rPr>
          <w:i/>
          <w:sz w:val="20"/>
        </w:rPr>
        <w:t xml:space="preserve"> Organization Studies</w:t>
      </w:r>
      <w:r w:rsidRPr="00824076">
        <w:rPr>
          <w:sz w:val="20"/>
        </w:rPr>
        <w:t xml:space="preserve"> (2003) 1045-1071, at 1060.</w:t>
      </w:r>
    </w:p>
  </w:footnote>
  <w:footnote w:id="8">
    <w:p w:rsidR="00D456C9" w:rsidRPr="00824076" w:rsidRDefault="00D456C9" w:rsidP="007E5BAC">
      <w:pPr>
        <w:pStyle w:val="FootnoteText"/>
        <w:jc w:val="both"/>
        <w:rPr>
          <w:sz w:val="20"/>
        </w:rPr>
      </w:pPr>
      <w:r w:rsidRPr="00824076">
        <w:rPr>
          <w:rStyle w:val="FootnoteReference"/>
        </w:rPr>
        <w:footnoteRef/>
      </w:r>
      <w:r w:rsidRPr="00824076">
        <w:rPr>
          <w:sz w:val="20"/>
        </w:rPr>
        <w:t xml:space="preserve"> N. Carter, ‘Performance Indicators: ‘back-seat driving or ‘hands off control’, 17 </w:t>
      </w:r>
      <w:r w:rsidRPr="00824076">
        <w:rPr>
          <w:i/>
          <w:sz w:val="20"/>
        </w:rPr>
        <w:t>Policy and Politics</w:t>
      </w:r>
      <w:r w:rsidRPr="00824076">
        <w:rPr>
          <w:sz w:val="20"/>
        </w:rPr>
        <w:t xml:space="preserve"> (1989) 131-138, at 132.</w:t>
      </w:r>
    </w:p>
  </w:footnote>
  <w:footnote w:id="9">
    <w:p w:rsidR="00D456C9" w:rsidRPr="00824076" w:rsidRDefault="00D456C9" w:rsidP="007E5BAC">
      <w:pPr>
        <w:pStyle w:val="FootnoteText"/>
        <w:jc w:val="both"/>
        <w:rPr>
          <w:sz w:val="20"/>
        </w:rPr>
      </w:pPr>
      <w:r w:rsidRPr="00824076">
        <w:rPr>
          <w:rStyle w:val="FootnoteReference"/>
        </w:rPr>
        <w:footnoteRef/>
      </w:r>
      <w:r w:rsidRPr="00824076">
        <w:rPr>
          <w:sz w:val="20"/>
        </w:rPr>
        <w:t xml:space="preserve"> N. Carter, ‘Learning to Measure Performance: The Use of Indicators in Organizations’, 69 </w:t>
      </w:r>
      <w:r w:rsidRPr="00824076">
        <w:rPr>
          <w:i/>
          <w:sz w:val="20"/>
        </w:rPr>
        <w:t xml:space="preserve">Public Administration </w:t>
      </w:r>
      <w:r w:rsidRPr="00824076">
        <w:rPr>
          <w:sz w:val="20"/>
        </w:rPr>
        <w:t xml:space="preserve">(1991) 85-101, at 90. See also K.E. Davis, B. Kingsbury, S.E. Merry, ‘Introduction: Global Governance by Indicators’, in K.E. Davis et al. (eds), </w:t>
      </w:r>
      <w:r w:rsidRPr="00824076">
        <w:rPr>
          <w:i/>
          <w:sz w:val="20"/>
        </w:rPr>
        <w:t>Governance by Indicators: Global Power Through Quantification and Rankings</w:t>
      </w:r>
      <w:r w:rsidRPr="00824076">
        <w:rPr>
          <w:sz w:val="20"/>
        </w:rPr>
        <w:t xml:space="preserve"> (Oxford University Press, 2012) 3-28.</w:t>
      </w:r>
    </w:p>
  </w:footnote>
  <w:footnote w:id="10">
    <w:p w:rsidR="00D456C9" w:rsidRPr="00824076" w:rsidRDefault="00D456C9" w:rsidP="007E5BAC">
      <w:pPr>
        <w:pStyle w:val="FootnoteText"/>
        <w:jc w:val="both"/>
        <w:rPr>
          <w:sz w:val="20"/>
        </w:rPr>
      </w:pPr>
      <w:r w:rsidRPr="00824076">
        <w:rPr>
          <w:rStyle w:val="FootnoteReference"/>
        </w:rPr>
        <w:footnoteRef/>
      </w:r>
      <w:r w:rsidRPr="00824076">
        <w:rPr>
          <w:sz w:val="20"/>
        </w:rPr>
        <w:t xml:space="preserve"> Behn, </w:t>
      </w:r>
      <w:r w:rsidRPr="00824076">
        <w:rPr>
          <w:i/>
          <w:sz w:val="20"/>
        </w:rPr>
        <w:t xml:space="preserve">supra </w:t>
      </w:r>
      <w:r w:rsidRPr="00824076">
        <w:rPr>
          <w:sz w:val="20"/>
        </w:rPr>
        <w:t>note 4, at 588</w:t>
      </w:r>
      <w:r w:rsidR="000C0BA3">
        <w:rPr>
          <w:sz w:val="20"/>
        </w:rPr>
        <w:t>.</w:t>
      </w:r>
    </w:p>
  </w:footnote>
  <w:footnote w:id="11">
    <w:p w:rsidR="00D456C9" w:rsidRPr="00824076" w:rsidRDefault="00D456C9" w:rsidP="007E5BAC">
      <w:pPr>
        <w:pStyle w:val="FootnoteText"/>
        <w:jc w:val="both"/>
        <w:rPr>
          <w:sz w:val="20"/>
        </w:rPr>
      </w:pPr>
      <w:r w:rsidRPr="00824076">
        <w:rPr>
          <w:rStyle w:val="FootnoteReference"/>
        </w:rPr>
        <w:footnoteRef/>
      </w:r>
      <w:r w:rsidRPr="00824076">
        <w:rPr>
          <w:sz w:val="20"/>
        </w:rPr>
        <w:t xml:space="preserve"> M. Power, </w:t>
      </w:r>
      <w:r w:rsidRPr="00824076">
        <w:rPr>
          <w:i/>
          <w:sz w:val="20"/>
        </w:rPr>
        <w:t xml:space="preserve">The Audit Society: Rituals of Verification </w:t>
      </w:r>
      <w:r w:rsidRPr="00824076">
        <w:rPr>
          <w:sz w:val="20"/>
        </w:rPr>
        <w:t>(Oxford University Press, 1997), at 6-10.</w:t>
      </w:r>
    </w:p>
  </w:footnote>
  <w:footnote w:id="1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Pollit, </w:t>
      </w:r>
      <w:r w:rsidRPr="00824076">
        <w:rPr>
          <w:i/>
          <w:sz w:val="20"/>
        </w:rPr>
        <w:t>supra</w:t>
      </w:r>
      <w:r w:rsidRPr="00824076">
        <w:rPr>
          <w:sz w:val="20"/>
        </w:rPr>
        <w:t xml:space="preserve"> note 1, at 163. </w:t>
      </w:r>
    </w:p>
  </w:footnote>
  <w:footnote w:id="13">
    <w:p w:rsidR="00D456C9" w:rsidRPr="00824076" w:rsidRDefault="00D456C9" w:rsidP="007E5BAC">
      <w:pPr>
        <w:spacing w:line="240" w:lineRule="auto"/>
        <w:jc w:val="both"/>
        <w:rPr>
          <w:sz w:val="20"/>
          <w:szCs w:val="20"/>
        </w:rPr>
      </w:pPr>
      <w:r w:rsidRPr="00824076">
        <w:rPr>
          <w:rStyle w:val="FootnoteReference"/>
          <w:szCs w:val="20"/>
        </w:rPr>
        <w:footnoteRef/>
      </w:r>
      <w:r w:rsidRPr="00824076">
        <w:rPr>
          <w:sz w:val="20"/>
          <w:szCs w:val="20"/>
        </w:rPr>
        <w:t xml:space="preserve"> </w:t>
      </w:r>
      <w:r w:rsidRPr="00985567">
        <w:rPr>
          <w:sz w:val="20"/>
          <w:szCs w:val="20"/>
        </w:rPr>
        <w:t xml:space="preserve">ICC </w:t>
      </w:r>
      <w:r w:rsidRPr="00824076">
        <w:rPr>
          <w:sz w:val="20"/>
          <w:szCs w:val="20"/>
        </w:rPr>
        <w:t xml:space="preserve">Assembly of States Parties (ASP), </w:t>
      </w:r>
      <w:r w:rsidRPr="00824076">
        <w:rPr>
          <w:i/>
          <w:sz w:val="20"/>
          <w:szCs w:val="20"/>
        </w:rPr>
        <w:t>Strengthening the International Criminal Court and Assembly of States Parties</w:t>
      </w:r>
      <w:r w:rsidRPr="00824076">
        <w:rPr>
          <w:sz w:val="20"/>
          <w:szCs w:val="20"/>
        </w:rPr>
        <w:t>,</w:t>
      </w:r>
      <w:r w:rsidR="0056350B">
        <w:rPr>
          <w:sz w:val="20"/>
          <w:szCs w:val="20"/>
        </w:rPr>
        <w:t xml:space="preserve">  </w:t>
      </w:r>
      <w:r w:rsidRPr="00824076">
        <w:rPr>
          <w:sz w:val="20"/>
          <w:szCs w:val="20"/>
        </w:rPr>
        <w:t>ICC-ASP/13/Res.5, 17 December 2014, § 7(b) calling on ‘the Court to intensify its efforts to enhance the efficiency and effectiveness of proceedings [and] to intensify its efforts to develop qualitative and quantitative indicators that would allow the Court to demonstrate better its achievements and needs, as well as allowing State Parties to assess the Court’s performance in a more strategic manner.’ To date</w:t>
      </w:r>
      <w:r>
        <w:rPr>
          <w:sz w:val="20"/>
          <w:szCs w:val="20"/>
        </w:rPr>
        <w:t>,</w:t>
      </w:r>
      <w:r w:rsidRPr="00824076">
        <w:rPr>
          <w:sz w:val="20"/>
          <w:szCs w:val="20"/>
        </w:rPr>
        <w:t xml:space="preserve"> the only non-ICC literature on ICC performance indicators is constituted by briefings and consultation documents that have been developed in collaboration with the Court. </w:t>
      </w:r>
      <w:r w:rsidRPr="00824076">
        <w:rPr>
          <w:rFonts w:eastAsiaTheme="minorEastAsia" w:cs="Times New Roman"/>
          <w:sz w:val="20"/>
          <w:szCs w:val="20"/>
          <w:lang w:eastAsia="zh-CN"/>
        </w:rPr>
        <w:t xml:space="preserve">See Open Society Foundations Open Society Justice Initiative, </w:t>
      </w:r>
      <w:r w:rsidRPr="00824076">
        <w:rPr>
          <w:rFonts w:eastAsiaTheme="minorEastAsia" w:cs="Times New Roman"/>
          <w:i/>
          <w:sz w:val="20"/>
          <w:szCs w:val="20"/>
          <w:lang w:eastAsia="zh-CN"/>
        </w:rPr>
        <w:t>Establishing Performance Indicators for the International Criminal Court Briefing Paper</w:t>
      </w:r>
      <w:r w:rsidRPr="00824076">
        <w:rPr>
          <w:rFonts w:eastAsiaTheme="minorEastAsia" w:cs="Times New Roman"/>
          <w:sz w:val="20"/>
          <w:szCs w:val="20"/>
          <w:lang w:eastAsia="zh-CN"/>
        </w:rPr>
        <w:t xml:space="preserve">, November 2015, available online at </w:t>
      </w:r>
      <w:hyperlink r:id="rId1" w:history="1">
        <w:r w:rsidRPr="00824076">
          <w:rPr>
            <w:rFonts w:eastAsiaTheme="minorEastAsia" w:cs="Times New Roman"/>
            <w:color w:val="0563C1" w:themeColor="hyperlink"/>
            <w:sz w:val="20"/>
            <w:szCs w:val="20"/>
            <w:u w:val="single"/>
            <w:lang w:eastAsia="zh-CN"/>
          </w:rPr>
          <w:t>https://www.opensocietyfoundations.org/sites/default/files/briefing-icc-perforamnce-indicators-20151208.pdf</w:t>
        </w:r>
      </w:hyperlink>
      <w:r w:rsidRPr="00824076">
        <w:rPr>
          <w:rFonts w:eastAsiaTheme="minorEastAsia" w:cs="Times New Roman"/>
          <w:sz w:val="20"/>
          <w:szCs w:val="20"/>
          <w:lang w:eastAsia="zh-CN"/>
        </w:rPr>
        <w:t xml:space="preserve"> (visited </w:t>
      </w:r>
      <w:r>
        <w:rPr>
          <w:rFonts w:eastAsiaTheme="minorEastAsia" w:cs="Times New Roman"/>
          <w:sz w:val="20"/>
          <w:szCs w:val="20"/>
          <w:lang w:eastAsia="zh-CN"/>
        </w:rPr>
        <w:t>1 June</w:t>
      </w:r>
      <w:r w:rsidRPr="00824076">
        <w:rPr>
          <w:rFonts w:eastAsiaTheme="minorEastAsia" w:cs="Times New Roman"/>
          <w:sz w:val="20"/>
          <w:szCs w:val="20"/>
          <w:lang w:eastAsia="zh-CN"/>
        </w:rPr>
        <w:t xml:space="preserve"> 2017);</w:t>
      </w:r>
      <w:r w:rsidRPr="00824076">
        <w:rPr>
          <w:rFonts w:eastAsiaTheme="minorEastAsia"/>
          <w:sz w:val="20"/>
          <w:szCs w:val="20"/>
          <w:lang w:eastAsia="zh-CN"/>
        </w:rPr>
        <w:t xml:space="preserve"> </w:t>
      </w:r>
      <w:r w:rsidRPr="00824076">
        <w:rPr>
          <w:sz w:val="20"/>
          <w:szCs w:val="20"/>
        </w:rPr>
        <w:t xml:space="preserve">Federal Department of Foreign Affairs of Switzerland, ‘International Criminal Court Retreat on Performance Indicators’, 24 May 2016, available online at </w:t>
      </w:r>
      <w:hyperlink r:id="rId2" w:history="1">
        <w:r w:rsidRPr="00824076">
          <w:rPr>
            <w:rStyle w:val="Hyperlink"/>
            <w:sz w:val="20"/>
            <w:szCs w:val="20"/>
          </w:rPr>
          <w:t>https://www.eda.admin.ch/content/dam/eda/en/documents/aussenpolitik/voelkerrecht/2016-criminal-court-conveno-srummary_EN.pdf</w:t>
        </w:r>
      </w:hyperlink>
      <w:r w:rsidRPr="00824076">
        <w:rPr>
          <w:sz w:val="20"/>
          <w:szCs w:val="20"/>
        </w:rPr>
        <w:t xml:space="preserve"> </w:t>
      </w:r>
      <w:r w:rsidRPr="00824076">
        <w:rPr>
          <w:rFonts w:eastAsiaTheme="minorEastAsia" w:cs="Times New Roman"/>
          <w:sz w:val="20"/>
          <w:szCs w:val="20"/>
          <w:lang w:eastAsia="zh-CN"/>
        </w:rPr>
        <w:t xml:space="preserve">(visited </w:t>
      </w:r>
      <w:r>
        <w:rPr>
          <w:rFonts w:eastAsiaTheme="minorEastAsia" w:cs="Times New Roman"/>
          <w:sz w:val="20"/>
          <w:szCs w:val="20"/>
          <w:lang w:eastAsia="zh-CN"/>
        </w:rPr>
        <w:t>1 June</w:t>
      </w:r>
      <w:r w:rsidRPr="00824076">
        <w:rPr>
          <w:rFonts w:eastAsiaTheme="minorEastAsia" w:cs="Times New Roman"/>
          <w:sz w:val="20"/>
          <w:szCs w:val="20"/>
          <w:lang w:eastAsia="zh-CN"/>
        </w:rPr>
        <w:t xml:space="preserve"> 2017).</w:t>
      </w:r>
    </w:p>
    <w:p w:rsidR="00D456C9" w:rsidRPr="00824076" w:rsidRDefault="00D456C9" w:rsidP="007E5BAC">
      <w:pPr>
        <w:pStyle w:val="FootnoteText"/>
        <w:snapToGrid w:val="0"/>
        <w:jc w:val="both"/>
        <w:rPr>
          <w:sz w:val="20"/>
        </w:rPr>
      </w:pPr>
    </w:p>
  </w:footnote>
  <w:footnote w:id="14">
    <w:p w:rsidR="00D456C9" w:rsidRPr="00824076" w:rsidRDefault="00D456C9" w:rsidP="007E5BAC">
      <w:pPr>
        <w:pStyle w:val="FootnoteText"/>
        <w:jc w:val="both"/>
        <w:rPr>
          <w:sz w:val="20"/>
        </w:rPr>
      </w:pPr>
      <w:r w:rsidRPr="00824076">
        <w:rPr>
          <w:rStyle w:val="FootnoteReference"/>
        </w:rPr>
        <w:footnoteRef/>
      </w:r>
      <w:r w:rsidRPr="00824076">
        <w:rPr>
          <w:sz w:val="20"/>
        </w:rPr>
        <w:t xml:space="preserve"> See ICC OTP, </w:t>
      </w:r>
      <w:r w:rsidRPr="00824076">
        <w:rPr>
          <w:i/>
          <w:sz w:val="20"/>
        </w:rPr>
        <w:t>Strategic plan June 2012-2015</w:t>
      </w:r>
      <w:r w:rsidRPr="00824076">
        <w:rPr>
          <w:sz w:val="20"/>
        </w:rPr>
        <w:t>, 11 October 2013, §§ 94-98.</w:t>
      </w:r>
    </w:p>
  </w:footnote>
  <w:footnote w:id="15">
    <w:p w:rsidR="00D456C9" w:rsidRPr="00824076" w:rsidRDefault="00D456C9" w:rsidP="007E5BAC">
      <w:pPr>
        <w:pStyle w:val="FootnoteText"/>
        <w:jc w:val="both"/>
        <w:rPr>
          <w:sz w:val="20"/>
        </w:rPr>
      </w:pPr>
      <w:r w:rsidRPr="00824076">
        <w:rPr>
          <w:rStyle w:val="FootnoteReference"/>
        </w:rPr>
        <w:footnoteRef/>
      </w:r>
      <w:r w:rsidRPr="00824076">
        <w:rPr>
          <w:sz w:val="20"/>
        </w:rPr>
        <w:t xml:space="preserve"> Davis, Kingsbury and Merry, </w:t>
      </w:r>
      <w:r w:rsidRPr="00824076">
        <w:rPr>
          <w:i/>
          <w:sz w:val="20"/>
        </w:rPr>
        <w:t>supra</w:t>
      </w:r>
      <w:r w:rsidRPr="00824076">
        <w:rPr>
          <w:sz w:val="20"/>
        </w:rPr>
        <w:t xml:space="preserve"> note 8, at 9-10</w:t>
      </w:r>
      <w:r>
        <w:rPr>
          <w:sz w:val="20"/>
        </w:rPr>
        <w:t>.</w:t>
      </w:r>
    </w:p>
  </w:footnote>
  <w:footnote w:id="16">
    <w:p w:rsidR="00D456C9" w:rsidRPr="00824076" w:rsidRDefault="00D456C9" w:rsidP="007E5BAC">
      <w:pPr>
        <w:pStyle w:val="FootnoteText"/>
        <w:jc w:val="both"/>
        <w:rPr>
          <w:i/>
          <w:sz w:val="20"/>
        </w:rPr>
      </w:pPr>
      <w:r w:rsidRPr="00824076">
        <w:rPr>
          <w:rStyle w:val="FootnoteReference"/>
        </w:rPr>
        <w:footnoteRef/>
      </w:r>
      <w:r w:rsidRPr="00824076">
        <w:rPr>
          <w:sz w:val="20"/>
        </w:rPr>
        <w:t xml:space="preserve"> </w:t>
      </w:r>
      <w:r w:rsidRPr="00824076">
        <w:rPr>
          <w:i/>
          <w:sz w:val="20"/>
        </w:rPr>
        <w:t>Ibid.</w:t>
      </w:r>
    </w:p>
  </w:footnote>
  <w:footnote w:id="17">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W.N. Espeland and M. Sauder, ‘The Dynamism of Indicators’, in Davis</w:t>
      </w:r>
      <w:r w:rsidR="009B0058">
        <w:rPr>
          <w:sz w:val="20"/>
        </w:rPr>
        <w:t xml:space="preserve"> et al. (eds)</w:t>
      </w:r>
      <w:r w:rsidRPr="00824076">
        <w:rPr>
          <w:sz w:val="20"/>
        </w:rPr>
        <w:t xml:space="preserve">, </w:t>
      </w:r>
      <w:r w:rsidRPr="00824076">
        <w:rPr>
          <w:i/>
          <w:sz w:val="20"/>
        </w:rPr>
        <w:t>supra</w:t>
      </w:r>
      <w:r w:rsidRPr="00824076">
        <w:rPr>
          <w:sz w:val="20"/>
        </w:rPr>
        <w:t xml:space="preserve"> note 8, 86-109, at 87, 93.</w:t>
      </w:r>
      <w:r w:rsidR="0056350B">
        <w:rPr>
          <w:sz w:val="20"/>
        </w:rPr>
        <w:t xml:space="preserve">  </w:t>
      </w:r>
    </w:p>
  </w:footnote>
  <w:footnote w:id="18">
    <w:p w:rsidR="00D456C9" w:rsidRPr="00824076" w:rsidRDefault="00D456C9" w:rsidP="007E5BAC">
      <w:pPr>
        <w:pStyle w:val="FootnoteText"/>
        <w:jc w:val="both"/>
        <w:rPr>
          <w:sz w:val="20"/>
        </w:rPr>
      </w:pPr>
      <w:r w:rsidRPr="00824076">
        <w:rPr>
          <w:rStyle w:val="FootnoteReference"/>
        </w:rPr>
        <w:footnoteRef/>
      </w:r>
      <w:r w:rsidRPr="00824076">
        <w:rPr>
          <w:sz w:val="20"/>
        </w:rPr>
        <w:t xml:space="preserve"> Davis, Kingsbury and Merry, </w:t>
      </w:r>
      <w:r w:rsidRPr="00824076">
        <w:rPr>
          <w:i/>
          <w:sz w:val="20"/>
        </w:rPr>
        <w:t>supra</w:t>
      </w:r>
      <w:r w:rsidRPr="00824076">
        <w:rPr>
          <w:sz w:val="20"/>
        </w:rPr>
        <w:t xml:space="preserve"> note 8, at 10.</w:t>
      </w:r>
    </w:p>
  </w:footnote>
  <w:footnote w:id="19">
    <w:p w:rsidR="00D456C9" w:rsidRPr="00824076" w:rsidRDefault="00D456C9" w:rsidP="007E5BAC">
      <w:pPr>
        <w:pStyle w:val="FootnoteText"/>
        <w:jc w:val="both"/>
        <w:rPr>
          <w:sz w:val="20"/>
        </w:rPr>
      </w:pPr>
      <w:r w:rsidRPr="00824076">
        <w:rPr>
          <w:rStyle w:val="FootnoteReference"/>
        </w:rPr>
        <w:footnoteRef/>
      </w:r>
      <w:r w:rsidRPr="00824076">
        <w:rPr>
          <w:sz w:val="20"/>
        </w:rPr>
        <w:t xml:space="preserve"> For one of many sceptical accounts, see P. Akhavan, ‘The Rise and Fall and Rise of International Criminal Justice’</w:t>
      </w:r>
      <w:r>
        <w:rPr>
          <w:sz w:val="20"/>
        </w:rPr>
        <w:t>,</w:t>
      </w:r>
      <w:r w:rsidRPr="00824076">
        <w:rPr>
          <w:sz w:val="20"/>
        </w:rPr>
        <w:t xml:space="preserve"> 11 </w:t>
      </w:r>
      <w:r w:rsidRPr="00824076">
        <w:rPr>
          <w:i/>
          <w:sz w:val="20"/>
        </w:rPr>
        <w:t>Journal of International Criminal Justice</w:t>
      </w:r>
      <w:r w:rsidRPr="00824076">
        <w:rPr>
          <w:sz w:val="20"/>
        </w:rPr>
        <w:t xml:space="preserve"> (2013) 527-536.</w:t>
      </w:r>
    </w:p>
  </w:footnote>
  <w:footnote w:id="20">
    <w:p w:rsidR="00D456C9" w:rsidRPr="00824076" w:rsidRDefault="00D456C9" w:rsidP="007E5BAC">
      <w:pPr>
        <w:pStyle w:val="FootnoteText"/>
        <w:jc w:val="both"/>
        <w:rPr>
          <w:sz w:val="20"/>
        </w:rPr>
      </w:pPr>
      <w:r w:rsidRPr="00824076">
        <w:rPr>
          <w:rStyle w:val="FootnoteReference"/>
        </w:rPr>
        <w:footnoteRef/>
      </w:r>
      <w:r w:rsidRPr="00824076">
        <w:rPr>
          <w:sz w:val="20"/>
        </w:rPr>
        <w:t xml:space="preserve"> J. Ege and M.W. Bauer, ‘International bureaucracies from a Public Administration and International Relations perspectives’, in B. Reinalda (ed.), </w:t>
      </w:r>
      <w:r w:rsidRPr="00824076">
        <w:rPr>
          <w:i/>
          <w:sz w:val="20"/>
        </w:rPr>
        <w:t>Routledge Handbook of International Organization</w:t>
      </w:r>
      <w:r w:rsidRPr="00824076">
        <w:rPr>
          <w:sz w:val="20"/>
        </w:rPr>
        <w:t xml:space="preserve"> (Routledge, 2013) 135-149, at 135.</w:t>
      </w:r>
    </w:p>
  </w:footnote>
  <w:footnote w:id="21">
    <w:p w:rsidR="00D456C9" w:rsidRPr="00824076" w:rsidRDefault="00D456C9" w:rsidP="007E5BAC">
      <w:pPr>
        <w:pStyle w:val="FootnoteText"/>
        <w:jc w:val="both"/>
        <w:rPr>
          <w:sz w:val="20"/>
        </w:rPr>
      </w:pPr>
      <w:r w:rsidRPr="00824076">
        <w:rPr>
          <w:rStyle w:val="FootnoteReference"/>
        </w:rPr>
        <w:footnoteRef/>
      </w:r>
      <w:r w:rsidRPr="00824076">
        <w:rPr>
          <w:sz w:val="20"/>
        </w:rPr>
        <w:t xml:space="preserve"> E. Missoni and D. Alesani (eds), </w:t>
      </w:r>
      <w:r w:rsidRPr="00824076">
        <w:rPr>
          <w:i/>
          <w:sz w:val="20"/>
        </w:rPr>
        <w:t xml:space="preserve">Management of International Institutions and NGO’s: Framework, Practices and Challenges </w:t>
      </w:r>
      <w:r w:rsidRPr="00824076">
        <w:rPr>
          <w:sz w:val="20"/>
        </w:rPr>
        <w:t xml:space="preserve">(Routledge, 2013), at 3. </w:t>
      </w:r>
    </w:p>
  </w:footnote>
  <w:footnote w:id="2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Ege and Bauer, </w:t>
      </w:r>
      <w:r w:rsidRPr="00824076">
        <w:rPr>
          <w:i/>
          <w:sz w:val="20"/>
        </w:rPr>
        <w:t xml:space="preserve">supra </w:t>
      </w:r>
      <w:r w:rsidRPr="00824076">
        <w:rPr>
          <w:sz w:val="20"/>
        </w:rPr>
        <w:t xml:space="preserve">note 19, at 135. </w:t>
      </w:r>
    </w:p>
  </w:footnote>
  <w:footnote w:id="23">
    <w:p w:rsidR="00D456C9" w:rsidRPr="00824076" w:rsidRDefault="00D456C9" w:rsidP="007E5BAC">
      <w:pPr>
        <w:pStyle w:val="FootnoteText"/>
        <w:jc w:val="both"/>
        <w:rPr>
          <w:sz w:val="20"/>
        </w:rPr>
      </w:pPr>
      <w:r w:rsidRPr="00824076">
        <w:rPr>
          <w:rStyle w:val="FootnoteReference"/>
        </w:rPr>
        <w:footnoteRef/>
      </w:r>
      <w:r w:rsidRPr="00824076">
        <w:rPr>
          <w:sz w:val="20"/>
        </w:rPr>
        <w:t xml:space="preserve"> Managerialism (often synonymous with ‘New Public Management’) has been described by Christopher Pollit as a set of beliefs, practices and values that sees better management as the effective solution to economic and social ills. The origins of managerialism are commonly traced to the ideological and market-oriented reforms of traditional Weberian public bureaucracies in the 1980s and 1990s. See C. Pollitt, </w:t>
      </w:r>
      <w:r w:rsidRPr="00824076">
        <w:rPr>
          <w:i/>
          <w:sz w:val="20"/>
        </w:rPr>
        <w:t>Managerialism and the Public Services</w:t>
      </w:r>
      <w:r w:rsidRPr="00824076">
        <w:rPr>
          <w:sz w:val="20"/>
        </w:rPr>
        <w:t xml:space="preserve"> (2nd edn.,</w:t>
      </w:r>
      <w:r w:rsidR="0056350B">
        <w:rPr>
          <w:sz w:val="20"/>
        </w:rPr>
        <w:t xml:space="preserve">  </w:t>
      </w:r>
      <w:r w:rsidRPr="00824076">
        <w:rPr>
          <w:sz w:val="20"/>
        </w:rPr>
        <w:t xml:space="preserve">Blackwell Publishing, 1996) 1-10; C. Hood, ‘A Public Management for All Seasons?’ 69 </w:t>
      </w:r>
      <w:r w:rsidRPr="00824076">
        <w:rPr>
          <w:i/>
          <w:sz w:val="20"/>
        </w:rPr>
        <w:t>Public Administration</w:t>
      </w:r>
      <w:r w:rsidRPr="00824076">
        <w:rPr>
          <w:sz w:val="20"/>
        </w:rPr>
        <w:t xml:space="preserve"> (1991) 3-19, at 4-5. For a recent review of managerialism, see C. Pollitt, ‘Managerialism Redux?’ 32 </w:t>
      </w:r>
      <w:r w:rsidRPr="00824076">
        <w:rPr>
          <w:i/>
          <w:sz w:val="20"/>
        </w:rPr>
        <w:t>Financial Accountability and Management</w:t>
      </w:r>
      <w:r w:rsidRPr="00824076">
        <w:rPr>
          <w:sz w:val="20"/>
        </w:rPr>
        <w:t xml:space="preserve"> (2016) 429-446; T. Kilkauer, ‘What is Managerialism?’ 41 </w:t>
      </w:r>
      <w:r w:rsidRPr="00824076">
        <w:rPr>
          <w:i/>
          <w:sz w:val="20"/>
        </w:rPr>
        <w:t>Critical Sociology</w:t>
      </w:r>
      <w:r w:rsidRPr="00824076">
        <w:rPr>
          <w:sz w:val="20"/>
        </w:rPr>
        <w:t xml:space="preserve"> (2015) 1103-1119 and D.G. Mathiasen, ‘The New Public Management and its Critics’, 2 </w:t>
      </w:r>
      <w:r w:rsidRPr="00824076">
        <w:rPr>
          <w:i/>
          <w:sz w:val="20"/>
        </w:rPr>
        <w:t xml:space="preserve">International Public Management Journal </w:t>
      </w:r>
      <w:r w:rsidRPr="00824076">
        <w:rPr>
          <w:sz w:val="20"/>
        </w:rPr>
        <w:t>(1999)</w:t>
      </w:r>
      <w:r w:rsidRPr="00824076">
        <w:rPr>
          <w:i/>
          <w:sz w:val="20"/>
        </w:rPr>
        <w:t xml:space="preserve"> </w:t>
      </w:r>
      <w:r w:rsidRPr="00824076">
        <w:rPr>
          <w:sz w:val="20"/>
        </w:rPr>
        <w:t>90-111, at 92-93.</w:t>
      </w:r>
    </w:p>
  </w:footnote>
  <w:footnote w:id="24">
    <w:p w:rsidR="00D456C9" w:rsidRPr="00824076" w:rsidRDefault="00D456C9" w:rsidP="007E5BAC">
      <w:pPr>
        <w:pStyle w:val="FootnoteText"/>
        <w:jc w:val="both"/>
        <w:rPr>
          <w:sz w:val="20"/>
        </w:rPr>
      </w:pPr>
      <w:r w:rsidRPr="00824076">
        <w:rPr>
          <w:rStyle w:val="FootnoteReference"/>
        </w:rPr>
        <w:footnoteRef/>
      </w:r>
      <w:r w:rsidRPr="00824076">
        <w:rPr>
          <w:sz w:val="20"/>
        </w:rPr>
        <w:t xml:space="preserve"> N. Carter, R. Klein and R. Day, </w:t>
      </w:r>
      <w:r w:rsidRPr="00824076">
        <w:rPr>
          <w:i/>
          <w:sz w:val="20"/>
        </w:rPr>
        <w:t xml:space="preserve">How Organizations Measure Success: The Use of Performance Indicators in Government </w:t>
      </w:r>
      <w:r w:rsidRPr="00824076">
        <w:rPr>
          <w:sz w:val="20"/>
        </w:rPr>
        <w:t>(Routledge,</w:t>
      </w:r>
      <w:r>
        <w:rPr>
          <w:sz w:val="20"/>
        </w:rPr>
        <w:t xml:space="preserve"> </w:t>
      </w:r>
      <w:r w:rsidRPr="00824076">
        <w:rPr>
          <w:sz w:val="20"/>
        </w:rPr>
        <w:t>1995), at 35-36.</w:t>
      </w:r>
    </w:p>
  </w:footnote>
  <w:footnote w:id="25">
    <w:p w:rsidR="00D456C9" w:rsidRPr="00824076" w:rsidRDefault="00D456C9" w:rsidP="007E5BAC">
      <w:pPr>
        <w:pStyle w:val="FootnoteText"/>
        <w:jc w:val="both"/>
        <w:rPr>
          <w:i/>
          <w:sz w:val="20"/>
        </w:rPr>
      </w:pPr>
      <w:r w:rsidRPr="00824076">
        <w:rPr>
          <w:rStyle w:val="FootnoteReference"/>
        </w:rPr>
        <w:footnoteRef/>
      </w:r>
      <w:r w:rsidRPr="00824076">
        <w:rPr>
          <w:sz w:val="20"/>
        </w:rPr>
        <w:t xml:space="preserve"> </w:t>
      </w:r>
      <w:r w:rsidRPr="00824076">
        <w:rPr>
          <w:i/>
          <w:sz w:val="20"/>
        </w:rPr>
        <w:t>Ibid.</w:t>
      </w:r>
    </w:p>
  </w:footnote>
  <w:footnote w:id="26">
    <w:p w:rsidR="00D456C9" w:rsidRPr="00824076" w:rsidRDefault="00D456C9" w:rsidP="007E5BAC">
      <w:pPr>
        <w:pStyle w:val="FootnoteText"/>
        <w:jc w:val="both"/>
        <w:rPr>
          <w:sz w:val="20"/>
        </w:rPr>
      </w:pPr>
      <w:r w:rsidRPr="00824076">
        <w:rPr>
          <w:rStyle w:val="FootnoteReference"/>
        </w:rPr>
        <w:footnoteRef/>
      </w:r>
      <w:r w:rsidRPr="00824076">
        <w:rPr>
          <w:sz w:val="20"/>
        </w:rPr>
        <w:t xml:space="preserve"> C. Pollitt and S. Dan, </w:t>
      </w:r>
      <w:r w:rsidRPr="00824076">
        <w:rPr>
          <w:i/>
          <w:sz w:val="20"/>
        </w:rPr>
        <w:t>The Impacts of the New Public Management in Europe: A Meta-Analysis</w:t>
      </w:r>
      <w:r w:rsidRPr="00824076">
        <w:rPr>
          <w:sz w:val="20"/>
        </w:rPr>
        <w:t xml:space="preserve">, European Commission, Coordinating for Cohesion in the Public Sector of the Future, 14 December 2011, available online at </w:t>
      </w:r>
      <w:hyperlink r:id="rId3" w:history="1">
        <w:r w:rsidRPr="00824076">
          <w:rPr>
            <w:rStyle w:val="Hyperlink"/>
            <w:sz w:val="20"/>
          </w:rPr>
          <w:t>http://www.cocops.eu/wp-content/uploads/2012/03/WP1_Deliverable1_Meta-analysis_Final.pdf</w:t>
        </w:r>
      </w:hyperlink>
      <w:r w:rsidRPr="00824076">
        <w:rPr>
          <w:sz w:val="20"/>
        </w:rPr>
        <w:t xml:space="preserve"> (visited 20 May 2017), at 11-12.</w:t>
      </w:r>
    </w:p>
  </w:footnote>
  <w:footnote w:id="27">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ASP, </w:t>
      </w:r>
      <w:r w:rsidRPr="00824076">
        <w:rPr>
          <w:i/>
          <w:sz w:val="20"/>
        </w:rPr>
        <w:t>Strategic Plan of the International Criminal Court</w:t>
      </w:r>
      <w:r w:rsidRPr="00824076">
        <w:rPr>
          <w:sz w:val="20"/>
        </w:rPr>
        <w:t>,</w:t>
      </w:r>
      <w:r w:rsidRPr="00824076">
        <w:rPr>
          <w:i/>
          <w:sz w:val="20"/>
        </w:rPr>
        <w:t xml:space="preserve"> </w:t>
      </w:r>
      <w:r w:rsidRPr="00824076">
        <w:rPr>
          <w:sz w:val="20"/>
        </w:rPr>
        <w:t xml:space="preserve">ICC-ASP/5/6 (5th Session), 5 August 2006, at 9-10. </w:t>
      </w:r>
    </w:p>
  </w:footnote>
  <w:footnote w:id="28">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r w:rsidRPr="00824076">
        <w:rPr>
          <w:sz w:val="20"/>
        </w:rPr>
        <w:t xml:space="preserve"> The Strategy’s reference to a ‘non-bureaucratic’ administration alludes to preventing bureaucratic cultures that are disproportionately concerned with procedural correctness, rather than with efficiency and productivity. This priority is underlined in the ICC’s current Strategic Plan, where the declared mission of the Court includes the fair and effective conduct of investigations and prosecutions, administrative transparency, efficiency and accountability. See </w:t>
      </w:r>
      <w:r w:rsidRPr="00824076">
        <w:rPr>
          <w:i/>
          <w:sz w:val="20"/>
        </w:rPr>
        <w:t>International Criminal Court Strategic Plan</w:t>
      </w:r>
      <w:r w:rsidRPr="00824076">
        <w:rPr>
          <w:sz w:val="20"/>
        </w:rPr>
        <w:t xml:space="preserve"> </w:t>
      </w:r>
      <w:r w:rsidRPr="00985567">
        <w:rPr>
          <w:i/>
          <w:sz w:val="20"/>
        </w:rPr>
        <w:t>(2013-2017)</w:t>
      </w:r>
      <w:r w:rsidRPr="00824076">
        <w:rPr>
          <w:sz w:val="20"/>
        </w:rPr>
        <w:t xml:space="preserve">, 24 July 2015, at 2. </w:t>
      </w:r>
    </w:p>
  </w:footnote>
  <w:footnote w:id="29">
    <w:p w:rsidR="00D456C9" w:rsidRPr="00824076" w:rsidRDefault="00D456C9" w:rsidP="007E5BAC">
      <w:pPr>
        <w:pStyle w:val="FootnoteText"/>
        <w:jc w:val="both"/>
        <w:rPr>
          <w:sz w:val="20"/>
        </w:rPr>
      </w:pPr>
      <w:r w:rsidRPr="00824076">
        <w:rPr>
          <w:rStyle w:val="FootnoteReference"/>
        </w:rPr>
        <w:footnoteRef/>
      </w:r>
      <w:r w:rsidRPr="00824076">
        <w:rPr>
          <w:sz w:val="20"/>
        </w:rPr>
        <w:t xml:space="preserve"> C. Hood and R. Dixon, </w:t>
      </w:r>
      <w:r w:rsidRPr="00824076">
        <w:rPr>
          <w:i/>
          <w:sz w:val="20"/>
        </w:rPr>
        <w:t>A Government that Worked Better and Cost Less? Evaluating Three Decades of Reform and Change in UK Central Government</w:t>
      </w:r>
      <w:r w:rsidRPr="00824076">
        <w:rPr>
          <w:sz w:val="20"/>
        </w:rPr>
        <w:t xml:space="preserve"> (Oxford University Press</w:t>
      </w:r>
      <w:r>
        <w:rPr>
          <w:sz w:val="20"/>
        </w:rPr>
        <w:t>, 2015</w:t>
      </w:r>
      <w:r w:rsidRPr="00824076">
        <w:rPr>
          <w:sz w:val="20"/>
        </w:rPr>
        <w:t>), at 15.</w:t>
      </w:r>
    </w:p>
  </w:footnote>
  <w:footnote w:id="30">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ASP, </w:t>
      </w:r>
      <w:r w:rsidRPr="00824076">
        <w:rPr>
          <w:i/>
          <w:sz w:val="20"/>
        </w:rPr>
        <w:t>Strategic Plan of the International Criminal Court</w:t>
      </w:r>
      <w:r w:rsidRPr="00824076">
        <w:rPr>
          <w:sz w:val="20"/>
        </w:rPr>
        <w:t>,</w:t>
      </w:r>
      <w:r w:rsidRPr="00824076">
        <w:rPr>
          <w:i/>
          <w:sz w:val="20"/>
        </w:rPr>
        <w:t xml:space="preserve"> </w:t>
      </w:r>
      <w:r w:rsidRPr="00824076">
        <w:rPr>
          <w:sz w:val="20"/>
        </w:rPr>
        <w:t xml:space="preserve">ICC-ASP/5/6 (5th Session), 5 August 2006, at 3-4 </w:t>
      </w:r>
    </w:p>
  </w:footnote>
  <w:footnote w:id="31">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r w:rsidRPr="00824076">
        <w:rPr>
          <w:sz w:val="20"/>
        </w:rPr>
        <w:t>. See also Art. 42(1) ICCSt. (The Office of the Prosecutor).</w:t>
      </w:r>
    </w:p>
  </w:footnote>
  <w:footnote w:id="3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OTP, </w:t>
      </w:r>
      <w:r w:rsidRPr="00824076">
        <w:rPr>
          <w:i/>
          <w:sz w:val="20"/>
        </w:rPr>
        <w:t>Report on Prosecutorial Strategy</w:t>
      </w:r>
      <w:r w:rsidRPr="00824076">
        <w:rPr>
          <w:sz w:val="20"/>
        </w:rPr>
        <w:t>, 14 September 2006, §§ 9-16.</w:t>
      </w:r>
    </w:p>
  </w:footnote>
  <w:footnote w:id="33">
    <w:p w:rsidR="00D456C9" w:rsidRPr="00824076" w:rsidRDefault="00D456C9" w:rsidP="007E5BAC">
      <w:pPr>
        <w:pStyle w:val="FootnoteText"/>
        <w:jc w:val="both"/>
        <w:rPr>
          <w:sz w:val="20"/>
        </w:rPr>
      </w:pPr>
      <w:r w:rsidRPr="00824076">
        <w:rPr>
          <w:rStyle w:val="FootnoteReference"/>
        </w:rPr>
        <w:footnoteRef/>
      </w:r>
      <w:r w:rsidRPr="00824076">
        <w:rPr>
          <w:sz w:val="20"/>
        </w:rPr>
        <w:t xml:space="preserve"> The first was in the form of a report on prosecutorial strategy, and the second merely a prosecutorial strategy. Both the third and current strategy are in the form of strategic plans. For simplicity, the term ‘strategy’ is adopted in this article.</w:t>
      </w:r>
    </w:p>
  </w:footnote>
  <w:footnote w:id="34">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OTP, </w:t>
      </w:r>
      <w:r w:rsidRPr="00824076">
        <w:rPr>
          <w:i/>
          <w:sz w:val="20"/>
        </w:rPr>
        <w:t>Report on Prosecutorial Strategy</w:t>
      </w:r>
      <w:r w:rsidRPr="00824076">
        <w:rPr>
          <w:sz w:val="20"/>
        </w:rPr>
        <w:t>, 14 September 2006,</w:t>
      </w:r>
      <w:r>
        <w:rPr>
          <w:sz w:val="20"/>
        </w:rPr>
        <w:t xml:space="preserve"> </w:t>
      </w:r>
      <w:r w:rsidRPr="00824076">
        <w:rPr>
          <w:sz w:val="20"/>
        </w:rPr>
        <w:t>§§ 13-16.</w:t>
      </w:r>
    </w:p>
  </w:footnote>
  <w:footnote w:id="35">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985567">
        <w:rPr>
          <w:sz w:val="20"/>
        </w:rPr>
        <w:t>ICC OTP,</w:t>
      </w:r>
      <w:r w:rsidRPr="00824076">
        <w:rPr>
          <w:i/>
          <w:sz w:val="20"/>
        </w:rPr>
        <w:t xml:space="preserve"> Prosecutorial Strategy</w:t>
      </w:r>
      <w:r w:rsidRPr="00824076">
        <w:rPr>
          <w:sz w:val="20"/>
        </w:rPr>
        <w:t xml:space="preserve"> </w:t>
      </w:r>
      <w:r w:rsidRPr="00824076">
        <w:rPr>
          <w:i/>
          <w:sz w:val="20"/>
        </w:rPr>
        <w:t>2009-2012</w:t>
      </w:r>
      <w:r w:rsidRPr="00824076">
        <w:rPr>
          <w:sz w:val="20"/>
        </w:rPr>
        <w:t>, 1 February 2010, § 79.</w:t>
      </w:r>
    </w:p>
  </w:footnote>
  <w:footnote w:id="36">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r w:rsidRPr="00824076">
        <w:rPr>
          <w:sz w:val="20"/>
        </w:rPr>
        <w:t>, §§ 78-80.</w:t>
      </w:r>
    </w:p>
  </w:footnote>
  <w:footnote w:id="37">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p>
  </w:footnote>
  <w:footnote w:id="38">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OTP, </w:t>
      </w:r>
      <w:r w:rsidRPr="00824076">
        <w:rPr>
          <w:i/>
          <w:sz w:val="20"/>
        </w:rPr>
        <w:t>Strategic plan June 2012-2015</w:t>
      </w:r>
      <w:r w:rsidRPr="00824076">
        <w:rPr>
          <w:sz w:val="20"/>
        </w:rPr>
        <w:t>, 11 October 2013, §§ 94-96.</w:t>
      </w:r>
    </w:p>
  </w:footnote>
  <w:footnote w:id="39">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r w:rsidRPr="00824076">
        <w:rPr>
          <w:sz w:val="20"/>
        </w:rPr>
        <w:t>,</w:t>
      </w:r>
      <w:r w:rsidRPr="00824076">
        <w:rPr>
          <w:i/>
          <w:sz w:val="20"/>
        </w:rPr>
        <w:t xml:space="preserve"> </w:t>
      </w:r>
      <w:r w:rsidRPr="00824076">
        <w:rPr>
          <w:sz w:val="20"/>
        </w:rPr>
        <w:t>§ 95.</w:t>
      </w:r>
    </w:p>
  </w:footnote>
  <w:footnote w:id="40">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p>
  </w:footnote>
  <w:footnote w:id="41">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w:t>
      </w:r>
      <w:r w:rsidRPr="00985567">
        <w:rPr>
          <w:sz w:val="20"/>
        </w:rPr>
        <w:t>OTP</w:t>
      </w:r>
      <w:r w:rsidRPr="00824076">
        <w:rPr>
          <w:sz w:val="20"/>
        </w:rPr>
        <w:t>,</w:t>
      </w:r>
      <w:r w:rsidRPr="00824076">
        <w:rPr>
          <w:i/>
          <w:sz w:val="20"/>
        </w:rPr>
        <w:t xml:space="preserve"> Strategic Plan</w:t>
      </w:r>
      <w:r w:rsidRPr="00985567">
        <w:rPr>
          <w:i/>
          <w:sz w:val="20"/>
        </w:rPr>
        <w:t xml:space="preserve"> </w:t>
      </w:r>
      <w:r w:rsidRPr="00D456C9">
        <w:rPr>
          <w:rFonts w:cs="Times New Roman"/>
          <w:sz w:val="20"/>
        </w:rPr>
        <w:t>|</w:t>
      </w:r>
      <w:r w:rsidRPr="00824076">
        <w:rPr>
          <w:i/>
          <w:sz w:val="20"/>
        </w:rPr>
        <w:t xml:space="preserve"> 2016-2018</w:t>
      </w:r>
      <w:r w:rsidRPr="00824076">
        <w:rPr>
          <w:sz w:val="20"/>
        </w:rPr>
        <w:t>, 6 July 2015, § 104.</w:t>
      </w:r>
    </w:p>
  </w:footnote>
  <w:footnote w:id="4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r w:rsidRPr="00824076">
        <w:rPr>
          <w:sz w:val="20"/>
        </w:rPr>
        <w:t>,</w:t>
      </w:r>
      <w:r w:rsidRPr="00824076">
        <w:rPr>
          <w:i/>
          <w:sz w:val="20"/>
        </w:rPr>
        <w:t xml:space="preserve"> </w:t>
      </w:r>
      <w:r w:rsidRPr="00824076">
        <w:rPr>
          <w:sz w:val="20"/>
        </w:rPr>
        <w:t>§§ 104-106.</w:t>
      </w:r>
    </w:p>
  </w:footnote>
  <w:footnote w:id="43">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r w:rsidRPr="00824076">
        <w:rPr>
          <w:sz w:val="20"/>
        </w:rPr>
        <w:t>, § 105.</w:t>
      </w:r>
    </w:p>
  </w:footnote>
  <w:footnote w:id="44">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r w:rsidRPr="00824076">
        <w:rPr>
          <w:sz w:val="20"/>
        </w:rPr>
        <w:t>,</w:t>
      </w:r>
      <w:r w:rsidRPr="00824076">
        <w:rPr>
          <w:i/>
          <w:sz w:val="20"/>
        </w:rPr>
        <w:t xml:space="preserve"> </w:t>
      </w:r>
      <w:r w:rsidRPr="00824076">
        <w:rPr>
          <w:sz w:val="20"/>
        </w:rPr>
        <w:t xml:space="preserve">§§ 105-106. </w:t>
      </w:r>
    </w:p>
  </w:footnote>
  <w:footnote w:id="45">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r w:rsidRPr="00824076">
        <w:rPr>
          <w:sz w:val="20"/>
        </w:rPr>
        <w:t>,</w:t>
      </w:r>
      <w:r w:rsidRPr="00824076">
        <w:rPr>
          <w:i/>
          <w:sz w:val="20"/>
        </w:rPr>
        <w:t xml:space="preserve"> </w:t>
      </w:r>
      <w:r w:rsidRPr="00824076">
        <w:rPr>
          <w:sz w:val="20"/>
        </w:rPr>
        <w:t>at § 106.</w:t>
      </w:r>
    </w:p>
  </w:footnote>
  <w:footnote w:id="46">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r w:rsidRPr="00824076">
        <w:rPr>
          <w:sz w:val="20"/>
        </w:rPr>
        <w:t>,</w:t>
      </w:r>
      <w:r w:rsidRPr="00824076">
        <w:rPr>
          <w:i/>
          <w:sz w:val="20"/>
        </w:rPr>
        <w:t xml:space="preserve"> </w:t>
      </w:r>
      <w:r w:rsidRPr="00824076">
        <w:rPr>
          <w:sz w:val="20"/>
        </w:rPr>
        <w:t>at Annex 4.</w:t>
      </w:r>
    </w:p>
  </w:footnote>
  <w:footnote w:id="47">
    <w:p w:rsidR="00D456C9" w:rsidRPr="00824076" w:rsidRDefault="00D456C9" w:rsidP="007E5BAC">
      <w:pPr>
        <w:pStyle w:val="FootnoteText"/>
        <w:jc w:val="both"/>
        <w:rPr>
          <w:sz w:val="20"/>
        </w:rPr>
      </w:pPr>
      <w:r w:rsidRPr="00824076">
        <w:rPr>
          <w:rStyle w:val="FootnoteReference"/>
        </w:rPr>
        <w:footnoteRef/>
      </w:r>
      <w:r w:rsidRPr="00824076">
        <w:rPr>
          <w:sz w:val="20"/>
        </w:rPr>
        <w:t xml:space="preserve"> Annex 2 of the current OTP strategy provides a table of efficiency gains. This table summarizes a range of cost savings that are not directly concerned with prosecution outputs </w:t>
      </w:r>
      <w:r w:rsidRPr="00824076">
        <w:rPr>
          <w:rFonts w:cs="Times New Roman"/>
          <w:sz w:val="20"/>
        </w:rPr>
        <w:t>—</w:t>
      </w:r>
      <w:r w:rsidRPr="00824076">
        <w:rPr>
          <w:sz w:val="20"/>
        </w:rPr>
        <w:t xml:space="preserve"> from the preference for economy class flights, </w:t>
      </w:r>
      <w:r>
        <w:rPr>
          <w:sz w:val="20"/>
        </w:rPr>
        <w:t xml:space="preserve">to </w:t>
      </w:r>
      <w:r w:rsidRPr="00824076">
        <w:rPr>
          <w:sz w:val="20"/>
        </w:rPr>
        <w:t xml:space="preserve">the use of residential accommodation (rather than hotels) during field trips and </w:t>
      </w:r>
      <w:r>
        <w:rPr>
          <w:sz w:val="20"/>
        </w:rPr>
        <w:t xml:space="preserve">to </w:t>
      </w:r>
      <w:r w:rsidRPr="00824076">
        <w:rPr>
          <w:sz w:val="20"/>
        </w:rPr>
        <w:t>saving</w:t>
      </w:r>
      <w:r>
        <w:rPr>
          <w:sz w:val="20"/>
        </w:rPr>
        <w:t>s</w:t>
      </w:r>
      <w:r w:rsidRPr="00824076">
        <w:rPr>
          <w:sz w:val="20"/>
        </w:rPr>
        <w:t xml:space="preserve"> made by improvements to IT systems. </w:t>
      </w:r>
    </w:p>
  </w:footnote>
  <w:footnote w:id="48">
    <w:p w:rsidR="00D456C9" w:rsidRPr="00824076" w:rsidRDefault="00D456C9" w:rsidP="007E5BAC">
      <w:pPr>
        <w:pStyle w:val="FootnoteText"/>
        <w:jc w:val="both"/>
        <w:rPr>
          <w:sz w:val="20"/>
        </w:rPr>
      </w:pPr>
      <w:r w:rsidRPr="00824076">
        <w:rPr>
          <w:rStyle w:val="FootnoteReference"/>
        </w:rPr>
        <w:footnoteRef/>
      </w:r>
      <w:r w:rsidRPr="00824076">
        <w:rPr>
          <w:sz w:val="20"/>
        </w:rPr>
        <w:t xml:space="preserve"> Davis</w:t>
      </w:r>
      <w:r w:rsidR="009C2B76">
        <w:rPr>
          <w:sz w:val="20"/>
        </w:rPr>
        <w:t xml:space="preserve">, Kingsbury and Merry, </w:t>
      </w:r>
      <w:r w:rsidRPr="00824076">
        <w:rPr>
          <w:i/>
          <w:sz w:val="20"/>
        </w:rPr>
        <w:t>supra</w:t>
      </w:r>
      <w:r w:rsidRPr="00824076">
        <w:rPr>
          <w:sz w:val="20"/>
        </w:rPr>
        <w:t xml:space="preserve"> note 8, at 6.</w:t>
      </w:r>
    </w:p>
  </w:footnote>
  <w:footnote w:id="49">
    <w:p w:rsidR="00D456C9" w:rsidRPr="00824076" w:rsidRDefault="00D456C9" w:rsidP="007E5BAC">
      <w:pPr>
        <w:pStyle w:val="FootnoteText"/>
        <w:jc w:val="both"/>
        <w:rPr>
          <w:sz w:val="20"/>
        </w:rPr>
      </w:pPr>
      <w:r w:rsidRPr="00824076">
        <w:rPr>
          <w:rStyle w:val="FootnoteReference"/>
        </w:rPr>
        <w:footnoteRef/>
      </w:r>
      <w:r w:rsidRPr="00824076">
        <w:rPr>
          <w:sz w:val="20"/>
        </w:rPr>
        <w:t xml:space="preserve"> Davis</w:t>
      </w:r>
      <w:r w:rsidR="009C2B76">
        <w:rPr>
          <w:sz w:val="20"/>
        </w:rPr>
        <w:t xml:space="preserve">, Kingsbury and Merry, </w:t>
      </w:r>
      <w:r w:rsidRPr="00824076">
        <w:rPr>
          <w:i/>
          <w:sz w:val="20"/>
        </w:rPr>
        <w:t>supra</w:t>
      </w:r>
      <w:r w:rsidRPr="00824076">
        <w:rPr>
          <w:sz w:val="20"/>
        </w:rPr>
        <w:t xml:space="preserve"> note 8, at 8. See also Espeland and Sauder, </w:t>
      </w:r>
      <w:r w:rsidRPr="00824076">
        <w:rPr>
          <w:i/>
          <w:sz w:val="20"/>
        </w:rPr>
        <w:t xml:space="preserve">supra </w:t>
      </w:r>
      <w:r w:rsidRPr="00824076">
        <w:rPr>
          <w:sz w:val="20"/>
        </w:rPr>
        <w:t>note 16, at 91-92 who describe the process of ‘commensuration’</w:t>
      </w:r>
      <w:r>
        <w:rPr>
          <w:sz w:val="20"/>
        </w:rPr>
        <w:t xml:space="preserve"> </w:t>
      </w:r>
      <w:r w:rsidRPr="00824076">
        <w:rPr>
          <w:rFonts w:cs="Times New Roman"/>
          <w:sz w:val="20"/>
        </w:rPr>
        <w:t>—</w:t>
      </w:r>
      <w:r w:rsidRPr="00824076">
        <w:rPr>
          <w:sz w:val="20"/>
        </w:rPr>
        <w:t xml:space="preserve"> a process that involves turning qualities into quantities that share the same metric.</w:t>
      </w:r>
      <w:r w:rsidR="0056350B">
        <w:rPr>
          <w:sz w:val="20"/>
        </w:rPr>
        <w:t xml:space="preserve">  </w:t>
      </w:r>
    </w:p>
  </w:footnote>
  <w:footnote w:id="50">
    <w:p w:rsidR="00D456C9" w:rsidRPr="00824076" w:rsidRDefault="00D456C9" w:rsidP="007E5BAC">
      <w:pPr>
        <w:pStyle w:val="FootnoteText"/>
        <w:jc w:val="both"/>
        <w:rPr>
          <w:sz w:val="20"/>
        </w:rPr>
      </w:pPr>
      <w:r w:rsidRPr="00824076">
        <w:rPr>
          <w:rStyle w:val="FootnoteReference"/>
        </w:rPr>
        <w:footnoteRef/>
      </w:r>
      <w:r w:rsidRPr="00824076">
        <w:rPr>
          <w:sz w:val="20"/>
        </w:rPr>
        <w:t xml:space="preserve"> Carter, Klein and Day, </w:t>
      </w:r>
      <w:r w:rsidRPr="00824076">
        <w:rPr>
          <w:i/>
          <w:sz w:val="20"/>
        </w:rPr>
        <w:t>supra</w:t>
      </w:r>
      <w:r w:rsidRPr="00824076">
        <w:rPr>
          <w:sz w:val="20"/>
        </w:rPr>
        <w:t xml:space="preserve"> note 23, at 48.</w:t>
      </w:r>
    </w:p>
  </w:footnote>
  <w:footnote w:id="51">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OTP, </w:t>
      </w:r>
      <w:r w:rsidRPr="00824076">
        <w:rPr>
          <w:i/>
          <w:sz w:val="20"/>
        </w:rPr>
        <w:t>Strategic Plan</w:t>
      </w:r>
      <w:r w:rsidRPr="00824076">
        <w:rPr>
          <w:sz w:val="20"/>
        </w:rPr>
        <w:t xml:space="preserve"> </w:t>
      </w:r>
      <w:r w:rsidRPr="00824076">
        <w:rPr>
          <w:rFonts w:cs="Times New Roman"/>
          <w:i/>
          <w:sz w:val="20"/>
        </w:rPr>
        <w:t>|</w:t>
      </w:r>
      <w:r w:rsidRPr="00824076">
        <w:rPr>
          <w:i/>
          <w:sz w:val="20"/>
        </w:rPr>
        <w:t xml:space="preserve"> 2016-2018</w:t>
      </w:r>
      <w:r w:rsidRPr="00824076">
        <w:rPr>
          <w:sz w:val="20"/>
        </w:rPr>
        <w:t>, 6 July 2015, § 107.</w:t>
      </w:r>
    </w:p>
  </w:footnote>
  <w:footnote w:id="5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r w:rsidRPr="00824076">
        <w:rPr>
          <w:sz w:val="20"/>
        </w:rPr>
        <w:t xml:space="preserve">., at 5, § 1. </w:t>
      </w:r>
    </w:p>
  </w:footnote>
  <w:footnote w:id="53">
    <w:p w:rsidR="00D456C9" w:rsidRPr="00824076" w:rsidRDefault="00D456C9" w:rsidP="007E5BAC">
      <w:pPr>
        <w:pStyle w:val="FootnoteText"/>
        <w:jc w:val="both"/>
        <w:rPr>
          <w:sz w:val="20"/>
        </w:rPr>
      </w:pPr>
      <w:r w:rsidRPr="00824076">
        <w:rPr>
          <w:rStyle w:val="FootnoteReference"/>
        </w:rPr>
        <w:footnoteRef/>
      </w:r>
      <w:r w:rsidR="0056350B">
        <w:rPr>
          <w:sz w:val="20"/>
        </w:rPr>
        <w:t xml:space="preserve">  </w:t>
      </w:r>
      <w:r w:rsidRPr="00824076">
        <w:rPr>
          <w:sz w:val="20"/>
        </w:rPr>
        <w:t xml:space="preserve">Decision pursuant to Article 61(7) (a) and (b) of the Rome Statute, </w:t>
      </w:r>
      <w:r w:rsidRPr="00824076">
        <w:rPr>
          <w:i/>
          <w:sz w:val="20"/>
        </w:rPr>
        <w:t xml:space="preserve">Bemba et al. </w:t>
      </w:r>
      <w:r w:rsidRPr="00824076">
        <w:rPr>
          <w:sz w:val="20"/>
        </w:rPr>
        <w:t xml:space="preserve">(ICC-01/05-01/13), Pre-Trial Chamber II, 11 November 2014. In combination, the five defendants in the case were charged with over 200 offences against the administration of justice under Art.70 ICCSt. </w:t>
      </w:r>
    </w:p>
  </w:footnote>
  <w:footnote w:id="54">
    <w:p w:rsidR="00D456C9" w:rsidRPr="00824076" w:rsidRDefault="00D456C9" w:rsidP="007E5BAC">
      <w:pPr>
        <w:pStyle w:val="FootnoteText"/>
        <w:jc w:val="both"/>
        <w:rPr>
          <w:sz w:val="20"/>
        </w:rPr>
      </w:pPr>
      <w:r w:rsidRPr="00824076">
        <w:rPr>
          <w:rStyle w:val="FootnoteReference"/>
        </w:rPr>
        <w:footnoteRef/>
      </w:r>
      <w:r w:rsidRPr="00824076">
        <w:rPr>
          <w:sz w:val="20"/>
        </w:rPr>
        <w:t xml:space="preserve"> P. Clark, ‘Law, Politics and Pragmatism: The ICC and Case Selection in the Democratic Republic of Congo and Uganda’, in N. Waddell and P. Clark (eds),</w:t>
      </w:r>
      <w:r w:rsidRPr="00824076">
        <w:rPr>
          <w:i/>
          <w:sz w:val="20"/>
        </w:rPr>
        <w:t xml:space="preserve"> Courting Conflict? Justice, Peace and the ICC in Africa</w:t>
      </w:r>
      <w:r w:rsidRPr="00824076">
        <w:rPr>
          <w:sz w:val="20"/>
        </w:rPr>
        <w:t xml:space="preserve"> (Royal African Society, 2008) 37-46, at 44. </w:t>
      </w:r>
    </w:p>
  </w:footnote>
  <w:footnote w:id="55">
    <w:p w:rsidR="00D456C9" w:rsidRPr="00824076" w:rsidRDefault="00D456C9" w:rsidP="007E5BAC">
      <w:pPr>
        <w:pStyle w:val="FootnoteText"/>
        <w:jc w:val="both"/>
        <w:rPr>
          <w:sz w:val="20"/>
        </w:rPr>
      </w:pPr>
      <w:r w:rsidRPr="00824076">
        <w:rPr>
          <w:rStyle w:val="FootnoteReference"/>
        </w:rPr>
        <w:footnoteRef/>
      </w:r>
      <w:r w:rsidRPr="00824076">
        <w:rPr>
          <w:sz w:val="20"/>
        </w:rPr>
        <w:t xml:space="preserve"> See for example G. Bevan and C. Hood, ‘What’s Measured is What Matters: Target and Gaming in the English Public Health Care System’, 84 </w:t>
      </w:r>
      <w:r w:rsidRPr="00824076">
        <w:rPr>
          <w:i/>
          <w:sz w:val="20"/>
        </w:rPr>
        <w:t>Public Administration</w:t>
      </w:r>
      <w:r w:rsidRPr="00824076">
        <w:rPr>
          <w:sz w:val="20"/>
        </w:rPr>
        <w:t xml:space="preserve"> (2006) 517-538.</w:t>
      </w:r>
    </w:p>
  </w:footnote>
  <w:footnote w:id="56">
    <w:p w:rsidR="00D456C9" w:rsidRPr="00824076" w:rsidRDefault="00D456C9" w:rsidP="007E5BAC">
      <w:pPr>
        <w:pStyle w:val="FootnoteText"/>
        <w:jc w:val="both"/>
        <w:rPr>
          <w:sz w:val="20"/>
        </w:rPr>
      </w:pPr>
      <w:r w:rsidRPr="00824076">
        <w:rPr>
          <w:rStyle w:val="FootnoteReference"/>
        </w:rPr>
        <w:footnoteRef/>
      </w:r>
      <w:r w:rsidRPr="00824076">
        <w:rPr>
          <w:sz w:val="20"/>
        </w:rPr>
        <w:t xml:space="preserve"> A. Flynn, A. Gray, W. Jenkins and B. Rutherford, ‘Making Indicators Perform’, 8 </w:t>
      </w:r>
      <w:r w:rsidRPr="00824076">
        <w:rPr>
          <w:i/>
          <w:sz w:val="20"/>
        </w:rPr>
        <w:t>Public Money and Management</w:t>
      </w:r>
      <w:r w:rsidRPr="00824076">
        <w:rPr>
          <w:sz w:val="20"/>
        </w:rPr>
        <w:t xml:space="preserve"> (1998) 35-41, at 38.</w:t>
      </w:r>
    </w:p>
  </w:footnote>
  <w:footnote w:id="57">
    <w:p w:rsidR="00D456C9" w:rsidRPr="00824076" w:rsidRDefault="00D456C9" w:rsidP="007E5BAC">
      <w:pPr>
        <w:pStyle w:val="FootnoteText"/>
        <w:jc w:val="both"/>
        <w:rPr>
          <w:sz w:val="20"/>
        </w:rPr>
      </w:pPr>
      <w:r w:rsidRPr="00824076">
        <w:rPr>
          <w:rStyle w:val="FootnoteReference"/>
        </w:rPr>
        <w:footnoteRef/>
      </w:r>
      <w:r w:rsidRPr="00824076">
        <w:rPr>
          <w:sz w:val="20"/>
        </w:rPr>
        <w:t xml:space="preserve"> Carter, Klein and Day, </w:t>
      </w:r>
      <w:r w:rsidRPr="00824076">
        <w:rPr>
          <w:i/>
          <w:sz w:val="20"/>
        </w:rPr>
        <w:t>supra</w:t>
      </w:r>
      <w:r w:rsidRPr="00824076">
        <w:rPr>
          <w:sz w:val="20"/>
        </w:rPr>
        <w:t xml:space="preserve"> note 23, at 37.</w:t>
      </w:r>
    </w:p>
  </w:footnote>
  <w:footnote w:id="58">
    <w:p w:rsidR="00D456C9" w:rsidRPr="00824076" w:rsidRDefault="00D456C9" w:rsidP="007E5BAC">
      <w:pPr>
        <w:pStyle w:val="FootnoteText"/>
        <w:jc w:val="both"/>
        <w:rPr>
          <w:sz w:val="20"/>
        </w:rPr>
      </w:pPr>
      <w:r w:rsidRPr="00824076">
        <w:rPr>
          <w:rStyle w:val="FootnoteReference"/>
        </w:rPr>
        <w:footnoteRef/>
      </w:r>
      <w:r w:rsidRPr="00824076">
        <w:rPr>
          <w:sz w:val="20"/>
        </w:rPr>
        <w:t xml:space="preserve"> Osborne and Gaebler, </w:t>
      </w:r>
      <w:r w:rsidRPr="00824076">
        <w:rPr>
          <w:i/>
          <w:sz w:val="20"/>
        </w:rPr>
        <w:t>supra</w:t>
      </w:r>
      <w:r w:rsidRPr="00824076">
        <w:rPr>
          <w:sz w:val="20"/>
        </w:rPr>
        <w:t xml:space="preserve"> note 5, at 15 and 19-20.</w:t>
      </w:r>
    </w:p>
  </w:footnote>
  <w:footnote w:id="59">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bCs/>
          <w:sz w:val="20"/>
        </w:rPr>
        <w:t xml:space="preserve">The ASP has the ability to elect or remove the Prosecutor in case of serious misconduct, for a serious breach of his or her duties, or if unable to exercise the functions required by </w:t>
      </w:r>
      <w:r>
        <w:rPr>
          <w:bCs/>
          <w:sz w:val="20"/>
        </w:rPr>
        <w:t>the</w:t>
      </w:r>
      <w:r w:rsidRPr="00824076">
        <w:rPr>
          <w:bCs/>
          <w:sz w:val="20"/>
        </w:rPr>
        <w:t xml:space="preserve"> Statute. </w:t>
      </w:r>
      <w:r w:rsidRPr="00824076">
        <w:rPr>
          <w:sz w:val="20"/>
        </w:rPr>
        <w:t xml:space="preserve">See Art. 46(1) ICCSt. See also A.M. Danner, ‘Enhancing the Legitimacy and Accountability of Prosecutorial Discretion at the International Criminal Court’, 97 </w:t>
      </w:r>
      <w:r w:rsidRPr="00824076">
        <w:rPr>
          <w:i/>
          <w:sz w:val="20"/>
        </w:rPr>
        <w:t>American Journal of International Law</w:t>
      </w:r>
      <w:r w:rsidRPr="00824076">
        <w:rPr>
          <w:sz w:val="20"/>
        </w:rPr>
        <w:t xml:space="preserve"> (</w:t>
      </w:r>
      <w:r w:rsidRPr="00824076">
        <w:rPr>
          <w:i/>
          <w:sz w:val="20"/>
        </w:rPr>
        <w:t>AJIL</w:t>
      </w:r>
      <w:r w:rsidRPr="00824076">
        <w:rPr>
          <w:sz w:val="20"/>
        </w:rPr>
        <w:t>) (2003) 510-552, at 524.</w:t>
      </w:r>
    </w:p>
  </w:footnote>
  <w:footnote w:id="60">
    <w:p w:rsidR="00D456C9" w:rsidRPr="00824076" w:rsidRDefault="00D456C9" w:rsidP="007E5BAC">
      <w:pPr>
        <w:pStyle w:val="FootnoteText"/>
        <w:jc w:val="both"/>
        <w:rPr>
          <w:sz w:val="20"/>
        </w:rPr>
      </w:pPr>
      <w:r w:rsidRPr="00824076">
        <w:rPr>
          <w:rStyle w:val="FootnoteReference"/>
        </w:rPr>
        <w:footnoteRef/>
      </w:r>
      <w:r w:rsidRPr="00824076">
        <w:rPr>
          <w:sz w:val="20"/>
        </w:rPr>
        <w:t xml:space="preserve"> Art. 112 ICCSt. (Assembly of States Parties) and Art. 115 ICCSt. (Funds of the Court and of the Assembly of States Parties).</w:t>
      </w:r>
    </w:p>
  </w:footnote>
  <w:footnote w:id="61">
    <w:p w:rsidR="00D456C9" w:rsidRPr="00824076" w:rsidRDefault="00D456C9" w:rsidP="007E5BAC">
      <w:pPr>
        <w:pStyle w:val="FootnoteText"/>
        <w:jc w:val="both"/>
        <w:rPr>
          <w:sz w:val="20"/>
        </w:rPr>
      </w:pPr>
      <w:r w:rsidRPr="00824076">
        <w:rPr>
          <w:rStyle w:val="FootnoteReference"/>
        </w:rPr>
        <w:footnoteRef/>
      </w:r>
      <w:r w:rsidRPr="00824076">
        <w:rPr>
          <w:sz w:val="20"/>
        </w:rPr>
        <w:t xml:space="preserve"> K</w:t>
      </w:r>
      <w:r>
        <w:rPr>
          <w:sz w:val="20"/>
        </w:rPr>
        <w:t>.</w:t>
      </w:r>
      <w:r w:rsidRPr="00824076">
        <w:rPr>
          <w:sz w:val="20"/>
        </w:rPr>
        <w:t xml:space="preserve">J. Alter, ‘Delegation to international courts and the limits of re-contracting political power’, in D.G. Hawkins, D.A. Lake, D.L. Nielson and M.J. Tierney (eds), </w:t>
      </w:r>
      <w:r w:rsidRPr="00824076">
        <w:rPr>
          <w:i/>
          <w:sz w:val="20"/>
        </w:rPr>
        <w:t>Delegation and Agency in International Organizations</w:t>
      </w:r>
      <w:r>
        <w:rPr>
          <w:i/>
          <w:sz w:val="20"/>
        </w:rPr>
        <w:t xml:space="preserve"> </w:t>
      </w:r>
      <w:r w:rsidRPr="00824076">
        <w:rPr>
          <w:sz w:val="20"/>
        </w:rPr>
        <w:t xml:space="preserve">(Cambridge University Press, 2006), 312-338 at 321 and K.J. Alter, ‘Agents or Trustees? International Courts in their Political Context’, 14 </w:t>
      </w:r>
      <w:r w:rsidRPr="00824076">
        <w:rPr>
          <w:i/>
          <w:sz w:val="20"/>
        </w:rPr>
        <w:t>European Journal of International Relations</w:t>
      </w:r>
      <w:r w:rsidRPr="00824076">
        <w:rPr>
          <w:sz w:val="20"/>
        </w:rPr>
        <w:t xml:space="preserve"> (2008) 33-63</w:t>
      </w:r>
      <w:r>
        <w:rPr>
          <w:sz w:val="20"/>
        </w:rPr>
        <w:t>.</w:t>
      </w:r>
    </w:p>
  </w:footnote>
  <w:footnote w:id="6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ASP, </w:t>
      </w:r>
      <w:r w:rsidRPr="00824076">
        <w:rPr>
          <w:i/>
          <w:sz w:val="20"/>
        </w:rPr>
        <w:t xml:space="preserve">Programme Budget for 2015 </w:t>
      </w:r>
      <w:r w:rsidRPr="00824076">
        <w:rPr>
          <w:sz w:val="20"/>
        </w:rPr>
        <w:t xml:space="preserve">..., ICC-ASP/13/Res.1, 17 December 2014,at § I.3. See also </w:t>
      </w:r>
      <w:r w:rsidRPr="00985567">
        <w:rPr>
          <w:sz w:val="20"/>
        </w:rPr>
        <w:t>ICC OPT,</w:t>
      </w:r>
      <w:r w:rsidRPr="00824076">
        <w:rPr>
          <w:i/>
          <w:sz w:val="20"/>
        </w:rPr>
        <w:t xml:space="preserve"> Strategic Plan </w:t>
      </w:r>
      <w:r w:rsidRPr="00985567">
        <w:rPr>
          <w:rFonts w:cs="Times New Roman"/>
          <w:i/>
          <w:sz w:val="20"/>
        </w:rPr>
        <w:t>|</w:t>
      </w:r>
      <w:r w:rsidRPr="00985567">
        <w:rPr>
          <w:i/>
          <w:sz w:val="20"/>
        </w:rPr>
        <w:t xml:space="preserve"> </w:t>
      </w:r>
      <w:r w:rsidRPr="00824076">
        <w:rPr>
          <w:i/>
          <w:sz w:val="20"/>
        </w:rPr>
        <w:t>2016-2018</w:t>
      </w:r>
      <w:r w:rsidRPr="00824076">
        <w:rPr>
          <w:sz w:val="20"/>
        </w:rPr>
        <w:t>, 6 July 2015, §§ 63-70.</w:t>
      </w:r>
    </w:p>
  </w:footnote>
  <w:footnote w:id="63">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ASP, </w:t>
      </w:r>
      <w:r w:rsidRPr="00824076">
        <w:rPr>
          <w:i/>
          <w:sz w:val="20"/>
        </w:rPr>
        <w:t>Report of the Court on the Basic Size of the Office of the Prosecutor,</w:t>
      </w:r>
      <w:r w:rsidRPr="00824076">
        <w:rPr>
          <w:sz w:val="20"/>
        </w:rPr>
        <w:t xml:space="preserve"> ICC-ASP/14/21, 7 August 2015, at §§ 6-17.</w:t>
      </w:r>
    </w:p>
  </w:footnote>
  <w:footnote w:id="64">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ASP, </w:t>
      </w:r>
      <w:r w:rsidRPr="00824076">
        <w:rPr>
          <w:i/>
          <w:sz w:val="20"/>
        </w:rPr>
        <w:t>Proposed Programme Budget for 2017 of the International Criminal Court</w:t>
      </w:r>
      <w:r w:rsidRPr="00824076">
        <w:rPr>
          <w:sz w:val="20"/>
        </w:rPr>
        <w:t xml:space="preserve">, ICC-ASP 15/10, 17 August 2016, § 1. The precise figures are </w:t>
      </w:r>
      <w:r w:rsidRPr="00824076">
        <w:rPr>
          <w:rFonts w:cs="Times New Roman"/>
          <w:bCs/>
          <w:sz w:val="20"/>
        </w:rPr>
        <w:t>€147,250,700 and €</w:t>
      </w:r>
      <w:r w:rsidRPr="00824076">
        <w:rPr>
          <w:rFonts w:eastAsiaTheme="minorEastAsia" w:cs="Times New Roman"/>
          <w:sz w:val="20"/>
          <w:lang w:eastAsia="zh-CN"/>
        </w:rPr>
        <w:t>46,280.2</w:t>
      </w:r>
      <w:r>
        <w:rPr>
          <w:rFonts w:eastAsiaTheme="minorEastAsia" w:cs="Times New Roman"/>
          <w:sz w:val="20"/>
          <w:lang w:eastAsia="zh-CN"/>
        </w:rPr>
        <w:t>0</w:t>
      </w:r>
      <w:r w:rsidRPr="00824076">
        <w:rPr>
          <w:rFonts w:eastAsiaTheme="minorEastAsia" w:cs="Times New Roman"/>
          <w:sz w:val="20"/>
          <w:lang w:eastAsia="zh-CN"/>
        </w:rPr>
        <w:t xml:space="preserve"> respectively. </w:t>
      </w:r>
    </w:p>
  </w:footnote>
  <w:footnote w:id="65">
    <w:p w:rsidR="00D456C9" w:rsidRPr="00824076" w:rsidRDefault="00D456C9" w:rsidP="007E5BAC">
      <w:pPr>
        <w:pStyle w:val="FootnoteText"/>
        <w:jc w:val="both"/>
        <w:rPr>
          <w:sz w:val="20"/>
        </w:rPr>
      </w:pPr>
      <w:r w:rsidRPr="00824076">
        <w:rPr>
          <w:rStyle w:val="FootnoteReference"/>
        </w:rPr>
        <w:footnoteRef/>
      </w:r>
      <w:r w:rsidRPr="00824076">
        <w:rPr>
          <w:sz w:val="20"/>
        </w:rPr>
        <w:t xml:space="preserve"> See for example, ICC ASP, </w:t>
      </w:r>
      <w:r w:rsidRPr="00824076">
        <w:rPr>
          <w:i/>
          <w:sz w:val="20"/>
        </w:rPr>
        <w:t>Report of the Committee on Budget and Finance on the work of its twenty-seventh session</w:t>
      </w:r>
      <w:r w:rsidRPr="00824076">
        <w:rPr>
          <w:sz w:val="20"/>
        </w:rPr>
        <w:t xml:space="preserve">, ICC-ASP 15/5, 28 October 2016, §§ 16-21. </w:t>
      </w:r>
      <w:r w:rsidRPr="00824076">
        <w:rPr>
          <w:bCs/>
          <w:sz w:val="20"/>
        </w:rPr>
        <w:t xml:space="preserve">As of 31 October 2016, the current amount of outstanding arrears was in the region of €34 million. See </w:t>
      </w:r>
      <w:r w:rsidRPr="00824076">
        <w:rPr>
          <w:bCs/>
          <w:i/>
          <w:sz w:val="20"/>
        </w:rPr>
        <w:t>Report of the Bureau on the arrears of State Parties</w:t>
      </w:r>
      <w:r w:rsidRPr="00824076">
        <w:rPr>
          <w:bCs/>
          <w:sz w:val="20"/>
        </w:rPr>
        <w:t xml:space="preserve">, ICC-ASP 15/28, 10 November 2016, </w:t>
      </w:r>
      <w:r w:rsidRPr="00824076">
        <w:rPr>
          <w:sz w:val="20"/>
        </w:rPr>
        <w:t xml:space="preserve">§ </w:t>
      </w:r>
      <w:r w:rsidRPr="00824076">
        <w:rPr>
          <w:bCs/>
          <w:sz w:val="20"/>
        </w:rPr>
        <w:t xml:space="preserve">12. For a discussion of the current shortfall in money see E. Evenson and J. O’Donohue, ‘States should use ICC budget to interfere with its work’, 23 November 2016, </w:t>
      </w:r>
      <w:r w:rsidRPr="00824076">
        <w:rPr>
          <w:bCs/>
          <w:i/>
          <w:sz w:val="20"/>
        </w:rPr>
        <w:t>Open Democracy</w:t>
      </w:r>
      <w:r w:rsidRPr="00824076">
        <w:rPr>
          <w:bCs/>
          <w:sz w:val="20"/>
        </w:rPr>
        <w:t xml:space="preserve">, available online at </w:t>
      </w:r>
      <w:hyperlink r:id="rId4" w:history="1">
        <w:r w:rsidRPr="00824076">
          <w:rPr>
            <w:rStyle w:val="Hyperlink"/>
            <w:bCs/>
            <w:sz w:val="20"/>
          </w:rPr>
          <w:t>https://www.opendemocracy.net/openglobalrights/elizabeth-evenson-jonathan-o-donohue/states-shouldn-t-use-icc-budget-to-interfere-w</w:t>
        </w:r>
      </w:hyperlink>
      <w:r w:rsidRPr="00824076">
        <w:rPr>
          <w:bCs/>
          <w:sz w:val="20"/>
        </w:rPr>
        <w:t xml:space="preserve"> (visited </w:t>
      </w:r>
      <w:r>
        <w:rPr>
          <w:bCs/>
          <w:sz w:val="20"/>
        </w:rPr>
        <w:t>1 June</w:t>
      </w:r>
      <w:r w:rsidRPr="00824076">
        <w:rPr>
          <w:bCs/>
          <w:sz w:val="20"/>
        </w:rPr>
        <w:t xml:space="preserve"> 2017)</w:t>
      </w:r>
      <w:r w:rsidR="0056350B">
        <w:rPr>
          <w:bCs/>
          <w:sz w:val="20"/>
        </w:rPr>
        <w:t xml:space="preserve">  </w:t>
      </w:r>
    </w:p>
  </w:footnote>
  <w:footnote w:id="66">
    <w:p w:rsidR="00D456C9" w:rsidRPr="00824076" w:rsidRDefault="00D456C9" w:rsidP="007E5BAC">
      <w:pPr>
        <w:pStyle w:val="FootnoteText"/>
        <w:jc w:val="both"/>
        <w:rPr>
          <w:sz w:val="20"/>
        </w:rPr>
      </w:pPr>
      <w:r w:rsidRPr="00824076">
        <w:rPr>
          <w:rStyle w:val="FootnoteReference"/>
        </w:rPr>
        <w:footnoteRef/>
      </w:r>
      <w:r w:rsidRPr="00824076">
        <w:rPr>
          <w:sz w:val="20"/>
        </w:rPr>
        <w:t xml:space="preserve"> For discussion on this see S. Ford, ‘How Much Money does the ICC Need?’ in C. Stahn (ed.), </w:t>
      </w:r>
      <w:r w:rsidRPr="00824076">
        <w:rPr>
          <w:i/>
          <w:sz w:val="20"/>
        </w:rPr>
        <w:t>The Law and Practice of the International Criminal Court</w:t>
      </w:r>
      <w:r w:rsidRPr="00824076">
        <w:rPr>
          <w:sz w:val="20"/>
        </w:rPr>
        <w:t xml:space="preserve"> (Oxford University Press, 2015) 84-104, at 86. </w:t>
      </w:r>
    </w:p>
  </w:footnote>
  <w:footnote w:id="67">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r w:rsidRPr="00824076">
        <w:rPr>
          <w:sz w:val="20"/>
        </w:rPr>
        <w:t>.</w:t>
      </w:r>
      <w:r w:rsidRPr="00985567">
        <w:rPr>
          <w:sz w:val="20"/>
        </w:rPr>
        <w:t>,</w:t>
      </w:r>
      <w:r w:rsidRPr="00824076">
        <w:rPr>
          <w:sz w:val="20"/>
        </w:rPr>
        <w:t xml:space="preserve"> at 89.</w:t>
      </w:r>
    </w:p>
  </w:footnote>
  <w:footnote w:id="68">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r w:rsidRPr="00824076">
        <w:rPr>
          <w:sz w:val="20"/>
        </w:rPr>
        <w:t xml:space="preserve"> </w:t>
      </w:r>
    </w:p>
  </w:footnote>
  <w:footnote w:id="69">
    <w:p w:rsidR="00D456C9" w:rsidRPr="00824076" w:rsidRDefault="00D456C9" w:rsidP="007E5BAC">
      <w:pPr>
        <w:pStyle w:val="FootnoteText"/>
        <w:jc w:val="both"/>
        <w:rPr>
          <w:sz w:val="20"/>
        </w:rPr>
      </w:pPr>
      <w:r w:rsidRPr="00824076">
        <w:rPr>
          <w:rStyle w:val="FootnoteReference"/>
        </w:rPr>
        <w:footnoteRef/>
      </w:r>
      <w:r w:rsidRPr="00824076">
        <w:rPr>
          <w:sz w:val="20"/>
        </w:rPr>
        <w:t xml:space="preserve"> F. Bensouda, </w:t>
      </w:r>
      <w:r w:rsidRPr="00824076">
        <w:rPr>
          <w:i/>
          <w:sz w:val="20"/>
        </w:rPr>
        <w:t xml:space="preserve">Address at First Plenary: Fifteenth Session of the Assembly of States Parties, </w:t>
      </w:r>
      <w:r w:rsidRPr="00824076">
        <w:rPr>
          <w:sz w:val="20"/>
        </w:rPr>
        <w:t xml:space="preserve">16 November 2016, available online at </w:t>
      </w:r>
      <w:hyperlink r:id="rId5" w:history="1">
        <w:r w:rsidRPr="00824076">
          <w:rPr>
            <w:rStyle w:val="Hyperlink"/>
            <w:sz w:val="20"/>
          </w:rPr>
          <w:t>https://asp.icc-cpi.int/iccdocs/asp_docs/ASP15/ASP15-Opening-Statement-Prosecutor-ENG.pdf</w:t>
        </w:r>
      </w:hyperlink>
      <w:r w:rsidRPr="00824076">
        <w:rPr>
          <w:sz w:val="20"/>
        </w:rPr>
        <w:t xml:space="preserve"> (visited 31 May 2017), at 8.</w:t>
      </w:r>
    </w:p>
  </w:footnote>
  <w:footnote w:id="70">
    <w:p w:rsidR="00D456C9" w:rsidRPr="00824076" w:rsidRDefault="00D456C9" w:rsidP="007E5BAC">
      <w:pPr>
        <w:pStyle w:val="FootnoteText"/>
        <w:jc w:val="both"/>
        <w:rPr>
          <w:sz w:val="20"/>
        </w:rPr>
      </w:pPr>
      <w:r w:rsidRPr="00824076">
        <w:rPr>
          <w:rStyle w:val="FootnoteReference"/>
        </w:rPr>
        <w:footnoteRef/>
      </w:r>
      <w:r w:rsidRPr="00824076">
        <w:rPr>
          <w:sz w:val="20"/>
        </w:rPr>
        <w:t xml:space="preserve"> Carter, </w:t>
      </w:r>
      <w:r w:rsidRPr="00824076">
        <w:rPr>
          <w:i/>
          <w:sz w:val="20"/>
        </w:rPr>
        <w:t>supra</w:t>
      </w:r>
      <w:r w:rsidRPr="00824076">
        <w:rPr>
          <w:sz w:val="20"/>
        </w:rPr>
        <w:t xml:space="preserve"> note 7, at 138.</w:t>
      </w:r>
    </w:p>
  </w:footnote>
  <w:footnote w:id="71">
    <w:p w:rsidR="00D456C9" w:rsidRPr="00824076" w:rsidRDefault="00D456C9" w:rsidP="007E5BAC">
      <w:pPr>
        <w:pStyle w:val="FootnoteText"/>
        <w:jc w:val="both"/>
        <w:rPr>
          <w:sz w:val="20"/>
        </w:rPr>
      </w:pPr>
      <w:r w:rsidRPr="00824076">
        <w:rPr>
          <w:rStyle w:val="FootnoteReference"/>
        </w:rPr>
        <w:footnoteRef/>
      </w:r>
      <w:r w:rsidRPr="00824076">
        <w:rPr>
          <w:sz w:val="20"/>
        </w:rPr>
        <w:t xml:space="preserve"> Generally speaking, the 2012 and 2015 prosecution strategies exhibit the features of a ‘SWOT’ analysis. See indicatively, A.C. Hax, ‘Redefining the concept of strategy and the strategy formation process’, 18 </w:t>
      </w:r>
      <w:r w:rsidRPr="00824076">
        <w:rPr>
          <w:i/>
          <w:sz w:val="20"/>
        </w:rPr>
        <w:t xml:space="preserve">Planning Review </w:t>
      </w:r>
      <w:r w:rsidRPr="00824076">
        <w:rPr>
          <w:sz w:val="20"/>
        </w:rPr>
        <w:t>(1990) 34-39, at 37.</w:t>
      </w:r>
    </w:p>
  </w:footnote>
  <w:footnote w:id="7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See ICC </w:t>
      </w:r>
      <w:r w:rsidRPr="00985567">
        <w:rPr>
          <w:sz w:val="20"/>
        </w:rPr>
        <w:t>OTP</w:t>
      </w:r>
      <w:r w:rsidRPr="00824076">
        <w:rPr>
          <w:sz w:val="20"/>
        </w:rPr>
        <w:t>,</w:t>
      </w:r>
      <w:r w:rsidRPr="00824076">
        <w:rPr>
          <w:i/>
          <w:sz w:val="20"/>
        </w:rPr>
        <w:t xml:space="preserve"> Strategic plan June 2012-2015</w:t>
      </w:r>
      <w:r w:rsidRPr="00824076">
        <w:rPr>
          <w:sz w:val="20"/>
        </w:rPr>
        <w:t xml:space="preserve">, 11 October 2013, Annex A and </w:t>
      </w:r>
      <w:r w:rsidRPr="00824076">
        <w:rPr>
          <w:i/>
          <w:sz w:val="20"/>
        </w:rPr>
        <w:t xml:space="preserve">OTP Strategic Plan </w:t>
      </w:r>
      <w:r w:rsidRPr="00824076">
        <w:rPr>
          <w:rFonts w:cs="Times New Roman"/>
          <w:i/>
          <w:sz w:val="20"/>
        </w:rPr>
        <w:t>|</w:t>
      </w:r>
      <w:r w:rsidRPr="00824076">
        <w:rPr>
          <w:i/>
          <w:sz w:val="20"/>
        </w:rPr>
        <w:t xml:space="preserve"> 2016-2018,</w:t>
      </w:r>
      <w:r>
        <w:rPr>
          <w:i/>
          <w:sz w:val="20"/>
        </w:rPr>
        <w:t xml:space="preserve"> </w:t>
      </w:r>
      <w:r w:rsidRPr="00824076">
        <w:rPr>
          <w:sz w:val="20"/>
        </w:rPr>
        <w:t>6 July 2015, § 41 and Annex 4.</w:t>
      </w:r>
    </w:p>
  </w:footnote>
  <w:footnote w:id="73">
    <w:p w:rsidR="00D456C9" w:rsidRPr="00824076" w:rsidRDefault="00D456C9" w:rsidP="007E5BAC">
      <w:pPr>
        <w:pStyle w:val="FootnoteText"/>
        <w:jc w:val="both"/>
        <w:rPr>
          <w:sz w:val="20"/>
        </w:rPr>
      </w:pPr>
      <w:r w:rsidRPr="00824076">
        <w:rPr>
          <w:rStyle w:val="FootnoteReference"/>
        </w:rPr>
        <w:footnoteRef/>
      </w:r>
      <w:r w:rsidRPr="00824076">
        <w:rPr>
          <w:sz w:val="20"/>
        </w:rPr>
        <w:t xml:space="preserve"> The current Strategic Plan includes a 20-page annex discussing the results of the previous </w:t>
      </w:r>
      <w:r>
        <w:rPr>
          <w:sz w:val="20"/>
        </w:rPr>
        <w:t>S</w:t>
      </w:r>
      <w:r w:rsidRPr="00824076">
        <w:rPr>
          <w:sz w:val="20"/>
        </w:rPr>
        <w:t xml:space="preserve">trategic Plan in 2012-2015. </w:t>
      </w:r>
    </w:p>
  </w:footnote>
  <w:footnote w:id="74">
    <w:p w:rsidR="00D456C9" w:rsidRPr="00824076" w:rsidRDefault="00D456C9" w:rsidP="007E5BAC">
      <w:pPr>
        <w:pStyle w:val="FootnoteText"/>
        <w:jc w:val="both"/>
        <w:rPr>
          <w:sz w:val="20"/>
        </w:rPr>
      </w:pPr>
      <w:r w:rsidRPr="00824076">
        <w:rPr>
          <w:rStyle w:val="FootnoteReference"/>
        </w:rPr>
        <w:footnoteRef/>
      </w:r>
      <w:r w:rsidRPr="00824076">
        <w:rPr>
          <w:sz w:val="20"/>
        </w:rPr>
        <w:t xml:space="preserve"> E. Ferlie and K.J. Geraghty, ‘Professionals in Public Service Organizations: Implications for Public Sector Reforming’, in E. Ferlie, L. Lynn Jr and C. Pollitt (eds), </w:t>
      </w:r>
      <w:r w:rsidRPr="00824076">
        <w:rPr>
          <w:i/>
          <w:sz w:val="20"/>
        </w:rPr>
        <w:t>The Oxford Handbook of Public Management</w:t>
      </w:r>
      <w:r w:rsidRPr="00824076">
        <w:rPr>
          <w:sz w:val="20"/>
        </w:rPr>
        <w:t xml:space="preserve"> (Oxford University Press, 2007) 422-445, at 431.</w:t>
      </w:r>
    </w:p>
  </w:footnote>
  <w:footnote w:id="75">
    <w:p w:rsidR="00D456C9" w:rsidRPr="00824076" w:rsidRDefault="00D456C9" w:rsidP="007E5BAC">
      <w:pPr>
        <w:pStyle w:val="FootnoteText"/>
        <w:jc w:val="both"/>
        <w:rPr>
          <w:sz w:val="20"/>
        </w:rPr>
      </w:pPr>
      <w:r w:rsidRPr="00824076">
        <w:rPr>
          <w:rStyle w:val="FootnoteReference"/>
        </w:rPr>
        <w:footnoteRef/>
      </w:r>
      <w:r w:rsidRPr="00824076">
        <w:rPr>
          <w:sz w:val="20"/>
        </w:rPr>
        <w:t xml:space="preserve"> Power, </w:t>
      </w:r>
      <w:r w:rsidRPr="00824076">
        <w:rPr>
          <w:i/>
          <w:sz w:val="20"/>
        </w:rPr>
        <w:t xml:space="preserve">supra </w:t>
      </w:r>
      <w:r w:rsidRPr="00824076">
        <w:rPr>
          <w:sz w:val="20"/>
        </w:rPr>
        <w:t>note 10, at 119.</w:t>
      </w:r>
    </w:p>
  </w:footnote>
  <w:footnote w:id="76">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p>
  </w:footnote>
  <w:footnote w:id="77">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Ibid.</w:t>
      </w:r>
    </w:p>
  </w:footnote>
  <w:footnote w:id="78">
    <w:p w:rsidR="00D456C9" w:rsidRPr="00824076" w:rsidRDefault="00D456C9" w:rsidP="007E5BAC">
      <w:pPr>
        <w:pStyle w:val="FootnoteText"/>
        <w:jc w:val="both"/>
        <w:rPr>
          <w:sz w:val="20"/>
        </w:rPr>
      </w:pPr>
      <w:r w:rsidRPr="00824076">
        <w:rPr>
          <w:rStyle w:val="FootnoteReference"/>
        </w:rPr>
        <w:footnoteRef/>
      </w:r>
      <w:r w:rsidRPr="00824076">
        <w:rPr>
          <w:sz w:val="20"/>
        </w:rPr>
        <w:t xml:space="preserve"> Power, </w:t>
      </w:r>
      <w:r w:rsidRPr="00824076">
        <w:rPr>
          <w:i/>
          <w:sz w:val="20"/>
        </w:rPr>
        <w:t xml:space="preserve">supra </w:t>
      </w:r>
      <w:r w:rsidRPr="00824076">
        <w:rPr>
          <w:sz w:val="20"/>
        </w:rPr>
        <w:t xml:space="preserve">note 10, at 115. See also indicatively, C. Pollitt, ‘How do we know how good our Public Services are?’ in G. Peters and D. Savoie (eds), </w:t>
      </w:r>
      <w:r w:rsidRPr="00824076">
        <w:rPr>
          <w:i/>
          <w:sz w:val="20"/>
        </w:rPr>
        <w:t>Governance in the Twenty-First Century: Revitalising the Public Service</w:t>
      </w:r>
      <w:r w:rsidRPr="00824076">
        <w:rPr>
          <w:sz w:val="20"/>
        </w:rPr>
        <w:t xml:space="preserve"> (McGill-Queen University Press, 2000) 119-155; Hood, </w:t>
      </w:r>
      <w:r w:rsidRPr="00824076">
        <w:rPr>
          <w:i/>
          <w:sz w:val="20"/>
        </w:rPr>
        <w:t xml:space="preserve">supra </w:t>
      </w:r>
      <w:r w:rsidRPr="00824076">
        <w:rPr>
          <w:sz w:val="20"/>
        </w:rPr>
        <w:t>note 22, at 8-10; P. Noordhoek and R. Saner, ‘Beyond New Public Management: Answering the Claims of Both Politics and Society’, 5</w:t>
      </w:r>
      <w:r w:rsidRPr="00824076">
        <w:rPr>
          <w:i/>
          <w:sz w:val="20"/>
        </w:rPr>
        <w:t xml:space="preserve"> Public Organization Review: A Global Journal </w:t>
      </w:r>
      <w:r w:rsidRPr="00824076">
        <w:rPr>
          <w:sz w:val="20"/>
        </w:rPr>
        <w:t>(2005) 35-53, at 36-44.</w:t>
      </w:r>
    </w:p>
  </w:footnote>
  <w:footnote w:id="79">
    <w:p w:rsidR="00D456C9" w:rsidRPr="00824076" w:rsidRDefault="00D456C9" w:rsidP="007E5BAC">
      <w:pPr>
        <w:pStyle w:val="FootnoteText"/>
        <w:jc w:val="both"/>
        <w:rPr>
          <w:sz w:val="20"/>
        </w:rPr>
      </w:pPr>
      <w:r w:rsidRPr="00824076">
        <w:rPr>
          <w:rStyle w:val="FootnoteReference"/>
        </w:rPr>
        <w:footnoteRef/>
      </w:r>
      <w:r w:rsidRPr="00824076">
        <w:rPr>
          <w:sz w:val="20"/>
        </w:rPr>
        <w:t xml:space="preserve"> Espeland and Sauder, </w:t>
      </w:r>
      <w:r w:rsidRPr="00824076">
        <w:rPr>
          <w:i/>
          <w:sz w:val="20"/>
        </w:rPr>
        <w:t>supra</w:t>
      </w:r>
      <w:r w:rsidRPr="00824076">
        <w:rPr>
          <w:sz w:val="20"/>
        </w:rPr>
        <w:t xml:space="preserve"> note 16, at 86.</w:t>
      </w:r>
    </w:p>
  </w:footnote>
  <w:footnote w:id="80">
    <w:p w:rsidR="00D456C9" w:rsidRPr="00824076" w:rsidRDefault="00D456C9" w:rsidP="007E5BAC">
      <w:pPr>
        <w:pStyle w:val="FootnoteText"/>
        <w:jc w:val="both"/>
        <w:rPr>
          <w:sz w:val="20"/>
        </w:rPr>
      </w:pPr>
      <w:r w:rsidRPr="00824076">
        <w:rPr>
          <w:rStyle w:val="FootnoteReference"/>
        </w:rPr>
        <w:footnoteRef/>
      </w:r>
      <w:r w:rsidRPr="00824076">
        <w:rPr>
          <w:sz w:val="20"/>
        </w:rPr>
        <w:t xml:space="preserve"> The literature on </w:t>
      </w:r>
      <w:r>
        <w:rPr>
          <w:sz w:val="20"/>
        </w:rPr>
        <w:t>‘</w:t>
      </w:r>
      <w:r w:rsidRPr="00824076">
        <w:rPr>
          <w:sz w:val="20"/>
        </w:rPr>
        <w:t>cause lawyering</w:t>
      </w:r>
      <w:r>
        <w:rPr>
          <w:sz w:val="20"/>
        </w:rPr>
        <w:t>’</w:t>
      </w:r>
      <w:r w:rsidRPr="00824076">
        <w:rPr>
          <w:sz w:val="20"/>
        </w:rPr>
        <w:t xml:space="preserve"> is considerable, but for a concise discussion see K. McEvoy, ‘What Did the Lawyers Do During the War’? Neutrality, Conflict and the Culture of Quietism’, 74 </w:t>
      </w:r>
      <w:r w:rsidRPr="00824076">
        <w:rPr>
          <w:i/>
          <w:sz w:val="20"/>
        </w:rPr>
        <w:t>Modern Law Review</w:t>
      </w:r>
      <w:r w:rsidRPr="00824076">
        <w:rPr>
          <w:sz w:val="20"/>
        </w:rPr>
        <w:t xml:space="preserve"> (2011)</w:t>
      </w:r>
      <w:r w:rsidRPr="00824076">
        <w:rPr>
          <w:i/>
          <w:sz w:val="20"/>
        </w:rPr>
        <w:t xml:space="preserve"> </w:t>
      </w:r>
      <w:r w:rsidRPr="00824076">
        <w:rPr>
          <w:sz w:val="20"/>
        </w:rPr>
        <w:t xml:space="preserve">350-384, at 354. </w:t>
      </w:r>
    </w:p>
  </w:footnote>
  <w:footnote w:id="81">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bCs/>
          <w:sz w:val="20"/>
        </w:rPr>
        <w:t xml:space="preserve">The OTP’s current strategy makes clear that performance indicators ‘also assist the Office to report on its performance to its stakeholders’. See </w:t>
      </w:r>
      <w:r w:rsidRPr="00824076">
        <w:rPr>
          <w:bCs/>
          <w:i/>
          <w:sz w:val="20"/>
        </w:rPr>
        <w:t>OTP Strategic Plan 2016-2018</w:t>
      </w:r>
      <w:r>
        <w:rPr>
          <w:bCs/>
          <w:sz w:val="20"/>
        </w:rPr>
        <w:t xml:space="preserve">, </w:t>
      </w:r>
      <w:r w:rsidRPr="00824076">
        <w:rPr>
          <w:bCs/>
          <w:sz w:val="20"/>
        </w:rPr>
        <w:t>6 July 2015</w:t>
      </w:r>
      <w:r>
        <w:rPr>
          <w:bCs/>
          <w:sz w:val="20"/>
        </w:rPr>
        <w:t>,</w:t>
      </w:r>
      <w:r w:rsidRPr="00824076">
        <w:rPr>
          <w:bCs/>
          <w:sz w:val="20"/>
        </w:rPr>
        <w:t xml:space="preserve"> </w:t>
      </w:r>
      <w:r w:rsidRPr="00824076">
        <w:rPr>
          <w:sz w:val="20"/>
        </w:rPr>
        <w:t xml:space="preserve">§ </w:t>
      </w:r>
      <w:r w:rsidRPr="00824076">
        <w:rPr>
          <w:bCs/>
          <w:sz w:val="20"/>
        </w:rPr>
        <w:t>103</w:t>
      </w:r>
    </w:p>
  </w:footnote>
  <w:footnote w:id="8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H.H. Gerth and C.W. Mills (ed.), </w:t>
      </w:r>
      <w:r w:rsidRPr="00824076">
        <w:rPr>
          <w:i/>
          <w:sz w:val="20"/>
        </w:rPr>
        <w:t xml:space="preserve">From Max Weber: Essays in Sociology </w:t>
      </w:r>
      <w:r w:rsidRPr="00824076">
        <w:rPr>
          <w:sz w:val="20"/>
        </w:rPr>
        <w:t>(Routledge</w:t>
      </w:r>
      <w:r w:rsidR="00D0748C">
        <w:rPr>
          <w:sz w:val="20"/>
        </w:rPr>
        <w:t>,</w:t>
      </w:r>
      <w:r w:rsidRPr="00824076">
        <w:rPr>
          <w:sz w:val="20"/>
        </w:rPr>
        <w:t xml:space="preserve"> 1995)</w:t>
      </w:r>
      <w:r>
        <w:rPr>
          <w:sz w:val="20"/>
        </w:rPr>
        <w:t>, at</w:t>
      </w:r>
      <w:r w:rsidRPr="00824076">
        <w:rPr>
          <w:sz w:val="20"/>
        </w:rPr>
        <w:t xml:space="preserve"> 229.</w:t>
      </w:r>
    </w:p>
  </w:footnote>
  <w:footnote w:id="83">
    <w:p w:rsidR="00D456C9" w:rsidRPr="00824076" w:rsidRDefault="00D456C9" w:rsidP="007E5BAC">
      <w:pPr>
        <w:pStyle w:val="FootnoteText"/>
        <w:jc w:val="both"/>
        <w:rPr>
          <w:sz w:val="20"/>
        </w:rPr>
      </w:pPr>
      <w:r w:rsidRPr="00824076">
        <w:rPr>
          <w:rStyle w:val="FootnoteReference"/>
        </w:rPr>
        <w:footnoteRef/>
      </w:r>
      <w:r w:rsidRPr="00824076">
        <w:rPr>
          <w:sz w:val="20"/>
        </w:rPr>
        <w:t xml:space="preserve"> Carter, Klein and Day, </w:t>
      </w:r>
      <w:r w:rsidRPr="00824076">
        <w:rPr>
          <w:i/>
          <w:sz w:val="20"/>
        </w:rPr>
        <w:t>supra</w:t>
      </w:r>
      <w:r w:rsidRPr="00824076">
        <w:rPr>
          <w:sz w:val="20"/>
        </w:rPr>
        <w:t xml:space="preserve"> note 23, at 38. The dictionary definition of efficiency refers to maximum productivity with minimum wasted effort, or the ratio of useful work performance to the total energy expended. See Stevenson (ed.), </w:t>
      </w:r>
      <w:r w:rsidRPr="00985567">
        <w:rPr>
          <w:i/>
          <w:sz w:val="20"/>
        </w:rPr>
        <w:t>supra</w:t>
      </w:r>
      <w:r w:rsidRPr="00824076">
        <w:rPr>
          <w:sz w:val="20"/>
        </w:rPr>
        <w:t xml:space="preserve"> note 2,</w:t>
      </w:r>
      <w:r w:rsidR="0056350B">
        <w:rPr>
          <w:sz w:val="20"/>
        </w:rPr>
        <w:t xml:space="preserve">  </w:t>
      </w:r>
      <w:r w:rsidRPr="00824076">
        <w:rPr>
          <w:sz w:val="20"/>
        </w:rPr>
        <w:t>at 561.</w:t>
      </w:r>
    </w:p>
  </w:footnote>
  <w:footnote w:id="84">
    <w:p w:rsidR="00D456C9" w:rsidRPr="00824076" w:rsidRDefault="00D456C9" w:rsidP="007E5BAC">
      <w:pPr>
        <w:pStyle w:val="FootnoteText"/>
        <w:jc w:val="both"/>
        <w:rPr>
          <w:sz w:val="20"/>
        </w:rPr>
      </w:pPr>
      <w:r w:rsidRPr="00824076">
        <w:rPr>
          <w:rStyle w:val="FootnoteReference"/>
        </w:rPr>
        <w:footnoteRef/>
      </w:r>
      <w:r w:rsidRPr="00824076">
        <w:rPr>
          <w:sz w:val="20"/>
        </w:rPr>
        <w:t xml:space="preserve"> Power, </w:t>
      </w:r>
      <w:r w:rsidRPr="00824076">
        <w:rPr>
          <w:i/>
          <w:sz w:val="20"/>
        </w:rPr>
        <w:t xml:space="preserve">supra </w:t>
      </w:r>
      <w:r w:rsidRPr="00824076">
        <w:rPr>
          <w:sz w:val="20"/>
        </w:rPr>
        <w:t>note 10, at 44.</w:t>
      </w:r>
    </w:p>
  </w:footnote>
  <w:footnote w:id="85">
    <w:p w:rsidR="00D456C9" w:rsidRPr="00824076" w:rsidRDefault="00D456C9" w:rsidP="007E5BAC">
      <w:pPr>
        <w:pStyle w:val="FootnoteText"/>
        <w:jc w:val="both"/>
        <w:rPr>
          <w:sz w:val="20"/>
        </w:rPr>
      </w:pPr>
      <w:r w:rsidRPr="00824076">
        <w:rPr>
          <w:rStyle w:val="FootnoteReference"/>
        </w:rPr>
        <w:footnoteRef/>
      </w:r>
      <w:r w:rsidRPr="00824076">
        <w:rPr>
          <w:sz w:val="20"/>
        </w:rPr>
        <w:t xml:space="preserve"> See for example ‘13 years, 1 billion dollars, 2 convictions: Is the International Criminal Court Worth it?’ DW, 27 January 2016, available online at </w:t>
      </w:r>
      <w:hyperlink r:id="rId6" w:history="1">
        <w:r w:rsidRPr="00824076">
          <w:rPr>
            <w:rStyle w:val="Hyperlink"/>
            <w:sz w:val="20"/>
          </w:rPr>
          <w:t>http://www.dw.com/en/13-years-1-billion-dollars-2-convictions-is-the-international-criminal-court-worth-it/a-19006069</w:t>
        </w:r>
      </w:hyperlink>
      <w:r w:rsidRPr="00824076">
        <w:rPr>
          <w:sz w:val="20"/>
        </w:rPr>
        <w:t xml:space="preserve"> (visited </w:t>
      </w:r>
      <w:r>
        <w:rPr>
          <w:sz w:val="20"/>
        </w:rPr>
        <w:t>1 June 2017</w:t>
      </w:r>
      <w:r w:rsidRPr="00824076">
        <w:rPr>
          <w:sz w:val="20"/>
        </w:rPr>
        <w:t>).</w:t>
      </w:r>
    </w:p>
  </w:footnote>
  <w:footnote w:id="86">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Pr>
          <w:sz w:val="20"/>
        </w:rPr>
        <w:t>E</w:t>
      </w:r>
      <w:r w:rsidRPr="00824076">
        <w:rPr>
          <w:sz w:val="20"/>
        </w:rPr>
        <w:t>fficiency</w:t>
      </w:r>
      <w:r>
        <w:rPr>
          <w:sz w:val="20"/>
        </w:rPr>
        <w:t xml:space="preserve"> is so interpreted in</w:t>
      </w:r>
      <w:r w:rsidRPr="00824076">
        <w:rPr>
          <w:sz w:val="20"/>
        </w:rPr>
        <w:t xml:space="preserve"> Stevenson (ed.), </w:t>
      </w:r>
      <w:r w:rsidRPr="00824076">
        <w:rPr>
          <w:i/>
          <w:sz w:val="20"/>
        </w:rPr>
        <w:t xml:space="preserve">supra </w:t>
      </w:r>
      <w:r w:rsidRPr="00824076">
        <w:rPr>
          <w:sz w:val="20"/>
        </w:rPr>
        <w:t>note 2, at 561.</w:t>
      </w:r>
    </w:p>
  </w:footnote>
  <w:footnote w:id="87">
    <w:p w:rsidR="00D456C9" w:rsidRPr="00D0748C" w:rsidRDefault="00D456C9" w:rsidP="007E5BAC">
      <w:pPr>
        <w:pStyle w:val="FootnoteText"/>
        <w:jc w:val="both"/>
        <w:rPr>
          <w:i/>
          <w:sz w:val="20"/>
        </w:rPr>
      </w:pPr>
      <w:r w:rsidRPr="00824076">
        <w:rPr>
          <w:rStyle w:val="FootnoteReference"/>
        </w:rPr>
        <w:footnoteRef/>
      </w:r>
      <w:r w:rsidRPr="00824076">
        <w:rPr>
          <w:sz w:val="20"/>
        </w:rPr>
        <w:t xml:space="preserve"> ICC OTP</w:t>
      </w:r>
      <w:r w:rsidR="00D0748C">
        <w:rPr>
          <w:sz w:val="20"/>
        </w:rPr>
        <w:t>,</w:t>
      </w:r>
      <w:r w:rsidRPr="00824076">
        <w:rPr>
          <w:sz w:val="20"/>
        </w:rPr>
        <w:t xml:space="preserve"> </w:t>
      </w:r>
      <w:r w:rsidRPr="00824076">
        <w:rPr>
          <w:i/>
          <w:sz w:val="20"/>
        </w:rPr>
        <w:t>Policy Paper on the Interests of Justice</w:t>
      </w:r>
      <w:r w:rsidRPr="00824076">
        <w:rPr>
          <w:sz w:val="20"/>
        </w:rPr>
        <w:t xml:space="preserve">, September 2007, at 9. See also, albeit in relation to not opening an investigation, Decision on the request of the Union of the Comoros to review the Prosecutor’s decision not to initiate an investigation, </w:t>
      </w:r>
      <w:r w:rsidRPr="00985567">
        <w:rPr>
          <w:i/>
          <w:sz w:val="20"/>
        </w:rPr>
        <w:t>Situation on the Registered Vessels of the Union of the Comoros, the Hellenic Republic and the Kingdom of Cambodia</w:t>
      </w:r>
      <w:r w:rsidRPr="00824076">
        <w:rPr>
          <w:sz w:val="20"/>
        </w:rPr>
        <w:t xml:space="preserve"> (ICC-01/13), Pre-Trial Chamber I, 16 July 2015.</w:t>
      </w:r>
      <w:r>
        <w:rPr>
          <w:sz w:val="20"/>
        </w:rPr>
        <w:t xml:space="preserve"> </w:t>
      </w:r>
      <w:r w:rsidRPr="00D0748C">
        <w:rPr>
          <w:sz w:val="20"/>
        </w:rPr>
        <w:t>See also M. Varaki’</w:t>
      </w:r>
      <w:r w:rsidR="00D0748C">
        <w:rPr>
          <w:sz w:val="20"/>
        </w:rPr>
        <w:t xml:space="preserve">s article in this Special Issue of the </w:t>
      </w:r>
      <w:r w:rsidR="00D0748C">
        <w:rPr>
          <w:i/>
          <w:sz w:val="20"/>
        </w:rPr>
        <w:t>Journal.</w:t>
      </w:r>
    </w:p>
  </w:footnote>
  <w:footnote w:id="88">
    <w:p w:rsidR="00D456C9" w:rsidRPr="00824076" w:rsidRDefault="00D456C9" w:rsidP="007E5BAC">
      <w:pPr>
        <w:pStyle w:val="FootnoteText"/>
        <w:jc w:val="both"/>
        <w:rPr>
          <w:sz w:val="20"/>
        </w:rPr>
      </w:pPr>
      <w:r w:rsidRPr="00824076">
        <w:rPr>
          <w:rStyle w:val="FootnoteReference"/>
        </w:rPr>
        <w:footnoteRef/>
      </w:r>
      <w:r w:rsidRPr="00824076">
        <w:rPr>
          <w:sz w:val="20"/>
        </w:rPr>
        <w:t xml:space="preserve"> Art. 17(1)(a) ICCSt. (Issues of Admissibility), and following.</w:t>
      </w:r>
    </w:p>
  </w:footnote>
  <w:footnote w:id="89">
    <w:p w:rsidR="00D456C9" w:rsidRPr="00824076" w:rsidRDefault="00D456C9" w:rsidP="007E5BAC">
      <w:pPr>
        <w:pStyle w:val="FootnoteText"/>
        <w:jc w:val="both"/>
        <w:rPr>
          <w:sz w:val="20"/>
        </w:rPr>
      </w:pPr>
      <w:r w:rsidRPr="00824076">
        <w:rPr>
          <w:rStyle w:val="FootnoteReference"/>
        </w:rPr>
        <w:footnoteRef/>
      </w:r>
      <w:r w:rsidRPr="00824076">
        <w:rPr>
          <w:sz w:val="20"/>
        </w:rPr>
        <w:t xml:space="preserve"> There is significant literature on the concept of positive complementarity including its potential incorporation of efforts to build domestic judicial capacity. See, for example, W. Burke White, ‘Implementing a Policy of Positive Complementarity in the Rome System of Justice’, 19 </w:t>
      </w:r>
      <w:r w:rsidRPr="00824076">
        <w:rPr>
          <w:i/>
          <w:sz w:val="20"/>
        </w:rPr>
        <w:t>Criminal Law Forum</w:t>
      </w:r>
      <w:r w:rsidRPr="00824076">
        <w:rPr>
          <w:sz w:val="20"/>
        </w:rPr>
        <w:t xml:space="preserve"> (2008) 59-85; J. Tillier, ‘The ICC Prosecutor and Positive Complementarity: Strengthening the Rule of Law’, 13 </w:t>
      </w:r>
      <w:r w:rsidRPr="00824076">
        <w:rPr>
          <w:i/>
          <w:sz w:val="20"/>
        </w:rPr>
        <w:t>International Criminal Law Review</w:t>
      </w:r>
      <w:r w:rsidRPr="00824076">
        <w:rPr>
          <w:sz w:val="20"/>
        </w:rPr>
        <w:t xml:space="preserve"> (2013) 507-591; O. Bekou, ‘The ICC and Capacity Building at the National Level’, in C. Stahn (ed.), </w:t>
      </w:r>
      <w:r w:rsidRPr="00824076">
        <w:rPr>
          <w:i/>
          <w:sz w:val="20"/>
        </w:rPr>
        <w:t xml:space="preserve">The Law and Practice of the International Criminal Court </w:t>
      </w:r>
      <w:r w:rsidRPr="00824076">
        <w:rPr>
          <w:sz w:val="20"/>
        </w:rPr>
        <w:t>(Oxford University Press, 2015)</w:t>
      </w:r>
      <w:r>
        <w:rPr>
          <w:sz w:val="20"/>
        </w:rPr>
        <w:t xml:space="preserve"> </w:t>
      </w:r>
      <w:r w:rsidRPr="00824076">
        <w:rPr>
          <w:sz w:val="20"/>
        </w:rPr>
        <w:t xml:space="preserve">1245-1258. </w:t>
      </w:r>
    </w:p>
  </w:footnote>
  <w:footnote w:id="90">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w:t>
      </w:r>
      <w:r w:rsidRPr="00985567">
        <w:rPr>
          <w:sz w:val="20"/>
        </w:rPr>
        <w:t>OTP</w:t>
      </w:r>
      <w:r w:rsidRPr="00824076">
        <w:rPr>
          <w:sz w:val="20"/>
        </w:rPr>
        <w:t>,</w:t>
      </w:r>
      <w:r w:rsidRPr="00824076">
        <w:rPr>
          <w:i/>
          <w:sz w:val="20"/>
        </w:rPr>
        <w:t xml:space="preserve"> Report on Prosecutorial Strategy, </w:t>
      </w:r>
      <w:r w:rsidRPr="00824076">
        <w:rPr>
          <w:sz w:val="20"/>
        </w:rPr>
        <w:t xml:space="preserve">14 September 2006, § 14 and ICC OTP </w:t>
      </w:r>
      <w:r w:rsidRPr="00824076">
        <w:rPr>
          <w:i/>
          <w:sz w:val="20"/>
        </w:rPr>
        <w:t>Prosecutorial Strategy 2009-2012</w:t>
      </w:r>
      <w:r w:rsidRPr="00824076">
        <w:rPr>
          <w:sz w:val="20"/>
        </w:rPr>
        <w:t>, 1 February 2010, § 79.</w:t>
      </w:r>
    </w:p>
  </w:footnote>
  <w:footnote w:id="91">
    <w:p w:rsidR="00D456C9" w:rsidRPr="00824076" w:rsidRDefault="00D456C9" w:rsidP="007E5BAC">
      <w:pPr>
        <w:pStyle w:val="FootnoteText"/>
        <w:jc w:val="both"/>
        <w:rPr>
          <w:rFonts w:cs="Arial"/>
          <w:sz w:val="20"/>
        </w:rPr>
      </w:pPr>
      <w:r w:rsidRPr="00824076">
        <w:rPr>
          <w:rStyle w:val="FootnoteReference"/>
          <w:rFonts w:cs="Arial"/>
        </w:rPr>
        <w:footnoteRef/>
      </w:r>
      <w:r w:rsidRPr="00824076">
        <w:rPr>
          <w:rFonts w:cs="Arial"/>
          <w:sz w:val="20"/>
        </w:rPr>
        <w:t xml:space="preserve"> </w:t>
      </w:r>
      <w:r w:rsidRPr="00824076">
        <w:rPr>
          <w:rFonts w:cs="Times New Roman"/>
          <w:sz w:val="20"/>
        </w:rPr>
        <w:t xml:space="preserve">L.M. Ocampo, ‘Statement made at the ceremony for the solemn undertaking of the Chief Prosecutor’, 16 June 2003, at 3, available online at </w:t>
      </w:r>
      <w:hyperlink r:id="rId7" w:history="1">
        <w:r w:rsidRPr="00824076">
          <w:rPr>
            <w:rStyle w:val="Hyperlink"/>
            <w:rFonts w:cs="Times New Roman"/>
            <w:sz w:val="20"/>
          </w:rPr>
          <w:t>http://www.iccnow.org/documents/MorenoOcampo16June03.pdf</w:t>
        </w:r>
      </w:hyperlink>
      <w:r w:rsidRPr="00824076">
        <w:rPr>
          <w:rFonts w:cs="Times New Roman"/>
          <w:sz w:val="20"/>
        </w:rPr>
        <w:t xml:space="preserve"> (visited 31 May 2017).</w:t>
      </w:r>
    </w:p>
  </w:footnote>
  <w:footnote w:id="9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On the argument that complementarity acts like a competition for jurisdiction see S.M.H. Nouwen, </w:t>
      </w:r>
      <w:r w:rsidRPr="00824076">
        <w:rPr>
          <w:i/>
          <w:sz w:val="20"/>
        </w:rPr>
        <w:t xml:space="preserve">Complementarity in the Line of Fire: The Catalysing Effect of the International Criminal Court in Uganda and Sudan </w:t>
      </w:r>
      <w:r w:rsidRPr="00824076">
        <w:rPr>
          <w:sz w:val="20"/>
        </w:rPr>
        <w:t>(Cambridge University Press, 2013), at 340.</w:t>
      </w:r>
    </w:p>
  </w:footnote>
  <w:footnote w:id="93">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Report of the Court on the Basic Size of the Office of the Prosecutor</w:t>
      </w:r>
      <w:r w:rsidRPr="00824076">
        <w:rPr>
          <w:sz w:val="20"/>
        </w:rPr>
        <w:t>, ICC-ASP/14/21, 7 August 2015, § 4.</w:t>
      </w:r>
    </w:p>
  </w:footnote>
  <w:footnote w:id="94">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OTP, </w:t>
      </w:r>
      <w:r w:rsidRPr="00824076">
        <w:rPr>
          <w:i/>
          <w:sz w:val="20"/>
        </w:rPr>
        <w:t xml:space="preserve">Strategic Plan </w:t>
      </w:r>
      <w:r w:rsidRPr="00824076">
        <w:rPr>
          <w:rFonts w:cs="Times New Roman"/>
          <w:i/>
          <w:sz w:val="20"/>
        </w:rPr>
        <w:t>|</w:t>
      </w:r>
      <w:r w:rsidRPr="00824076">
        <w:rPr>
          <w:i/>
          <w:sz w:val="20"/>
        </w:rPr>
        <w:t xml:space="preserve"> 2016-2018</w:t>
      </w:r>
      <w:r w:rsidRPr="00824076">
        <w:rPr>
          <w:sz w:val="20"/>
        </w:rPr>
        <w:t>, 6 July 2015, § 106.</w:t>
      </w:r>
    </w:p>
  </w:footnote>
  <w:footnote w:id="95">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i/>
          <w:sz w:val="20"/>
        </w:rPr>
        <w:t xml:space="preserve">Ibid. </w:t>
      </w:r>
      <w:r w:rsidRPr="00824076">
        <w:rPr>
          <w:sz w:val="20"/>
        </w:rPr>
        <w:t xml:space="preserve">One might add that operational indicators nn. </w:t>
      </w:r>
      <w:r>
        <w:rPr>
          <w:sz w:val="20"/>
        </w:rPr>
        <w:t>4</w:t>
      </w:r>
      <w:r w:rsidRPr="00824076">
        <w:rPr>
          <w:sz w:val="20"/>
        </w:rPr>
        <w:t xml:space="preserve"> and </w:t>
      </w:r>
      <w:r>
        <w:rPr>
          <w:sz w:val="20"/>
        </w:rPr>
        <w:t>5</w:t>
      </w:r>
      <w:r w:rsidRPr="00824076">
        <w:rPr>
          <w:sz w:val="20"/>
        </w:rPr>
        <w:t xml:space="preserve"> (concerned with compliance with policies and standards and the rather obscure ‘quality of interaction with the OTP’) also attest to the quality of the OTP’s activities.</w:t>
      </w:r>
      <w:r w:rsidR="0056350B">
        <w:rPr>
          <w:sz w:val="20"/>
        </w:rPr>
        <w:t xml:space="preserve">  </w:t>
      </w:r>
    </w:p>
  </w:footnote>
  <w:footnote w:id="96">
    <w:p w:rsidR="00D456C9" w:rsidRPr="00824076" w:rsidRDefault="00D456C9" w:rsidP="007E5BAC">
      <w:pPr>
        <w:pStyle w:val="FootnoteText"/>
        <w:jc w:val="both"/>
        <w:rPr>
          <w:sz w:val="20"/>
        </w:rPr>
      </w:pPr>
      <w:r w:rsidRPr="00824076">
        <w:rPr>
          <w:rStyle w:val="FootnoteReference"/>
        </w:rPr>
        <w:footnoteRef/>
      </w:r>
      <w:r w:rsidRPr="00824076">
        <w:rPr>
          <w:sz w:val="20"/>
        </w:rPr>
        <w:t xml:space="preserve"> The OTP’s diligence in case preparation is likely to be stressed in order to avoid negative assessments by the Chambers</w:t>
      </w:r>
      <w:r>
        <w:rPr>
          <w:sz w:val="20"/>
        </w:rPr>
        <w:t>,</w:t>
      </w:r>
      <w:r w:rsidRPr="00824076">
        <w:rPr>
          <w:sz w:val="20"/>
        </w:rPr>
        <w:t xml:space="preserve"> that might lead to rulings against the Prosecutor. See for example, Decision on the Confirmation of Charges, </w:t>
      </w:r>
      <w:r w:rsidRPr="00824076">
        <w:rPr>
          <w:i/>
          <w:sz w:val="20"/>
        </w:rPr>
        <w:t xml:space="preserve">Mbaruishmana </w:t>
      </w:r>
      <w:r w:rsidRPr="00824076">
        <w:rPr>
          <w:sz w:val="20"/>
        </w:rPr>
        <w:t>(ICC-001/04-01/10), Pre-Trial Chamber 1, 16 December 2011, §§ 82, 110 where the Chamber was critical of the Prosecutor’s specificity in drafting the charges (perhaps due, in part</w:t>
      </w:r>
      <w:r>
        <w:rPr>
          <w:sz w:val="20"/>
        </w:rPr>
        <w:t>,</w:t>
      </w:r>
      <w:r w:rsidRPr="00824076">
        <w:rPr>
          <w:sz w:val="20"/>
        </w:rPr>
        <w:t xml:space="preserve"> </w:t>
      </w:r>
      <w:r>
        <w:rPr>
          <w:sz w:val="20"/>
        </w:rPr>
        <w:t>to</w:t>
      </w:r>
      <w:r w:rsidRPr="00824076">
        <w:rPr>
          <w:sz w:val="20"/>
        </w:rPr>
        <w:t xml:space="preserve"> the</w:t>
      </w:r>
      <w:r w:rsidR="0056350B">
        <w:rPr>
          <w:sz w:val="20"/>
        </w:rPr>
        <w:t xml:space="preserve">  </w:t>
      </w:r>
      <w:r w:rsidRPr="00824076">
        <w:rPr>
          <w:sz w:val="20"/>
        </w:rPr>
        <w:t xml:space="preserve">Prosecutor’s extensive reliance on evidence in </w:t>
      </w:r>
      <w:r w:rsidRPr="00824076">
        <w:rPr>
          <w:i/>
          <w:sz w:val="20"/>
        </w:rPr>
        <w:t xml:space="preserve">Human Rights Watch </w:t>
      </w:r>
      <w:r w:rsidRPr="00824076">
        <w:rPr>
          <w:sz w:val="20"/>
        </w:rPr>
        <w:t xml:space="preserve">reports). This contributed to the Chamber </w:t>
      </w:r>
      <w:r>
        <w:rPr>
          <w:sz w:val="20"/>
        </w:rPr>
        <w:t>refusing</w:t>
      </w:r>
      <w:r w:rsidRPr="00824076">
        <w:rPr>
          <w:sz w:val="20"/>
        </w:rPr>
        <w:t xml:space="preserve"> to confirm the charges.</w:t>
      </w:r>
    </w:p>
  </w:footnote>
  <w:footnote w:id="97">
    <w:p w:rsidR="00D456C9" w:rsidRPr="00824076" w:rsidRDefault="00D456C9" w:rsidP="007E5BAC">
      <w:pPr>
        <w:pStyle w:val="FootnoteText"/>
        <w:jc w:val="both"/>
        <w:rPr>
          <w:sz w:val="20"/>
        </w:rPr>
      </w:pPr>
      <w:r w:rsidRPr="00824076">
        <w:rPr>
          <w:rStyle w:val="FootnoteReference"/>
        </w:rPr>
        <w:footnoteRef/>
      </w:r>
      <w:r w:rsidRPr="00824076">
        <w:rPr>
          <w:sz w:val="20"/>
        </w:rPr>
        <w:t xml:space="preserve"> Pollit, </w:t>
      </w:r>
      <w:r w:rsidRPr="00824076">
        <w:rPr>
          <w:i/>
          <w:sz w:val="20"/>
        </w:rPr>
        <w:t xml:space="preserve">supra </w:t>
      </w:r>
      <w:r w:rsidRPr="00824076">
        <w:rPr>
          <w:sz w:val="20"/>
        </w:rPr>
        <w:t xml:space="preserve">note 1, at 161-163. </w:t>
      </w:r>
    </w:p>
  </w:footnote>
  <w:footnote w:id="98">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sidRPr="00824076">
        <w:rPr>
          <w:rFonts w:cs="Times New Roman"/>
          <w:sz w:val="20"/>
        </w:rPr>
        <w:t xml:space="preserve">All criminal prosecutors, national or international, are likely to view ‘win-loss records’ as central to the evaluation of their own performance. On this see </w:t>
      </w:r>
      <w:r w:rsidRPr="00824076">
        <w:rPr>
          <w:sz w:val="20"/>
        </w:rPr>
        <w:t xml:space="preserve">C. McCoy, ‘Prosecution’, in M. Tonry (ed.), </w:t>
      </w:r>
      <w:r w:rsidRPr="00824076">
        <w:rPr>
          <w:i/>
          <w:sz w:val="20"/>
        </w:rPr>
        <w:t xml:space="preserve">The Oxford Handbook of Crime and Criminal Justice </w:t>
      </w:r>
      <w:r w:rsidRPr="00824076">
        <w:rPr>
          <w:sz w:val="20"/>
        </w:rPr>
        <w:t>(Oxford University Press, 2013) 663-696, at 688.</w:t>
      </w:r>
    </w:p>
  </w:footnote>
  <w:footnote w:id="99">
    <w:p w:rsidR="00D456C9" w:rsidRPr="00824076" w:rsidRDefault="00D456C9" w:rsidP="007E5BAC">
      <w:pPr>
        <w:pStyle w:val="FootnoteText"/>
        <w:jc w:val="both"/>
        <w:rPr>
          <w:sz w:val="20"/>
        </w:rPr>
      </w:pPr>
      <w:r w:rsidRPr="00824076">
        <w:rPr>
          <w:rStyle w:val="FootnoteReference"/>
        </w:rPr>
        <w:footnoteRef/>
      </w:r>
      <w:r w:rsidRPr="00824076">
        <w:rPr>
          <w:sz w:val="20"/>
        </w:rPr>
        <w:t xml:space="preserve"> Carter, Klein and Day, </w:t>
      </w:r>
      <w:r w:rsidRPr="00824076">
        <w:rPr>
          <w:i/>
          <w:sz w:val="20"/>
        </w:rPr>
        <w:t>supra</w:t>
      </w:r>
      <w:r w:rsidRPr="00824076">
        <w:rPr>
          <w:sz w:val="20"/>
        </w:rPr>
        <w:t xml:space="preserve"> note 23, at 35-38. Carter’s definition accords with that of the dictionary, which outlines effectiveness as the degree to which something is successful in producing a desired result. See </w:t>
      </w:r>
      <w:r w:rsidRPr="00824076">
        <w:rPr>
          <w:rFonts w:cs="Times New Roman"/>
          <w:sz w:val="20"/>
        </w:rPr>
        <w:t xml:space="preserve">Stevenson (ed.), </w:t>
      </w:r>
      <w:r w:rsidRPr="00824076">
        <w:rPr>
          <w:rFonts w:cs="Times New Roman"/>
          <w:i/>
          <w:sz w:val="20"/>
        </w:rPr>
        <w:t xml:space="preserve">supra </w:t>
      </w:r>
      <w:r w:rsidRPr="00824076">
        <w:rPr>
          <w:rFonts w:cs="Times New Roman"/>
          <w:sz w:val="20"/>
        </w:rPr>
        <w:t xml:space="preserve">note 2, at 560. Although not relevant for the present purpose, the concept of ‘impact’ is often used interchangeably with </w:t>
      </w:r>
      <w:r>
        <w:rPr>
          <w:rFonts w:cs="Times New Roman"/>
          <w:sz w:val="20"/>
        </w:rPr>
        <w:t>‘</w:t>
      </w:r>
      <w:r w:rsidRPr="00824076">
        <w:rPr>
          <w:rFonts w:cs="Times New Roman"/>
          <w:sz w:val="20"/>
        </w:rPr>
        <w:t>outcome</w:t>
      </w:r>
      <w:r>
        <w:rPr>
          <w:rFonts w:cs="Times New Roman"/>
          <w:sz w:val="20"/>
        </w:rPr>
        <w:t>’</w:t>
      </w:r>
      <w:r w:rsidRPr="00824076">
        <w:rPr>
          <w:rFonts w:cs="Times New Roman"/>
          <w:sz w:val="20"/>
        </w:rPr>
        <w:t xml:space="preserve">. For a distinction between the two terms </w:t>
      </w:r>
      <w:r>
        <w:rPr>
          <w:rFonts w:cs="Times New Roman"/>
          <w:sz w:val="20"/>
        </w:rPr>
        <w:t>s</w:t>
      </w:r>
      <w:r w:rsidRPr="00824076">
        <w:rPr>
          <w:rFonts w:cs="Times New Roman"/>
          <w:sz w:val="20"/>
        </w:rPr>
        <w:t xml:space="preserve">ee D. Alesani, ‘Results-Based Management’, in Missoni and Alesani (eds), </w:t>
      </w:r>
      <w:r w:rsidRPr="00985567">
        <w:rPr>
          <w:i/>
          <w:sz w:val="20"/>
        </w:rPr>
        <w:t>supra</w:t>
      </w:r>
      <w:r w:rsidRPr="00824076">
        <w:rPr>
          <w:sz w:val="20"/>
        </w:rPr>
        <w:t xml:space="preserve"> note</w:t>
      </w:r>
      <w:r w:rsidRPr="00824076">
        <w:rPr>
          <w:rFonts w:cs="Times New Roman"/>
          <w:i/>
          <w:sz w:val="20"/>
        </w:rPr>
        <w:t xml:space="preserve"> </w:t>
      </w:r>
      <w:r w:rsidRPr="00824076">
        <w:rPr>
          <w:rFonts w:cs="Times New Roman"/>
          <w:sz w:val="20"/>
        </w:rPr>
        <w:t>20, 266-294, at 267.</w:t>
      </w:r>
    </w:p>
  </w:footnote>
  <w:footnote w:id="100">
    <w:p w:rsidR="00D456C9" w:rsidRPr="00824076" w:rsidRDefault="00D456C9" w:rsidP="007E5BAC">
      <w:pPr>
        <w:pStyle w:val="FootnoteText"/>
        <w:jc w:val="both"/>
        <w:rPr>
          <w:sz w:val="20"/>
        </w:rPr>
      </w:pPr>
      <w:r w:rsidRPr="00824076">
        <w:rPr>
          <w:rStyle w:val="FootnoteReference"/>
        </w:rPr>
        <w:footnoteRef/>
      </w:r>
      <w:r w:rsidRPr="00824076">
        <w:rPr>
          <w:sz w:val="20"/>
        </w:rPr>
        <w:t xml:space="preserve"> Carter, Klein and Day, </w:t>
      </w:r>
      <w:r w:rsidRPr="00824076">
        <w:rPr>
          <w:i/>
          <w:sz w:val="20"/>
        </w:rPr>
        <w:t>supra</w:t>
      </w:r>
      <w:r w:rsidRPr="00824076">
        <w:rPr>
          <w:sz w:val="20"/>
        </w:rPr>
        <w:t xml:space="preserve"> note 23, at 36.</w:t>
      </w:r>
    </w:p>
  </w:footnote>
  <w:footnote w:id="101">
    <w:p w:rsidR="00D456C9" w:rsidRPr="00824076" w:rsidRDefault="00D456C9" w:rsidP="007E5BAC">
      <w:pPr>
        <w:pStyle w:val="FootnoteText"/>
        <w:jc w:val="both"/>
        <w:rPr>
          <w:sz w:val="20"/>
        </w:rPr>
      </w:pPr>
      <w:r w:rsidRPr="00824076">
        <w:rPr>
          <w:rStyle w:val="FootnoteReference"/>
        </w:rPr>
        <w:footnoteRef/>
      </w:r>
      <w:r w:rsidRPr="00824076">
        <w:rPr>
          <w:sz w:val="20"/>
        </w:rPr>
        <w:t xml:space="preserve"> Literature on the goals of international criminal law and international criminal justice is vast. See for example; L.E. Fletcher, ‘Violence and Social Repair: Rethinking the Contribution of Justice to Reconciliation’, 24 </w:t>
      </w:r>
      <w:r w:rsidRPr="00824076">
        <w:rPr>
          <w:i/>
          <w:sz w:val="20"/>
        </w:rPr>
        <w:t>Human Rights Quarterly</w:t>
      </w:r>
      <w:r w:rsidRPr="00824076">
        <w:rPr>
          <w:sz w:val="20"/>
        </w:rPr>
        <w:t xml:space="preserve"> (2002) 573-639; M.R. Damaška, ‘What is the Point of International Criminal Justice’, 83 </w:t>
      </w:r>
      <w:r w:rsidRPr="00824076">
        <w:rPr>
          <w:i/>
          <w:sz w:val="20"/>
        </w:rPr>
        <w:t>Chicago Kent Law Review</w:t>
      </w:r>
      <w:r w:rsidRPr="00824076">
        <w:rPr>
          <w:sz w:val="20"/>
        </w:rPr>
        <w:t xml:space="preserve"> (2008)</w:t>
      </w:r>
      <w:r w:rsidRPr="00824076">
        <w:rPr>
          <w:i/>
          <w:sz w:val="20"/>
        </w:rPr>
        <w:t xml:space="preserve"> </w:t>
      </w:r>
      <w:r w:rsidRPr="00824076">
        <w:rPr>
          <w:sz w:val="20"/>
        </w:rPr>
        <w:t xml:space="preserve">329-368 and S. Dana, ‘The Limits of Judicial Idealism: Should the International Criminal Court Engage in Consequentialist Aspirations’, 3 </w:t>
      </w:r>
      <w:r w:rsidRPr="00985567">
        <w:rPr>
          <w:i/>
          <w:sz w:val="20"/>
        </w:rPr>
        <w:t>Pennsylvania State Journal of Law and International Affairs</w:t>
      </w:r>
      <w:r>
        <w:rPr>
          <w:i/>
          <w:sz w:val="20"/>
        </w:rPr>
        <w:t xml:space="preserve"> </w:t>
      </w:r>
      <w:r w:rsidRPr="00824076">
        <w:rPr>
          <w:sz w:val="20"/>
        </w:rPr>
        <w:t xml:space="preserve">(2014) 30, 31-109. </w:t>
      </w:r>
    </w:p>
  </w:footnote>
  <w:footnote w:id="10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OTP, </w:t>
      </w:r>
      <w:r w:rsidRPr="00824076">
        <w:rPr>
          <w:i/>
          <w:sz w:val="20"/>
        </w:rPr>
        <w:t>Strategic plan June 2012-2015</w:t>
      </w:r>
      <w:r w:rsidRPr="00824076">
        <w:rPr>
          <w:sz w:val="20"/>
        </w:rPr>
        <w:t>, 11 October 2013, § 95.</w:t>
      </w:r>
    </w:p>
  </w:footnote>
  <w:footnote w:id="103">
    <w:p w:rsidR="00D456C9" w:rsidRPr="00824076" w:rsidRDefault="00D456C9" w:rsidP="007E5BAC">
      <w:pPr>
        <w:pStyle w:val="FootnoteText"/>
        <w:jc w:val="both"/>
        <w:rPr>
          <w:sz w:val="20"/>
        </w:rPr>
      </w:pPr>
      <w:r w:rsidRPr="00824076">
        <w:rPr>
          <w:rStyle w:val="FootnoteReference"/>
        </w:rPr>
        <w:footnoteRef/>
      </w:r>
      <w:r w:rsidRPr="00824076">
        <w:rPr>
          <w:sz w:val="20"/>
        </w:rPr>
        <w:t xml:space="preserve"> On this see also C. Geevers, ‘International Criminal Law and Individualism: An African Perspective’, in C. Schwobel (ed.), </w:t>
      </w:r>
      <w:r w:rsidRPr="00824076">
        <w:rPr>
          <w:i/>
          <w:sz w:val="20"/>
        </w:rPr>
        <w:t xml:space="preserve">Critical Approaches to International Criminal Law: An Introduction </w:t>
      </w:r>
      <w:r w:rsidRPr="00985567">
        <w:rPr>
          <w:sz w:val="20"/>
        </w:rPr>
        <w:t>(Routledge, 2014</w:t>
      </w:r>
      <w:r w:rsidRPr="00824076">
        <w:rPr>
          <w:sz w:val="20"/>
        </w:rPr>
        <w:t>) 221-246, at 239-240.</w:t>
      </w:r>
    </w:p>
  </w:footnote>
  <w:footnote w:id="104">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OTP, </w:t>
      </w:r>
      <w:r w:rsidRPr="00824076">
        <w:rPr>
          <w:i/>
          <w:sz w:val="20"/>
        </w:rPr>
        <w:t>Strategic Plan</w:t>
      </w:r>
      <w:r w:rsidRPr="00824076">
        <w:rPr>
          <w:i/>
          <w:sz w:val="20"/>
        </w:rPr>
        <w:sym w:font="Symbol" w:char="F0F7"/>
      </w:r>
      <w:r w:rsidRPr="00824076">
        <w:rPr>
          <w:i/>
          <w:sz w:val="20"/>
        </w:rPr>
        <w:t xml:space="preserve"> 2016-2018</w:t>
      </w:r>
      <w:r w:rsidRPr="00824076">
        <w:rPr>
          <w:sz w:val="20"/>
        </w:rPr>
        <w:t>,</w:t>
      </w:r>
      <w:r>
        <w:rPr>
          <w:sz w:val="20"/>
        </w:rPr>
        <w:t xml:space="preserve"> </w:t>
      </w:r>
      <w:r w:rsidRPr="00824076">
        <w:rPr>
          <w:sz w:val="20"/>
        </w:rPr>
        <w:t>6 July 2015, § 104. This understatement is reflected in the ICC’s attempts at developing performance indicators for the Court (‘the Court needs to be modest and concentrate on a reduced number of measurable criteria that adequately reflects … performance of the Court without overburdening the exercise with too many criteria and details’)</w:t>
      </w:r>
      <w:r>
        <w:rPr>
          <w:sz w:val="20"/>
        </w:rPr>
        <w:t>.</w:t>
      </w:r>
      <w:r w:rsidRPr="00824076">
        <w:rPr>
          <w:sz w:val="20"/>
        </w:rPr>
        <w:t xml:space="preserve"> See ICC, </w:t>
      </w:r>
      <w:r w:rsidRPr="00824076">
        <w:rPr>
          <w:i/>
          <w:sz w:val="20"/>
        </w:rPr>
        <w:t>Second Court’s report on the development of performance indicators for the International Criminal Court</w:t>
      </w:r>
      <w:r w:rsidRPr="00824076">
        <w:rPr>
          <w:sz w:val="20"/>
        </w:rPr>
        <w:t>, 11 November 2016.</w:t>
      </w:r>
    </w:p>
  </w:footnote>
  <w:footnote w:id="105">
    <w:p w:rsidR="00D456C9" w:rsidRPr="00824076" w:rsidRDefault="00D456C9" w:rsidP="007E5BAC">
      <w:pPr>
        <w:pStyle w:val="FootnoteText"/>
        <w:jc w:val="both"/>
        <w:rPr>
          <w:sz w:val="20"/>
        </w:rPr>
      </w:pPr>
      <w:r w:rsidRPr="00824076">
        <w:rPr>
          <w:rStyle w:val="FootnoteReference"/>
        </w:rPr>
        <w:footnoteRef/>
      </w:r>
      <w:r w:rsidRPr="00824076">
        <w:rPr>
          <w:sz w:val="20"/>
        </w:rPr>
        <w:t xml:space="preserve"> Open Society Briefing Paper, </w:t>
      </w:r>
      <w:r w:rsidRPr="00824076">
        <w:rPr>
          <w:i/>
          <w:sz w:val="20"/>
        </w:rPr>
        <w:t>supra</w:t>
      </w:r>
      <w:r w:rsidRPr="00824076">
        <w:rPr>
          <w:sz w:val="20"/>
        </w:rPr>
        <w:t xml:space="preserve"> note 12, at 5.</w:t>
      </w:r>
    </w:p>
  </w:footnote>
  <w:footnote w:id="106">
    <w:p w:rsidR="00D456C9" w:rsidRPr="00F74DC9" w:rsidRDefault="00D456C9" w:rsidP="007E5BAC">
      <w:pPr>
        <w:pStyle w:val="FootnoteText"/>
        <w:jc w:val="both"/>
        <w:rPr>
          <w:sz w:val="20"/>
        </w:rPr>
      </w:pPr>
      <w:r w:rsidRPr="00F74DC9">
        <w:rPr>
          <w:rStyle w:val="FootnoteReference"/>
        </w:rPr>
        <w:footnoteRef/>
      </w:r>
      <w:r w:rsidRPr="00F74DC9">
        <w:rPr>
          <w:sz w:val="20"/>
        </w:rPr>
        <w:t xml:space="preserve"> Power, </w:t>
      </w:r>
      <w:r w:rsidRPr="00F74DC9">
        <w:rPr>
          <w:i/>
          <w:sz w:val="20"/>
        </w:rPr>
        <w:t xml:space="preserve">supra </w:t>
      </w:r>
      <w:r w:rsidRPr="00F74DC9">
        <w:rPr>
          <w:sz w:val="20"/>
        </w:rPr>
        <w:t>note 10, at 115.</w:t>
      </w:r>
    </w:p>
  </w:footnote>
  <w:footnote w:id="107">
    <w:p w:rsidR="00D456C9" w:rsidRPr="0095540F" w:rsidRDefault="00D456C9" w:rsidP="007E5BAC">
      <w:pPr>
        <w:pStyle w:val="FootnoteText"/>
        <w:jc w:val="both"/>
        <w:rPr>
          <w:i/>
          <w:sz w:val="20"/>
        </w:rPr>
      </w:pPr>
      <w:r w:rsidRPr="00F74DC9">
        <w:rPr>
          <w:rStyle w:val="FootnoteReference"/>
        </w:rPr>
        <w:footnoteRef/>
      </w:r>
      <w:r w:rsidRPr="00985567">
        <w:rPr>
          <w:sz w:val="20"/>
        </w:rPr>
        <w:t xml:space="preserve"> For instance, it is alleged that the onerous accountability regime </w:t>
      </w:r>
      <w:r>
        <w:rPr>
          <w:sz w:val="20"/>
        </w:rPr>
        <w:t>within</w:t>
      </w:r>
      <w:r w:rsidRPr="00985567">
        <w:rPr>
          <w:sz w:val="20"/>
        </w:rPr>
        <w:t xml:space="preserve"> education in the United Kingdom, has led to schools being disproportionately focused on positive outputs (i.e. examination results). This has </w:t>
      </w:r>
      <w:r>
        <w:rPr>
          <w:sz w:val="20"/>
        </w:rPr>
        <w:t xml:space="preserve">generated </w:t>
      </w:r>
      <w:r w:rsidRPr="00985567">
        <w:rPr>
          <w:sz w:val="20"/>
        </w:rPr>
        <w:t>frequent criticism that schools are being transformed into ‘exam factories’</w:t>
      </w:r>
      <w:r>
        <w:rPr>
          <w:sz w:val="20"/>
        </w:rPr>
        <w:t>.</w:t>
      </w:r>
      <w:r w:rsidRPr="00985567">
        <w:rPr>
          <w:sz w:val="20"/>
        </w:rPr>
        <w:t xml:space="preserve"> See for example </w:t>
      </w:r>
      <w:r>
        <w:rPr>
          <w:sz w:val="20"/>
        </w:rPr>
        <w:t xml:space="preserve">M. Hutchings, </w:t>
      </w:r>
      <w:r w:rsidRPr="00985567">
        <w:rPr>
          <w:i/>
          <w:sz w:val="20"/>
        </w:rPr>
        <w:t>Exam factories?: The impact of accountability measures on children and young people</w:t>
      </w:r>
      <w:r>
        <w:rPr>
          <w:sz w:val="20"/>
        </w:rPr>
        <w:t xml:space="preserve">, National Union of Teachers, June 2015, available online at </w:t>
      </w:r>
      <w:hyperlink r:id="rId8" w:history="1">
        <w:r w:rsidRPr="00BD4066">
          <w:rPr>
            <w:rStyle w:val="Hyperlink"/>
            <w:sz w:val="20"/>
          </w:rPr>
          <w:t>https://www.teachers.org.uk/sites/default/files2014/exam-factories_0.pdf</w:t>
        </w:r>
      </w:hyperlink>
      <w:r>
        <w:rPr>
          <w:sz w:val="20"/>
        </w:rPr>
        <w:t xml:space="preserve"> (last visited 1st June 2017). See also W. Mansell, </w:t>
      </w:r>
      <w:r w:rsidRPr="00985567">
        <w:rPr>
          <w:i/>
          <w:sz w:val="20"/>
        </w:rPr>
        <w:t xml:space="preserve">Education by Numbers: The Tyranny of </w:t>
      </w:r>
      <w:r w:rsidRPr="0095540F">
        <w:rPr>
          <w:i/>
          <w:sz w:val="20"/>
        </w:rPr>
        <w:t>Testing</w:t>
      </w:r>
      <w:r w:rsidRPr="0095540F">
        <w:rPr>
          <w:sz w:val="20"/>
        </w:rPr>
        <w:t xml:space="preserve"> (Politco’s Publishing, 2007)</w:t>
      </w:r>
      <w:r w:rsidR="0095540F" w:rsidRPr="0095540F">
        <w:rPr>
          <w:sz w:val="20"/>
        </w:rPr>
        <w:t>.</w:t>
      </w:r>
    </w:p>
  </w:footnote>
  <w:footnote w:id="108">
    <w:p w:rsidR="00D456C9" w:rsidRPr="00F74DC9" w:rsidRDefault="00D456C9" w:rsidP="007E5BAC">
      <w:pPr>
        <w:pStyle w:val="FootnoteText"/>
        <w:jc w:val="both"/>
        <w:rPr>
          <w:sz w:val="20"/>
        </w:rPr>
      </w:pPr>
      <w:r w:rsidRPr="00F74DC9">
        <w:rPr>
          <w:rStyle w:val="FootnoteReference"/>
        </w:rPr>
        <w:footnoteRef/>
      </w:r>
      <w:r w:rsidRPr="00F74DC9">
        <w:rPr>
          <w:sz w:val="20"/>
        </w:rPr>
        <w:t xml:space="preserve"> For a discussion on indicators and causality, see D. McGrogan, ‘The Problem of Causality in Human Rights Law’, 65</w:t>
      </w:r>
      <w:r w:rsidRPr="00F74DC9">
        <w:rPr>
          <w:i/>
          <w:sz w:val="20"/>
        </w:rPr>
        <w:t xml:space="preserve"> International and Comparative Law Quarterly</w:t>
      </w:r>
      <w:r w:rsidRPr="00F74DC9">
        <w:rPr>
          <w:sz w:val="20"/>
        </w:rPr>
        <w:t xml:space="preserve"> (2016) 615-644.</w:t>
      </w:r>
      <w:r w:rsidR="0056350B">
        <w:rPr>
          <w:sz w:val="20"/>
        </w:rPr>
        <w:t xml:space="preserve">  </w:t>
      </w:r>
    </w:p>
  </w:footnote>
  <w:footnote w:id="109">
    <w:p w:rsidR="00D456C9" w:rsidRPr="00F74DC9" w:rsidRDefault="00D456C9" w:rsidP="007E5BAC">
      <w:pPr>
        <w:pStyle w:val="FootnoteText"/>
        <w:jc w:val="both"/>
        <w:rPr>
          <w:sz w:val="20"/>
        </w:rPr>
      </w:pPr>
      <w:r w:rsidRPr="00F74DC9">
        <w:rPr>
          <w:rStyle w:val="FootnoteReference"/>
        </w:rPr>
        <w:footnoteRef/>
      </w:r>
      <w:r w:rsidRPr="00F74DC9">
        <w:rPr>
          <w:sz w:val="20"/>
        </w:rPr>
        <w:t xml:space="preserve"> Geevers, </w:t>
      </w:r>
      <w:r w:rsidRPr="00F74DC9">
        <w:rPr>
          <w:i/>
          <w:sz w:val="20"/>
        </w:rPr>
        <w:t>supra</w:t>
      </w:r>
      <w:r w:rsidRPr="00F74DC9">
        <w:rPr>
          <w:sz w:val="20"/>
        </w:rPr>
        <w:t xml:space="preserve"> note 99, at 238-241.</w:t>
      </w:r>
      <w:r w:rsidR="0056350B">
        <w:rPr>
          <w:sz w:val="20"/>
        </w:rPr>
        <w:t xml:space="preserve">  </w:t>
      </w:r>
    </w:p>
  </w:footnote>
  <w:footnote w:id="110">
    <w:p w:rsidR="00D456C9" w:rsidRPr="00824076" w:rsidRDefault="00D456C9" w:rsidP="007E5BAC">
      <w:pPr>
        <w:pStyle w:val="FootnoteText"/>
        <w:jc w:val="both"/>
        <w:rPr>
          <w:sz w:val="20"/>
        </w:rPr>
      </w:pPr>
      <w:r w:rsidRPr="00F74DC9">
        <w:rPr>
          <w:rStyle w:val="FootnoteReference"/>
        </w:rPr>
        <w:footnoteRef/>
      </w:r>
      <w:r w:rsidRPr="00F74DC9">
        <w:rPr>
          <w:sz w:val="20"/>
        </w:rPr>
        <w:t xml:space="preserve"> M. Koskenniemi, ‘The Politics of International Law-20 Years Later’, 20 </w:t>
      </w:r>
      <w:r w:rsidRPr="00F74DC9">
        <w:rPr>
          <w:i/>
          <w:sz w:val="20"/>
        </w:rPr>
        <w:t>European Journal of International Law</w:t>
      </w:r>
      <w:r w:rsidRPr="00F74DC9">
        <w:rPr>
          <w:sz w:val="20"/>
        </w:rPr>
        <w:t xml:space="preserve"> (2009) 7-19, at 15-16.</w:t>
      </w:r>
    </w:p>
  </w:footnote>
  <w:footnote w:id="111">
    <w:p w:rsidR="00D456C9" w:rsidRPr="00824076" w:rsidRDefault="00D456C9" w:rsidP="007E5BAC">
      <w:pPr>
        <w:pStyle w:val="FootnoteText"/>
        <w:jc w:val="both"/>
        <w:rPr>
          <w:sz w:val="20"/>
        </w:rPr>
      </w:pPr>
      <w:r w:rsidRPr="00824076">
        <w:rPr>
          <w:rStyle w:val="FootnoteReference"/>
        </w:rPr>
        <w:footnoteRef/>
      </w:r>
      <w:r w:rsidRPr="00824076">
        <w:rPr>
          <w:sz w:val="20"/>
        </w:rPr>
        <w:t xml:space="preserve"> M. Koskenniemi, ‘International Law, Constitutionalism, Managerialism and the Ethos of Legal Education’, 1 </w:t>
      </w:r>
      <w:r w:rsidRPr="00824076">
        <w:rPr>
          <w:i/>
          <w:sz w:val="20"/>
        </w:rPr>
        <w:t>European Journal of Legal Studies</w:t>
      </w:r>
      <w:r w:rsidRPr="00824076">
        <w:rPr>
          <w:sz w:val="20"/>
        </w:rPr>
        <w:t xml:space="preserve"> (2007) 8-24, at 12-13. </w:t>
      </w:r>
    </w:p>
  </w:footnote>
  <w:footnote w:id="11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The expression is </w:t>
      </w:r>
      <w:r>
        <w:rPr>
          <w:sz w:val="20"/>
        </w:rPr>
        <w:t xml:space="preserve">contained in </w:t>
      </w:r>
      <w:r w:rsidRPr="00824076">
        <w:rPr>
          <w:sz w:val="20"/>
        </w:rPr>
        <w:t xml:space="preserve">A.H. Maslow, </w:t>
      </w:r>
      <w:r w:rsidRPr="00824076">
        <w:rPr>
          <w:i/>
          <w:sz w:val="20"/>
        </w:rPr>
        <w:t>The Psychology of Science: A Reconnaissance</w:t>
      </w:r>
      <w:r w:rsidRPr="00824076">
        <w:rPr>
          <w:sz w:val="20"/>
        </w:rPr>
        <w:t xml:space="preserve"> (1966</w:t>
      </w:r>
      <w:r w:rsidR="00331ABC">
        <w:rPr>
          <w:sz w:val="20"/>
        </w:rPr>
        <w:t>; Maurice Bassett Publishing, 2002</w:t>
      </w:r>
      <w:r w:rsidRPr="00824076">
        <w:rPr>
          <w:sz w:val="20"/>
        </w:rPr>
        <w:t>), at 15.</w:t>
      </w:r>
    </w:p>
  </w:footnote>
  <w:footnote w:id="113">
    <w:p w:rsidR="00D456C9" w:rsidRPr="00824076" w:rsidRDefault="00D456C9" w:rsidP="007E5BAC">
      <w:pPr>
        <w:pStyle w:val="FootnoteText"/>
        <w:jc w:val="both"/>
        <w:rPr>
          <w:sz w:val="20"/>
        </w:rPr>
      </w:pPr>
      <w:r w:rsidRPr="00824076">
        <w:rPr>
          <w:rStyle w:val="FootnoteReference"/>
        </w:rPr>
        <w:footnoteRef/>
      </w:r>
      <w:r w:rsidRPr="00824076">
        <w:rPr>
          <w:sz w:val="20"/>
        </w:rPr>
        <w:t xml:space="preserve"> Since the Court only hears a handful of cases, the desired outcomes can only be achieved through a collective effort involving other entities and extra-judicial activities </w:t>
      </w:r>
      <w:r w:rsidRPr="00824076">
        <w:rPr>
          <w:rFonts w:cs="Times New Roman"/>
          <w:sz w:val="20"/>
        </w:rPr>
        <w:t>—</w:t>
      </w:r>
      <w:r w:rsidRPr="00824076">
        <w:rPr>
          <w:sz w:val="20"/>
        </w:rPr>
        <w:t xml:space="preserve"> i.e. education, diplomacy and, more in general, peacebuilding. See ICC OTP, </w:t>
      </w:r>
      <w:r w:rsidRPr="00824076">
        <w:rPr>
          <w:i/>
          <w:sz w:val="20"/>
        </w:rPr>
        <w:t>Strategic Plan</w:t>
      </w:r>
      <w:r w:rsidRPr="00824076">
        <w:rPr>
          <w:i/>
          <w:sz w:val="20"/>
        </w:rPr>
        <w:sym w:font="Symbol" w:char="F0F7"/>
      </w:r>
      <w:r w:rsidRPr="00824076">
        <w:rPr>
          <w:i/>
          <w:sz w:val="20"/>
        </w:rPr>
        <w:t xml:space="preserve"> 2016-2018</w:t>
      </w:r>
      <w:r w:rsidRPr="00824076">
        <w:rPr>
          <w:sz w:val="20"/>
        </w:rPr>
        <w:t>,</w:t>
      </w:r>
      <w:r w:rsidR="0056350B">
        <w:rPr>
          <w:sz w:val="20"/>
        </w:rPr>
        <w:t xml:space="preserve"> </w:t>
      </w:r>
      <w:r w:rsidRPr="00824076">
        <w:rPr>
          <w:sz w:val="20"/>
        </w:rPr>
        <w:t>6 July 2015, §§ 104-106.</w:t>
      </w:r>
    </w:p>
  </w:footnote>
  <w:footnote w:id="114">
    <w:p w:rsidR="00D456C9" w:rsidRPr="00824076" w:rsidRDefault="00D456C9" w:rsidP="007E5BAC">
      <w:pPr>
        <w:pStyle w:val="FootnoteText"/>
        <w:jc w:val="both"/>
        <w:rPr>
          <w:sz w:val="20"/>
        </w:rPr>
      </w:pPr>
      <w:r w:rsidRPr="00824076">
        <w:rPr>
          <w:rStyle w:val="FootnoteReference"/>
        </w:rPr>
        <w:footnoteRef/>
      </w:r>
      <w:r w:rsidRPr="00824076">
        <w:rPr>
          <w:sz w:val="20"/>
        </w:rPr>
        <w:t xml:space="preserve"> A. Natsios, ‘The Clash of the Counter-bureaucracy and Development’</w:t>
      </w:r>
      <w:r>
        <w:rPr>
          <w:sz w:val="20"/>
        </w:rPr>
        <w:t>,</w:t>
      </w:r>
      <w:r w:rsidRPr="00824076">
        <w:rPr>
          <w:sz w:val="20"/>
        </w:rPr>
        <w:t xml:space="preserve"> Center for Global Development Essay, 13 July 2010, available</w:t>
      </w:r>
      <w:r>
        <w:rPr>
          <w:sz w:val="20"/>
        </w:rPr>
        <w:t xml:space="preserve"> online</w:t>
      </w:r>
      <w:r w:rsidRPr="00824076">
        <w:rPr>
          <w:sz w:val="20"/>
        </w:rPr>
        <w:t xml:space="preserve"> at </w:t>
      </w:r>
      <w:hyperlink r:id="rId9" w:history="1">
        <w:r w:rsidRPr="00824076">
          <w:rPr>
            <w:rStyle w:val="Hyperlink"/>
            <w:sz w:val="20"/>
          </w:rPr>
          <w:t>https://www.cgdev.org/sites/default/files/1424271_file_Natsios_Counterbureaucracy.pdf</w:t>
        </w:r>
      </w:hyperlink>
      <w:r w:rsidRPr="00824076">
        <w:rPr>
          <w:sz w:val="20"/>
        </w:rPr>
        <w:t xml:space="preserve"> (visited </w:t>
      </w:r>
      <w:r>
        <w:rPr>
          <w:sz w:val="20"/>
        </w:rPr>
        <w:t>1 June</w:t>
      </w:r>
      <w:r w:rsidRPr="00824076">
        <w:rPr>
          <w:sz w:val="20"/>
        </w:rPr>
        <w:t xml:space="preserve"> 2017).</w:t>
      </w:r>
    </w:p>
  </w:footnote>
  <w:footnote w:id="115">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OTP, </w:t>
      </w:r>
      <w:r w:rsidRPr="00824076">
        <w:rPr>
          <w:i/>
          <w:sz w:val="20"/>
        </w:rPr>
        <w:t>Strategic Plan</w:t>
      </w:r>
      <w:r w:rsidRPr="00824076">
        <w:rPr>
          <w:i/>
          <w:sz w:val="20"/>
        </w:rPr>
        <w:sym w:font="Symbol" w:char="F0F7"/>
      </w:r>
      <w:r w:rsidRPr="00824076">
        <w:rPr>
          <w:i/>
          <w:sz w:val="20"/>
        </w:rPr>
        <w:t xml:space="preserve"> 2016-2018</w:t>
      </w:r>
      <w:r w:rsidRPr="00824076">
        <w:rPr>
          <w:sz w:val="20"/>
        </w:rPr>
        <w:t>,6 July 2015, § 109.</w:t>
      </w:r>
    </w:p>
  </w:footnote>
  <w:footnote w:id="116">
    <w:p w:rsidR="00D456C9" w:rsidRPr="00824076" w:rsidRDefault="00D456C9" w:rsidP="007E5BAC">
      <w:pPr>
        <w:pStyle w:val="FootnoteText"/>
        <w:jc w:val="both"/>
        <w:rPr>
          <w:sz w:val="20"/>
        </w:rPr>
      </w:pPr>
      <w:r w:rsidRPr="00824076">
        <w:rPr>
          <w:rStyle w:val="FootnoteReference"/>
        </w:rPr>
        <w:footnoteRef/>
      </w:r>
      <w:r w:rsidRPr="00824076">
        <w:rPr>
          <w:sz w:val="20"/>
        </w:rPr>
        <w:t xml:space="preserve"> ICC, </w:t>
      </w:r>
      <w:r w:rsidRPr="00985567">
        <w:rPr>
          <w:i/>
          <w:sz w:val="20"/>
        </w:rPr>
        <w:t>Second Court’s report on the development of performance indicators for the International Criminal Court</w:t>
      </w:r>
      <w:r w:rsidRPr="00824076">
        <w:rPr>
          <w:sz w:val="20"/>
        </w:rPr>
        <w:t xml:space="preserve">, 11 November 2016, § 3. </w:t>
      </w:r>
    </w:p>
  </w:footnote>
  <w:footnote w:id="117">
    <w:p w:rsidR="00D456C9" w:rsidRPr="00824076" w:rsidRDefault="00D456C9" w:rsidP="007E5BAC">
      <w:pPr>
        <w:pStyle w:val="FootnoteText"/>
        <w:jc w:val="both"/>
        <w:rPr>
          <w:sz w:val="20"/>
        </w:rPr>
      </w:pPr>
      <w:r w:rsidRPr="00824076">
        <w:rPr>
          <w:rStyle w:val="FootnoteReference"/>
        </w:rPr>
        <w:footnoteRef/>
      </w:r>
      <w:r w:rsidRPr="00824076">
        <w:rPr>
          <w:sz w:val="20"/>
        </w:rPr>
        <w:t xml:space="preserve"> D. Alesani and I. Bongiovanni, ‘Strategic Thinking and Planning’, in Missoni and Alesani</w:t>
      </w:r>
      <w:r w:rsidR="0056350B">
        <w:rPr>
          <w:sz w:val="20"/>
        </w:rPr>
        <w:t xml:space="preserve"> (eds)</w:t>
      </w:r>
      <w:r w:rsidRPr="00824076">
        <w:rPr>
          <w:sz w:val="20"/>
        </w:rPr>
        <w:t xml:space="preserve">, </w:t>
      </w:r>
      <w:r w:rsidRPr="00824076">
        <w:rPr>
          <w:i/>
          <w:sz w:val="20"/>
        </w:rPr>
        <w:t xml:space="preserve">supra </w:t>
      </w:r>
      <w:r w:rsidRPr="00824076">
        <w:rPr>
          <w:sz w:val="20"/>
        </w:rPr>
        <w:t>note</w:t>
      </w:r>
      <w:r w:rsidRPr="00824076">
        <w:rPr>
          <w:i/>
          <w:sz w:val="20"/>
        </w:rPr>
        <w:t xml:space="preserve"> </w:t>
      </w:r>
      <w:r w:rsidRPr="00824076">
        <w:rPr>
          <w:sz w:val="20"/>
        </w:rPr>
        <w:t>20, 239-265, at 246-248.</w:t>
      </w:r>
    </w:p>
  </w:footnote>
  <w:footnote w:id="118">
    <w:p w:rsidR="00D456C9" w:rsidRPr="00824076" w:rsidRDefault="00D456C9" w:rsidP="007E5BAC">
      <w:pPr>
        <w:pStyle w:val="FootnoteText"/>
        <w:jc w:val="both"/>
        <w:rPr>
          <w:rFonts w:cs="Arial"/>
          <w:sz w:val="20"/>
        </w:rPr>
      </w:pPr>
      <w:r w:rsidRPr="00824076">
        <w:rPr>
          <w:rStyle w:val="FootnoteReference"/>
          <w:rFonts w:cs="Arial"/>
        </w:rPr>
        <w:footnoteRef/>
      </w:r>
      <w:r w:rsidRPr="00824076">
        <w:rPr>
          <w:rFonts w:cs="Arial"/>
          <w:sz w:val="20"/>
        </w:rPr>
        <w:t xml:space="preserve"> </w:t>
      </w:r>
      <w:r w:rsidRPr="00824076">
        <w:rPr>
          <w:rFonts w:cs="Arial"/>
          <w:bCs/>
          <w:sz w:val="20"/>
        </w:rPr>
        <w:t xml:space="preserve">UNSC, </w:t>
      </w:r>
      <w:r w:rsidRPr="00824076">
        <w:rPr>
          <w:rFonts w:cs="Arial"/>
          <w:bCs/>
          <w:i/>
          <w:sz w:val="20"/>
        </w:rPr>
        <w:t xml:space="preserve">The Rule of Law and Transitional Justice in Conflict and Post-Conflict Societies: Report of the Secretary General </w:t>
      </w:r>
      <w:r w:rsidRPr="00824076">
        <w:rPr>
          <w:rFonts w:cs="Arial"/>
          <w:bCs/>
          <w:sz w:val="20"/>
        </w:rPr>
        <w:t>S/2004 616*,</w:t>
      </w:r>
      <w:r>
        <w:rPr>
          <w:rFonts w:cs="Arial"/>
          <w:bCs/>
          <w:sz w:val="20"/>
        </w:rPr>
        <w:t xml:space="preserve"> </w:t>
      </w:r>
      <w:r w:rsidRPr="00824076">
        <w:rPr>
          <w:rFonts w:cs="Arial"/>
          <w:bCs/>
          <w:sz w:val="20"/>
        </w:rPr>
        <w:t>23 August 2004, at 15.</w:t>
      </w:r>
    </w:p>
  </w:footnote>
  <w:footnote w:id="119">
    <w:p w:rsidR="00D456C9" w:rsidRPr="00824076" w:rsidRDefault="00D456C9" w:rsidP="007E5BAC">
      <w:pPr>
        <w:pStyle w:val="FootnoteText"/>
        <w:jc w:val="both"/>
        <w:rPr>
          <w:sz w:val="20"/>
        </w:rPr>
      </w:pPr>
      <w:r w:rsidRPr="00824076">
        <w:rPr>
          <w:rStyle w:val="FootnoteReference"/>
        </w:rPr>
        <w:footnoteRef/>
      </w:r>
      <w:r w:rsidRPr="00824076">
        <w:rPr>
          <w:sz w:val="20"/>
        </w:rPr>
        <w:t xml:space="preserve"> G. Shaffer and T. Ginsburg, ‘The Empirical Turn in International Legal Scholarship’, 106 </w:t>
      </w:r>
      <w:r w:rsidRPr="00824076">
        <w:rPr>
          <w:i/>
          <w:sz w:val="20"/>
        </w:rPr>
        <w:t>American Journal of International Law</w:t>
      </w:r>
      <w:r w:rsidRPr="00824076">
        <w:rPr>
          <w:sz w:val="20"/>
        </w:rPr>
        <w:t xml:space="preserve"> (2012) 1-46, at 25-30.</w:t>
      </w:r>
    </w:p>
  </w:footnote>
  <w:footnote w:id="120">
    <w:p w:rsidR="00D456C9" w:rsidRPr="00824076" w:rsidRDefault="00D456C9" w:rsidP="007E5BAC">
      <w:pPr>
        <w:pStyle w:val="FootnoteText"/>
        <w:jc w:val="both"/>
        <w:rPr>
          <w:sz w:val="20"/>
        </w:rPr>
      </w:pPr>
      <w:r w:rsidRPr="00824076">
        <w:rPr>
          <w:rStyle w:val="FootnoteReference"/>
        </w:rPr>
        <w:footnoteRef/>
      </w:r>
      <w:r w:rsidRPr="00824076">
        <w:rPr>
          <w:sz w:val="20"/>
        </w:rPr>
        <w:t xml:space="preserve"> </w:t>
      </w:r>
      <w:r>
        <w:rPr>
          <w:sz w:val="20"/>
        </w:rPr>
        <w:t xml:space="preserve">ICC, </w:t>
      </w:r>
      <w:r w:rsidRPr="00824076">
        <w:rPr>
          <w:sz w:val="20"/>
        </w:rPr>
        <w:t xml:space="preserve">Second Report, </w:t>
      </w:r>
      <w:r w:rsidRPr="00824076">
        <w:rPr>
          <w:i/>
          <w:sz w:val="20"/>
        </w:rPr>
        <w:t xml:space="preserve">supra </w:t>
      </w:r>
      <w:r w:rsidRPr="00824076">
        <w:rPr>
          <w:sz w:val="20"/>
        </w:rPr>
        <w:t xml:space="preserve">note 112, § 4: Currently, the development of Court-wide performance indicators is occurring in parallel and ‘without prejudice’ to organ-specific indicators such as the OTP’s. However there is undoubtedly an overlap between Court-wide intended outcomes and OTP intended outcomes, and thus the development of performance indicators must reinforce this relationship. </w:t>
      </w:r>
    </w:p>
  </w:footnote>
  <w:footnote w:id="121">
    <w:p w:rsidR="00D456C9" w:rsidRPr="00824076" w:rsidRDefault="00D456C9" w:rsidP="007E5BAC">
      <w:pPr>
        <w:pStyle w:val="FootnoteText"/>
        <w:jc w:val="both"/>
        <w:rPr>
          <w:sz w:val="20"/>
        </w:rPr>
      </w:pPr>
      <w:r w:rsidRPr="00824076">
        <w:rPr>
          <w:rStyle w:val="FootnoteReference"/>
        </w:rPr>
        <w:footnoteRef/>
      </w:r>
      <w:r w:rsidRPr="00824076">
        <w:rPr>
          <w:sz w:val="20"/>
        </w:rPr>
        <w:t xml:space="preserve"> For an example of such empirical fieldwork (though in relation to the ICTY), </w:t>
      </w:r>
      <w:r>
        <w:rPr>
          <w:sz w:val="20"/>
        </w:rPr>
        <w:t>s</w:t>
      </w:r>
      <w:r w:rsidRPr="00824076">
        <w:rPr>
          <w:sz w:val="20"/>
        </w:rPr>
        <w:t>ee J.</w:t>
      </w:r>
      <w:r w:rsidR="0095540F">
        <w:rPr>
          <w:sz w:val="20"/>
        </w:rPr>
        <w:t>N.</w:t>
      </w:r>
      <w:r w:rsidRPr="00824076">
        <w:rPr>
          <w:sz w:val="20"/>
        </w:rPr>
        <w:t xml:space="preserve"> Clark, </w:t>
      </w:r>
      <w:r w:rsidRPr="00824076">
        <w:rPr>
          <w:i/>
          <w:sz w:val="20"/>
        </w:rPr>
        <w:t xml:space="preserve">International Trials and Reconciliation: Assessing the Impact of the International Criminal Tribunal for the Former Yugoslavia </w:t>
      </w:r>
      <w:r w:rsidRPr="00824076">
        <w:rPr>
          <w:sz w:val="20"/>
        </w:rPr>
        <w:t>(Routledge, 2014).</w:t>
      </w:r>
    </w:p>
  </w:footnote>
  <w:footnote w:id="122">
    <w:p w:rsidR="00D456C9" w:rsidRPr="00824076" w:rsidRDefault="00D456C9" w:rsidP="007E5BAC">
      <w:pPr>
        <w:pStyle w:val="FootnoteText"/>
        <w:jc w:val="both"/>
        <w:rPr>
          <w:sz w:val="20"/>
        </w:rPr>
      </w:pPr>
      <w:r w:rsidRPr="00824076">
        <w:rPr>
          <w:rStyle w:val="FootnoteReference"/>
        </w:rPr>
        <w:footnoteRef/>
      </w:r>
      <w:r w:rsidRPr="00824076">
        <w:rPr>
          <w:sz w:val="20"/>
        </w:rPr>
        <w:t xml:space="preserve"> Gerth and Mills (eds), </w:t>
      </w:r>
      <w:r w:rsidRPr="00824076">
        <w:rPr>
          <w:i/>
          <w:sz w:val="20"/>
        </w:rPr>
        <w:t xml:space="preserve">supra </w:t>
      </w:r>
      <w:r w:rsidRPr="00824076">
        <w:rPr>
          <w:sz w:val="20"/>
        </w:rPr>
        <w:t>note 81, at 228.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7DA"/>
    <w:multiLevelType w:val="hybridMultilevel"/>
    <w:tmpl w:val="4468D6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C13B6"/>
    <w:multiLevelType w:val="hybridMultilevel"/>
    <w:tmpl w:val="A4586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A456B8"/>
    <w:multiLevelType w:val="hybridMultilevel"/>
    <w:tmpl w:val="08EA6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847700"/>
    <w:multiLevelType w:val="hybridMultilevel"/>
    <w:tmpl w:val="F9BAF6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F715F"/>
    <w:multiLevelType w:val="hybridMultilevel"/>
    <w:tmpl w:val="F58C86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1B6E50"/>
    <w:multiLevelType w:val="hybridMultilevel"/>
    <w:tmpl w:val="B61E1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F743AE"/>
    <w:multiLevelType w:val="hybridMultilevel"/>
    <w:tmpl w:val="2904D3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194901"/>
    <w:multiLevelType w:val="hybridMultilevel"/>
    <w:tmpl w:val="E274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C702C3"/>
    <w:multiLevelType w:val="hybridMultilevel"/>
    <w:tmpl w:val="8578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747629"/>
    <w:multiLevelType w:val="hybridMultilevel"/>
    <w:tmpl w:val="A00EC870"/>
    <w:lvl w:ilvl="0" w:tplc="587AA5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3177B8"/>
    <w:multiLevelType w:val="hybridMultilevel"/>
    <w:tmpl w:val="7158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430BDA"/>
    <w:multiLevelType w:val="hybridMultilevel"/>
    <w:tmpl w:val="5BF4F518"/>
    <w:lvl w:ilvl="0" w:tplc="587AA5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686F5B"/>
    <w:multiLevelType w:val="hybridMultilevel"/>
    <w:tmpl w:val="F83A5E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F33B0C"/>
    <w:multiLevelType w:val="hybridMultilevel"/>
    <w:tmpl w:val="B61E1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3A4DCE"/>
    <w:multiLevelType w:val="hybridMultilevel"/>
    <w:tmpl w:val="1EFE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4B033B"/>
    <w:multiLevelType w:val="hybridMultilevel"/>
    <w:tmpl w:val="1F681F4A"/>
    <w:lvl w:ilvl="0" w:tplc="9E3CEC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4"/>
  </w:num>
  <w:num w:numId="5">
    <w:abstractNumId w:val="0"/>
  </w:num>
  <w:num w:numId="6">
    <w:abstractNumId w:val="7"/>
  </w:num>
  <w:num w:numId="7">
    <w:abstractNumId w:val="10"/>
  </w:num>
  <w:num w:numId="8">
    <w:abstractNumId w:val="8"/>
  </w:num>
  <w:num w:numId="9">
    <w:abstractNumId w:val="5"/>
  </w:num>
  <w:num w:numId="10">
    <w:abstractNumId w:val="14"/>
  </w:num>
  <w:num w:numId="11">
    <w:abstractNumId w:val="13"/>
  </w:num>
  <w:num w:numId="12">
    <w:abstractNumId w:val="9"/>
  </w:num>
  <w:num w:numId="13">
    <w:abstractNumId w:val="1"/>
  </w:num>
  <w:num w:numId="14">
    <w:abstractNumId w:val="15"/>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removePersonalInformation/>
  <w:removeDateAndTime/>
  <w:defaultTabStop w:val="720"/>
  <w:hyphenationZone w:val="283"/>
  <w:characterSpacingControl w:val="doNotCompress"/>
  <w:savePreviewPicture/>
  <w:hdrShapeDefaults>
    <o:shapedefaults v:ext="edit" spidmax="7170"/>
  </w:hdrShapeDefaults>
  <w:footnotePr>
    <w:footnote w:id="-1"/>
    <w:footnote w:id="0"/>
  </w:footnotePr>
  <w:endnotePr>
    <w:endnote w:id="-1"/>
    <w:endnote w:id="0"/>
  </w:endnotePr>
  <w:compat/>
  <w:rsids>
    <w:rsidRoot w:val="00312544"/>
    <w:rsid w:val="00005606"/>
    <w:rsid w:val="00010987"/>
    <w:rsid w:val="00012FE7"/>
    <w:rsid w:val="000162B0"/>
    <w:rsid w:val="00020916"/>
    <w:rsid w:val="00024AFF"/>
    <w:rsid w:val="000270DA"/>
    <w:rsid w:val="00037FA8"/>
    <w:rsid w:val="00040EC5"/>
    <w:rsid w:val="00042AB6"/>
    <w:rsid w:val="000502FA"/>
    <w:rsid w:val="00050B01"/>
    <w:rsid w:val="0005531B"/>
    <w:rsid w:val="00056EA5"/>
    <w:rsid w:val="00063A06"/>
    <w:rsid w:val="00071207"/>
    <w:rsid w:val="000901A2"/>
    <w:rsid w:val="000920D5"/>
    <w:rsid w:val="00095F2A"/>
    <w:rsid w:val="000B15E4"/>
    <w:rsid w:val="000B2CAC"/>
    <w:rsid w:val="000B34EE"/>
    <w:rsid w:val="000B38B1"/>
    <w:rsid w:val="000C0BA3"/>
    <w:rsid w:val="000C48E1"/>
    <w:rsid w:val="000D4337"/>
    <w:rsid w:val="000D6ACD"/>
    <w:rsid w:val="000D6E98"/>
    <w:rsid w:val="000E0A20"/>
    <w:rsid w:val="0010608D"/>
    <w:rsid w:val="0011469E"/>
    <w:rsid w:val="00130477"/>
    <w:rsid w:val="001310DC"/>
    <w:rsid w:val="00141A60"/>
    <w:rsid w:val="0014496B"/>
    <w:rsid w:val="001449B1"/>
    <w:rsid w:val="00146AE1"/>
    <w:rsid w:val="00165D54"/>
    <w:rsid w:val="00175506"/>
    <w:rsid w:val="00186171"/>
    <w:rsid w:val="0018618E"/>
    <w:rsid w:val="00187DB0"/>
    <w:rsid w:val="00196F25"/>
    <w:rsid w:val="00197200"/>
    <w:rsid w:val="001A49D8"/>
    <w:rsid w:val="001B046E"/>
    <w:rsid w:val="001B55DE"/>
    <w:rsid w:val="001B78B4"/>
    <w:rsid w:val="001C379C"/>
    <w:rsid w:val="00203023"/>
    <w:rsid w:val="00204D13"/>
    <w:rsid w:val="00205B27"/>
    <w:rsid w:val="002113A6"/>
    <w:rsid w:val="0021247A"/>
    <w:rsid w:val="00227276"/>
    <w:rsid w:val="0023753B"/>
    <w:rsid w:val="00251476"/>
    <w:rsid w:val="002664EF"/>
    <w:rsid w:val="00272FCE"/>
    <w:rsid w:val="00273058"/>
    <w:rsid w:val="00273306"/>
    <w:rsid w:val="00273A9C"/>
    <w:rsid w:val="00276379"/>
    <w:rsid w:val="00276B65"/>
    <w:rsid w:val="00283497"/>
    <w:rsid w:val="00290BA4"/>
    <w:rsid w:val="00293659"/>
    <w:rsid w:val="00297EBF"/>
    <w:rsid w:val="002A0559"/>
    <w:rsid w:val="002A69E6"/>
    <w:rsid w:val="002A75D2"/>
    <w:rsid w:val="002B04B9"/>
    <w:rsid w:val="002B063B"/>
    <w:rsid w:val="002B0DD7"/>
    <w:rsid w:val="002C14C0"/>
    <w:rsid w:val="002E334B"/>
    <w:rsid w:val="002F64E8"/>
    <w:rsid w:val="00312544"/>
    <w:rsid w:val="003160EC"/>
    <w:rsid w:val="00323AC7"/>
    <w:rsid w:val="00326BF9"/>
    <w:rsid w:val="00331ABC"/>
    <w:rsid w:val="00345E67"/>
    <w:rsid w:val="00350E59"/>
    <w:rsid w:val="00355A1F"/>
    <w:rsid w:val="0035792C"/>
    <w:rsid w:val="00361ED3"/>
    <w:rsid w:val="00373228"/>
    <w:rsid w:val="00375817"/>
    <w:rsid w:val="00377802"/>
    <w:rsid w:val="003A38FE"/>
    <w:rsid w:val="003A5E90"/>
    <w:rsid w:val="003A66F1"/>
    <w:rsid w:val="003A70AB"/>
    <w:rsid w:val="003B7F5A"/>
    <w:rsid w:val="003D4E16"/>
    <w:rsid w:val="003D68E4"/>
    <w:rsid w:val="003E09E4"/>
    <w:rsid w:val="003E0B6D"/>
    <w:rsid w:val="003E2416"/>
    <w:rsid w:val="003E7656"/>
    <w:rsid w:val="00404DC6"/>
    <w:rsid w:val="00404F92"/>
    <w:rsid w:val="00411FC7"/>
    <w:rsid w:val="0041484A"/>
    <w:rsid w:val="00425F3A"/>
    <w:rsid w:val="00426550"/>
    <w:rsid w:val="004302BA"/>
    <w:rsid w:val="00432DE3"/>
    <w:rsid w:val="00433485"/>
    <w:rsid w:val="0043616A"/>
    <w:rsid w:val="00446474"/>
    <w:rsid w:val="004630E9"/>
    <w:rsid w:val="00464278"/>
    <w:rsid w:val="00467922"/>
    <w:rsid w:val="00467FFC"/>
    <w:rsid w:val="00476CF2"/>
    <w:rsid w:val="00477DAC"/>
    <w:rsid w:val="00485370"/>
    <w:rsid w:val="0049108B"/>
    <w:rsid w:val="00491186"/>
    <w:rsid w:val="0049709A"/>
    <w:rsid w:val="004A1A83"/>
    <w:rsid w:val="004A324B"/>
    <w:rsid w:val="004B45F6"/>
    <w:rsid w:val="004C0A05"/>
    <w:rsid w:val="004C672C"/>
    <w:rsid w:val="004D2387"/>
    <w:rsid w:val="004D6DD8"/>
    <w:rsid w:val="004E1CAE"/>
    <w:rsid w:val="004F7DFE"/>
    <w:rsid w:val="00503839"/>
    <w:rsid w:val="0051133A"/>
    <w:rsid w:val="005136A7"/>
    <w:rsid w:val="00517D87"/>
    <w:rsid w:val="005206D2"/>
    <w:rsid w:val="00520D76"/>
    <w:rsid w:val="00523BCA"/>
    <w:rsid w:val="00530930"/>
    <w:rsid w:val="00535453"/>
    <w:rsid w:val="0054064B"/>
    <w:rsid w:val="00543183"/>
    <w:rsid w:val="00551E8C"/>
    <w:rsid w:val="0056350B"/>
    <w:rsid w:val="00571C4D"/>
    <w:rsid w:val="00573EE4"/>
    <w:rsid w:val="00581E5B"/>
    <w:rsid w:val="00590382"/>
    <w:rsid w:val="005A2A3D"/>
    <w:rsid w:val="005A5691"/>
    <w:rsid w:val="005B16F7"/>
    <w:rsid w:val="005D1ECF"/>
    <w:rsid w:val="005D6C9A"/>
    <w:rsid w:val="005E0422"/>
    <w:rsid w:val="005E0BDD"/>
    <w:rsid w:val="005E4153"/>
    <w:rsid w:val="005E6701"/>
    <w:rsid w:val="005F116E"/>
    <w:rsid w:val="005F1A3A"/>
    <w:rsid w:val="006100D0"/>
    <w:rsid w:val="00612EA5"/>
    <w:rsid w:val="006168AF"/>
    <w:rsid w:val="00621E93"/>
    <w:rsid w:val="00633FB8"/>
    <w:rsid w:val="00634E67"/>
    <w:rsid w:val="0063576A"/>
    <w:rsid w:val="00635C49"/>
    <w:rsid w:val="00646176"/>
    <w:rsid w:val="00661AAE"/>
    <w:rsid w:val="006627E6"/>
    <w:rsid w:val="00663BF6"/>
    <w:rsid w:val="00664D24"/>
    <w:rsid w:val="0066578F"/>
    <w:rsid w:val="00670D20"/>
    <w:rsid w:val="00672298"/>
    <w:rsid w:val="0067560B"/>
    <w:rsid w:val="00676E58"/>
    <w:rsid w:val="00691A3C"/>
    <w:rsid w:val="00695CC6"/>
    <w:rsid w:val="006B2EF2"/>
    <w:rsid w:val="006B4E0B"/>
    <w:rsid w:val="006B6C7A"/>
    <w:rsid w:val="006B6DE9"/>
    <w:rsid w:val="006B7D2C"/>
    <w:rsid w:val="006C77D3"/>
    <w:rsid w:val="006D125B"/>
    <w:rsid w:val="006D1877"/>
    <w:rsid w:val="006D258B"/>
    <w:rsid w:val="006D3345"/>
    <w:rsid w:val="006D61BC"/>
    <w:rsid w:val="006D6D58"/>
    <w:rsid w:val="006E246D"/>
    <w:rsid w:val="006E7862"/>
    <w:rsid w:val="006F49B6"/>
    <w:rsid w:val="00702C3A"/>
    <w:rsid w:val="00704AC0"/>
    <w:rsid w:val="00705139"/>
    <w:rsid w:val="0071292D"/>
    <w:rsid w:val="00713944"/>
    <w:rsid w:val="007170D5"/>
    <w:rsid w:val="0071740A"/>
    <w:rsid w:val="00717462"/>
    <w:rsid w:val="00722845"/>
    <w:rsid w:val="0072437E"/>
    <w:rsid w:val="00724E97"/>
    <w:rsid w:val="0072777E"/>
    <w:rsid w:val="007470F1"/>
    <w:rsid w:val="00747BDD"/>
    <w:rsid w:val="00756750"/>
    <w:rsid w:val="00764752"/>
    <w:rsid w:val="007676B7"/>
    <w:rsid w:val="00767728"/>
    <w:rsid w:val="007869D7"/>
    <w:rsid w:val="00786B96"/>
    <w:rsid w:val="00792966"/>
    <w:rsid w:val="007A31F5"/>
    <w:rsid w:val="007A33C3"/>
    <w:rsid w:val="007A3760"/>
    <w:rsid w:val="007A780F"/>
    <w:rsid w:val="007B6203"/>
    <w:rsid w:val="007C0342"/>
    <w:rsid w:val="007C0602"/>
    <w:rsid w:val="007C27E4"/>
    <w:rsid w:val="007C2C36"/>
    <w:rsid w:val="007C6C8C"/>
    <w:rsid w:val="007D1F3A"/>
    <w:rsid w:val="007D2690"/>
    <w:rsid w:val="007D363C"/>
    <w:rsid w:val="007D67FC"/>
    <w:rsid w:val="007E330F"/>
    <w:rsid w:val="007E5BAC"/>
    <w:rsid w:val="007F0061"/>
    <w:rsid w:val="00800A28"/>
    <w:rsid w:val="008051AD"/>
    <w:rsid w:val="0080673D"/>
    <w:rsid w:val="008166C9"/>
    <w:rsid w:val="00824076"/>
    <w:rsid w:val="00840263"/>
    <w:rsid w:val="00877FBD"/>
    <w:rsid w:val="00885576"/>
    <w:rsid w:val="00890B93"/>
    <w:rsid w:val="008A2D4F"/>
    <w:rsid w:val="008A4C98"/>
    <w:rsid w:val="008B0F12"/>
    <w:rsid w:val="008B144D"/>
    <w:rsid w:val="008B3FBE"/>
    <w:rsid w:val="008B5A3F"/>
    <w:rsid w:val="008B5FC4"/>
    <w:rsid w:val="008C1E3E"/>
    <w:rsid w:val="008C23DC"/>
    <w:rsid w:val="008C3A8D"/>
    <w:rsid w:val="008C5EBC"/>
    <w:rsid w:val="008D3729"/>
    <w:rsid w:val="008D7A64"/>
    <w:rsid w:val="008E516B"/>
    <w:rsid w:val="008E7F54"/>
    <w:rsid w:val="008F377A"/>
    <w:rsid w:val="008F4F7E"/>
    <w:rsid w:val="008F5474"/>
    <w:rsid w:val="00906858"/>
    <w:rsid w:val="00911D3D"/>
    <w:rsid w:val="009143F5"/>
    <w:rsid w:val="0092158C"/>
    <w:rsid w:val="00924961"/>
    <w:rsid w:val="00925C12"/>
    <w:rsid w:val="00954E52"/>
    <w:rsid w:val="0095540F"/>
    <w:rsid w:val="0095573B"/>
    <w:rsid w:val="009672F0"/>
    <w:rsid w:val="009710C0"/>
    <w:rsid w:val="00985567"/>
    <w:rsid w:val="00991046"/>
    <w:rsid w:val="009929C9"/>
    <w:rsid w:val="009954F1"/>
    <w:rsid w:val="009B0058"/>
    <w:rsid w:val="009B56D9"/>
    <w:rsid w:val="009B5D3A"/>
    <w:rsid w:val="009C0A56"/>
    <w:rsid w:val="009C2B76"/>
    <w:rsid w:val="009C32A5"/>
    <w:rsid w:val="009C535E"/>
    <w:rsid w:val="009C5AAD"/>
    <w:rsid w:val="009D3A82"/>
    <w:rsid w:val="009D5545"/>
    <w:rsid w:val="009D581F"/>
    <w:rsid w:val="009D63DD"/>
    <w:rsid w:val="009E2BF3"/>
    <w:rsid w:val="009E375A"/>
    <w:rsid w:val="009E61E9"/>
    <w:rsid w:val="009E6442"/>
    <w:rsid w:val="00A114FB"/>
    <w:rsid w:val="00A21AB9"/>
    <w:rsid w:val="00A22D9D"/>
    <w:rsid w:val="00A34916"/>
    <w:rsid w:val="00A42097"/>
    <w:rsid w:val="00A47FCC"/>
    <w:rsid w:val="00A64B00"/>
    <w:rsid w:val="00A65CFA"/>
    <w:rsid w:val="00A70C05"/>
    <w:rsid w:val="00A7777B"/>
    <w:rsid w:val="00A84962"/>
    <w:rsid w:val="00A878AD"/>
    <w:rsid w:val="00A94FFA"/>
    <w:rsid w:val="00A967FB"/>
    <w:rsid w:val="00AA4778"/>
    <w:rsid w:val="00AB411F"/>
    <w:rsid w:val="00AC1786"/>
    <w:rsid w:val="00AD1FFD"/>
    <w:rsid w:val="00AD43F3"/>
    <w:rsid w:val="00AD793C"/>
    <w:rsid w:val="00AE4D9E"/>
    <w:rsid w:val="00AF00FF"/>
    <w:rsid w:val="00AF79F9"/>
    <w:rsid w:val="00B029F9"/>
    <w:rsid w:val="00B115E2"/>
    <w:rsid w:val="00B14D8F"/>
    <w:rsid w:val="00B169B8"/>
    <w:rsid w:val="00B27716"/>
    <w:rsid w:val="00B43595"/>
    <w:rsid w:val="00B439C2"/>
    <w:rsid w:val="00B459D2"/>
    <w:rsid w:val="00B5618F"/>
    <w:rsid w:val="00B56DE9"/>
    <w:rsid w:val="00B6080C"/>
    <w:rsid w:val="00B61094"/>
    <w:rsid w:val="00B64E0B"/>
    <w:rsid w:val="00B66940"/>
    <w:rsid w:val="00B81CB5"/>
    <w:rsid w:val="00B822AB"/>
    <w:rsid w:val="00B85692"/>
    <w:rsid w:val="00B90DE6"/>
    <w:rsid w:val="00B92264"/>
    <w:rsid w:val="00BB220F"/>
    <w:rsid w:val="00BC1734"/>
    <w:rsid w:val="00BC2264"/>
    <w:rsid w:val="00BD2E9C"/>
    <w:rsid w:val="00BD309E"/>
    <w:rsid w:val="00C0224F"/>
    <w:rsid w:val="00C274D1"/>
    <w:rsid w:val="00C40660"/>
    <w:rsid w:val="00C57605"/>
    <w:rsid w:val="00C635C2"/>
    <w:rsid w:val="00C6726F"/>
    <w:rsid w:val="00C71380"/>
    <w:rsid w:val="00C80FBF"/>
    <w:rsid w:val="00C862D2"/>
    <w:rsid w:val="00C90075"/>
    <w:rsid w:val="00CA132D"/>
    <w:rsid w:val="00CA6C7A"/>
    <w:rsid w:val="00CB529E"/>
    <w:rsid w:val="00CD0780"/>
    <w:rsid w:val="00CD2F79"/>
    <w:rsid w:val="00CD3A11"/>
    <w:rsid w:val="00CE0295"/>
    <w:rsid w:val="00CE0852"/>
    <w:rsid w:val="00CE380A"/>
    <w:rsid w:val="00CE69B2"/>
    <w:rsid w:val="00CF0658"/>
    <w:rsid w:val="00CF2189"/>
    <w:rsid w:val="00CF5A52"/>
    <w:rsid w:val="00D00EEE"/>
    <w:rsid w:val="00D0354A"/>
    <w:rsid w:val="00D0748C"/>
    <w:rsid w:val="00D1554F"/>
    <w:rsid w:val="00D43648"/>
    <w:rsid w:val="00D43B46"/>
    <w:rsid w:val="00D4510A"/>
    <w:rsid w:val="00D456C9"/>
    <w:rsid w:val="00D47D75"/>
    <w:rsid w:val="00D5343A"/>
    <w:rsid w:val="00D534AE"/>
    <w:rsid w:val="00D57CA3"/>
    <w:rsid w:val="00D73665"/>
    <w:rsid w:val="00D827D6"/>
    <w:rsid w:val="00D84478"/>
    <w:rsid w:val="00D90674"/>
    <w:rsid w:val="00D91472"/>
    <w:rsid w:val="00D92660"/>
    <w:rsid w:val="00D92921"/>
    <w:rsid w:val="00DB6037"/>
    <w:rsid w:val="00DC2016"/>
    <w:rsid w:val="00DD75FD"/>
    <w:rsid w:val="00DE049F"/>
    <w:rsid w:val="00DF5394"/>
    <w:rsid w:val="00E03E58"/>
    <w:rsid w:val="00E04378"/>
    <w:rsid w:val="00E046F6"/>
    <w:rsid w:val="00E04E9C"/>
    <w:rsid w:val="00E0576C"/>
    <w:rsid w:val="00E17E75"/>
    <w:rsid w:val="00E20282"/>
    <w:rsid w:val="00E235DE"/>
    <w:rsid w:val="00E23742"/>
    <w:rsid w:val="00E26143"/>
    <w:rsid w:val="00E26721"/>
    <w:rsid w:val="00E31426"/>
    <w:rsid w:val="00E36FD1"/>
    <w:rsid w:val="00E46630"/>
    <w:rsid w:val="00E53D9D"/>
    <w:rsid w:val="00E547C8"/>
    <w:rsid w:val="00E710FF"/>
    <w:rsid w:val="00E84365"/>
    <w:rsid w:val="00E90E73"/>
    <w:rsid w:val="00E932D6"/>
    <w:rsid w:val="00E97F5A"/>
    <w:rsid w:val="00EA099A"/>
    <w:rsid w:val="00EB4CB6"/>
    <w:rsid w:val="00EC6124"/>
    <w:rsid w:val="00ED065D"/>
    <w:rsid w:val="00EE0872"/>
    <w:rsid w:val="00EE6AB9"/>
    <w:rsid w:val="00EF4453"/>
    <w:rsid w:val="00EF75E2"/>
    <w:rsid w:val="00F0272A"/>
    <w:rsid w:val="00F05452"/>
    <w:rsid w:val="00F40D07"/>
    <w:rsid w:val="00F41087"/>
    <w:rsid w:val="00F43C1C"/>
    <w:rsid w:val="00F46D82"/>
    <w:rsid w:val="00F574C0"/>
    <w:rsid w:val="00F6189F"/>
    <w:rsid w:val="00F6351B"/>
    <w:rsid w:val="00F66D64"/>
    <w:rsid w:val="00F74DC9"/>
    <w:rsid w:val="00F80ADD"/>
    <w:rsid w:val="00F835F0"/>
    <w:rsid w:val="00F84FD3"/>
    <w:rsid w:val="00F90CDB"/>
    <w:rsid w:val="00F95823"/>
    <w:rsid w:val="00FA349A"/>
    <w:rsid w:val="00FA4358"/>
    <w:rsid w:val="00FA7A75"/>
    <w:rsid w:val="00FB4004"/>
    <w:rsid w:val="00FB672E"/>
    <w:rsid w:val="00FC3544"/>
    <w:rsid w:val="00FC5A80"/>
    <w:rsid w:val="00FC7A29"/>
    <w:rsid w:val="00FE4E13"/>
    <w:rsid w:val="00FE4FAF"/>
    <w:rsid w:val="00FE7AC8"/>
    <w:rsid w:val="00FF2F4D"/>
    <w:rsid w:val="00FF74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44"/>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3125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2544"/>
    <w:pPr>
      <w:keepNext/>
      <w:keepLines/>
      <w:pageBreakBefore/>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12544"/>
    <w:pPr>
      <w:keepNext/>
      <w:keepLines/>
      <w:pageBreakBefore/>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3125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5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254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12544"/>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312544"/>
    <w:rPr>
      <w:rFonts w:asciiTheme="majorHAnsi" w:eastAsiaTheme="majorEastAsia" w:hAnsiTheme="majorHAnsi" w:cstheme="majorBidi"/>
      <w:color w:val="2E74B5" w:themeColor="accent1" w:themeShade="BF"/>
      <w:sz w:val="24"/>
    </w:rPr>
  </w:style>
  <w:style w:type="paragraph" w:styleId="ListParagraph">
    <w:name w:val="List Paragraph"/>
    <w:basedOn w:val="Normal"/>
    <w:uiPriority w:val="34"/>
    <w:qFormat/>
    <w:rsid w:val="00312544"/>
    <w:pPr>
      <w:ind w:left="720"/>
      <w:contextualSpacing/>
    </w:pPr>
  </w:style>
  <w:style w:type="paragraph" w:styleId="FootnoteText">
    <w:name w:val="footnote text"/>
    <w:basedOn w:val="Normal"/>
    <w:link w:val="FootnoteTextChar"/>
    <w:uiPriority w:val="99"/>
    <w:unhideWhenUsed/>
    <w:qFormat/>
    <w:rsid w:val="00312544"/>
    <w:pPr>
      <w:spacing w:line="240" w:lineRule="auto"/>
    </w:pPr>
    <w:rPr>
      <w:sz w:val="18"/>
      <w:szCs w:val="20"/>
    </w:rPr>
  </w:style>
  <w:style w:type="character" w:customStyle="1" w:styleId="FootnoteTextChar">
    <w:name w:val="Footnote Text Char"/>
    <w:basedOn w:val="DefaultParagraphFont"/>
    <w:link w:val="FootnoteText"/>
    <w:uiPriority w:val="99"/>
    <w:rsid w:val="00312544"/>
    <w:rPr>
      <w:rFonts w:ascii="Times New Roman" w:hAnsi="Times New Roman"/>
      <w:sz w:val="18"/>
      <w:szCs w:val="20"/>
    </w:rPr>
  </w:style>
  <w:style w:type="character" w:styleId="FootnoteReference">
    <w:name w:val="footnote reference"/>
    <w:basedOn w:val="DefaultParagraphFont"/>
    <w:uiPriority w:val="99"/>
    <w:unhideWhenUsed/>
    <w:rsid w:val="00312544"/>
    <w:rPr>
      <w:rFonts w:ascii="Times New Roman" w:hAnsi="Times New Roman"/>
      <w:sz w:val="20"/>
      <w:vertAlign w:val="superscript"/>
    </w:rPr>
  </w:style>
  <w:style w:type="character" w:styleId="Hyperlink">
    <w:name w:val="Hyperlink"/>
    <w:basedOn w:val="DefaultParagraphFont"/>
    <w:uiPriority w:val="99"/>
    <w:unhideWhenUsed/>
    <w:rsid w:val="00312544"/>
    <w:rPr>
      <w:color w:val="0563C1" w:themeColor="hyperlink"/>
      <w:u w:val="single"/>
    </w:rPr>
  </w:style>
  <w:style w:type="paragraph" w:styleId="Header">
    <w:name w:val="header"/>
    <w:basedOn w:val="Normal"/>
    <w:link w:val="HeaderChar"/>
    <w:uiPriority w:val="99"/>
    <w:unhideWhenUsed/>
    <w:rsid w:val="00312544"/>
    <w:pPr>
      <w:tabs>
        <w:tab w:val="center" w:pos="4513"/>
        <w:tab w:val="right" w:pos="9026"/>
      </w:tabs>
      <w:spacing w:line="240" w:lineRule="auto"/>
    </w:pPr>
  </w:style>
  <w:style w:type="character" w:customStyle="1" w:styleId="HeaderChar">
    <w:name w:val="Header Char"/>
    <w:basedOn w:val="DefaultParagraphFont"/>
    <w:link w:val="Header"/>
    <w:uiPriority w:val="99"/>
    <w:rsid w:val="00312544"/>
    <w:rPr>
      <w:rFonts w:ascii="Times New Roman" w:hAnsi="Times New Roman"/>
      <w:sz w:val="24"/>
    </w:rPr>
  </w:style>
  <w:style w:type="paragraph" w:styleId="Footer">
    <w:name w:val="footer"/>
    <w:basedOn w:val="Normal"/>
    <w:link w:val="FooterChar"/>
    <w:uiPriority w:val="99"/>
    <w:unhideWhenUsed/>
    <w:rsid w:val="00312544"/>
    <w:pPr>
      <w:tabs>
        <w:tab w:val="center" w:pos="4513"/>
        <w:tab w:val="right" w:pos="9026"/>
      </w:tabs>
      <w:spacing w:line="240" w:lineRule="auto"/>
    </w:pPr>
  </w:style>
  <w:style w:type="character" w:customStyle="1" w:styleId="FooterChar">
    <w:name w:val="Footer Char"/>
    <w:basedOn w:val="DefaultParagraphFont"/>
    <w:link w:val="Footer"/>
    <w:uiPriority w:val="99"/>
    <w:rsid w:val="00312544"/>
    <w:rPr>
      <w:rFonts w:ascii="Times New Roman" w:hAnsi="Times New Roman"/>
      <w:sz w:val="24"/>
    </w:rPr>
  </w:style>
  <w:style w:type="character" w:customStyle="1" w:styleId="BalloonTextChar">
    <w:name w:val="Balloon Text Char"/>
    <w:basedOn w:val="DefaultParagraphFont"/>
    <w:link w:val="BalloonText"/>
    <w:uiPriority w:val="99"/>
    <w:semiHidden/>
    <w:rsid w:val="00312544"/>
    <w:rPr>
      <w:rFonts w:ascii="Arial" w:hAnsi="Arial" w:cs="Arial"/>
      <w:sz w:val="18"/>
      <w:szCs w:val="18"/>
    </w:rPr>
  </w:style>
  <w:style w:type="paragraph" w:styleId="BalloonText">
    <w:name w:val="Balloon Text"/>
    <w:basedOn w:val="Normal"/>
    <w:link w:val="BalloonTextChar"/>
    <w:uiPriority w:val="99"/>
    <w:semiHidden/>
    <w:unhideWhenUsed/>
    <w:rsid w:val="00312544"/>
    <w:pPr>
      <w:spacing w:line="240" w:lineRule="auto"/>
    </w:pPr>
    <w:rPr>
      <w:rFonts w:ascii="Arial" w:hAnsi="Arial" w:cs="Arial"/>
      <w:sz w:val="18"/>
      <w:szCs w:val="18"/>
    </w:rPr>
  </w:style>
  <w:style w:type="paragraph" w:customStyle="1" w:styleId="Default">
    <w:name w:val="Default"/>
    <w:rsid w:val="00312544"/>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apple-converted-space">
    <w:name w:val="apple-converted-space"/>
    <w:basedOn w:val="DefaultParagraphFont"/>
    <w:rsid w:val="00312544"/>
  </w:style>
  <w:style w:type="table" w:styleId="TableGrid">
    <w:name w:val="Table Grid"/>
    <w:basedOn w:val="TableNormal"/>
    <w:uiPriority w:val="39"/>
    <w:rsid w:val="00312544"/>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number">
    <w:name w:val="pagenumber"/>
    <w:basedOn w:val="DefaultParagraphFont"/>
    <w:rsid w:val="00312544"/>
  </w:style>
  <w:style w:type="character" w:styleId="PageNumber0">
    <w:name w:val="page number"/>
    <w:basedOn w:val="DefaultParagraphFont"/>
    <w:uiPriority w:val="99"/>
    <w:semiHidden/>
    <w:unhideWhenUsed/>
    <w:rsid w:val="006627E6"/>
  </w:style>
  <w:style w:type="character" w:styleId="CommentReference">
    <w:name w:val="annotation reference"/>
    <w:basedOn w:val="DefaultParagraphFont"/>
    <w:uiPriority w:val="99"/>
    <w:semiHidden/>
    <w:unhideWhenUsed/>
    <w:rsid w:val="00B6080C"/>
    <w:rPr>
      <w:sz w:val="18"/>
      <w:szCs w:val="18"/>
    </w:rPr>
  </w:style>
  <w:style w:type="paragraph" w:styleId="CommentText">
    <w:name w:val="annotation text"/>
    <w:basedOn w:val="Normal"/>
    <w:link w:val="CommentTextChar"/>
    <w:uiPriority w:val="99"/>
    <w:semiHidden/>
    <w:unhideWhenUsed/>
    <w:rsid w:val="00B6080C"/>
    <w:pPr>
      <w:spacing w:line="240" w:lineRule="auto"/>
    </w:pPr>
    <w:rPr>
      <w:szCs w:val="24"/>
    </w:rPr>
  </w:style>
  <w:style w:type="character" w:customStyle="1" w:styleId="CommentTextChar">
    <w:name w:val="Comment Text Char"/>
    <w:basedOn w:val="DefaultParagraphFont"/>
    <w:link w:val="CommentText"/>
    <w:uiPriority w:val="99"/>
    <w:semiHidden/>
    <w:rsid w:val="00B6080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6080C"/>
    <w:rPr>
      <w:b/>
      <w:bCs/>
      <w:sz w:val="20"/>
      <w:szCs w:val="20"/>
    </w:rPr>
  </w:style>
  <w:style w:type="character" w:customStyle="1" w:styleId="CommentSubjectChar">
    <w:name w:val="Comment Subject Char"/>
    <w:basedOn w:val="CommentTextChar"/>
    <w:link w:val="CommentSubject"/>
    <w:uiPriority w:val="99"/>
    <w:semiHidden/>
    <w:rsid w:val="00B6080C"/>
    <w:rPr>
      <w:rFonts w:ascii="Times New Roman" w:hAnsi="Times New Roman"/>
      <w:b/>
      <w:bCs/>
      <w:sz w:val="20"/>
      <w:szCs w:val="20"/>
    </w:rPr>
  </w:style>
  <w:style w:type="paragraph" w:styleId="Revision">
    <w:name w:val="Revision"/>
    <w:hidden/>
    <w:uiPriority w:val="99"/>
    <w:semiHidden/>
    <w:rsid w:val="0095573B"/>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290BA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421627">
      <w:bodyDiv w:val="1"/>
      <w:marLeft w:val="0"/>
      <w:marRight w:val="0"/>
      <w:marTop w:val="0"/>
      <w:marBottom w:val="0"/>
      <w:divBdr>
        <w:top w:val="none" w:sz="0" w:space="0" w:color="auto"/>
        <w:left w:val="none" w:sz="0" w:space="0" w:color="auto"/>
        <w:bottom w:val="none" w:sz="0" w:space="0" w:color="auto"/>
        <w:right w:val="none" w:sz="0" w:space="0" w:color="auto"/>
      </w:divBdr>
    </w:div>
    <w:div w:id="462963610">
      <w:bodyDiv w:val="1"/>
      <w:marLeft w:val="0"/>
      <w:marRight w:val="0"/>
      <w:marTop w:val="0"/>
      <w:marBottom w:val="0"/>
      <w:divBdr>
        <w:top w:val="none" w:sz="0" w:space="0" w:color="auto"/>
        <w:left w:val="none" w:sz="0" w:space="0" w:color="auto"/>
        <w:bottom w:val="none" w:sz="0" w:space="0" w:color="auto"/>
        <w:right w:val="none" w:sz="0" w:space="0" w:color="auto"/>
      </w:divBdr>
    </w:div>
    <w:div w:id="17026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eachers.org.uk/sites/default/files2014/exam-factories_0.pdf" TargetMode="External"/><Relationship Id="rId3" Type="http://schemas.openxmlformats.org/officeDocument/2006/relationships/hyperlink" Target="http://www.cocops.eu/wp-content/uploads/2012/03/WP1_Deliverable1_Meta-analysis_Final.pdf" TargetMode="External"/><Relationship Id="rId7" Type="http://schemas.openxmlformats.org/officeDocument/2006/relationships/hyperlink" Target="http://www.iccnow.org/documents/MorenoOcampo16June03.pdf" TargetMode="External"/><Relationship Id="rId2" Type="http://schemas.openxmlformats.org/officeDocument/2006/relationships/hyperlink" Target="https://www.eda.admin.ch/content/dam/eda/en/documents/aussenpolitik/voelkerrecht/2016-criminal-court-conveno-srummary_EN.pdf" TargetMode="External"/><Relationship Id="rId1" Type="http://schemas.openxmlformats.org/officeDocument/2006/relationships/hyperlink" Target="https://www.opensocietyfoundations.org/sites/default/files/briefing-icc-perforamnce-indicators-20151208.pdf" TargetMode="External"/><Relationship Id="rId6" Type="http://schemas.openxmlformats.org/officeDocument/2006/relationships/hyperlink" Target="http://www.dw.com/en/13-years-1-billion-dollars-2-convictions-is-the-international-criminal-court-worth-it/a-19006069" TargetMode="External"/><Relationship Id="rId5" Type="http://schemas.openxmlformats.org/officeDocument/2006/relationships/hyperlink" Target="https://asp.icc-cpi.int/iccdocs/asp_docs/ASP15/ASP15-Opening-Statement-Prosecutor-ENG.pdf" TargetMode="External"/><Relationship Id="rId4" Type="http://schemas.openxmlformats.org/officeDocument/2006/relationships/hyperlink" Target="https://www.opendemocracy.net/openglobalrights/elizabeth-evenson-jonathan-o-donohue/states-shouldn-t-use-icc-budget-to-interfere-w" TargetMode="External"/><Relationship Id="rId9" Type="http://schemas.openxmlformats.org/officeDocument/2006/relationships/hyperlink" Target="https://www.cgdev.org/sites/default/files/1424271_file_Natsios_Counterbureaucr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31CB-FCCB-4A34-9E9D-C1CFB78B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7402</Words>
  <Characters>42195</Characters>
  <Application>Microsoft Office Word</Application>
  <DocSecurity>0</DocSecurity>
  <Lines>351</Lines>
  <Paragraphs>98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ICC’s Office of the Prosecutor and the Limits of Performance Indicators</vt:lpstr>
      <vt:lpstr>Abstract</vt:lpstr>
    </vt:vector>
  </TitlesOfParts>
  <LinksUpToDate>false</LinksUpToDate>
  <CharactersWithSpaces>49499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2017-06-03T08:48:00Z</dcterms:created>
  <dcterms:modified xsi:type="dcterms:W3CDTF">2017-06-03T08:48:00Z</dcterms:modified>
</cp:coreProperties>
</file>