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AF595" w14:textId="77777777" w:rsidR="00A579E6" w:rsidRDefault="00A579E6" w:rsidP="00A579E6">
      <w:pPr>
        <w:spacing w:line="480" w:lineRule="auto"/>
        <w:jc w:val="center"/>
      </w:pPr>
    </w:p>
    <w:p w14:paraId="487C1199" w14:textId="45876547" w:rsidR="00A01479" w:rsidRPr="0040761D" w:rsidRDefault="00487559" w:rsidP="00E46E45">
      <w:pPr>
        <w:spacing w:line="480" w:lineRule="auto"/>
        <w:jc w:val="center"/>
      </w:pPr>
      <w:r>
        <w:t xml:space="preserve">Retrieval and monitoring processes during </w:t>
      </w:r>
      <w:r w:rsidR="00702926">
        <w:t>visual</w:t>
      </w:r>
      <w:r>
        <w:t xml:space="preserve"> </w:t>
      </w:r>
      <w:r w:rsidR="00ED3A7F">
        <w:t xml:space="preserve">working </w:t>
      </w:r>
      <w:r>
        <w:t>memory: An ERP study</w:t>
      </w:r>
      <w:r w:rsidR="004B2090">
        <w:t xml:space="preserve"> of the </w:t>
      </w:r>
      <w:r w:rsidR="00ED3A7F">
        <w:t xml:space="preserve">benefit </w:t>
      </w:r>
      <w:r w:rsidR="004B2090">
        <w:t>of</w:t>
      </w:r>
      <w:r w:rsidR="00F60677">
        <w:t xml:space="preserve"> visual</w:t>
      </w:r>
      <w:r w:rsidR="004B2090">
        <w:t xml:space="preserve"> </w:t>
      </w:r>
      <w:r w:rsidR="00A751AB">
        <w:t>semantics</w:t>
      </w:r>
    </w:p>
    <w:p w14:paraId="5ABBE476" w14:textId="77777777" w:rsidR="00E42EBB" w:rsidRPr="0040761D" w:rsidRDefault="00E42EBB" w:rsidP="00F22774">
      <w:pPr>
        <w:pStyle w:val="ListParagraph"/>
        <w:spacing w:line="480" w:lineRule="auto"/>
        <w:jc w:val="center"/>
      </w:pPr>
    </w:p>
    <w:p w14:paraId="75386073" w14:textId="77777777" w:rsidR="00E42EBB" w:rsidRPr="0040761D" w:rsidRDefault="00E42EBB" w:rsidP="00F22774">
      <w:pPr>
        <w:pStyle w:val="ListParagraph"/>
        <w:spacing w:line="480" w:lineRule="auto"/>
        <w:jc w:val="center"/>
      </w:pPr>
    </w:p>
    <w:p w14:paraId="0ED916F6" w14:textId="77777777" w:rsidR="00F22774" w:rsidRPr="0040761D" w:rsidRDefault="00F22774" w:rsidP="00F60677">
      <w:pPr>
        <w:pStyle w:val="ListParagraph"/>
        <w:spacing w:line="480" w:lineRule="auto"/>
        <w:jc w:val="center"/>
        <w:outlineLvl w:val="0"/>
      </w:pPr>
      <w:r w:rsidRPr="0040761D">
        <w:t>Elizabeth Orme</w:t>
      </w:r>
      <w:r w:rsidR="00CC7DE2" w:rsidRPr="00CC7DE2">
        <w:rPr>
          <w:vertAlign w:val="superscript"/>
        </w:rPr>
        <w:t>1</w:t>
      </w:r>
      <w:r w:rsidR="00CD04A3">
        <w:t xml:space="preserve">, Louise </w:t>
      </w:r>
      <w:r w:rsidR="004B2090">
        <w:t xml:space="preserve">A. </w:t>
      </w:r>
      <w:r w:rsidR="00CD04A3">
        <w:t>Brown</w:t>
      </w:r>
      <w:r w:rsidR="00CC7DE2" w:rsidRPr="00CC7DE2">
        <w:rPr>
          <w:vertAlign w:val="superscript"/>
        </w:rPr>
        <w:t>2</w:t>
      </w:r>
      <w:r w:rsidR="00487559">
        <w:t xml:space="preserve"> </w:t>
      </w:r>
      <w:r w:rsidR="00487559" w:rsidRPr="0040761D">
        <w:t>and</w:t>
      </w:r>
      <w:r w:rsidR="00487559" w:rsidRPr="00487559">
        <w:t xml:space="preserve"> </w:t>
      </w:r>
      <w:r w:rsidR="00487559" w:rsidRPr="0040761D">
        <w:t>Leigh M. Riby</w:t>
      </w:r>
      <w:r w:rsidR="00CC7DE2" w:rsidRPr="00CC7DE2">
        <w:rPr>
          <w:vertAlign w:val="superscript"/>
        </w:rPr>
        <w:t>1</w:t>
      </w:r>
    </w:p>
    <w:p w14:paraId="3952A685" w14:textId="77777777" w:rsidR="00F22774" w:rsidRPr="0040761D" w:rsidRDefault="00F22774" w:rsidP="00F22774">
      <w:pPr>
        <w:pStyle w:val="ListParagraph"/>
        <w:spacing w:line="480" w:lineRule="auto"/>
        <w:jc w:val="center"/>
        <w:rPr>
          <w:vertAlign w:val="superscript"/>
        </w:rPr>
      </w:pPr>
    </w:p>
    <w:p w14:paraId="32CB1D46" w14:textId="77777777" w:rsidR="00F22774" w:rsidRDefault="004B2090" w:rsidP="00F22774">
      <w:pPr>
        <w:pStyle w:val="ListParagraph"/>
        <w:spacing w:line="480" w:lineRule="auto"/>
        <w:jc w:val="center"/>
      </w:pPr>
      <w:r>
        <w:t xml:space="preserve">1. </w:t>
      </w:r>
      <w:r w:rsidR="00F22774" w:rsidRPr="0040761D">
        <w:t>Department of Psychology, Northumbria University, UK</w:t>
      </w:r>
    </w:p>
    <w:p w14:paraId="352EE1EB" w14:textId="5B0387A1" w:rsidR="004B2090" w:rsidRPr="0040761D" w:rsidRDefault="004B2090" w:rsidP="00F22774">
      <w:pPr>
        <w:pStyle w:val="ListParagraph"/>
        <w:spacing w:line="480" w:lineRule="auto"/>
        <w:jc w:val="center"/>
      </w:pPr>
      <w:r>
        <w:t>2. School of Psychological Sciences &amp; Health, University of Strathclyde, UK</w:t>
      </w:r>
      <w:r w:rsidR="00E44A54">
        <w:t xml:space="preserve">; ORCID ID: </w:t>
      </w:r>
      <w:r w:rsidR="00E44A54" w:rsidRPr="00E44A54">
        <w:t>0000-0003-3520-6175</w:t>
      </w:r>
    </w:p>
    <w:p w14:paraId="629DC5E4" w14:textId="77777777" w:rsidR="00F22774" w:rsidRPr="0040761D" w:rsidRDefault="00F22774" w:rsidP="00F22774">
      <w:pPr>
        <w:spacing w:line="480" w:lineRule="auto"/>
      </w:pPr>
    </w:p>
    <w:p w14:paraId="59BDADA5" w14:textId="76452D0E" w:rsidR="00F22774" w:rsidRPr="0040761D" w:rsidRDefault="00F22774" w:rsidP="00F22774">
      <w:pPr>
        <w:spacing w:line="480" w:lineRule="auto"/>
      </w:pPr>
      <w:r w:rsidRPr="0040761D">
        <w:t xml:space="preserve">Correspondence to: Dr </w:t>
      </w:r>
      <w:r w:rsidR="00937126">
        <w:t>Leigh Riby</w:t>
      </w:r>
      <w:r w:rsidRPr="0040761D">
        <w:t>, Department of Psychology, Northumbria University, Northumberland Building, Newcastle upon Tyne</w:t>
      </w:r>
      <w:r w:rsidR="00937126">
        <w:t>, UK. leigh.riby@northumbria.ac.uk</w:t>
      </w:r>
    </w:p>
    <w:p w14:paraId="5CBB6968" w14:textId="77777777" w:rsidR="00A01479" w:rsidRPr="0040761D" w:rsidRDefault="00A01479" w:rsidP="00A37995">
      <w:pPr>
        <w:spacing w:line="480" w:lineRule="auto"/>
        <w:jc w:val="center"/>
        <w:rPr>
          <w:b/>
        </w:rPr>
      </w:pPr>
    </w:p>
    <w:p w14:paraId="1CC7AC26" w14:textId="77777777" w:rsidR="00A01479" w:rsidRPr="0040761D" w:rsidRDefault="00A01479" w:rsidP="00A37995">
      <w:pPr>
        <w:spacing w:line="480" w:lineRule="auto"/>
        <w:jc w:val="center"/>
        <w:rPr>
          <w:b/>
        </w:rPr>
      </w:pPr>
    </w:p>
    <w:p w14:paraId="332400D4" w14:textId="77777777" w:rsidR="001A1F32" w:rsidRPr="0040761D" w:rsidRDefault="001A1F32" w:rsidP="00A37995">
      <w:pPr>
        <w:spacing w:line="480" w:lineRule="auto"/>
        <w:jc w:val="center"/>
        <w:rPr>
          <w:b/>
        </w:rPr>
      </w:pPr>
    </w:p>
    <w:p w14:paraId="07408263" w14:textId="77777777" w:rsidR="00A01479" w:rsidRPr="0040761D" w:rsidRDefault="00A01479" w:rsidP="00A37995">
      <w:pPr>
        <w:spacing w:line="480" w:lineRule="auto"/>
        <w:jc w:val="center"/>
        <w:rPr>
          <w:b/>
        </w:rPr>
      </w:pPr>
    </w:p>
    <w:p w14:paraId="50D6BA60" w14:textId="77777777" w:rsidR="00E8570F" w:rsidRPr="0040761D" w:rsidRDefault="00E8570F" w:rsidP="00A37995">
      <w:pPr>
        <w:spacing w:line="480" w:lineRule="auto"/>
        <w:jc w:val="center"/>
        <w:rPr>
          <w:b/>
        </w:rPr>
      </w:pPr>
    </w:p>
    <w:p w14:paraId="58B8C75F" w14:textId="77777777" w:rsidR="002E772A" w:rsidRDefault="002E772A">
      <w:pPr>
        <w:rPr>
          <w:b/>
        </w:rPr>
      </w:pPr>
    </w:p>
    <w:p w14:paraId="43C560D4" w14:textId="77777777" w:rsidR="002E772A" w:rsidRDefault="002E772A">
      <w:pPr>
        <w:rPr>
          <w:b/>
        </w:rPr>
      </w:pPr>
    </w:p>
    <w:p w14:paraId="06206C47" w14:textId="77777777" w:rsidR="002E772A" w:rsidRDefault="002E772A">
      <w:pPr>
        <w:rPr>
          <w:b/>
        </w:rPr>
      </w:pPr>
    </w:p>
    <w:p w14:paraId="24E6894E" w14:textId="255D04D4" w:rsidR="00F22774" w:rsidRPr="0040761D" w:rsidRDefault="00937126">
      <w:pPr>
        <w:rPr>
          <w:b/>
        </w:rPr>
      </w:pPr>
      <w:r>
        <w:rPr>
          <w:b/>
        </w:rPr>
        <w:t xml:space="preserve">Keywords: </w:t>
      </w:r>
      <w:r>
        <w:t xml:space="preserve">event-related potentials, ERP, </w:t>
      </w:r>
      <w:r w:rsidR="00963325">
        <w:t xml:space="preserve">EEG, </w:t>
      </w:r>
      <w:proofErr w:type="spellStart"/>
      <w:r>
        <w:t>visuo</w:t>
      </w:r>
      <w:proofErr w:type="spellEnd"/>
      <w:r>
        <w:t xml:space="preserve">-spatial working memory, </w:t>
      </w:r>
      <w:r w:rsidR="003E2205">
        <w:t xml:space="preserve">visual short-term memory, </w:t>
      </w:r>
      <w:r>
        <w:t>memory retrieval</w:t>
      </w:r>
      <w:r w:rsidR="00973E40">
        <w:t>, semantic memory</w:t>
      </w:r>
      <w:r w:rsidR="009626FA">
        <w:t xml:space="preserve">, </w:t>
      </w:r>
      <w:r w:rsidR="00315CC1">
        <w:t>unitiz</w:t>
      </w:r>
      <w:r w:rsidR="009626FA">
        <w:t xml:space="preserve">ation </w:t>
      </w:r>
      <w:r w:rsidR="00F22774" w:rsidRPr="0040761D">
        <w:rPr>
          <w:b/>
        </w:rPr>
        <w:br w:type="page"/>
      </w:r>
    </w:p>
    <w:p w14:paraId="3B2E40F0" w14:textId="77777777" w:rsidR="00A01479" w:rsidRPr="0040761D" w:rsidRDefault="00A01479" w:rsidP="00F60677">
      <w:pPr>
        <w:spacing w:line="480" w:lineRule="auto"/>
        <w:outlineLvl w:val="0"/>
        <w:rPr>
          <w:b/>
        </w:rPr>
      </w:pPr>
      <w:r w:rsidRPr="0040761D">
        <w:rPr>
          <w:b/>
        </w:rPr>
        <w:lastRenderedPageBreak/>
        <w:t>Abstract</w:t>
      </w:r>
      <w:r w:rsidR="00DB2809">
        <w:rPr>
          <w:b/>
        </w:rPr>
        <w:t xml:space="preserve"> </w:t>
      </w:r>
    </w:p>
    <w:p w14:paraId="787E1B97" w14:textId="63803D39" w:rsidR="002E772A" w:rsidRDefault="002E772A" w:rsidP="002E772A">
      <w:pPr>
        <w:spacing w:line="480" w:lineRule="auto"/>
      </w:pPr>
      <w:r>
        <w:t>In this study we examined electrophysiological indices of episodic remembering whilst participants recalled novel shapes, with and without semantic content, within a visu</w:t>
      </w:r>
      <w:r w:rsidR="00702926">
        <w:t xml:space="preserve">al </w:t>
      </w:r>
      <w:r>
        <w:t>working memory paradigm. The components of interest were the parietal episodic (</w:t>
      </w:r>
      <w:r w:rsidR="009626FA">
        <w:t xml:space="preserve">PE; </w:t>
      </w:r>
      <w:r>
        <w:t xml:space="preserve">400-800ms) and </w:t>
      </w:r>
      <w:r w:rsidR="00751D5C">
        <w:t>late posterior</w:t>
      </w:r>
      <w:r>
        <w:t xml:space="preserve"> negativity (</w:t>
      </w:r>
      <w:r w:rsidR="00751D5C">
        <w:t xml:space="preserve">LPN; </w:t>
      </w:r>
      <w:r>
        <w:t>500-900ms)</w:t>
      </w:r>
      <w:r w:rsidR="00702926">
        <w:t>,</w:t>
      </w:r>
      <w:r>
        <w:t xml:space="preserve"> as these have previously been identified as reliable markers of recollection and post retrieval monitoring, respectively. Fifteen young adults completed a visual matrix patterns task</w:t>
      </w:r>
      <w:r w:rsidR="00702926">
        <w:t>,</w:t>
      </w:r>
      <w:r>
        <w:t xml:space="preserve"> assessing memory for low and high semantic visual representations. </w:t>
      </w:r>
      <w:r w:rsidR="00702926">
        <w:t>Matrices with either l</w:t>
      </w:r>
      <w:r>
        <w:t xml:space="preserve">ow </w:t>
      </w:r>
      <w:r w:rsidR="00702926">
        <w:t>s</w:t>
      </w:r>
      <w:r>
        <w:t xml:space="preserve">emantic </w:t>
      </w:r>
      <w:r w:rsidR="00702926">
        <w:t>or</w:t>
      </w:r>
      <w:r>
        <w:t xml:space="preserve"> high semantic </w:t>
      </w:r>
      <w:r w:rsidR="00702926">
        <w:t xml:space="preserve">content </w:t>
      </w:r>
      <w:r>
        <w:t xml:space="preserve">(containing familiar visual forms) were briefly presented </w:t>
      </w:r>
      <w:r w:rsidR="00D477C7">
        <w:t xml:space="preserve">to participants </w:t>
      </w:r>
      <w:r>
        <w:t>for study</w:t>
      </w:r>
      <w:r w:rsidR="00D477C7">
        <w:t xml:space="preserve"> (1500ms)</w:t>
      </w:r>
      <w:r>
        <w:t xml:space="preserve">, followed by a retention interval (6000ms) and finally a same/different recognition phase. The event-related potentials of interest were tracked from the onset of the recognition test stimuli. Analyses revealed equivalent amplitude for the earlier </w:t>
      </w:r>
      <w:r w:rsidR="00D67D82">
        <w:t>PE</w:t>
      </w:r>
      <w:r>
        <w:t xml:space="preserve"> effect for the processing of both low and high semantic stimulus types. However, the </w:t>
      </w:r>
      <w:r w:rsidR="00751D5C">
        <w:t xml:space="preserve">LPN </w:t>
      </w:r>
      <w:r>
        <w:t>was more negative</w:t>
      </w:r>
      <w:r w:rsidR="00D477C7">
        <w:t>-</w:t>
      </w:r>
      <w:r>
        <w:t xml:space="preserve">going for the processing of the low semantic stimuli. These data are discussed in terms of </w:t>
      </w:r>
      <w:r w:rsidR="00D477C7">
        <w:t xml:space="preserve">relatively </w:t>
      </w:r>
      <w:r>
        <w:t xml:space="preserve">‘pure’ </w:t>
      </w:r>
      <w:r w:rsidR="00961E73">
        <w:t xml:space="preserve">and complete </w:t>
      </w:r>
      <w:r>
        <w:t>retrieval of high semantic item</w:t>
      </w:r>
      <w:r w:rsidR="00D477C7">
        <w:t>s,</w:t>
      </w:r>
      <w:r>
        <w:t xml:space="preserve"> where support can readily be recruited from semantic memory. However, for the low semantic items additional executive resource</w:t>
      </w:r>
      <w:r w:rsidR="00D477C7">
        <w:t>s, as</w:t>
      </w:r>
      <w:r>
        <w:t xml:space="preserve"> index</w:t>
      </w:r>
      <w:r w:rsidR="00D477C7">
        <w:t>ed</w:t>
      </w:r>
      <w:r>
        <w:t xml:space="preserve"> by the </w:t>
      </w:r>
      <w:r w:rsidR="00D67D82">
        <w:t>LPN</w:t>
      </w:r>
      <w:r w:rsidR="00D477C7">
        <w:t>,</w:t>
      </w:r>
      <w:r>
        <w:t xml:space="preserve"> are recruited when memory monitoring and uncertainty exist </w:t>
      </w:r>
      <w:r w:rsidR="00D477C7">
        <w:t>in order to recall</w:t>
      </w:r>
      <w:r>
        <w:t xml:space="preserve"> previously stud</w:t>
      </w:r>
      <w:r w:rsidR="00D477C7">
        <w:t>ied</w:t>
      </w:r>
      <w:r>
        <w:t xml:space="preserve"> items</w:t>
      </w:r>
      <w:r w:rsidR="00D477C7">
        <w:t xml:space="preserve"> more </w:t>
      </w:r>
      <w:r w:rsidR="00A37939">
        <w:t>effectively</w:t>
      </w:r>
      <w:r>
        <w:t xml:space="preserve">. </w:t>
      </w:r>
    </w:p>
    <w:p w14:paraId="18F558FC" w14:textId="77777777" w:rsidR="00487559" w:rsidRDefault="00487559" w:rsidP="004D3DF8">
      <w:pPr>
        <w:spacing w:line="480" w:lineRule="auto"/>
      </w:pPr>
    </w:p>
    <w:p w14:paraId="17636908" w14:textId="77777777" w:rsidR="00487559" w:rsidRDefault="00487559" w:rsidP="004D3DF8">
      <w:pPr>
        <w:spacing w:line="480" w:lineRule="auto"/>
      </w:pPr>
    </w:p>
    <w:p w14:paraId="5BC11532" w14:textId="77777777" w:rsidR="00487559" w:rsidRDefault="00487559" w:rsidP="004D3DF8">
      <w:pPr>
        <w:spacing w:line="480" w:lineRule="auto"/>
      </w:pPr>
    </w:p>
    <w:p w14:paraId="19570F56" w14:textId="77777777" w:rsidR="00487559" w:rsidRDefault="00487559" w:rsidP="004D3DF8">
      <w:pPr>
        <w:spacing w:line="480" w:lineRule="auto"/>
      </w:pPr>
    </w:p>
    <w:p w14:paraId="3BF4067F" w14:textId="77777777" w:rsidR="00487559" w:rsidRDefault="00487559" w:rsidP="004D3DF8">
      <w:pPr>
        <w:spacing w:line="480" w:lineRule="auto"/>
      </w:pPr>
    </w:p>
    <w:p w14:paraId="310B121D" w14:textId="10C2A500" w:rsidR="00A37939" w:rsidRDefault="00A37939" w:rsidP="004D3DF8">
      <w:pPr>
        <w:spacing w:line="480" w:lineRule="auto"/>
      </w:pPr>
    </w:p>
    <w:p w14:paraId="1640A8E6" w14:textId="7F8B72A6" w:rsidR="00A37939" w:rsidRDefault="00A37939" w:rsidP="004D3DF8">
      <w:pPr>
        <w:spacing w:line="480" w:lineRule="auto"/>
      </w:pPr>
    </w:p>
    <w:p w14:paraId="3E5FB37A" w14:textId="3DF6E481" w:rsidR="00A01479" w:rsidRPr="0040761D" w:rsidRDefault="00A01479" w:rsidP="00F60677">
      <w:pPr>
        <w:spacing w:line="480" w:lineRule="auto"/>
        <w:outlineLvl w:val="0"/>
        <w:rPr>
          <w:b/>
        </w:rPr>
      </w:pPr>
      <w:r w:rsidRPr="0040761D">
        <w:rPr>
          <w:b/>
        </w:rPr>
        <w:t>Introduction</w:t>
      </w:r>
    </w:p>
    <w:p w14:paraId="7875190C" w14:textId="77777777" w:rsidR="003A52AD" w:rsidRDefault="003A52AD" w:rsidP="00DF3FA4">
      <w:pPr>
        <w:spacing w:line="480" w:lineRule="auto"/>
      </w:pPr>
    </w:p>
    <w:p w14:paraId="45A1652F" w14:textId="4BF6D21F" w:rsidR="00045CBE" w:rsidRDefault="000E217D" w:rsidP="00DF3FA4">
      <w:pPr>
        <w:spacing w:line="480" w:lineRule="auto"/>
      </w:pPr>
      <w:r>
        <w:t>In the episodic memory domain</w:t>
      </w:r>
      <w:r w:rsidR="00D50257">
        <w:t>,</w:t>
      </w:r>
      <w:r>
        <w:t xml:space="preserve"> </w:t>
      </w:r>
      <w:r w:rsidR="003A52AD">
        <w:t xml:space="preserve">there is strong evidence for </w:t>
      </w:r>
      <w:r>
        <w:t xml:space="preserve">a </w:t>
      </w:r>
      <w:r w:rsidR="00F60677">
        <w:t xml:space="preserve">range </w:t>
      </w:r>
      <w:r>
        <w:t xml:space="preserve">of </w:t>
      </w:r>
      <w:r w:rsidR="003A52AD">
        <w:t xml:space="preserve">ERP </w:t>
      </w:r>
      <w:r>
        <w:t>components related to familiarity (</w:t>
      </w:r>
      <w:r w:rsidR="00D50257">
        <w:t>Curran, 2000</w:t>
      </w:r>
      <w:r w:rsidR="00576475">
        <w:t>; Smith</w:t>
      </w:r>
      <w:r w:rsidR="005803CF">
        <w:t>,</w:t>
      </w:r>
      <w:r w:rsidR="00576475">
        <w:t xml:space="preserve"> </w:t>
      </w:r>
      <w:r w:rsidR="005803CF" w:rsidRPr="005803CF">
        <w:t xml:space="preserve">Riby, </w:t>
      </w:r>
      <w:proofErr w:type="spellStart"/>
      <w:r w:rsidR="005803CF" w:rsidRPr="005803CF">
        <w:t>Sünram</w:t>
      </w:r>
      <w:proofErr w:type="spellEnd"/>
      <w:r w:rsidR="005803CF" w:rsidRPr="005803CF">
        <w:t xml:space="preserve">-Lea, Van </w:t>
      </w:r>
      <w:proofErr w:type="spellStart"/>
      <w:r w:rsidR="005803CF" w:rsidRPr="005803CF">
        <w:t>Eekelen</w:t>
      </w:r>
      <w:proofErr w:type="spellEnd"/>
      <w:r w:rsidR="005803CF" w:rsidRPr="005803CF">
        <w:t>, &amp; Foster</w:t>
      </w:r>
      <w:r w:rsidR="005803CF">
        <w:t>,</w:t>
      </w:r>
      <w:r w:rsidR="005803CF" w:rsidRPr="005803CF" w:rsidDel="005803CF">
        <w:t xml:space="preserve"> </w:t>
      </w:r>
      <w:r w:rsidR="00576475">
        <w:t>2009</w:t>
      </w:r>
      <w:r>
        <w:t>), recollection (</w:t>
      </w:r>
      <w:r w:rsidR="00BA2944">
        <w:t>Brown &amp; Riby, 2013; Smith et al. 2009</w:t>
      </w:r>
      <w:r w:rsidR="005803CF">
        <w:t>;</w:t>
      </w:r>
      <w:r w:rsidR="005803CF" w:rsidRPr="005803CF">
        <w:t xml:space="preserve"> </w:t>
      </w:r>
      <w:r w:rsidR="005803CF">
        <w:t>Wilding, 2000</w:t>
      </w:r>
      <w:r>
        <w:t xml:space="preserve">) and post-retrieval </w:t>
      </w:r>
      <w:r w:rsidR="00690D45">
        <w:t>monitoring</w:t>
      </w:r>
      <w:r w:rsidR="00627E7D">
        <w:t xml:space="preserve"> </w:t>
      </w:r>
      <w:r>
        <w:t>(</w:t>
      </w:r>
      <w:r w:rsidR="001B4DAF">
        <w:t>J</w:t>
      </w:r>
      <w:r w:rsidR="00C37CA8">
        <w:t xml:space="preserve">ohansson &amp; </w:t>
      </w:r>
      <w:proofErr w:type="spellStart"/>
      <w:r w:rsidR="00C37CA8">
        <w:t>Mecklinger</w:t>
      </w:r>
      <w:proofErr w:type="spellEnd"/>
      <w:r w:rsidR="00C37CA8">
        <w:t>, 2003</w:t>
      </w:r>
      <w:r w:rsidR="00830DDF">
        <w:t>; Riby</w:t>
      </w:r>
      <w:r w:rsidR="005803CF">
        <w:t>,</w:t>
      </w:r>
      <w:r w:rsidR="00830DDF">
        <w:t xml:space="preserve"> </w:t>
      </w:r>
      <w:r w:rsidR="005803CF" w:rsidRPr="005803CF">
        <w:t>Smallwood, &amp; Gunn</w:t>
      </w:r>
      <w:r w:rsidR="005803CF">
        <w:t>,</w:t>
      </w:r>
      <w:r w:rsidR="005803CF" w:rsidRPr="005803CF" w:rsidDel="005803CF">
        <w:t xml:space="preserve"> </w:t>
      </w:r>
      <w:r w:rsidR="00830DDF">
        <w:t>2008</w:t>
      </w:r>
      <w:r>
        <w:t xml:space="preserve">) </w:t>
      </w:r>
      <w:r w:rsidR="00E11B43">
        <w:t>during the re</w:t>
      </w:r>
      <w:r w:rsidR="00DF3FA4">
        <w:t>trieva</w:t>
      </w:r>
      <w:r w:rsidR="00E11B43">
        <w:t xml:space="preserve">l of </w:t>
      </w:r>
      <w:r w:rsidR="00DF3FA4">
        <w:t>past events</w:t>
      </w:r>
      <w:r w:rsidR="00023943">
        <w:t xml:space="preserve">. </w:t>
      </w:r>
      <w:r w:rsidR="003A52AD">
        <w:t xml:space="preserve">There is increasing evidence suggesting some overlap </w:t>
      </w:r>
      <w:r w:rsidR="00A80100">
        <w:t xml:space="preserve">in the </w:t>
      </w:r>
      <w:r w:rsidR="00B24925">
        <w:t xml:space="preserve">network of </w:t>
      </w:r>
      <w:r w:rsidR="00A80100">
        <w:t xml:space="preserve">processes involved </w:t>
      </w:r>
      <w:r w:rsidR="001E01CE">
        <w:t xml:space="preserve">during both </w:t>
      </w:r>
      <w:r w:rsidR="00E63E42">
        <w:t xml:space="preserve">long-term </w:t>
      </w:r>
      <w:r w:rsidR="001E01CE">
        <w:t xml:space="preserve">episodic and </w:t>
      </w:r>
      <w:r w:rsidR="00E63E42">
        <w:t>short-term (</w:t>
      </w:r>
      <w:r w:rsidR="001E01CE">
        <w:t>working</w:t>
      </w:r>
      <w:r w:rsidR="00E63E42">
        <w:t>)</w:t>
      </w:r>
      <w:r w:rsidR="001E01CE">
        <w:t xml:space="preserve"> memory retrieval</w:t>
      </w:r>
      <w:r w:rsidR="003A52AD">
        <w:t xml:space="preserve"> (e.g. </w:t>
      </w:r>
      <w:proofErr w:type="spellStart"/>
      <w:r w:rsidR="00FD322A">
        <w:t>Bundesen</w:t>
      </w:r>
      <w:proofErr w:type="spellEnd"/>
      <w:r w:rsidR="00FD322A">
        <w:t xml:space="preserve">, 1990; </w:t>
      </w:r>
      <w:proofErr w:type="spellStart"/>
      <w:r w:rsidR="003A52AD" w:rsidRPr="00B24925">
        <w:t>Cabeza</w:t>
      </w:r>
      <w:proofErr w:type="spellEnd"/>
      <w:r w:rsidR="003A52AD" w:rsidRPr="00B24925">
        <w:t xml:space="preserve">, </w:t>
      </w:r>
      <w:proofErr w:type="spellStart"/>
      <w:r w:rsidR="003A52AD" w:rsidRPr="00B24925">
        <w:t>Dolcos</w:t>
      </w:r>
      <w:proofErr w:type="spellEnd"/>
      <w:r w:rsidR="003A52AD" w:rsidRPr="00B24925">
        <w:t>, Graham, &amp; Nyberg, 2002</w:t>
      </w:r>
      <w:r w:rsidR="003A52AD">
        <w:t xml:space="preserve">; </w:t>
      </w:r>
      <w:proofErr w:type="spellStart"/>
      <w:r w:rsidR="003A52AD">
        <w:t>Hellerstedt</w:t>
      </w:r>
      <w:proofErr w:type="spellEnd"/>
      <w:r w:rsidR="003A52AD">
        <w:t xml:space="preserve"> &amp; Johansson, 2016)</w:t>
      </w:r>
      <w:r w:rsidR="00E63E42">
        <w:t xml:space="preserve">. However, </w:t>
      </w:r>
      <w:r w:rsidR="00D44780">
        <w:t>the</w:t>
      </w:r>
      <w:r w:rsidR="00E63E42">
        <w:t xml:space="preserve"> interaction between these systems </w:t>
      </w:r>
      <w:r w:rsidR="001E01CE">
        <w:t>ha</w:t>
      </w:r>
      <w:r w:rsidR="00E63E42">
        <w:t>s</w:t>
      </w:r>
      <w:r w:rsidR="001E01CE">
        <w:t xml:space="preserve"> largely been neglected in the working memory domain</w:t>
      </w:r>
      <w:r w:rsidR="00E63E42">
        <w:t>, with research tending to focus on processes within the working memory system</w:t>
      </w:r>
      <w:r w:rsidR="001E01CE">
        <w:t xml:space="preserve">. </w:t>
      </w:r>
      <w:r w:rsidR="00E63E42">
        <w:t>With more recent working memory models explicitly taking account of information flow to and from long-term memory</w:t>
      </w:r>
      <w:r w:rsidR="00045CBE">
        <w:t xml:space="preserve"> (e.g., Baddeley, 2000, 2012; </w:t>
      </w:r>
      <w:proofErr w:type="spellStart"/>
      <w:r w:rsidR="00045CBE">
        <w:t>Logie</w:t>
      </w:r>
      <w:proofErr w:type="spellEnd"/>
      <w:r w:rsidR="00045CBE">
        <w:t>, 2011)</w:t>
      </w:r>
      <w:r w:rsidR="00E63E42">
        <w:t xml:space="preserve">, researchers are now increasingly </w:t>
      </w:r>
      <w:proofErr w:type="gramStart"/>
      <w:r w:rsidR="00E63E42">
        <w:t>addressing  the</w:t>
      </w:r>
      <w:proofErr w:type="gramEnd"/>
      <w:r w:rsidR="00E63E42">
        <w:t xml:space="preserve"> mechanisms by which long-term memory may support working memory.</w:t>
      </w:r>
      <w:r w:rsidR="006C5F04">
        <w:t xml:space="preserve"> In the present study, we</w:t>
      </w:r>
      <w:r w:rsidR="00576475">
        <w:t xml:space="preserve"> </w:t>
      </w:r>
      <w:r w:rsidR="006C5F04">
        <w:t xml:space="preserve">manipulated </w:t>
      </w:r>
      <w:r w:rsidR="00576475">
        <w:t>the semantic content of to</w:t>
      </w:r>
      <w:r w:rsidR="00ED3A7F">
        <w:t>-</w:t>
      </w:r>
      <w:r w:rsidR="00576475">
        <w:t>be</w:t>
      </w:r>
      <w:r w:rsidR="00ED3A7F">
        <w:t>-</w:t>
      </w:r>
      <w:r w:rsidR="00576475">
        <w:t xml:space="preserve">remembered </w:t>
      </w:r>
      <w:r w:rsidR="00E63E42">
        <w:t xml:space="preserve">abstract visual </w:t>
      </w:r>
      <w:r w:rsidR="00576475">
        <w:t xml:space="preserve">material, </w:t>
      </w:r>
      <w:r w:rsidR="006C5F04">
        <w:t>and</w:t>
      </w:r>
      <w:r w:rsidR="00576475">
        <w:t xml:space="preserve"> </w:t>
      </w:r>
      <w:r w:rsidR="00E63E42">
        <w:t xml:space="preserve">directly </w:t>
      </w:r>
      <w:r w:rsidR="006C5F04">
        <w:t xml:space="preserve">investigated </w:t>
      </w:r>
      <w:r w:rsidR="00C06E58">
        <w:t xml:space="preserve">the engagement of </w:t>
      </w:r>
      <w:r w:rsidR="00E63E42">
        <w:t>episodic</w:t>
      </w:r>
      <w:r w:rsidR="00C06E58">
        <w:t xml:space="preserve"> </w:t>
      </w:r>
      <w:r w:rsidR="003A52AD">
        <w:t>retrieval mechanism</w:t>
      </w:r>
      <w:r w:rsidR="00E35C27">
        <w:t>s</w:t>
      </w:r>
      <w:r w:rsidR="003A52AD">
        <w:t xml:space="preserve"> </w:t>
      </w:r>
      <w:r w:rsidR="006C5F04">
        <w:t xml:space="preserve">during </w:t>
      </w:r>
      <w:r w:rsidR="00DF3FA4">
        <w:t>visu</w:t>
      </w:r>
      <w:r w:rsidR="00E35C27">
        <w:t xml:space="preserve">al </w:t>
      </w:r>
      <w:r w:rsidR="0050339A">
        <w:t xml:space="preserve">working </w:t>
      </w:r>
      <w:r w:rsidR="00E11B43">
        <w:t>memory recall</w:t>
      </w:r>
      <w:r w:rsidR="00DF3FA4">
        <w:t>.</w:t>
      </w:r>
      <w:r w:rsidR="00907687">
        <w:t xml:space="preserve"> </w:t>
      </w:r>
      <w:r w:rsidR="006C5F04">
        <w:t>W</w:t>
      </w:r>
      <w:r w:rsidR="00907687">
        <w:t xml:space="preserve">here visual semantic information is more readily available within the stimuli, episodic retrieval (the </w:t>
      </w:r>
      <w:r w:rsidR="00045CBE">
        <w:t xml:space="preserve">conscious recollection of a </w:t>
      </w:r>
      <w:r w:rsidR="00907687">
        <w:t>previous</w:t>
      </w:r>
      <w:r w:rsidR="00B52777">
        <w:t xml:space="preserve"> </w:t>
      </w:r>
      <w:r w:rsidR="006C5F04">
        <w:t xml:space="preserve">specific </w:t>
      </w:r>
      <w:r w:rsidR="00907687">
        <w:t>event</w:t>
      </w:r>
      <w:r w:rsidR="006C5F04">
        <w:t>s</w:t>
      </w:r>
      <w:r w:rsidR="00B63DDB">
        <w:t xml:space="preserve"> and contextual information</w:t>
      </w:r>
      <w:r w:rsidR="00045CBE">
        <w:t xml:space="preserve">; </w:t>
      </w:r>
      <w:proofErr w:type="spellStart"/>
      <w:r w:rsidR="00045CBE">
        <w:t>Rugg</w:t>
      </w:r>
      <w:proofErr w:type="spellEnd"/>
      <w:r w:rsidR="00045CBE">
        <w:t xml:space="preserve"> &amp; </w:t>
      </w:r>
      <w:proofErr w:type="spellStart"/>
      <w:r w:rsidR="00045CBE">
        <w:t>Vilberg</w:t>
      </w:r>
      <w:proofErr w:type="spellEnd"/>
      <w:r w:rsidR="00045CBE">
        <w:t>, 2013</w:t>
      </w:r>
      <w:r w:rsidR="00907687">
        <w:t xml:space="preserve">) may be more </w:t>
      </w:r>
      <w:r w:rsidR="00F168A7">
        <w:t>freely</w:t>
      </w:r>
      <w:r w:rsidR="00315CC1">
        <w:t xml:space="preserve"> or automatically</w:t>
      </w:r>
      <w:r w:rsidR="00907687">
        <w:t xml:space="preserve"> engaged</w:t>
      </w:r>
      <w:r w:rsidR="00045CBE">
        <w:t>.</w:t>
      </w:r>
    </w:p>
    <w:p w14:paraId="4EA934A6" w14:textId="77777777" w:rsidR="004E7296" w:rsidRDefault="004E7296" w:rsidP="00DF3FA4">
      <w:pPr>
        <w:spacing w:line="480" w:lineRule="auto"/>
      </w:pPr>
    </w:p>
    <w:p w14:paraId="1AEE56CF" w14:textId="77777777" w:rsidR="00D7340D" w:rsidRPr="003C7DC1" w:rsidRDefault="00D7340D" w:rsidP="00DF3FA4">
      <w:pPr>
        <w:spacing w:line="480" w:lineRule="auto"/>
        <w:rPr>
          <w:i/>
        </w:rPr>
      </w:pPr>
    </w:p>
    <w:p w14:paraId="24EAEAC1" w14:textId="77777777" w:rsidR="00D7340D" w:rsidRPr="003C7DC1" w:rsidRDefault="00D7340D" w:rsidP="00DF3FA4">
      <w:pPr>
        <w:spacing w:line="480" w:lineRule="auto"/>
        <w:rPr>
          <w:i/>
        </w:rPr>
      </w:pPr>
    </w:p>
    <w:p w14:paraId="4C5595AD" w14:textId="33537CE3" w:rsidR="00ED3A7F" w:rsidRPr="002E772A" w:rsidRDefault="005C7F4F" w:rsidP="00DF3FA4">
      <w:pPr>
        <w:spacing w:line="480" w:lineRule="auto"/>
        <w:rPr>
          <w:i/>
        </w:rPr>
      </w:pPr>
      <w:r>
        <w:rPr>
          <w:i/>
        </w:rPr>
        <w:t>Visual working memory and m</w:t>
      </w:r>
      <w:r w:rsidR="00ED3A7F" w:rsidRPr="002E772A">
        <w:rPr>
          <w:i/>
        </w:rPr>
        <w:t>ultimodal coding</w:t>
      </w:r>
    </w:p>
    <w:p w14:paraId="6352BC32" w14:textId="291EAEC9" w:rsidR="005C7F4F" w:rsidRDefault="005C7F4F" w:rsidP="005C7F4F">
      <w:pPr>
        <w:spacing w:line="480" w:lineRule="auto"/>
      </w:pPr>
      <w:r>
        <w:t xml:space="preserve">From a vision science perspective, </w:t>
      </w:r>
      <w:r w:rsidRPr="005C7F4F">
        <w:t xml:space="preserve">research </w:t>
      </w:r>
      <w:r>
        <w:t xml:space="preserve">has </w:t>
      </w:r>
      <w:r w:rsidRPr="005C7F4F">
        <w:t>focuse</w:t>
      </w:r>
      <w:r>
        <w:t>d</w:t>
      </w:r>
      <w:r w:rsidRPr="005C7F4F">
        <w:t xml:space="preserve"> </w:t>
      </w:r>
      <w:r w:rsidR="00194070">
        <w:t xml:space="preserve">quite </w:t>
      </w:r>
      <w:r w:rsidRPr="005C7F4F">
        <w:t>specifically on</w:t>
      </w:r>
      <w:r w:rsidR="00013CCE">
        <w:t xml:space="preserve"> </w:t>
      </w:r>
      <w:r w:rsidRPr="005C7F4F">
        <w:t xml:space="preserve">functioning within visual working memory </w:t>
      </w:r>
      <w:r w:rsidR="007E7533">
        <w:t xml:space="preserve">in order </w:t>
      </w:r>
      <w:r w:rsidRPr="005C7F4F">
        <w:t>to understand the processes that underlie the capacity to retain visual material over the short term (e.g.</w:t>
      </w:r>
      <w:r>
        <w:t xml:space="preserve"> Bays &amp; Husain, 2008; </w:t>
      </w:r>
      <w:r w:rsidRPr="005C7F4F">
        <w:t>Luck &amp; Vogel, 1997</w:t>
      </w:r>
      <w:r>
        <w:t>; Zhang &amp; Luck, 2008</w:t>
      </w:r>
      <w:r w:rsidRPr="005C7F4F">
        <w:t>; for review, see</w:t>
      </w:r>
      <w:r>
        <w:t xml:space="preserve"> Luck &amp; Vogel, 2013). This</w:t>
      </w:r>
      <w:r w:rsidRPr="005C7F4F">
        <w:t xml:space="preserve"> research typically uses abstract, simple feature and object stimuli (e.g., basic colours, shapes, orientations, etc.) in order to emphasise reliance upon temporary visual storage</w:t>
      </w:r>
      <w:r w:rsidR="007E7533">
        <w:t>,</w:t>
      </w:r>
      <w:r w:rsidRPr="005C7F4F">
        <w:t xml:space="preserve"> and to limit input from other cognitive resources</w:t>
      </w:r>
      <w:r w:rsidR="007E7533">
        <w:t xml:space="preserve"> such as </w:t>
      </w:r>
      <w:r w:rsidR="00315CC1">
        <w:t xml:space="preserve">verbalization </w:t>
      </w:r>
      <w:r>
        <w:t>(Ma, Husain, &amp; Bays, 2014; Luck &amp; Vogel, 2013).</w:t>
      </w:r>
      <w:r w:rsidR="00E32519" w:rsidRPr="00E32519">
        <w:t xml:space="preserve"> </w:t>
      </w:r>
      <w:r w:rsidR="00E32519">
        <w:t>However</w:t>
      </w:r>
      <w:r w:rsidR="00E32519" w:rsidRPr="00E32519">
        <w:t xml:space="preserve">, real-world context and ‘visual long-term memory’ </w:t>
      </w:r>
      <w:r w:rsidR="00E32519">
        <w:t>are increasingly</w:t>
      </w:r>
      <w:r w:rsidR="00E32519" w:rsidRPr="00E32519">
        <w:t xml:space="preserve"> being explored </w:t>
      </w:r>
      <w:r w:rsidR="00E32519">
        <w:t xml:space="preserve">in this literature </w:t>
      </w:r>
      <w:r w:rsidR="00E32519" w:rsidRPr="00E32519">
        <w:t xml:space="preserve">(Brady, </w:t>
      </w:r>
      <w:proofErr w:type="spellStart"/>
      <w:r w:rsidR="00E32519" w:rsidRPr="00E32519">
        <w:t>Konkle</w:t>
      </w:r>
      <w:proofErr w:type="spellEnd"/>
      <w:r w:rsidR="00E32519" w:rsidRPr="00E32519">
        <w:t xml:space="preserve">, Gill, Oliva, &amp; Alvarez, 2013; Ma et al., 2014). </w:t>
      </w:r>
      <w:r>
        <w:t xml:space="preserve"> </w:t>
      </w:r>
      <w:r w:rsidR="00E32519">
        <w:t>F</w:t>
      </w:r>
      <w:r>
        <w:t xml:space="preserve">rom a cognitive psychology perspective, </w:t>
      </w:r>
      <w:r w:rsidRPr="005C7F4F">
        <w:t xml:space="preserve">working memory models </w:t>
      </w:r>
      <w:r w:rsidR="00E32519">
        <w:t xml:space="preserve">have, for some time, </w:t>
      </w:r>
      <w:r w:rsidRPr="005C7F4F">
        <w:t xml:space="preserve">explicitly </w:t>
      </w:r>
      <w:r>
        <w:t>identif</w:t>
      </w:r>
      <w:r w:rsidR="00E32519">
        <w:t>ied</w:t>
      </w:r>
      <w:r>
        <w:t xml:space="preserve"> </w:t>
      </w:r>
      <w:r w:rsidR="00E32519">
        <w:t>a</w:t>
      </w:r>
      <w:r w:rsidRPr="005C7F4F">
        <w:t xml:space="preserve"> relationship between long- and short-term memory resources (e.g., Baddeley, 2000, 2012; Cowan,</w:t>
      </w:r>
      <w:r>
        <w:t xml:space="preserve"> 2001, 2005; </w:t>
      </w:r>
      <w:proofErr w:type="spellStart"/>
      <w:r>
        <w:t>Logie</w:t>
      </w:r>
      <w:proofErr w:type="spellEnd"/>
      <w:r>
        <w:t>, 1995, 2011)</w:t>
      </w:r>
      <w:r w:rsidR="00E32519">
        <w:t xml:space="preserve">, in addition to the opportunity for cross-domain processing within working memory (e.g., Baddeley, 2012, </w:t>
      </w:r>
      <w:proofErr w:type="spellStart"/>
      <w:r w:rsidR="00E32519">
        <w:t>Logie</w:t>
      </w:r>
      <w:proofErr w:type="spellEnd"/>
      <w:r w:rsidR="00E32519">
        <w:t>, 2011)</w:t>
      </w:r>
      <w:r>
        <w:t xml:space="preserve">. </w:t>
      </w:r>
      <w:r w:rsidR="00E32519">
        <w:t>Yet, t</w:t>
      </w:r>
      <w:r w:rsidR="007E7533" w:rsidRPr="007E7533">
        <w:t>he processes involved in the</w:t>
      </w:r>
      <w:r w:rsidR="00E32519">
        <w:t>se</w:t>
      </w:r>
      <w:r w:rsidR="007E7533" w:rsidRPr="007E7533">
        <w:t xml:space="preserve"> relationship</w:t>
      </w:r>
      <w:r w:rsidR="00E32519">
        <w:t>s are not yet well understood, especially when considering</w:t>
      </w:r>
      <w:r w:rsidR="007E7533" w:rsidRPr="007E7533">
        <w:t xml:space="preserve"> </w:t>
      </w:r>
      <w:r w:rsidR="00E32519">
        <w:t xml:space="preserve">long-term memory support of </w:t>
      </w:r>
      <w:r w:rsidR="007E7533" w:rsidRPr="007E7533">
        <w:t>visual working memory</w:t>
      </w:r>
      <w:r w:rsidR="00E44A54">
        <w:t>, which can be considered a form of multimodal coding</w:t>
      </w:r>
      <w:r w:rsidR="00E32519">
        <w:t>.</w:t>
      </w:r>
    </w:p>
    <w:p w14:paraId="735B145D" w14:textId="77777777" w:rsidR="007E7533" w:rsidRDefault="007E7533" w:rsidP="009452FE">
      <w:pPr>
        <w:spacing w:line="480" w:lineRule="auto"/>
      </w:pPr>
    </w:p>
    <w:p w14:paraId="4DFDB18C" w14:textId="3B9B76B5" w:rsidR="009452FE" w:rsidRDefault="00315CC1" w:rsidP="009452FE">
      <w:pPr>
        <w:spacing w:line="480" w:lineRule="auto"/>
      </w:pPr>
      <w:r>
        <w:t>M</w:t>
      </w:r>
      <w:r w:rsidR="009452FE">
        <w:t>emory is more successful when t</w:t>
      </w:r>
      <w:r w:rsidR="007E644A">
        <w:t>he stimulus</w:t>
      </w:r>
      <w:r w:rsidR="009452FE">
        <w:t xml:space="preserve"> is amenable to being encoded </w:t>
      </w:r>
      <w:r w:rsidR="00D52887">
        <w:t>across</w:t>
      </w:r>
      <w:r w:rsidR="009452FE">
        <w:t xml:space="preserve"> </w:t>
      </w:r>
      <w:r w:rsidR="00D52887">
        <w:t>different modalities</w:t>
      </w:r>
      <w:r w:rsidR="009452FE">
        <w:t>.</w:t>
      </w:r>
      <w:r w:rsidR="00E44A54">
        <w:t xml:space="preserve"> Within </w:t>
      </w:r>
      <w:r w:rsidR="0050339A">
        <w:t xml:space="preserve">long-term memory, </w:t>
      </w:r>
      <w:r>
        <w:t xml:space="preserve">storage of </w:t>
      </w:r>
      <w:r w:rsidR="00234BF0">
        <w:t>b</w:t>
      </w:r>
      <w:r w:rsidR="00DC2AD6">
        <w:t xml:space="preserve">oth verbal and visual material benefits from </w:t>
      </w:r>
      <w:r w:rsidR="009452FE">
        <w:t xml:space="preserve">the availability of </w:t>
      </w:r>
      <w:r w:rsidR="00D52887">
        <w:t>both visual and verbal</w:t>
      </w:r>
      <w:r w:rsidR="009452FE">
        <w:t xml:space="preserve"> code</w:t>
      </w:r>
      <w:r w:rsidR="00D52887">
        <w:t>s</w:t>
      </w:r>
      <w:r w:rsidR="00DC2AD6">
        <w:t xml:space="preserve">. </w:t>
      </w:r>
      <w:r w:rsidR="009452FE">
        <w:t xml:space="preserve">For example, </w:t>
      </w:r>
      <w:proofErr w:type="spellStart"/>
      <w:r w:rsidR="00DC2AD6">
        <w:t>Paivio’s</w:t>
      </w:r>
      <w:proofErr w:type="spellEnd"/>
      <w:r w:rsidR="00DC2AD6">
        <w:t xml:space="preserve"> dual coding theory </w:t>
      </w:r>
      <w:r w:rsidR="00234BF0">
        <w:t xml:space="preserve">(1971; </w:t>
      </w:r>
      <w:r w:rsidR="00DC2AD6">
        <w:t xml:space="preserve">1991) accounts for the finding that concrete words (e.g. ‘jacket’) are better recalled than abstract words </w:t>
      </w:r>
      <w:r w:rsidR="008C3A2A">
        <w:t>(e.g.</w:t>
      </w:r>
      <w:r w:rsidR="00DC2AD6">
        <w:t xml:space="preserve"> ‘jealous’)</w:t>
      </w:r>
      <w:r w:rsidR="009452FE">
        <w:t>,</w:t>
      </w:r>
      <w:r w:rsidR="00DC2AD6">
        <w:t xml:space="preserve"> due to the </w:t>
      </w:r>
      <w:r w:rsidR="00DC2AD6">
        <w:lastRenderedPageBreak/>
        <w:t>imagery that is associated with concreteness.</w:t>
      </w:r>
      <w:r w:rsidR="007A1EB3">
        <w:t xml:space="preserve"> </w:t>
      </w:r>
      <w:r w:rsidR="000D5F22">
        <w:t>M</w:t>
      </w:r>
      <w:r w:rsidR="00234BF0">
        <w:t>emory for abstract visual stimuli</w:t>
      </w:r>
      <w:r w:rsidR="0050339A">
        <w:t xml:space="preserve"> </w:t>
      </w:r>
      <w:r w:rsidR="00234BF0">
        <w:t xml:space="preserve">is </w:t>
      </w:r>
      <w:r w:rsidR="000D5F22">
        <w:t xml:space="preserve">also </w:t>
      </w:r>
      <w:r w:rsidR="00234BF0">
        <w:t xml:space="preserve">superior </w:t>
      </w:r>
      <w:r w:rsidR="0050339A">
        <w:t xml:space="preserve">when </w:t>
      </w:r>
      <w:r w:rsidR="00DC2AD6">
        <w:t>semantic</w:t>
      </w:r>
      <w:r w:rsidR="00234BF0">
        <w:t>, meaningful</w:t>
      </w:r>
      <w:r w:rsidR="00DC2AD6">
        <w:t xml:space="preserve"> context is provided</w:t>
      </w:r>
      <w:r w:rsidR="0050339A" w:rsidRPr="0050339A">
        <w:t xml:space="preserve"> </w:t>
      </w:r>
      <w:r w:rsidR="00D52887">
        <w:t xml:space="preserve">via additional verbal information </w:t>
      </w:r>
      <w:r w:rsidR="0050339A">
        <w:t>(</w:t>
      </w:r>
      <w:r w:rsidR="00234BF0" w:rsidRPr="00234BF0">
        <w:t>Bower</w:t>
      </w:r>
      <w:r>
        <w:t>,</w:t>
      </w:r>
      <w:r w:rsidR="00234BF0" w:rsidRPr="00234BF0">
        <w:t xml:space="preserve"> </w:t>
      </w:r>
      <w:proofErr w:type="spellStart"/>
      <w:r w:rsidRPr="00315CC1">
        <w:t>Karlin</w:t>
      </w:r>
      <w:proofErr w:type="spellEnd"/>
      <w:r w:rsidRPr="00315CC1">
        <w:t xml:space="preserve">, &amp; </w:t>
      </w:r>
      <w:proofErr w:type="spellStart"/>
      <w:r w:rsidRPr="00315CC1">
        <w:t>Dueck</w:t>
      </w:r>
      <w:proofErr w:type="spellEnd"/>
      <w:r w:rsidR="00234BF0" w:rsidRPr="00234BF0">
        <w:t xml:space="preserve">, 1975; </w:t>
      </w:r>
      <w:r w:rsidR="00DE4A4A">
        <w:t xml:space="preserve">Santa, 1975; </w:t>
      </w:r>
      <w:proofErr w:type="spellStart"/>
      <w:r w:rsidR="00ED697C" w:rsidRPr="00234BF0">
        <w:t>Verhaegh</w:t>
      </w:r>
      <w:r w:rsidR="00ED697C">
        <w:t>e</w:t>
      </w:r>
      <w:r w:rsidR="00ED697C" w:rsidRPr="00234BF0">
        <w:t>n</w:t>
      </w:r>
      <w:proofErr w:type="spellEnd"/>
      <w:r>
        <w:t>,</w:t>
      </w:r>
      <w:r w:rsidR="00234BF0" w:rsidRPr="00234BF0">
        <w:t xml:space="preserve"> </w:t>
      </w:r>
      <w:proofErr w:type="spellStart"/>
      <w:r w:rsidRPr="00315CC1">
        <w:t>Palfai</w:t>
      </w:r>
      <w:proofErr w:type="spellEnd"/>
      <w:r w:rsidRPr="00315CC1">
        <w:t>, &amp; Johnson</w:t>
      </w:r>
      <w:r w:rsidRPr="00315CC1" w:rsidDel="00315CC1">
        <w:t xml:space="preserve"> </w:t>
      </w:r>
      <w:r w:rsidR="00234BF0" w:rsidRPr="00234BF0">
        <w:t>2006</w:t>
      </w:r>
      <w:r w:rsidR="00234BF0">
        <w:t xml:space="preserve">). Thus, long-term memory performance varies according to the abstractness of the stimuli, and the information available at encoding. </w:t>
      </w:r>
      <w:r w:rsidR="00F168A7">
        <w:t>R</w:t>
      </w:r>
      <w:r w:rsidR="009452FE">
        <w:t xml:space="preserve">egarding specifically visual working memory, Brown, Forbes, and McConnell (2006) showed that abstract visual stimuli, in the form of black and white matrix patterns (Della Sala, </w:t>
      </w:r>
      <w:proofErr w:type="spellStart"/>
      <w:r w:rsidR="009452FE" w:rsidRPr="00950F5C">
        <w:t>Gray</w:t>
      </w:r>
      <w:proofErr w:type="spellEnd"/>
      <w:r w:rsidR="009452FE" w:rsidRPr="00950F5C">
        <w:t xml:space="preserve">, Baddeley, </w:t>
      </w:r>
      <w:proofErr w:type="spellStart"/>
      <w:r w:rsidR="009452FE">
        <w:t>Allamano</w:t>
      </w:r>
      <w:proofErr w:type="spellEnd"/>
      <w:r w:rsidR="009452FE">
        <w:t>, &amp;</w:t>
      </w:r>
      <w:r w:rsidR="009452FE" w:rsidRPr="00950F5C">
        <w:t xml:space="preserve"> Wilson</w:t>
      </w:r>
      <w:r w:rsidR="009452FE">
        <w:t>, 1999; Phillips &amp; Christie, 1977)</w:t>
      </w:r>
      <w:r w:rsidR="009452FE" w:rsidRPr="00950F5C">
        <w:t xml:space="preserve"> </w:t>
      </w:r>
      <w:r w:rsidR="009452FE">
        <w:t xml:space="preserve">are better recalled when the stimuli are more easily verbally recoded (see also </w:t>
      </w:r>
      <w:proofErr w:type="spellStart"/>
      <w:r w:rsidR="009452FE">
        <w:t>Mammarella</w:t>
      </w:r>
      <w:proofErr w:type="spellEnd"/>
      <w:r w:rsidR="009452FE">
        <w:t>,</w:t>
      </w:r>
      <w:r w:rsidR="009452FE" w:rsidRPr="008C247E">
        <w:t xml:space="preserve"> </w:t>
      </w:r>
      <w:proofErr w:type="spellStart"/>
      <w:r w:rsidR="009452FE" w:rsidRPr="008C247E">
        <w:t>Giofre</w:t>
      </w:r>
      <w:proofErr w:type="spellEnd"/>
      <w:r w:rsidR="009452FE" w:rsidRPr="008C247E">
        <w:t xml:space="preserve">, </w:t>
      </w:r>
      <w:proofErr w:type="spellStart"/>
      <w:r w:rsidR="009452FE" w:rsidRPr="008C247E">
        <w:t>Caviola</w:t>
      </w:r>
      <w:proofErr w:type="spellEnd"/>
      <w:r w:rsidR="009452FE" w:rsidRPr="008C247E">
        <w:t xml:space="preserve">, </w:t>
      </w:r>
      <w:proofErr w:type="spellStart"/>
      <w:r w:rsidR="009452FE" w:rsidRPr="008C247E">
        <w:t>Cornoldi</w:t>
      </w:r>
      <w:proofErr w:type="spellEnd"/>
      <w:r w:rsidR="009452FE" w:rsidRPr="008C247E">
        <w:t>, &amp; Hamilton</w:t>
      </w:r>
      <w:r w:rsidR="009452FE">
        <w:t>, 2014;</w:t>
      </w:r>
      <w:r w:rsidR="009452FE" w:rsidRPr="003C631B">
        <w:t xml:space="preserve"> </w:t>
      </w:r>
      <w:proofErr w:type="spellStart"/>
      <w:r w:rsidR="009452FE" w:rsidRPr="003C631B">
        <w:t>Postle</w:t>
      </w:r>
      <w:proofErr w:type="spellEnd"/>
      <w:r w:rsidR="009452FE" w:rsidRPr="003C631B">
        <w:t xml:space="preserve">, &amp; </w:t>
      </w:r>
      <w:proofErr w:type="spellStart"/>
      <w:r w:rsidR="009452FE" w:rsidRPr="003C631B">
        <w:t>Hamidi</w:t>
      </w:r>
      <w:proofErr w:type="spellEnd"/>
      <w:r w:rsidR="009452FE">
        <w:t xml:space="preserve">, 2007; Orme, 2009, for a matrix recognition task). Although the stimuli were simple matrix patterns, the participants’ verbal labels corresponded not only to relatively basic shapes or symbols (e.g., ‘the letter L’, ‘a rectangle’, ‘a diamond’) but also to more elaborate, complex </w:t>
      </w:r>
      <w:r w:rsidR="00D52887">
        <w:t xml:space="preserve">configurations </w:t>
      </w:r>
      <w:r w:rsidR="009452FE">
        <w:t>(e.g., ‘a face’, ‘steps’, animals)</w:t>
      </w:r>
      <w:r w:rsidR="00D52887">
        <w:t xml:space="preserve">, </w:t>
      </w:r>
      <w:r w:rsidR="009452FE">
        <w:t>suggest</w:t>
      </w:r>
      <w:r w:rsidR="00D52887">
        <w:t>ing</w:t>
      </w:r>
      <w:r w:rsidR="009452FE">
        <w:t xml:space="preserve"> that the stimuli were being semantically elaborated. Brown and Wesley (2013) investigated the working memory components that underlie the effect, and found that the benefit associated with increased </w:t>
      </w:r>
      <w:r>
        <w:t xml:space="preserve">verbalization </w:t>
      </w:r>
      <w:r w:rsidR="009452FE">
        <w:t xml:space="preserve">was not removed by articulatory suppression. They argued that, rather than explicit verbal recoding and rehearsal taking place </w:t>
      </w:r>
      <w:r w:rsidR="00D41F13">
        <w:t>with</w:t>
      </w:r>
      <w:r w:rsidR="009452FE">
        <w:t xml:space="preserve">in working memory, it is more likely that </w:t>
      </w:r>
      <w:r w:rsidR="009452FE" w:rsidRPr="00ED3A7F">
        <w:t xml:space="preserve">the </w:t>
      </w:r>
      <w:r w:rsidR="00AD2EEC" w:rsidRPr="00AD2EEC">
        <w:t xml:space="preserve">source of the enhancement </w:t>
      </w:r>
      <w:r w:rsidR="00AD2EEC">
        <w:t xml:space="preserve">is the </w:t>
      </w:r>
      <w:r w:rsidR="009452FE" w:rsidRPr="00ED3A7F">
        <w:t>activation of semantic concepts</w:t>
      </w:r>
      <w:r w:rsidR="007E7533">
        <w:t xml:space="preserve"> (i.e., meaning</w:t>
      </w:r>
      <w:r w:rsidR="00A815D7">
        <w:t xml:space="preserve">; </w:t>
      </w:r>
      <w:r w:rsidR="009452FE" w:rsidRPr="00DC5B1C">
        <w:t xml:space="preserve">Darling, Allen, </w:t>
      </w:r>
      <w:proofErr w:type="spellStart"/>
      <w:r w:rsidR="009452FE" w:rsidRPr="00DC5B1C">
        <w:t>Havelka</w:t>
      </w:r>
      <w:proofErr w:type="spellEnd"/>
      <w:r w:rsidR="009452FE" w:rsidRPr="00DC5B1C">
        <w:t>, Campbell, &amp; Rattray, 2012</w:t>
      </w:r>
      <w:r w:rsidR="009452FE">
        <w:t xml:space="preserve">; Orme, 2009; </w:t>
      </w:r>
      <w:proofErr w:type="spellStart"/>
      <w:r w:rsidR="009452FE" w:rsidRPr="00DC5B1C">
        <w:t>Postle</w:t>
      </w:r>
      <w:proofErr w:type="spellEnd"/>
      <w:r w:rsidR="009452FE" w:rsidRPr="00DC5B1C">
        <w:t xml:space="preserve">, </w:t>
      </w:r>
      <w:proofErr w:type="spellStart"/>
      <w:r w:rsidR="009452FE" w:rsidRPr="00DC5B1C">
        <w:t>D’esposito</w:t>
      </w:r>
      <w:proofErr w:type="spellEnd"/>
      <w:r w:rsidR="009452FE" w:rsidRPr="00DC5B1C">
        <w:t xml:space="preserve">, &amp; </w:t>
      </w:r>
      <w:proofErr w:type="spellStart"/>
      <w:r w:rsidR="009452FE" w:rsidRPr="00DC5B1C">
        <w:t>Corkin</w:t>
      </w:r>
      <w:proofErr w:type="spellEnd"/>
      <w:r w:rsidR="009452FE">
        <w:t xml:space="preserve">, 2005). </w:t>
      </w:r>
    </w:p>
    <w:p w14:paraId="56623BAC" w14:textId="77777777" w:rsidR="00572F0E" w:rsidRDefault="00572F0E" w:rsidP="00DF3FA4">
      <w:pPr>
        <w:spacing w:line="480" w:lineRule="auto"/>
      </w:pPr>
    </w:p>
    <w:p w14:paraId="55C500D4" w14:textId="035424D6" w:rsidR="00531053" w:rsidRDefault="00D41F13" w:rsidP="007E7533">
      <w:pPr>
        <w:spacing w:line="480" w:lineRule="auto"/>
      </w:pPr>
      <w:r>
        <w:t>Indeed, t</w:t>
      </w:r>
      <w:r w:rsidR="007E7533">
        <w:t>heoretically, i</w:t>
      </w:r>
      <w:r w:rsidR="00234BF0">
        <w:t>t is argued that s</w:t>
      </w:r>
      <w:r w:rsidR="002C51B3">
        <w:t xml:space="preserve">tored knowledge may be temporarily activated or explicitly drawn upon in order to support working memory capacity. For example, </w:t>
      </w:r>
      <w:proofErr w:type="spellStart"/>
      <w:r w:rsidR="00B414ED">
        <w:t>L</w:t>
      </w:r>
      <w:r w:rsidR="002C51B3">
        <w:t>ogie’s</w:t>
      </w:r>
      <w:proofErr w:type="spellEnd"/>
      <w:r w:rsidR="002C51B3">
        <w:t xml:space="preserve"> </w:t>
      </w:r>
      <w:r w:rsidR="008275F5">
        <w:t>(201</w:t>
      </w:r>
      <w:r w:rsidR="00A139AC">
        <w:t>1</w:t>
      </w:r>
      <w:r w:rsidR="008275F5">
        <w:t xml:space="preserve">) </w:t>
      </w:r>
      <w:r w:rsidR="002C51B3">
        <w:t>workspace model states t</w:t>
      </w:r>
      <w:r w:rsidR="00B414ED">
        <w:t>hat information enter</w:t>
      </w:r>
      <w:r w:rsidR="002C51B3">
        <w:t>s</w:t>
      </w:r>
      <w:r w:rsidR="00B414ED">
        <w:t xml:space="preserve"> the working memory </w:t>
      </w:r>
      <w:r w:rsidR="00B414ED">
        <w:lastRenderedPageBreak/>
        <w:t xml:space="preserve">system </w:t>
      </w:r>
      <w:r w:rsidR="002C51B3">
        <w:t xml:space="preserve">via long-term stores, </w:t>
      </w:r>
      <w:r w:rsidR="00671E04">
        <w:t xml:space="preserve">which can </w:t>
      </w:r>
      <w:r w:rsidR="00ED3A7F">
        <w:t xml:space="preserve">automatically </w:t>
      </w:r>
      <w:r w:rsidR="00671E04">
        <w:t xml:space="preserve">activate relevant semantic knowledge. The </w:t>
      </w:r>
      <w:r w:rsidR="000D5F22">
        <w:t xml:space="preserve">novel and activated </w:t>
      </w:r>
      <w:r w:rsidR="00671E04">
        <w:t>material</w:t>
      </w:r>
      <w:r w:rsidR="000D5F22">
        <w:t xml:space="preserve"> </w:t>
      </w:r>
      <w:r w:rsidR="00671E04">
        <w:t>is then</w:t>
      </w:r>
      <w:r w:rsidR="002C51B3">
        <w:t xml:space="preserve"> stored in specialised temporary components</w:t>
      </w:r>
      <w:r w:rsidR="00671E04">
        <w:t xml:space="preserve"> and can be actively refreshed or manipulated, using executive processing resources.</w:t>
      </w:r>
      <w:r w:rsidR="00ED3A7F">
        <w:t xml:space="preserve"> Executive resources could also be used to draw upon long-term knowledge more actively/strategically.</w:t>
      </w:r>
      <w:r w:rsidR="008275F5">
        <w:t xml:space="preserve"> Therefore, </w:t>
      </w:r>
      <w:r w:rsidR="00CF63B0">
        <w:t>semantic</w:t>
      </w:r>
      <w:r w:rsidR="00322786">
        <w:t xml:space="preserve"> activation may occur automatically at encoding, or strategically using executive resources (</w:t>
      </w:r>
      <w:proofErr w:type="spellStart"/>
      <w:r w:rsidR="00322786">
        <w:t>Logie</w:t>
      </w:r>
      <w:proofErr w:type="spellEnd"/>
      <w:r w:rsidR="00322786">
        <w:t xml:space="preserve">, 2011). </w:t>
      </w:r>
      <w:r w:rsidR="00CF63B0">
        <w:t xml:space="preserve">By considering </w:t>
      </w:r>
      <w:r w:rsidR="006A1B00">
        <w:t xml:space="preserve">participants’ reported </w:t>
      </w:r>
      <w:r w:rsidR="00CF63B0">
        <w:t>strateg</w:t>
      </w:r>
      <w:r w:rsidR="006A1B00">
        <w:t xml:space="preserve">y use </w:t>
      </w:r>
      <w:r w:rsidR="00CF63B0">
        <w:t xml:space="preserve">after task completion, </w:t>
      </w:r>
      <w:r w:rsidR="00322786">
        <w:t xml:space="preserve">Brown and Wesley </w:t>
      </w:r>
      <w:r w:rsidR="00CF63B0">
        <w:t xml:space="preserve">(2013) </w:t>
      </w:r>
      <w:r w:rsidR="00322786">
        <w:t xml:space="preserve">suggested that automatic </w:t>
      </w:r>
      <w:r w:rsidR="00CF63B0">
        <w:t xml:space="preserve">semantic </w:t>
      </w:r>
      <w:r w:rsidR="00322786">
        <w:t>activation</w:t>
      </w:r>
      <w:r w:rsidR="00CF63B0">
        <w:t xml:space="preserve"> may </w:t>
      </w:r>
      <w:r w:rsidR="00237C66">
        <w:t xml:space="preserve">indeed </w:t>
      </w:r>
      <w:r w:rsidR="00322786">
        <w:t>occu</w:t>
      </w:r>
      <w:r w:rsidR="00ED3A7F">
        <w:t>r. T</w:t>
      </w:r>
      <w:r w:rsidR="00322786">
        <w:t xml:space="preserve">hose </w:t>
      </w:r>
      <w:r w:rsidR="00ED3A7F">
        <w:t xml:space="preserve">participants </w:t>
      </w:r>
      <w:r w:rsidR="00322786">
        <w:t>who did not report actively using mixed (visual</w:t>
      </w:r>
      <w:r w:rsidR="00ED3A7F">
        <w:t xml:space="preserve"> and verbal-related) strategies exhibited smaller capacity than those who did report using a mixed strategy, </w:t>
      </w:r>
      <w:r w:rsidR="00237C66">
        <w:t xml:space="preserve">specifically </w:t>
      </w:r>
      <w:r w:rsidR="00ED3A7F">
        <w:t xml:space="preserve">in the low semantic task. </w:t>
      </w:r>
      <w:r w:rsidR="00CF63B0">
        <w:t>Thus</w:t>
      </w:r>
      <w:r w:rsidR="00ED3A7F">
        <w:t>, the non-strategic group showed a</w:t>
      </w:r>
      <w:r w:rsidR="00237C66">
        <w:t xml:space="preserve"> disproportionately</w:t>
      </w:r>
      <w:r w:rsidR="00ED3A7F">
        <w:t xml:space="preserve"> l</w:t>
      </w:r>
      <w:r w:rsidR="008C3A2A">
        <w:t>arger</w:t>
      </w:r>
      <w:r w:rsidR="00ED3A7F">
        <w:t xml:space="preserve"> benefit</w:t>
      </w:r>
      <w:r w:rsidR="00237C66">
        <w:t xml:space="preserve"> of the</w:t>
      </w:r>
      <w:r w:rsidR="00322786">
        <w:t xml:space="preserve"> high </w:t>
      </w:r>
      <w:r w:rsidR="00ED3A7F">
        <w:t>semantic</w:t>
      </w:r>
      <w:r w:rsidR="008C3A2A">
        <w:t xml:space="preserve"> stimuli</w:t>
      </w:r>
      <w:r w:rsidR="00CF63B0">
        <w:t>, suggesting automatic activation of semantics</w:t>
      </w:r>
      <w:r w:rsidR="00A815D7">
        <w:t xml:space="preserve"> (Riby &amp; Orme, 2013)</w:t>
      </w:r>
      <w:r w:rsidR="00322786">
        <w:t xml:space="preserve">. </w:t>
      </w:r>
      <w:r w:rsidR="00A815D7" w:rsidRPr="00A815D7">
        <w:t>However, suppression of executive resources (using random spatial tapping) was also found to remove the semantic benefit. Therefore, it was additionally argued that even when semantics are automatically activated, executive processes can be used by actively encoding the semantics with the novel pattern configurations, actively combining semantic and</w:t>
      </w:r>
      <w:r w:rsidR="00A815D7">
        <w:t xml:space="preserve"> novel material, and/</w:t>
      </w:r>
      <w:r w:rsidR="00A815D7" w:rsidRPr="00A815D7">
        <w:t>or actively drawing upon the semantic context at recall (</w:t>
      </w:r>
      <w:proofErr w:type="spellStart"/>
      <w:r w:rsidR="00A815D7" w:rsidRPr="00A815D7">
        <w:t>Mammarella</w:t>
      </w:r>
      <w:proofErr w:type="spellEnd"/>
      <w:r w:rsidR="00A815D7" w:rsidRPr="00A815D7">
        <w:t xml:space="preserve"> et al., 2014). Furthermore, because the strategic group of participants </w:t>
      </w:r>
      <w:r w:rsidR="00ED697C" w:rsidRPr="00A815D7">
        <w:t>w</w:t>
      </w:r>
      <w:r w:rsidR="00ED697C">
        <w:t xml:space="preserve">as </w:t>
      </w:r>
      <w:r w:rsidR="00A815D7" w:rsidRPr="00A815D7">
        <w:t>able to perform well in the low semantic task, it seems that there is a role for executive resources being used actively to seek out meaning (i.e. to encode the information more actively/strategically</w:t>
      </w:r>
      <w:r w:rsidR="00A815D7">
        <w:t>; see also Riby &amp; Orme, 2013</w:t>
      </w:r>
      <w:r w:rsidR="00A815D7" w:rsidRPr="00A815D7">
        <w:t>). Thus, overall, there appear to be at least two mechanisms by which high meaningfulness can enhance temporary memory for visual stimuli – by automatic activation of semantics, and by active strategy use.</w:t>
      </w:r>
    </w:p>
    <w:p w14:paraId="01BDB869" w14:textId="77777777" w:rsidR="00531053" w:rsidRDefault="00531053" w:rsidP="00DF3FA4">
      <w:pPr>
        <w:spacing w:line="480" w:lineRule="auto"/>
      </w:pPr>
    </w:p>
    <w:p w14:paraId="66583D21" w14:textId="7A124303" w:rsidR="00AC17B9" w:rsidRDefault="00237C66" w:rsidP="00DF3FA4">
      <w:pPr>
        <w:spacing w:line="480" w:lineRule="auto"/>
      </w:pPr>
      <w:r>
        <w:t xml:space="preserve">In a similar context, Allen </w:t>
      </w:r>
      <w:r w:rsidR="005B560D">
        <w:t>and colleagues</w:t>
      </w:r>
      <w:r>
        <w:t xml:space="preserve"> </w:t>
      </w:r>
      <w:r w:rsidR="005B560D">
        <w:t xml:space="preserve">investigated the beneficial effect of meaningful spatial layouts </w:t>
      </w:r>
      <w:r>
        <w:t>(</w:t>
      </w:r>
      <w:r w:rsidR="005B560D">
        <w:t xml:space="preserve">a </w:t>
      </w:r>
      <w:r w:rsidR="003148B6">
        <w:t xml:space="preserve">well-known </w:t>
      </w:r>
      <w:r w:rsidR="005B560D">
        <w:t>keypad) for verbal working memory performance (</w:t>
      </w:r>
      <w:r>
        <w:t xml:space="preserve">Allen, </w:t>
      </w:r>
      <w:proofErr w:type="spellStart"/>
      <w:r w:rsidRPr="00237C66">
        <w:t>Havelka</w:t>
      </w:r>
      <w:proofErr w:type="spellEnd"/>
      <w:r w:rsidRPr="00237C66">
        <w:t>, Falcon, Evans, &amp; Darling</w:t>
      </w:r>
      <w:r>
        <w:t>, 2015</w:t>
      </w:r>
      <w:r w:rsidR="005B560D">
        <w:t xml:space="preserve">; see also, Darling &amp; </w:t>
      </w:r>
      <w:proofErr w:type="spellStart"/>
      <w:r w:rsidR="005B560D">
        <w:t>Havelka</w:t>
      </w:r>
      <w:proofErr w:type="spellEnd"/>
      <w:r w:rsidR="005B560D">
        <w:t xml:space="preserve">, 2010; Darling et al., 2012). Allen et al. </w:t>
      </w:r>
      <w:r>
        <w:t xml:space="preserve">showed that </w:t>
      </w:r>
      <w:r w:rsidR="00E84DB8">
        <w:t>spatial</w:t>
      </w:r>
      <w:r w:rsidR="005B560D" w:rsidRPr="005B560D">
        <w:t xml:space="preserve"> interference </w:t>
      </w:r>
      <w:r w:rsidR="005B560D">
        <w:t xml:space="preserve">during </w:t>
      </w:r>
      <w:r>
        <w:t>the encoding phase</w:t>
      </w:r>
      <w:r w:rsidR="005B560D">
        <w:t>, but not the recall phase, removed the positive effect</w:t>
      </w:r>
      <w:r>
        <w:t xml:space="preserve"> of</w:t>
      </w:r>
      <w:r w:rsidR="005B560D">
        <w:t xml:space="preserve"> spatial semantics. They argued that </w:t>
      </w:r>
      <w:r>
        <w:t xml:space="preserve">the </w:t>
      </w:r>
      <w:r w:rsidR="001739C4">
        <w:t>critical</w:t>
      </w:r>
      <w:r>
        <w:t xml:space="preserve"> phase for</w:t>
      </w:r>
      <w:r w:rsidR="005B560D">
        <w:t xml:space="preserve"> </w:t>
      </w:r>
      <w:r>
        <w:t>multimodal processing</w:t>
      </w:r>
      <w:r w:rsidR="005B560D">
        <w:t xml:space="preserve">, then, </w:t>
      </w:r>
      <w:r w:rsidR="001739C4">
        <w:t>is</w:t>
      </w:r>
      <w:r w:rsidR="005B560D">
        <w:t xml:space="preserve"> encoding</w:t>
      </w:r>
      <w:r w:rsidR="00E84DB8">
        <w:t>. This leaves</w:t>
      </w:r>
      <w:r w:rsidR="005B560D">
        <w:t xml:space="preserve"> open the possibility that </w:t>
      </w:r>
      <w:r w:rsidR="00E84DB8">
        <w:t xml:space="preserve">meaningfully encoded information </w:t>
      </w:r>
      <w:r w:rsidR="005B560D">
        <w:t xml:space="preserve">is </w:t>
      </w:r>
      <w:r w:rsidR="001739C4">
        <w:t xml:space="preserve">more </w:t>
      </w:r>
      <w:r w:rsidR="00E84DB8">
        <w:t xml:space="preserve">readily accessible </w:t>
      </w:r>
      <w:r w:rsidR="00E84DB8" w:rsidRPr="00E84DB8">
        <w:t>at recall</w:t>
      </w:r>
      <w:r w:rsidR="00FA6281">
        <w:t>, given that any required multi</w:t>
      </w:r>
      <w:r w:rsidR="00E84DB8">
        <w:t xml:space="preserve">modal processing </w:t>
      </w:r>
      <w:r w:rsidR="001739C4">
        <w:t>will, typically, already</w:t>
      </w:r>
      <w:r w:rsidR="00E84DB8">
        <w:t xml:space="preserve"> have taken place</w:t>
      </w:r>
      <w:r w:rsidR="005B560D">
        <w:t>.</w:t>
      </w:r>
      <w:r w:rsidR="00FA6281">
        <w:t xml:space="preserve"> Indeed, multiple component models of working memory suggest that conscious access to multimodal material stored in working memory may be achieved via an episodic buffer</w:t>
      </w:r>
      <w:r w:rsidR="00FA6281" w:rsidRPr="00FA6281">
        <w:t xml:space="preserve"> </w:t>
      </w:r>
      <w:r w:rsidR="00FA6281">
        <w:t xml:space="preserve">component (Baddeley, 2000, 2012; Baddeley, Allen, &amp; Hitch, 2011; </w:t>
      </w:r>
      <w:proofErr w:type="spellStart"/>
      <w:r w:rsidR="00FA6281">
        <w:t>Logie</w:t>
      </w:r>
      <w:proofErr w:type="spellEnd"/>
      <w:r w:rsidR="00FA6281">
        <w:t xml:space="preserve">, 2011). This buffer brings together material across working memory components, and between working memory and long-term memory. In the context of visual working memory performance, Hu, Allen, Baddeley, and Hitch (2016) have recently described this buffer as resulting in </w:t>
      </w:r>
      <w:r w:rsidR="00FA6281" w:rsidRPr="00FA6281">
        <w:t xml:space="preserve">a </w:t>
      </w:r>
      <w:r w:rsidR="00FA6281" w:rsidRPr="00FA6281">
        <w:rPr>
          <w:i/>
        </w:rPr>
        <w:t>privileged state</w:t>
      </w:r>
      <w:r w:rsidR="00FA6281" w:rsidRPr="00FA6281">
        <w:t xml:space="preserve"> in working memory</w:t>
      </w:r>
      <w:r w:rsidR="00531053">
        <w:t>. It</w:t>
      </w:r>
      <w:r w:rsidR="00FA6281">
        <w:t xml:space="preserve"> allows direct conscious access to stored information, but is </w:t>
      </w:r>
      <w:r w:rsidR="00FA6281" w:rsidRPr="00FA6281">
        <w:t xml:space="preserve">also </w:t>
      </w:r>
      <w:r w:rsidR="00FA6281">
        <w:t xml:space="preserve">intimately related to both top-down (e.g. </w:t>
      </w:r>
      <w:r w:rsidR="00676071">
        <w:t xml:space="preserve">goal-directed </w:t>
      </w:r>
      <w:r w:rsidR="00FA6281">
        <w:t>prioritisation) and bottom-up attention processes</w:t>
      </w:r>
      <w:r w:rsidR="00E35C27">
        <w:t>.</w:t>
      </w:r>
      <w:r w:rsidR="00861497">
        <w:t xml:space="preserve"> Thus, emerging evidence suggests a key role for activated semantics to boost visual working memory capacity. Executive resources also seem to be intimately involved in visual working memory performance</w:t>
      </w:r>
      <w:r w:rsidR="003148B6">
        <w:t xml:space="preserve"> and, w</w:t>
      </w:r>
      <w:r w:rsidR="00861497">
        <w:t>hile executive input</w:t>
      </w:r>
      <w:r w:rsidR="003F22BA">
        <w:t xml:space="preserve"> may be</w:t>
      </w:r>
      <w:r w:rsidR="00861497">
        <w:t xml:space="preserve"> particularly important at encoding, less is known about the </w:t>
      </w:r>
      <w:r w:rsidR="003148B6">
        <w:t xml:space="preserve">retrieval </w:t>
      </w:r>
      <w:r w:rsidR="00861497">
        <w:t xml:space="preserve">processes that could </w:t>
      </w:r>
      <w:r w:rsidR="003148B6">
        <w:t>contribute to</w:t>
      </w:r>
      <w:r w:rsidR="00861497">
        <w:t xml:space="preserve"> </w:t>
      </w:r>
      <w:r w:rsidR="003148B6">
        <w:t xml:space="preserve">visual working memory </w:t>
      </w:r>
      <w:r w:rsidR="00861497">
        <w:t xml:space="preserve">recall when semantic context is </w:t>
      </w:r>
      <w:r w:rsidR="003F22BA">
        <w:t>manipulated</w:t>
      </w:r>
      <w:r w:rsidR="00861497">
        <w:t>.</w:t>
      </w:r>
    </w:p>
    <w:p w14:paraId="622E028A" w14:textId="77777777" w:rsidR="003E2205" w:rsidRDefault="003E2205" w:rsidP="00DF3FA4">
      <w:pPr>
        <w:spacing w:line="480" w:lineRule="auto"/>
      </w:pPr>
    </w:p>
    <w:p w14:paraId="1A245A07" w14:textId="77777777" w:rsidR="001D516C" w:rsidRPr="00B6722E" w:rsidRDefault="001D516C" w:rsidP="00DF3FA4">
      <w:pPr>
        <w:spacing w:line="480" w:lineRule="auto"/>
        <w:rPr>
          <w:i/>
        </w:rPr>
      </w:pPr>
      <w:r w:rsidRPr="00B6722E">
        <w:rPr>
          <w:i/>
        </w:rPr>
        <w:lastRenderedPageBreak/>
        <w:t>Event-related potential correlates of recollection and retrieval monitoring</w:t>
      </w:r>
    </w:p>
    <w:p w14:paraId="7D12F547" w14:textId="29965ECB" w:rsidR="000A4384" w:rsidRDefault="00570051" w:rsidP="00DF3FA4">
      <w:pPr>
        <w:spacing w:line="480" w:lineRule="auto"/>
      </w:pPr>
      <w:r>
        <w:t xml:space="preserve">The present study takes advantage of an event-related potential paradigm to investigate the potential involvement of </w:t>
      </w:r>
      <w:r w:rsidR="00130A7D">
        <w:t>episodic</w:t>
      </w:r>
      <w:r>
        <w:t xml:space="preserve"> memory processes </w:t>
      </w:r>
      <w:r w:rsidR="008120AC">
        <w:t>at the</w:t>
      </w:r>
      <w:r>
        <w:t xml:space="preserve"> retrieval </w:t>
      </w:r>
      <w:r w:rsidR="008120AC">
        <w:t xml:space="preserve">stage of </w:t>
      </w:r>
      <w:r>
        <w:t xml:space="preserve">a visual working memory task involving low </w:t>
      </w:r>
      <w:r w:rsidR="008120AC">
        <w:t>and</w:t>
      </w:r>
      <w:r>
        <w:t xml:space="preserve"> high semantic content. </w:t>
      </w:r>
      <w:r w:rsidR="000A4384">
        <w:t>When studying retrieval of words in a</w:t>
      </w:r>
      <w:r w:rsidR="008120AC">
        <w:t xml:space="preserve"> typical</w:t>
      </w:r>
      <w:r w:rsidR="000A4384">
        <w:t xml:space="preserve"> old/new episodic memory paradigm, it has been proposed that processing new words primarily activates semantic memory, whereas </w:t>
      </w:r>
      <w:r w:rsidR="00176883">
        <w:t xml:space="preserve">successful </w:t>
      </w:r>
      <w:r w:rsidR="000A4384">
        <w:t xml:space="preserve">retrieval </w:t>
      </w:r>
      <w:r w:rsidR="00E35C27">
        <w:t xml:space="preserve">of </w:t>
      </w:r>
      <w:r w:rsidR="000A4384">
        <w:t>old words require</w:t>
      </w:r>
      <w:r w:rsidR="00E35C27">
        <w:t>s</w:t>
      </w:r>
      <w:r w:rsidR="000A4384">
        <w:t xml:space="preserve"> episodic memory. The latter of these </w:t>
      </w:r>
      <w:r w:rsidR="00BA2944">
        <w:t>results in an enhanced PE</w:t>
      </w:r>
      <w:r w:rsidR="000A4384">
        <w:t xml:space="preserve"> component between 400 and 800ms</w:t>
      </w:r>
      <w:r w:rsidR="00E70991">
        <w:t xml:space="preserve"> (see Friedman </w:t>
      </w:r>
      <w:r w:rsidR="00A139AC">
        <w:t xml:space="preserve">&amp; </w:t>
      </w:r>
      <w:r w:rsidR="00E70991">
        <w:t xml:space="preserve">Johnson, </w:t>
      </w:r>
      <w:r w:rsidR="000A4384">
        <w:t>2000</w:t>
      </w:r>
      <w:r w:rsidR="00E70991">
        <w:t xml:space="preserve">). </w:t>
      </w:r>
      <w:r w:rsidR="000A4384">
        <w:t xml:space="preserve">This component has been found to be enhanced when items are being consciously remembered (Smith, 1993), and when the encoding context is retrieved (e.g. </w:t>
      </w:r>
      <w:r w:rsidR="00176883">
        <w:t>Wilding, 2000</w:t>
      </w:r>
      <w:r w:rsidR="003F22BA">
        <w:t>;</w:t>
      </w:r>
      <w:r w:rsidR="003F22BA" w:rsidRPr="003F22BA">
        <w:t xml:space="preserve"> </w:t>
      </w:r>
      <w:r w:rsidR="003F22BA">
        <w:t xml:space="preserve">Wilding &amp; </w:t>
      </w:r>
      <w:proofErr w:type="spellStart"/>
      <w:r w:rsidR="003F22BA">
        <w:t>Rugg</w:t>
      </w:r>
      <w:proofErr w:type="spellEnd"/>
      <w:r w:rsidR="003F22BA">
        <w:t>, 1996</w:t>
      </w:r>
      <w:r w:rsidR="000A4384">
        <w:t>)</w:t>
      </w:r>
      <w:r w:rsidR="008B0958">
        <w:t>, supporting</w:t>
      </w:r>
      <w:r w:rsidR="00BA2944">
        <w:t xml:space="preserve"> the view that the PE</w:t>
      </w:r>
      <w:r w:rsidR="00751D5C">
        <w:t xml:space="preserve"> </w:t>
      </w:r>
      <w:r w:rsidR="000A4384">
        <w:t>component is an index of successful recollection</w:t>
      </w:r>
      <w:r w:rsidR="00343927">
        <w:t>.</w:t>
      </w:r>
    </w:p>
    <w:p w14:paraId="5B589EB3" w14:textId="77777777" w:rsidR="00E70991" w:rsidRDefault="00E70991" w:rsidP="00DF3FA4">
      <w:pPr>
        <w:spacing w:line="480" w:lineRule="auto"/>
      </w:pPr>
    </w:p>
    <w:p w14:paraId="2B38C597" w14:textId="3D19D6DF" w:rsidR="00E31DB8" w:rsidRDefault="00E70991" w:rsidP="00DF3FA4">
      <w:pPr>
        <w:spacing w:line="480" w:lineRule="auto"/>
      </w:pPr>
      <w:r>
        <w:t xml:space="preserve">In addition to successful recollection, two further components have been identified which index post-retrieval processes. The first of these is the late right-frontal effect which has been reported to reflect </w:t>
      </w:r>
      <w:r w:rsidR="00E31DB8">
        <w:t>confidence in source judgements in old/new paradigms (Cruse &amp; Wilding, 2009). However, of particular relevance to the current study, t</w:t>
      </w:r>
      <w:r w:rsidR="00176883">
        <w:t>he</w:t>
      </w:r>
      <w:r w:rsidR="008B0958">
        <w:t xml:space="preserve"> </w:t>
      </w:r>
      <w:r w:rsidR="00E31DB8">
        <w:t xml:space="preserve">aforementioned </w:t>
      </w:r>
      <w:r w:rsidR="00BA2944">
        <w:t>PE</w:t>
      </w:r>
      <w:r w:rsidR="00751D5C">
        <w:t xml:space="preserve"> </w:t>
      </w:r>
      <w:r w:rsidR="00176883">
        <w:t>component is often observed in conjunction with a late posterior negativity</w:t>
      </w:r>
      <w:r w:rsidR="00751D5C">
        <w:t xml:space="preserve"> (LPN)</w:t>
      </w:r>
      <w:r w:rsidR="008B0958">
        <w:t xml:space="preserve">, </w:t>
      </w:r>
      <w:r w:rsidR="00176883">
        <w:t xml:space="preserve">which is </w:t>
      </w:r>
      <w:r w:rsidR="00E31DB8">
        <w:t>specifically</w:t>
      </w:r>
      <w:r w:rsidR="00176883">
        <w:t xml:space="preserve"> enhanced following successful recognition of old items. The onset of this negative component immediately follows the </w:t>
      </w:r>
      <w:r w:rsidR="001B4F67">
        <w:t>participant’s</w:t>
      </w:r>
      <w:r w:rsidR="00176883">
        <w:t xml:space="preserve"> response, and is sustained for some time. Johansson </w:t>
      </w:r>
      <w:r w:rsidR="00342F7B">
        <w:t xml:space="preserve">and </w:t>
      </w:r>
      <w:proofErr w:type="spellStart"/>
      <w:r w:rsidR="00176883">
        <w:t>Mecklinger</w:t>
      </w:r>
      <w:proofErr w:type="spellEnd"/>
      <w:r w:rsidR="00176883">
        <w:t xml:space="preserve"> (2003) review</w:t>
      </w:r>
      <w:r w:rsidR="00342F7B">
        <w:t>ed</w:t>
      </w:r>
      <w:r w:rsidR="00176883">
        <w:t xml:space="preserve"> </w:t>
      </w:r>
      <w:r w:rsidR="001B4F67">
        <w:t>studies in which this component is observed and conclude</w:t>
      </w:r>
      <w:r w:rsidR="00342F7B">
        <w:t>d</w:t>
      </w:r>
      <w:r w:rsidR="001B4F67">
        <w:t xml:space="preserve"> that the </w:t>
      </w:r>
      <w:r w:rsidR="00751D5C">
        <w:t>LPN</w:t>
      </w:r>
      <w:r w:rsidR="001B4F67">
        <w:t xml:space="preserve"> is associated with </w:t>
      </w:r>
      <w:r w:rsidR="005E32C6">
        <w:t xml:space="preserve">two potential retrieval processes. </w:t>
      </w:r>
      <w:r w:rsidR="00342F7B">
        <w:t>The first of these is</w:t>
      </w:r>
      <w:r w:rsidR="001B4F67">
        <w:t xml:space="preserve"> action monitoring</w:t>
      </w:r>
      <w:r w:rsidR="00342F7B">
        <w:t>,</w:t>
      </w:r>
      <w:r w:rsidR="001B4F67">
        <w:t xml:space="preserve"> due to </w:t>
      </w:r>
      <w:r w:rsidR="00D141DC">
        <w:t>conflict</w:t>
      </w:r>
      <w:r w:rsidR="001B4F67">
        <w:t xml:space="preserve"> during the recognition </w:t>
      </w:r>
      <w:r w:rsidR="00AB2F65">
        <w:t>judgement</w:t>
      </w:r>
      <w:r w:rsidR="005E32C6">
        <w:t xml:space="preserve">. Secondly, at retrieval, the </w:t>
      </w:r>
      <w:r w:rsidR="00751D5C">
        <w:t>LPN</w:t>
      </w:r>
      <w:r w:rsidR="005E32C6">
        <w:t xml:space="preserve"> may be generated as a result of the binding of sensory information and the </w:t>
      </w:r>
      <w:r w:rsidR="005E32C6">
        <w:lastRenderedPageBreak/>
        <w:t xml:space="preserve">use of imagery. More specifically, the amplitude of the component may be determined by how readily this representation is generated, and the individuals’ confidence in the memory decision. This suggests that the </w:t>
      </w:r>
      <w:r w:rsidR="00751D5C">
        <w:t>LPN</w:t>
      </w:r>
      <w:r w:rsidR="005E32C6">
        <w:t xml:space="preserve"> may facilitate further examination of the memory representation, and validation of the response where uncertainty exists.</w:t>
      </w:r>
      <w:r w:rsidR="00A37939">
        <w:t xml:space="preserve"> </w:t>
      </w:r>
      <w:r w:rsidR="00E31DB8">
        <w:t xml:space="preserve">In a more recent review, </w:t>
      </w:r>
      <w:proofErr w:type="spellStart"/>
      <w:r w:rsidR="00E31DB8">
        <w:t>Mecklinger</w:t>
      </w:r>
      <w:proofErr w:type="spellEnd"/>
      <w:r w:rsidR="00E31DB8">
        <w:t xml:space="preserve">, </w:t>
      </w:r>
      <w:proofErr w:type="spellStart"/>
      <w:r w:rsidR="00E31DB8">
        <w:t>Rosburg</w:t>
      </w:r>
      <w:proofErr w:type="spellEnd"/>
      <w:r w:rsidR="00E31DB8">
        <w:t xml:space="preserve"> and Johansson (2016) discuss</w:t>
      </w:r>
      <w:r w:rsidR="00342F7B">
        <w:t>ed</w:t>
      </w:r>
      <w:r w:rsidR="00E31DB8">
        <w:t xml:space="preserve"> the localisation of the </w:t>
      </w:r>
      <w:r w:rsidR="00751D5C">
        <w:t>LPN</w:t>
      </w:r>
      <w:r w:rsidR="00E31DB8">
        <w:t xml:space="preserve">, concluding that </w:t>
      </w:r>
      <w:r w:rsidR="00B032A0">
        <w:t>any</w:t>
      </w:r>
      <w:r w:rsidR="00E31DB8">
        <w:t xml:space="preserve"> topographical differences observed within</w:t>
      </w:r>
      <w:r w:rsidR="00751D5C">
        <w:t xml:space="preserve"> and </w:t>
      </w:r>
      <w:r w:rsidR="00E31DB8">
        <w:t xml:space="preserve">between studies is unlikely to be attributed to task modality, but rather the need for higher cognitive control processes in some paradigms. In </w:t>
      </w:r>
      <w:r w:rsidR="00F92CA7">
        <w:t>such tasks</w:t>
      </w:r>
      <w:r w:rsidR="00E31DB8">
        <w:t xml:space="preserve">, the distribution of the late posterior negativity may be more anterior. </w:t>
      </w:r>
      <w:r w:rsidR="004013E1">
        <w:t>This highlights the importance of</w:t>
      </w:r>
      <w:r w:rsidR="00130A7D">
        <w:t xml:space="preserve"> </w:t>
      </w:r>
      <w:r w:rsidR="004013E1">
        <w:t>investigating</w:t>
      </w:r>
      <w:r w:rsidR="00130A7D">
        <w:t xml:space="preserve"> the extent to which these processes may also be involved in working memory retrieval.</w:t>
      </w:r>
    </w:p>
    <w:p w14:paraId="3C0100D5" w14:textId="77777777" w:rsidR="005E32C6" w:rsidRDefault="005E32C6" w:rsidP="00DF3FA4">
      <w:pPr>
        <w:spacing w:line="480" w:lineRule="auto"/>
      </w:pPr>
    </w:p>
    <w:p w14:paraId="70D218AC" w14:textId="77777777" w:rsidR="001D516C" w:rsidRPr="00B6722E" w:rsidRDefault="001D516C" w:rsidP="00DF3FA4">
      <w:pPr>
        <w:spacing w:line="480" w:lineRule="auto"/>
        <w:rPr>
          <w:i/>
        </w:rPr>
      </w:pPr>
      <w:r w:rsidRPr="00B6722E">
        <w:rPr>
          <w:i/>
        </w:rPr>
        <w:t>Commonalities between episodic memory and working memory retrieval</w:t>
      </w:r>
    </w:p>
    <w:p w14:paraId="47097C97" w14:textId="1B096A6B" w:rsidR="00343927" w:rsidRDefault="003245A9" w:rsidP="00DF3FA4">
      <w:pPr>
        <w:spacing w:line="480" w:lineRule="auto"/>
      </w:pPr>
      <w:r>
        <w:t>T</w:t>
      </w:r>
      <w:r w:rsidR="000C121A">
        <w:t>here ha</w:t>
      </w:r>
      <w:r w:rsidR="00B24925">
        <w:t xml:space="preserve">s been some consideration of a potential </w:t>
      </w:r>
      <w:r w:rsidR="000C121A">
        <w:t xml:space="preserve">overlap between episodic memory recollection and working memory processes. </w:t>
      </w:r>
      <w:proofErr w:type="spellStart"/>
      <w:r w:rsidR="00B24925">
        <w:t>Cabeza</w:t>
      </w:r>
      <w:proofErr w:type="spellEnd"/>
      <w:r w:rsidR="00B24925" w:rsidRPr="00B24925">
        <w:t xml:space="preserve"> </w:t>
      </w:r>
      <w:r w:rsidR="00B24925">
        <w:t>et al. (</w:t>
      </w:r>
      <w:r w:rsidR="00B24925" w:rsidRPr="00B24925">
        <w:t>2002</w:t>
      </w:r>
      <w:r w:rsidR="00B24925">
        <w:t xml:space="preserve">) argued that there is clearly some differential fMRI activation </w:t>
      </w:r>
      <w:r w:rsidR="00531053">
        <w:t xml:space="preserve">observed </w:t>
      </w:r>
      <w:r w:rsidR="00B24925">
        <w:t xml:space="preserve">within a </w:t>
      </w:r>
      <w:proofErr w:type="spellStart"/>
      <w:r w:rsidR="00B24925">
        <w:t>fronto</w:t>
      </w:r>
      <w:proofErr w:type="spellEnd"/>
      <w:r w:rsidR="00B24925">
        <w:t>-</w:t>
      </w:r>
      <w:proofErr w:type="spellStart"/>
      <w:r w:rsidR="00B24925">
        <w:t>parieto</w:t>
      </w:r>
      <w:proofErr w:type="spellEnd"/>
      <w:r w:rsidR="00B24925">
        <w:t>-c</w:t>
      </w:r>
      <w:r w:rsidR="00A37939">
        <w:t>er</w:t>
      </w:r>
      <w:r w:rsidR="00B24925">
        <w:t xml:space="preserve">ebellar neural network. </w:t>
      </w:r>
      <w:r w:rsidR="00531053">
        <w:t>Nevertheless</w:t>
      </w:r>
      <w:r w:rsidR="00B24925">
        <w:t xml:space="preserve">, episodic memory retrieval and working memory performance do elicit activation in some common brain regions, including bilateral </w:t>
      </w:r>
      <w:r w:rsidR="00110CE0">
        <w:t xml:space="preserve">superior </w:t>
      </w:r>
      <w:r w:rsidR="00B24925">
        <w:t xml:space="preserve">parietal cortex, which they suggested is attention-related. </w:t>
      </w:r>
      <w:r w:rsidR="00EB6357">
        <w:t xml:space="preserve">Furthermore, </w:t>
      </w:r>
      <w:proofErr w:type="spellStart"/>
      <w:r w:rsidR="00110CE0">
        <w:t>Cabeza</w:t>
      </w:r>
      <w:proofErr w:type="spellEnd"/>
      <w:r w:rsidR="00110CE0">
        <w:t xml:space="preserve"> et al. showed that inferior parietal cortex was more greatly activated by working memory than episodic retrieval</w:t>
      </w:r>
      <w:r w:rsidR="00EB6357">
        <w:t>.</w:t>
      </w:r>
      <w:r w:rsidR="00110CE0">
        <w:t xml:space="preserve"> </w:t>
      </w:r>
      <w:r w:rsidR="00EB6357">
        <w:t xml:space="preserve">Interestingly, </w:t>
      </w:r>
      <w:r w:rsidR="00531053">
        <w:t xml:space="preserve">however, </w:t>
      </w:r>
      <w:proofErr w:type="spellStart"/>
      <w:r w:rsidR="00110CE0" w:rsidRPr="00110CE0">
        <w:t>Vilberg</w:t>
      </w:r>
      <w:proofErr w:type="spellEnd"/>
      <w:r w:rsidR="00110CE0" w:rsidRPr="00110CE0">
        <w:t xml:space="preserve"> </w:t>
      </w:r>
      <w:r w:rsidR="00110CE0">
        <w:t xml:space="preserve">and </w:t>
      </w:r>
      <w:proofErr w:type="spellStart"/>
      <w:r w:rsidR="00110CE0">
        <w:t>Rugg</w:t>
      </w:r>
      <w:proofErr w:type="spellEnd"/>
      <w:r w:rsidR="00110CE0">
        <w:t xml:space="preserve"> (</w:t>
      </w:r>
      <w:r w:rsidR="00110CE0" w:rsidRPr="00110CE0">
        <w:t>2008</w:t>
      </w:r>
      <w:r w:rsidR="00110CE0">
        <w:t xml:space="preserve">) </w:t>
      </w:r>
      <w:r w:rsidR="00EB6357">
        <w:t>concluded</w:t>
      </w:r>
      <w:r w:rsidR="00110CE0">
        <w:t xml:space="preserve"> that inferior parietal cortex fMRI activity </w:t>
      </w:r>
      <w:r w:rsidR="00EB6357">
        <w:t>likely</w:t>
      </w:r>
      <w:r w:rsidR="00110CE0">
        <w:t xml:space="preserve"> reflect</w:t>
      </w:r>
      <w:r w:rsidR="00EB6357">
        <w:t>s</w:t>
      </w:r>
      <w:r w:rsidR="00110CE0">
        <w:t xml:space="preserve"> the </w:t>
      </w:r>
      <w:r>
        <w:t xml:space="preserve">functioning captured by the </w:t>
      </w:r>
      <w:r w:rsidR="00110CE0">
        <w:t xml:space="preserve">ERP </w:t>
      </w:r>
      <w:r w:rsidR="00BA2944">
        <w:t>PE</w:t>
      </w:r>
      <w:r w:rsidR="00751D5C">
        <w:t xml:space="preserve"> effect</w:t>
      </w:r>
      <w:r w:rsidR="00110CE0">
        <w:t xml:space="preserve"> described above, and that both</w:t>
      </w:r>
      <w:r w:rsidR="00EB6357">
        <w:t xml:space="preserve"> </w:t>
      </w:r>
      <w:r w:rsidR="00531053">
        <w:t>of these neural correlates are</w:t>
      </w:r>
      <w:r w:rsidR="00110CE0">
        <w:t xml:space="preserve"> likely directly related to successful recollection</w:t>
      </w:r>
      <w:r>
        <w:t xml:space="preserve"> in memory</w:t>
      </w:r>
      <w:r w:rsidR="00110CE0">
        <w:t xml:space="preserve">. </w:t>
      </w:r>
      <w:r w:rsidR="00EB6357">
        <w:t xml:space="preserve">Furthermore, they proposed that inferior parietal cortex activity </w:t>
      </w:r>
      <w:r>
        <w:t xml:space="preserve">may support the </w:t>
      </w:r>
      <w:r>
        <w:lastRenderedPageBreak/>
        <w:t xml:space="preserve">operation of the episodic buffer component discussed earlier (Baddeley 2000, 2012; </w:t>
      </w:r>
      <w:proofErr w:type="spellStart"/>
      <w:r>
        <w:t>Logie</w:t>
      </w:r>
      <w:proofErr w:type="spellEnd"/>
      <w:r>
        <w:t xml:space="preserve">, 2011) </w:t>
      </w:r>
      <w:r w:rsidR="00EB6357">
        <w:t xml:space="preserve">or that, at least, </w:t>
      </w:r>
      <w:r w:rsidR="00531053">
        <w:t>the region</w:t>
      </w:r>
      <w:r w:rsidR="00EB6357">
        <w:t xml:space="preserve"> forms part of a network which produces the buffer’s functions.</w:t>
      </w:r>
      <w:r w:rsidRPr="003245A9">
        <w:t xml:space="preserve"> Th</w:t>
      </w:r>
      <w:r>
        <w:t xml:space="preserve">ese conclusions </w:t>
      </w:r>
      <w:r w:rsidRPr="003245A9">
        <w:t xml:space="preserve">strongly suggest a need for further research investigating the </w:t>
      </w:r>
      <w:r w:rsidR="00BA2944">
        <w:t>PE</w:t>
      </w:r>
      <w:r w:rsidRPr="003245A9">
        <w:t xml:space="preserve"> ERP component in the context of working memory</w:t>
      </w:r>
      <w:r>
        <w:t xml:space="preserve"> performance</w:t>
      </w:r>
      <w:r w:rsidRPr="003245A9">
        <w:t>.</w:t>
      </w:r>
      <w:r>
        <w:t xml:space="preserve"> </w:t>
      </w:r>
    </w:p>
    <w:p w14:paraId="51FD7B4E" w14:textId="3F45071A" w:rsidR="000C121A" w:rsidRDefault="003245A9" w:rsidP="00DF3FA4">
      <w:pPr>
        <w:spacing w:line="480" w:lineRule="auto"/>
      </w:pPr>
      <w:r>
        <w:t>Recently</w:t>
      </w:r>
      <w:r w:rsidR="000C121A">
        <w:t xml:space="preserve">, </w:t>
      </w:r>
      <w:proofErr w:type="spellStart"/>
      <w:r w:rsidR="00B24925">
        <w:t>Elward</w:t>
      </w:r>
      <w:proofErr w:type="spellEnd"/>
      <w:r w:rsidR="00B24925">
        <w:t xml:space="preserve"> and Wilding (2010) showed a positive relationship bet</w:t>
      </w:r>
      <w:r w:rsidR="00E4769C">
        <w:t>ween working memory capacity and the magnitude of the neural correlate of episodic retrieval (</w:t>
      </w:r>
      <w:r w:rsidR="00BA2944">
        <w:t>PE</w:t>
      </w:r>
      <w:r w:rsidR="00E4769C">
        <w:t xml:space="preserve"> </w:t>
      </w:r>
      <w:r w:rsidR="00751D5C">
        <w:t>component</w:t>
      </w:r>
      <w:r w:rsidR="00E4769C">
        <w:t>)</w:t>
      </w:r>
      <w:r w:rsidR="00B6722E">
        <w:t xml:space="preserve"> for targets, but not non-targets</w:t>
      </w:r>
      <w:r w:rsidR="00E4769C">
        <w:t>.</w:t>
      </w:r>
      <w:r w:rsidR="00497182">
        <w:t xml:space="preserve"> </w:t>
      </w:r>
      <w:r w:rsidR="00531053">
        <w:t>Additionally</w:t>
      </w:r>
      <w:r w:rsidR="00497182">
        <w:t xml:space="preserve">, working memory capacity predicted the </w:t>
      </w:r>
      <w:r w:rsidR="00B6722E">
        <w:t xml:space="preserve">magnitude of the </w:t>
      </w:r>
      <w:r w:rsidR="00497182">
        <w:t xml:space="preserve">difference between the </w:t>
      </w:r>
      <w:r w:rsidR="00BA2944">
        <w:t>PE</w:t>
      </w:r>
      <w:r w:rsidR="00497182">
        <w:t xml:space="preserve"> </w:t>
      </w:r>
      <w:r w:rsidR="00751D5C">
        <w:t xml:space="preserve">component </w:t>
      </w:r>
      <w:r w:rsidR="00497182">
        <w:t>for targets and non-targets. The authors</w:t>
      </w:r>
      <w:r w:rsidR="00E4769C">
        <w:t xml:space="preserve"> concluded that this ERP </w:t>
      </w:r>
      <w:r w:rsidR="00531053">
        <w:t xml:space="preserve">effect </w:t>
      </w:r>
      <w:r w:rsidR="00B6722E">
        <w:t>may reflect</w:t>
      </w:r>
      <w:r w:rsidR="00E4769C">
        <w:t xml:space="preserve"> online maintenance of information, </w:t>
      </w:r>
      <w:r w:rsidR="00901C11">
        <w:t>and possibly cognitive control over prioritisation of information in memory. T</w:t>
      </w:r>
      <w:r w:rsidR="00E4769C">
        <w:t>hus</w:t>
      </w:r>
      <w:r w:rsidR="00B6722E">
        <w:t>,</w:t>
      </w:r>
      <w:r w:rsidR="00E4769C">
        <w:t xml:space="preserve"> episodic retrieval and working memory </w:t>
      </w:r>
      <w:r w:rsidR="00B6722E">
        <w:t xml:space="preserve">performance </w:t>
      </w:r>
      <w:r>
        <w:t>may</w:t>
      </w:r>
      <w:r w:rsidR="00E4769C">
        <w:t xml:space="preserve"> </w:t>
      </w:r>
      <w:r w:rsidR="00B6722E">
        <w:t>both rely upon</w:t>
      </w:r>
      <w:r w:rsidR="00E4769C">
        <w:t xml:space="preserve"> this process</w:t>
      </w:r>
      <w:r>
        <w:t xml:space="preserve"> and, given the arguments discussed above, it </w:t>
      </w:r>
      <w:r w:rsidR="00531053">
        <w:t>is also</w:t>
      </w:r>
      <w:r>
        <w:t xml:space="preserve"> possible to predict modulation of the </w:t>
      </w:r>
      <w:r w:rsidR="00F92CA7">
        <w:t>parietal</w:t>
      </w:r>
      <w:r w:rsidR="00751D5C">
        <w:t xml:space="preserve"> episodic</w:t>
      </w:r>
      <w:r w:rsidR="00F92CA7">
        <w:t xml:space="preserve"> </w:t>
      </w:r>
      <w:r>
        <w:t>ERP component by the extent of multimodal coding</w:t>
      </w:r>
      <w:r w:rsidR="00E4769C">
        <w:t>.</w:t>
      </w:r>
    </w:p>
    <w:p w14:paraId="04703FFF" w14:textId="77777777" w:rsidR="00F92CA7" w:rsidRDefault="00F92CA7">
      <w:pPr>
        <w:spacing w:line="480" w:lineRule="auto"/>
      </w:pPr>
    </w:p>
    <w:p w14:paraId="68C24E41" w14:textId="10350E88" w:rsidR="00F92CA7" w:rsidRDefault="00F92CA7">
      <w:pPr>
        <w:spacing w:line="480" w:lineRule="auto"/>
      </w:pPr>
      <w:r>
        <w:t xml:space="preserve">In a recent study by </w:t>
      </w:r>
      <w:proofErr w:type="spellStart"/>
      <w:r>
        <w:t>Hellerstedt</w:t>
      </w:r>
      <w:proofErr w:type="spellEnd"/>
      <w:r>
        <w:t xml:space="preserve"> and Johansson (2016), it was observed that when participants were presented with a category label and asked to generate a category member in a word-stem completion paradigm, the </w:t>
      </w:r>
      <w:r w:rsidR="00751D5C">
        <w:t>LPN component</w:t>
      </w:r>
      <w:r>
        <w:t xml:space="preserve"> was present. </w:t>
      </w:r>
      <w:r w:rsidR="00B3350F">
        <w:t xml:space="preserve">Interestingly, the component was </w:t>
      </w:r>
      <w:r w:rsidR="00751D5C">
        <w:t>attenuated</w:t>
      </w:r>
      <w:r w:rsidR="00B3350F">
        <w:t xml:space="preserve"> when successful retrieval occurred, and enhanced when participants were presented with impossible word-stems. </w:t>
      </w:r>
      <w:r>
        <w:t xml:space="preserve">This suggests that retrieval of semantic information may give rise to the </w:t>
      </w:r>
      <w:r w:rsidR="00751D5C">
        <w:t>LPN</w:t>
      </w:r>
      <w:r>
        <w:t xml:space="preserve"> </w:t>
      </w:r>
      <w:r w:rsidR="00B3350F">
        <w:t>observed in conjunction</w:t>
      </w:r>
      <w:r>
        <w:t xml:space="preserve"> with old/new episodic memory effects</w:t>
      </w:r>
      <w:r w:rsidR="00751D5C">
        <w:t>. I</w:t>
      </w:r>
      <w:r w:rsidR="00B3350F">
        <w:t xml:space="preserve">n this specific example, </w:t>
      </w:r>
      <w:proofErr w:type="spellStart"/>
      <w:r w:rsidR="00B3350F">
        <w:t>Hellerstedt</w:t>
      </w:r>
      <w:proofErr w:type="spellEnd"/>
      <w:r w:rsidR="00B3350F">
        <w:t xml:space="preserve"> and Johansson propose</w:t>
      </w:r>
      <w:r w:rsidR="00A139AC">
        <w:t>d</w:t>
      </w:r>
      <w:r w:rsidR="00B3350F">
        <w:t xml:space="preserve"> that the </w:t>
      </w:r>
      <w:r w:rsidR="003F22BA">
        <w:t>LPN</w:t>
      </w:r>
      <w:r w:rsidR="00B3350F">
        <w:t xml:space="preserve"> may represent participants</w:t>
      </w:r>
      <w:r w:rsidR="00B17C94">
        <w:t>’</w:t>
      </w:r>
      <w:r w:rsidR="00B3350F">
        <w:t xml:space="preserve"> continued semantic retrieval attempts when successful retrieval </w:t>
      </w:r>
      <w:r w:rsidR="00B17C94">
        <w:t xml:space="preserve">is not </w:t>
      </w:r>
      <w:r w:rsidR="00B3350F">
        <w:t>immediately achieved</w:t>
      </w:r>
      <w:r>
        <w:t xml:space="preserve">. </w:t>
      </w:r>
      <w:proofErr w:type="spellStart"/>
      <w:r>
        <w:t>Mecklinger</w:t>
      </w:r>
      <w:proofErr w:type="spellEnd"/>
      <w:r>
        <w:t xml:space="preserve"> et al</w:t>
      </w:r>
      <w:r w:rsidR="00B17C94">
        <w:t>.</w:t>
      </w:r>
      <w:r>
        <w:t xml:space="preserve"> (2016) conclude</w:t>
      </w:r>
      <w:r w:rsidR="00B17C94">
        <w:t>d</w:t>
      </w:r>
      <w:r>
        <w:t xml:space="preserve"> that this supports the view that the </w:t>
      </w:r>
      <w:r w:rsidR="00751D5C">
        <w:t>LPN</w:t>
      </w:r>
      <w:r>
        <w:t xml:space="preserve"> </w:t>
      </w:r>
      <w:r>
        <w:lastRenderedPageBreak/>
        <w:t>reflects domain</w:t>
      </w:r>
      <w:r w:rsidR="00A139AC">
        <w:t>-</w:t>
      </w:r>
      <w:r>
        <w:t>general processes</w:t>
      </w:r>
      <w:r w:rsidR="00A139AC">
        <w:t>,</w:t>
      </w:r>
      <w:r>
        <w:t xml:space="preserve"> which are present in both episodic and semantic memory tasks. </w:t>
      </w:r>
    </w:p>
    <w:p w14:paraId="014103EF" w14:textId="77777777" w:rsidR="00F92CA7" w:rsidRPr="002F58EF" w:rsidRDefault="00F92CA7">
      <w:pPr>
        <w:spacing w:line="480" w:lineRule="auto"/>
      </w:pPr>
    </w:p>
    <w:p w14:paraId="4D9CAA99" w14:textId="77777777" w:rsidR="001507D4" w:rsidRPr="00BA2944" w:rsidRDefault="00F92CA7" w:rsidP="00510B0D">
      <w:pPr>
        <w:spacing w:line="480" w:lineRule="auto"/>
        <w:rPr>
          <w:i/>
        </w:rPr>
      </w:pPr>
      <w:r w:rsidRPr="00BA2944">
        <w:rPr>
          <w:i/>
        </w:rPr>
        <w:t>Aims</w:t>
      </w:r>
    </w:p>
    <w:p w14:paraId="0E4995F0" w14:textId="22EC0505" w:rsidR="00343927" w:rsidRDefault="005425CD" w:rsidP="005425CD">
      <w:pPr>
        <w:spacing w:line="480" w:lineRule="auto"/>
      </w:pPr>
      <w:r>
        <w:t xml:space="preserve">The present study examines ERP components </w:t>
      </w:r>
      <w:r w:rsidR="00B17C94">
        <w:t xml:space="preserve">typically </w:t>
      </w:r>
      <w:r>
        <w:t>associated with episodic old/new retrieval effects, using a novel visu</w:t>
      </w:r>
      <w:r w:rsidR="006C319C">
        <w:t xml:space="preserve">al </w:t>
      </w:r>
      <w:r>
        <w:t xml:space="preserve">working memory paradigm. </w:t>
      </w:r>
      <w:r w:rsidR="00343927">
        <w:t>Employing</w:t>
      </w:r>
      <w:r>
        <w:t xml:space="preserve"> a modified version of the visual matrix task (Orme, 2009; Riby &amp; Orme, 2013), we manipulate</w:t>
      </w:r>
      <w:r w:rsidR="00A139AC">
        <w:t>d</w:t>
      </w:r>
      <w:r>
        <w:t xml:space="preserve"> the semantic content of to-be-remembered stimuli. Riby </w:t>
      </w:r>
      <w:r w:rsidR="006C319C">
        <w:t>and</w:t>
      </w:r>
      <w:r>
        <w:t xml:space="preserve"> Orme (2013) reported that high</w:t>
      </w:r>
      <w:r w:rsidR="00A815D7">
        <w:t xml:space="preserve"> </w:t>
      </w:r>
      <w:r>
        <w:t>semantic</w:t>
      </w:r>
      <w:r w:rsidR="00BA2944">
        <w:t xml:space="preserve"> visual matrix</w:t>
      </w:r>
      <w:r>
        <w:t xml:space="preserve"> patterns give rise </w:t>
      </w:r>
      <w:r w:rsidR="006C319C">
        <w:t xml:space="preserve">to </w:t>
      </w:r>
      <w:r>
        <w:t xml:space="preserve">ERP components associated with semantic processing at encoding, and in turn this scaffolding by semantic memory results in a reduction in visual information processing and subsequent memory load. </w:t>
      </w:r>
      <w:r w:rsidR="00343927">
        <w:t xml:space="preserve">As discussed above, </w:t>
      </w:r>
      <w:proofErr w:type="spellStart"/>
      <w:r w:rsidR="00343927">
        <w:t>Elward</w:t>
      </w:r>
      <w:proofErr w:type="spellEnd"/>
      <w:r w:rsidR="00343927">
        <w:t xml:space="preserve"> and Wilding (2010) propose</w:t>
      </w:r>
      <w:r w:rsidR="006C319C">
        <w:t>d</w:t>
      </w:r>
      <w:r w:rsidR="00343927">
        <w:t xml:space="preserve"> th</w:t>
      </w:r>
      <w:r w:rsidR="00BA2944">
        <w:t>at the amplitude of the PE</w:t>
      </w:r>
      <w:r w:rsidR="00343927">
        <w:t xml:space="preserve"> component may be an index of online maintenance of information and working memory capacity</w:t>
      </w:r>
      <w:r w:rsidR="00B17C94">
        <w:t>. I</w:t>
      </w:r>
      <w:r w:rsidR="00343927">
        <w:t>f this is the case, the increase in visual information load observed for the low semantic patterns may result in a</w:t>
      </w:r>
      <w:r w:rsidR="00BA2944">
        <w:t xml:space="preserve">n </w:t>
      </w:r>
      <w:r w:rsidR="00F168A7">
        <w:t>increase</w:t>
      </w:r>
      <w:r w:rsidR="00BA2944">
        <w:t xml:space="preserve"> of the PE</w:t>
      </w:r>
      <w:r w:rsidR="00751D5C">
        <w:t xml:space="preserve"> ERP</w:t>
      </w:r>
      <w:r w:rsidR="00343927">
        <w:t xml:space="preserve"> component. </w:t>
      </w:r>
      <w:r w:rsidR="00BA2944">
        <w:t>Alternatively, if the magnitude of the PE effect is related to the quality of the memory trace, due to semantic elaboration, we would expect a higher amplitude for the high semantic patterns.</w:t>
      </w:r>
    </w:p>
    <w:p w14:paraId="17D77B70" w14:textId="77777777" w:rsidR="00BA2944" w:rsidRDefault="00BA2944" w:rsidP="005425CD">
      <w:pPr>
        <w:spacing w:line="480" w:lineRule="auto"/>
      </w:pPr>
    </w:p>
    <w:p w14:paraId="3809D04F" w14:textId="592061ED" w:rsidR="00386129" w:rsidRDefault="00DE79CD" w:rsidP="005425CD">
      <w:pPr>
        <w:spacing w:line="480" w:lineRule="auto"/>
      </w:pPr>
      <w:r>
        <w:t>In addition, we anticipate</w:t>
      </w:r>
      <w:r w:rsidR="006C319C">
        <w:t>d</w:t>
      </w:r>
      <w:r>
        <w:t xml:space="preserve"> that the low</w:t>
      </w:r>
      <w:r w:rsidR="00A815D7">
        <w:t xml:space="preserve"> </w:t>
      </w:r>
      <w:r>
        <w:t>semantic matri</w:t>
      </w:r>
      <w:r w:rsidR="006C319C">
        <w:t>x</w:t>
      </w:r>
      <w:r>
        <w:t xml:space="preserve"> patterns will result in an enhancement of the </w:t>
      </w:r>
      <w:r w:rsidR="00751D5C">
        <w:t>LPN</w:t>
      </w:r>
      <w:r>
        <w:t xml:space="preserve"> effect, due to an increase</w:t>
      </w:r>
      <w:r w:rsidR="00A139AC">
        <w:t>d</w:t>
      </w:r>
      <w:r>
        <w:t xml:space="preserve"> reliance on image reconstruction and uncertainty in the response</w:t>
      </w:r>
      <w:r w:rsidR="00343927">
        <w:t xml:space="preserve">, following the findings of </w:t>
      </w:r>
      <w:proofErr w:type="spellStart"/>
      <w:r w:rsidR="00343927">
        <w:t>Hellerstedt</w:t>
      </w:r>
      <w:proofErr w:type="spellEnd"/>
      <w:r w:rsidR="00343927">
        <w:t xml:space="preserve"> and Johansson (2016). </w:t>
      </w:r>
      <w:r>
        <w:t xml:space="preserve"> Finally, it is proposed that an increased reliance on higher level control processes</w:t>
      </w:r>
      <w:r w:rsidR="00343927">
        <w:t>, necessitated by multimodal coding</w:t>
      </w:r>
      <w:r>
        <w:t xml:space="preserve"> </w:t>
      </w:r>
      <w:r w:rsidR="003A52AD">
        <w:t xml:space="preserve">and strategy </w:t>
      </w:r>
      <w:proofErr w:type="gramStart"/>
      <w:r w:rsidR="003A52AD">
        <w:t xml:space="preserve">use  </w:t>
      </w:r>
      <w:r>
        <w:t>in</w:t>
      </w:r>
      <w:proofErr w:type="gramEnd"/>
      <w:r>
        <w:t xml:space="preserve"> this complex </w:t>
      </w:r>
      <w:r>
        <w:lastRenderedPageBreak/>
        <w:t>working memory task</w:t>
      </w:r>
      <w:r w:rsidR="006C319C">
        <w:t xml:space="preserve"> (Brown </w:t>
      </w:r>
      <w:r w:rsidR="003F22BA">
        <w:t xml:space="preserve">&amp; </w:t>
      </w:r>
      <w:r w:rsidR="006C319C">
        <w:t>Wesley, 2013)</w:t>
      </w:r>
      <w:r>
        <w:t>, may result in a more anterior presentation of this</w:t>
      </w:r>
      <w:r w:rsidR="00343927">
        <w:t xml:space="preserve"> later component</w:t>
      </w:r>
      <w:r>
        <w:t xml:space="preserve">. </w:t>
      </w:r>
    </w:p>
    <w:p w14:paraId="6B894269" w14:textId="77777777" w:rsidR="005425CD" w:rsidRDefault="005425CD" w:rsidP="005425CD">
      <w:pPr>
        <w:spacing w:line="480" w:lineRule="auto"/>
      </w:pPr>
    </w:p>
    <w:p w14:paraId="0BC59C93" w14:textId="18EFBA09" w:rsidR="00510B0D" w:rsidRPr="0040761D" w:rsidRDefault="00487559" w:rsidP="00510B0D">
      <w:pPr>
        <w:spacing w:line="480" w:lineRule="auto"/>
        <w:rPr>
          <w:b/>
        </w:rPr>
      </w:pPr>
      <w:r>
        <w:rPr>
          <w:b/>
        </w:rPr>
        <w:br w:type="page"/>
      </w:r>
      <w:r w:rsidR="00510B0D" w:rsidRPr="0040761D">
        <w:rPr>
          <w:b/>
        </w:rPr>
        <w:lastRenderedPageBreak/>
        <w:t>Methods</w:t>
      </w:r>
    </w:p>
    <w:p w14:paraId="37147291" w14:textId="77777777" w:rsidR="00510B0D" w:rsidRPr="000F2DB1" w:rsidRDefault="00510B0D" w:rsidP="00F60677">
      <w:pPr>
        <w:spacing w:line="480" w:lineRule="auto"/>
        <w:outlineLvl w:val="0"/>
        <w:rPr>
          <w:i/>
        </w:rPr>
      </w:pPr>
      <w:r w:rsidRPr="000F2DB1">
        <w:rPr>
          <w:i/>
        </w:rPr>
        <w:t>Participants</w:t>
      </w:r>
    </w:p>
    <w:p w14:paraId="267C033D" w14:textId="233E1B96" w:rsidR="005F0BCA" w:rsidRPr="000F2DB1" w:rsidRDefault="005F0BCA" w:rsidP="005F0BCA">
      <w:pPr>
        <w:spacing w:line="480" w:lineRule="auto"/>
      </w:pPr>
      <w:r>
        <w:t>Fifteen</w:t>
      </w:r>
      <w:r w:rsidRPr="000F2DB1">
        <w:t xml:space="preserve"> right handed, native English speaking, University of Northumbria </w:t>
      </w:r>
      <w:r>
        <w:t xml:space="preserve">undergraduate </w:t>
      </w:r>
      <w:r w:rsidRPr="000F2DB1">
        <w:t>students (</w:t>
      </w:r>
      <w:r>
        <w:t>7</w:t>
      </w:r>
      <w:r w:rsidRPr="000F2DB1">
        <w:t xml:space="preserve"> </w:t>
      </w:r>
      <w:r>
        <w:t>fe</w:t>
      </w:r>
      <w:r w:rsidRPr="000F2DB1">
        <w:t>males; mean age</w:t>
      </w:r>
      <w:r w:rsidR="002D4B39">
        <w:t xml:space="preserve"> </w:t>
      </w:r>
      <w:r w:rsidRPr="000F2DB1">
        <w:t>=</w:t>
      </w:r>
      <w:r w:rsidR="002D4B39">
        <w:t xml:space="preserve"> </w:t>
      </w:r>
      <w:r w:rsidRPr="000F2DB1">
        <w:t xml:space="preserve">23.5years) were recruited via </w:t>
      </w:r>
      <w:r>
        <w:t>a poster advertisement campaign at</w:t>
      </w:r>
      <w:r w:rsidRPr="000F2DB1">
        <w:t xml:space="preserve"> the Psychology Department. All </w:t>
      </w:r>
      <w:r>
        <w:t xml:space="preserve">participants </w:t>
      </w:r>
      <w:r w:rsidRPr="000F2DB1">
        <w:t xml:space="preserve">had normal or corrected-to-normal vision and participated on a voluntary basis. </w:t>
      </w:r>
      <w:r w:rsidR="00013CCE">
        <w:t xml:space="preserve">Participants did not receive payment but were awarded course credit where appropriate. </w:t>
      </w:r>
      <w:r w:rsidR="009F20D7">
        <w:t xml:space="preserve"> </w:t>
      </w:r>
      <w:r w:rsidRPr="000F2DB1">
        <w:t>Ethical approval was obtained from the Department of Psychology, Northumbria University ethics comm</w:t>
      </w:r>
      <w:r>
        <w:t>ittee and all participants gave</w:t>
      </w:r>
      <w:r w:rsidRPr="000F2DB1">
        <w:t xml:space="preserve"> written informed consent. </w:t>
      </w:r>
      <w:r>
        <w:t>The participant</w:t>
      </w:r>
      <w:r w:rsidRPr="000F2DB1">
        <w:t xml:space="preserve"> characteristics and methodology below have been previously described by Riby </w:t>
      </w:r>
      <w:r w:rsidR="006C319C">
        <w:t>and</w:t>
      </w:r>
      <w:r w:rsidR="006C319C" w:rsidRPr="000F2DB1">
        <w:t xml:space="preserve"> </w:t>
      </w:r>
      <w:r w:rsidRPr="000F2DB1">
        <w:t xml:space="preserve">Orme (2013) in their analysis of the </w:t>
      </w:r>
      <w:r>
        <w:t>memory encoding aspects of the dataset which make up a larger program of work.</w:t>
      </w:r>
      <w:r w:rsidRPr="000F2DB1">
        <w:t xml:space="preserve"> </w:t>
      </w:r>
    </w:p>
    <w:p w14:paraId="7E94F779" w14:textId="77777777" w:rsidR="00352097" w:rsidRDefault="00352097" w:rsidP="005F0BCA">
      <w:pPr>
        <w:spacing w:line="480" w:lineRule="auto"/>
        <w:rPr>
          <w:i/>
        </w:rPr>
      </w:pPr>
    </w:p>
    <w:p w14:paraId="33E6E5A1" w14:textId="77777777" w:rsidR="005F0BCA" w:rsidRPr="00A6409A" w:rsidRDefault="005F0BCA" w:rsidP="005F0BCA">
      <w:pPr>
        <w:spacing w:line="480" w:lineRule="auto"/>
        <w:rPr>
          <w:i/>
        </w:rPr>
      </w:pPr>
      <w:r w:rsidRPr="00A6409A">
        <w:rPr>
          <w:i/>
        </w:rPr>
        <w:t>Stimuli</w:t>
      </w:r>
    </w:p>
    <w:p w14:paraId="3C0410F4" w14:textId="70E7626A" w:rsidR="005F0BCA" w:rsidRPr="00D7340D" w:rsidRDefault="005F0BCA" w:rsidP="00806A41">
      <w:pPr>
        <w:spacing w:line="480" w:lineRule="auto"/>
      </w:pPr>
      <w:r w:rsidRPr="00A6409A">
        <w:t xml:space="preserve">The task </w:t>
      </w:r>
      <w:r w:rsidR="00FD50BE" w:rsidRPr="00A6409A">
        <w:t>utili</w:t>
      </w:r>
      <w:r w:rsidR="00FD50BE">
        <w:t>z</w:t>
      </w:r>
      <w:r w:rsidR="00FD50BE" w:rsidRPr="00A6409A">
        <w:t xml:space="preserve">ed </w:t>
      </w:r>
      <w:r w:rsidRPr="00A6409A">
        <w:t>two sets of visual matrix patterns (</w:t>
      </w:r>
      <w:r>
        <w:t>Riby &amp; Orme, 2013; Figure 1</w:t>
      </w:r>
      <w:r w:rsidRPr="00A6409A">
        <w:t>). The High Semantic set comprise</w:t>
      </w:r>
      <w:r w:rsidR="006C319C">
        <w:t>d</w:t>
      </w:r>
      <w:r w:rsidRPr="00A6409A">
        <w:t xml:space="preserve"> patterns which are more easily represented semantically and are likely to readily elici</w:t>
      </w:r>
      <w:r w:rsidR="00B63DDB">
        <w:t>t familiar visual forms. The High</w:t>
      </w:r>
      <w:r w:rsidRPr="00A6409A">
        <w:t xml:space="preserve"> Semantic set were constructed with the aim of </w:t>
      </w:r>
      <w:r>
        <w:t xml:space="preserve">encouraging the processing of </w:t>
      </w:r>
      <w:r w:rsidRPr="00A6409A">
        <w:t>‘pure’ visu</w:t>
      </w:r>
      <w:r w:rsidR="006C319C">
        <w:t xml:space="preserve">al </w:t>
      </w:r>
      <w:r w:rsidRPr="00A6409A">
        <w:t>representations</w:t>
      </w:r>
      <w:r w:rsidR="00B63DDB">
        <w:t xml:space="preserve"> (complete and coherent representation)</w:t>
      </w:r>
      <w:r w:rsidRPr="00A6409A">
        <w:t xml:space="preserve">. Each pattern set consisted of twenty black and white grids for each level of complexity (defined as the number of cells in the pattern; ranging from 10 cells with 5 filled in black, to 26 cells with 13 filled). A set of distracter patterns was employed for the recognition </w:t>
      </w:r>
      <w:r w:rsidR="00FB4908">
        <w:t>test</w:t>
      </w:r>
      <w:r w:rsidRPr="00A6409A">
        <w:t>, providing a ‘different’ version of each matrix; this differ</w:t>
      </w:r>
      <w:r w:rsidR="006C319C">
        <w:t>ed</w:t>
      </w:r>
      <w:r w:rsidRPr="00A6409A">
        <w:t xml:space="preserve"> from the original by a single square being moved by one cell. </w:t>
      </w:r>
      <w:r w:rsidRPr="00403D4B">
        <w:t xml:space="preserve">It is important to note the low versus high semantic stimuli has previously been verified to differ in meaningfulness and semantic content but </w:t>
      </w:r>
      <w:r w:rsidRPr="00403D4B">
        <w:lastRenderedPageBreak/>
        <w:t xml:space="preserve">matched for structural </w:t>
      </w:r>
      <w:r w:rsidRPr="001D1104">
        <w:t>complexity (Orme, 2009; also Riby &amp; Orme, 2013 for comprehensive discussion of high versus low stimulus selection and matching procedures).</w:t>
      </w:r>
      <w:r w:rsidRPr="00403D4B">
        <w:t xml:space="preserve"> </w:t>
      </w:r>
      <w:r w:rsidR="00806A41" w:rsidRPr="00806A41">
        <w:t>The stimuli ranged from 3cm to 5cm in height.  At a viewing distance of 55cm</w:t>
      </w:r>
      <w:r w:rsidR="004F680E">
        <w:t xml:space="preserve">, </w:t>
      </w:r>
      <w:r w:rsidR="00806A41" w:rsidRPr="00806A41">
        <w:t>stimuli were presented with a visual angle of 3.12 to 5.25°</w:t>
      </w:r>
      <w:r w:rsidR="004F680E">
        <w:t>.</w:t>
      </w:r>
    </w:p>
    <w:p w14:paraId="1829A651" w14:textId="77777777" w:rsidR="00FB4908" w:rsidRPr="00487559" w:rsidRDefault="00FB4908" w:rsidP="005F0BCA">
      <w:pPr>
        <w:spacing w:line="480" w:lineRule="auto"/>
        <w:rPr>
          <w:i/>
          <w:highlight w:val="yellow"/>
        </w:rPr>
      </w:pPr>
    </w:p>
    <w:p w14:paraId="030B34B7" w14:textId="77777777" w:rsidR="005F0BCA" w:rsidRPr="00D21600" w:rsidRDefault="005F0BCA" w:rsidP="005F0BCA">
      <w:pPr>
        <w:spacing w:line="480" w:lineRule="auto"/>
        <w:rPr>
          <w:highlight w:val="yellow"/>
          <w:lang w:val="en-US" w:eastAsia="en-US"/>
        </w:rPr>
      </w:pPr>
      <w:r w:rsidRPr="00D21600">
        <w:rPr>
          <w:lang w:val="en-US" w:eastAsia="en-US"/>
        </w:rPr>
        <w:object w:dxaOrig="9480" w:dyaOrig="4995" w14:anchorId="0F01C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188.25pt" o:ole="" o:bordertopcolor="this" o:borderleftcolor="this" o:borderbottomcolor="this" o:borderrightcolor="this">
            <v:imagedata r:id="rId11" o:title="" croptop="9311f" cropleft="2541f"/>
            <w10:bordertop type="single" width="4"/>
            <w10:borderleft type="single" width="4"/>
            <w10:borderbottom type="single" width="4"/>
            <w10:borderright type="single" width="4"/>
          </v:shape>
          <o:OLEObject Type="Embed" ProgID="PBrush" ShapeID="_x0000_i1025" DrawAspect="Content" ObjectID="_1558960229" r:id="rId12"/>
        </w:object>
      </w:r>
    </w:p>
    <w:p w14:paraId="5FF1FC50" w14:textId="77777777" w:rsidR="005F0BCA" w:rsidRPr="001D1104" w:rsidRDefault="005F0BCA" w:rsidP="005F0BCA">
      <w:pPr>
        <w:spacing w:line="480" w:lineRule="auto"/>
      </w:pPr>
      <w:r w:rsidRPr="001D1104">
        <w:t>Figure 1. Examples of High and Low Semantic Stimul</w:t>
      </w:r>
      <w:r>
        <w:t>i across same/different and easy/hard trials</w:t>
      </w:r>
    </w:p>
    <w:p w14:paraId="61696CDE" w14:textId="77777777" w:rsidR="005E06F9" w:rsidRPr="00487559" w:rsidRDefault="005E06F9" w:rsidP="002E772A">
      <w:pPr>
        <w:spacing w:line="480" w:lineRule="auto"/>
        <w:outlineLvl w:val="0"/>
        <w:rPr>
          <w:highlight w:val="yellow"/>
        </w:rPr>
      </w:pPr>
    </w:p>
    <w:p w14:paraId="24826F65" w14:textId="77777777" w:rsidR="005F0BCA" w:rsidRPr="00E15D28" w:rsidRDefault="005F0BCA" w:rsidP="005F0BCA">
      <w:pPr>
        <w:spacing w:line="480" w:lineRule="auto"/>
        <w:rPr>
          <w:i/>
        </w:rPr>
      </w:pPr>
      <w:r w:rsidRPr="00E15D28">
        <w:rPr>
          <w:i/>
        </w:rPr>
        <w:t>Procedure</w:t>
      </w:r>
    </w:p>
    <w:p w14:paraId="3AF83B00" w14:textId="685A0075" w:rsidR="005F0BCA" w:rsidRDefault="005F0BCA" w:rsidP="005F0BCA">
      <w:pPr>
        <w:spacing w:line="480" w:lineRule="auto"/>
      </w:pPr>
      <w:r w:rsidRPr="00E15D28">
        <w:t>Each trial consisted of a 250ms fixation cross on the computer screen, followed by the memory encoding array of a single visual pattern</w:t>
      </w:r>
      <w:r w:rsidR="00A60177">
        <w:t>,</w:t>
      </w:r>
      <w:r w:rsidRPr="00E15D28">
        <w:t xml:space="preserve"> presented for 1500ms. After </w:t>
      </w:r>
      <w:r w:rsidR="00A60177">
        <w:t xml:space="preserve">a </w:t>
      </w:r>
      <w:r w:rsidRPr="00E15D28">
        <w:t>retention interval of 6000ms</w:t>
      </w:r>
      <w:r w:rsidR="00A60177">
        <w:t>,</w:t>
      </w:r>
      <w:r w:rsidRPr="00E15D28">
        <w:t xml:space="preserve"> the recognition test array was presented. The recognition test pattern offset from the initial encoding stimulus to prevent retinotopic overlap. The offset was achieved by mapping 4 locations on the screen 1) upper left, 2) upper right, 3) lower left</w:t>
      </w:r>
      <w:r w:rsidR="00A60177">
        <w:t>,</w:t>
      </w:r>
      <w:r w:rsidRPr="00E15D28">
        <w:t xml:space="preserve"> and 4) lower right</w:t>
      </w:r>
      <w:r w:rsidR="00F168A7">
        <w:t xml:space="preserve"> (spaced by approximately 2 stimulus lengths)</w:t>
      </w:r>
      <w:r w:rsidRPr="00E15D28">
        <w:t xml:space="preserve">. The recognition test array was randomly relocated to one of these positions as illustrated in Figure 2. Participants were then asked to make a recognition judgement as to whether the test pattern was the same </w:t>
      </w:r>
      <w:r>
        <w:t xml:space="preserve">(‘old’) </w:t>
      </w:r>
      <w:r w:rsidRPr="00E15D28">
        <w:t xml:space="preserve">or different to the encoded stimuli </w:t>
      </w:r>
      <w:r w:rsidRPr="00E15D28">
        <w:lastRenderedPageBreak/>
        <w:t>by pressing the ‘Z’ or ‘M’ keys</w:t>
      </w:r>
      <w:r w:rsidR="00A60177">
        <w:t>,</w:t>
      </w:r>
      <w:r w:rsidRPr="00E15D28">
        <w:t xml:space="preserve"> respectively (counterbalanced across subjects). </w:t>
      </w:r>
      <w:r w:rsidR="006A0CBE">
        <w:t>The next trial began 4000ms after the onset of the test stimuli.</w:t>
      </w:r>
    </w:p>
    <w:p w14:paraId="5FFC4983" w14:textId="77777777" w:rsidR="005F0BCA" w:rsidRDefault="005F0BCA" w:rsidP="005F0BCA">
      <w:pPr>
        <w:spacing w:line="480" w:lineRule="auto"/>
        <w:rPr>
          <w:lang w:val="en-US" w:eastAsia="en-US"/>
        </w:rPr>
      </w:pPr>
      <w:r>
        <w:br w:type="page"/>
      </w:r>
      <w:r w:rsidRPr="00F94F6B">
        <w:rPr>
          <w:lang w:val="en-US" w:eastAsia="en-US"/>
        </w:rPr>
        <w:object w:dxaOrig="15375" w:dyaOrig="8025" w14:anchorId="51BF93CF">
          <v:shape id="_x0000_i1026" type="#_x0000_t75" style="width:376.5pt;height:200.25pt" o:ole="" o:bordertopcolor="this" o:borderleftcolor="this" o:borderbottomcolor="this" o:borderrightcolor="this">
            <v:imagedata r:id="rId13" o:title="" cropbottom="4705f" cropleft="3366f" cropright="2643f"/>
            <w10:bordertop type="single" width="4"/>
            <w10:borderleft type="single" width="4"/>
            <w10:borderbottom type="single" width="4"/>
            <w10:borderright type="single" width="4"/>
          </v:shape>
          <o:OLEObject Type="Embed" ProgID="PBrush" ShapeID="_x0000_i1026" DrawAspect="Content" ObjectID="_1558960230" r:id="rId14"/>
        </w:object>
      </w:r>
    </w:p>
    <w:p w14:paraId="6C9D109C" w14:textId="72A5A3AC" w:rsidR="005F0BCA" w:rsidRPr="00155520" w:rsidRDefault="005F0BCA" w:rsidP="005F0BCA">
      <w:pPr>
        <w:spacing w:line="480" w:lineRule="auto"/>
      </w:pPr>
      <w:r w:rsidRPr="00155520">
        <w:t xml:space="preserve">Figure </w:t>
      </w:r>
      <w:r>
        <w:t>2</w:t>
      </w:r>
      <w:r w:rsidRPr="00155520">
        <w:t>. Task protocol for each encoding/recognition experimental trial</w:t>
      </w:r>
      <w:r w:rsidR="00FB4908">
        <w:t>.</w:t>
      </w:r>
    </w:p>
    <w:p w14:paraId="609331B2" w14:textId="77777777" w:rsidR="00352097" w:rsidRDefault="00352097" w:rsidP="005F0BCA">
      <w:pPr>
        <w:spacing w:line="480" w:lineRule="auto"/>
      </w:pPr>
    </w:p>
    <w:p w14:paraId="09E671C7" w14:textId="3813AB44" w:rsidR="005F0BCA" w:rsidRPr="00155520" w:rsidRDefault="005F0BCA" w:rsidP="005F0BCA">
      <w:pPr>
        <w:spacing w:line="480" w:lineRule="auto"/>
        <w:rPr>
          <w:color w:val="000000"/>
        </w:rPr>
      </w:pPr>
      <w:r w:rsidRPr="00155520">
        <w:t>After verbal instructions</w:t>
      </w:r>
      <w:r w:rsidR="004F680E">
        <w:t>,</w:t>
      </w:r>
      <w:r w:rsidRPr="00155520">
        <w:t xml:space="preserve"> </w:t>
      </w:r>
      <w:r w:rsidR="008043B6">
        <w:t>four</w:t>
      </w:r>
      <w:r w:rsidRPr="00155520">
        <w:t xml:space="preserve"> practice tr</w:t>
      </w:r>
      <w:r w:rsidR="00FB4908">
        <w:t>ia</w:t>
      </w:r>
      <w:r w:rsidRPr="00155520">
        <w:t>ls were completed by the participants. In the experimental session, participants completed 360 randomised trials split into four blocks (90 trials per block). The 360 trials comprised 20 high semantic trials and 20 low semantic trials at all nine levels of complexity. In half of the tr</w:t>
      </w:r>
      <w:r w:rsidR="008043B6">
        <w:t>ia</w:t>
      </w:r>
      <w:r w:rsidRPr="00155520">
        <w:t>ls a s</w:t>
      </w:r>
      <w:r>
        <w:t>ame (‘old’)</w:t>
      </w:r>
      <w:r w:rsidR="00FB4908">
        <w:t xml:space="preserve"> response was required, while </w:t>
      </w:r>
      <w:r w:rsidRPr="00155520">
        <w:t xml:space="preserve">in </w:t>
      </w:r>
      <w:r w:rsidR="00FB4908">
        <w:t xml:space="preserve">the other </w:t>
      </w:r>
      <w:r w:rsidR="00147DE0" w:rsidRPr="00155520">
        <w:t xml:space="preserve">half </w:t>
      </w:r>
      <w:r w:rsidR="00FB4908">
        <w:t xml:space="preserve">of </w:t>
      </w:r>
      <w:r w:rsidR="008043B6">
        <w:t xml:space="preserve">the trials </w:t>
      </w:r>
      <w:r w:rsidR="00147DE0" w:rsidRPr="00155520">
        <w:t>a</w:t>
      </w:r>
      <w:r>
        <w:t xml:space="preserve"> different</w:t>
      </w:r>
      <w:r w:rsidRPr="00155520">
        <w:t xml:space="preserve"> </w:t>
      </w:r>
      <w:r w:rsidR="00FB4908">
        <w:t xml:space="preserve">(‘new’) </w:t>
      </w:r>
      <w:r w:rsidRPr="00155520">
        <w:t>response was required</w:t>
      </w:r>
      <w:r w:rsidR="008043B6">
        <w:t>. In ‘different’ trials the</w:t>
      </w:r>
      <w:r w:rsidR="00A37939">
        <w:t xml:space="preserve"> </w:t>
      </w:r>
      <w:r w:rsidR="00147DE0" w:rsidRPr="00155520">
        <w:t>study and test patterns differ</w:t>
      </w:r>
      <w:r w:rsidR="008043B6">
        <w:t>ed</w:t>
      </w:r>
      <w:r w:rsidR="00147DE0" w:rsidRPr="00155520">
        <w:t xml:space="preserve"> by one cell</w:t>
      </w:r>
      <w:r w:rsidRPr="00155520">
        <w:t xml:space="preserve">. </w:t>
      </w:r>
      <w:r w:rsidRPr="00155520">
        <w:rPr>
          <w:color w:val="000000"/>
        </w:rPr>
        <w:t>The stimuli were presented within an array of 320mm</w:t>
      </w:r>
      <w:r w:rsidR="008043B6">
        <w:rPr>
          <w:color w:val="000000"/>
        </w:rPr>
        <w:t xml:space="preserve"> </w:t>
      </w:r>
      <w:r w:rsidRPr="00155520">
        <w:rPr>
          <w:color w:val="000000"/>
        </w:rPr>
        <w:t>x</w:t>
      </w:r>
      <w:r w:rsidR="008043B6">
        <w:rPr>
          <w:color w:val="000000"/>
        </w:rPr>
        <w:t xml:space="preserve"> </w:t>
      </w:r>
      <w:r w:rsidRPr="00155520">
        <w:rPr>
          <w:color w:val="000000"/>
        </w:rPr>
        <w:t>210mm</w:t>
      </w:r>
      <w:r w:rsidR="008043B6">
        <w:rPr>
          <w:color w:val="000000"/>
        </w:rPr>
        <w:t>,</w:t>
      </w:r>
      <w:r w:rsidRPr="00155520">
        <w:rPr>
          <w:color w:val="000000"/>
        </w:rPr>
        <w:t xml:space="preserve"> and participants were seated to ensure a viewing distance of approximately 55cm.</w:t>
      </w:r>
    </w:p>
    <w:p w14:paraId="68A79949" w14:textId="77777777" w:rsidR="00352097" w:rsidRDefault="00352097" w:rsidP="00F60677">
      <w:pPr>
        <w:spacing w:line="480" w:lineRule="auto"/>
        <w:outlineLvl w:val="0"/>
        <w:rPr>
          <w:b/>
          <w:u w:val="single"/>
        </w:rPr>
      </w:pPr>
    </w:p>
    <w:p w14:paraId="00B075FE" w14:textId="77777777" w:rsidR="002A6628" w:rsidRPr="00D968D5" w:rsidRDefault="002A6628" w:rsidP="00F60677">
      <w:pPr>
        <w:spacing w:line="480" w:lineRule="auto"/>
        <w:outlineLvl w:val="0"/>
        <w:rPr>
          <w:b/>
          <w:u w:val="single"/>
        </w:rPr>
      </w:pPr>
      <w:r w:rsidRPr="00D968D5">
        <w:rPr>
          <w:b/>
          <w:u w:val="single"/>
        </w:rPr>
        <w:t>EEG Acquisition</w:t>
      </w:r>
    </w:p>
    <w:p w14:paraId="0CAB370A" w14:textId="77777777" w:rsidR="002A6628" w:rsidRPr="00D968D5" w:rsidRDefault="002A6628" w:rsidP="00F60677">
      <w:pPr>
        <w:spacing w:line="480" w:lineRule="auto"/>
        <w:outlineLvl w:val="0"/>
      </w:pPr>
      <w:r w:rsidRPr="00D968D5">
        <w:t>EEG was recorded from 32 channels using an electrode cap (Biosemi) based</w:t>
      </w:r>
    </w:p>
    <w:p w14:paraId="1F6B4318" w14:textId="77777777" w:rsidR="002A6628" w:rsidRPr="00D968D5" w:rsidRDefault="002A6628" w:rsidP="002A6628">
      <w:pPr>
        <w:spacing w:line="480" w:lineRule="auto"/>
      </w:pPr>
      <w:r w:rsidRPr="00D968D5">
        <w:t xml:space="preserve">on the international 10-20 system (Jasper, 1958). All EEG recordings were referenced to linked mastoids. To assess eye blinks, electrodes were placed above and below the left eye to record the electrooculogram. All signals were digitized at a rate of 2048 per second with a recording epoch of -200 to 2000ms. ERPs were time locked to the onset </w:t>
      </w:r>
      <w:r w:rsidRPr="00D968D5">
        <w:lastRenderedPageBreak/>
        <w:t xml:space="preserve">of the test stimulus during the retrieval phase of the task. Automatic eye-blink correction, artefact rejection (rejection criterion:  -75μV to +75μV) and ERP averaging were conducted offline using NeuroScan Edit 4.3. </w:t>
      </w:r>
    </w:p>
    <w:p w14:paraId="70F9A122" w14:textId="77777777" w:rsidR="002A6628" w:rsidRPr="00D968D5" w:rsidRDefault="002A6628" w:rsidP="002A6628">
      <w:pPr>
        <w:spacing w:line="480" w:lineRule="auto"/>
      </w:pPr>
    </w:p>
    <w:p w14:paraId="33A77A65" w14:textId="659E1C94" w:rsidR="002A6628" w:rsidRPr="00D968D5" w:rsidRDefault="005F0BCA" w:rsidP="002A6628">
      <w:pPr>
        <w:spacing w:line="480" w:lineRule="auto"/>
      </w:pPr>
      <w:r>
        <w:t>In order to be consistent with previous research on episodic memory retrieval</w:t>
      </w:r>
      <w:r w:rsidR="008043B6">
        <w:t>,</w:t>
      </w:r>
      <w:r>
        <w:t xml:space="preserve"> </w:t>
      </w:r>
      <w:r w:rsidR="002A6628" w:rsidRPr="00D968D5">
        <w:t xml:space="preserve">epochs containing correct </w:t>
      </w:r>
      <w:r>
        <w:t>same</w:t>
      </w:r>
      <w:r w:rsidR="008043B6">
        <w:t xml:space="preserve"> (‘</w:t>
      </w:r>
      <w:r w:rsidR="002A6628" w:rsidRPr="00D968D5">
        <w:t>old</w:t>
      </w:r>
      <w:r w:rsidR="008043B6">
        <w:t>’)</w:t>
      </w:r>
      <w:r w:rsidR="002A6628" w:rsidRPr="00D968D5">
        <w:t xml:space="preserve"> judg</w:t>
      </w:r>
      <w:r w:rsidR="008043B6">
        <w:t>e</w:t>
      </w:r>
      <w:r w:rsidR="002A6628" w:rsidRPr="00D968D5">
        <w:t xml:space="preserve">ments were included for analysis. </w:t>
      </w:r>
      <w:r w:rsidR="00EA48B6">
        <w:t xml:space="preserve">A minimum trial epoching approach was used with 16 trials set as the minimum for inclusion in the average of interest. There were 45 trials </w:t>
      </w:r>
      <w:r w:rsidR="00C32EE8">
        <w:t xml:space="preserve">entered </w:t>
      </w:r>
      <w:r w:rsidR="00EA48B6">
        <w:t>(range 16-75) and 39 (range</w:t>
      </w:r>
      <w:r w:rsidR="00C32EE8">
        <w:t xml:space="preserve"> 18-84) on average for the low and high semantic task</w:t>
      </w:r>
      <w:r w:rsidR="009136BA">
        <w:t>,</w:t>
      </w:r>
      <w:r w:rsidR="00C32EE8">
        <w:t xml:space="preserve"> respectively.</w:t>
      </w:r>
      <w:r w:rsidR="009136BA">
        <w:t xml:space="preserve"> </w:t>
      </w:r>
      <w:r w:rsidR="002A6628" w:rsidRPr="00D968D5">
        <w:t xml:space="preserve">The measurement intervals were selected on the basis of visual inspection of the </w:t>
      </w:r>
      <w:r w:rsidR="009136BA" w:rsidRPr="00D968D5">
        <w:t>ERP</w:t>
      </w:r>
      <w:r w:rsidR="009136BA">
        <w:t>s</w:t>
      </w:r>
      <w:r w:rsidR="009136BA" w:rsidRPr="00D968D5">
        <w:t xml:space="preserve"> </w:t>
      </w:r>
      <w:r w:rsidR="002A6628" w:rsidRPr="00D968D5">
        <w:t>and time intervals reported elsewhere (</w:t>
      </w:r>
      <w:r w:rsidR="002A6628">
        <w:t>e.g. Wilding, 2000; Riby et al. 2008</w:t>
      </w:r>
      <w:r w:rsidR="002A6628" w:rsidRPr="00D968D5">
        <w:t xml:space="preserve">). An estimate of the area under the curve </w:t>
      </w:r>
      <w:r w:rsidR="002A6628">
        <w:t xml:space="preserve">(AUC) </w:t>
      </w:r>
      <w:r w:rsidR="002A6628" w:rsidRPr="00D968D5">
        <w:t>was calculated for each of the time window</w:t>
      </w:r>
      <w:r w:rsidR="002A6628">
        <w:t>s</w:t>
      </w:r>
      <w:r w:rsidR="002A6628" w:rsidRPr="00D968D5">
        <w:t xml:space="preserve"> described below</w:t>
      </w:r>
      <w:r>
        <w:t xml:space="preserve"> (for discussion of the analytical strategy for ERP amplitude data</w:t>
      </w:r>
      <w:r w:rsidR="008043B6">
        <w:t>,</w:t>
      </w:r>
      <w:r>
        <w:t xml:space="preserve"> see Luck, 2005)</w:t>
      </w:r>
      <w:r w:rsidRPr="00D968D5">
        <w:t>.</w:t>
      </w:r>
    </w:p>
    <w:p w14:paraId="3B0F3940" w14:textId="77777777" w:rsidR="002A6628" w:rsidRPr="00D968D5" w:rsidRDefault="002A6628" w:rsidP="002A6628">
      <w:pPr>
        <w:spacing w:line="480" w:lineRule="auto"/>
      </w:pPr>
    </w:p>
    <w:p w14:paraId="52142DCE" w14:textId="77777777" w:rsidR="002A6628" w:rsidRPr="00AD06DE" w:rsidRDefault="002A6628" w:rsidP="00F60677">
      <w:pPr>
        <w:spacing w:line="480" w:lineRule="auto"/>
        <w:outlineLvl w:val="0"/>
        <w:rPr>
          <w:b/>
          <w:u w:val="single"/>
        </w:rPr>
      </w:pPr>
      <w:r w:rsidRPr="00AD06DE">
        <w:rPr>
          <w:b/>
          <w:u w:val="single"/>
        </w:rPr>
        <w:t>Results</w:t>
      </w:r>
    </w:p>
    <w:p w14:paraId="6B2E24B4" w14:textId="77777777" w:rsidR="005F0BCA" w:rsidRPr="009C3B20" w:rsidRDefault="005F0BCA" w:rsidP="005F0BCA">
      <w:pPr>
        <w:spacing w:line="480" w:lineRule="auto"/>
        <w:rPr>
          <w:i/>
        </w:rPr>
      </w:pPr>
      <w:r>
        <w:rPr>
          <w:i/>
        </w:rPr>
        <w:t>Analytical Strategy</w:t>
      </w:r>
    </w:p>
    <w:p w14:paraId="64430AAB" w14:textId="4019F845" w:rsidR="002A6628" w:rsidRDefault="005F0BCA" w:rsidP="005F0BCA">
      <w:pPr>
        <w:spacing w:line="480" w:lineRule="auto"/>
      </w:pPr>
      <w:r>
        <w:t xml:space="preserve">The regions of interest were selected based on visual inspection and consultation of the literature. </w:t>
      </w:r>
      <w:r w:rsidR="00D44780">
        <w:t>T</w:t>
      </w:r>
      <w:r>
        <w:t xml:space="preserve">he </w:t>
      </w:r>
      <w:r w:rsidR="00BA2944">
        <w:t>PE</w:t>
      </w:r>
      <w:r>
        <w:t xml:space="preserve"> memory effect (e.g. Friedman &amp; Johnson, 2000</w:t>
      </w:r>
      <w:r w:rsidR="00D44780">
        <w:t>,</w:t>
      </w:r>
      <w:r>
        <w:t xml:space="preserve"> for review) is typically observed over parietal regions in the 400-800ms time region and for verbal material left lateralised. Due to the nature of the stimuli (visual rather than verbal) and the paradigm (working rather than episodic memory)</w:t>
      </w:r>
      <w:r w:rsidR="008043B6">
        <w:t>,</w:t>
      </w:r>
      <w:r w:rsidR="002A6628">
        <w:t xml:space="preserve"> a 2 (Stimulus: Low versus H</w:t>
      </w:r>
      <w:r w:rsidR="002A6628" w:rsidRPr="00D968D5">
        <w:t xml:space="preserve">igh Semantic) x </w:t>
      </w:r>
      <w:r w:rsidR="00147DE0">
        <w:t>3</w:t>
      </w:r>
      <w:r w:rsidR="00147DE0" w:rsidRPr="00D968D5">
        <w:t xml:space="preserve"> </w:t>
      </w:r>
      <w:r w:rsidR="002A6628" w:rsidRPr="00D968D5">
        <w:t xml:space="preserve">(Region: left, central, right) ANOVA was conducted on </w:t>
      </w:r>
      <w:r w:rsidR="002A6628">
        <w:t>AUC</w:t>
      </w:r>
      <w:r w:rsidR="002A6628" w:rsidRPr="00D968D5">
        <w:t xml:space="preserve"> data for the early parietal positivity (P3, Pz, P4; 500-900ms)</w:t>
      </w:r>
      <w:r w:rsidR="00352097">
        <w:t xml:space="preserve">. The </w:t>
      </w:r>
      <w:r w:rsidR="002D4B39">
        <w:t>LPN</w:t>
      </w:r>
      <w:r w:rsidR="00352097" w:rsidRPr="00352097">
        <w:t xml:space="preserve"> </w:t>
      </w:r>
      <w:r w:rsidR="00972417">
        <w:t>wa</w:t>
      </w:r>
      <w:r w:rsidR="00352097">
        <w:t xml:space="preserve">s our second component of interest with the selection again based on visual inspection and the aforementioned work by </w:t>
      </w:r>
      <w:r w:rsidR="002D4B39">
        <w:t xml:space="preserve">Mecklinger </w:t>
      </w:r>
      <w:r w:rsidR="00032502">
        <w:t xml:space="preserve">et al. </w:t>
      </w:r>
      <w:r w:rsidR="00352097">
        <w:t xml:space="preserve"> (20</w:t>
      </w:r>
      <w:r w:rsidR="002D4B39">
        <w:t>16</w:t>
      </w:r>
      <w:r w:rsidR="00352097">
        <w:t xml:space="preserve">). </w:t>
      </w:r>
      <w:r w:rsidR="00D44780">
        <w:t>W</w:t>
      </w:r>
      <w:r w:rsidR="00352097">
        <w:t xml:space="preserve">e anticipated the </w:t>
      </w:r>
      <w:r w:rsidR="002D4B39">
        <w:t>LPN</w:t>
      </w:r>
      <w:r w:rsidR="00352097">
        <w:t xml:space="preserve"> to be </w:t>
      </w:r>
      <w:r w:rsidR="00352097">
        <w:lastRenderedPageBreak/>
        <w:t>elicited when there is uncertainty whilst recovering difficult to remember low semantic items</w:t>
      </w:r>
      <w:r w:rsidR="002D4B39">
        <w:t>, but due to the nature of the stimuli we anticipated that the component may be more anterior than typically observed</w:t>
      </w:r>
      <w:r w:rsidR="00352097">
        <w:t xml:space="preserve">. </w:t>
      </w:r>
      <w:r w:rsidR="00053FF1">
        <w:t xml:space="preserve">This is confirmed in Figure 3 where the component is centred around central parietal electrodes. </w:t>
      </w:r>
      <w:r w:rsidR="00352097">
        <w:t>Therefore, a 2 (Stimulus: Low versus H</w:t>
      </w:r>
      <w:r w:rsidR="00352097" w:rsidRPr="00D968D5">
        <w:t xml:space="preserve">igh Semantic) x </w:t>
      </w:r>
      <w:r w:rsidR="00147DE0">
        <w:t xml:space="preserve">3 </w:t>
      </w:r>
      <w:r w:rsidR="00352097" w:rsidRPr="00D968D5">
        <w:t xml:space="preserve">(Region: left, central, right) ANOVA was conducted on </w:t>
      </w:r>
      <w:r w:rsidR="00352097">
        <w:t>AUC</w:t>
      </w:r>
      <w:r w:rsidR="00352097" w:rsidRPr="00D968D5">
        <w:t xml:space="preserve"> data for t</w:t>
      </w:r>
      <w:r w:rsidR="00352097">
        <w:t xml:space="preserve">he </w:t>
      </w:r>
      <w:r w:rsidR="002D4B39">
        <w:t>LPN</w:t>
      </w:r>
      <w:r w:rsidR="00197BF3" w:rsidRPr="00352097">
        <w:t xml:space="preserve"> </w:t>
      </w:r>
      <w:r w:rsidR="00352097">
        <w:t>(CP1, Cz, Cp2</w:t>
      </w:r>
      <w:r w:rsidR="00352097" w:rsidRPr="00D968D5">
        <w:t xml:space="preserve">; </w:t>
      </w:r>
      <w:r w:rsidR="00352097">
        <w:t>1400-18</w:t>
      </w:r>
      <w:r w:rsidR="00352097" w:rsidRPr="00D968D5">
        <w:t>00ms)</w:t>
      </w:r>
      <w:r w:rsidR="00352097">
        <w:t xml:space="preserve">. </w:t>
      </w:r>
      <w:r w:rsidR="00352097" w:rsidRPr="00D968D5">
        <w:t xml:space="preserve"> Subsequent data analyses consider</w:t>
      </w:r>
      <w:r w:rsidR="00256DD0">
        <w:t>ed</w:t>
      </w:r>
      <w:r w:rsidR="00352097" w:rsidRPr="00D968D5">
        <w:t xml:space="preserve"> </w:t>
      </w:r>
      <w:r w:rsidR="00352097">
        <w:t>behaviour</w:t>
      </w:r>
      <w:r w:rsidR="00256DD0">
        <w:t>al</w:t>
      </w:r>
      <w:r w:rsidR="00352097">
        <w:t xml:space="preserve"> performance and </w:t>
      </w:r>
      <w:r w:rsidR="00352097" w:rsidRPr="00D968D5">
        <w:t xml:space="preserve">how the magnitude of the components </w:t>
      </w:r>
      <w:r w:rsidR="00256DD0" w:rsidRPr="00D968D5">
        <w:t>relate</w:t>
      </w:r>
      <w:r w:rsidR="00256DD0">
        <w:t>d</w:t>
      </w:r>
      <w:r w:rsidR="00256DD0" w:rsidRPr="00D968D5">
        <w:t xml:space="preserve"> </w:t>
      </w:r>
      <w:r w:rsidR="00352097" w:rsidRPr="00D968D5">
        <w:t xml:space="preserve">to the </w:t>
      </w:r>
      <w:r w:rsidR="00352097">
        <w:t>response time and accuracy</w:t>
      </w:r>
      <w:r w:rsidR="00352097" w:rsidRPr="00D968D5">
        <w:t xml:space="preserve"> during the tasks. </w:t>
      </w:r>
      <w:r w:rsidR="002A6628" w:rsidRPr="00D968D5">
        <w:t xml:space="preserve"> </w:t>
      </w:r>
    </w:p>
    <w:p w14:paraId="7AFD36EE" w14:textId="77777777" w:rsidR="002A6628" w:rsidRDefault="002A6628" w:rsidP="002A6628">
      <w:pPr>
        <w:spacing w:line="480" w:lineRule="auto"/>
      </w:pPr>
    </w:p>
    <w:p w14:paraId="01C307D1" w14:textId="6F5E51F8" w:rsidR="002A6628" w:rsidRPr="000B45FC" w:rsidRDefault="002A6628" w:rsidP="002A6628">
      <w:pPr>
        <w:spacing w:line="480" w:lineRule="auto"/>
      </w:pPr>
      <w:r w:rsidRPr="008F2C50">
        <w:t xml:space="preserve">The analysis of </w:t>
      </w:r>
      <w:r w:rsidR="008043B6">
        <w:t xml:space="preserve">the </w:t>
      </w:r>
      <w:r w:rsidR="00BA2944">
        <w:t>PE</w:t>
      </w:r>
      <w:r>
        <w:t xml:space="preserve"> </w:t>
      </w:r>
      <w:r w:rsidR="007701B0">
        <w:t xml:space="preserve">component </w:t>
      </w:r>
      <w:r>
        <w:t xml:space="preserve">showed no </w:t>
      </w:r>
      <w:r w:rsidR="004F680E">
        <w:t xml:space="preserve">significant </w:t>
      </w:r>
      <w:r>
        <w:t>effect of stimulus type or region</w:t>
      </w:r>
      <w:r w:rsidR="00356751">
        <w:t xml:space="preserve"> (</w:t>
      </w:r>
      <w:r w:rsidR="00356751" w:rsidRPr="00B47956">
        <w:rPr>
          <w:i/>
        </w:rPr>
        <w:t>p</w:t>
      </w:r>
      <w:r w:rsidR="004F680E">
        <w:t xml:space="preserve"> </w:t>
      </w:r>
      <w:r w:rsidR="00356751">
        <w:t>&gt;</w:t>
      </w:r>
      <w:r w:rsidR="004F680E">
        <w:t xml:space="preserve"> </w:t>
      </w:r>
      <w:r w:rsidR="00356751">
        <w:t>0.05)</w:t>
      </w:r>
      <w:r w:rsidR="00256DD0">
        <w:t>, and t</w:t>
      </w:r>
      <w:r>
        <w:t>he interaction between stimulus type and region was not significant</w:t>
      </w:r>
      <w:r w:rsidR="00356751">
        <w:t xml:space="preserve"> (</w:t>
      </w:r>
      <w:r w:rsidR="00356751" w:rsidRPr="00B47956">
        <w:rPr>
          <w:i/>
        </w:rPr>
        <w:t>p</w:t>
      </w:r>
      <w:r w:rsidR="004F680E">
        <w:t xml:space="preserve"> </w:t>
      </w:r>
      <w:r w:rsidR="00356751">
        <w:t>&gt;</w:t>
      </w:r>
      <w:r w:rsidR="004F680E">
        <w:t xml:space="preserve"> </w:t>
      </w:r>
      <w:r w:rsidR="00356751">
        <w:t>0.05)</w:t>
      </w:r>
      <w:r>
        <w:t xml:space="preserve">. </w:t>
      </w:r>
      <w:r w:rsidRPr="008F2C50">
        <w:t xml:space="preserve">For </w:t>
      </w:r>
      <w:r w:rsidR="001C38F3">
        <w:t xml:space="preserve">the </w:t>
      </w:r>
      <w:r w:rsidR="007701B0">
        <w:t>LPN</w:t>
      </w:r>
      <w:r>
        <w:t xml:space="preserve"> component</w:t>
      </w:r>
      <w:r w:rsidRPr="00AE1D2D">
        <w:t xml:space="preserve"> </w:t>
      </w:r>
      <w:r w:rsidRPr="008F2C50">
        <w:t xml:space="preserve">the main effect of </w:t>
      </w:r>
      <w:r>
        <w:t>stimulus type</w:t>
      </w:r>
      <w:r w:rsidR="00356751">
        <w:t xml:space="preserve"> was significant</w:t>
      </w:r>
      <w:r>
        <w:t xml:space="preserve"> (</w:t>
      </w:r>
      <w:r w:rsidRPr="00B47956">
        <w:rPr>
          <w:i/>
        </w:rPr>
        <w:t>F</w:t>
      </w:r>
      <w:r>
        <w:t xml:space="preserve">(1,14) = 3.41, </w:t>
      </w:r>
      <w:r w:rsidRPr="00B47956">
        <w:rPr>
          <w:i/>
        </w:rPr>
        <w:t>p</w:t>
      </w:r>
      <w:r>
        <w:t xml:space="preserve"> = 0.08; </w:t>
      </w:r>
      <w:r w:rsidRPr="006A5DCD">
        <w:rPr>
          <w:iCs/>
        </w:rPr>
        <w:t>η</w:t>
      </w:r>
      <w:r w:rsidRPr="006A5DCD">
        <w:rPr>
          <w:iCs/>
          <w:vertAlign w:val="subscript"/>
        </w:rPr>
        <w:t>p</w:t>
      </w:r>
      <w:r w:rsidRPr="006A5DCD">
        <w:rPr>
          <w:vertAlign w:val="superscript"/>
        </w:rPr>
        <w:t>2</w:t>
      </w:r>
      <w:r>
        <w:t xml:space="preserve"> 0.19; with two extreme values [greater than three times the interquartile r</w:t>
      </w:r>
      <w:r w:rsidRPr="00971037">
        <w:t>ange</w:t>
      </w:r>
      <w:r>
        <w:t xml:space="preserve">] removed </w:t>
      </w:r>
      <w:r w:rsidRPr="00B47956">
        <w:rPr>
          <w:i/>
        </w:rPr>
        <w:t>p</w:t>
      </w:r>
      <w:r w:rsidR="004F680E">
        <w:t xml:space="preserve"> </w:t>
      </w:r>
      <w:r>
        <w:t>=</w:t>
      </w:r>
      <w:r w:rsidR="004F680E">
        <w:t xml:space="preserve"> </w:t>
      </w:r>
      <w:r>
        <w:t xml:space="preserve">0.006; </w:t>
      </w:r>
      <w:r w:rsidRPr="006A5DCD">
        <w:rPr>
          <w:iCs/>
        </w:rPr>
        <w:t>η</w:t>
      </w:r>
      <w:r w:rsidRPr="006A5DCD">
        <w:rPr>
          <w:iCs/>
          <w:vertAlign w:val="subscript"/>
        </w:rPr>
        <w:t>p</w:t>
      </w:r>
      <w:r w:rsidRPr="006A5DCD">
        <w:rPr>
          <w:vertAlign w:val="superscript"/>
        </w:rPr>
        <w:t>2</w:t>
      </w:r>
      <w:r>
        <w:t xml:space="preserve"> </w:t>
      </w:r>
      <w:r w:rsidR="00D44780">
        <w:t xml:space="preserve">= </w:t>
      </w:r>
      <w:r>
        <w:t>0.47</w:t>
      </w:r>
      <w:r w:rsidRPr="008F2C50">
        <w:t xml:space="preserve">) </w:t>
      </w:r>
      <w:r>
        <w:t>. The main effect of region</w:t>
      </w:r>
      <w:r w:rsidR="00256DD0">
        <w:t>,</w:t>
      </w:r>
      <w:r>
        <w:t xml:space="preserve"> and the interaction with stimulus type</w:t>
      </w:r>
      <w:r w:rsidR="00256DD0">
        <w:t>,</w:t>
      </w:r>
      <w:r>
        <w:t xml:space="preserve"> were not significant</w:t>
      </w:r>
      <w:r w:rsidR="00356751">
        <w:t xml:space="preserve"> (all </w:t>
      </w:r>
      <w:r w:rsidR="00356751" w:rsidRPr="004F680E">
        <w:rPr>
          <w:i/>
        </w:rPr>
        <w:t>p</w:t>
      </w:r>
      <w:r w:rsidR="00356751">
        <w:t xml:space="preserve"> &gt;</w:t>
      </w:r>
      <w:r w:rsidR="004F680E">
        <w:t xml:space="preserve"> </w:t>
      </w:r>
      <w:r w:rsidR="00356751">
        <w:t>0.05</w:t>
      </w:r>
      <w:r w:rsidR="004F680E">
        <w:t>)</w:t>
      </w:r>
      <w:r>
        <w:t>. These data</w:t>
      </w:r>
      <w:r w:rsidR="00D44780">
        <w:t>,</w:t>
      </w:r>
      <w:r>
        <w:t xml:space="preserve"> </w:t>
      </w:r>
      <w:r w:rsidR="00D44780">
        <w:t xml:space="preserve">illustrated </w:t>
      </w:r>
      <w:r>
        <w:t xml:space="preserve">in Figure </w:t>
      </w:r>
      <w:r w:rsidR="00356751">
        <w:t>3</w:t>
      </w:r>
      <w:r w:rsidR="00D44780">
        <w:t>,</w:t>
      </w:r>
      <w:r>
        <w:t xml:space="preserve"> demonstrate the expected central negativity</w:t>
      </w:r>
      <w:r w:rsidR="00D44780">
        <w:t>,</w:t>
      </w:r>
      <w:r>
        <w:t xml:space="preserve"> with the magnitude being greater for the low semantic stimuli.</w:t>
      </w:r>
      <w:r w:rsidR="001C38F3">
        <w:t xml:space="preserve"> For completeness</w:t>
      </w:r>
      <w:r w:rsidR="007701B0">
        <w:t>,</w:t>
      </w:r>
      <w:r w:rsidR="001C38F3">
        <w:t xml:space="preserve"> and to be consistent with previous research</w:t>
      </w:r>
      <w:r w:rsidR="007701B0">
        <w:t>,</w:t>
      </w:r>
      <w:r w:rsidR="001C38F3">
        <w:t xml:space="preserve"> we repeated the analysis on parietal electrodes where previous research has identified the effect.</w:t>
      </w:r>
      <w:r w:rsidR="00FD423B">
        <w:t xml:space="preserve"> </w:t>
      </w:r>
      <w:r w:rsidR="000B45FC">
        <w:t>There was a main effect of region (</w:t>
      </w:r>
      <w:r w:rsidR="000B45FC">
        <w:rPr>
          <w:i/>
        </w:rPr>
        <w:t>F</w:t>
      </w:r>
      <w:r w:rsidR="000B45FC">
        <w:t>(2,28) = 4.2, p</w:t>
      </w:r>
      <w:r w:rsidR="00B56575">
        <w:t xml:space="preserve"> </w:t>
      </w:r>
      <w:r w:rsidR="000B45FC">
        <w:t>&lt;</w:t>
      </w:r>
      <w:r w:rsidR="00B56575">
        <w:t xml:space="preserve"> </w:t>
      </w:r>
      <w:r w:rsidR="000B45FC">
        <w:t>0.05</w:t>
      </w:r>
      <w:r w:rsidR="003C7DC1">
        <w:t xml:space="preserve">; </w:t>
      </w:r>
      <w:r w:rsidR="003C7DC1" w:rsidRPr="006A5DCD">
        <w:rPr>
          <w:iCs/>
        </w:rPr>
        <w:t>η</w:t>
      </w:r>
      <w:r w:rsidR="003C7DC1" w:rsidRPr="006A5DCD">
        <w:rPr>
          <w:iCs/>
          <w:vertAlign w:val="subscript"/>
        </w:rPr>
        <w:t>p</w:t>
      </w:r>
      <w:r w:rsidR="003C7DC1" w:rsidRPr="006A5DCD">
        <w:rPr>
          <w:vertAlign w:val="superscript"/>
        </w:rPr>
        <w:t>2</w:t>
      </w:r>
      <w:r w:rsidR="003C7DC1">
        <w:t xml:space="preserve"> = 0.23</w:t>
      </w:r>
      <w:r w:rsidR="000B45FC">
        <w:t>) demonstrating greater negativity at the Pz location compared to P3 and P4. The effect of stimulus type and interaction with region was not significant p</w:t>
      </w:r>
      <w:r w:rsidR="00424451">
        <w:t xml:space="preserve"> </w:t>
      </w:r>
      <w:r w:rsidR="000B45FC">
        <w:t>&gt;</w:t>
      </w:r>
      <w:r w:rsidR="00424451">
        <w:t xml:space="preserve"> </w:t>
      </w:r>
      <w:r w:rsidR="000B45FC">
        <w:t>0.05.</w:t>
      </w:r>
    </w:p>
    <w:p w14:paraId="320F8025" w14:textId="1C006694" w:rsidR="002A6628" w:rsidRDefault="002A6628" w:rsidP="002A6628">
      <w:pPr>
        <w:spacing w:line="480" w:lineRule="auto"/>
      </w:pPr>
    </w:p>
    <w:p w14:paraId="566BEF64" w14:textId="733299AA" w:rsidR="00521C6F" w:rsidRDefault="00521C6F" w:rsidP="002A6628">
      <w:pPr>
        <w:spacing w:line="480" w:lineRule="auto"/>
      </w:pPr>
    </w:p>
    <w:p w14:paraId="773E09C9" w14:textId="0CF4A781" w:rsidR="00521C6F" w:rsidRDefault="00521C6F" w:rsidP="00D7340D">
      <w:pPr>
        <w:spacing w:line="480" w:lineRule="auto"/>
        <w:jc w:val="center"/>
      </w:pPr>
      <w:r>
        <w:t>INSERT FIGURE 3 ABOUT HERE</w:t>
      </w:r>
    </w:p>
    <w:p w14:paraId="17B3CD29" w14:textId="77777777" w:rsidR="00352097" w:rsidRDefault="00352097" w:rsidP="002A6628">
      <w:pPr>
        <w:spacing w:line="480" w:lineRule="auto"/>
      </w:pPr>
    </w:p>
    <w:p w14:paraId="09F301EA" w14:textId="481F20A7" w:rsidR="00352097" w:rsidRDefault="00352097" w:rsidP="002A6628">
      <w:pPr>
        <w:spacing w:line="480" w:lineRule="auto"/>
        <w:rPr>
          <w:noProof/>
        </w:rPr>
      </w:pPr>
    </w:p>
    <w:p w14:paraId="06A7BFEA" w14:textId="39CBF2C1" w:rsidR="002A6628" w:rsidRDefault="00352097" w:rsidP="004F680E">
      <w:pPr>
        <w:sectPr w:rsidR="002A6628" w:rsidSect="002E772A">
          <w:headerReference w:type="default" r:id="rId15"/>
          <w:footerReference w:type="default" r:id="rId16"/>
          <w:pgSz w:w="11906" w:h="16838"/>
          <w:pgMar w:top="1440" w:right="1797" w:bottom="1440" w:left="1797" w:header="709" w:footer="709" w:gutter="0"/>
          <w:cols w:space="708"/>
          <w:docGrid w:linePitch="360"/>
        </w:sectPr>
      </w:pPr>
      <w:r>
        <w:t>Figure 3. The parietal episodic and central negativity scalp maps across stimulus type (high vs low semantic)</w:t>
      </w:r>
      <w:r w:rsidR="004F680E">
        <w:t>,</w:t>
      </w:r>
      <w:r>
        <w:t xml:space="preserve"> ERPs and time windows (500-900ms and 1400-1900ms) at selected </w:t>
      </w:r>
      <w:r w:rsidR="00F24531">
        <w:t xml:space="preserve">PZ and </w:t>
      </w:r>
      <w:r>
        <w:t>Cz site</w:t>
      </w:r>
      <w:r w:rsidR="00F24531">
        <w:t>s</w:t>
      </w:r>
      <w:r w:rsidR="004F680E">
        <w:t>.</w:t>
      </w:r>
    </w:p>
    <w:p w14:paraId="6C7A3711" w14:textId="77777777" w:rsidR="002A6628" w:rsidRDefault="002A6628" w:rsidP="002A6628">
      <w:pPr>
        <w:spacing w:line="480" w:lineRule="auto"/>
      </w:pPr>
    </w:p>
    <w:p w14:paraId="279F76D2" w14:textId="5E247B97" w:rsidR="00352097" w:rsidRDefault="00352097" w:rsidP="00352097">
      <w:pPr>
        <w:autoSpaceDE w:val="0"/>
        <w:autoSpaceDN w:val="0"/>
        <w:adjustRightInd w:val="0"/>
        <w:spacing w:line="480" w:lineRule="auto"/>
      </w:pPr>
      <w:r>
        <w:t xml:space="preserve">The behavioural data described in detail elsewhere (Riby &amp; Orme, 2013; </w:t>
      </w:r>
      <w:r w:rsidR="004246D7">
        <w:t>T</w:t>
      </w:r>
      <w:r>
        <w:t>able 1) revealed more accurate (79.3% vs 71.9</w:t>
      </w:r>
      <w:r w:rsidR="00AA3FB8">
        <w:t>%</w:t>
      </w:r>
      <w:r>
        <w:t>) and quicker responses (144</w:t>
      </w:r>
      <w:r w:rsidR="00A43C68">
        <w:t xml:space="preserve">3 </w:t>
      </w:r>
      <w:r w:rsidR="00AA3FB8">
        <w:t>ms</w:t>
      </w:r>
      <w:r>
        <w:t xml:space="preserve"> vs 1529</w:t>
      </w:r>
      <w:r w:rsidR="00A43C68">
        <w:t xml:space="preserve"> </w:t>
      </w:r>
      <w:r w:rsidR="00AA3FB8">
        <w:t>ms</w:t>
      </w:r>
      <w:r>
        <w:t>) for correct ‘old’ judg</w:t>
      </w:r>
      <w:r w:rsidR="00AA3FB8">
        <w:t>e</w:t>
      </w:r>
      <w:r>
        <w:t xml:space="preserve">ments in the high semantic stimulus condition </w:t>
      </w:r>
      <w:r w:rsidR="00147DE0">
        <w:t>relative to the low semantic</w:t>
      </w:r>
      <w:r w:rsidR="00AA3FB8">
        <w:t xml:space="preserve"> condition</w:t>
      </w:r>
      <w:r w:rsidR="00147DE0">
        <w:t xml:space="preserve">, </w:t>
      </w:r>
      <w:r>
        <w:t xml:space="preserve">indicative of superior memory </w:t>
      </w:r>
      <w:r w:rsidR="00972417">
        <w:t>recall</w:t>
      </w:r>
      <w:r>
        <w:t>. To aid in the interpretation of the ERP data</w:t>
      </w:r>
      <w:r w:rsidR="00356751">
        <w:t xml:space="preserve"> (particularly the LPN since the functional significance is unclear)</w:t>
      </w:r>
      <w:r w:rsidR="00AA3FB8">
        <w:t>,</w:t>
      </w:r>
      <w:r>
        <w:t xml:space="preserve"> correlation analys</w:t>
      </w:r>
      <w:r w:rsidR="00972417">
        <w:t>e</w:t>
      </w:r>
      <w:r>
        <w:t>s were also carried out between these data (</w:t>
      </w:r>
      <w:r w:rsidR="00AA3FB8">
        <w:t xml:space="preserve">response </w:t>
      </w:r>
      <w:r>
        <w:t xml:space="preserve">time and accuracy) and the magnitude of the </w:t>
      </w:r>
      <w:r w:rsidR="00F928CB">
        <w:t xml:space="preserve">early </w:t>
      </w:r>
      <w:r w:rsidR="00BA2944">
        <w:t>PE</w:t>
      </w:r>
      <w:r>
        <w:t xml:space="preserve"> and </w:t>
      </w:r>
      <w:r w:rsidR="00BA2944">
        <w:t>LPN</w:t>
      </w:r>
      <w:r>
        <w:t xml:space="preserve"> ERP effects. No correlations were significant between </w:t>
      </w:r>
      <w:r w:rsidR="00F928CB">
        <w:t xml:space="preserve">response </w:t>
      </w:r>
      <w:r>
        <w:t xml:space="preserve">time or accuracy and the early </w:t>
      </w:r>
      <w:r w:rsidR="00BA2944">
        <w:t>PE</w:t>
      </w:r>
      <w:r w:rsidR="00F928CB">
        <w:t xml:space="preserve"> </w:t>
      </w:r>
      <w:r>
        <w:t>memory component (</w:t>
      </w:r>
      <w:r w:rsidRPr="00B47956">
        <w:rPr>
          <w:i/>
        </w:rPr>
        <w:t>p</w:t>
      </w:r>
      <w:r w:rsidR="00345857">
        <w:t xml:space="preserve"> </w:t>
      </w:r>
      <w:r>
        <w:t>&gt;</w:t>
      </w:r>
      <w:r w:rsidR="00345857">
        <w:t xml:space="preserve"> </w:t>
      </w:r>
      <w:r>
        <w:t xml:space="preserve">0.05). For the </w:t>
      </w:r>
      <w:r w:rsidR="00BA2944">
        <w:t>LPN</w:t>
      </w:r>
      <w:r>
        <w:t xml:space="preserve">, </w:t>
      </w:r>
      <w:r w:rsidR="00972417">
        <w:t xml:space="preserve">however, </w:t>
      </w:r>
      <w:r>
        <w:t xml:space="preserve">response times </w:t>
      </w:r>
      <w:r w:rsidR="00356751">
        <w:t xml:space="preserve">for correctly recognising low and high sematic patterns </w:t>
      </w:r>
      <w:r>
        <w:t xml:space="preserve">were consistently negatively correlated with the </w:t>
      </w:r>
      <w:r w:rsidR="00356751">
        <w:t xml:space="preserve">associated low and high semantic ERPs - </w:t>
      </w:r>
      <w:r>
        <w:t>CP1, Cz and CP2 AUC</w:t>
      </w:r>
      <w:r w:rsidR="00F928CB">
        <w:t xml:space="preserve"> (see </w:t>
      </w:r>
      <w:r w:rsidR="004246D7">
        <w:t>T</w:t>
      </w:r>
      <w:r w:rsidR="00F928CB">
        <w:t>able 1)</w:t>
      </w:r>
      <w:r>
        <w:t xml:space="preserve">. </w:t>
      </w:r>
      <w:r w:rsidR="00C03D72">
        <w:t xml:space="preserve">These relationships are of particular interest </w:t>
      </w:r>
      <w:r w:rsidR="004246D7">
        <w:t xml:space="preserve">as </w:t>
      </w:r>
      <w:r w:rsidR="00345857">
        <w:t xml:space="preserve">a slower response time </w:t>
      </w:r>
      <w:r w:rsidR="00C03D72">
        <w:t>in either condition, and an associated higher magnitude LPN</w:t>
      </w:r>
      <w:r w:rsidR="00345857">
        <w:t>,</w:t>
      </w:r>
      <w:r w:rsidR="00C03D72">
        <w:t xml:space="preserve"> is suggestive of additional processing mechanisms being engaged during task completion.</w:t>
      </w:r>
    </w:p>
    <w:p w14:paraId="2B9E22A4" w14:textId="77777777" w:rsidR="00233EE7" w:rsidRDefault="00233EE7">
      <w:r>
        <w:br w:type="page"/>
      </w:r>
    </w:p>
    <w:p w14:paraId="6CA3CAF0" w14:textId="77777777" w:rsidR="00233EE7" w:rsidRPr="00E6577B" w:rsidRDefault="00233EE7" w:rsidP="00E6577B">
      <w:pPr>
        <w:spacing w:line="480" w:lineRule="auto"/>
        <w:rPr>
          <w:b/>
        </w:rPr>
      </w:pPr>
      <w:r w:rsidRPr="00E6577B">
        <w:rPr>
          <w:b/>
        </w:rPr>
        <w:lastRenderedPageBreak/>
        <w:t>Discussion</w:t>
      </w:r>
    </w:p>
    <w:p w14:paraId="62AD3F76" w14:textId="2A657A49" w:rsidR="00233EE7" w:rsidRDefault="00233EE7" w:rsidP="00E6577B">
      <w:pPr>
        <w:spacing w:line="480" w:lineRule="auto"/>
      </w:pPr>
      <w:r>
        <w:t>The aims of the present study were to explore known ERP components related to successful retrieval of episodic memories within a visu</w:t>
      </w:r>
      <w:r w:rsidR="005D180C">
        <w:t xml:space="preserve">al </w:t>
      </w:r>
      <w:r>
        <w:t>working memory paradigm. The findings demonstrated the</w:t>
      </w:r>
      <w:r w:rsidR="00D452E1">
        <w:t xml:space="preserve"> differential engagement of memory </w:t>
      </w:r>
      <w:r>
        <w:t xml:space="preserve">retrieval processes depending on </w:t>
      </w:r>
      <w:r w:rsidR="009A3E5B">
        <w:t>the semantic content of the stimuli presented at encoding</w:t>
      </w:r>
      <w:r w:rsidR="005D180C">
        <w:t>. We also investigated</w:t>
      </w:r>
      <w:r w:rsidR="009A3E5B">
        <w:t xml:space="preserve"> </w:t>
      </w:r>
      <w:r>
        <w:t>whether</w:t>
      </w:r>
      <w:r w:rsidR="009A3E5B">
        <w:t xml:space="preserve"> </w:t>
      </w:r>
      <w:r w:rsidR="00BA39FE">
        <w:t xml:space="preserve">relatively </w:t>
      </w:r>
      <w:r>
        <w:t>‘pure’</w:t>
      </w:r>
      <w:r w:rsidR="003A60E4">
        <w:t>, or domain-specific</w:t>
      </w:r>
      <w:r>
        <w:t xml:space="preserve"> </w:t>
      </w:r>
      <w:r w:rsidR="00BA39FE">
        <w:t xml:space="preserve">visual short-term </w:t>
      </w:r>
      <w:r>
        <w:t>recall was achieved or whether additional mechanism</w:t>
      </w:r>
      <w:r w:rsidR="005D180C">
        <w:t>s</w:t>
      </w:r>
      <w:r w:rsidR="003A60E4">
        <w:t xml:space="preserve">, such as </w:t>
      </w:r>
      <w:r w:rsidR="003A60E4" w:rsidRPr="003A60E4">
        <w:t xml:space="preserve">attentional control </w:t>
      </w:r>
      <w:r w:rsidR="003A60E4">
        <w:t>or</w:t>
      </w:r>
      <w:r w:rsidR="003A60E4" w:rsidRPr="003A60E4">
        <w:t xml:space="preserve"> </w:t>
      </w:r>
      <w:r w:rsidR="003A60E4">
        <w:t>multimodal coding in the form of semantic memory input,</w:t>
      </w:r>
      <w:r>
        <w:t xml:space="preserve"> were engaged to support successful remembering. For the </w:t>
      </w:r>
      <w:r w:rsidR="00BA7D4C">
        <w:t>more easily</w:t>
      </w:r>
      <w:r>
        <w:t xml:space="preserve"> remembered high semantic patterns</w:t>
      </w:r>
      <w:r w:rsidR="00BA7D4C">
        <w:t>,</w:t>
      </w:r>
      <w:r>
        <w:t xml:space="preserve"> retrieval of the items proceeded in a relatively automatic manner due to the richness</w:t>
      </w:r>
      <w:r w:rsidR="00492208">
        <w:t>, unitized or more complete nature</w:t>
      </w:r>
      <w:r>
        <w:t xml:space="preserve"> of the memory representation</w:t>
      </w:r>
      <w:r w:rsidR="009A3E5B">
        <w:t xml:space="preserve"> formed at encoding</w:t>
      </w:r>
      <w:r>
        <w:t>. However, during retrieval of the low semantic patterns</w:t>
      </w:r>
      <w:r w:rsidR="00601B6F">
        <w:t>,</w:t>
      </w:r>
      <w:r>
        <w:t xml:space="preserve"> uncertainty may </w:t>
      </w:r>
      <w:r w:rsidR="00D452E1">
        <w:t>have</w:t>
      </w:r>
      <w:r>
        <w:t xml:space="preserve"> existed </w:t>
      </w:r>
      <w:r w:rsidR="009A3E5B">
        <w:t>when making a response</w:t>
      </w:r>
      <w:r w:rsidR="00601B6F">
        <w:t>. C</w:t>
      </w:r>
      <w:r w:rsidR="00D452E1">
        <w:t>onsequently</w:t>
      </w:r>
      <w:r w:rsidR="00601B6F">
        <w:t>,</w:t>
      </w:r>
      <w:r w:rsidR="00D452E1">
        <w:t xml:space="preserve"> </w:t>
      </w:r>
      <w:r>
        <w:t>additional resources</w:t>
      </w:r>
      <w:r w:rsidR="005D180C" w:rsidRPr="005D180C">
        <w:t xml:space="preserve"> </w:t>
      </w:r>
      <w:r w:rsidR="005D180C">
        <w:t>were recruited</w:t>
      </w:r>
      <w:r>
        <w:t xml:space="preserve"> </w:t>
      </w:r>
      <w:r w:rsidR="00D452E1">
        <w:t>to aid recall.</w:t>
      </w:r>
      <w:r w:rsidR="009A4966">
        <w:t xml:space="preserve"> </w:t>
      </w:r>
      <w:r w:rsidR="00D00CF9">
        <w:t xml:space="preserve">Overall, the data is in line with Riby </w:t>
      </w:r>
      <w:r w:rsidR="003A60E4">
        <w:t xml:space="preserve">and </w:t>
      </w:r>
      <w:r w:rsidR="00D00CF9">
        <w:t>Orme</w:t>
      </w:r>
      <w:r w:rsidR="003A60E4">
        <w:t>’s</w:t>
      </w:r>
      <w:r w:rsidR="00D00CF9">
        <w:t xml:space="preserve"> (2013) suggestion that if visual information is pieced together and unitized (or chunked) into a coherent whole</w:t>
      </w:r>
      <w:r w:rsidR="003A60E4">
        <w:t>,</w:t>
      </w:r>
      <w:r w:rsidR="00D00CF9">
        <w:t xml:space="preserve"> subsequent recall proceeds in a relatively automatic manner.</w:t>
      </w:r>
    </w:p>
    <w:p w14:paraId="2B688FD3" w14:textId="77777777" w:rsidR="00233EE7" w:rsidRDefault="00233EE7" w:rsidP="00E6577B">
      <w:pPr>
        <w:spacing w:line="480" w:lineRule="auto"/>
      </w:pPr>
    </w:p>
    <w:p w14:paraId="65625217" w14:textId="454A20EF" w:rsidR="00F56531" w:rsidRDefault="00233EE7" w:rsidP="00F56531">
      <w:pPr>
        <w:spacing w:line="480" w:lineRule="auto"/>
      </w:pPr>
      <w:r>
        <w:t xml:space="preserve">Consider first the episodic memory component. </w:t>
      </w:r>
      <w:r w:rsidR="0067274F">
        <w:t xml:space="preserve">Early work on the episodic memory ERP effects demonstrated </w:t>
      </w:r>
      <w:r w:rsidR="007D10F2" w:rsidRPr="007D10F2">
        <w:t xml:space="preserve">larger </w:t>
      </w:r>
      <w:r w:rsidR="0067274F">
        <w:t xml:space="preserve">amplitude </w:t>
      </w:r>
      <w:r w:rsidR="007D10F2" w:rsidRPr="007D10F2">
        <w:t xml:space="preserve">ERPs elicited by </w:t>
      </w:r>
      <w:r w:rsidR="0067274F">
        <w:t xml:space="preserve">the recognition of previously </w:t>
      </w:r>
      <w:r w:rsidR="007D10F2" w:rsidRPr="007D10F2">
        <w:t xml:space="preserve">recognised items accompanied by ‘remember’ responses than for those </w:t>
      </w:r>
      <w:r w:rsidR="0067274F">
        <w:t>rec</w:t>
      </w:r>
      <w:r w:rsidR="00413A62">
        <w:t>eiving a ‘know’ response (</w:t>
      </w:r>
      <w:r w:rsidR="00FD1CFE">
        <w:t>e.g. Smith &amp; Guster, 1993</w:t>
      </w:r>
      <w:r w:rsidR="00413A62">
        <w:t xml:space="preserve">) and </w:t>
      </w:r>
      <w:r w:rsidR="0067274F">
        <w:t>when memory for an event includes contextual or source information (</w:t>
      </w:r>
      <w:r w:rsidR="00FD1CFE">
        <w:t>e.g. Wilding &amp; Rugg, 1996</w:t>
      </w:r>
      <w:r w:rsidR="0067274F">
        <w:t xml:space="preserve">). </w:t>
      </w:r>
      <w:r w:rsidR="00F56531">
        <w:t xml:space="preserve">Together these </w:t>
      </w:r>
      <w:r w:rsidR="00D00CF9">
        <w:t xml:space="preserve">episodic memory </w:t>
      </w:r>
      <w:r w:rsidR="00F56531">
        <w:t>studies suggest the richer the memory created</w:t>
      </w:r>
      <w:r w:rsidR="007E7ABF">
        <w:t>,</w:t>
      </w:r>
      <w:r w:rsidR="00F56531">
        <w:t xml:space="preserve"> the larger the magnitude of the </w:t>
      </w:r>
      <w:r w:rsidR="00970FE5">
        <w:t xml:space="preserve">PE </w:t>
      </w:r>
      <w:r w:rsidR="00F56531">
        <w:t xml:space="preserve">effect. </w:t>
      </w:r>
      <w:r w:rsidR="00413A62">
        <w:t>Similarly,</w:t>
      </w:r>
      <w:r w:rsidR="00F56531">
        <w:t xml:space="preserve"> and m</w:t>
      </w:r>
      <w:r w:rsidR="00D47B2E">
        <w:t xml:space="preserve">irroring the work presented here, in the verbal domain encouraging the use of semantic memory strategies at </w:t>
      </w:r>
      <w:r w:rsidR="00D47B2E">
        <w:lastRenderedPageBreak/>
        <w:t xml:space="preserve">encoding by employing a levels of processing paradigm aids later recall and increases the </w:t>
      </w:r>
      <w:r w:rsidR="00F56531">
        <w:t xml:space="preserve">engagement of </w:t>
      </w:r>
      <w:r w:rsidR="00970FE5">
        <w:t>the PE</w:t>
      </w:r>
      <w:r w:rsidR="00F56531">
        <w:t xml:space="preserve"> memory component</w:t>
      </w:r>
      <w:r w:rsidR="00D47B2E">
        <w:t xml:space="preserve"> (</w:t>
      </w:r>
      <w:r w:rsidR="00DA4FD1">
        <w:t>e.g. Paller &amp; Kutas, 1992; Weyers, Tendolkar, Smid &amp; Heinze, 1997</w:t>
      </w:r>
      <w:r w:rsidR="00D47B2E">
        <w:t xml:space="preserve">). </w:t>
      </w:r>
      <w:r w:rsidR="007E7ABF">
        <w:t>We therefore predicted</w:t>
      </w:r>
      <w:r w:rsidR="007D7CC3">
        <w:t xml:space="preserve"> greater magnitude ERPs whilst recalling high semantic patterns</w:t>
      </w:r>
      <w:r w:rsidR="00D47B2E">
        <w:t xml:space="preserve">. </w:t>
      </w:r>
      <w:r w:rsidR="00E93D0C">
        <w:t xml:space="preserve">The location and amplitude of the </w:t>
      </w:r>
      <w:r w:rsidR="00FE148A">
        <w:t xml:space="preserve">ERP </w:t>
      </w:r>
      <w:r w:rsidR="00E93D0C">
        <w:t>components were consistent with previous research using verbal stimuli (e.g.</w:t>
      </w:r>
      <w:r w:rsidR="00601B6F">
        <w:t xml:space="preserve"> </w:t>
      </w:r>
      <w:r w:rsidR="00E93D0C">
        <w:t xml:space="preserve">Brown </w:t>
      </w:r>
      <w:r w:rsidR="00601B6F">
        <w:t>&amp; Riby,</w:t>
      </w:r>
      <w:r w:rsidR="00E93D0C">
        <w:t xml:space="preserve"> 2013).  </w:t>
      </w:r>
      <w:r w:rsidR="00FE148A">
        <w:t xml:space="preserve">However, </w:t>
      </w:r>
      <w:r w:rsidR="00F61E77">
        <w:t xml:space="preserve">there is an important deviation from studies </w:t>
      </w:r>
      <w:r w:rsidR="0040022B">
        <w:t>examining</w:t>
      </w:r>
      <w:r w:rsidR="00F61E77">
        <w:t xml:space="preserve"> verbal episodic memory where there are ‘new’ items to consider </w:t>
      </w:r>
      <w:r w:rsidR="00C2779B">
        <w:t xml:space="preserve">in the retrieval phase </w:t>
      </w:r>
      <w:r w:rsidR="00F61E77">
        <w:t xml:space="preserve">rather than ‘similar’ </w:t>
      </w:r>
      <w:r w:rsidR="0040022B">
        <w:t xml:space="preserve">items </w:t>
      </w:r>
      <w:r w:rsidR="00F61E77">
        <w:t xml:space="preserve">examined here.  </w:t>
      </w:r>
      <w:r w:rsidR="0040022B">
        <w:t>In those studies, a comparison across ‘old’ and ‘new’ items (or a subtraction is preformed)</w:t>
      </w:r>
      <w:r w:rsidR="00C2779B">
        <w:t>,</w:t>
      </w:r>
      <w:r w:rsidR="0040022B">
        <w:t xml:space="preserve"> alongside the critical experimental condition</w:t>
      </w:r>
      <w:r w:rsidR="00C2779B">
        <w:t xml:space="preserve">, </w:t>
      </w:r>
      <w:r w:rsidR="0040022B">
        <w:t xml:space="preserve">to more precisely isolate the memory processes engaged. </w:t>
      </w:r>
      <w:r w:rsidR="00FE148A">
        <w:t xml:space="preserve">As such, a note of caution is warranted in the identification of the observed ERP as the PE component. </w:t>
      </w:r>
      <w:r w:rsidR="00F61E77">
        <w:t>Regardless</w:t>
      </w:r>
      <w:r w:rsidR="00F56531">
        <w:t xml:space="preserve">, </w:t>
      </w:r>
      <w:r w:rsidR="00F168A7">
        <w:t xml:space="preserve">although performance was enhanced when retrieving high semantic patterns, </w:t>
      </w:r>
      <w:r w:rsidR="00F56531">
        <w:t>e</w:t>
      </w:r>
      <w:r w:rsidR="00413A62">
        <w:t xml:space="preserve">xamination of the </w:t>
      </w:r>
      <w:r w:rsidR="0040022B">
        <w:t xml:space="preserve">‘raw’ </w:t>
      </w:r>
      <w:r w:rsidR="00413A62">
        <w:t xml:space="preserve">amplitude of </w:t>
      </w:r>
      <w:r w:rsidR="00F56531">
        <w:t xml:space="preserve">the </w:t>
      </w:r>
      <w:r w:rsidR="00B67C8B">
        <w:t>ERP</w:t>
      </w:r>
      <w:r w:rsidR="00413A62">
        <w:t xml:space="preserve"> </w:t>
      </w:r>
      <w:r w:rsidR="00F56531">
        <w:t xml:space="preserve">component </w:t>
      </w:r>
      <w:r w:rsidR="00413A62">
        <w:t xml:space="preserve">revealed similarity </w:t>
      </w:r>
      <w:r w:rsidR="00F56531">
        <w:t xml:space="preserve">for the two stimulus types. </w:t>
      </w:r>
      <w:r w:rsidR="00F168A7">
        <w:t xml:space="preserve">These finding do not seem compatible with our original predictions. </w:t>
      </w:r>
      <w:r w:rsidR="008611E5">
        <w:t>Allen et al</w:t>
      </w:r>
      <w:r w:rsidR="007E7ABF">
        <w:t>.</w:t>
      </w:r>
      <w:r w:rsidR="008611E5">
        <w:t xml:space="preserve"> (2015) provide</w:t>
      </w:r>
      <w:r w:rsidR="007E7ABF">
        <w:t>d</w:t>
      </w:r>
      <w:r w:rsidR="008611E5">
        <w:t xml:space="preserve"> evidence that meaningful multimodal coding </w:t>
      </w:r>
      <w:r w:rsidR="00601B6F">
        <w:t>may</w:t>
      </w:r>
      <w:r w:rsidR="008611E5">
        <w:t xml:space="preserve"> </w:t>
      </w:r>
      <w:r w:rsidR="007E7ABF">
        <w:t>involve processes</w:t>
      </w:r>
      <w:r w:rsidR="008611E5">
        <w:t xml:space="preserve"> occur</w:t>
      </w:r>
      <w:r w:rsidR="007E7ABF">
        <w:t>ring</w:t>
      </w:r>
      <w:r w:rsidR="008611E5">
        <w:t xml:space="preserve"> at the encoding phase</w:t>
      </w:r>
      <w:r w:rsidR="003A60E4">
        <w:t xml:space="preserve"> (see also Riby &amp; Orme, 2013)</w:t>
      </w:r>
      <w:r w:rsidR="00601B6F">
        <w:t>. This perhaps</w:t>
      </w:r>
      <w:r w:rsidR="003C7DC1">
        <w:t xml:space="preserve"> </w:t>
      </w:r>
      <w:r w:rsidR="00601B6F">
        <w:t xml:space="preserve">leaves </w:t>
      </w:r>
      <w:r w:rsidR="008611E5">
        <w:t>the same processes to be employed in retrieval of the two stimulus sets</w:t>
      </w:r>
      <w:r w:rsidR="007E7ABF">
        <w:t xml:space="preserve"> and</w:t>
      </w:r>
      <w:r w:rsidR="00E93DA2">
        <w:t xml:space="preserve"> a richer memory representation being more readily available for the high semantic stimuli</w:t>
      </w:r>
      <w:r w:rsidR="00B82590">
        <w:t xml:space="preserve"> (indexed by behavioural performance)</w:t>
      </w:r>
      <w:r w:rsidR="00E93DA2">
        <w:t>.</w:t>
      </w:r>
      <w:r w:rsidR="008611E5">
        <w:t xml:space="preserve"> </w:t>
      </w:r>
      <w:r w:rsidR="00E93DA2">
        <w:t xml:space="preserve">In the present data, </w:t>
      </w:r>
      <w:r w:rsidR="00A14458">
        <w:t>i</w:t>
      </w:r>
      <w:r w:rsidR="007E7ABF">
        <w:t>t seems</w:t>
      </w:r>
      <w:r w:rsidR="00E93DA2">
        <w:t xml:space="preserve"> that both stimulus types </w:t>
      </w:r>
      <w:r w:rsidR="00F9265D">
        <w:t xml:space="preserve">equivalently </w:t>
      </w:r>
      <w:r w:rsidR="00E93DA2">
        <w:t xml:space="preserve">trigger the </w:t>
      </w:r>
      <w:r w:rsidR="00F9265D">
        <w:t>observed ERP component</w:t>
      </w:r>
      <w:r w:rsidR="00E93DA2">
        <w:t>. However, we can use</w:t>
      </w:r>
      <w:r w:rsidR="00413A62">
        <w:t xml:space="preserve"> the response times and accuracy as </w:t>
      </w:r>
      <w:r w:rsidR="006F55BE">
        <w:t xml:space="preserve">behavioural </w:t>
      </w:r>
      <w:r w:rsidR="00413A62">
        <w:t>measures of the efficiency</w:t>
      </w:r>
      <w:r w:rsidR="00B87494">
        <w:t xml:space="preserve"> of memory recall</w:t>
      </w:r>
      <w:r w:rsidR="0037686A">
        <w:t xml:space="preserve">. Faster responses and superior recall for the high semantic patterns is suggestive of a relatively automatic engagement of </w:t>
      </w:r>
      <w:r w:rsidR="00B67C8B">
        <w:t>the underlying memory</w:t>
      </w:r>
      <w:r w:rsidR="00B82590">
        <w:t xml:space="preserve"> </w:t>
      </w:r>
      <w:r w:rsidR="0037686A">
        <w:t xml:space="preserve">processes for the newly </w:t>
      </w:r>
      <w:r w:rsidR="00315CC1">
        <w:t>unitiz</w:t>
      </w:r>
      <w:r w:rsidR="0037686A">
        <w:t>ed stimuli. For the low semantic patterns</w:t>
      </w:r>
      <w:r w:rsidR="003A60E4">
        <w:t>,</w:t>
      </w:r>
      <w:r w:rsidR="0037686A">
        <w:t xml:space="preserve"> longer responses times suggest less efficient use of </w:t>
      </w:r>
      <w:r w:rsidR="006F55BE">
        <w:t>these</w:t>
      </w:r>
      <w:r w:rsidR="00B67C8B">
        <w:t xml:space="preserve"> </w:t>
      </w:r>
      <w:r w:rsidR="00B67C8B">
        <w:lastRenderedPageBreak/>
        <w:t xml:space="preserve">processes, </w:t>
      </w:r>
      <w:r w:rsidR="0037686A">
        <w:t>due to the fragmented nature of the stimuli and</w:t>
      </w:r>
      <w:r w:rsidR="00B67C8B">
        <w:t xml:space="preserve"> possibly due to</w:t>
      </w:r>
      <w:r w:rsidR="0037686A">
        <w:t xml:space="preserve"> the need to draw on </w:t>
      </w:r>
      <w:r w:rsidR="007D7CC3">
        <w:t xml:space="preserve">resources associated with image reconstruction, and memory search in order to validate the response at retrieval, as indexed by the </w:t>
      </w:r>
      <w:r w:rsidR="00970FE5">
        <w:t>LPN</w:t>
      </w:r>
      <w:r w:rsidR="007D7CC3">
        <w:t xml:space="preserve"> observed in the 1400-1800ms epoch. </w:t>
      </w:r>
      <w:r w:rsidR="00696083">
        <w:t>These findings are in line with ERP episodic memory studies where they have used response time and accuracy as measures of superior and more efficient recall. Indeed, Rhodes and</w:t>
      </w:r>
      <w:r w:rsidR="00713707">
        <w:t xml:space="preserve"> Donaldson (2006) observed superior recall for more unitized representations, equivalence in the PE effect, mirroring work here, and differential engagement of retrieval mechanisms (PE vs. bi-lateral frontal effects</w:t>
      </w:r>
      <w:r w:rsidR="00D83293">
        <w:t xml:space="preserve"> in the examination of dual process accounts of memory</w:t>
      </w:r>
      <w:r w:rsidR="00713707">
        <w:t xml:space="preserve">) dependant on the unitized nature of the stimuli. </w:t>
      </w:r>
      <w:r w:rsidR="00492208">
        <w:t>These data should be treated with caution but d</w:t>
      </w:r>
      <w:r w:rsidR="00D00CF9">
        <w:t>emonstrate the worth of traditional behavioural measures of effort and efficiency (reaction times and accuracy) in the interpretation of ERP data</w:t>
      </w:r>
      <w:r w:rsidR="00492208">
        <w:t xml:space="preserve"> and clarifying the functional significance of </w:t>
      </w:r>
      <w:r w:rsidR="0009096A">
        <w:t>components</w:t>
      </w:r>
      <w:r w:rsidR="00D00CF9">
        <w:t>.</w:t>
      </w:r>
      <w:r w:rsidR="006F55BE">
        <w:t xml:space="preserve"> </w:t>
      </w:r>
      <w:r w:rsidR="00F9265D">
        <w:t xml:space="preserve">The findings here warrant further investigation of the observed ERP component to identify exactly which underlying memory processes are triggered at retrieval. </w:t>
      </w:r>
    </w:p>
    <w:p w14:paraId="07F41E4A" w14:textId="77777777" w:rsidR="00F56531" w:rsidRDefault="00F56531" w:rsidP="00E6577B">
      <w:pPr>
        <w:spacing w:line="480" w:lineRule="auto"/>
      </w:pPr>
    </w:p>
    <w:p w14:paraId="3B3ABFDF" w14:textId="661375FE" w:rsidR="00233EE7" w:rsidRDefault="007D7CC3" w:rsidP="005C46C6">
      <w:pPr>
        <w:spacing w:line="480" w:lineRule="auto"/>
      </w:pPr>
      <w:r>
        <w:t xml:space="preserve">The observed </w:t>
      </w:r>
      <w:r w:rsidR="00970FE5">
        <w:t>LPN</w:t>
      </w:r>
      <w:r>
        <w:t xml:space="preserve"> </w:t>
      </w:r>
      <w:r w:rsidR="00E93DA2">
        <w:t>suggests</w:t>
      </w:r>
      <w:r w:rsidR="0037686A">
        <w:t xml:space="preserve"> differential engagement of </w:t>
      </w:r>
      <w:r w:rsidR="00E93DA2">
        <w:t xml:space="preserve">later </w:t>
      </w:r>
      <w:r w:rsidR="0037686A">
        <w:t>processing mecha</w:t>
      </w:r>
      <w:r>
        <w:t>nism</w:t>
      </w:r>
      <w:r w:rsidR="00B77055">
        <w:t>s</w:t>
      </w:r>
      <w:r>
        <w:t xml:space="preserve"> supporting visu</w:t>
      </w:r>
      <w:r w:rsidR="007E7ABF">
        <w:t xml:space="preserve">al </w:t>
      </w:r>
      <w:r w:rsidR="00C9222A">
        <w:t>working memory</w:t>
      </w:r>
      <w:r w:rsidR="00F56531">
        <w:t xml:space="preserve">. </w:t>
      </w:r>
      <w:r w:rsidR="00233EE7">
        <w:t xml:space="preserve">For the high semantic </w:t>
      </w:r>
      <w:r w:rsidR="0037686A">
        <w:t>patterns,</w:t>
      </w:r>
      <w:r w:rsidR="00233EE7">
        <w:t xml:space="preserve"> </w:t>
      </w:r>
      <w:r w:rsidR="00E86F79">
        <w:t>Riby and Orme (2013) present</w:t>
      </w:r>
      <w:r w:rsidR="00BA39FE">
        <w:t>ed</w:t>
      </w:r>
      <w:r w:rsidR="00E86F79">
        <w:t xml:space="preserve"> evidence that the encoded </w:t>
      </w:r>
      <w:r w:rsidR="00F56531">
        <w:t>memory representation is richer,</w:t>
      </w:r>
      <w:r w:rsidR="00E86F79">
        <w:t xml:space="preserve"> as evidenced by enhanced P300 and N400 components. The authors interpret this as evidence of more efficient </w:t>
      </w:r>
      <w:r w:rsidR="00FC49D4">
        <w:t>unitization</w:t>
      </w:r>
      <w:r w:rsidR="005C46C6">
        <w:t xml:space="preserve"> (see Rhodes &amp; Donaldson, 2008)</w:t>
      </w:r>
      <w:r w:rsidR="00FC49D4">
        <w:t>, where pre-existing semantic knowledge can scaffold memory</w:t>
      </w:r>
      <w:r w:rsidR="00B82590">
        <w:t xml:space="preserve"> and create more complete</w:t>
      </w:r>
      <w:r w:rsidR="00FC49D4">
        <w:t xml:space="preserve"> representation</w:t>
      </w:r>
      <w:r w:rsidR="00E93D0C">
        <w:t>s</w:t>
      </w:r>
      <w:r w:rsidR="00FC49D4">
        <w:t xml:space="preserve">. </w:t>
      </w:r>
      <w:r w:rsidR="00E86F79">
        <w:t xml:space="preserve"> </w:t>
      </w:r>
      <w:r w:rsidR="00F56531">
        <w:t xml:space="preserve"> </w:t>
      </w:r>
      <w:r w:rsidR="005C46C6">
        <w:t xml:space="preserve">It is proposed that the availability of </w:t>
      </w:r>
      <w:r w:rsidR="009A4966">
        <w:t xml:space="preserve">semantic support </w:t>
      </w:r>
      <w:r w:rsidR="00F56531">
        <w:t>and</w:t>
      </w:r>
      <w:r w:rsidR="005C46C6">
        <w:t xml:space="preserve"> the unitiz</w:t>
      </w:r>
      <w:r w:rsidR="009A4966">
        <w:t>ation</w:t>
      </w:r>
      <w:r w:rsidR="005C46C6">
        <w:t xml:space="preserve"> of the memory representation, </w:t>
      </w:r>
      <w:r w:rsidR="00F56531">
        <w:t xml:space="preserve">‘pure’ recall </w:t>
      </w:r>
      <w:r w:rsidR="00B82590">
        <w:t xml:space="preserve">(the engagement of controlled processes not required) </w:t>
      </w:r>
      <w:r w:rsidR="00F56531">
        <w:t>was evident</w:t>
      </w:r>
      <w:r w:rsidR="005C46C6">
        <w:t xml:space="preserve"> for the high semantic patterns. As discussed </w:t>
      </w:r>
      <w:r w:rsidR="005C46C6">
        <w:lastRenderedPageBreak/>
        <w:t xml:space="preserve">above, Johansson </w:t>
      </w:r>
      <w:r w:rsidR="007E7ABF">
        <w:t>and</w:t>
      </w:r>
      <w:r w:rsidR="005C46C6">
        <w:t xml:space="preserve"> Mecklinger (2003) report that the LPN is attenuated in cases where the memory representation is more readily generated and where there is high memory confidence. In addition, Hellerstedt and Johansson (2016) show</w:t>
      </w:r>
      <w:r w:rsidR="00601B6F">
        <w:t>ed</w:t>
      </w:r>
      <w:r w:rsidR="005C46C6">
        <w:t xml:space="preserve"> that successful semantic retrieval also results in a reduction to this component. </w:t>
      </w:r>
    </w:p>
    <w:p w14:paraId="57DF9052" w14:textId="77777777" w:rsidR="00F26C68" w:rsidRDefault="00F26C68" w:rsidP="005C46C6">
      <w:pPr>
        <w:spacing w:line="480" w:lineRule="auto"/>
      </w:pPr>
    </w:p>
    <w:p w14:paraId="36B0907A" w14:textId="47DE52FB" w:rsidR="00233EE7" w:rsidRDefault="00E93DA2" w:rsidP="00F26C68">
      <w:pPr>
        <w:spacing w:line="480" w:lineRule="auto"/>
      </w:pPr>
      <w:r>
        <w:t>W</w:t>
      </w:r>
      <w:r w:rsidR="00F26C68">
        <w:t xml:space="preserve">hen considering the low semantic patterns, the opposite inference can be made. The enhanced </w:t>
      </w:r>
      <w:r w:rsidR="00B77055">
        <w:t>LPN</w:t>
      </w:r>
      <w:r w:rsidR="00F26C68">
        <w:t xml:space="preserve"> may highlight the engagement of differential </w:t>
      </w:r>
      <w:r w:rsidR="00D00CF9">
        <w:t xml:space="preserve">retrieval and </w:t>
      </w:r>
      <w:r w:rsidR="00F26C68">
        <w:t>post-retrieval processes</w:t>
      </w:r>
      <w:r w:rsidR="00B82590">
        <w:t xml:space="preserve"> or attentional control mechanisms </w:t>
      </w:r>
      <w:r w:rsidR="00126EE1">
        <w:t xml:space="preserve">may be </w:t>
      </w:r>
      <w:r w:rsidR="00B82590">
        <w:t>needed to guide successful remembering</w:t>
      </w:r>
      <w:r w:rsidR="00F26C68">
        <w:t>. Riby and Orme (2013) present</w:t>
      </w:r>
      <w:r w:rsidR="007E7ABF">
        <w:t>ed</w:t>
      </w:r>
      <w:r w:rsidR="00F26C68">
        <w:t xml:space="preserve"> evidence that</w:t>
      </w:r>
      <w:r w:rsidR="00126EE1">
        <w:t>,</w:t>
      </w:r>
      <w:r w:rsidR="00F26C68">
        <w:t xml:space="preserve"> at encoding, the low semantic patterns lead to greater information load, and less activation of semantic memory, suggesting less efficient unitization of the to-be-remembered stimulus. It therefore follows that</w:t>
      </w:r>
      <w:r w:rsidR="00126EE1">
        <w:t>,</w:t>
      </w:r>
      <w:r w:rsidR="00F26C68">
        <w:t xml:space="preserve"> at retrieval, the retrieved memo</w:t>
      </w:r>
      <w:r w:rsidR="00961E73">
        <w:t>ry representation is less ‘pure’, incomplete</w:t>
      </w:r>
      <w:r w:rsidR="00F26C68">
        <w:t xml:space="preserve"> and more complex in nature. As a result of this, the </w:t>
      </w:r>
      <w:r w:rsidR="00B77055">
        <w:t>LPN</w:t>
      </w:r>
      <w:r w:rsidR="00F26C68">
        <w:t xml:space="preserve"> </w:t>
      </w:r>
      <w:r w:rsidR="00410525">
        <w:t>may be</w:t>
      </w:r>
      <w:r w:rsidR="00F26C68">
        <w:t xml:space="preserve"> enhanced due to the need for online reconstruction of the originally encoded stimulus, in order to examine and make a comparison with the test stimulus presented in the face of response uncertainty (Mecklinger et al, 2016), as well as an increased necessity for memory search processes to reference the image in semantic memory (Hellerstedt </w:t>
      </w:r>
      <w:r w:rsidR="007E7ABF">
        <w:t xml:space="preserve">&amp; </w:t>
      </w:r>
      <w:r w:rsidR="00F26C68">
        <w:t xml:space="preserve">Johansson, 2016). </w:t>
      </w:r>
      <w:r w:rsidR="003D09CC">
        <w:t>It is worthwhile noting the argument</w:t>
      </w:r>
      <w:r w:rsidR="006F55BE">
        <w:t xml:space="preserve"> that,</w:t>
      </w:r>
      <w:r w:rsidR="003D09CC">
        <w:t xml:space="preserve"> the LPN largely reflects post retrieval processing mechanisms</w:t>
      </w:r>
      <w:r w:rsidR="0098571F">
        <w:t xml:space="preserve"> involving</w:t>
      </w:r>
      <w:r w:rsidR="003D09CC">
        <w:t xml:space="preserve"> </w:t>
      </w:r>
      <w:r w:rsidR="0098571F">
        <w:t xml:space="preserve">memory monitoring elicited </w:t>
      </w:r>
      <w:r w:rsidR="006F55BE">
        <w:t>by</w:t>
      </w:r>
      <w:r w:rsidR="0098571F">
        <w:t xml:space="preserve"> the uncertainty that continues after a response has been made</w:t>
      </w:r>
      <w:r w:rsidR="006F55BE">
        <w:t>,</w:t>
      </w:r>
      <w:r w:rsidR="0098571F">
        <w:t xml:space="preserve"> </w:t>
      </w:r>
      <w:r w:rsidR="003D09CC">
        <w:t xml:space="preserve">is </w:t>
      </w:r>
      <w:r w:rsidR="00575B37">
        <w:t xml:space="preserve">the favoured interpretation here </w:t>
      </w:r>
      <w:proofErr w:type="gramStart"/>
      <w:r w:rsidR="00575B37">
        <w:t xml:space="preserve">given </w:t>
      </w:r>
      <w:r w:rsidR="003D09CC">
        <w:t xml:space="preserve"> the</w:t>
      </w:r>
      <w:proofErr w:type="gramEnd"/>
      <w:r w:rsidR="003D09CC">
        <w:t xml:space="preserve"> overlap between response time and the activation of the LPN</w:t>
      </w:r>
      <w:r w:rsidR="00575B37">
        <w:t xml:space="preserve"> and our subsidiary analysis examining the relationship between the LPN and response time</w:t>
      </w:r>
      <w:r w:rsidR="003D09CC">
        <w:t>.</w:t>
      </w:r>
      <w:r w:rsidR="004C1F83">
        <w:t xml:space="preserve"> </w:t>
      </w:r>
      <w:r w:rsidR="00575B37">
        <w:t xml:space="preserve">Although </w:t>
      </w:r>
      <w:r w:rsidR="002A58B6">
        <w:t xml:space="preserve">further </w:t>
      </w:r>
      <w:r w:rsidR="00575B37">
        <w:t>work considering the two accounts is warrant</w:t>
      </w:r>
      <w:r w:rsidR="002A58B6">
        <w:t xml:space="preserve">, if additional </w:t>
      </w:r>
      <w:r w:rsidR="00575B37">
        <w:t>memory related and image reconstruction is necessary</w:t>
      </w:r>
      <w:r w:rsidR="0098571F">
        <w:t xml:space="preserve"> the onset </w:t>
      </w:r>
      <w:r w:rsidR="0098571F">
        <w:lastRenderedPageBreak/>
        <w:t>of the LPN</w:t>
      </w:r>
      <w:r w:rsidR="00575B37">
        <w:t xml:space="preserve"> component would be expect before a response has been made in the retrieval phase.  </w:t>
      </w:r>
    </w:p>
    <w:p w14:paraId="2EA3675F" w14:textId="77777777" w:rsidR="00233EE7" w:rsidRDefault="00233EE7" w:rsidP="00E6577B">
      <w:pPr>
        <w:spacing w:line="480" w:lineRule="auto"/>
      </w:pPr>
    </w:p>
    <w:p w14:paraId="4DC17330" w14:textId="5624C2A1" w:rsidR="00233EE7" w:rsidRDefault="00DA453A" w:rsidP="00DA453A">
      <w:pPr>
        <w:spacing w:line="480" w:lineRule="auto"/>
      </w:pPr>
      <w:r>
        <w:t xml:space="preserve">In the present study, there are topographical differences in the presentation of the LPN, with a more anterior presentation. However, the nature of the tasks, and the timing of the negative component support the view that it is generated by the same underlying processes. Indeed, Brown and </w:t>
      </w:r>
      <w:r w:rsidR="007E7ABF">
        <w:t xml:space="preserve">Wesley </w:t>
      </w:r>
      <w:r>
        <w:t>(2013) suggest</w:t>
      </w:r>
      <w:r w:rsidR="007E7ABF">
        <w:t>ed</w:t>
      </w:r>
      <w:r>
        <w:t xml:space="preserve"> that</w:t>
      </w:r>
      <w:r w:rsidR="007E7ABF">
        <w:t xml:space="preserve"> visual patterns task performance may involve more executive processing</w:t>
      </w:r>
      <w:r>
        <w:t xml:space="preserve"> in cases where multimodal binding and </w:t>
      </w:r>
      <w:r w:rsidR="007E7ABF">
        <w:t xml:space="preserve">a </w:t>
      </w:r>
      <w:r>
        <w:t xml:space="preserve">higher </w:t>
      </w:r>
      <w:r w:rsidR="007E7ABF">
        <w:t>degree of strategy use</w:t>
      </w:r>
      <w:r>
        <w:t xml:space="preserve"> is necessary.</w:t>
      </w:r>
      <w:r w:rsidR="00C67BBA">
        <w:t xml:space="preserve"> However, Brown and Wesley were unable to show at which stage in their task the executive demand became apparent, and the current data (as well as Riby &amp; Orme, 2013) suggest that the encoding stage is likely to be most important, at least with this recognition task. Also</w:t>
      </w:r>
      <w:r>
        <w:t xml:space="preserve">, given the topographical differences between the </w:t>
      </w:r>
      <w:r w:rsidR="00B77055">
        <w:t>more central later component</w:t>
      </w:r>
      <w:r>
        <w:t xml:space="preserve"> observed here and the well-established LPN, </w:t>
      </w:r>
      <w:r w:rsidR="00233EE7">
        <w:t xml:space="preserve">we carried out a subsidiary analysis on RT and the magnitude of the </w:t>
      </w:r>
      <w:r w:rsidR="00B77055">
        <w:t>LPN</w:t>
      </w:r>
      <w:r>
        <w:t xml:space="preserve">. We observed that for both stimulus types, greater amplitudes of the </w:t>
      </w:r>
      <w:r w:rsidR="00B77055">
        <w:t>LPN</w:t>
      </w:r>
      <w:r>
        <w:t xml:space="preserve"> were associated with slower </w:t>
      </w:r>
      <w:r w:rsidR="00C67BBA">
        <w:t xml:space="preserve">response </w:t>
      </w:r>
      <w:r>
        <w:t xml:space="preserve">times. This directly implicates response uncertainty </w:t>
      </w:r>
      <w:r w:rsidR="00575298">
        <w:t xml:space="preserve">(regardless of whether recalling low or high semantic patterns) </w:t>
      </w:r>
      <w:r>
        <w:t xml:space="preserve">and increased decision time in the enhancement of the component. Therefore, it is proposed that the </w:t>
      </w:r>
      <w:r w:rsidR="00B77055">
        <w:t>LPN</w:t>
      </w:r>
      <w:r>
        <w:t xml:space="preserve"> observed</w:t>
      </w:r>
      <w:r w:rsidR="00575298">
        <w:t xml:space="preserve"> here using a working memory paradigm</w:t>
      </w:r>
      <w:r>
        <w:t xml:space="preserve"> is indeed reflective of </w:t>
      </w:r>
      <w:r w:rsidR="0098571F">
        <w:t xml:space="preserve">post-retrieval processing mechanism </w:t>
      </w:r>
      <w:r>
        <w:t xml:space="preserve"> previously associated with the LPN</w:t>
      </w:r>
      <w:r w:rsidR="00B77055">
        <w:t xml:space="preserve"> elsewhere (</w:t>
      </w:r>
      <w:r w:rsidR="00575298">
        <w:t xml:space="preserve">episodic memory; </w:t>
      </w:r>
      <w:r w:rsidR="00B77055">
        <w:t>Mecklinger et al. 2016)</w:t>
      </w:r>
      <w:r>
        <w:t>.</w:t>
      </w:r>
    </w:p>
    <w:p w14:paraId="116CE3D0" w14:textId="77777777" w:rsidR="00C9222A" w:rsidRDefault="00C9222A" w:rsidP="00DA453A">
      <w:pPr>
        <w:spacing w:line="480" w:lineRule="auto"/>
      </w:pPr>
    </w:p>
    <w:p w14:paraId="196C6135" w14:textId="3871645A" w:rsidR="00C84A13" w:rsidRDefault="009B5ED6" w:rsidP="00E6577B">
      <w:pPr>
        <w:spacing w:line="480" w:lineRule="auto"/>
      </w:pPr>
      <w:r>
        <w:t>T</w:t>
      </w:r>
      <w:r w:rsidR="00241FF3">
        <w:t>he LPN has been proposed to be associated with a range of poss</w:t>
      </w:r>
      <w:r>
        <w:t xml:space="preserve">ible post-retrieval processes. </w:t>
      </w:r>
      <w:r w:rsidR="00B82590">
        <w:t xml:space="preserve">However, a further question that needs to be asked is precisely which processes are implicated here. </w:t>
      </w:r>
      <w:r>
        <w:t xml:space="preserve">Much of the previous research into the LPN focusses </w:t>
      </w:r>
      <w:r>
        <w:lastRenderedPageBreak/>
        <w:t xml:space="preserve">on episodic retrieval tasks, however, a small number of studies have also </w:t>
      </w:r>
      <w:r w:rsidR="00B82590">
        <w:t>linked the component to</w:t>
      </w:r>
      <w:r>
        <w:t xml:space="preserve"> semantic memory</w:t>
      </w:r>
      <w:r w:rsidR="00C9222A">
        <w:t xml:space="preserve"> (e.g. Hellederstedt &amp; Johansson, 2016; Bai, Bridger, Zimmer &amp; Mecklinger, 2015)</w:t>
      </w:r>
      <w:r>
        <w:t xml:space="preserve">. </w:t>
      </w:r>
      <w:r w:rsidR="00575298">
        <w:t xml:space="preserve">The novelty of the current project is that we extend this to working memory. </w:t>
      </w:r>
      <w:r>
        <w:t>Mecklinger et al</w:t>
      </w:r>
      <w:r w:rsidR="00EC0A1D">
        <w:t>.</w:t>
      </w:r>
      <w:r>
        <w:t xml:space="preserve"> (2016) propose</w:t>
      </w:r>
      <w:r w:rsidR="00EC0A1D">
        <w:t>d</w:t>
      </w:r>
      <w:r>
        <w:t xml:space="preserve"> that this potential link could reflect more general processes</w:t>
      </w:r>
      <w:r w:rsidR="00EC0A1D">
        <w:t>. These include</w:t>
      </w:r>
      <w:r w:rsidR="00A14458">
        <w:t xml:space="preserve"> </w:t>
      </w:r>
      <w:r>
        <w:t>the generation of memory representation</w:t>
      </w:r>
      <w:r w:rsidR="00EC0A1D">
        <w:t>s</w:t>
      </w:r>
      <w:r>
        <w:t xml:space="preserve"> </w:t>
      </w:r>
      <w:r w:rsidR="00EC0A1D">
        <w:t>and</w:t>
      </w:r>
      <w:r>
        <w:t xml:space="preserve"> the integration of potentially linked items in semantic memory</w:t>
      </w:r>
      <w:r w:rsidR="00EC0A1D">
        <w:t>,</w:t>
      </w:r>
      <w:r>
        <w:t xml:space="preserve"> and the comparison of such generated ‘matches’ with the retrieval stimulus</w:t>
      </w:r>
      <w:r w:rsidR="00EC0A1D">
        <w:t>.</w:t>
      </w:r>
      <w:r>
        <w:t xml:space="preserve"> </w:t>
      </w:r>
      <w:r w:rsidR="00EC0A1D">
        <w:t>T</w:t>
      </w:r>
      <w:r>
        <w:t xml:space="preserve">he LPN </w:t>
      </w:r>
      <w:r w:rsidR="00EC0A1D">
        <w:t>would then be</w:t>
      </w:r>
      <w:r>
        <w:t xml:space="preserve"> attenuated in cases where a suitable match is found and retrieval is deemed successful. The task used here adds to the limited research into semantic retrieval, further supporting this argument.  </w:t>
      </w:r>
      <w:r w:rsidR="00233EE7">
        <w:t xml:space="preserve">Indeed, the investigation </w:t>
      </w:r>
      <w:r w:rsidR="00C9222A">
        <w:t xml:space="preserve">has </w:t>
      </w:r>
      <w:r w:rsidR="00233EE7">
        <w:t>emphasised that further research is warranted and it is possible to use the groundwork provided here to investigate the</w:t>
      </w:r>
      <w:r w:rsidR="00EC0A1D">
        <w:t xml:space="preserve"> processes</w:t>
      </w:r>
      <w:r w:rsidR="00233EE7">
        <w:t xml:space="preserve"> overlap</w:t>
      </w:r>
      <w:r w:rsidR="00EC0A1D">
        <w:t>ping</w:t>
      </w:r>
      <w:r w:rsidR="00233EE7">
        <w:t xml:space="preserve"> between</w:t>
      </w:r>
      <w:r w:rsidR="005B0F10">
        <w:t xml:space="preserve"> </w:t>
      </w:r>
      <w:r w:rsidR="00C9222A">
        <w:t xml:space="preserve">working memory and episodic memory. </w:t>
      </w:r>
    </w:p>
    <w:p w14:paraId="6DD9DC08" w14:textId="77777777" w:rsidR="00E93DA2" w:rsidRDefault="00E93DA2" w:rsidP="00E6577B">
      <w:pPr>
        <w:spacing w:line="480" w:lineRule="auto"/>
      </w:pPr>
    </w:p>
    <w:p w14:paraId="59DB1E6F" w14:textId="5575E951" w:rsidR="00E93DA2" w:rsidRDefault="00E93DA2" w:rsidP="00E93DA2">
      <w:pPr>
        <w:spacing w:line="480" w:lineRule="auto"/>
      </w:pPr>
      <w:r>
        <w:t>Our previous work with this stimulus set has highlighted some potential limitations to the paradigm (see Riby &amp; Orme, 2013). Work by Orme (2009) demonstrated that the high and low semantic stimulus sets do not differ in terms of their physical complexity (such as the presence of symmetry, and the number of chunks of visual information). Furthermore, the fact that the</w:t>
      </w:r>
      <w:r w:rsidR="00126EE1">
        <w:t xml:space="preserve"> observed</w:t>
      </w:r>
      <w:r>
        <w:t xml:space="preserve"> performance advantage is not eliminated by verbal interference suggests that simple verbal labelling of the pattern elements cannot fully account for the effects observed</w:t>
      </w:r>
      <w:r w:rsidR="00EC0A1D">
        <w:t xml:space="preserve"> (see also Brown &amp; Wesley, 2013). </w:t>
      </w:r>
      <w:r>
        <w:t>Therefore, there is converging evidence that the high semantic pattern set is indeed supported by semantic memory. However, it is unclear if such representations are visual or verbal in nature, and the precise mechanism</w:t>
      </w:r>
      <w:r w:rsidR="00126EE1">
        <w:t>s</w:t>
      </w:r>
      <w:r>
        <w:t xml:space="preserve"> by which semantics are integrated into working memory representation</w:t>
      </w:r>
      <w:r w:rsidR="00126EE1">
        <w:t>s</w:t>
      </w:r>
      <w:r>
        <w:t xml:space="preserve"> remain unclear. Brown and Wesley </w:t>
      </w:r>
      <w:r>
        <w:lastRenderedPageBreak/>
        <w:t>(2013) provide</w:t>
      </w:r>
      <w:r w:rsidR="00EC0A1D">
        <w:t>d</w:t>
      </w:r>
      <w:r>
        <w:t xml:space="preserve"> support for the role of executive resources in </w:t>
      </w:r>
      <w:r w:rsidR="00BA39FE">
        <w:t>recall of visual matrix</w:t>
      </w:r>
      <w:r>
        <w:t xml:space="preserve"> stimuli, but also demonstrate</w:t>
      </w:r>
      <w:r w:rsidR="00EC0A1D">
        <w:t>d</w:t>
      </w:r>
      <w:r>
        <w:t xml:space="preserve"> that to some extent semantic memory can be activated automatically. </w:t>
      </w:r>
      <w:r w:rsidR="00126EE1">
        <w:t xml:space="preserve">It is possible that </w:t>
      </w:r>
      <w:r>
        <w:t>this is achieved via the episodic buffer</w:t>
      </w:r>
      <w:r w:rsidR="00126EE1">
        <w:t xml:space="preserve"> in working memory, which could allow direct conscious access to multimodal stimuli currently within the focus of attention, while also allowing for the deployment of controlled attentional resources, for example to draw upon strategic processes (Allen, Baddeley, &amp; Hitch, 2014; </w:t>
      </w:r>
      <w:r>
        <w:t>Hu et al</w:t>
      </w:r>
      <w:r w:rsidR="00EC0A1D">
        <w:t>.</w:t>
      </w:r>
      <w:r w:rsidR="00126EE1">
        <w:t xml:space="preserve">, </w:t>
      </w:r>
      <w:r>
        <w:t xml:space="preserve">2016). </w:t>
      </w:r>
    </w:p>
    <w:p w14:paraId="462B6828" w14:textId="77777777" w:rsidR="00E93DA2" w:rsidRDefault="00E93DA2" w:rsidP="00E6577B">
      <w:pPr>
        <w:spacing w:line="480" w:lineRule="auto"/>
      </w:pPr>
    </w:p>
    <w:p w14:paraId="7AB4B91A" w14:textId="7180FB4E" w:rsidR="00282427" w:rsidRPr="00B77055" w:rsidRDefault="00282427" w:rsidP="00E6577B">
      <w:pPr>
        <w:spacing w:line="480" w:lineRule="auto"/>
        <w:rPr>
          <w:i/>
        </w:rPr>
      </w:pPr>
      <w:r w:rsidRPr="00B77055">
        <w:rPr>
          <w:i/>
        </w:rPr>
        <w:t>Conclusions</w:t>
      </w:r>
    </w:p>
    <w:p w14:paraId="022E06A5" w14:textId="3FE6FF50" w:rsidR="00C84A13" w:rsidRDefault="00282427" w:rsidP="00E6577B">
      <w:pPr>
        <w:spacing w:line="480" w:lineRule="auto"/>
      </w:pPr>
      <w:r>
        <w:t>Riby and Orme (2013) used the same task</w:t>
      </w:r>
      <w:r w:rsidR="00EC0A1D">
        <w:t xml:space="preserve"> as was used presently</w:t>
      </w:r>
      <w:r>
        <w:t xml:space="preserve"> to conclude that the enhanced memory performance observed for the high semantic patterns is achieved by allowing the effective unitization of short-term and long-term information resulting in a simplification of the memory representation and a reduction in overall memory</w:t>
      </w:r>
      <w:r w:rsidR="00241FF3">
        <w:t xml:space="preserve"> load. </w:t>
      </w:r>
      <w:r>
        <w:t xml:space="preserve">The results of this study reinforce this view, by demonstrating that the low semantic patterns result in more complex and time consuming </w:t>
      </w:r>
      <w:r w:rsidR="00241FF3">
        <w:t>retrieval processes.</w:t>
      </w:r>
      <w:r w:rsidR="00E93DA2">
        <w:t xml:space="preserve"> This novel paradigm adds valuable insight into the nature of these post retrieval processes in working memory tasks.</w:t>
      </w:r>
      <w:r w:rsidR="00241FF3">
        <w:t xml:space="preserve"> </w:t>
      </w:r>
      <w:r w:rsidR="00E13783">
        <w:t>Specifically, we add to the growing body of evidence that suggests the LPN</w:t>
      </w:r>
      <w:r w:rsidR="004B6CAA">
        <w:t xml:space="preserve"> has perhaps two roles when the stimuli are not readily retrieved. In this study when items to be recalled are not effectively ‘unitized’ or ‘chunked’ into a coherent whole</w:t>
      </w:r>
      <w:r w:rsidR="003151BB">
        <w:t xml:space="preserve"> after semantic support, resources are need</w:t>
      </w:r>
      <w:r w:rsidR="00575298">
        <w:t>ed</w:t>
      </w:r>
      <w:r w:rsidR="003151BB">
        <w:t xml:space="preserve"> to aid in the binding and reconstruction of an item</w:t>
      </w:r>
      <w:r w:rsidR="002A58B6">
        <w:t xml:space="preserve"> at retrieval</w:t>
      </w:r>
      <w:r w:rsidR="003151BB">
        <w:t xml:space="preserve">. </w:t>
      </w:r>
      <w:r w:rsidR="0098571F">
        <w:t>However</w:t>
      </w:r>
      <w:r w:rsidR="003151BB">
        <w:t xml:space="preserve">, and due to the </w:t>
      </w:r>
      <w:r w:rsidR="0098571F">
        <w:t xml:space="preserve">onset (overlapping response times) and </w:t>
      </w:r>
      <w:r w:rsidR="003151BB">
        <w:t xml:space="preserve">prolonged nature of the LPN, </w:t>
      </w:r>
      <w:r w:rsidR="002A58B6">
        <w:t xml:space="preserve">these data largely reflect </w:t>
      </w:r>
      <w:r w:rsidR="003151BB">
        <w:t xml:space="preserve">executive and monitoring processes </w:t>
      </w:r>
      <w:r w:rsidR="002A58B6">
        <w:t xml:space="preserve">that </w:t>
      </w:r>
      <w:r w:rsidR="003151BB">
        <w:t xml:space="preserve">are engaged when uncertainty exists </w:t>
      </w:r>
      <w:r w:rsidR="002A58B6">
        <w:t xml:space="preserve">after the retrieval of ‘poorly’ encoding items into working memory. </w:t>
      </w:r>
    </w:p>
    <w:p w14:paraId="219DC5BC" w14:textId="77777777" w:rsidR="004F680E" w:rsidRDefault="004F680E" w:rsidP="00E6577B">
      <w:pPr>
        <w:spacing w:line="480" w:lineRule="auto"/>
      </w:pPr>
    </w:p>
    <w:p w14:paraId="3AC1A682" w14:textId="77777777" w:rsidR="00233EE7" w:rsidRDefault="00233EE7" w:rsidP="00E6577B">
      <w:pPr>
        <w:spacing w:line="480" w:lineRule="auto"/>
      </w:pPr>
      <w:r>
        <w:lastRenderedPageBreak/>
        <w:br w:type="page"/>
      </w:r>
    </w:p>
    <w:p w14:paraId="321D9668" w14:textId="77777777" w:rsidR="002A6628" w:rsidRDefault="002A6628" w:rsidP="002A6628">
      <w:pPr>
        <w:autoSpaceDE w:val="0"/>
        <w:autoSpaceDN w:val="0"/>
        <w:adjustRightInd w:val="0"/>
        <w:sectPr w:rsidR="002A6628" w:rsidSect="00352097">
          <w:pgSz w:w="11906" w:h="16838"/>
          <w:pgMar w:top="1440" w:right="1797" w:bottom="1440" w:left="1797" w:header="709" w:footer="709" w:gutter="0"/>
          <w:cols w:space="708"/>
          <w:docGrid w:linePitch="360"/>
        </w:sectPr>
      </w:pPr>
    </w:p>
    <w:p w14:paraId="341FE1B5" w14:textId="16E38877" w:rsidR="002E772A" w:rsidRDefault="002E772A" w:rsidP="002E772A">
      <w:r>
        <w:lastRenderedPageBreak/>
        <w:t xml:space="preserve">Table 1. </w:t>
      </w:r>
      <w:r w:rsidRPr="0003126A">
        <w:t>The relationships between task response times</w:t>
      </w:r>
      <w:r w:rsidR="00A14458">
        <w:t xml:space="preserve"> </w:t>
      </w:r>
      <w:r w:rsidRPr="0003126A">
        <w:t>and magnitud</w:t>
      </w:r>
      <w:r>
        <w:t xml:space="preserve">e of the </w:t>
      </w:r>
      <w:r w:rsidR="00A14458">
        <w:t>LPN</w:t>
      </w:r>
      <w:r>
        <w:t xml:space="preserve"> ERP component at selected sites</w:t>
      </w:r>
      <w:r w:rsidR="00A14458">
        <w:t xml:space="preserve"> across low and high semantic stimulus types</w:t>
      </w:r>
    </w:p>
    <w:p w14:paraId="4622B2FF" w14:textId="77777777" w:rsidR="002A6628" w:rsidRPr="00AE1D2D" w:rsidRDefault="002A6628" w:rsidP="002A6628">
      <w:pPr>
        <w:autoSpaceDE w:val="0"/>
        <w:autoSpaceDN w:val="0"/>
        <w:adjustRightInd w:val="0"/>
      </w:pPr>
    </w:p>
    <w:tbl>
      <w:tblPr>
        <w:tblStyle w:val="TableGrid1"/>
        <w:tblW w:w="124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6"/>
        <w:gridCol w:w="735"/>
        <w:gridCol w:w="709"/>
        <w:gridCol w:w="282"/>
        <w:gridCol w:w="764"/>
        <w:gridCol w:w="807"/>
        <w:gridCol w:w="272"/>
        <w:gridCol w:w="678"/>
        <w:gridCol w:w="746"/>
        <w:gridCol w:w="289"/>
        <w:gridCol w:w="728"/>
        <w:gridCol w:w="831"/>
        <w:gridCol w:w="284"/>
        <w:gridCol w:w="850"/>
        <w:gridCol w:w="851"/>
        <w:gridCol w:w="283"/>
        <w:gridCol w:w="709"/>
        <w:gridCol w:w="850"/>
      </w:tblGrid>
      <w:tr w:rsidR="002E772A" w:rsidRPr="002E772A" w14:paraId="69BA1436" w14:textId="77777777" w:rsidTr="00D7340D">
        <w:trPr>
          <w:jc w:val="center"/>
        </w:trPr>
        <w:tc>
          <w:tcPr>
            <w:tcW w:w="1806" w:type="dxa"/>
            <w:vMerge w:val="restart"/>
            <w:tcBorders>
              <w:top w:val="single" w:sz="4" w:space="0" w:color="auto"/>
            </w:tcBorders>
            <w:vAlign w:val="center"/>
          </w:tcPr>
          <w:p w14:paraId="3C39BD19" w14:textId="77777777" w:rsidR="002E772A" w:rsidRPr="002E772A" w:rsidRDefault="002E772A" w:rsidP="00BA2944">
            <w:pPr>
              <w:jc w:val="center"/>
              <w:rPr>
                <w:sz w:val="22"/>
                <w:szCs w:val="22"/>
              </w:rPr>
            </w:pPr>
          </w:p>
        </w:tc>
        <w:tc>
          <w:tcPr>
            <w:tcW w:w="4993" w:type="dxa"/>
            <w:gridSpan w:val="8"/>
            <w:tcBorders>
              <w:top w:val="single" w:sz="4" w:space="0" w:color="auto"/>
            </w:tcBorders>
            <w:vAlign w:val="center"/>
          </w:tcPr>
          <w:p w14:paraId="0E184778" w14:textId="77777777" w:rsidR="002E772A" w:rsidRPr="002E772A" w:rsidRDefault="002E772A">
            <w:pPr>
              <w:jc w:val="center"/>
              <w:rPr>
                <w:sz w:val="22"/>
                <w:szCs w:val="22"/>
              </w:rPr>
            </w:pPr>
            <w:r w:rsidRPr="002E772A">
              <w:rPr>
                <w:sz w:val="22"/>
                <w:szCs w:val="22"/>
              </w:rPr>
              <w:t>Low Semantic ERPs</w:t>
            </w:r>
          </w:p>
        </w:tc>
        <w:tc>
          <w:tcPr>
            <w:tcW w:w="289" w:type="dxa"/>
            <w:tcBorders>
              <w:top w:val="single" w:sz="4" w:space="0" w:color="auto"/>
            </w:tcBorders>
            <w:vAlign w:val="center"/>
          </w:tcPr>
          <w:p w14:paraId="547A82D6" w14:textId="77777777" w:rsidR="002E772A" w:rsidRPr="002E772A" w:rsidRDefault="002E772A">
            <w:pPr>
              <w:jc w:val="center"/>
              <w:rPr>
                <w:sz w:val="22"/>
                <w:szCs w:val="22"/>
              </w:rPr>
            </w:pPr>
          </w:p>
        </w:tc>
        <w:tc>
          <w:tcPr>
            <w:tcW w:w="5386" w:type="dxa"/>
            <w:gridSpan w:val="8"/>
            <w:tcBorders>
              <w:top w:val="single" w:sz="4" w:space="0" w:color="auto"/>
            </w:tcBorders>
            <w:vAlign w:val="center"/>
          </w:tcPr>
          <w:p w14:paraId="7AFA2714" w14:textId="1B40FA0B" w:rsidR="002E772A" w:rsidRPr="002E772A" w:rsidRDefault="002E772A">
            <w:pPr>
              <w:jc w:val="center"/>
              <w:rPr>
                <w:sz w:val="22"/>
                <w:szCs w:val="22"/>
              </w:rPr>
            </w:pPr>
            <w:r w:rsidRPr="002E772A">
              <w:rPr>
                <w:sz w:val="22"/>
                <w:szCs w:val="22"/>
              </w:rPr>
              <w:t>High Semantic ERP</w:t>
            </w:r>
            <w:r w:rsidR="00BA39FE">
              <w:rPr>
                <w:sz w:val="22"/>
                <w:szCs w:val="22"/>
              </w:rPr>
              <w:t>s</w:t>
            </w:r>
          </w:p>
        </w:tc>
      </w:tr>
      <w:tr w:rsidR="00F168A7" w:rsidRPr="002E772A" w14:paraId="4E50F884" w14:textId="77777777" w:rsidTr="00B82590">
        <w:trPr>
          <w:trHeight w:hRule="exact" w:val="439"/>
          <w:jc w:val="center"/>
        </w:trPr>
        <w:tc>
          <w:tcPr>
            <w:tcW w:w="1806" w:type="dxa"/>
            <w:vMerge/>
            <w:vAlign w:val="center"/>
          </w:tcPr>
          <w:p w14:paraId="22A655D4" w14:textId="77777777" w:rsidR="002E772A" w:rsidRPr="002E772A" w:rsidRDefault="002E772A" w:rsidP="00BA2944">
            <w:pPr>
              <w:jc w:val="center"/>
              <w:rPr>
                <w:sz w:val="22"/>
                <w:szCs w:val="22"/>
              </w:rPr>
            </w:pPr>
          </w:p>
        </w:tc>
        <w:tc>
          <w:tcPr>
            <w:tcW w:w="1444" w:type="dxa"/>
            <w:gridSpan w:val="2"/>
            <w:tcBorders>
              <w:top w:val="single" w:sz="4" w:space="0" w:color="auto"/>
              <w:bottom w:val="single" w:sz="4" w:space="0" w:color="auto"/>
            </w:tcBorders>
            <w:vAlign w:val="center"/>
          </w:tcPr>
          <w:p w14:paraId="6237634E" w14:textId="77777777" w:rsidR="002E772A" w:rsidRPr="002E772A" w:rsidRDefault="002E772A">
            <w:pPr>
              <w:jc w:val="center"/>
              <w:rPr>
                <w:sz w:val="22"/>
                <w:szCs w:val="22"/>
              </w:rPr>
            </w:pPr>
            <w:r w:rsidRPr="002E772A">
              <w:rPr>
                <w:sz w:val="22"/>
                <w:szCs w:val="22"/>
              </w:rPr>
              <w:t>CP1</w:t>
            </w:r>
          </w:p>
        </w:tc>
        <w:tc>
          <w:tcPr>
            <w:tcW w:w="282" w:type="dxa"/>
            <w:tcBorders>
              <w:top w:val="single" w:sz="4" w:space="0" w:color="auto"/>
            </w:tcBorders>
            <w:vAlign w:val="center"/>
          </w:tcPr>
          <w:p w14:paraId="01E99782" w14:textId="77777777" w:rsidR="002E772A" w:rsidRPr="002E772A" w:rsidRDefault="002E772A">
            <w:pPr>
              <w:jc w:val="center"/>
              <w:rPr>
                <w:sz w:val="22"/>
                <w:szCs w:val="22"/>
              </w:rPr>
            </w:pPr>
          </w:p>
        </w:tc>
        <w:tc>
          <w:tcPr>
            <w:tcW w:w="1571" w:type="dxa"/>
            <w:gridSpan w:val="2"/>
            <w:tcBorders>
              <w:top w:val="single" w:sz="4" w:space="0" w:color="auto"/>
            </w:tcBorders>
            <w:vAlign w:val="center"/>
          </w:tcPr>
          <w:p w14:paraId="7966067A" w14:textId="77777777" w:rsidR="002E772A" w:rsidRPr="002E772A" w:rsidRDefault="002E772A">
            <w:pPr>
              <w:jc w:val="center"/>
              <w:rPr>
                <w:sz w:val="22"/>
                <w:szCs w:val="22"/>
              </w:rPr>
            </w:pPr>
            <w:r w:rsidRPr="002E772A">
              <w:rPr>
                <w:sz w:val="22"/>
                <w:szCs w:val="22"/>
              </w:rPr>
              <w:t>CZ</w:t>
            </w:r>
          </w:p>
        </w:tc>
        <w:tc>
          <w:tcPr>
            <w:tcW w:w="272" w:type="dxa"/>
            <w:tcBorders>
              <w:top w:val="single" w:sz="4" w:space="0" w:color="auto"/>
            </w:tcBorders>
            <w:vAlign w:val="center"/>
          </w:tcPr>
          <w:p w14:paraId="5A1375A0" w14:textId="77777777" w:rsidR="002E772A" w:rsidRPr="002E772A" w:rsidRDefault="002E772A">
            <w:pPr>
              <w:jc w:val="center"/>
              <w:rPr>
                <w:sz w:val="22"/>
                <w:szCs w:val="22"/>
              </w:rPr>
            </w:pPr>
          </w:p>
        </w:tc>
        <w:tc>
          <w:tcPr>
            <w:tcW w:w="1424" w:type="dxa"/>
            <w:gridSpan w:val="2"/>
            <w:tcBorders>
              <w:top w:val="single" w:sz="4" w:space="0" w:color="auto"/>
              <w:bottom w:val="single" w:sz="4" w:space="0" w:color="auto"/>
            </w:tcBorders>
            <w:vAlign w:val="center"/>
          </w:tcPr>
          <w:p w14:paraId="37945CE8" w14:textId="77777777" w:rsidR="002E772A" w:rsidRPr="002E772A" w:rsidRDefault="002E772A">
            <w:pPr>
              <w:jc w:val="center"/>
              <w:rPr>
                <w:sz w:val="22"/>
                <w:szCs w:val="22"/>
              </w:rPr>
            </w:pPr>
            <w:r w:rsidRPr="002E772A">
              <w:rPr>
                <w:sz w:val="22"/>
                <w:szCs w:val="22"/>
              </w:rPr>
              <w:t>CP2</w:t>
            </w:r>
          </w:p>
        </w:tc>
        <w:tc>
          <w:tcPr>
            <w:tcW w:w="289" w:type="dxa"/>
            <w:vAlign w:val="center"/>
          </w:tcPr>
          <w:p w14:paraId="51BD0BB1" w14:textId="77777777" w:rsidR="002E772A" w:rsidRPr="002E772A" w:rsidRDefault="002E772A">
            <w:pPr>
              <w:jc w:val="center"/>
              <w:rPr>
                <w:sz w:val="22"/>
                <w:szCs w:val="22"/>
              </w:rPr>
            </w:pPr>
          </w:p>
        </w:tc>
        <w:tc>
          <w:tcPr>
            <w:tcW w:w="1559" w:type="dxa"/>
            <w:gridSpan w:val="2"/>
            <w:tcBorders>
              <w:top w:val="single" w:sz="4" w:space="0" w:color="auto"/>
              <w:bottom w:val="single" w:sz="4" w:space="0" w:color="auto"/>
            </w:tcBorders>
            <w:vAlign w:val="center"/>
          </w:tcPr>
          <w:p w14:paraId="5C767637" w14:textId="77777777" w:rsidR="002E772A" w:rsidRPr="002E772A" w:rsidRDefault="002E772A">
            <w:pPr>
              <w:jc w:val="center"/>
              <w:rPr>
                <w:sz w:val="22"/>
                <w:szCs w:val="22"/>
              </w:rPr>
            </w:pPr>
            <w:r w:rsidRPr="002E772A">
              <w:rPr>
                <w:sz w:val="22"/>
                <w:szCs w:val="22"/>
              </w:rPr>
              <w:t>CP1</w:t>
            </w:r>
          </w:p>
        </w:tc>
        <w:tc>
          <w:tcPr>
            <w:tcW w:w="284" w:type="dxa"/>
            <w:tcBorders>
              <w:top w:val="single" w:sz="4" w:space="0" w:color="auto"/>
            </w:tcBorders>
            <w:vAlign w:val="center"/>
          </w:tcPr>
          <w:p w14:paraId="47A211EB" w14:textId="77777777" w:rsidR="002E772A" w:rsidRPr="002E772A" w:rsidRDefault="002E772A">
            <w:pPr>
              <w:jc w:val="center"/>
              <w:rPr>
                <w:sz w:val="22"/>
                <w:szCs w:val="22"/>
              </w:rPr>
            </w:pPr>
          </w:p>
        </w:tc>
        <w:tc>
          <w:tcPr>
            <w:tcW w:w="1701" w:type="dxa"/>
            <w:gridSpan w:val="2"/>
            <w:tcBorders>
              <w:top w:val="single" w:sz="4" w:space="0" w:color="auto"/>
              <w:bottom w:val="single" w:sz="4" w:space="0" w:color="auto"/>
            </w:tcBorders>
            <w:vAlign w:val="center"/>
          </w:tcPr>
          <w:p w14:paraId="2F963A77" w14:textId="77777777" w:rsidR="002E772A" w:rsidRPr="002E772A" w:rsidRDefault="002E772A">
            <w:pPr>
              <w:jc w:val="center"/>
              <w:rPr>
                <w:sz w:val="22"/>
                <w:szCs w:val="22"/>
              </w:rPr>
            </w:pPr>
            <w:r w:rsidRPr="002E772A">
              <w:rPr>
                <w:sz w:val="22"/>
                <w:szCs w:val="22"/>
              </w:rPr>
              <w:t>CZ</w:t>
            </w:r>
          </w:p>
        </w:tc>
        <w:tc>
          <w:tcPr>
            <w:tcW w:w="283" w:type="dxa"/>
            <w:tcBorders>
              <w:top w:val="single" w:sz="4" w:space="0" w:color="auto"/>
            </w:tcBorders>
            <w:vAlign w:val="center"/>
          </w:tcPr>
          <w:p w14:paraId="314DB5C2" w14:textId="77777777" w:rsidR="002E772A" w:rsidRPr="002E772A" w:rsidRDefault="002E772A">
            <w:pPr>
              <w:jc w:val="center"/>
              <w:rPr>
                <w:sz w:val="22"/>
                <w:szCs w:val="22"/>
              </w:rPr>
            </w:pPr>
          </w:p>
        </w:tc>
        <w:tc>
          <w:tcPr>
            <w:tcW w:w="1559" w:type="dxa"/>
            <w:gridSpan w:val="2"/>
            <w:tcBorders>
              <w:top w:val="single" w:sz="4" w:space="0" w:color="auto"/>
              <w:bottom w:val="single" w:sz="4" w:space="0" w:color="auto"/>
            </w:tcBorders>
            <w:vAlign w:val="center"/>
          </w:tcPr>
          <w:p w14:paraId="0D4294BE" w14:textId="77777777" w:rsidR="002E772A" w:rsidRPr="002E772A" w:rsidRDefault="002E772A">
            <w:pPr>
              <w:jc w:val="center"/>
              <w:rPr>
                <w:sz w:val="22"/>
                <w:szCs w:val="22"/>
              </w:rPr>
            </w:pPr>
            <w:r w:rsidRPr="002E772A">
              <w:rPr>
                <w:sz w:val="22"/>
                <w:szCs w:val="22"/>
              </w:rPr>
              <w:t>CP2</w:t>
            </w:r>
          </w:p>
        </w:tc>
      </w:tr>
      <w:tr w:rsidR="00F168A7" w:rsidRPr="002E772A" w14:paraId="06EB145C" w14:textId="77777777" w:rsidTr="00B82590">
        <w:trPr>
          <w:jc w:val="center"/>
        </w:trPr>
        <w:tc>
          <w:tcPr>
            <w:tcW w:w="1806" w:type="dxa"/>
            <w:vMerge/>
            <w:tcBorders>
              <w:bottom w:val="single" w:sz="4" w:space="0" w:color="auto"/>
            </w:tcBorders>
            <w:vAlign w:val="center"/>
          </w:tcPr>
          <w:p w14:paraId="135AC256" w14:textId="77777777" w:rsidR="002E772A" w:rsidRPr="002E772A" w:rsidRDefault="002E772A" w:rsidP="00BA2944">
            <w:pPr>
              <w:jc w:val="center"/>
              <w:rPr>
                <w:sz w:val="22"/>
                <w:szCs w:val="22"/>
              </w:rPr>
            </w:pPr>
          </w:p>
        </w:tc>
        <w:tc>
          <w:tcPr>
            <w:tcW w:w="735" w:type="dxa"/>
            <w:tcBorders>
              <w:top w:val="single" w:sz="4" w:space="0" w:color="auto"/>
              <w:bottom w:val="single" w:sz="4" w:space="0" w:color="auto"/>
            </w:tcBorders>
            <w:vAlign w:val="center"/>
          </w:tcPr>
          <w:p w14:paraId="1BDE23AD" w14:textId="77777777" w:rsidR="002E772A" w:rsidRPr="002E772A" w:rsidRDefault="002E772A" w:rsidP="00BA2944">
            <w:pPr>
              <w:jc w:val="center"/>
              <w:rPr>
                <w:sz w:val="22"/>
                <w:szCs w:val="22"/>
              </w:rPr>
            </w:pPr>
            <w:r w:rsidRPr="002E772A">
              <w:rPr>
                <w:sz w:val="22"/>
                <w:szCs w:val="22"/>
              </w:rPr>
              <w:t>r</w:t>
            </w:r>
          </w:p>
        </w:tc>
        <w:tc>
          <w:tcPr>
            <w:tcW w:w="709" w:type="dxa"/>
            <w:tcBorders>
              <w:top w:val="single" w:sz="4" w:space="0" w:color="auto"/>
              <w:bottom w:val="single" w:sz="4" w:space="0" w:color="auto"/>
            </w:tcBorders>
            <w:vAlign w:val="center"/>
          </w:tcPr>
          <w:p w14:paraId="340B73CC" w14:textId="77777777" w:rsidR="002E772A" w:rsidRPr="002E772A" w:rsidRDefault="002E772A" w:rsidP="00BA2944">
            <w:pPr>
              <w:jc w:val="center"/>
              <w:rPr>
                <w:i/>
                <w:sz w:val="22"/>
                <w:szCs w:val="22"/>
              </w:rPr>
            </w:pPr>
            <w:r w:rsidRPr="002E772A">
              <w:rPr>
                <w:sz w:val="22"/>
                <w:szCs w:val="22"/>
              </w:rPr>
              <w:t xml:space="preserve">Sig. </w:t>
            </w:r>
            <w:r w:rsidRPr="002E772A">
              <w:rPr>
                <w:i/>
                <w:sz w:val="22"/>
                <w:szCs w:val="22"/>
              </w:rPr>
              <w:t>p</w:t>
            </w:r>
          </w:p>
        </w:tc>
        <w:tc>
          <w:tcPr>
            <w:tcW w:w="282" w:type="dxa"/>
            <w:tcBorders>
              <w:bottom w:val="single" w:sz="4" w:space="0" w:color="auto"/>
            </w:tcBorders>
            <w:vAlign w:val="center"/>
          </w:tcPr>
          <w:p w14:paraId="36662BAE" w14:textId="77777777" w:rsidR="002E772A" w:rsidRPr="002E772A" w:rsidRDefault="002E772A" w:rsidP="00BA2944">
            <w:pPr>
              <w:jc w:val="center"/>
              <w:rPr>
                <w:sz w:val="22"/>
                <w:szCs w:val="22"/>
              </w:rPr>
            </w:pPr>
          </w:p>
        </w:tc>
        <w:tc>
          <w:tcPr>
            <w:tcW w:w="764" w:type="dxa"/>
            <w:tcBorders>
              <w:top w:val="single" w:sz="4" w:space="0" w:color="auto"/>
              <w:bottom w:val="single" w:sz="4" w:space="0" w:color="auto"/>
            </w:tcBorders>
            <w:vAlign w:val="center"/>
          </w:tcPr>
          <w:p w14:paraId="08A6927F" w14:textId="77777777" w:rsidR="002E772A" w:rsidRPr="002E772A" w:rsidRDefault="002E772A" w:rsidP="00BA2944">
            <w:pPr>
              <w:jc w:val="center"/>
              <w:rPr>
                <w:sz w:val="22"/>
                <w:szCs w:val="22"/>
              </w:rPr>
            </w:pPr>
            <w:r w:rsidRPr="002E772A">
              <w:rPr>
                <w:sz w:val="22"/>
                <w:szCs w:val="22"/>
              </w:rPr>
              <w:t>r</w:t>
            </w:r>
          </w:p>
        </w:tc>
        <w:tc>
          <w:tcPr>
            <w:tcW w:w="807" w:type="dxa"/>
            <w:tcBorders>
              <w:top w:val="single" w:sz="4" w:space="0" w:color="auto"/>
              <w:bottom w:val="single" w:sz="4" w:space="0" w:color="auto"/>
            </w:tcBorders>
            <w:vAlign w:val="center"/>
          </w:tcPr>
          <w:p w14:paraId="794ED545" w14:textId="77777777" w:rsidR="002E772A" w:rsidRPr="002E772A" w:rsidRDefault="002E772A" w:rsidP="00BA2944">
            <w:pPr>
              <w:jc w:val="center"/>
              <w:rPr>
                <w:sz w:val="22"/>
                <w:szCs w:val="22"/>
              </w:rPr>
            </w:pPr>
            <w:r w:rsidRPr="002E772A">
              <w:rPr>
                <w:sz w:val="22"/>
                <w:szCs w:val="22"/>
              </w:rPr>
              <w:t xml:space="preserve">Sig. </w:t>
            </w:r>
            <w:r w:rsidRPr="002E772A">
              <w:rPr>
                <w:i/>
                <w:sz w:val="22"/>
                <w:szCs w:val="22"/>
              </w:rPr>
              <w:t>p</w:t>
            </w:r>
          </w:p>
        </w:tc>
        <w:tc>
          <w:tcPr>
            <w:tcW w:w="272" w:type="dxa"/>
            <w:tcBorders>
              <w:bottom w:val="single" w:sz="4" w:space="0" w:color="auto"/>
            </w:tcBorders>
            <w:vAlign w:val="center"/>
          </w:tcPr>
          <w:p w14:paraId="6058AEAD" w14:textId="77777777" w:rsidR="002E772A" w:rsidRPr="002E772A" w:rsidRDefault="002E772A" w:rsidP="00BA2944">
            <w:pPr>
              <w:jc w:val="center"/>
              <w:rPr>
                <w:sz w:val="22"/>
                <w:szCs w:val="22"/>
              </w:rPr>
            </w:pPr>
          </w:p>
        </w:tc>
        <w:tc>
          <w:tcPr>
            <w:tcW w:w="678" w:type="dxa"/>
            <w:tcBorders>
              <w:top w:val="single" w:sz="4" w:space="0" w:color="auto"/>
              <w:bottom w:val="single" w:sz="4" w:space="0" w:color="auto"/>
            </w:tcBorders>
            <w:vAlign w:val="center"/>
          </w:tcPr>
          <w:p w14:paraId="4532115E" w14:textId="5133F5A2" w:rsidR="002E772A" w:rsidRPr="002E772A" w:rsidRDefault="00FD322A" w:rsidP="00BA2944">
            <w:pPr>
              <w:jc w:val="center"/>
              <w:rPr>
                <w:sz w:val="22"/>
                <w:szCs w:val="22"/>
              </w:rPr>
            </w:pPr>
            <w:r>
              <w:rPr>
                <w:sz w:val="22"/>
                <w:szCs w:val="22"/>
              </w:rPr>
              <w:t>r</w:t>
            </w:r>
          </w:p>
        </w:tc>
        <w:tc>
          <w:tcPr>
            <w:tcW w:w="746" w:type="dxa"/>
            <w:tcBorders>
              <w:top w:val="single" w:sz="4" w:space="0" w:color="auto"/>
              <w:bottom w:val="single" w:sz="4" w:space="0" w:color="auto"/>
            </w:tcBorders>
            <w:vAlign w:val="center"/>
          </w:tcPr>
          <w:p w14:paraId="2CD119EB" w14:textId="77777777" w:rsidR="002E772A" w:rsidRPr="002E772A" w:rsidRDefault="002E772A" w:rsidP="00BA2944">
            <w:pPr>
              <w:jc w:val="center"/>
              <w:rPr>
                <w:sz w:val="22"/>
                <w:szCs w:val="22"/>
              </w:rPr>
            </w:pPr>
            <w:r w:rsidRPr="002E772A">
              <w:rPr>
                <w:sz w:val="22"/>
                <w:szCs w:val="22"/>
              </w:rPr>
              <w:t xml:space="preserve">Sig. </w:t>
            </w:r>
            <w:r w:rsidRPr="002E772A">
              <w:rPr>
                <w:i/>
                <w:sz w:val="22"/>
                <w:szCs w:val="22"/>
              </w:rPr>
              <w:t>p</w:t>
            </w:r>
          </w:p>
        </w:tc>
        <w:tc>
          <w:tcPr>
            <w:tcW w:w="289" w:type="dxa"/>
            <w:tcBorders>
              <w:bottom w:val="single" w:sz="4" w:space="0" w:color="auto"/>
            </w:tcBorders>
            <w:vAlign w:val="center"/>
          </w:tcPr>
          <w:p w14:paraId="6CDC0CE2" w14:textId="77777777" w:rsidR="002E772A" w:rsidRPr="002E772A" w:rsidRDefault="002E772A" w:rsidP="00BA2944">
            <w:pPr>
              <w:jc w:val="center"/>
              <w:rPr>
                <w:sz w:val="22"/>
                <w:szCs w:val="22"/>
              </w:rPr>
            </w:pPr>
          </w:p>
        </w:tc>
        <w:tc>
          <w:tcPr>
            <w:tcW w:w="728" w:type="dxa"/>
            <w:tcBorders>
              <w:top w:val="single" w:sz="4" w:space="0" w:color="auto"/>
              <w:bottom w:val="single" w:sz="4" w:space="0" w:color="auto"/>
            </w:tcBorders>
            <w:vAlign w:val="center"/>
          </w:tcPr>
          <w:p w14:paraId="50E72300" w14:textId="26C52C99" w:rsidR="002E772A" w:rsidRPr="002E772A" w:rsidRDefault="002E772A" w:rsidP="00BA2944">
            <w:pPr>
              <w:jc w:val="center"/>
              <w:rPr>
                <w:sz w:val="22"/>
                <w:szCs w:val="22"/>
              </w:rPr>
            </w:pPr>
            <w:r w:rsidRPr="002E772A">
              <w:rPr>
                <w:sz w:val="22"/>
                <w:szCs w:val="22"/>
              </w:rPr>
              <w:t>r</w:t>
            </w:r>
          </w:p>
        </w:tc>
        <w:tc>
          <w:tcPr>
            <w:tcW w:w="831" w:type="dxa"/>
            <w:tcBorders>
              <w:top w:val="single" w:sz="4" w:space="0" w:color="auto"/>
              <w:bottom w:val="single" w:sz="4" w:space="0" w:color="auto"/>
            </w:tcBorders>
            <w:vAlign w:val="center"/>
          </w:tcPr>
          <w:p w14:paraId="4E369C3A" w14:textId="77777777" w:rsidR="002E772A" w:rsidRPr="002E772A" w:rsidRDefault="002E772A" w:rsidP="00BA2944">
            <w:pPr>
              <w:jc w:val="center"/>
              <w:rPr>
                <w:sz w:val="22"/>
                <w:szCs w:val="22"/>
              </w:rPr>
            </w:pPr>
            <w:r w:rsidRPr="002E772A">
              <w:rPr>
                <w:sz w:val="22"/>
                <w:szCs w:val="22"/>
              </w:rPr>
              <w:t xml:space="preserve">Sig. </w:t>
            </w:r>
            <w:r w:rsidRPr="002E772A">
              <w:rPr>
                <w:i/>
                <w:sz w:val="22"/>
                <w:szCs w:val="22"/>
              </w:rPr>
              <w:t>p</w:t>
            </w:r>
          </w:p>
        </w:tc>
        <w:tc>
          <w:tcPr>
            <w:tcW w:w="284" w:type="dxa"/>
            <w:tcBorders>
              <w:bottom w:val="single" w:sz="4" w:space="0" w:color="auto"/>
            </w:tcBorders>
            <w:vAlign w:val="center"/>
          </w:tcPr>
          <w:p w14:paraId="2014461F" w14:textId="77777777" w:rsidR="002E772A" w:rsidRPr="002E772A" w:rsidRDefault="002E772A" w:rsidP="00BA2944">
            <w:pPr>
              <w:jc w:val="center"/>
              <w:rPr>
                <w:sz w:val="22"/>
                <w:szCs w:val="22"/>
              </w:rPr>
            </w:pPr>
          </w:p>
        </w:tc>
        <w:tc>
          <w:tcPr>
            <w:tcW w:w="850" w:type="dxa"/>
            <w:tcBorders>
              <w:top w:val="single" w:sz="4" w:space="0" w:color="auto"/>
              <w:bottom w:val="single" w:sz="4" w:space="0" w:color="auto"/>
            </w:tcBorders>
            <w:vAlign w:val="center"/>
          </w:tcPr>
          <w:p w14:paraId="44D2E010" w14:textId="77777777" w:rsidR="002E772A" w:rsidRPr="002E772A" w:rsidRDefault="002E772A" w:rsidP="00BA2944">
            <w:pPr>
              <w:jc w:val="center"/>
              <w:rPr>
                <w:sz w:val="22"/>
                <w:szCs w:val="22"/>
              </w:rPr>
            </w:pPr>
            <w:r w:rsidRPr="002E772A">
              <w:rPr>
                <w:sz w:val="22"/>
                <w:szCs w:val="22"/>
              </w:rPr>
              <w:t>r</w:t>
            </w:r>
          </w:p>
        </w:tc>
        <w:tc>
          <w:tcPr>
            <w:tcW w:w="851" w:type="dxa"/>
            <w:tcBorders>
              <w:top w:val="single" w:sz="4" w:space="0" w:color="auto"/>
              <w:bottom w:val="single" w:sz="4" w:space="0" w:color="auto"/>
            </w:tcBorders>
            <w:vAlign w:val="center"/>
          </w:tcPr>
          <w:p w14:paraId="68EAA69E" w14:textId="77777777" w:rsidR="002E772A" w:rsidRPr="002E772A" w:rsidRDefault="002E772A" w:rsidP="00BA2944">
            <w:pPr>
              <w:jc w:val="center"/>
              <w:rPr>
                <w:sz w:val="22"/>
                <w:szCs w:val="22"/>
              </w:rPr>
            </w:pPr>
            <w:r w:rsidRPr="002E772A">
              <w:rPr>
                <w:sz w:val="22"/>
                <w:szCs w:val="22"/>
              </w:rPr>
              <w:t xml:space="preserve">Sig. </w:t>
            </w:r>
            <w:r w:rsidRPr="002E772A">
              <w:rPr>
                <w:i/>
                <w:sz w:val="22"/>
                <w:szCs w:val="22"/>
              </w:rPr>
              <w:t>p</w:t>
            </w:r>
          </w:p>
        </w:tc>
        <w:tc>
          <w:tcPr>
            <w:tcW w:w="283" w:type="dxa"/>
            <w:tcBorders>
              <w:bottom w:val="single" w:sz="4" w:space="0" w:color="auto"/>
            </w:tcBorders>
            <w:vAlign w:val="center"/>
          </w:tcPr>
          <w:p w14:paraId="0D06EF51" w14:textId="77777777" w:rsidR="002E772A" w:rsidRPr="002E772A" w:rsidRDefault="002E772A" w:rsidP="00BA2944">
            <w:pPr>
              <w:jc w:val="center"/>
              <w:rPr>
                <w:sz w:val="22"/>
                <w:szCs w:val="22"/>
              </w:rPr>
            </w:pPr>
          </w:p>
        </w:tc>
        <w:tc>
          <w:tcPr>
            <w:tcW w:w="709" w:type="dxa"/>
            <w:tcBorders>
              <w:top w:val="single" w:sz="4" w:space="0" w:color="auto"/>
              <w:bottom w:val="single" w:sz="4" w:space="0" w:color="auto"/>
            </w:tcBorders>
            <w:vAlign w:val="center"/>
          </w:tcPr>
          <w:p w14:paraId="5E17A9D3" w14:textId="77777777" w:rsidR="002E772A" w:rsidRPr="002E772A" w:rsidRDefault="002E772A" w:rsidP="00BA2944">
            <w:pPr>
              <w:jc w:val="center"/>
              <w:rPr>
                <w:sz w:val="22"/>
                <w:szCs w:val="22"/>
              </w:rPr>
            </w:pPr>
            <w:r w:rsidRPr="002E772A">
              <w:rPr>
                <w:sz w:val="22"/>
                <w:szCs w:val="22"/>
              </w:rPr>
              <w:t>r</w:t>
            </w:r>
          </w:p>
        </w:tc>
        <w:tc>
          <w:tcPr>
            <w:tcW w:w="850" w:type="dxa"/>
            <w:tcBorders>
              <w:top w:val="single" w:sz="4" w:space="0" w:color="auto"/>
              <w:bottom w:val="single" w:sz="4" w:space="0" w:color="auto"/>
            </w:tcBorders>
            <w:vAlign w:val="center"/>
          </w:tcPr>
          <w:p w14:paraId="4CDAF4B8" w14:textId="77777777" w:rsidR="002E772A" w:rsidRPr="002E772A" w:rsidRDefault="002E772A" w:rsidP="00BA2944">
            <w:pPr>
              <w:jc w:val="center"/>
              <w:rPr>
                <w:sz w:val="22"/>
                <w:szCs w:val="22"/>
              </w:rPr>
            </w:pPr>
            <w:r w:rsidRPr="002E772A">
              <w:rPr>
                <w:sz w:val="22"/>
                <w:szCs w:val="22"/>
              </w:rPr>
              <w:t xml:space="preserve">Sig. </w:t>
            </w:r>
            <w:r w:rsidRPr="002E772A">
              <w:rPr>
                <w:i/>
                <w:sz w:val="22"/>
                <w:szCs w:val="22"/>
              </w:rPr>
              <w:t>p</w:t>
            </w:r>
          </w:p>
        </w:tc>
      </w:tr>
      <w:tr w:rsidR="002E772A" w:rsidRPr="002E772A" w14:paraId="35731D4F" w14:textId="77777777" w:rsidTr="00D7340D">
        <w:trPr>
          <w:jc w:val="center"/>
        </w:trPr>
        <w:tc>
          <w:tcPr>
            <w:tcW w:w="1806" w:type="dxa"/>
            <w:tcBorders>
              <w:top w:val="single" w:sz="4" w:space="0" w:color="auto"/>
            </w:tcBorders>
            <w:vAlign w:val="center"/>
          </w:tcPr>
          <w:p w14:paraId="0378B4EA" w14:textId="77777777" w:rsidR="002E772A" w:rsidRPr="002E772A" w:rsidRDefault="002E772A" w:rsidP="00BA2944">
            <w:pPr>
              <w:jc w:val="center"/>
              <w:rPr>
                <w:sz w:val="22"/>
                <w:szCs w:val="22"/>
                <w:u w:val="single"/>
              </w:rPr>
            </w:pPr>
            <w:r w:rsidRPr="002E772A">
              <w:rPr>
                <w:sz w:val="22"/>
                <w:szCs w:val="22"/>
                <w:u w:val="single"/>
              </w:rPr>
              <w:t>Low Semantic RT</w:t>
            </w:r>
          </w:p>
        </w:tc>
        <w:tc>
          <w:tcPr>
            <w:tcW w:w="735" w:type="dxa"/>
            <w:vAlign w:val="center"/>
          </w:tcPr>
          <w:p w14:paraId="48C11DEB" w14:textId="77777777" w:rsidR="002E772A" w:rsidRPr="002E772A" w:rsidRDefault="002E772A">
            <w:pPr>
              <w:jc w:val="center"/>
              <w:rPr>
                <w:sz w:val="22"/>
                <w:szCs w:val="22"/>
              </w:rPr>
            </w:pPr>
            <w:r w:rsidRPr="002E772A">
              <w:rPr>
                <w:sz w:val="22"/>
                <w:szCs w:val="22"/>
              </w:rPr>
              <w:t>-0.16</w:t>
            </w:r>
          </w:p>
        </w:tc>
        <w:tc>
          <w:tcPr>
            <w:tcW w:w="709" w:type="dxa"/>
            <w:vAlign w:val="center"/>
          </w:tcPr>
          <w:p w14:paraId="33A5A0F4" w14:textId="77777777" w:rsidR="002E772A" w:rsidRPr="002E772A" w:rsidRDefault="002E772A">
            <w:pPr>
              <w:jc w:val="center"/>
              <w:rPr>
                <w:sz w:val="22"/>
                <w:szCs w:val="22"/>
              </w:rPr>
            </w:pPr>
            <w:r w:rsidRPr="002E772A">
              <w:rPr>
                <w:sz w:val="22"/>
                <w:szCs w:val="22"/>
              </w:rPr>
              <w:t>0.28</w:t>
            </w:r>
          </w:p>
        </w:tc>
        <w:tc>
          <w:tcPr>
            <w:tcW w:w="282" w:type="dxa"/>
            <w:vAlign w:val="center"/>
          </w:tcPr>
          <w:p w14:paraId="741C8FA6" w14:textId="77777777" w:rsidR="002E772A" w:rsidRPr="002E772A" w:rsidRDefault="002E772A">
            <w:pPr>
              <w:jc w:val="center"/>
              <w:rPr>
                <w:sz w:val="22"/>
                <w:szCs w:val="22"/>
              </w:rPr>
            </w:pPr>
          </w:p>
        </w:tc>
        <w:tc>
          <w:tcPr>
            <w:tcW w:w="764" w:type="dxa"/>
            <w:vAlign w:val="center"/>
          </w:tcPr>
          <w:p w14:paraId="06BFB970" w14:textId="77777777" w:rsidR="002E772A" w:rsidRPr="002E772A" w:rsidRDefault="002E772A">
            <w:pPr>
              <w:jc w:val="center"/>
              <w:rPr>
                <w:sz w:val="22"/>
                <w:szCs w:val="22"/>
              </w:rPr>
            </w:pPr>
            <w:r w:rsidRPr="002E772A">
              <w:rPr>
                <w:sz w:val="22"/>
                <w:szCs w:val="22"/>
              </w:rPr>
              <w:t>-0.37</w:t>
            </w:r>
          </w:p>
        </w:tc>
        <w:tc>
          <w:tcPr>
            <w:tcW w:w="807" w:type="dxa"/>
            <w:vAlign w:val="center"/>
          </w:tcPr>
          <w:p w14:paraId="0439A0FC" w14:textId="77777777" w:rsidR="002E772A" w:rsidRPr="002E772A" w:rsidRDefault="002E772A">
            <w:pPr>
              <w:jc w:val="center"/>
              <w:rPr>
                <w:sz w:val="22"/>
                <w:szCs w:val="22"/>
              </w:rPr>
            </w:pPr>
            <w:r w:rsidRPr="002E772A">
              <w:rPr>
                <w:sz w:val="22"/>
                <w:szCs w:val="22"/>
              </w:rPr>
              <w:t>0.08</w:t>
            </w:r>
          </w:p>
        </w:tc>
        <w:tc>
          <w:tcPr>
            <w:tcW w:w="272" w:type="dxa"/>
            <w:vAlign w:val="center"/>
          </w:tcPr>
          <w:p w14:paraId="31E185DD" w14:textId="77777777" w:rsidR="002E772A" w:rsidRPr="002E772A" w:rsidRDefault="002E772A">
            <w:pPr>
              <w:jc w:val="center"/>
              <w:rPr>
                <w:sz w:val="22"/>
                <w:szCs w:val="22"/>
              </w:rPr>
            </w:pPr>
          </w:p>
        </w:tc>
        <w:tc>
          <w:tcPr>
            <w:tcW w:w="678" w:type="dxa"/>
            <w:vAlign w:val="center"/>
          </w:tcPr>
          <w:p w14:paraId="33D95078" w14:textId="77777777" w:rsidR="002E772A" w:rsidRPr="002E772A" w:rsidRDefault="002E772A">
            <w:pPr>
              <w:jc w:val="center"/>
              <w:rPr>
                <w:sz w:val="22"/>
                <w:szCs w:val="22"/>
              </w:rPr>
            </w:pPr>
            <w:r w:rsidRPr="002E772A">
              <w:rPr>
                <w:sz w:val="22"/>
                <w:szCs w:val="22"/>
              </w:rPr>
              <w:t>-0.32</w:t>
            </w:r>
          </w:p>
        </w:tc>
        <w:tc>
          <w:tcPr>
            <w:tcW w:w="746" w:type="dxa"/>
            <w:vAlign w:val="center"/>
          </w:tcPr>
          <w:p w14:paraId="32F0D5A0" w14:textId="77777777" w:rsidR="002E772A" w:rsidRPr="002E772A" w:rsidRDefault="002E772A">
            <w:pPr>
              <w:jc w:val="center"/>
              <w:rPr>
                <w:sz w:val="22"/>
                <w:szCs w:val="22"/>
              </w:rPr>
            </w:pPr>
            <w:r w:rsidRPr="002E772A">
              <w:rPr>
                <w:sz w:val="22"/>
                <w:szCs w:val="22"/>
              </w:rPr>
              <w:t>0.12</w:t>
            </w:r>
          </w:p>
        </w:tc>
        <w:tc>
          <w:tcPr>
            <w:tcW w:w="289" w:type="dxa"/>
            <w:vAlign w:val="center"/>
          </w:tcPr>
          <w:p w14:paraId="5C402048" w14:textId="77777777" w:rsidR="002E772A" w:rsidRPr="002E772A" w:rsidRDefault="002E772A">
            <w:pPr>
              <w:jc w:val="center"/>
              <w:rPr>
                <w:sz w:val="22"/>
                <w:szCs w:val="22"/>
              </w:rPr>
            </w:pPr>
          </w:p>
        </w:tc>
        <w:tc>
          <w:tcPr>
            <w:tcW w:w="728" w:type="dxa"/>
            <w:vAlign w:val="center"/>
          </w:tcPr>
          <w:p w14:paraId="23235D19" w14:textId="77777777" w:rsidR="002E772A" w:rsidRPr="002E772A" w:rsidRDefault="002E772A">
            <w:pPr>
              <w:jc w:val="center"/>
              <w:rPr>
                <w:sz w:val="22"/>
                <w:szCs w:val="22"/>
              </w:rPr>
            </w:pPr>
            <w:r w:rsidRPr="002E772A">
              <w:rPr>
                <w:sz w:val="22"/>
                <w:szCs w:val="22"/>
              </w:rPr>
              <w:t>-0.23</w:t>
            </w:r>
          </w:p>
        </w:tc>
        <w:tc>
          <w:tcPr>
            <w:tcW w:w="831" w:type="dxa"/>
            <w:vAlign w:val="center"/>
          </w:tcPr>
          <w:p w14:paraId="1EB753FD" w14:textId="77777777" w:rsidR="002E772A" w:rsidRPr="002E772A" w:rsidRDefault="002E772A">
            <w:pPr>
              <w:jc w:val="center"/>
              <w:rPr>
                <w:sz w:val="22"/>
                <w:szCs w:val="22"/>
              </w:rPr>
            </w:pPr>
            <w:r w:rsidRPr="002E772A">
              <w:rPr>
                <w:sz w:val="22"/>
                <w:szCs w:val="22"/>
              </w:rPr>
              <w:t>0.21</w:t>
            </w:r>
          </w:p>
        </w:tc>
        <w:tc>
          <w:tcPr>
            <w:tcW w:w="284" w:type="dxa"/>
            <w:vAlign w:val="center"/>
          </w:tcPr>
          <w:p w14:paraId="7A1DC475" w14:textId="77777777" w:rsidR="002E772A" w:rsidRPr="002E772A" w:rsidRDefault="002E772A">
            <w:pPr>
              <w:jc w:val="center"/>
              <w:rPr>
                <w:sz w:val="22"/>
                <w:szCs w:val="22"/>
              </w:rPr>
            </w:pPr>
          </w:p>
        </w:tc>
        <w:tc>
          <w:tcPr>
            <w:tcW w:w="850" w:type="dxa"/>
            <w:vAlign w:val="center"/>
          </w:tcPr>
          <w:p w14:paraId="6306BB81" w14:textId="1BDD89B7" w:rsidR="002E772A" w:rsidRPr="002E772A" w:rsidRDefault="002E772A">
            <w:pPr>
              <w:jc w:val="center"/>
              <w:rPr>
                <w:sz w:val="22"/>
                <w:szCs w:val="22"/>
              </w:rPr>
            </w:pPr>
            <w:r w:rsidRPr="002E772A">
              <w:rPr>
                <w:sz w:val="22"/>
                <w:szCs w:val="22"/>
              </w:rPr>
              <w:t>-0.45</w:t>
            </w:r>
          </w:p>
        </w:tc>
        <w:tc>
          <w:tcPr>
            <w:tcW w:w="851" w:type="dxa"/>
            <w:vAlign w:val="center"/>
          </w:tcPr>
          <w:p w14:paraId="14543F93" w14:textId="77777777" w:rsidR="002E772A" w:rsidRPr="002E772A" w:rsidRDefault="002E772A">
            <w:pPr>
              <w:jc w:val="center"/>
              <w:rPr>
                <w:sz w:val="22"/>
                <w:szCs w:val="22"/>
              </w:rPr>
            </w:pPr>
            <w:r w:rsidRPr="002E772A">
              <w:rPr>
                <w:sz w:val="22"/>
                <w:szCs w:val="22"/>
              </w:rPr>
              <w:t>&lt;0.05</w:t>
            </w:r>
          </w:p>
        </w:tc>
        <w:tc>
          <w:tcPr>
            <w:tcW w:w="283" w:type="dxa"/>
            <w:vAlign w:val="center"/>
          </w:tcPr>
          <w:p w14:paraId="7F17999B" w14:textId="77777777" w:rsidR="002E772A" w:rsidRPr="002E772A" w:rsidRDefault="002E772A">
            <w:pPr>
              <w:jc w:val="center"/>
              <w:rPr>
                <w:sz w:val="22"/>
                <w:szCs w:val="22"/>
              </w:rPr>
            </w:pPr>
          </w:p>
        </w:tc>
        <w:tc>
          <w:tcPr>
            <w:tcW w:w="709" w:type="dxa"/>
            <w:vAlign w:val="center"/>
          </w:tcPr>
          <w:p w14:paraId="476CB9C8" w14:textId="77777777" w:rsidR="002E772A" w:rsidRPr="002E772A" w:rsidRDefault="002E772A">
            <w:pPr>
              <w:jc w:val="center"/>
              <w:rPr>
                <w:sz w:val="22"/>
                <w:szCs w:val="22"/>
              </w:rPr>
            </w:pPr>
            <w:r w:rsidRPr="002E772A">
              <w:rPr>
                <w:sz w:val="22"/>
                <w:szCs w:val="22"/>
              </w:rPr>
              <w:t>-0.45</w:t>
            </w:r>
          </w:p>
        </w:tc>
        <w:tc>
          <w:tcPr>
            <w:tcW w:w="850" w:type="dxa"/>
            <w:vAlign w:val="center"/>
          </w:tcPr>
          <w:p w14:paraId="31200BD8" w14:textId="77777777" w:rsidR="002E772A" w:rsidRPr="002E772A" w:rsidRDefault="002E772A">
            <w:pPr>
              <w:jc w:val="center"/>
              <w:rPr>
                <w:sz w:val="22"/>
                <w:szCs w:val="22"/>
              </w:rPr>
            </w:pPr>
            <w:r w:rsidRPr="002E772A">
              <w:rPr>
                <w:sz w:val="22"/>
                <w:szCs w:val="22"/>
              </w:rPr>
              <w:t>&lt;0.05</w:t>
            </w:r>
          </w:p>
        </w:tc>
      </w:tr>
      <w:tr w:rsidR="002E772A" w:rsidRPr="002E772A" w14:paraId="3E36C61E" w14:textId="77777777" w:rsidTr="00D7340D">
        <w:trPr>
          <w:jc w:val="center"/>
        </w:trPr>
        <w:tc>
          <w:tcPr>
            <w:tcW w:w="1806" w:type="dxa"/>
            <w:tcBorders>
              <w:bottom w:val="single" w:sz="4" w:space="0" w:color="auto"/>
            </w:tcBorders>
            <w:vAlign w:val="center"/>
          </w:tcPr>
          <w:p w14:paraId="1C383040" w14:textId="77777777" w:rsidR="002E772A" w:rsidRPr="002E772A" w:rsidRDefault="002E772A" w:rsidP="00BA2944">
            <w:pPr>
              <w:jc w:val="center"/>
              <w:rPr>
                <w:sz w:val="22"/>
                <w:szCs w:val="22"/>
                <w:u w:val="single"/>
              </w:rPr>
            </w:pPr>
            <w:r w:rsidRPr="002E772A">
              <w:rPr>
                <w:sz w:val="22"/>
                <w:szCs w:val="22"/>
                <w:u w:val="single"/>
              </w:rPr>
              <w:t>High Semantic RT</w:t>
            </w:r>
          </w:p>
        </w:tc>
        <w:tc>
          <w:tcPr>
            <w:tcW w:w="735" w:type="dxa"/>
            <w:tcBorders>
              <w:bottom w:val="single" w:sz="4" w:space="0" w:color="auto"/>
            </w:tcBorders>
            <w:vAlign w:val="center"/>
          </w:tcPr>
          <w:p w14:paraId="329FC4D8" w14:textId="77777777" w:rsidR="002E772A" w:rsidRPr="002E772A" w:rsidRDefault="002E772A">
            <w:pPr>
              <w:jc w:val="center"/>
              <w:rPr>
                <w:sz w:val="22"/>
                <w:szCs w:val="22"/>
              </w:rPr>
            </w:pPr>
            <w:r w:rsidRPr="002E772A">
              <w:rPr>
                <w:sz w:val="22"/>
                <w:szCs w:val="22"/>
              </w:rPr>
              <w:t>-0.30</w:t>
            </w:r>
          </w:p>
        </w:tc>
        <w:tc>
          <w:tcPr>
            <w:tcW w:w="709" w:type="dxa"/>
            <w:tcBorders>
              <w:bottom w:val="single" w:sz="4" w:space="0" w:color="auto"/>
            </w:tcBorders>
            <w:vAlign w:val="center"/>
          </w:tcPr>
          <w:p w14:paraId="364F51C9" w14:textId="77777777" w:rsidR="002E772A" w:rsidRPr="002E772A" w:rsidRDefault="002E772A">
            <w:pPr>
              <w:jc w:val="center"/>
              <w:rPr>
                <w:sz w:val="22"/>
                <w:szCs w:val="22"/>
              </w:rPr>
            </w:pPr>
            <w:r w:rsidRPr="002E772A">
              <w:rPr>
                <w:sz w:val="22"/>
                <w:szCs w:val="22"/>
              </w:rPr>
              <w:t>0.14</w:t>
            </w:r>
          </w:p>
        </w:tc>
        <w:tc>
          <w:tcPr>
            <w:tcW w:w="282" w:type="dxa"/>
            <w:tcBorders>
              <w:bottom w:val="single" w:sz="4" w:space="0" w:color="auto"/>
            </w:tcBorders>
            <w:vAlign w:val="center"/>
          </w:tcPr>
          <w:p w14:paraId="1C015228" w14:textId="77777777" w:rsidR="002E772A" w:rsidRPr="002E772A" w:rsidRDefault="002E772A">
            <w:pPr>
              <w:jc w:val="center"/>
              <w:rPr>
                <w:sz w:val="22"/>
                <w:szCs w:val="22"/>
              </w:rPr>
            </w:pPr>
          </w:p>
        </w:tc>
        <w:tc>
          <w:tcPr>
            <w:tcW w:w="764" w:type="dxa"/>
            <w:tcBorders>
              <w:bottom w:val="single" w:sz="4" w:space="0" w:color="auto"/>
            </w:tcBorders>
            <w:vAlign w:val="center"/>
          </w:tcPr>
          <w:p w14:paraId="79B97C9A" w14:textId="77777777" w:rsidR="002E772A" w:rsidRPr="002E772A" w:rsidRDefault="002E772A">
            <w:pPr>
              <w:jc w:val="center"/>
              <w:rPr>
                <w:sz w:val="22"/>
                <w:szCs w:val="22"/>
              </w:rPr>
            </w:pPr>
            <w:r w:rsidRPr="002E772A">
              <w:rPr>
                <w:sz w:val="22"/>
                <w:szCs w:val="22"/>
              </w:rPr>
              <w:t>-0.46</w:t>
            </w:r>
          </w:p>
        </w:tc>
        <w:tc>
          <w:tcPr>
            <w:tcW w:w="807" w:type="dxa"/>
            <w:tcBorders>
              <w:bottom w:val="single" w:sz="4" w:space="0" w:color="auto"/>
            </w:tcBorders>
            <w:vAlign w:val="center"/>
          </w:tcPr>
          <w:p w14:paraId="5BEE295D" w14:textId="77777777" w:rsidR="002E772A" w:rsidRPr="002E772A" w:rsidRDefault="002E772A">
            <w:pPr>
              <w:jc w:val="center"/>
              <w:rPr>
                <w:sz w:val="22"/>
                <w:szCs w:val="22"/>
              </w:rPr>
            </w:pPr>
            <w:r w:rsidRPr="002E772A">
              <w:rPr>
                <w:sz w:val="22"/>
                <w:szCs w:val="22"/>
              </w:rPr>
              <w:t>&lt;0.05</w:t>
            </w:r>
          </w:p>
        </w:tc>
        <w:tc>
          <w:tcPr>
            <w:tcW w:w="272" w:type="dxa"/>
            <w:tcBorders>
              <w:bottom w:val="single" w:sz="4" w:space="0" w:color="auto"/>
            </w:tcBorders>
            <w:vAlign w:val="center"/>
          </w:tcPr>
          <w:p w14:paraId="5AB5B3B8" w14:textId="77777777" w:rsidR="002E772A" w:rsidRPr="002E772A" w:rsidRDefault="002E772A">
            <w:pPr>
              <w:jc w:val="center"/>
              <w:rPr>
                <w:sz w:val="22"/>
                <w:szCs w:val="22"/>
              </w:rPr>
            </w:pPr>
          </w:p>
        </w:tc>
        <w:tc>
          <w:tcPr>
            <w:tcW w:w="678" w:type="dxa"/>
            <w:tcBorders>
              <w:bottom w:val="single" w:sz="4" w:space="0" w:color="auto"/>
            </w:tcBorders>
            <w:vAlign w:val="center"/>
          </w:tcPr>
          <w:p w14:paraId="07BC7902" w14:textId="77777777" w:rsidR="002E772A" w:rsidRPr="002E772A" w:rsidRDefault="002E772A">
            <w:pPr>
              <w:jc w:val="center"/>
              <w:rPr>
                <w:sz w:val="22"/>
                <w:szCs w:val="22"/>
              </w:rPr>
            </w:pPr>
            <w:r w:rsidRPr="002E772A">
              <w:rPr>
                <w:sz w:val="22"/>
                <w:szCs w:val="22"/>
              </w:rPr>
              <w:t>-0.40</w:t>
            </w:r>
          </w:p>
        </w:tc>
        <w:tc>
          <w:tcPr>
            <w:tcW w:w="746" w:type="dxa"/>
            <w:tcBorders>
              <w:bottom w:val="single" w:sz="4" w:space="0" w:color="auto"/>
            </w:tcBorders>
            <w:vAlign w:val="center"/>
          </w:tcPr>
          <w:p w14:paraId="647AE910" w14:textId="77777777" w:rsidR="002E772A" w:rsidRPr="002E772A" w:rsidRDefault="002E772A">
            <w:pPr>
              <w:jc w:val="center"/>
              <w:rPr>
                <w:sz w:val="22"/>
                <w:szCs w:val="22"/>
              </w:rPr>
            </w:pPr>
            <w:r w:rsidRPr="002E772A">
              <w:rPr>
                <w:sz w:val="22"/>
                <w:szCs w:val="22"/>
              </w:rPr>
              <w:t>0.07</w:t>
            </w:r>
          </w:p>
        </w:tc>
        <w:tc>
          <w:tcPr>
            <w:tcW w:w="289" w:type="dxa"/>
            <w:tcBorders>
              <w:bottom w:val="single" w:sz="4" w:space="0" w:color="auto"/>
            </w:tcBorders>
            <w:vAlign w:val="center"/>
          </w:tcPr>
          <w:p w14:paraId="5A4BF283" w14:textId="77777777" w:rsidR="002E772A" w:rsidRPr="002E772A" w:rsidRDefault="002E772A">
            <w:pPr>
              <w:jc w:val="center"/>
              <w:rPr>
                <w:sz w:val="22"/>
                <w:szCs w:val="22"/>
              </w:rPr>
            </w:pPr>
          </w:p>
        </w:tc>
        <w:tc>
          <w:tcPr>
            <w:tcW w:w="728" w:type="dxa"/>
            <w:tcBorders>
              <w:bottom w:val="single" w:sz="4" w:space="0" w:color="auto"/>
            </w:tcBorders>
            <w:vAlign w:val="center"/>
          </w:tcPr>
          <w:p w14:paraId="2EA3746A" w14:textId="77777777" w:rsidR="002E772A" w:rsidRPr="002E772A" w:rsidRDefault="002E772A">
            <w:pPr>
              <w:jc w:val="center"/>
              <w:rPr>
                <w:sz w:val="22"/>
                <w:szCs w:val="22"/>
              </w:rPr>
            </w:pPr>
            <w:r w:rsidRPr="002E772A">
              <w:rPr>
                <w:sz w:val="22"/>
                <w:szCs w:val="22"/>
              </w:rPr>
              <w:t>-0.30</w:t>
            </w:r>
          </w:p>
        </w:tc>
        <w:tc>
          <w:tcPr>
            <w:tcW w:w="831" w:type="dxa"/>
            <w:tcBorders>
              <w:bottom w:val="single" w:sz="4" w:space="0" w:color="auto"/>
            </w:tcBorders>
            <w:vAlign w:val="center"/>
          </w:tcPr>
          <w:p w14:paraId="4FB5E4C4" w14:textId="77777777" w:rsidR="002E772A" w:rsidRPr="002E772A" w:rsidRDefault="002E772A">
            <w:pPr>
              <w:jc w:val="center"/>
              <w:rPr>
                <w:sz w:val="22"/>
                <w:szCs w:val="22"/>
              </w:rPr>
            </w:pPr>
            <w:r w:rsidRPr="002E772A">
              <w:rPr>
                <w:sz w:val="22"/>
                <w:szCs w:val="22"/>
              </w:rPr>
              <w:t>0.14</w:t>
            </w:r>
          </w:p>
        </w:tc>
        <w:tc>
          <w:tcPr>
            <w:tcW w:w="284" w:type="dxa"/>
            <w:tcBorders>
              <w:bottom w:val="single" w:sz="4" w:space="0" w:color="auto"/>
            </w:tcBorders>
            <w:vAlign w:val="center"/>
          </w:tcPr>
          <w:p w14:paraId="10162060" w14:textId="77777777" w:rsidR="002E772A" w:rsidRPr="002E772A" w:rsidRDefault="002E772A">
            <w:pPr>
              <w:jc w:val="center"/>
              <w:rPr>
                <w:sz w:val="22"/>
                <w:szCs w:val="22"/>
              </w:rPr>
            </w:pPr>
          </w:p>
        </w:tc>
        <w:tc>
          <w:tcPr>
            <w:tcW w:w="850" w:type="dxa"/>
            <w:tcBorders>
              <w:bottom w:val="single" w:sz="4" w:space="0" w:color="auto"/>
            </w:tcBorders>
            <w:vAlign w:val="center"/>
          </w:tcPr>
          <w:p w14:paraId="3BE4CF4D" w14:textId="77777777" w:rsidR="002E772A" w:rsidRPr="002E772A" w:rsidRDefault="002E772A">
            <w:pPr>
              <w:jc w:val="center"/>
              <w:rPr>
                <w:sz w:val="22"/>
                <w:szCs w:val="22"/>
              </w:rPr>
            </w:pPr>
            <w:r w:rsidRPr="002E772A">
              <w:rPr>
                <w:sz w:val="22"/>
                <w:szCs w:val="22"/>
              </w:rPr>
              <w:t>-0.49</w:t>
            </w:r>
          </w:p>
        </w:tc>
        <w:tc>
          <w:tcPr>
            <w:tcW w:w="851" w:type="dxa"/>
            <w:tcBorders>
              <w:bottom w:val="single" w:sz="4" w:space="0" w:color="auto"/>
            </w:tcBorders>
            <w:vAlign w:val="center"/>
          </w:tcPr>
          <w:p w14:paraId="53F1A14D" w14:textId="77777777" w:rsidR="002E772A" w:rsidRPr="002E772A" w:rsidRDefault="002E772A">
            <w:pPr>
              <w:jc w:val="center"/>
              <w:rPr>
                <w:sz w:val="22"/>
                <w:szCs w:val="22"/>
              </w:rPr>
            </w:pPr>
            <w:r w:rsidRPr="002E772A">
              <w:rPr>
                <w:sz w:val="22"/>
                <w:szCs w:val="22"/>
              </w:rPr>
              <w:t>&lt;0.05</w:t>
            </w:r>
          </w:p>
        </w:tc>
        <w:tc>
          <w:tcPr>
            <w:tcW w:w="283" w:type="dxa"/>
            <w:tcBorders>
              <w:bottom w:val="single" w:sz="4" w:space="0" w:color="auto"/>
            </w:tcBorders>
            <w:vAlign w:val="center"/>
          </w:tcPr>
          <w:p w14:paraId="77C5E920" w14:textId="77777777" w:rsidR="002E772A" w:rsidRPr="002E772A" w:rsidRDefault="002E772A">
            <w:pPr>
              <w:jc w:val="center"/>
              <w:rPr>
                <w:sz w:val="22"/>
                <w:szCs w:val="22"/>
              </w:rPr>
            </w:pPr>
          </w:p>
        </w:tc>
        <w:tc>
          <w:tcPr>
            <w:tcW w:w="709" w:type="dxa"/>
            <w:tcBorders>
              <w:bottom w:val="single" w:sz="4" w:space="0" w:color="auto"/>
            </w:tcBorders>
            <w:vAlign w:val="center"/>
          </w:tcPr>
          <w:p w14:paraId="7E8D6EE0" w14:textId="77777777" w:rsidR="002E772A" w:rsidRPr="002E772A" w:rsidRDefault="002E772A">
            <w:pPr>
              <w:jc w:val="center"/>
              <w:rPr>
                <w:sz w:val="22"/>
                <w:szCs w:val="22"/>
              </w:rPr>
            </w:pPr>
            <w:r w:rsidRPr="002E772A">
              <w:rPr>
                <w:sz w:val="22"/>
                <w:szCs w:val="22"/>
              </w:rPr>
              <w:t>-0.49</w:t>
            </w:r>
          </w:p>
        </w:tc>
        <w:tc>
          <w:tcPr>
            <w:tcW w:w="850" w:type="dxa"/>
            <w:tcBorders>
              <w:bottom w:val="single" w:sz="4" w:space="0" w:color="auto"/>
            </w:tcBorders>
            <w:vAlign w:val="center"/>
          </w:tcPr>
          <w:p w14:paraId="12E38A21" w14:textId="77777777" w:rsidR="002E772A" w:rsidRPr="002E772A" w:rsidRDefault="002E772A">
            <w:pPr>
              <w:jc w:val="center"/>
              <w:rPr>
                <w:sz w:val="22"/>
                <w:szCs w:val="22"/>
              </w:rPr>
            </w:pPr>
            <w:r w:rsidRPr="002E772A">
              <w:rPr>
                <w:sz w:val="22"/>
                <w:szCs w:val="22"/>
              </w:rPr>
              <w:t>&lt;0.05</w:t>
            </w:r>
          </w:p>
        </w:tc>
      </w:tr>
    </w:tbl>
    <w:p w14:paraId="565B343B" w14:textId="77777777" w:rsidR="002A6628" w:rsidRPr="00EE6391" w:rsidRDefault="002A6628" w:rsidP="002A6628">
      <w:pPr>
        <w:spacing w:line="480" w:lineRule="auto"/>
        <w:rPr>
          <w:b/>
        </w:rPr>
      </w:pPr>
    </w:p>
    <w:p w14:paraId="03EF9248" w14:textId="77777777" w:rsidR="004B2090" w:rsidRDefault="004B2090" w:rsidP="00487559">
      <w:pPr>
        <w:spacing w:line="480" w:lineRule="auto"/>
        <w:rPr>
          <w:b/>
        </w:rPr>
      </w:pPr>
    </w:p>
    <w:p w14:paraId="18CB7547" w14:textId="77777777" w:rsidR="00147DE0" w:rsidRDefault="00147DE0">
      <w:pPr>
        <w:rPr>
          <w:b/>
        </w:rPr>
      </w:pPr>
      <w:r>
        <w:rPr>
          <w:b/>
        </w:rPr>
        <w:br w:type="page"/>
      </w:r>
    </w:p>
    <w:p w14:paraId="505EE335" w14:textId="77777777" w:rsidR="00D01702" w:rsidRDefault="00147DE0" w:rsidP="00233EE7">
      <w:pPr>
        <w:spacing w:line="480" w:lineRule="auto"/>
        <w:rPr>
          <w:b/>
        </w:rPr>
      </w:pPr>
      <w:r>
        <w:rPr>
          <w:b/>
        </w:rPr>
        <w:lastRenderedPageBreak/>
        <w:br/>
      </w:r>
    </w:p>
    <w:p w14:paraId="0E9AB017" w14:textId="77777777" w:rsidR="00DE79CD" w:rsidRDefault="00DE79CD" w:rsidP="00487559">
      <w:pPr>
        <w:spacing w:line="480" w:lineRule="auto"/>
        <w:rPr>
          <w:b/>
        </w:rPr>
        <w:sectPr w:rsidR="00DE79CD" w:rsidSect="00352097">
          <w:headerReference w:type="default" r:id="rId17"/>
          <w:pgSz w:w="16838" w:h="11906" w:orient="landscape"/>
          <w:pgMar w:top="1797" w:right="1440" w:bottom="1797" w:left="1440" w:header="709" w:footer="709" w:gutter="0"/>
          <w:cols w:space="708"/>
          <w:docGrid w:linePitch="360"/>
        </w:sectPr>
      </w:pPr>
    </w:p>
    <w:p w14:paraId="5F621A8D" w14:textId="77777777" w:rsidR="00487559" w:rsidRPr="00F85266" w:rsidRDefault="00C65D8E" w:rsidP="004B2090">
      <w:pPr>
        <w:pStyle w:val="BalloonText"/>
        <w:rPr>
          <w:rFonts w:ascii="Times New Roman" w:hAnsi="Times New Roman"/>
          <w:b/>
          <w:sz w:val="24"/>
          <w:szCs w:val="24"/>
        </w:rPr>
      </w:pPr>
      <w:r w:rsidRPr="00F85266">
        <w:rPr>
          <w:rFonts w:ascii="Times New Roman" w:hAnsi="Times New Roman"/>
          <w:b/>
          <w:sz w:val="24"/>
          <w:szCs w:val="24"/>
        </w:rPr>
        <w:lastRenderedPageBreak/>
        <w:t>References</w:t>
      </w:r>
    </w:p>
    <w:p w14:paraId="51A175E7" w14:textId="77777777" w:rsidR="00C65D8E" w:rsidRPr="004B2090" w:rsidRDefault="00C65D8E" w:rsidP="004B2090">
      <w:pPr>
        <w:pStyle w:val="BalloonText"/>
        <w:rPr>
          <w:rFonts w:ascii="Times New Roman" w:hAnsi="Times New Roman"/>
          <w:sz w:val="24"/>
          <w:szCs w:val="24"/>
        </w:rPr>
      </w:pPr>
    </w:p>
    <w:p w14:paraId="5AE97C5F" w14:textId="6313A2F4" w:rsidR="00126EE1" w:rsidRPr="00126EE1" w:rsidRDefault="00126EE1" w:rsidP="00126EE1">
      <w:pPr>
        <w:widowControl w:val="0"/>
        <w:autoSpaceDE w:val="0"/>
        <w:autoSpaceDN w:val="0"/>
        <w:adjustRightInd w:val="0"/>
        <w:spacing w:line="480" w:lineRule="auto"/>
        <w:ind w:left="567" w:hanging="567"/>
        <w:rPr>
          <w:rFonts w:eastAsia="SimSun"/>
          <w:lang w:val="en-US"/>
        </w:rPr>
      </w:pPr>
      <w:r w:rsidRPr="00126EE1">
        <w:rPr>
          <w:rFonts w:eastAsia="Calibri"/>
          <w:lang w:val="en-US" w:eastAsia="en-US"/>
        </w:rPr>
        <w:t xml:space="preserve">Allen, R. J., Baddeley, A. D., &amp; Hitch, G. J. (2014). Evidence for two attentional components in visual working memory. </w:t>
      </w:r>
      <w:r w:rsidRPr="00126EE1">
        <w:rPr>
          <w:rFonts w:eastAsia="Calibri"/>
          <w:i/>
          <w:lang w:val="en-US" w:eastAsia="en-US"/>
        </w:rPr>
        <w:t xml:space="preserve">Journal of Experimental Psychology: Learning, Memory, &amp; Cognition, 40, </w:t>
      </w:r>
      <w:r w:rsidRPr="00126EE1">
        <w:rPr>
          <w:rFonts w:eastAsia="Calibri"/>
          <w:lang w:val="en-US" w:eastAsia="en-US"/>
        </w:rPr>
        <w:t xml:space="preserve">1499-1509. </w:t>
      </w:r>
      <w:r>
        <w:rPr>
          <w:rFonts w:eastAsia="Times"/>
          <w:lang w:val="en-US" w:eastAsia="en-US"/>
        </w:rPr>
        <w:t xml:space="preserve">doi: </w:t>
      </w:r>
      <w:r w:rsidRPr="00126EE1">
        <w:rPr>
          <w:rFonts w:eastAsia="SimSun"/>
          <w:lang w:val="en-US"/>
        </w:rPr>
        <w:t xml:space="preserve">10.1037/xlm0000002 </w:t>
      </w:r>
    </w:p>
    <w:p w14:paraId="3A350139" w14:textId="77777777" w:rsidR="00237C66" w:rsidRDefault="00237C66" w:rsidP="00237C66">
      <w:pPr>
        <w:spacing w:line="480" w:lineRule="auto"/>
        <w:ind w:left="567" w:hanging="567"/>
        <w:jc w:val="both"/>
        <w:rPr>
          <w:rFonts w:eastAsia="Times"/>
          <w:lang w:eastAsia="en-US"/>
        </w:rPr>
      </w:pPr>
      <w:r w:rsidRPr="00237C66">
        <w:rPr>
          <w:rFonts w:eastAsia="Times"/>
          <w:lang w:eastAsia="en-US"/>
        </w:rPr>
        <w:t xml:space="preserve">Allen, </w:t>
      </w:r>
      <w:r>
        <w:rPr>
          <w:rFonts w:eastAsia="Times"/>
          <w:lang w:eastAsia="en-US"/>
        </w:rPr>
        <w:t xml:space="preserve">R. J., </w:t>
      </w:r>
      <w:r w:rsidRPr="00237C66">
        <w:rPr>
          <w:rFonts w:eastAsia="Times"/>
          <w:lang w:eastAsia="en-US"/>
        </w:rPr>
        <w:t>Havelka,</w:t>
      </w:r>
      <w:r>
        <w:rPr>
          <w:rFonts w:eastAsia="Times"/>
          <w:lang w:eastAsia="en-US"/>
        </w:rPr>
        <w:t xml:space="preserve"> J., </w:t>
      </w:r>
      <w:r w:rsidRPr="00237C66">
        <w:rPr>
          <w:rFonts w:eastAsia="Times"/>
          <w:lang w:eastAsia="en-US"/>
        </w:rPr>
        <w:t>Falcon,</w:t>
      </w:r>
      <w:r>
        <w:rPr>
          <w:rFonts w:eastAsia="Times"/>
          <w:lang w:eastAsia="en-US"/>
        </w:rPr>
        <w:t xml:space="preserve"> T.,</w:t>
      </w:r>
      <w:r w:rsidRPr="00237C66">
        <w:rPr>
          <w:rFonts w:eastAsia="Times"/>
          <w:lang w:eastAsia="en-US"/>
        </w:rPr>
        <w:t xml:space="preserve"> Evans</w:t>
      </w:r>
      <w:r>
        <w:rPr>
          <w:rFonts w:eastAsia="Times"/>
          <w:lang w:eastAsia="en-US"/>
        </w:rPr>
        <w:t xml:space="preserve">, S., &amp; </w:t>
      </w:r>
      <w:r w:rsidRPr="00237C66">
        <w:rPr>
          <w:rFonts w:eastAsia="Times"/>
          <w:lang w:eastAsia="en-US"/>
        </w:rPr>
        <w:t>Darling</w:t>
      </w:r>
      <w:r>
        <w:rPr>
          <w:rFonts w:eastAsia="Times"/>
          <w:lang w:eastAsia="en-US"/>
        </w:rPr>
        <w:t xml:space="preserve">, S. (2015). </w:t>
      </w:r>
      <w:r w:rsidRPr="00237C66">
        <w:rPr>
          <w:rFonts w:eastAsia="Times"/>
          <w:lang w:eastAsia="en-US"/>
        </w:rPr>
        <w:t xml:space="preserve">Modality </w:t>
      </w:r>
      <w:r>
        <w:rPr>
          <w:rFonts w:eastAsia="Times"/>
          <w:lang w:eastAsia="en-US"/>
        </w:rPr>
        <w:t>s</w:t>
      </w:r>
      <w:r w:rsidRPr="00237C66">
        <w:rPr>
          <w:rFonts w:eastAsia="Times"/>
          <w:lang w:eastAsia="en-US"/>
        </w:rPr>
        <w:t xml:space="preserve">pecificity and </w:t>
      </w:r>
      <w:r>
        <w:rPr>
          <w:rFonts w:eastAsia="Times"/>
          <w:lang w:eastAsia="en-US"/>
        </w:rPr>
        <w:t>i</w:t>
      </w:r>
      <w:r w:rsidRPr="00237C66">
        <w:rPr>
          <w:rFonts w:eastAsia="Times"/>
          <w:lang w:eastAsia="en-US"/>
        </w:rPr>
        <w:t xml:space="preserve">ntegration in </w:t>
      </w:r>
      <w:r>
        <w:rPr>
          <w:rFonts w:eastAsia="Times"/>
          <w:lang w:eastAsia="en-US"/>
        </w:rPr>
        <w:t>w</w:t>
      </w:r>
      <w:r w:rsidRPr="00237C66">
        <w:rPr>
          <w:rFonts w:eastAsia="Times"/>
          <w:lang w:eastAsia="en-US"/>
        </w:rPr>
        <w:t xml:space="preserve">orking </w:t>
      </w:r>
      <w:r>
        <w:rPr>
          <w:rFonts w:eastAsia="Times"/>
          <w:lang w:eastAsia="en-US"/>
        </w:rPr>
        <w:t>m</w:t>
      </w:r>
      <w:r w:rsidRPr="00237C66">
        <w:rPr>
          <w:rFonts w:eastAsia="Times"/>
          <w:lang w:eastAsia="en-US"/>
        </w:rPr>
        <w:t xml:space="preserve">emory: Insights </w:t>
      </w:r>
      <w:r>
        <w:rPr>
          <w:rFonts w:eastAsia="Times"/>
          <w:lang w:eastAsia="en-US"/>
        </w:rPr>
        <w:t>f</w:t>
      </w:r>
      <w:r w:rsidRPr="00237C66">
        <w:rPr>
          <w:rFonts w:eastAsia="Times"/>
          <w:lang w:eastAsia="en-US"/>
        </w:rPr>
        <w:t>rom</w:t>
      </w:r>
      <w:r>
        <w:rPr>
          <w:rFonts w:eastAsia="Times"/>
          <w:lang w:eastAsia="en-US"/>
        </w:rPr>
        <w:t xml:space="preserve"> v</w:t>
      </w:r>
      <w:r w:rsidRPr="00237C66">
        <w:rPr>
          <w:rFonts w:eastAsia="Times"/>
          <w:lang w:eastAsia="en-US"/>
        </w:rPr>
        <w:t xml:space="preserve">isuospatial </w:t>
      </w:r>
      <w:r>
        <w:rPr>
          <w:rFonts w:eastAsia="Times"/>
          <w:lang w:eastAsia="en-US"/>
        </w:rPr>
        <w:t>b</w:t>
      </w:r>
      <w:r w:rsidRPr="00237C66">
        <w:rPr>
          <w:rFonts w:eastAsia="Times"/>
          <w:lang w:eastAsia="en-US"/>
        </w:rPr>
        <w:t>ootstrapping</w:t>
      </w:r>
      <w:r>
        <w:rPr>
          <w:rFonts w:eastAsia="Times"/>
          <w:lang w:eastAsia="en-US"/>
        </w:rPr>
        <w:t>.</w:t>
      </w:r>
      <w:r w:rsidRPr="00237C66">
        <w:rPr>
          <w:rFonts w:eastAsia="Times"/>
          <w:lang w:eastAsia="en-US"/>
        </w:rPr>
        <w:t xml:space="preserve"> </w:t>
      </w:r>
      <w:r w:rsidRPr="00237C66">
        <w:rPr>
          <w:rFonts w:eastAsia="Times"/>
          <w:i/>
          <w:lang w:eastAsia="en-US"/>
        </w:rPr>
        <w:t>Journal of Experimental Psychology: Learning, Memory, and Cognition. 41</w:t>
      </w:r>
      <w:r w:rsidRPr="00237C66">
        <w:rPr>
          <w:rFonts w:eastAsia="Times"/>
          <w:lang w:eastAsia="en-US"/>
        </w:rPr>
        <w:t>, 820–830</w:t>
      </w:r>
      <w:r>
        <w:rPr>
          <w:rFonts w:eastAsia="Times"/>
          <w:lang w:eastAsia="en-US"/>
        </w:rPr>
        <w:t>. doi:</w:t>
      </w:r>
      <w:r w:rsidR="000C121A">
        <w:rPr>
          <w:rFonts w:eastAsia="Times"/>
          <w:lang w:eastAsia="en-US"/>
        </w:rPr>
        <w:t xml:space="preserve"> </w:t>
      </w:r>
      <w:r w:rsidRPr="00237C66">
        <w:rPr>
          <w:rFonts w:eastAsia="Times"/>
          <w:lang w:eastAsia="en-US"/>
        </w:rPr>
        <w:t>10.1037/xlm0000058</w:t>
      </w:r>
    </w:p>
    <w:p w14:paraId="1E7CCD89" w14:textId="77777777" w:rsidR="00A751AB" w:rsidRPr="00A751AB" w:rsidRDefault="00A751AB" w:rsidP="00237C66">
      <w:pPr>
        <w:spacing w:line="480" w:lineRule="auto"/>
        <w:ind w:left="567" w:hanging="567"/>
        <w:jc w:val="both"/>
        <w:rPr>
          <w:rFonts w:eastAsia="Times"/>
          <w:lang w:eastAsia="en-US"/>
        </w:rPr>
      </w:pPr>
      <w:r w:rsidRPr="00A751AB">
        <w:rPr>
          <w:rFonts w:eastAsia="Times"/>
          <w:lang w:eastAsia="en-US"/>
        </w:rPr>
        <w:t>Baddeley, A. D. (2000).</w:t>
      </w:r>
      <w:r w:rsidRPr="00A751AB">
        <w:rPr>
          <w:rFonts w:eastAsia="Times"/>
          <w:b/>
          <w:lang w:eastAsia="en-US"/>
        </w:rPr>
        <w:t xml:space="preserve"> </w:t>
      </w:r>
      <w:r w:rsidRPr="00A751AB">
        <w:rPr>
          <w:rFonts w:eastAsia="Times"/>
          <w:lang w:eastAsia="en-US"/>
        </w:rPr>
        <w:t xml:space="preserve">The episodic buffer:  A new component of working memory? </w:t>
      </w:r>
      <w:r w:rsidRPr="00A751AB">
        <w:rPr>
          <w:rFonts w:eastAsia="Times"/>
          <w:i/>
          <w:lang w:eastAsia="en-US"/>
        </w:rPr>
        <w:t>Trends in Cognitive Sciences, 4</w:t>
      </w:r>
      <w:r w:rsidRPr="00A751AB">
        <w:rPr>
          <w:rFonts w:eastAsia="Times"/>
          <w:lang w:eastAsia="en-US"/>
        </w:rPr>
        <w:t>, 417-423.</w:t>
      </w:r>
      <w:r w:rsidR="000C121A" w:rsidRPr="000C121A">
        <w:t xml:space="preserve"> </w:t>
      </w:r>
      <w:r w:rsidR="000C121A" w:rsidRPr="000C121A">
        <w:rPr>
          <w:rFonts w:eastAsia="Times"/>
          <w:lang w:eastAsia="en-US"/>
        </w:rPr>
        <w:t>doi:</w:t>
      </w:r>
      <w:r w:rsidR="000C121A">
        <w:rPr>
          <w:rFonts w:eastAsia="Times"/>
          <w:lang w:eastAsia="en-US"/>
        </w:rPr>
        <w:t xml:space="preserve"> </w:t>
      </w:r>
      <w:r w:rsidR="000C121A" w:rsidRPr="000C121A">
        <w:rPr>
          <w:rFonts w:eastAsia="Times"/>
          <w:lang w:eastAsia="en-US"/>
        </w:rPr>
        <w:t>10.1016/S1364-6613(00)01538-2</w:t>
      </w:r>
    </w:p>
    <w:p w14:paraId="34E5D4D7" w14:textId="77777777" w:rsidR="00FA6281" w:rsidRDefault="00FA6281" w:rsidP="00FA6281">
      <w:pPr>
        <w:spacing w:line="480" w:lineRule="auto"/>
        <w:ind w:left="567" w:hanging="567"/>
        <w:jc w:val="both"/>
        <w:rPr>
          <w:rFonts w:eastAsia="Times"/>
          <w:szCs w:val="20"/>
          <w:lang w:eastAsia="en-US"/>
        </w:rPr>
      </w:pPr>
      <w:r w:rsidRPr="00FA6281">
        <w:rPr>
          <w:rFonts w:eastAsia="Times"/>
          <w:szCs w:val="20"/>
          <w:lang w:eastAsia="en-US"/>
        </w:rPr>
        <w:t xml:space="preserve">Baddeley, A. D., (2012). Working memory: Theories, models, and controversies. </w:t>
      </w:r>
      <w:r w:rsidRPr="00FA6281">
        <w:rPr>
          <w:rFonts w:eastAsia="Times"/>
          <w:i/>
          <w:szCs w:val="20"/>
          <w:lang w:eastAsia="en-US"/>
        </w:rPr>
        <w:t>Annual Review of Psychology, 63</w:t>
      </w:r>
      <w:r w:rsidRPr="00FA6281">
        <w:rPr>
          <w:rFonts w:eastAsia="Times"/>
          <w:szCs w:val="20"/>
          <w:lang w:eastAsia="en-US"/>
        </w:rPr>
        <w:t>, 1-29.</w:t>
      </w:r>
      <w:r w:rsidRPr="00FA6281">
        <w:t xml:space="preserve"> </w:t>
      </w:r>
      <w:r>
        <w:t xml:space="preserve">doi: </w:t>
      </w:r>
      <w:r w:rsidRPr="00FA6281">
        <w:rPr>
          <w:rFonts w:eastAsia="Times"/>
          <w:szCs w:val="20"/>
          <w:lang w:eastAsia="en-US"/>
        </w:rPr>
        <w:t>10.1146/annurev-psych-120710-100422</w:t>
      </w:r>
    </w:p>
    <w:p w14:paraId="70230E4D" w14:textId="77777777" w:rsidR="00FA6281" w:rsidRPr="00D7340D" w:rsidRDefault="00FA6281" w:rsidP="00A751AB">
      <w:pPr>
        <w:spacing w:line="480" w:lineRule="auto"/>
        <w:ind w:left="567" w:hanging="567"/>
        <w:jc w:val="both"/>
        <w:rPr>
          <w:rFonts w:eastAsia="Times"/>
          <w:lang w:val="de-DE"/>
        </w:rPr>
      </w:pPr>
      <w:r w:rsidRPr="00FA6281">
        <w:rPr>
          <w:rFonts w:eastAsia="Times"/>
          <w:szCs w:val="20"/>
          <w:lang w:eastAsia="en-US"/>
        </w:rPr>
        <w:t xml:space="preserve">Baddeley, A. D., Allen, R. J., &amp; Hitch, G. H. (2011). Binding in visual working memory: The role of the episodic buffer. </w:t>
      </w:r>
      <w:r w:rsidRPr="00D7340D">
        <w:rPr>
          <w:rFonts w:eastAsia="Times"/>
          <w:i/>
          <w:lang w:val="de-DE"/>
        </w:rPr>
        <w:t>Neuropsychologia, 49</w:t>
      </w:r>
      <w:r w:rsidRPr="00D7340D">
        <w:rPr>
          <w:rFonts w:eastAsia="Times"/>
          <w:lang w:val="de-DE"/>
        </w:rPr>
        <w:t>, 1393-1400. doi: 10.1016/j.neuropsychologia.2010.12.042</w:t>
      </w:r>
    </w:p>
    <w:p w14:paraId="0BE883C8" w14:textId="77777777" w:rsidR="00C9222A" w:rsidRDefault="00C9222A" w:rsidP="00A751AB">
      <w:pPr>
        <w:spacing w:line="480" w:lineRule="auto"/>
        <w:ind w:left="567" w:hanging="567"/>
        <w:jc w:val="both"/>
        <w:rPr>
          <w:rFonts w:eastAsia="Calibri"/>
          <w:lang w:eastAsia="en-US"/>
        </w:rPr>
      </w:pPr>
      <w:r w:rsidRPr="00C9222A">
        <w:rPr>
          <w:rFonts w:eastAsia="Calibri"/>
          <w:lang w:val="de-DE" w:eastAsia="en-US"/>
        </w:rPr>
        <w:t xml:space="preserve">Bai, C.-H., Bridger, E.K., Zimmer, H.D., Mecklinger, A., </w:t>
      </w:r>
      <w:r>
        <w:rPr>
          <w:rFonts w:eastAsia="Calibri"/>
          <w:lang w:val="de-DE" w:eastAsia="en-US"/>
        </w:rPr>
        <w:t>(</w:t>
      </w:r>
      <w:r w:rsidRPr="00C9222A">
        <w:rPr>
          <w:rFonts w:eastAsia="Calibri"/>
          <w:lang w:val="de-DE" w:eastAsia="en-US"/>
        </w:rPr>
        <w:t>2015</w:t>
      </w:r>
      <w:r>
        <w:rPr>
          <w:rFonts w:eastAsia="Calibri"/>
          <w:lang w:val="de-DE" w:eastAsia="en-US"/>
        </w:rPr>
        <w:t>)</w:t>
      </w:r>
      <w:r w:rsidRPr="00C9222A">
        <w:rPr>
          <w:rFonts w:eastAsia="Calibri"/>
          <w:lang w:val="de-DE" w:eastAsia="en-US"/>
        </w:rPr>
        <w:t xml:space="preserve">. </w:t>
      </w:r>
      <w:r w:rsidRPr="00C9222A">
        <w:rPr>
          <w:rFonts w:eastAsia="Calibri"/>
          <w:lang w:eastAsia="en-US"/>
        </w:rPr>
        <w:t>The beneficial effect of</w:t>
      </w:r>
      <w:r>
        <w:rPr>
          <w:rFonts w:eastAsia="Calibri"/>
          <w:lang w:eastAsia="en-US"/>
        </w:rPr>
        <w:t xml:space="preserve"> </w:t>
      </w:r>
      <w:r w:rsidRPr="00C9222A">
        <w:rPr>
          <w:rFonts w:eastAsia="Calibri"/>
          <w:lang w:eastAsia="en-US"/>
        </w:rPr>
        <w:t>testing: an event</w:t>
      </w:r>
      <w:r>
        <w:rPr>
          <w:rFonts w:eastAsia="Calibri"/>
          <w:lang w:eastAsia="en-US"/>
        </w:rPr>
        <w:t xml:space="preserve">-related potential study. </w:t>
      </w:r>
      <w:r w:rsidRPr="00C9222A">
        <w:rPr>
          <w:rFonts w:eastAsia="Calibri"/>
          <w:i/>
          <w:lang w:eastAsia="en-US"/>
        </w:rPr>
        <w:t xml:space="preserve">Frontiers in Behavioural Neuroscience, </w:t>
      </w:r>
      <w:r w:rsidRPr="00C9222A">
        <w:rPr>
          <w:rFonts w:eastAsia="Calibri"/>
          <w:lang w:eastAsia="en-US"/>
        </w:rPr>
        <w:t xml:space="preserve">9, 248, </w:t>
      </w:r>
      <w:r>
        <w:rPr>
          <w:rFonts w:eastAsia="Calibri"/>
          <w:lang w:eastAsia="en-US"/>
        </w:rPr>
        <w:t xml:space="preserve">doi: </w:t>
      </w:r>
      <w:r w:rsidRPr="00C9222A">
        <w:rPr>
          <w:rFonts w:eastAsia="Calibri"/>
          <w:lang w:eastAsia="en-US"/>
        </w:rPr>
        <w:t>10.3389/fnbeh.2015.00248</w:t>
      </w:r>
    </w:p>
    <w:p w14:paraId="4DF2CE28" w14:textId="7D7204C6" w:rsidR="005C7F4F" w:rsidRDefault="005C7F4F" w:rsidP="005C7F4F">
      <w:pPr>
        <w:spacing w:line="480" w:lineRule="auto"/>
        <w:ind w:left="567" w:hanging="567"/>
        <w:jc w:val="both"/>
        <w:rPr>
          <w:rFonts w:eastAsia="Calibri"/>
          <w:lang w:eastAsia="en-US"/>
        </w:rPr>
      </w:pPr>
      <w:r w:rsidRPr="005C7F4F">
        <w:rPr>
          <w:rFonts w:eastAsia="Calibri"/>
          <w:lang w:eastAsia="en-US"/>
        </w:rPr>
        <w:t>Bays, P.M. and Husain, M. (2008) Dynamic shifts of limited working</w:t>
      </w:r>
      <w:r>
        <w:rPr>
          <w:rFonts w:eastAsia="Calibri"/>
          <w:lang w:eastAsia="en-US"/>
        </w:rPr>
        <w:t xml:space="preserve"> </w:t>
      </w:r>
      <w:r w:rsidRPr="005C7F4F">
        <w:rPr>
          <w:rFonts w:eastAsia="Calibri"/>
          <w:lang w:eastAsia="en-US"/>
        </w:rPr>
        <w:t xml:space="preserve">memory resources in human vision. </w:t>
      </w:r>
      <w:r w:rsidRPr="005C7F4F">
        <w:rPr>
          <w:rFonts w:eastAsia="Calibri"/>
          <w:i/>
          <w:lang w:eastAsia="en-US"/>
        </w:rPr>
        <w:t>Science 321</w:t>
      </w:r>
      <w:r w:rsidRPr="005C7F4F">
        <w:rPr>
          <w:rFonts w:eastAsia="Calibri"/>
          <w:lang w:eastAsia="en-US"/>
        </w:rPr>
        <w:t>, 851–854</w:t>
      </w:r>
      <w:r>
        <w:rPr>
          <w:rFonts w:eastAsia="Calibri"/>
          <w:lang w:eastAsia="en-US"/>
        </w:rPr>
        <w:t xml:space="preserve">. doi: </w:t>
      </w:r>
      <w:r w:rsidRPr="005C7F4F">
        <w:rPr>
          <w:rFonts w:eastAsia="Calibri"/>
          <w:lang w:eastAsia="en-US"/>
        </w:rPr>
        <w:t>10.1126/science.1158023</w:t>
      </w:r>
    </w:p>
    <w:p w14:paraId="72144108" w14:textId="77777777" w:rsidR="00A751AB" w:rsidRDefault="00A751AB" w:rsidP="00A751AB">
      <w:pPr>
        <w:spacing w:line="480" w:lineRule="auto"/>
        <w:ind w:left="567" w:hanging="567"/>
        <w:jc w:val="both"/>
        <w:rPr>
          <w:rFonts w:eastAsia="Calibri"/>
          <w:lang w:eastAsia="en-US"/>
        </w:rPr>
      </w:pPr>
      <w:r w:rsidRPr="00A751AB">
        <w:rPr>
          <w:rFonts w:eastAsia="Calibri"/>
          <w:lang w:eastAsia="en-US"/>
        </w:rPr>
        <w:t xml:space="preserve">Bower, G. H., Karlin, M. B., &amp; Dueck, A. (1975). Comprehension and memory for pictures. </w:t>
      </w:r>
      <w:r w:rsidRPr="00A751AB">
        <w:rPr>
          <w:rFonts w:eastAsia="Calibri"/>
          <w:i/>
          <w:lang w:eastAsia="en-US"/>
        </w:rPr>
        <w:t>Memory &amp; Cognition, 3</w:t>
      </w:r>
      <w:r w:rsidRPr="00A751AB">
        <w:rPr>
          <w:rFonts w:eastAsia="Calibri"/>
          <w:lang w:eastAsia="en-US"/>
        </w:rPr>
        <w:t>, 216-220.</w:t>
      </w:r>
      <w:r w:rsidRPr="00A751AB">
        <w:t xml:space="preserve"> </w:t>
      </w:r>
      <w:r>
        <w:t>doi:</w:t>
      </w:r>
      <w:r w:rsidRPr="00A751AB">
        <w:rPr>
          <w:rFonts w:eastAsia="Calibri"/>
          <w:lang w:eastAsia="en-US"/>
        </w:rPr>
        <w:t>10.3758/BF03212900</w:t>
      </w:r>
    </w:p>
    <w:p w14:paraId="76B6C15A" w14:textId="158E4C32" w:rsidR="005C7F4F" w:rsidRPr="00D7340D" w:rsidRDefault="005C7F4F" w:rsidP="005C7F4F">
      <w:pPr>
        <w:spacing w:line="480" w:lineRule="auto"/>
        <w:ind w:left="567" w:hanging="567"/>
        <w:jc w:val="both"/>
        <w:rPr>
          <w:rFonts w:eastAsia="Calibri"/>
          <w:lang w:val="fr-FR"/>
        </w:rPr>
      </w:pPr>
      <w:r>
        <w:rPr>
          <w:rFonts w:eastAsia="Calibri"/>
          <w:lang w:eastAsia="en-US"/>
        </w:rPr>
        <w:lastRenderedPageBreak/>
        <w:t>Brady, T. F, Konkle, T., Gill, J., Oliva, A., &amp; Alvarez, G. A. (2013).</w:t>
      </w:r>
      <w:r w:rsidRPr="005C7F4F">
        <w:rPr>
          <w:rFonts w:eastAsia="Calibri"/>
          <w:lang w:eastAsia="en-US"/>
        </w:rPr>
        <w:t xml:space="preserve"> Visual </w:t>
      </w:r>
      <w:r>
        <w:rPr>
          <w:rFonts w:eastAsia="Calibri"/>
          <w:lang w:eastAsia="en-US"/>
        </w:rPr>
        <w:t>l</w:t>
      </w:r>
      <w:r w:rsidRPr="005C7F4F">
        <w:rPr>
          <w:rFonts w:eastAsia="Calibri"/>
          <w:lang w:eastAsia="en-US"/>
        </w:rPr>
        <w:t>ong-</w:t>
      </w:r>
      <w:r>
        <w:rPr>
          <w:rFonts w:eastAsia="Calibri"/>
          <w:lang w:eastAsia="en-US"/>
        </w:rPr>
        <w:t>t</w:t>
      </w:r>
      <w:r w:rsidRPr="005C7F4F">
        <w:rPr>
          <w:rFonts w:eastAsia="Calibri"/>
          <w:lang w:eastAsia="en-US"/>
        </w:rPr>
        <w:t xml:space="preserve">erm </w:t>
      </w:r>
      <w:r>
        <w:rPr>
          <w:rFonts w:eastAsia="Calibri"/>
          <w:lang w:eastAsia="en-US"/>
        </w:rPr>
        <w:t>m</w:t>
      </w:r>
      <w:r w:rsidRPr="005C7F4F">
        <w:rPr>
          <w:rFonts w:eastAsia="Calibri"/>
          <w:lang w:eastAsia="en-US"/>
        </w:rPr>
        <w:t xml:space="preserve">emory </w:t>
      </w:r>
      <w:r>
        <w:rPr>
          <w:rFonts w:eastAsia="Calibri"/>
          <w:lang w:eastAsia="en-US"/>
        </w:rPr>
        <w:t>h</w:t>
      </w:r>
      <w:r w:rsidRPr="005C7F4F">
        <w:rPr>
          <w:rFonts w:eastAsia="Calibri"/>
          <w:lang w:eastAsia="en-US"/>
        </w:rPr>
        <w:t xml:space="preserve">as the </w:t>
      </w:r>
      <w:r>
        <w:rPr>
          <w:rFonts w:eastAsia="Calibri"/>
          <w:lang w:eastAsia="en-US"/>
        </w:rPr>
        <w:t>s</w:t>
      </w:r>
      <w:r w:rsidRPr="005C7F4F">
        <w:rPr>
          <w:rFonts w:eastAsia="Calibri"/>
          <w:lang w:eastAsia="en-US"/>
        </w:rPr>
        <w:t>ame</w:t>
      </w:r>
      <w:r>
        <w:rPr>
          <w:rFonts w:eastAsia="Calibri"/>
          <w:lang w:eastAsia="en-US"/>
        </w:rPr>
        <w:t xml:space="preserve"> l</w:t>
      </w:r>
      <w:r w:rsidRPr="005C7F4F">
        <w:rPr>
          <w:rFonts w:eastAsia="Calibri"/>
          <w:lang w:eastAsia="en-US"/>
        </w:rPr>
        <w:t xml:space="preserve">imit on </w:t>
      </w:r>
      <w:r>
        <w:rPr>
          <w:rFonts w:eastAsia="Calibri"/>
          <w:lang w:eastAsia="en-US"/>
        </w:rPr>
        <w:t>f</w:t>
      </w:r>
      <w:r w:rsidRPr="005C7F4F">
        <w:rPr>
          <w:rFonts w:eastAsia="Calibri"/>
          <w:lang w:eastAsia="en-US"/>
        </w:rPr>
        <w:t xml:space="preserve">idelity as </w:t>
      </w:r>
      <w:r>
        <w:rPr>
          <w:rFonts w:eastAsia="Calibri"/>
          <w:lang w:eastAsia="en-US"/>
        </w:rPr>
        <w:t>v</w:t>
      </w:r>
      <w:r w:rsidRPr="005C7F4F">
        <w:rPr>
          <w:rFonts w:eastAsia="Calibri"/>
          <w:lang w:eastAsia="en-US"/>
        </w:rPr>
        <w:t xml:space="preserve">isual </w:t>
      </w:r>
      <w:r>
        <w:rPr>
          <w:rFonts w:eastAsia="Calibri"/>
          <w:lang w:eastAsia="en-US"/>
        </w:rPr>
        <w:t>w</w:t>
      </w:r>
      <w:r w:rsidRPr="005C7F4F">
        <w:rPr>
          <w:rFonts w:eastAsia="Calibri"/>
          <w:lang w:eastAsia="en-US"/>
        </w:rPr>
        <w:t>orking</w:t>
      </w:r>
      <w:r>
        <w:rPr>
          <w:rFonts w:eastAsia="Calibri"/>
          <w:lang w:eastAsia="en-US"/>
        </w:rPr>
        <w:t xml:space="preserve"> m</w:t>
      </w:r>
      <w:r w:rsidRPr="005C7F4F">
        <w:rPr>
          <w:rFonts w:eastAsia="Calibri"/>
          <w:lang w:eastAsia="en-US"/>
        </w:rPr>
        <w:t>emory</w:t>
      </w:r>
      <w:r>
        <w:rPr>
          <w:rFonts w:eastAsia="Calibri"/>
          <w:lang w:eastAsia="en-US"/>
        </w:rPr>
        <w:t>.</w:t>
      </w:r>
      <w:r w:rsidRPr="005C7F4F">
        <w:rPr>
          <w:rFonts w:eastAsia="Calibri"/>
          <w:lang w:eastAsia="en-US"/>
        </w:rPr>
        <w:t xml:space="preserve"> </w:t>
      </w:r>
      <w:r>
        <w:rPr>
          <w:rFonts w:eastAsia="Calibri"/>
          <w:lang w:eastAsia="en-US"/>
        </w:rPr>
        <w:t xml:space="preserve"> </w:t>
      </w:r>
      <w:r w:rsidRPr="00D7340D">
        <w:rPr>
          <w:rFonts w:eastAsia="Calibri"/>
          <w:i/>
          <w:lang w:val="fr-FR"/>
        </w:rPr>
        <w:t>Psychological Science, 24</w:t>
      </w:r>
      <w:r w:rsidRPr="00D7340D">
        <w:rPr>
          <w:rFonts w:eastAsia="Calibri"/>
          <w:lang w:val="fr-FR"/>
        </w:rPr>
        <w:t xml:space="preserve">, 981–990. </w:t>
      </w:r>
      <w:r w:rsidR="007E7533" w:rsidRPr="00D7340D">
        <w:rPr>
          <w:rFonts w:eastAsia="Calibri"/>
          <w:lang w:val="fr-FR"/>
        </w:rPr>
        <w:t>doi: 10.1177/0956797612465439</w:t>
      </w:r>
    </w:p>
    <w:p w14:paraId="0E0FC4A6" w14:textId="77777777" w:rsidR="00B6588A" w:rsidRDefault="00B6588A" w:rsidP="00A751AB">
      <w:pPr>
        <w:spacing w:line="480" w:lineRule="auto"/>
        <w:ind w:left="567" w:hanging="567"/>
        <w:jc w:val="both"/>
        <w:rPr>
          <w:rFonts w:eastAsia="Calibri"/>
          <w:lang w:eastAsia="en-US"/>
        </w:rPr>
      </w:pPr>
      <w:r w:rsidRPr="00D7340D">
        <w:rPr>
          <w:rFonts w:eastAsia="Calibri"/>
          <w:lang w:val="fr-FR"/>
        </w:rPr>
        <w:t xml:space="preserve">Brown, L. A., Forbes, D., &amp; McConnell, J. (2006). </w:t>
      </w:r>
      <w:r w:rsidRPr="00B6588A">
        <w:rPr>
          <w:rFonts w:eastAsia="Calibri"/>
          <w:lang w:eastAsia="en-US"/>
        </w:rPr>
        <w:t xml:space="preserve">Limiting the use of verbal coding in the Visual Patterns Test. </w:t>
      </w:r>
      <w:r w:rsidRPr="00B6588A">
        <w:rPr>
          <w:rFonts w:eastAsia="Calibri"/>
          <w:i/>
          <w:lang w:eastAsia="en-US"/>
        </w:rPr>
        <w:t>The Quarterly Journal of Experimental Psychology, 59</w:t>
      </w:r>
      <w:r w:rsidRPr="00B6588A">
        <w:rPr>
          <w:rFonts w:eastAsia="Calibri"/>
          <w:lang w:eastAsia="en-US"/>
        </w:rPr>
        <w:t>, 1169-1176.</w:t>
      </w:r>
      <w:r w:rsidRPr="00B6588A">
        <w:t xml:space="preserve"> </w:t>
      </w:r>
      <w:r>
        <w:rPr>
          <w:rFonts w:eastAsia="Calibri"/>
          <w:lang w:eastAsia="en-US"/>
        </w:rPr>
        <w:t>doi</w:t>
      </w:r>
      <w:r w:rsidRPr="00B6588A">
        <w:rPr>
          <w:rFonts w:eastAsia="Calibri"/>
          <w:lang w:eastAsia="en-US"/>
        </w:rPr>
        <w:t>:</w:t>
      </w:r>
      <w:r w:rsidR="000C121A">
        <w:rPr>
          <w:rFonts w:eastAsia="Calibri"/>
          <w:lang w:eastAsia="en-US"/>
        </w:rPr>
        <w:t xml:space="preserve"> </w:t>
      </w:r>
      <w:r w:rsidRPr="00B6588A">
        <w:rPr>
          <w:rFonts w:eastAsia="Calibri"/>
          <w:lang w:eastAsia="en-US"/>
        </w:rPr>
        <w:t>10.1080/17470210600665954</w:t>
      </w:r>
    </w:p>
    <w:p w14:paraId="1C7A8887" w14:textId="2F3B1FA5" w:rsidR="00B306D2" w:rsidRDefault="00B306D2" w:rsidP="00601B6F">
      <w:pPr>
        <w:spacing w:line="480" w:lineRule="auto"/>
        <w:ind w:left="567" w:hanging="567"/>
        <w:jc w:val="both"/>
        <w:rPr>
          <w:rFonts w:eastAsia="Calibri"/>
          <w:lang w:eastAsia="en-US"/>
        </w:rPr>
      </w:pPr>
      <w:r w:rsidRPr="00B306D2">
        <w:rPr>
          <w:rFonts w:eastAsia="Calibri"/>
          <w:lang w:eastAsia="en-US"/>
        </w:rPr>
        <w:t xml:space="preserve">Brown, L. A., &amp; Riby, L. M. (2013). Glucose enhancement of event-related potentials associated with episodic memory and attention. </w:t>
      </w:r>
      <w:r w:rsidRPr="00B306D2">
        <w:rPr>
          <w:rFonts w:eastAsia="Calibri"/>
          <w:i/>
          <w:lang w:eastAsia="en-US"/>
        </w:rPr>
        <w:t xml:space="preserve">Food &amp; </w:t>
      </w:r>
      <w:r w:rsidR="00601B6F">
        <w:rPr>
          <w:rFonts w:eastAsia="Calibri"/>
          <w:i/>
          <w:lang w:eastAsia="en-US"/>
        </w:rPr>
        <w:t>F</w:t>
      </w:r>
      <w:r w:rsidR="00601B6F" w:rsidRPr="00B306D2">
        <w:rPr>
          <w:rFonts w:eastAsia="Calibri"/>
          <w:i/>
          <w:lang w:eastAsia="en-US"/>
        </w:rPr>
        <w:t>unction</w:t>
      </w:r>
      <w:r w:rsidRPr="00B306D2">
        <w:rPr>
          <w:rFonts w:eastAsia="Calibri"/>
          <w:i/>
          <w:lang w:eastAsia="en-US"/>
        </w:rPr>
        <w:t>, 4</w:t>
      </w:r>
      <w:r w:rsidRPr="00B306D2">
        <w:rPr>
          <w:rFonts w:eastAsia="Calibri"/>
          <w:lang w:eastAsia="en-US"/>
        </w:rPr>
        <w:t>(5), 770-776.</w:t>
      </w:r>
      <w:r w:rsidR="00601B6F">
        <w:rPr>
          <w:rFonts w:eastAsia="Calibri"/>
          <w:lang w:eastAsia="en-US"/>
        </w:rPr>
        <w:t xml:space="preserve"> </w:t>
      </w:r>
      <w:r w:rsidR="00F85266">
        <w:rPr>
          <w:rFonts w:eastAsia="Calibri"/>
          <w:lang w:eastAsia="en-US"/>
        </w:rPr>
        <w:t>doi</w:t>
      </w:r>
      <w:r w:rsidR="00F85266" w:rsidRPr="00F85266">
        <w:rPr>
          <w:rFonts w:eastAsia="Calibri"/>
          <w:lang w:eastAsia="en-US"/>
        </w:rPr>
        <w:t>:</w:t>
      </w:r>
      <w:r w:rsidR="00F85266">
        <w:rPr>
          <w:rFonts w:eastAsia="Calibri"/>
          <w:lang w:eastAsia="en-US"/>
        </w:rPr>
        <w:t xml:space="preserve"> </w:t>
      </w:r>
      <w:r w:rsidR="00F85266" w:rsidRPr="00F85266">
        <w:rPr>
          <w:rFonts w:eastAsia="Calibri"/>
          <w:lang w:eastAsia="en-US"/>
        </w:rPr>
        <w:t>10.1039/C3FO30243A</w:t>
      </w:r>
    </w:p>
    <w:p w14:paraId="0DF7C7C9" w14:textId="7B12D4CC" w:rsidR="00B6588A" w:rsidRDefault="00B6588A" w:rsidP="00B6588A">
      <w:pPr>
        <w:spacing w:line="480" w:lineRule="auto"/>
        <w:ind w:left="567" w:hanging="567"/>
        <w:jc w:val="both"/>
        <w:rPr>
          <w:rFonts w:eastAsia="Calibri"/>
          <w:lang w:eastAsia="en-US"/>
        </w:rPr>
      </w:pPr>
      <w:r w:rsidRPr="00B6588A">
        <w:rPr>
          <w:rFonts w:eastAsia="Calibri"/>
          <w:lang w:eastAsia="en-US"/>
        </w:rPr>
        <w:t>Brown, L.</w:t>
      </w:r>
      <w:r>
        <w:rPr>
          <w:rFonts w:eastAsia="Calibri"/>
          <w:lang w:eastAsia="en-US"/>
        </w:rPr>
        <w:t xml:space="preserve"> </w:t>
      </w:r>
      <w:r w:rsidRPr="00B6588A">
        <w:rPr>
          <w:rFonts w:eastAsia="Calibri"/>
          <w:lang w:eastAsia="en-US"/>
        </w:rPr>
        <w:t xml:space="preserve">A., &amp; Wesley, R. W. (2013). Visual working memory is enhanced by mixed strategy use and semantic coding. </w:t>
      </w:r>
      <w:r w:rsidRPr="00B6588A">
        <w:rPr>
          <w:rFonts w:eastAsia="Calibri"/>
          <w:i/>
          <w:lang w:eastAsia="en-US"/>
        </w:rPr>
        <w:t>Journal of Cognitive Psychology, 25</w:t>
      </w:r>
      <w:r>
        <w:rPr>
          <w:rFonts w:eastAsia="Calibri"/>
          <w:lang w:eastAsia="en-US"/>
        </w:rPr>
        <w:t xml:space="preserve"> (3), 328-338. doi</w:t>
      </w:r>
      <w:r w:rsidRPr="00B6588A">
        <w:rPr>
          <w:rFonts w:eastAsia="Calibri"/>
          <w:lang w:eastAsia="en-US"/>
        </w:rPr>
        <w:t>:</w:t>
      </w:r>
      <w:r w:rsidR="000C121A">
        <w:rPr>
          <w:rFonts w:eastAsia="Calibri"/>
          <w:lang w:eastAsia="en-US"/>
        </w:rPr>
        <w:t xml:space="preserve"> </w:t>
      </w:r>
      <w:r w:rsidRPr="00B6588A">
        <w:rPr>
          <w:rFonts w:eastAsia="Calibri"/>
          <w:lang w:eastAsia="en-US"/>
        </w:rPr>
        <w:t>10.1080/20445911.2013.773004</w:t>
      </w:r>
    </w:p>
    <w:p w14:paraId="516327D5" w14:textId="43E2AB18" w:rsidR="00FD322A" w:rsidRDefault="00FD322A" w:rsidP="00FD322A">
      <w:pPr>
        <w:spacing w:line="480" w:lineRule="auto"/>
        <w:ind w:left="567" w:hanging="567"/>
        <w:jc w:val="both"/>
        <w:rPr>
          <w:rFonts w:eastAsia="Calibri"/>
          <w:lang w:eastAsia="en-US"/>
        </w:rPr>
      </w:pPr>
      <w:r>
        <w:rPr>
          <w:rFonts w:eastAsia="Calibri"/>
          <w:lang w:eastAsia="en-US"/>
        </w:rPr>
        <w:t xml:space="preserve">Bundesen, C. (1990). </w:t>
      </w:r>
      <w:r w:rsidRPr="00FD322A">
        <w:rPr>
          <w:rFonts w:eastAsia="Calibri"/>
          <w:lang w:eastAsia="en-US"/>
        </w:rPr>
        <w:t>A theory of visual attention</w:t>
      </w:r>
      <w:r>
        <w:rPr>
          <w:rFonts w:eastAsia="Calibri"/>
          <w:lang w:eastAsia="en-US"/>
        </w:rPr>
        <w:t xml:space="preserve">. </w:t>
      </w:r>
      <w:r w:rsidRPr="00FD322A">
        <w:rPr>
          <w:rFonts w:eastAsia="Calibri"/>
          <w:i/>
          <w:lang w:eastAsia="en-US"/>
        </w:rPr>
        <w:t>Psychological Review, 97</w:t>
      </w:r>
      <w:r w:rsidRPr="00FD322A">
        <w:rPr>
          <w:rFonts w:eastAsia="Calibri"/>
          <w:lang w:eastAsia="en-US"/>
        </w:rPr>
        <w:t>, 523-547</w:t>
      </w:r>
      <w:r>
        <w:rPr>
          <w:rFonts w:eastAsia="Calibri"/>
          <w:lang w:eastAsia="en-US"/>
        </w:rPr>
        <w:t xml:space="preserve">. doi: </w:t>
      </w:r>
      <w:r w:rsidRPr="00FD322A">
        <w:rPr>
          <w:rFonts w:eastAsia="Calibri"/>
          <w:lang w:eastAsia="en-US"/>
        </w:rPr>
        <w:t>10.1037/0033-295X.97.4.523</w:t>
      </w:r>
    </w:p>
    <w:p w14:paraId="75B81553" w14:textId="7D714641" w:rsidR="00A129B3" w:rsidRDefault="00A129B3" w:rsidP="00A751AB">
      <w:pPr>
        <w:spacing w:line="480" w:lineRule="auto"/>
        <w:ind w:left="567" w:hanging="567"/>
        <w:jc w:val="both"/>
        <w:rPr>
          <w:rFonts w:eastAsia="Calibri"/>
          <w:lang w:eastAsia="en-US"/>
        </w:rPr>
      </w:pPr>
      <w:r w:rsidRPr="00A129B3">
        <w:rPr>
          <w:rFonts w:eastAsia="Calibri"/>
          <w:lang w:eastAsia="en-US"/>
        </w:rPr>
        <w:t xml:space="preserve">Cabeza, R., Dolcos, F., Graham, R., &amp; Nyberg, L. (2002). Similarities and differences in the neural correlates of episodic memory retrieval and working memory. </w:t>
      </w:r>
      <w:r w:rsidRPr="00A129B3">
        <w:rPr>
          <w:rFonts w:eastAsia="Calibri"/>
          <w:i/>
          <w:lang w:eastAsia="en-US"/>
        </w:rPr>
        <w:t>NeuroImage, 16</w:t>
      </w:r>
      <w:r w:rsidRPr="00A129B3">
        <w:rPr>
          <w:rFonts w:eastAsia="Calibri"/>
          <w:lang w:eastAsia="en-US"/>
        </w:rPr>
        <w:t>, 317–330.</w:t>
      </w:r>
      <w:r w:rsidR="00F85266" w:rsidRPr="00F85266">
        <w:t xml:space="preserve"> </w:t>
      </w:r>
      <w:r w:rsidR="00F85266">
        <w:t xml:space="preserve">doi: </w:t>
      </w:r>
      <w:r w:rsidR="00F85266" w:rsidRPr="00F85266">
        <w:rPr>
          <w:rFonts w:eastAsia="Calibri"/>
          <w:lang w:eastAsia="en-US"/>
        </w:rPr>
        <w:t>10.1006/nimg.2002.1063</w:t>
      </w:r>
    </w:p>
    <w:p w14:paraId="321710E8" w14:textId="77777777" w:rsidR="00A751AB" w:rsidRPr="00A751AB" w:rsidRDefault="00A751AB" w:rsidP="00A751AB">
      <w:pPr>
        <w:spacing w:line="480" w:lineRule="auto"/>
        <w:ind w:left="567" w:hanging="567"/>
        <w:jc w:val="both"/>
        <w:rPr>
          <w:rFonts w:eastAsia="Calibri"/>
          <w:lang w:eastAsia="en-US"/>
        </w:rPr>
      </w:pPr>
      <w:r w:rsidRPr="00A751AB">
        <w:rPr>
          <w:rFonts w:eastAsia="Calibri"/>
          <w:lang w:eastAsia="en-US"/>
        </w:rPr>
        <w:t xml:space="preserve">Cowan, N. (2001). The magical number 4 in short-term memory: A reconsideration of mental storage capacity. </w:t>
      </w:r>
      <w:r w:rsidRPr="00A751AB">
        <w:rPr>
          <w:rFonts w:eastAsia="Calibri"/>
          <w:i/>
          <w:iCs/>
          <w:lang w:eastAsia="en-US"/>
        </w:rPr>
        <w:t>Behavioral and Brain Sciences</w:t>
      </w:r>
      <w:r w:rsidRPr="00A751AB">
        <w:rPr>
          <w:rFonts w:eastAsia="Calibri"/>
          <w:lang w:eastAsia="en-US"/>
        </w:rPr>
        <w:t>, 24, 87-185.</w:t>
      </w:r>
      <w:r w:rsidRPr="00A751AB">
        <w:t xml:space="preserve"> </w:t>
      </w:r>
      <w:r>
        <w:t xml:space="preserve">doi: </w:t>
      </w:r>
      <w:r w:rsidRPr="00A751AB">
        <w:rPr>
          <w:rFonts w:eastAsia="Calibri"/>
          <w:lang w:eastAsia="en-US"/>
        </w:rPr>
        <w:t>10.1017/S0140525X01003922</w:t>
      </w:r>
    </w:p>
    <w:p w14:paraId="39F06295" w14:textId="77777777" w:rsidR="00A751AB" w:rsidRPr="00A751AB" w:rsidRDefault="00A751AB" w:rsidP="00A751AB">
      <w:pPr>
        <w:spacing w:line="480" w:lineRule="auto"/>
        <w:ind w:left="567" w:hanging="567"/>
        <w:jc w:val="both"/>
        <w:rPr>
          <w:rFonts w:eastAsia="Calibri"/>
          <w:lang w:eastAsia="en-US"/>
        </w:rPr>
      </w:pPr>
      <w:r w:rsidRPr="00A751AB">
        <w:rPr>
          <w:rFonts w:eastAsia="Calibri"/>
          <w:lang w:eastAsia="en-US"/>
        </w:rPr>
        <w:t xml:space="preserve">Cowan, N. (2005). </w:t>
      </w:r>
      <w:r w:rsidRPr="00A751AB">
        <w:rPr>
          <w:rFonts w:eastAsia="Calibri"/>
          <w:i/>
          <w:lang w:eastAsia="en-US"/>
        </w:rPr>
        <w:t>Working Memory Capacity</w:t>
      </w:r>
      <w:r w:rsidRPr="00A751AB">
        <w:rPr>
          <w:rFonts w:eastAsia="Calibri"/>
          <w:lang w:eastAsia="en-US"/>
        </w:rPr>
        <w:t>. Hove, UK: Psychology Press.</w:t>
      </w:r>
    </w:p>
    <w:p w14:paraId="5602C0D9" w14:textId="77777777" w:rsidR="00C351A4" w:rsidRDefault="00C351A4" w:rsidP="00A579E6">
      <w:pPr>
        <w:spacing w:line="480" w:lineRule="auto"/>
        <w:ind w:left="567" w:hanging="567"/>
        <w:jc w:val="both"/>
        <w:rPr>
          <w:rFonts w:ascii="Times" w:eastAsia="Times" w:hAnsi="Times"/>
          <w:szCs w:val="20"/>
          <w:lang w:eastAsia="en-US"/>
        </w:rPr>
      </w:pPr>
      <w:r>
        <w:rPr>
          <w:rFonts w:ascii="Times" w:eastAsia="Times" w:hAnsi="Times"/>
          <w:szCs w:val="20"/>
          <w:lang w:eastAsia="en-US"/>
        </w:rPr>
        <w:t xml:space="preserve">Cruse, D., &amp; Wilding, E.L. (2008) Prefrontal cortex contributions to episodic retrieval monitoring and evaluation. </w:t>
      </w:r>
      <w:r w:rsidRPr="00BA2944">
        <w:rPr>
          <w:rFonts w:ascii="Times" w:eastAsia="Times" w:hAnsi="Times"/>
          <w:i/>
          <w:szCs w:val="20"/>
          <w:lang w:eastAsia="en-US"/>
        </w:rPr>
        <w:t>Neuropsychologia</w:t>
      </w:r>
      <w:r>
        <w:rPr>
          <w:rFonts w:ascii="Times" w:eastAsia="Times" w:hAnsi="Times"/>
          <w:szCs w:val="20"/>
          <w:lang w:eastAsia="en-US"/>
        </w:rPr>
        <w:t xml:space="preserve">, 47, 2279-2789.  </w:t>
      </w:r>
      <w:r w:rsidRPr="00C351A4">
        <w:rPr>
          <w:rFonts w:ascii="Times" w:eastAsia="Times" w:hAnsi="Times"/>
          <w:szCs w:val="20"/>
          <w:lang w:eastAsia="en-US"/>
        </w:rPr>
        <w:t>doi:10.1016/j.neuropsychologia.2009.06.003</w:t>
      </w:r>
    </w:p>
    <w:p w14:paraId="42AD330D" w14:textId="77777777" w:rsidR="00A579E6" w:rsidRDefault="00A579E6" w:rsidP="00A579E6">
      <w:pPr>
        <w:spacing w:line="480" w:lineRule="auto"/>
        <w:ind w:left="567" w:hanging="567"/>
        <w:jc w:val="both"/>
        <w:rPr>
          <w:rFonts w:ascii="Times" w:eastAsia="Times" w:hAnsi="Times"/>
          <w:szCs w:val="20"/>
          <w:lang w:eastAsia="en-US"/>
        </w:rPr>
      </w:pPr>
      <w:r w:rsidRPr="00A579E6">
        <w:rPr>
          <w:rFonts w:ascii="Times" w:eastAsia="Times" w:hAnsi="Times"/>
          <w:szCs w:val="20"/>
          <w:lang w:eastAsia="en-US"/>
        </w:rPr>
        <w:lastRenderedPageBreak/>
        <w:t>Darling</w:t>
      </w:r>
      <w:r>
        <w:rPr>
          <w:rFonts w:ascii="Times" w:eastAsia="Times" w:hAnsi="Times"/>
          <w:szCs w:val="20"/>
          <w:lang w:eastAsia="en-US"/>
        </w:rPr>
        <w:t>, S.,</w:t>
      </w:r>
      <w:r w:rsidRPr="00A579E6">
        <w:rPr>
          <w:rFonts w:ascii="Times" w:eastAsia="Times" w:hAnsi="Times"/>
          <w:szCs w:val="20"/>
          <w:lang w:eastAsia="en-US"/>
        </w:rPr>
        <w:t xml:space="preserve"> Allen</w:t>
      </w:r>
      <w:r>
        <w:rPr>
          <w:rFonts w:ascii="Times" w:eastAsia="Times" w:hAnsi="Times"/>
          <w:szCs w:val="20"/>
          <w:lang w:eastAsia="en-US"/>
        </w:rPr>
        <w:t xml:space="preserve">, R. J., </w:t>
      </w:r>
      <w:r w:rsidRPr="00A579E6">
        <w:rPr>
          <w:rFonts w:ascii="Times" w:eastAsia="Times" w:hAnsi="Times"/>
          <w:szCs w:val="20"/>
          <w:lang w:eastAsia="en-US"/>
        </w:rPr>
        <w:t>Havelka</w:t>
      </w:r>
      <w:r>
        <w:rPr>
          <w:rFonts w:ascii="Times" w:eastAsia="Times" w:hAnsi="Times"/>
          <w:szCs w:val="20"/>
          <w:lang w:eastAsia="en-US"/>
        </w:rPr>
        <w:t xml:space="preserve">, J., </w:t>
      </w:r>
      <w:r w:rsidRPr="00A579E6">
        <w:rPr>
          <w:rFonts w:ascii="Times" w:eastAsia="Times" w:hAnsi="Times"/>
          <w:szCs w:val="20"/>
          <w:lang w:eastAsia="en-US"/>
        </w:rPr>
        <w:t>Campbell</w:t>
      </w:r>
      <w:r>
        <w:rPr>
          <w:rFonts w:ascii="Times" w:eastAsia="Times" w:hAnsi="Times"/>
          <w:szCs w:val="20"/>
          <w:lang w:eastAsia="en-US"/>
        </w:rPr>
        <w:t>, A.,</w:t>
      </w:r>
      <w:r w:rsidRPr="00A579E6">
        <w:rPr>
          <w:rFonts w:ascii="Times" w:eastAsia="Times" w:hAnsi="Times"/>
          <w:szCs w:val="20"/>
          <w:lang w:eastAsia="en-US"/>
        </w:rPr>
        <w:t xml:space="preserve"> &amp; Rattray</w:t>
      </w:r>
      <w:r>
        <w:rPr>
          <w:rFonts w:ascii="Times" w:eastAsia="Times" w:hAnsi="Times"/>
          <w:szCs w:val="20"/>
          <w:lang w:eastAsia="en-US"/>
        </w:rPr>
        <w:t xml:space="preserve">, E. (2012). </w:t>
      </w:r>
      <w:r w:rsidRPr="00A579E6">
        <w:rPr>
          <w:rFonts w:ascii="Times" w:eastAsia="Times" w:hAnsi="Times"/>
          <w:szCs w:val="20"/>
          <w:lang w:eastAsia="en-US"/>
        </w:rPr>
        <w:t>Visuospatial bootstrapping: Long-term memory</w:t>
      </w:r>
      <w:r>
        <w:rPr>
          <w:rFonts w:ascii="Times" w:eastAsia="Times" w:hAnsi="Times"/>
          <w:szCs w:val="20"/>
          <w:lang w:eastAsia="en-US"/>
        </w:rPr>
        <w:t xml:space="preserve"> </w:t>
      </w:r>
      <w:r w:rsidRPr="00A579E6">
        <w:rPr>
          <w:rFonts w:ascii="Times" w:eastAsia="Times" w:hAnsi="Times"/>
          <w:szCs w:val="20"/>
          <w:lang w:eastAsia="en-US"/>
        </w:rPr>
        <w:t>representations are necessary for implicit binding of verbal</w:t>
      </w:r>
      <w:r>
        <w:rPr>
          <w:rFonts w:ascii="Times" w:eastAsia="Times" w:hAnsi="Times"/>
          <w:szCs w:val="20"/>
          <w:lang w:eastAsia="en-US"/>
        </w:rPr>
        <w:t xml:space="preserve"> </w:t>
      </w:r>
      <w:r w:rsidRPr="00A579E6">
        <w:rPr>
          <w:rFonts w:ascii="Times" w:eastAsia="Times" w:hAnsi="Times"/>
          <w:szCs w:val="20"/>
          <w:lang w:eastAsia="en-US"/>
        </w:rPr>
        <w:t>and visuospatial working memory</w:t>
      </w:r>
      <w:r>
        <w:rPr>
          <w:rFonts w:ascii="Times" w:eastAsia="Times" w:hAnsi="Times"/>
          <w:szCs w:val="20"/>
          <w:lang w:eastAsia="en-US"/>
        </w:rPr>
        <w:t xml:space="preserve">. </w:t>
      </w:r>
      <w:r w:rsidRPr="00A579E6">
        <w:rPr>
          <w:rFonts w:ascii="Times" w:eastAsia="Times" w:hAnsi="Times"/>
          <w:i/>
          <w:szCs w:val="20"/>
          <w:lang w:eastAsia="en-US"/>
        </w:rPr>
        <w:t>Psychonomic Bulletin &amp; Review, 19</w:t>
      </w:r>
      <w:r>
        <w:rPr>
          <w:rFonts w:ascii="Times" w:eastAsia="Times" w:hAnsi="Times"/>
          <w:szCs w:val="20"/>
          <w:lang w:eastAsia="en-US"/>
        </w:rPr>
        <w:t xml:space="preserve">, </w:t>
      </w:r>
      <w:r w:rsidRPr="00A579E6">
        <w:rPr>
          <w:rFonts w:ascii="Times" w:eastAsia="Times" w:hAnsi="Times"/>
          <w:szCs w:val="20"/>
          <w:lang w:eastAsia="en-US"/>
        </w:rPr>
        <w:t>258–263</w:t>
      </w:r>
      <w:r>
        <w:rPr>
          <w:rFonts w:ascii="Times" w:eastAsia="Times" w:hAnsi="Times"/>
          <w:szCs w:val="20"/>
          <w:lang w:eastAsia="en-US"/>
        </w:rPr>
        <w:t>. doi:</w:t>
      </w:r>
      <w:r w:rsidR="000C121A">
        <w:rPr>
          <w:rFonts w:ascii="Times" w:eastAsia="Times" w:hAnsi="Times"/>
          <w:szCs w:val="20"/>
          <w:lang w:eastAsia="en-US"/>
        </w:rPr>
        <w:t xml:space="preserve"> </w:t>
      </w:r>
      <w:r w:rsidRPr="00A579E6">
        <w:rPr>
          <w:rFonts w:ascii="Times" w:eastAsia="Times" w:hAnsi="Times"/>
          <w:szCs w:val="20"/>
          <w:lang w:eastAsia="en-US"/>
        </w:rPr>
        <w:t>10.3758/s13423-011-0197-3</w:t>
      </w:r>
    </w:p>
    <w:p w14:paraId="098C5AFC" w14:textId="77777777" w:rsidR="005B560D" w:rsidRDefault="005B560D" w:rsidP="005B560D">
      <w:pPr>
        <w:spacing w:line="480" w:lineRule="auto"/>
        <w:ind w:left="567" w:hanging="567"/>
        <w:jc w:val="both"/>
        <w:rPr>
          <w:rFonts w:ascii="Times" w:eastAsia="Times" w:hAnsi="Times"/>
          <w:szCs w:val="20"/>
          <w:lang w:eastAsia="en-US"/>
        </w:rPr>
      </w:pPr>
      <w:r w:rsidRPr="005B560D">
        <w:rPr>
          <w:rFonts w:ascii="Times" w:eastAsia="Times" w:hAnsi="Times"/>
          <w:szCs w:val="20"/>
          <w:lang w:eastAsia="en-US"/>
        </w:rPr>
        <w:t>Darling, S., &amp; Havelka, J. (2010). Visuospatial bootstrapping: Evidence for</w:t>
      </w:r>
      <w:r>
        <w:rPr>
          <w:rFonts w:ascii="Times" w:eastAsia="Times" w:hAnsi="Times"/>
          <w:szCs w:val="20"/>
          <w:lang w:eastAsia="en-US"/>
        </w:rPr>
        <w:t xml:space="preserve"> </w:t>
      </w:r>
      <w:r w:rsidRPr="005B560D">
        <w:rPr>
          <w:rFonts w:ascii="Times" w:eastAsia="Times" w:hAnsi="Times"/>
          <w:szCs w:val="20"/>
          <w:lang w:eastAsia="en-US"/>
        </w:rPr>
        <w:t xml:space="preserve">binding of verbal and spatial </w:t>
      </w:r>
      <w:r>
        <w:rPr>
          <w:rFonts w:ascii="Times" w:eastAsia="Times" w:hAnsi="Times"/>
          <w:szCs w:val="20"/>
          <w:lang w:eastAsia="en-US"/>
        </w:rPr>
        <w:t xml:space="preserve">information in working memory. </w:t>
      </w:r>
      <w:r w:rsidRPr="005B560D">
        <w:rPr>
          <w:rFonts w:ascii="Times" w:eastAsia="Times" w:hAnsi="Times"/>
          <w:i/>
          <w:szCs w:val="20"/>
          <w:lang w:eastAsia="en-US"/>
        </w:rPr>
        <w:t>The Quarterly Journal of Experimental Psychology, 63</w:t>
      </w:r>
      <w:r w:rsidRPr="005B560D">
        <w:rPr>
          <w:rFonts w:ascii="Times" w:eastAsia="Times" w:hAnsi="Times"/>
          <w:szCs w:val="20"/>
          <w:lang w:eastAsia="en-US"/>
        </w:rPr>
        <w:t xml:space="preserve">, 239–245. </w:t>
      </w:r>
      <w:r>
        <w:rPr>
          <w:rFonts w:ascii="Times" w:eastAsia="Times" w:hAnsi="Times"/>
          <w:szCs w:val="20"/>
          <w:lang w:eastAsia="en-US"/>
        </w:rPr>
        <w:t xml:space="preserve">doi: </w:t>
      </w:r>
      <w:r w:rsidRPr="005B560D">
        <w:rPr>
          <w:rFonts w:ascii="Times" w:eastAsia="Times" w:hAnsi="Times"/>
          <w:szCs w:val="20"/>
          <w:lang w:eastAsia="en-US"/>
        </w:rPr>
        <w:t>10.1080/17470210903348605</w:t>
      </w:r>
    </w:p>
    <w:p w14:paraId="688B202E" w14:textId="77777777" w:rsidR="00A751AB" w:rsidRPr="00A751AB" w:rsidRDefault="00A751AB" w:rsidP="005B560D">
      <w:pPr>
        <w:spacing w:line="480" w:lineRule="auto"/>
        <w:ind w:left="567" w:hanging="567"/>
        <w:jc w:val="both"/>
        <w:rPr>
          <w:rFonts w:ascii="Times" w:eastAsia="Times" w:hAnsi="Times"/>
          <w:szCs w:val="20"/>
          <w:lang w:eastAsia="en-US"/>
        </w:rPr>
      </w:pPr>
      <w:r w:rsidRPr="00A751AB">
        <w:rPr>
          <w:rFonts w:ascii="Times" w:eastAsia="Times" w:hAnsi="Times"/>
          <w:szCs w:val="20"/>
          <w:lang w:eastAsia="en-US"/>
        </w:rPr>
        <w:t xml:space="preserve">Della Sala, S., Gray, C., Baddeley, A., Allamano, N., &amp; Wilson, L. (1999). Pattern span: A tool for unwelding visuo-spatial memory. </w:t>
      </w:r>
      <w:r w:rsidRPr="00A751AB">
        <w:rPr>
          <w:rFonts w:ascii="Times" w:eastAsia="Times" w:hAnsi="Times"/>
          <w:i/>
          <w:szCs w:val="20"/>
          <w:lang w:eastAsia="en-US"/>
        </w:rPr>
        <w:t>Neuropsychologia, 37</w:t>
      </w:r>
      <w:r w:rsidRPr="00A751AB">
        <w:rPr>
          <w:rFonts w:ascii="Times" w:eastAsia="Times" w:hAnsi="Times"/>
          <w:szCs w:val="20"/>
          <w:lang w:eastAsia="en-US"/>
        </w:rPr>
        <w:t>, 1189-1199.</w:t>
      </w:r>
      <w:r>
        <w:rPr>
          <w:rFonts w:ascii="Times" w:eastAsia="Times" w:hAnsi="Times"/>
          <w:szCs w:val="20"/>
          <w:lang w:eastAsia="en-US"/>
        </w:rPr>
        <w:t xml:space="preserve"> doi:</w:t>
      </w:r>
      <w:r w:rsidR="000C121A">
        <w:rPr>
          <w:rFonts w:ascii="Times" w:eastAsia="Times" w:hAnsi="Times"/>
          <w:szCs w:val="20"/>
          <w:lang w:eastAsia="en-US"/>
        </w:rPr>
        <w:t xml:space="preserve"> </w:t>
      </w:r>
      <w:r w:rsidR="00950F5C" w:rsidRPr="00950F5C">
        <w:rPr>
          <w:rFonts w:ascii="Times" w:eastAsia="Times" w:hAnsi="Times"/>
          <w:szCs w:val="20"/>
          <w:lang w:eastAsia="en-US"/>
        </w:rPr>
        <w:t>10.1016/S0028-3932(98)00159-6</w:t>
      </w:r>
    </w:p>
    <w:p w14:paraId="3C5E6C1D" w14:textId="70B910AF" w:rsidR="000C121A" w:rsidRDefault="000C121A" w:rsidP="00A751AB">
      <w:pPr>
        <w:spacing w:line="480" w:lineRule="auto"/>
        <w:ind w:left="567" w:hanging="567"/>
        <w:jc w:val="both"/>
        <w:rPr>
          <w:rFonts w:eastAsia="Times"/>
          <w:szCs w:val="20"/>
          <w:lang w:eastAsia="en-US"/>
        </w:rPr>
      </w:pPr>
      <w:r w:rsidRPr="000C121A">
        <w:rPr>
          <w:rFonts w:eastAsia="Times"/>
          <w:szCs w:val="20"/>
          <w:lang w:eastAsia="en-US"/>
        </w:rPr>
        <w:t xml:space="preserve">Elward, R. L., &amp; Wilding, E. L. (2010). Working memory capacity is related to variations in the magnitude of an electrophysiological marker of recollection. </w:t>
      </w:r>
      <w:r w:rsidRPr="000C121A">
        <w:rPr>
          <w:rFonts w:eastAsia="Times"/>
          <w:i/>
          <w:szCs w:val="20"/>
          <w:lang w:eastAsia="en-US"/>
        </w:rPr>
        <w:t>Brain Research, 1342</w:t>
      </w:r>
      <w:r w:rsidRPr="000C121A">
        <w:rPr>
          <w:rFonts w:eastAsia="Times"/>
          <w:szCs w:val="20"/>
          <w:lang w:eastAsia="en-US"/>
        </w:rPr>
        <w:t xml:space="preserve">, 55–62. </w:t>
      </w:r>
      <w:r w:rsidR="00C351A4" w:rsidRPr="00BA2944">
        <w:rPr>
          <w:rFonts w:eastAsia="Times"/>
        </w:rPr>
        <w:t>doi: 10.1016/j.brainres.2010.04.040</w:t>
      </w:r>
    </w:p>
    <w:p w14:paraId="0D66617D" w14:textId="77777777" w:rsidR="00C351A4" w:rsidRDefault="00C351A4" w:rsidP="00A751AB">
      <w:pPr>
        <w:spacing w:line="480" w:lineRule="auto"/>
        <w:ind w:left="567" w:hanging="567"/>
        <w:jc w:val="both"/>
        <w:rPr>
          <w:rFonts w:eastAsia="Times"/>
          <w:szCs w:val="20"/>
          <w:lang w:eastAsia="en-US"/>
        </w:rPr>
      </w:pPr>
      <w:r>
        <w:rPr>
          <w:rFonts w:eastAsia="Times"/>
          <w:szCs w:val="20"/>
          <w:lang w:eastAsia="en-US"/>
        </w:rPr>
        <w:t xml:space="preserve">Friedman, D., &amp; Johnson, R (2000) Event-related potential (ERP) studies of memory encoding and retrieval: a selective review. </w:t>
      </w:r>
      <w:r w:rsidRPr="00BA2944">
        <w:rPr>
          <w:rFonts w:eastAsia="Times"/>
          <w:i/>
          <w:szCs w:val="20"/>
          <w:lang w:eastAsia="en-US"/>
        </w:rPr>
        <w:t>Microscopy Research and Technique</w:t>
      </w:r>
      <w:r>
        <w:rPr>
          <w:rFonts w:eastAsia="Times"/>
          <w:szCs w:val="20"/>
          <w:lang w:eastAsia="en-US"/>
        </w:rPr>
        <w:t>, 51, 6-28</w:t>
      </w:r>
    </w:p>
    <w:p w14:paraId="2BB6C0CB" w14:textId="77777777" w:rsidR="00C351A4" w:rsidRDefault="00C351A4" w:rsidP="00A751AB">
      <w:pPr>
        <w:spacing w:line="480" w:lineRule="auto"/>
        <w:ind w:left="567" w:hanging="567"/>
        <w:jc w:val="both"/>
        <w:rPr>
          <w:rFonts w:eastAsia="Times"/>
          <w:szCs w:val="20"/>
          <w:lang w:eastAsia="en-US"/>
        </w:rPr>
      </w:pPr>
      <w:r w:rsidRPr="005B3F65">
        <w:rPr>
          <w:rFonts w:eastAsia="Times"/>
          <w:szCs w:val="20"/>
          <w:lang w:eastAsia="en-US"/>
        </w:rPr>
        <w:t>Hellerstedt, R</w:t>
      </w:r>
      <w:r w:rsidRPr="00BA2944">
        <w:rPr>
          <w:rFonts w:eastAsia="Times"/>
          <w:szCs w:val="20"/>
          <w:lang w:eastAsia="en-US"/>
        </w:rPr>
        <w:t>., &amp; Johansson, M. (2016) C</w:t>
      </w:r>
      <w:r>
        <w:rPr>
          <w:rFonts w:eastAsia="Times"/>
          <w:szCs w:val="20"/>
          <w:lang w:eastAsia="en-US"/>
        </w:rPr>
        <w:t xml:space="preserve">ompetitive semantic memory retrieval: temporal dynamics revealed by event-related potentials. </w:t>
      </w:r>
      <w:r w:rsidRPr="00BA2944">
        <w:rPr>
          <w:rFonts w:eastAsia="Times"/>
          <w:i/>
          <w:szCs w:val="20"/>
          <w:lang w:eastAsia="en-US"/>
        </w:rPr>
        <w:t>PLoSONE,</w:t>
      </w:r>
      <w:r>
        <w:rPr>
          <w:rFonts w:eastAsia="Times"/>
          <w:szCs w:val="20"/>
          <w:lang w:eastAsia="en-US"/>
        </w:rPr>
        <w:t xml:space="preserve"> 11(2). </w:t>
      </w:r>
      <w:r w:rsidRPr="00C351A4">
        <w:rPr>
          <w:rFonts w:eastAsia="Times"/>
          <w:szCs w:val="20"/>
          <w:lang w:eastAsia="en-US"/>
        </w:rPr>
        <w:t>doi:10.1371/journal</w:t>
      </w:r>
    </w:p>
    <w:p w14:paraId="1D0EF10F" w14:textId="4D3B806A" w:rsidR="00676071" w:rsidRDefault="00676071" w:rsidP="00A751AB">
      <w:pPr>
        <w:spacing w:line="480" w:lineRule="auto"/>
        <w:ind w:left="567" w:hanging="567"/>
        <w:jc w:val="both"/>
        <w:rPr>
          <w:rFonts w:eastAsia="Times"/>
          <w:szCs w:val="20"/>
          <w:lang w:eastAsia="en-US"/>
        </w:rPr>
      </w:pPr>
      <w:r w:rsidRPr="005B3F65">
        <w:rPr>
          <w:rFonts w:eastAsia="Times"/>
          <w:szCs w:val="20"/>
          <w:lang w:eastAsia="en-US"/>
        </w:rPr>
        <w:t xml:space="preserve">Hu, Y., Allen, R. J., Baddeley, A. D., &amp; Hitch, G. J. (2016). </w:t>
      </w:r>
      <w:r w:rsidRPr="00676071">
        <w:rPr>
          <w:rFonts w:eastAsia="Times"/>
          <w:szCs w:val="20"/>
          <w:lang w:eastAsia="en-US"/>
        </w:rPr>
        <w:t xml:space="preserve">Executive control of stimulus-driven and goal-directed attention in visual working memory. </w:t>
      </w:r>
      <w:r w:rsidRPr="00676071">
        <w:rPr>
          <w:rFonts w:eastAsia="Times"/>
          <w:i/>
          <w:szCs w:val="20"/>
          <w:lang w:eastAsia="en-US"/>
        </w:rPr>
        <w:t>Attention, Perception, &amp; Psychophysics</w:t>
      </w:r>
      <w:r w:rsidR="005C7F4F">
        <w:rPr>
          <w:rFonts w:eastAsia="Times"/>
          <w:szCs w:val="20"/>
          <w:lang w:eastAsia="en-US"/>
        </w:rPr>
        <w:t xml:space="preserve">, </w:t>
      </w:r>
      <w:r w:rsidR="005C7F4F" w:rsidRPr="005C7F4F">
        <w:rPr>
          <w:rFonts w:eastAsia="Times"/>
          <w:i/>
          <w:szCs w:val="20"/>
          <w:lang w:eastAsia="en-US"/>
        </w:rPr>
        <w:t>78</w:t>
      </w:r>
      <w:r w:rsidR="005C7F4F">
        <w:rPr>
          <w:rFonts w:eastAsia="Times"/>
          <w:szCs w:val="20"/>
          <w:lang w:eastAsia="en-US"/>
        </w:rPr>
        <w:t xml:space="preserve">, </w:t>
      </w:r>
      <w:r w:rsidR="005C7F4F" w:rsidRPr="005C7F4F">
        <w:rPr>
          <w:rFonts w:eastAsia="Times"/>
          <w:szCs w:val="20"/>
          <w:lang w:eastAsia="en-US"/>
        </w:rPr>
        <w:t>2164–2175</w:t>
      </w:r>
      <w:r w:rsidR="005C7F4F">
        <w:rPr>
          <w:rFonts w:eastAsia="Times"/>
          <w:szCs w:val="20"/>
          <w:lang w:eastAsia="en-US"/>
        </w:rPr>
        <w:t>.</w:t>
      </w:r>
      <w:r w:rsidRPr="00676071">
        <w:rPr>
          <w:rFonts w:eastAsia="Times"/>
          <w:szCs w:val="20"/>
          <w:lang w:eastAsia="en-US"/>
        </w:rPr>
        <w:t xml:space="preserve"> </w:t>
      </w:r>
      <w:r w:rsidR="00F85266" w:rsidRPr="00F85266">
        <w:rPr>
          <w:rFonts w:eastAsia="Times"/>
          <w:szCs w:val="20"/>
          <w:lang w:eastAsia="en-US"/>
        </w:rPr>
        <w:t>doi: 10.3758/s13414-016-1106-7</w:t>
      </w:r>
    </w:p>
    <w:p w14:paraId="61428099" w14:textId="77777777" w:rsidR="00C351A4" w:rsidRDefault="00C351A4" w:rsidP="00A751AB">
      <w:pPr>
        <w:spacing w:line="480" w:lineRule="auto"/>
        <w:ind w:left="567" w:hanging="567"/>
        <w:jc w:val="both"/>
        <w:rPr>
          <w:rFonts w:eastAsia="Times"/>
          <w:szCs w:val="20"/>
          <w:lang w:eastAsia="en-US"/>
        </w:rPr>
      </w:pPr>
      <w:r w:rsidRPr="005B3F65">
        <w:rPr>
          <w:rFonts w:eastAsia="Times"/>
          <w:szCs w:val="20"/>
          <w:lang w:eastAsia="en-US"/>
        </w:rPr>
        <w:t>Johansson, M.,</w:t>
      </w:r>
      <w:r w:rsidRPr="00BA2944">
        <w:rPr>
          <w:rFonts w:eastAsia="Times"/>
          <w:szCs w:val="20"/>
          <w:lang w:eastAsia="en-US"/>
        </w:rPr>
        <w:t xml:space="preserve"> &amp; Mecklinger, A. (2003). The late posterior negativity in ERP studies of episodic memory: action monitoring and retrieval of attribute </w:t>
      </w:r>
      <w:r w:rsidRPr="005B3F65">
        <w:rPr>
          <w:rFonts w:eastAsia="Times"/>
          <w:szCs w:val="20"/>
          <w:lang w:eastAsia="en-US"/>
        </w:rPr>
        <w:t>conjunctions</w:t>
      </w:r>
      <w:r w:rsidRPr="00BA2944">
        <w:rPr>
          <w:rFonts w:eastAsia="Times"/>
          <w:szCs w:val="20"/>
          <w:lang w:eastAsia="en-US"/>
        </w:rPr>
        <w:t xml:space="preserve">. </w:t>
      </w:r>
      <w:r w:rsidRPr="00BA2944">
        <w:rPr>
          <w:rFonts w:eastAsia="Times"/>
          <w:i/>
          <w:szCs w:val="20"/>
          <w:lang w:eastAsia="en-US"/>
        </w:rPr>
        <w:t>Biological Psychology</w:t>
      </w:r>
      <w:r>
        <w:rPr>
          <w:rFonts w:eastAsia="Times"/>
          <w:szCs w:val="20"/>
          <w:lang w:eastAsia="en-US"/>
        </w:rPr>
        <w:t xml:space="preserve">, 64, 91-117. </w:t>
      </w:r>
      <w:r w:rsidRPr="00C351A4">
        <w:rPr>
          <w:rFonts w:eastAsia="Times"/>
          <w:szCs w:val="20"/>
          <w:lang w:eastAsia="en-US"/>
        </w:rPr>
        <w:t>doi:10.1016/S0301-0511(03)00104-2</w:t>
      </w:r>
    </w:p>
    <w:p w14:paraId="4F4C579B" w14:textId="77777777" w:rsidR="00A751AB" w:rsidRPr="00A751AB" w:rsidRDefault="00A751AB" w:rsidP="00A751AB">
      <w:pPr>
        <w:spacing w:line="480" w:lineRule="auto"/>
        <w:ind w:left="567" w:hanging="567"/>
        <w:jc w:val="both"/>
        <w:rPr>
          <w:rFonts w:eastAsia="Times"/>
          <w:szCs w:val="20"/>
          <w:lang w:eastAsia="en-US"/>
        </w:rPr>
      </w:pPr>
      <w:r w:rsidRPr="005B3F65">
        <w:rPr>
          <w:rFonts w:eastAsia="Times"/>
          <w:szCs w:val="20"/>
          <w:lang w:eastAsia="en-US"/>
        </w:rPr>
        <w:lastRenderedPageBreak/>
        <w:t xml:space="preserve">Logie, R. H. (1995). </w:t>
      </w:r>
      <w:r w:rsidRPr="00A751AB">
        <w:rPr>
          <w:rFonts w:eastAsia="Times"/>
          <w:i/>
          <w:szCs w:val="20"/>
          <w:lang w:eastAsia="en-US"/>
        </w:rPr>
        <w:t>Visuo-Spatial Working Memory</w:t>
      </w:r>
      <w:r w:rsidRPr="00A751AB">
        <w:rPr>
          <w:rFonts w:eastAsia="Times"/>
          <w:szCs w:val="20"/>
          <w:lang w:eastAsia="en-US"/>
        </w:rPr>
        <w:t>. Hove, UK: Lawrence Erlbaum Associates.</w:t>
      </w:r>
    </w:p>
    <w:p w14:paraId="3EC9AFF9" w14:textId="145822CB" w:rsidR="000C121A" w:rsidRPr="00F85266" w:rsidRDefault="000C121A" w:rsidP="008C247E">
      <w:pPr>
        <w:spacing w:line="480" w:lineRule="auto"/>
        <w:ind w:left="567" w:hanging="567"/>
        <w:rPr>
          <w:rStyle w:val="Hyperlink"/>
          <w:rFonts w:eastAsia="Times"/>
          <w:color w:val="auto"/>
        </w:rPr>
      </w:pPr>
      <w:r w:rsidRPr="000C121A">
        <w:rPr>
          <w:rFonts w:eastAsia="Times"/>
          <w:lang w:eastAsia="en-US"/>
        </w:rPr>
        <w:t xml:space="preserve">Logie, R. H. (2011). The functional organization and capacity limits of working memory. </w:t>
      </w:r>
      <w:r w:rsidRPr="00D7340D">
        <w:rPr>
          <w:rFonts w:eastAsia="Times"/>
          <w:i/>
        </w:rPr>
        <w:t>Current Directions in Psychological Science, 20</w:t>
      </w:r>
      <w:r w:rsidRPr="00D7340D">
        <w:rPr>
          <w:rFonts w:eastAsia="Times"/>
        </w:rPr>
        <w:t>, 240–245</w:t>
      </w:r>
      <w:r w:rsidR="00F85266">
        <w:rPr>
          <w:rFonts w:eastAsia="Times"/>
        </w:rPr>
        <w:t xml:space="preserve">. doi: </w:t>
      </w:r>
      <w:r w:rsidR="00F85266" w:rsidRPr="00F85266">
        <w:rPr>
          <w:rFonts w:eastAsia="Times"/>
        </w:rPr>
        <w:t>10.1177/0963721411415340</w:t>
      </w:r>
    </w:p>
    <w:p w14:paraId="474E7398" w14:textId="7846CE66" w:rsidR="005C7F4F" w:rsidRPr="00B47956" w:rsidRDefault="005C7F4F" w:rsidP="005C7F4F">
      <w:pPr>
        <w:spacing w:line="480" w:lineRule="auto"/>
        <w:ind w:left="567" w:hanging="567"/>
        <w:rPr>
          <w:rStyle w:val="Hyperlink"/>
          <w:rFonts w:eastAsia="Times"/>
          <w:color w:val="000000" w:themeColor="text1"/>
          <w:u w:val="none"/>
        </w:rPr>
      </w:pPr>
      <w:r w:rsidRPr="00B47956">
        <w:rPr>
          <w:rStyle w:val="Hyperlink"/>
          <w:rFonts w:eastAsia="Times"/>
          <w:color w:val="000000" w:themeColor="text1"/>
          <w:u w:val="none"/>
        </w:rPr>
        <w:t xml:space="preserve">Luck, S. J., &amp; Vogel, E. K. (1997) The capacity of visual working memory for features and conjunctions. </w:t>
      </w:r>
      <w:r w:rsidRPr="00B47956">
        <w:rPr>
          <w:rStyle w:val="Hyperlink"/>
          <w:rFonts w:eastAsia="Times"/>
          <w:i/>
          <w:color w:val="000000" w:themeColor="text1"/>
          <w:u w:val="none"/>
        </w:rPr>
        <w:t>Nature, 390</w:t>
      </w:r>
      <w:r w:rsidRPr="00B47956">
        <w:rPr>
          <w:rStyle w:val="Hyperlink"/>
          <w:rFonts w:eastAsia="Times"/>
          <w:color w:val="000000" w:themeColor="text1"/>
          <w:u w:val="none"/>
        </w:rPr>
        <w:t>, 279–281. doi: 10.1038/36846</w:t>
      </w:r>
    </w:p>
    <w:p w14:paraId="0BF05405" w14:textId="01F0AB46" w:rsidR="005C7F4F" w:rsidRPr="00D7340D" w:rsidRDefault="005C7F4F" w:rsidP="005C7F4F">
      <w:pPr>
        <w:spacing w:line="480" w:lineRule="auto"/>
        <w:ind w:left="567" w:hanging="567"/>
        <w:rPr>
          <w:rFonts w:eastAsia="Times"/>
        </w:rPr>
      </w:pPr>
      <w:r w:rsidRPr="00D7340D">
        <w:rPr>
          <w:rFonts w:eastAsia="Times"/>
        </w:rPr>
        <w:t xml:space="preserve">Luck, S. J., &amp; Vogel, E. K. (2013). Visual working memory capacity: from psychophysics and neurobiology to individual differences. </w:t>
      </w:r>
      <w:r w:rsidRPr="00D7340D">
        <w:rPr>
          <w:rFonts w:eastAsia="Times"/>
          <w:i/>
        </w:rPr>
        <w:t>Trends in Cognitive Sciences, 17</w:t>
      </w:r>
      <w:r w:rsidRPr="00D7340D">
        <w:rPr>
          <w:rFonts w:eastAsia="Times"/>
        </w:rPr>
        <w:t>, 391-400. doi : 10.1016/j.tics.2013.06.006</w:t>
      </w:r>
    </w:p>
    <w:p w14:paraId="1A2E174B" w14:textId="14136C63" w:rsidR="005C7F4F" w:rsidRPr="002E772A" w:rsidRDefault="005C7F4F" w:rsidP="003F22BA">
      <w:pPr>
        <w:spacing w:line="480" w:lineRule="auto"/>
        <w:ind w:left="567" w:hanging="567"/>
        <w:rPr>
          <w:rFonts w:eastAsia="Times"/>
          <w:lang w:val="fr-FR" w:eastAsia="en-US"/>
        </w:rPr>
      </w:pPr>
      <w:r w:rsidRPr="00D7340D">
        <w:rPr>
          <w:rFonts w:eastAsia="Times"/>
        </w:rPr>
        <w:t xml:space="preserve">Ma, W. J., Husain, M., &amp; Bays, P. M. (2014). Changing concepts of working memory. </w:t>
      </w:r>
      <w:r w:rsidRPr="005C7F4F">
        <w:rPr>
          <w:rFonts w:eastAsia="Times"/>
          <w:i/>
          <w:lang w:val="fr-FR" w:eastAsia="en-US"/>
        </w:rPr>
        <w:t>Nature Neuroscience, 17</w:t>
      </w:r>
      <w:r>
        <w:rPr>
          <w:rFonts w:eastAsia="Times"/>
          <w:lang w:val="fr-FR" w:eastAsia="en-US"/>
        </w:rPr>
        <w:t xml:space="preserve">, 347-356. doi: </w:t>
      </w:r>
      <w:r w:rsidRPr="005C7F4F">
        <w:rPr>
          <w:rFonts w:eastAsia="Times"/>
          <w:lang w:val="fr-FR" w:eastAsia="en-US"/>
        </w:rPr>
        <w:t>10.1038/nn.3655</w:t>
      </w:r>
    </w:p>
    <w:p w14:paraId="35806DAA" w14:textId="77777777" w:rsidR="008C247E" w:rsidRDefault="008C247E" w:rsidP="008C247E">
      <w:pPr>
        <w:spacing w:line="480" w:lineRule="auto"/>
        <w:ind w:left="567" w:hanging="567"/>
        <w:rPr>
          <w:color w:val="222222"/>
          <w:shd w:val="clear" w:color="auto" w:fill="FFFFFF"/>
        </w:rPr>
      </w:pPr>
      <w:r w:rsidRPr="002E772A">
        <w:rPr>
          <w:color w:val="222222"/>
          <w:shd w:val="clear" w:color="auto" w:fill="FFFFFF"/>
          <w:lang w:val="fr-FR"/>
        </w:rPr>
        <w:t xml:space="preserve">Mammarella, I. C., Giofre, D., Caviola, S., Cornoldi, C., &amp; Hamilton, C. (2014). </w:t>
      </w:r>
      <w:r w:rsidRPr="008C247E">
        <w:rPr>
          <w:color w:val="222222"/>
          <w:shd w:val="clear" w:color="auto" w:fill="FFFFFF"/>
        </w:rPr>
        <w:t>Visuospatial working memory in children with autism:</w:t>
      </w:r>
      <w:r>
        <w:rPr>
          <w:color w:val="222222"/>
          <w:shd w:val="clear" w:color="auto" w:fill="FFFFFF"/>
        </w:rPr>
        <w:t xml:space="preserve"> </w:t>
      </w:r>
      <w:r w:rsidRPr="008C247E">
        <w:rPr>
          <w:color w:val="222222"/>
          <w:shd w:val="clear" w:color="auto" w:fill="FFFFFF"/>
        </w:rPr>
        <w:t>The effect of a semantic global organization</w:t>
      </w:r>
      <w:r>
        <w:rPr>
          <w:color w:val="222222"/>
          <w:shd w:val="clear" w:color="auto" w:fill="FFFFFF"/>
        </w:rPr>
        <w:t xml:space="preserve">. </w:t>
      </w:r>
      <w:r w:rsidRPr="008C247E">
        <w:rPr>
          <w:i/>
          <w:color w:val="222222"/>
          <w:shd w:val="clear" w:color="auto" w:fill="FFFFFF"/>
        </w:rPr>
        <w:t>Research in Developmental Disabilities, 35</w:t>
      </w:r>
      <w:r>
        <w:rPr>
          <w:color w:val="222222"/>
          <w:shd w:val="clear" w:color="auto" w:fill="FFFFFF"/>
        </w:rPr>
        <w:t xml:space="preserve">, </w:t>
      </w:r>
      <w:r w:rsidRPr="008C247E">
        <w:rPr>
          <w:color w:val="222222"/>
          <w:shd w:val="clear" w:color="auto" w:fill="FFFFFF"/>
        </w:rPr>
        <w:t>1349–1356</w:t>
      </w:r>
      <w:r>
        <w:rPr>
          <w:color w:val="222222"/>
          <w:shd w:val="clear" w:color="auto" w:fill="FFFFFF"/>
        </w:rPr>
        <w:t>. doi:</w:t>
      </w:r>
      <w:r w:rsidR="000C121A">
        <w:rPr>
          <w:color w:val="222222"/>
          <w:shd w:val="clear" w:color="auto" w:fill="FFFFFF"/>
        </w:rPr>
        <w:t xml:space="preserve"> </w:t>
      </w:r>
      <w:r w:rsidRPr="008C247E">
        <w:rPr>
          <w:color w:val="222222"/>
          <w:shd w:val="clear" w:color="auto" w:fill="FFFFFF"/>
        </w:rPr>
        <w:t>10.1016/j.ridd.2014.03.030</w:t>
      </w:r>
    </w:p>
    <w:p w14:paraId="30DEAC82" w14:textId="77777777" w:rsidR="00C351A4" w:rsidRPr="00C351A4" w:rsidRDefault="00751D5C" w:rsidP="00C351A4">
      <w:pPr>
        <w:spacing w:line="480" w:lineRule="auto"/>
        <w:ind w:left="567" w:hanging="567"/>
        <w:rPr>
          <w:color w:val="222222"/>
          <w:shd w:val="clear" w:color="auto" w:fill="FFFFFF"/>
        </w:rPr>
      </w:pPr>
      <w:r w:rsidRPr="00BA7D4C">
        <w:rPr>
          <w:color w:val="222222"/>
          <w:shd w:val="clear" w:color="auto" w:fill="FFFFFF"/>
        </w:rPr>
        <w:t xml:space="preserve">Mecklinger, A., Rosburg, T., &amp; Hohansson, M. (2016). </w:t>
      </w:r>
      <w:r w:rsidRPr="00BA2944">
        <w:rPr>
          <w:color w:val="222222"/>
          <w:shd w:val="clear" w:color="auto" w:fill="FFFFFF"/>
        </w:rPr>
        <w:t xml:space="preserve">Reconstructing the past: the late posterior negativity (LPN) in episodic memory studies. </w:t>
      </w:r>
      <w:r w:rsidRPr="00BA2944">
        <w:rPr>
          <w:i/>
          <w:color w:val="222222"/>
          <w:shd w:val="clear" w:color="auto" w:fill="FFFFFF"/>
        </w:rPr>
        <w:t>Neuroscience and Bio</w:t>
      </w:r>
      <w:r w:rsidR="00C351A4" w:rsidRPr="00BA2944">
        <w:rPr>
          <w:i/>
          <w:color w:val="222222"/>
          <w:shd w:val="clear" w:color="auto" w:fill="FFFFFF"/>
        </w:rPr>
        <w:t>behavioural Reviews</w:t>
      </w:r>
      <w:r w:rsidR="00C351A4">
        <w:rPr>
          <w:color w:val="222222"/>
          <w:shd w:val="clear" w:color="auto" w:fill="FFFFFF"/>
        </w:rPr>
        <w:t xml:space="preserve">, 68, 621-638.doi:  </w:t>
      </w:r>
      <w:r w:rsidR="00C351A4" w:rsidRPr="00C351A4">
        <w:rPr>
          <w:color w:val="222222"/>
          <w:shd w:val="clear" w:color="auto" w:fill="FFFFFF"/>
        </w:rPr>
        <w:t>10.1016/j.neubiorev.2016.06.024</w:t>
      </w:r>
    </w:p>
    <w:p w14:paraId="698CC992" w14:textId="77777777" w:rsidR="00B6588A" w:rsidRDefault="00B6588A" w:rsidP="008C247E">
      <w:pPr>
        <w:spacing w:line="480" w:lineRule="auto"/>
        <w:ind w:left="567" w:hanging="567"/>
        <w:rPr>
          <w:color w:val="222222"/>
          <w:shd w:val="clear" w:color="auto" w:fill="FFFFFF"/>
        </w:rPr>
      </w:pPr>
      <w:r w:rsidRPr="00BA7D4C">
        <w:rPr>
          <w:color w:val="222222"/>
          <w:shd w:val="clear" w:color="auto" w:fill="FFFFFF"/>
        </w:rPr>
        <w:t xml:space="preserve">Orme, E. (2009). </w:t>
      </w:r>
      <w:r w:rsidRPr="00B6588A">
        <w:rPr>
          <w:i/>
          <w:color w:val="222222"/>
          <w:shd w:val="clear" w:color="auto" w:fill="FFFFFF"/>
        </w:rPr>
        <w:t>Identifying the functional architecture underlying multiple representations in visual working memory</w:t>
      </w:r>
      <w:r w:rsidRPr="00B6588A">
        <w:rPr>
          <w:color w:val="222222"/>
          <w:shd w:val="clear" w:color="auto" w:fill="FFFFFF"/>
        </w:rPr>
        <w:t>. Unpublished Doctoral Thesis,</w:t>
      </w:r>
      <w:r>
        <w:rPr>
          <w:color w:val="222222"/>
          <w:shd w:val="clear" w:color="auto" w:fill="FFFFFF"/>
        </w:rPr>
        <w:t xml:space="preserve"> </w:t>
      </w:r>
      <w:r w:rsidRPr="00B6588A">
        <w:rPr>
          <w:color w:val="222222"/>
          <w:shd w:val="clear" w:color="auto" w:fill="FFFFFF"/>
        </w:rPr>
        <w:t>University of Northumbria, UK.</w:t>
      </w:r>
    </w:p>
    <w:p w14:paraId="591DD7C7" w14:textId="77777777" w:rsidR="00A751AB" w:rsidRPr="00A751AB" w:rsidRDefault="00A751AB" w:rsidP="00A751AB">
      <w:pPr>
        <w:spacing w:line="480" w:lineRule="auto"/>
        <w:ind w:left="720" w:hanging="720"/>
        <w:rPr>
          <w:rFonts w:eastAsia="Times"/>
          <w:szCs w:val="20"/>
          <w:lang w:eastAsia="en-US"/>
        </w:rPr>
      </w:pPr>
      <w:r w:rsidRPr="00A751AB">
        <w:rPr>
          <w:rFonts w:eastAsia="Times"/>
          <w:szCs w:val="20"/>
          <w:lang w:eastAsia="en-US"/>
        </w:rPr>
        <w:t xml:space="preserve">Paivio, A. (1971). </w:t>
      </w:r>
      <w:r w:rsidRPr="00A751AB">
        <w:rPr>
          <w:rFonts w:eastAsia="Times"/>
          <w:i/>
          <w:szCs w:val="20"/>
          <w:lang w:eastAsia="en-US"/>
        </w:rPr>
        <w:t>Imagery and verbal processes</w:t>
      </w:r>
      <w:r w:rsidRPr="00A751AB">
        <w:rPr>
          <w:rFonts w:eastAsia="Times"/>
          <w:szCs w:val="20"/>
          <w:lang w:eastAsia="en-US"/>
        </w:rPr>
        <w:t>. New York: Holt, Rinehart and Winston.</w:t>
      </w:r>
    </w:p>
    <w:p w14:paraId="68EBE327" w14:textId="77777777" w:rsidR="00A751AB" w:rsidRPr="00A751AB" w:rsidRDefault="00A751AB" w:rsidP="00A751AB">
      <w:pPr>
        <w:spacing w:line="480" w:lineRule="auto"/>
        <w:ind w:left="720" w:hanging="720"/>
        <w:rPr>
          <w:rFonts w:eastAsia="Times"/>
          <w:szCs w:val="20"/>
          <w:lang w:eastAsia="en-US"/>
        </w:rPr>
      </w:pPr>
      <w:r w:rsidRPr="00A751AB">
        <w:rPr>
          <w:rFonts w:eastAsia="Times"/>
          <w:szCs w:val="20"/>
          <w:lang w:eastAsia="en-US"/>
        </w:rPr>
        <w:lastRenderedPageBreak/>
        <w:t xml:space="preserve">Paivio, A. (1991). </w:t>
      </w:r>
      <w:r w:rsidRPr="00A751AB">
        <w:rPr>
          <w:rFonts w:eastAsia="Times"/>
          <w:i/>
          <w:szCs w:val="20"/>
          <w:lang w:eastAsia="en-US"/>
        </w:rPr>
        <w:t>Images in Mind: The Evolution of a Theory</w:t>
      </w:r>
      <w:r w:rsidRPr="00A751AB">
        <w:rPr>
          <w:rFonts w:eastAsia="Times"/>
          <w:szCs w:val="20"/>
          <w:lang w:eastAsia="en-US"/>
        </w:rPr>
        <w:t xml:space="preserve">. Hertfordshire: Harvester Wheatsheaf. </w:t>
      </w:r>
    </w:p>
    <w:p w14:paraId="3C7644A8" w14:textId="77777777" w:rsidR="00DA4FD1" w:rsidRDefault="00DA4FD1" w:rsidP="00950F5C">
      <w:pPr>
        <w:spacing w:line="480" w:lineRule="auto"/>
        <w:ind w:left="720" w:hanging="720"/>
        <w:rPr>
          <w:rFonts w:eastAsia="Times"/>
          <w:szCs w:val="20"/>
          <w:lang w:eastAsia="en-US"/>
        </w:rPr>
      </w:pPr>
      <w:r>
        <w:rPr>
          <w:rFonts w:eastAsia="Times"/>
          <w:szCs w:val="20"/>
          <w:lang w:eastAsia="en-US"/>
        </w:rPr>
        <w:t>Paller, K.A., &amp; Kutas, M. (1992) Brain potentials during memory retrieval provide neurophysiological support for the distinction between conscious recollection and priming. Journal of Cognitive Neuroscience, 4 (4), 375-400</w:t>
      </w:r>
    </w:p>
    <w:p w14:paraId="2034B3AE" w14:textId="77777777" w:rsidR="00950F5C" w:rsidRPr="00950F5C" w:rsidRDefault="00950F5C" w:rsidP="00950F5C">
      <w:pPr>
        <w:spacing w:line="480" w:lineRule="auto"/>
        <w:ind w:left="720" w:hanging="720"/>
        <w:rPr>
          <w:rFonts w:eastAsia="Times"/>
          <w:szCs w:val="20"/>
          <w:lang w:eastAsia="en-US"/>
        </w:rPr>
      </w:pPr>
      <w:r w:rsidRPr="00950F5C">
        <w:rPr>
          <w:rFonts w:eastAsia="Times"/>
          <w:szCs w:val="20"/>
          <w:lang w:eastAsia="en-US"/>
        </w:rPr>
        <w:t xml:space="preserve">Phillips, W. A., &amp; Christie, D. F. M. (1977). Components of visual memory. </w:t>
      </w:r>
      <w:r w:rsidRPr="00950F5C">
        <w:rPr>
          <w:rFonts w:eastAsia="Times"/>
          <w:i/>
          <w:szCs w:val="20"/>
          <w:lang w:eastAsia="en-US"/>
        </w:rPr>
        <w:t>The Quarterly Journal of Experimental Psychology, 29</w:t>
      </w:r>
      <w:r w:rsidRPr="00950F5C">
        <w:rPr>
          <w:rFonts w:eastAsia="Times"/>
          <w:szCs w:val="20"/>
          <w:lang w:eastAsia="en-US"/>
        </w:rPr>
        <w:t>, 117-133.</w:t>
      </w:r>
      <w:r w:rsidRPr="00950F5C">
        <w:t xml:space="preserve"> </w:t>
      </w:r>
      <w:r>
        <w:t>doi:</w:t>
      </w:r>
      <w:r w:rsidR="000C121A">
        <w:t xml:space="preserve"> </w:t>
      </w:r>
      <w:r>
        <w:t>1</w:t>
      </w:r>
      <w:r w:rsidRPr="00950F5C">
        <w:rPr>
          <w:rFonts w:eastAsia="Times"/>
          <w:szCs w:val="20"/>
          <w:lang w:eastAsia="en-US"/>
        </w:rPr>
        <w:t>0.1080/00335557743000080</w:t>
      </w:r>
    </w:p>
    <w:p w14:paraId="20DDDB1A" w14:textId="77777777" w:rsidR="00DC5B1C" w:rsidRDefault="00DC5B1C" w:rsidP="00DC5B1C">
      <w:pPr>
        <w:spacing w:line="480" w:lineRule="auto"/>
        <w:ind w:left="567" w:hanging="567"/>
        <w:rPr>
          <w:color w:val="222222"/>
          <w:shd w:val="clear" w:color="auto" w:fill="FFFFFF"/>
        </w:rPr>
      </w:pPr>
      <w:r w:rsidRPr="00DC5B1C">
        <w:rPr>
          <w:color w:val="222222"/>
          <w:shd w:val="clear" w:color="auto" w:fill="FFFFFF"/>
        </w:rPr>
        <w:t>Postle</w:t>
      </w:r>
      <w:r>
        <w:rPr>
          <w:color w:val="222222"/>
          <w:shd w:val="clear" w:color="auto" w:fill="FFFFFF"/>
        </w:rPr>
        <w:t xml:space="preserve">, B. P., </w:t>
      </w:r>
      <w:r w:rsidRPr="00DC5B1C">
        <w:rPr>
          <w:color w:val="222222"/>
          <w:shd w:val="clear" w:color="auto" w:fill="FFFFFF"/>
        </w:rPr>
        <w:t>D’esposito</w:t>
      </w:r>
      <w:r>
        <w:rPr>
          <w:color w:val="222222"/>
          <w:shd w:val="clear" w:color="auto" w:fill="FFFFFF"/>
        </w:rPr>
        <w:t xml:space="preserve">, M., &amp; </w:t>
      </w:r>
      <w:r w:rsidRPr="00DC5B1C">
        <w:rPr>
          <w:color w:val="222222"/>
          <w:shd w:val="clear" w:color="auto" w:fill="FFFFFF"/>
        </w:rPr>
        <w:t>Corkin</w:t>
      </w:r>
      <w:r>
        <w:rPr>
          <w:color w:val="222222"/>
          <w:shd w:val="clear" w:color="auto" w:fill="FFFFFF"/>
        </w:rPr>
        <w:t>, S. (2005).</w:t>
      </w:r>
      <w:r w:rsidRPr="00DC5B1C">
        <w:rPr>
          <w:color w:val="222222"/>
          <w:shd w:val="clear" w:color="auto" w:fill="FFFFFF"/>
        </w:rPr>
        <w:t xml:space="preserve"> </w:t>
      </w:r>
      <w:r>
        <w:rPr>
          <w:color w:val="222222"/>
          <w:shd w:val="clear" w:color="auto" w:fill="FFFFFF"/>
        </w:rPr>
        <w:t>E</w:t>
      </w:r>
      <w:r w:rsidRPr="00DC5B1C">
        <w:rPr>
          <w:color w:val="222222"/>
          <w:shd w:val="clear" w:color="auto" w:fill="FFFFFF"/>
        </w:rPr>
        <w:t>ffects of verbal and nonverbal interference on</w:t>
      </w:r>
      <w:r>
        <w:rPr>
          <w:color w:val="222222"/>
          <w:shd w:val="clear" w:color="auto" w:fill="FFFFFF"/>
        </w:rPr>
        <w:t xml:space="preserve"> </w:t>
      </w:r>
      <w:r w:rsidRPr="00DC5B1C">
        <w:rPr>
          <w:color w:val="222222"/>
          <w:shd w:val="clear" w:color="auto" w:fill="FFFFFF"/>
        </w:rPr>
        <w:t>spatial and object visual working memory</w:t>
      </w:r>
      <w:r>
        <w:rPr>
          <w:color w:val="222222"/>
          <w:shd w:val="clear" w:color="auto" w:fill="FFFFFF"/>
        </w:rPr>
        <w:t xml:space="preserve">. </w:t>
      </w:r>
      <w:r w:rsidRPr="00DC5B1C">
        <w:rPr>
          <w:i/>
          <w:color w:val="222222"/>
          <w:shd w:val="clear" w:color="auto" w:fill="FFFFFF"/>
        </w:rPr>
        <w:t>Memory &amp; Cognition, 33</w:t>
      </w:r>
      <w:r w:rsidRPr="00DC5B1C">
        <w:rPr>
          <w:color w:val="222222"/>
          <w:shd w:val="clear" w:color="auto" w:fill="FFFFFF"/>
        </w:rPr>
        <w:t>, 203-212</w:t>
      </w:r>
      <w:r>
        <w:rPr>
          <w:color w:val="222222"/>
          <w:shd w:val="clear" w:color="auto" w:fill="FFFFFF"/>
        </w:rPr>
        <w:t>. doi:</w:t>
      </w:r>
      <w:r w:rsidR="000C121A">
        <w:rPr>
          <w:color w:val="222222"/>
          <w:shd w:val="clear" w:color="auto" w:fill="FFFFFF"/>
        </w:rPr>
        <w:t xml:space="preserve"> </w:t>
      </w:r>
      <w:r w:rsidRPr="00DC5B1C">
        <w:rPr>
          <w:color w:val="222222"/>
          <w:shd w:val="clear" w:color="auto" w:fill="FFFFFF"/>
        </w:rPr>
        <w:t>10.3758/BF03195309</w:t>
      </w:r>
    </w:p>
    <w:p w14:paraId="7A2B3375" w14:textId="77777777" w:rsidR="003C631B" w:rsidRDefault="003C631B" w:rsidP="00DC5B1C">
      <w:pPr>
        <w:spacing w:line="480" w:lineRule="auto"/>
        <w:ind w:left="567" w:hanging="567"/>
        <w:rPr>
          <w:color w:val="222222"/>
          <w:shd w:val="clear" w:color="auto" w:fill="FFFFFF"/>
        </w:rPr>
      </w:pPr>
      <w:r>
        <w:rPr>
          <w:color w:val="222222"/>
          <w:shd w:val="clear" w:color="auto" w:fill="FFFFFF"/>
        </w:rPr>
        <w:t>Postle, B. R., &amp;</w:t>
      </w:r>
      <w:r w:rsidRPr="003C631B">
        <w:rPr>
          <w:color w:val="222222"/>
          <w:shd w:val="clear" w:color="auto" w:fill="FFFFFF"/>
        </w:rPr>
        <w:t xml:space="preserve"> Hamidi</w:t>
      </w:r>
      <w:r>
        <w:rPr>
          <w:color w:val="222222"/>
          <w:shd w:val="clear" w:color="auto" w:fill="FFFFFF"/>
        </w:rPr>
        <w:t>, M. (2007).</w:t>
      </w:r>
      <w:r w:rsidRPr="003C631B">
        <w:rPr>
          <w:color w:val="222222"/>
          <w:shd w:val="clear" w:color="auto" w:fill="FFFFFF"/>
        </w:rPr>
        <w:t xml:space="preserve"> Nonvisual </w:t>
      </w:r>
      <w:r>
        <w:rPr>
          <w:color w:val="222222"/>
          <w:shd w:val="clear" w:color="auto" w:fill="FFFFFF"/>
        </w:rPr>
        <w:t>c</w:t>
      </w:r>
      <w:r w:rsidRPr="003C631B">
        <w:rPr>
          <w:color w:val="222222"/>
          <w:shd w:val="clear" w:color="auto" w:fill="FFFFFF"/>
        </w:rPr>
        <w:t xml:space="preserve">odes and </w:t>
      </w:r>
      <w:r>
        <w:rPr>
          <w:color w:val="222222"/>
          <w:shd w:val="clear" w:color="auto" w:fill="FFFFFF"/>
        </w:rPr>
        <w:t>n</w:t>
      </w:r>
      <w:r w:rsidRPr="003C631B">
        <w:rPr>
          <w:color w:val="222222"/>
          <w:shd w:val="clear" w:color="auto" w:fill="FFFFFF"/>
        </w:rPr>
        <w:t xml:space="preserve">onvisual </w:t>
      </w:r>
      <w:r>
        <w:rPr>
          <w:color w:val="222222"/>
          <w:shd w:val="clear" w:color="auto" w:fill="FFFFFF"/>
        </w:rPr>
        <w:t>b</w:t>
      </w:r>
      <w:r w:rsidRPr="003C631B">
        <w:rPr>
          <w:color w:val="222222"/>
          <w:shd w:val="clear" w:color="auto" w:fill="FFFFFF"/>
        </w:rPr>
        <w:t>rain</w:t>
      </w:r>
      <w:r>
        <w:rPr>
          <w:color w:val="222222"/>
          <w:shd w:val="clear" w:color="auto" w:fill="FFFFFF"/>
        </w:rPr>
        <w:t xml:space="preserve"> a</w:t>
      </w:r>
      <w:r w:rsidRPr="003C631B">
        <w:rPr>
          <w:color w:val="222222"/>
          <w:shd w:val="clear" w:color="auto" w:fill="FFFFFF"/>
        </w:rPr>
        <w:t xml:space="preserve">reas </w:t>
      </w:r>
      <w:r>
        <w:rPr>
          <w:color w:val="222222"/>
          <w:shd w:val="clear" w:color="auto" w:fill="FFFFFF"/>
        </w:rPr>
        <w:t>s</w:t>
      </w:r>
      <w:r w:rsidRPr="003C631B">
        <w:rPr>
          <w:color w:val="222222"/>
          <w:shd w:val="clear" w:color="auto" w:fill="FFFFFF"/>
        </w:rPr>
        <w:t xml:space="preserve">upport </w:t>
      </w:r>
      <w:r>
        <w:rPr>
          <w:color w:val="222222"/>
          <w:shd w:val="clear" w:color="auto" w:fill="FFFFFF"/>
        </w:rPr>
        <w:t>v</w:t>
      </w:r>
      <w:r w:rsidRPr="003C631B">
        <w:rPr>
          <w:color w:val="222222"/>
          <w:shd w:val="clear" w:color="auto" w:fill="FFFFFF"/>
        </w:rPr>
        <w:t xml:space="preserve">isual </w:t>
      </w:r>
      <w:r>
        <w:rPr>
          <w:color w:val="222222"/>
          <w:shd w:val="clear" w:color="auto" w:fill="FFFFFF"/>
        </w:rPr>
        <w:t>w</w:t>
      </w:r>
      <w:r w:rsidRPr="003C631B">
        <w:rPr>
          <w:color w:val="222222"/>
          <w:shd w:val="clear" w:color="auto" w:fill="FFFFFF"/>
        </w:rPr>
        <w:t xml:space="preserve">orking </w:t>
      </w:r>
      <w:r>
        <w:rPr>
          <w:color w:val="222222"/>
          <w:shd w:val="clear" w:color="auto" w:fill="FFFFFF"/>
        </w:rPr>
        <w:t>m</w:t>
      </w:r>
      <w:r w:rsidRPr="003C631B">
        <w:rPr>
          <w:color w:val="222222"/>
          <w:shd w:val="clear" w:color="auto" w:fill="FFFFFF"/>
        </w:rPr>
        <w:t>emory</w:t>
      </w:r>
      <w:r>
        <w:rPr>
          <w:color w:val="222222"/>
          <w:shd w:val="clear" w:color="auto" w:fill="FFFFFF"/>
        </w:rPr>
        <w:t>.</w:t>
      </w:r>
      <w:r w:rsidRPr="003C631B">
        <w:rPr>
          <w:color w:val="222222"/>
          <w:shd w:val="clear" w:color="auto" w:fill="FFFFFF"/>
        </w:rPr>
        <w:t xml:space="preserve"> </w:t>
      </w:r>
      <w:r w:rsidRPr="003C631B">
        <w:rPr>
          <w:i/>
          <w:color w:val="222222"/>
          <w:shd w:val="clear" w:color="auto" w:fill="FFFFFF"/>
        </w:rPr>
        <w:t>Cerebral Cortex, 17</w:t>
      </w:r>
      <w:r>
        <w:rPr>
          <w:color w:val="222222"/>
          <w:shd w:val="clear" w:color="auto" w:fill="FFFFFF"/>
        </w:rPr>
        <w:t xml:space="preserve">, </w:t>
      </w:r>
      <w:r w:rsidRPr="003C631B">
        <w:rPr>
          <w:color w:val="222222"/>
          <w:shd w:val="clear" w:color="auto" w:fill="FFFFFF"/>
        </w:rPr>
        <w:t>2151</w:t>
      </w:r>
      <w:r>
        <w:rPr>
          <w:color w:val="222222"/>
          <w:shd w:val="clear" w:color="auto" w:fill="FFFFFF"/>
        </w:rPr>
        <w:t>—</w:t>
      </w:r>
      <w:r w:rsidRPr="003C631B">
        <w:rPr>
          <w:color w:val="222222"/>
          <w:shd w:val="clear" w:color="auto" w:fill="FFFFFF"/>
        </w:rPr>
        <w:t>2162</w:t>
      </w:r>
      <w:r>
        <w:t xml:space="preserve">. </w:t>
      </w:r>
      <w:r w:rsidRPr="003C631B">
        <w:rPr>
          <w:color w:val="222222"/>
          <w:shd w:val="clear" w:color="auto" w:fill="FFFFFF"/>
        </w:rPr>
        <w:t>doi:</w:t>
      </w:r>
      <w:r w:rsidR="000C121A">
        <w:rPr>
          <w:color w:val="222222"/>
          <w:shd w:val="clear" w:color="auto" w:fill="FFFFFF"/>
        </w:rPr>
        <w:t xml:space="preserve"> </w:t>
      </w:r>
      <w:r w:rsidRPr="003C631B">
        <w:rPr>
          <w:color w:val="222222"/>
          <w:shd w:val="clear" w:color="auto" w:fill="FFFFFF"/>
        </w:rPr>
        <w:t>10.1093/cercor/bhl123</w:t>
      </w:r>
    </w:p>
    <w:p w14:paraId="6662067D" w14:textId="141B152E" w:rsidR="00282427" w:rsidRDefault="00282427" w:rsidP="00282427">
      <w:pPr>
        <w:spacing w:line="480" w:lineRule="auto"/>
        <w:ind w:left="567" w:hanging="567"/>
        <w:rPr>
          <w:color w:val="222222"/>
          <w:shd w:val="clear" w:color="auto" w:fill="FFFFFF"/>
        </w:rPr>
      </w:pPr>
      <w:r w:rsidRPr="00D7340D">
        <w:rPr>
          <w:color w:val="222222"/>
          <w:shd w:val="clear" w:color="auto" w:fill="FFFFFF"/>
        </w:rPr>
        <w:t xml:space="preserve">Rhodes, S., &amp; Donaldson, D. I. (2008). </w:t>
      </w:r>
      <w:r w:rsidRPr="00282427">
        <w:rPr>
          <w:color w:val="222222"/>
          <w:shd w:val="clear" w:color="auto" w:fill="FFFFFF"/>
        </w:rPr>
        <w:t>Electrophysiological evidence for the effect of</w:t>
      </w:r>
      <w:r>
        <w:rPr>
          <w:color w:val="222222"/>
          <w:shd w:val="clear" w:color="auto" w:fill="FFFFFF"/>
        </w:rPr>
        <w:t xml:space="preserve"> i</w:t>
      </w:r>
      <w:r w:rsidRPr="00282427">
        <w:rPr>
          <w:color w:val="222222"/>
          <w:shd w:val="clear" w:color="auto" w:fill="FFFFFF"/>
        </w:rPr>
        <w:t xml:space="preserve">nteractive imagery on episodic memory: Encouraging familiarity for </w:t>
      </w:r>
      <w:r>
        <w:rPr>
          <w:color w:val="222222"/>
          <w:shd w:val="clear" w:color="auto" w:fill="FFFFFF"/>
        </w:rPr>
        <w:t>non-</w:t>
      </w:r>
      <w:r w:rsidRPr="00282427">
        <w:rPr>
          <w:color w:val="222222"/>
          <w:shd w:val="clear" w:color="auto" w:fill="FFFFFF"/>
        </w:rPr>
        <w:t>unitized</w:t>
      </w:r>
      <w:r>
        <w:rPr>
          <w:color w:val="222222"/>
          <w:shd w:val="clear" w:color="auto" w:fill="FFFFFF"/>
        </w:rPr>
        <w:t xml:space="preserve"> </w:t>
      </w:r>
      <w:r w:rsidRPr="00282427">
        <w:rPr>
          <w:color w:val="222222"/>
          <w:shd w:val="clear" w:color="auto" w:fill="FFFFFF"/>
        </w:rPr>
        <w:t>stimuli during associative recognition</w:t>
      </w:r>
      <w:r w:rsidRPr="00282427">
        <w:rPr>
          <w:i/>
          <w:color w:val="222222"/>
          <w:shd w:val="clear" w:color="auto" w:fill="FFFFFF"/>
        </w:rPr>
        <w:t>. NeuroImage</w:t>
      </w:r>
      <w:r w:rsidRPr="00282427">
        <w:rPr>
          <w:color w:val="222222"/>
          <w:shd w:val="clear" w:color="auto" w:fill="FFFFFF"/>
        </w:rPr>
        <w:t>, 39, 873–884.</w:t>
      </w:r>
    </w:p>
    <w:p w14:paraId="599FD455" w14:textId="77777777" w:rsidR="00A01479" w:rsidRDefault="00C65D8E" w:rsidP="00282427">
      <w:pPr>
        <w:spacing w:line="480" w:lineRule="auto"/>
        <w:ind w:left="567" w:hanging="567"/>
        <w:rPr>
          <w:color w:val="222222"/>
          <w:shd w:val="clear" w:color="auto" w:fill="FFFFFF"/>
        </w:rPr>
      </w:pPr>
      <w:r w:rsidRPr="004B2090">
        <w:rPr>
          <w:color w:val="222222"/>
          <w:shd w:val="clear" w:color="auto" w:fill="FFFFFF"/>
        </w:rPr>
        <w:t>Riby, L. M., &amp; Orme, E. (2013). A familiar pattern? Semantic memory contributes to the enhancement of visuo-spatial memories. </w:t>
      </w:r>
      <w:r w:rsidRPr="004B2090">
        <w:rPr>
          <w:i/>
          <w:iCs/>
          <w:color w:val="222222"/>
          <w:shd w:val="clear" w:color="auto" w:fill="FFFFFF"/>
        </w:rPr>
        <w:t>Brain and cognition</w:t>
      </w:r>
      <w:r w:rsidRPr="004B2090">
        <w:rPr>
          <w:color w:val="222222"/>
          <w:shd w:val="clear" w:color="auto" w:fill="FFFFFF"/>
        </w:rPr>
        <w:t>,</w:t>
      </w:r>
      <w:r w:rsidRPr="004B2090">
        <w:rPr>
          <w:i/>
          <w:iCs/>
          <w:color w:val="222222"/>
          <w:shd w:val="clear" w:color="auto" w:fill="FFFFFF"/>
        </w:rPr>
        <w:t>81</w:t>
      </w:r>
      <w:r w:rsidRPr="004B2090">
        <w:rPr>
          <w:color w:val="222222"/>
          <w:shd w:val="clear" w:color="auto" w:fill="FFFFFF"/>
        </w:rPr>
        <w:t>(2), 215-222.</w:t>
      </w:r>
      <w:r w:rsidR="00A751AB" w:rsidRPr="00A751AB">
        <w:t xml:space="preserve"> </w:t>
      </w:r>
      <w:r w:rsidR="00A751AB">
        <w:t>doi:</w:t>
      </w:r>
      <w:r w:rsidR="00A751AB" w:rsidRPr="00A751AB">
        <w:rPr>
          <w:color w:val="222222"/>
          <w:shd w:val="clear" w:color="auto" w:fill="FFFFFF"/>
        </w:rPr>
        <w:t>10.1016/j.bandc.2012.10.011</w:t>
      </w:r>
    </w:p>
    <w:p w14:paraId="4E0CB4FF" w14:textId="1961A8CD" w:rsidR="00B306D2" w:rsidRDefault="00B306D2" w:rsidP="00DE4A4A">
      <w:pPr>
        <w:spacing w:line="480" w:lineRule="auto"/>
        <w:ind w:left="567" w:hanging="567"/>
        <w:jc w:val="both"/>
        <w:rPr>
          <w:rFonts w:eastAsia="Times"/>
          <w:szCs w:val="20"/>
          <w:lang w:eastAsia="en-US"/>
        </w:rPr>
      </w:pPr>
      <w:r w:rsidRPr="00B306D2">
        <w:rPr>
          <w:rFonts w:eastAsia="Times"/>
          <w:szCs w:val="20"/>
          <w:lang w:eastAsia="en-US"/>
        </w:rPr>
        <w:t xml:space="preserve">Riby, L. M., Smallwood, J., &amp; Gunn, V. P. (2008). Mind wandering and retrieval from episodic memory: A pilot event-related potential study. </w:t>
      </w:r>
      <w:r w:rsidRPr="00B306D2">
        <w:rPr>
          <w:rFonts w:eastAsia="Times"/>
          <w:i/>
          <w:szCs w:val="20"/>
          <w:lang w:eastAsia="en-US"/>
        </w:rPr>
        <w:t>Psychological reports, 102</w:t>
      </w:r>
      <w:r w:rsidRPr="00B306D2">
        <w:rPr>
          <w:rFonts w:eastAsia="Times"/>
          <w:szCs w:val="20"/>
          <w:lang w:eastAsia="en-US"/>
        </w:rPr>
        <w:t>(3), 805-818.</w:t>
      </w:r>
    </w:p>
    <w:p w14:paraId="1978AA30" w14:textId="14F5EEA1" w:rsidR="00045CBE" w:rsidRPr="00045CBE" w:rsidRDefault="00045CBE" w:rsidP="00045CBE">
      <w:pPr>
        <w:spacing w:line="480" w:lineRule="auto"/>
        <w:ind w:left="567" w:hanging="567"/>
        <w:jc w:val="both"/>
        <w:rPr>
          <w:rFonts w:eastAsia="Times"/>
          <w:szCs w:val="20"/>
          <w:lang w:eastAsia="en-US"/>
        </w:rPr>
      </w:pPr>
      <w:r w:rsidRPr="00702016">
        <w:rPr>
          <w:rFonts w:eastAsia="Times"/>
        </w:rPr>
        <w:lastRenderedPageBreak/>
        <w:t xml:space="preserve">Rugg, M. D., &amp; Vilberg, K. L. (2013). </w:t>
      </w:r>
      <w:r w:rsidRPr="00045CBE">
        <w:rPr>
          <w:rFonts w:eastAsia="Times"/>
          <w:szCs w:val="20"/>
          <w:lang w:eastAsia="en-US"/>
        </w:rPr>
        <w:t>Brain networks underlying episodic memory retrieval</w:t>
      </w:r>
      <w:r>
        <w:rPr>
          <w:rFonts w:eastAsia="Times"/>
          <w:szCs w:val="20"/>
          <w:lang w:eastAsia="en-US"/>
        </w:rPr>
        <w:t xml:space="preserve">. </w:t>
      </w:r>
      <w:r w:rsidRPr="00045CBE">
        <w:rPr>
          <w:rFonts w:eastAsia="Times"/>
          <w:i/>
          <w:szCs w:val="20"/>
          <w:lang w:eastAsia="en-US"/>
        </w:rPr>
        <w:t>Current opinion in Neurobiology, 23</w:t>
      </w:r>
      <w:r>
        <w:rPr>
          <w:rFonts w:eastAsia="Times"/>
          <w:szCs w:val="20"/>
          <w:lang w:eastAsia="en-US"/>
        </w:rPr>
        <w:t>, 2</w:t>
      </w:r>
      <w:r w:rsidRPr="00045CBE">
        <w:rPr>
          <w:rFonts w:eastAsia="Times"/>
          <w:szCs w:val="20"/>
          <w:lang w:eastAsia="en-US"/>
        </w:rPr>
        <w:t>55–260</w:t>
      </w:r>
      <w:r>
        <w:rPr>
          <w:rFonts w:eastAsia="Times"/>
          <w:szCs w:val="20"/>
          <w:lang w:eastAsia="en-US"/>
        </w:rPr>
        <w:t>.</w:t>
      </w:r>
      <w:r w:rsidR="005C7F4F" w:rsidRPr="005C7F4F">
        <w:t xml:space="preserve"> </w:t>
      </w:r>
      <w:r w:rsidR="005C7F4F">
        <w:t xml:space="preserve">doi: </w:t>
      </w:r>
      <w:r w:rsidR="005C7F4F" w:rsidRPr="005C7F4F">
        <w:rPr>
          <w:rFonts w:eastAsia="Times"/>
          <w:szCs w:val="20"/>
          <w:lang w:eastAsia="en-US"/>
        </w:rPr>
        <w:t>10.1016/j.conb.2012.11.005</w:t>
      </w:r>
    </w:p>
    <w:p w14:paraId="63A1A26F" w14:textId="330B2810" w:rsidR="00DE4A4A" w:rsidRDefault="00DE4A4A" w:rsidP="00DE4A4A">
      <w:pPr>
        <w:spacing w:line="480" w:lineRule="auto"/>
        <w:ind w:left="567" w:hanging="567"/>
        <w:jc w:val="both"/>
        <w:rPr>
          <w:rFonts w:eastAsia="Times"/>
          <w:szCs w:val="20"/>
          <w:lang w:eastAsia="en-US"/>
        </w:rPr>
      </w:pPr>
      <w:r w:rsidRPr="00DE4A4A">
        <w:rPr>
          <w:rFonts w:eastAsia="Times"/>
          <w:szCs w:val="20"/>
          <w:lang w:eastAsia="en-US"/>
        </w:rPr>
        <w:t>Santa</w:t>
      </w:r>
      <w:r>
        <w:rPr>
          <w:rFonts w:eastAsia="Times"/>
          <w:szCs w:val="20"/>
          <w:lang w:eastAsia="en-US"/>
        </w:rPr>
        <w:t xml:space="preserve">, J. L. (1975). </w:t>
      </w:r>
      <w:r w:rsidRPr="00DE4A4A">
        <w:rPr>
          <w:rFonts w:eastAsia="Times"/>
          <w:szCs w:val="20"/>
          <w:lang w:eastAsia="en-US"/>
        </w:rPr>
        <w:t>Verbal coding and redintegrative memory for shapes</w:t>
      </w:r>
      <w:r>
        <w:rPr>
          <w:rFonts w:eastAsia="Times"/>
          <w:szCs w:val="20"/>
          <w:lang w:eastAsia="en-US"/>
        </w:rPr>
        <w:t>.</w:t>
      </w:r>
      <w:r w:rsidRPr="00DE4A4A">
        <w:t xml:space="preserve"> </w:t>
      </w:r>
      <w:r w:rsidRPr="00DE4A4A">
        <w:rPr>
          <w:rFonts w:eastAsia="Times"/>
          <w:i/>
          <w:szCs w:val="20"/>
          <w:lang w:eastAsia="en-US"/>
        </w:rPr>
        <w:t>Journal o</w:t>
      </w:r>
      <w:r>
        <w:rPr>
          <w:rFonts w:eastAsia="Times"/>
          <w:i/>
          <w:szCs w:val="20"/>
          <w:lang w:eastAsia="en-US"/>
        </w:rPr>
        <w:t xml:space="preserve">f </w:t>
      </w:r>
      <w:r w:rsidRPr="00DE4A4A">
        <w:rPr>
          <w:rFonts w:eastAsia="Times"/>
          <w:i/>
          <w:szCs w:val="20"/>
          <w:lang w:eastAsia="en-US"/>
        </w:rPr>
        <w:t>Experimental Psychology: Human Learning and Memory, 104</w:t>
      </w:r>
      <w:r w:rsidRPr="00DE4A4A">
        <w:rPr>
          <w:rFonts w:eastAsia="Times"/>
          <w:szCs w:val="20"/>
          <w:lang w:eastAsia="en-US"/>
        </w:rPr>
        <w:t>, 286-294</w:t>
      </w:r>
      <w:r>
        <w:rPr>
          <w:rFonts w:eastAsia="Times"/>
          <w:szCs w:val="20"/>
          <w:lang w:eastAsia="en-US"/>
        </w:rPr>
        <w:t>. doi:</w:t>
      </w:r>
      <w:r w:rsidR="000C121A">
        <w:rPr>
          <w:rFonts w:eastAsia="Times"/>
          <w:szCs w:val="20"/>
          <w:lang w:eastAsia="en-US"/>
        </w:rPr>
        <w:t xml:space="preserve"> </w:t>
      </w:r>
      <w:r w:rsidRPr="00DE4A4A">
        <w:rPr>
          <w:rFonts w:eastAsia="Times"/>
          <w:szCs w:val="20"/>
          <w:lang w:eastAsia="en-US"/>
        </w:rPr>
        <w:t>10.1037/0278-7393.1.3.286</w:t>
      </w:r>
    </w:p>
    <w:p w14:paraId="4AE16932" w14:textId="77777777" w:rsidR="002D4B39" w:rsidRPr="002D4B39" w:rsidRDefault="002D4B39" w:rsidP="002D4B39">
      <w:pPr>
        <w:spacing w:line="480" w:lineRule="auto"/>
        <w:ind w:left="567" w:hanging="567"/>
        <w:jc w:val="both"/>
        <w:rPr>
          <w:rFonts w:eastAsia="Times"/>
          <w:szCs w:val="20"/>
          <w:lang w:eastAsia="en-US"/>
        </w:rPr>
      </w:pPr>
      <w:r>
        <w:rPr>
          <w:rFonts w:eastAsia="Times"/>
          <w:szCs w:val="20"/>
          <w:lang w:eastAsia="en-US"/>
        </w:rPr>
        <w:t xml:space="preserve">Smith, M.E. (1993). </w:t>
      </w:r>
      <w:r w:rsidRPr="005B3F65">
        <w:rPr>
          <w:rFonts w:eastAsia="Times"/>
          <w:szCs w:val="20"/>
          <w:lang w:eastAsia="en-US"/>
        </w:rPr>
        <w:t>Ne</w:t>
      </w:r>
      <w:r w:rsidRPr="00BA2944">
        <w:rPr>
          <w:rFonts w:eastAsia="Times"/>
          <w:szCs w:val="20"/>
          <w:lang w:eastAsia="en-US"/>
        </w:rPr>
        <w:t xml:space="preserve">urophysiological manifestations of recollective experience during </w:t>
      </w:r>
      <w:r>
        <w:rPr>
          <w:rFonts w:eastAsia="Times"/>
          <w:szCs w:val="20"/>
          <w:lang w:eastAsia="en-US"/>
        </w:rPr>
        <w:t xml:space="preserve">recognition memory judgments. </w:t>
      </w:r>
      <w:r w:rsidRPr="00BA2944">
        <w:rPr>
          <w:rFonts w:eastAsia="Times"/>
          <w:i/>
          <w:szCs w:val="20"/>
          <w:lang w:eastAsia="en-US"/>
        </w:rPr>
        <w:t>Journal of Cognitive Neuroscience</w:t>
      </w:r>
      <w:r>
        <w:rPr>
          <w:rFonts w:eastAsia="Times"/>
          <w:szCs w:val="20"/>
          <w:lang w:eastAsia="en-US"/>
        </w:rPr>
        <w:t xml:space="preserve">, 5 (1)1, 1-13. doi: </w:t>
      </w:r>
      <w:r w:rsidRPr="002D4B39">
        <w:rPr>
          <w:rFonts w:eastAsia="Times"/>
          <w:szCs w:val="20"/>
          <w:lang w:eastAsia="en-US"/>
        </w:rPr>
        <w:t>10.1162/jocn.1993.5.1.1</w:t>
      </w:r>
    </w:p>
    <w:p w14:paraId="448D7A15" w14:textId="77777777" w:rsidR="00FD1CFE" w:rsidRDefault="00FD1CFE" w:rsidP="00FD1CFE">
      <w:pPr>
        <w:spacing w:line="480" w:lineRule="auto"/>
        <w:ind w:left="567" w:hanging="567"/>
        <w:jc w:val="both"/>
        <w:rPr>
          <w:rFonts w:eastAsia="Times"/>
          <w:szCs w:val="20"/>
          <w:lang w:eastAsia="en-US"/>
        </w:rPr>
      </w:pPr>
      <w:r w:rsidRPr="00FD1CFE">
        <w:rPr>
          <w:rFonts w:eastAsia="Times"/>
          <w:szCs w:val="20"/>
          <w:lang w:eastAsia="en-US"/>
        </w:rPr>
        <w:t>Smith</w:t>
      </w:r>
      <w:r>
        <w:rPr>
          <w:rFonts w:eastAsia="Times"/>
          <w:szCs w:val="20"/>
          <w:lang w:eastAsia="en-US"/>
        </w:rPr>
        <w:t>,</w:t>
      </w:r>
      <w:r w:rsidRPr="00FD1CFE">
        <w:rPr>
          <w:rFonts w:eastAsia="Times"/>
          <w:szCs w:val="20"/>
          <w:lang w:eastAsia="en-US"/>
        </w:rPr>
        <w:t xml:space="preserve"> M</w:t>
      </w:r>
      <w:r>
        <w:rPr>
          <w:rFonts w:eastAsia="Times"/>
          <w:szCs w:val="20"/>
          <w:lang w:eastAsia="en-US"/>
        </w:rPr>
        <w:t xml:space="preserve">. </w:t>
      </w:r>
      <w:r w:rsidRPr="00FD1CFE">
        <w:rPr>
          <w:rFonts w:eastAsia="Times"/>
          <w:szCs w:val="20"/>
          <w:lang w:eastAsia="en-US"/>
        </w:rPr>
        <w:t>E</w:t>
      </w:r>
      <w:r>
        <w:rPr>
          <w:rFonts w:eastAsia="Times"/>
          <w:szCs w:val="20"/>
          <w:lang w:eastAsia="en-US"/>
        </w:rPr>
        <w:t>.</w:t>
      </w:r>
      <w:r w:rsidRPr="00FD1CFE">
        <w:rPr>
          <w:rFonts w:eastAsia="Times"/>
          <w:szCs w:val="20"/>
          <w:lang w:eastAsia="en-US"/>
        </w:rPr>
        <w:t>,</w:t>
      </w:r>
      <w:r>
        <w:rPr>
          <w:rFonts w:eastAsia="Times"/>
          <w:szCs w:val="20"/>
          <w:lang w:eastAsia="en-US"/>
        </w:rPr>
        <w:t xml:space="preserve"> &amp;</w:t>
      </w:r>
      <w:r w:rsidRPr="00FD1CFE">
        <w:rPr>
          <w:rFonts w:eastAsia="Times"/>
          <w:szCs w:val="20"/>
          <w:lang w:eastAsia="en-US"/>
        </w:rPr>
        <w:t xml:space="preserve"> Guster</w:t>
      </w:r>
      <w:r>
        <w:rPr>
          <w:rFonts w:eastAsia="Times"/>
          <w:szCs w:val="20"/>
          <w:lang w:eastAsia="en-US"/>
        </w:rPr>
        <w:t>,</w:t>
      </w:r>
      <w:r w:rsidRPr="00FD1CFE">
        <w:rPr>
          <w:rFonts w:eastAsia="Times"/>
          <w:szCs w:val="20"/>
          <w:lang w:eastAsia="en-US"/>
        </w:rPr>
        <w:t xml:space="preserve"> K. </w:t>
      </w:r>
      <w:r>
        <w:rPr>
          <w:rFonts w:eastAsia="Times"/>
          <w:szCs w:val="20"/>
          <w:lang w:eastAsia="en-US"/>
        </w:rPr>
        <w:t>(</w:t>
      </w:r>
      <w:r w:rsidRPr="00FD1CFE">
        <w:rPr>
          <w:rFonts w:eastAsia="Times"/>
          <w:szCs w:val="20"/>
          <w:lang w:eastAsia="en-US"/>
        </w:rPr>
        <w:t>1993</w:t>
      </w:r>
      <w:r>
        <w:rPr>
          <w:rFonts w:eastAsia="Times"/>
          <w:szCs w:val="20"/>
          <w:lang w:eastAsia="en-US"/>
        </w:rPr>
        <w:t>)</w:t>
      </w:r>
      <w:r w:rsidRPr="00FD1CFE">
        <w:rPr>
          <w:rFonts w:eastAsia="Times"/>
          <w:szCs w:val="20"/>
          <w:lang w:eastAsia="en-US"/>
        </w:rPr>
        <w:t>. Decomposition of recognition memory</w:t>
      </w:r>
      <w:r>
        <w:rPr>
          <w:rFonts w:eastAsia="Times"/>
          <w:szCs w:val="20"/>
          <w:lang w:eastAsia="en-US"/>
        </w:rPr>
        <w:t xml:space="preserve"> </w:t>
      </w:r>
      <w:r w:rsidRPr="00FD1CFE">
        <w:rPr>
          <w:rFonts w:eastAsia="Times"/>
          <w:szCs w:val="20"/>
          <w:lang w:eastAsia="en-US"/>
        </w:rPr>
        <w:t>event-related potentials yields target, repetition, and retrieval effects.</w:t>
      </w:r>
      <w:r>
        <w:rPr>
          <w:rFonts w:eastAsia="Times"/>
          <w:szCs w:val="20"/>
          <w:lang w:eastAsia="en-US"/>
        </w:rPr>
        <w:t xml:space="preserve"> </w:t>
      </w:r>
      <w:r w:rsidRPr="00FD1CFE">
        <w:rPr>
          <w:rFonts w:eastAsia="Times"/>
          <w:i/>
          <w:szCs w:val="20"/>
          <w:lang w:eastAsia="en-US"/>
        </w:rPr>
        <w:t>Electroencephalography and Clinical Neurophysiology</w:t>
      </w:r>
      <w:r>
        <w:rPr>
          <w:rFonts w:eastAsia="Times"/>
          <w:szCs w:val="20"/>
          <w:lang w:eastAsia="en-US"/>
        </w:rPr>
        <w:t xml:space="preserve">, 86, </w:t>
      </w:r>
      <w:r w:rsidRPr="00FD1CFE">
        <w:rPr>
          <w:rFonts w:eastAsia="Times"/>
          <w:szCs w:val="20"/>
          <w:lang w:eastAsia="en-US"/>
        </w:rPr>
        <w:t>335–343.</w:t>
      </w:r>
    </w:p>
    <w:p w14:paraId="13F4406D" w14:textId="3760F349" w:rsidR="00B77055" w:rsidRDefault="00B77055" w:rsidP="00A751AB">
      <w:pPr>
        <w:spacing w:line="480" w:lineRule="auto"/>
        <w:ind w:left="567" w:hanging="567"/>
        <w:jc w:val="both"/>
        <w:rPr>
          <w:rFonts w:eastAsia="Times"/>
          <w:szCs w:val="20"/>
          <w:lang w:eastAsia="en-US"/>
        </w:rPr>
      </w:pPr>
      <w:r w:rsidRPr="00B77055">
        <w:rPr>
          <w:rFonts w:eastAsia="Times"/>
          <w:szCs w:val="20"/>
          <w:lang w:eastAsia="en-US"/>
        </w:rPr>
        <w:t xml:space="preserve">Smith, M. A., Riby, L. M., Sünram-Lea, S. I., Van Eekelen, J. A. M., &amp; Foster, J. K. (2009). Glucose modulates event-related potential components of recollection and familiarity in healthy adolescents. </w:t>
      </w:r>
      <w:r w:rsidRPr="00B77055">
        <w:rPr>
          <w:rFonts w:eastAsia="Times"/>
          <w:i/>
          <w:szCs w:val="20"/>
          <w:lang w:eastAsia="en-US"/>
        </w:rPr>
        <w:t>Psychopharmacology, 205</w:t>
      </w:r>
      <w:r w:rsidRPr="00B77055">
        <w:rPr>
          <w:rFonts w:eastAsia="Times"/>
          <w:szCs w:val="20"/>
          <w:lang w:eastAsia="en-US"/>
        </w:rPr>
        <w:t>(1), 11-20.</w:t>
      </w:r>
    </w:p>
    <w:p w14:paraId="2D387555" w14:textId="77777777" w:rsidR="00944EF5" w:rsidRDefault="00A139AC" w:rsidP="00A751AB">
      <w:pPr>
        <w:spacing w:line="480" w:lineRule="auto"/>
        <w:ind w:left="567" w:hanging="567"/>
        <w:jc w:val="both"/>
        <w:rPr>
          <w:rFonts w:eastAsia="Times"/>
          <w:szCs w:val="20"/>
          <w:lang w:eastAsia="en-US"/>
        </w:rPr>
      </w:pPr>
      <w:r>
        <w:rPr>
          <w:rFonts w:eastAsia="Times"/>
          <w:szCs w:val="20"/>
          <w:lang w:eastAsia="en-US"/>
        </w:rPr>
        <w:t xml:space="preserve">Vilberg, K. L., &amp; Rugg, M. D. (2008). </w:t>
      </w:r>
      <w:r w:rsidRPr="00A139AC">
        <w:rPr>
          <w:rFonts w:eastAsia="Times"/>
          <w:szCs w:val="20"/>
          <w:lang w:eastAsia="en-US"/>
        </w:rPr>
        <w:t>Memory retrieval and the parietal cortex: A review of evidence from a dual-process perspective</w:t>
      </w:r>
      <w:r>
        <w:rPr>
          <w:rFonts w:eastAsia="Times"/>
          <w:szCs w:val="20"/>
          <w:lang w:eastAsia="en-US"/>
        </w:rPr>
        <w:t>.</w:t>
      </w:r>
      <w:r w:rsidRPr="00A139AC">
        <w:t xml:space="preserve"> </w:t>
      </w:r>
      <w:r w:rsidRPr="00A139AC">
        <w:rPr>
          <w:rFonts w:eastAsia="Times"/>
          <w:i/>
          <w:szCs w:val="20"/>
          <w:lang w:eastAsia="en-US"/>
        </w:rPr>
        <w:t>Neuropsychologia, 46</w:t>
      </w:r>
      <w:r>
        <w:rPr>
          <w:rFonts w:eastAsia="Times"/>
          <w:szCs w:val="20"/>
          <w:lang w:eastAsia="en-US"/>
        </w:rPr>
        <w:t xml:space="preserve">, </w:t>
      </w:r>
      <w:r w:rsidRPr="00A139AC">
        <w:rPr>
          <w:rFonts w:eastAsia="Times"/>
          <w:szCs w:val="20"/>
          <w:lang w:eastAsia="en-US"/>
        </w:rPr>
        <w:t>1787–1799</w:t>
      </w:r>
      <w:r>
        <w:rPr>
          <w:rFonts w:eastAsia="Times"/>
          <w:szCs w:val="20"/>
          <w:lang w:eastAsia="en-US"/>
        </w:rPr>
        <w:t xml:space="preserve">. doi: </w:t>
      </w:r>
      <w:r w:rsidRPr="00A139AC">
        <w:rPr>
          <w:rFonts w:eastAsia="Times"/>
          <w:szCs w:val="20"/>
          <w:lang w:eastAsia="en-US"/>
        </w:rPr>
        <w:t>10.1016/j.neuropsychologia.2008.01.004</w:t>
      </w:r>
    </w:p>
    <w:p w14:paraId="02914615" w14:textId="21F41E3B" w:rsidR="00A751AB" w:rsidRDefault="00A751AB" w:rsidP="00A751AB">
      <w:pPr>
        <w:spacing w:line="480" w:lineRule="auto"/>
        <w:ind w:left="567" w:hanging="567"/>
        <w:jc w:val="both"/>
        <w:rPr>
          <w:rFonts w:eastAsia="Times"/>
          <w:szCs w:val="20"/>
          <w:lang w:eastAsia="en-US"/>
        </w:rPr>
      </w:pPr>
      <w:r w:rsidRPr="005B3F65">
        <w:rPr>
          <w:rFonts w:eastAsia="Times"/>
          <w:szCs w:val="20"/>
          <w:lang w:eastAsia="en-US"/>
        </w:rPr>
        <w:t xml:space="preserve">Verhaeghen, P., Palfai, T., &amp; Johnson, M. P. (2006). </w:t>
      </w:r>
      <w:r w:rsidRPr="00A751AB">
        <w:rPr>
          <w:rFonts w:eastAsia="Times"/>
          <w:szCs w:val="20"/>
          <w:lang w:eastAsia="en-US"/>
        </w:rPr>
        <w:t xml:space="preserve">Verbal labeling as an assimilation mnemonic for abstract visual stimuli: The sample case of recognition memory for Chinese characters. </w:t>
      </w:r>
      <w:r w:rsidRPr="00A751AB">
        <w:rPr>
          <w:rFonts w:eastAsia="Times"/>
          <w:i/>
          <w:szCs w:val="20"/>
          <w:lang w:eastAsia="en-US"/>
        </w:rPr>
        <w:t>Memory &amp; Cognition, 34</w:t>
      </w:r>
      <w:r w:rsidRPr="00A751AB">
        <w:rPr>
          <w:rFonts w:eastAsia="Times"/>
          <w:szCs w:val="20"/>
          <w:lang w:eastAsia="en-US"/>
        </w:rPr>
        <w:t>, 795-803.</w:t>
      </w:r>
      <w:r>
        <w:rPr>
          <w:rFonts w:eastAsia="Times"/>
          <w:szCs w:val="20"/>
          <w:lang w:eastAsia="en-US"/>
        </w:rPr>
        <w:t xml:space="preserve"> doi:</w:t>
      </w:r>
      <w:r w:rsidRPr="00A751AB">
        <w:t xml:space="preserve"> </w:t>
      </w:r>
      <w:r w:rsidRPr="00A751AB">
        <w:rPr>
          <w:rFonts w:eastAsia="Times"/>
          <w:szCs w:val="20"/>
          <w:lang w:eastAsia="en-US"/>
        </w:rPr>
        <w:t>10.3758/BF03193427</w:t>
      </w:r>
    </w:p>
    <w:p w14:paraId="1A3A4DED" w14:textId="77777777" w:rsidR="00DA4FD1" w:rsidRDefault="00DA4FD1" w:rsidP="002D4B39">
      <w:pPr>
        <w:spacing w:line="480" w:lineRule="auto"/>
        <w:ind w:left="567" w:hanging="567"/>
        <w:jc w:val="both"/>
        <w:rPr>
          <w:rFonts w:eastAsia="Times"/>
          <w:szCs w:val="20"/>
          <w:lang w:eastAsia="en-US"/>
        </w:rPr>
      </w:pPr>
      <w:r>
        <w:rPr>
          <w:rFonts w:eastAsia="Times"/>
          <w:szCs w:val="20"/>
          <w:lang w:eastAsia="en-US"/>
        </w:rPr>
        <w:t xml:space="preserve">Weyerts, H., Tendolkar, I., Smid, H.C.O.M., &amp; Heinze, H.J. (1997) ERPs to encoding and recognition in two different inter-item association tasks. </w:t>
      </w:r>
      <w:r w:rsidRPr="00DA4FD1">
        <w:rPr>
          <w:rFonts w:eastAsia="Times"/>
          <w:i/>
          <w:szCs w:val="20"/>
          <w:lang w:eastAsia="en-US"/>
        </w:rPr>
        <w:t>Cognitive Neuroscience and Neuropsychology</w:t>
      </w:r>
      <w:r>
        <w:rPr>
          <w:rFonts w:eastAsia="Times"/>
          <w:szCs w:val="20"/>
          <w:lang w:eastAsia="en-US"/>
        </w:rPr>
        <w:t>, 8 (7), 1583-1588</w:t>
      </w:r>
    </w:p>
    <w:p w14:paraId="49CC3CB7" w14:textId="7F2B4F8C" w:rsidR="002D4B39" w:rsidRDefault="002D4B39" w:rsidP="002D4B39">
      <w:pPr>
        <w:spacing w:line="480" w:lineRule="auto"/>
        <w:ind w:left="567" w:hanging="567"/>
        <w:jc w:val="both"/>
        <w:rPr>
          <w:rFonts w:eastAsia="Times"/>
          <w:szCs w:val="20"/>
          <w:lang w:eastAsia="en-US"/>
        </w:rPr>
      </w:pPr>
      <w:r w:rsidRPr="002D4B39">
        <w:rPr>
          <w:rFonts w:eastAsia="Times"/>
          <w:szCs w:val="20"/>
          <w:lang w:eastAsia="en-US"/>
        </w:rPr>
        <w:lastRenderedPageBreak/>
        <w:t xml:space="preserve">Wilding, E.L. </w:t>
      </w:r>
      <w:r>
        <w:rPr>
          <w:rFonts w:eastAsia="Times"/>
          <w:szCs w:val="20"/>
          <w:lang w:eastAsia="en-US"/>
        </w:rPr>
        <w:t>(</w:t>
      </w:r>
      <w:r w:rsidRPr="002D4B39">
        <w:rPr>
          <w:rFonts w:eastAsia="Times"/>
          <w:szCs w:val="20"/>
          <w:lang w:eastAsia="en-US"/>
        </w:rPr>
        <w:t>2000</w:t>
      </w:r>
      <w:r>
        <w:rPr>
          <w:rFonts w:eastAsia="Times"/>
          <w:szCs w:val="20"/>
          <w:lang w:eastAsia="en-US"/>
        </w:rPr>
        <w:t>)</w:t>
      </w:r>
      <w:r w:rsidRPr="002D4B39">
        <w:rPr>
          <w:rFonts w:eastAsia="Times"/>
          <w:szCs w:val="20"/>
          <w:lang w:eastAsia="en-US"/>
        </w:rPr>
        <w:t xml:space="preserve">. In what way does the parietal ERP old/new effect index recollection? </w:t>
      </w:r>
      <w:r w:rsidRPr="00BA2944">
        <w:rPr>
          <w:rFonts w:eastAsia="Times"/>
          <w:i/>
          <w:szCs w:val="20"/>
          <w:lang w:eastAsia="en-US"/>
        </w:rPr>
        <w:t>International Journal of Psychophysiology</w:t>
      </w:r>
      <w:r>
        <w:rPr>
          <w:rFonts w:eastAsia="Times"/>
          <w:i/>
          <w:szCs w:val="20"/>
          <w:lang w:eastAsia="en-US"/>
        </w:rPr>
        <w:t>,</w:t>
      </w:r>
      <w:r w:rsidRPr="002D4B39">
        <w:rPr>
          <w:rFonts w:eastAsia="Times"/>
          <w:szCs w:val="20"/>
          <w:lang w:eastAsia="en-US"/>
        </w:rPr>
        <w:t xml:space="preserve"> 35, 81–87.</w:t>
      </w:r>
      <w:r>
        <w:rPr>
          <w:rFonts w:eastAsia="Times"/>
          <w:szCs w:val="20"/>
          <w:lang w:eastAsia="en-US"/>
        </w:rPr>
        <w:t xml:space="preserve"> doi: </w:t>
      </w:r>
      <w:r w:rsidRPr="002D4B39">
        <w:rPr>
          <w:rFonts w:eastAsia="Times"/>
          <w:szCs w:val="20"/>
          <w:lang w:eastAsia="en-US"/>
        </w:rPr>
        <w:t>10.1016/S0167-8760(99)00095-1</w:t>
      </w:r>
    </w:p>
    <w:p w14:paraId="3B420B21" w14:textId="77777777" w:rsidR="002D4B39" w:rsidRDefault="002D4B39" w:rsidP="002D4B39">
      <w:pPr>
        <w:spacing w:line="480" w:lineRule="auto"/>
        <w:ind w:left="567" w:hanging="567"/>
        <w:jc w:val="both"/>
        <w:rPr>
          <w:rFonts w:eastAsia="Times"/>
          <w:szCs w:val="20"/>
          <w:lang w:eastAsia="en-US"/>
        </w:rPr>
      </w:pPr>
      <w:r>
        <w:rPr>
          <w:rFonts w:eastAsia="Times"/>
          <w:szCs w:val="20"/>
          <w:lang w:eastAsia="en-US"/>
        </w:rPr>
        <w:t xml:space="preserve">Wilding, E.L., &amp; Rugg, M.D. (1996) An event-related potential study of recognition memory with and without retrieval of source. </w:t>
      </w:r>
      <w:r w:rsidRPr="00BA2944">
        <w:rPr>
          <w:rFonts w:eastAsia="Times"/>
          <w:i/>
          <w:szCs w:val="20"/>
          <w:lang w:eastAsia="en-US"/>
        </w:rPr>
        <w:t>Brain</w:t>
      </w:r>
      <w:r>
        <w:rPr>
          <w:rFonts w:eastAsia="Times"/>
          <w:szCs w:val="20"/>
          <w:lang w:eastAsia="en-US"/>
        </w:rPr>
        <w:t xml:space="preserve">, 119 (3), 889-905. doi: </w:t>
      </w:r>
      <w:r w:rsidRPr="002D4B39">
        <w:rPr>
          <w:rFonts w:eastAsia="Times"/>
          <w:szCs w:val="20"/>
          <w:lang w:eastAsia="en-US"/>
        </w:rPr>
        <w:t>10.1093/brain/119.3.889</w:t>
      </w:r>
    </w:p>
    <w:p w14:paraId="52ED77BE" w14:textId="60786B4B" w:rsidR="005C7F4F" w:rsidRDefault="005C7F4F" w:rsidP="005C7F4F">
      <w:pPr>
        <w:spacing w:line="480" w:lineRule="auto"/>
        <w:ind w:left="567" w:hanging="567"/>
        <w:jc w:val="both"/>
        <w:rPr>
          <w:rFonts w:eastAsia="Times"/>
          <w:szCs w:val="20"/>
          <w:lang w:eastAsia="en-US"/>
        </w:rPr>
      </w:pPr>
      <w:r w:rsidRPr="005C7F4F">
        <w:rPr>
          <w:rFonts w:eastAsia="Times"/>
          <w:szCs w:val="20"/>
          <w:lang w:eastAsia="en-US"/>
        </w:rPr>
        <w:t>Zhang, W.</w:t>
      </w:r>
      <w:r>
        <w:rPr>
          <w:rFonts w:eastAsia="Times"/>
          <w:szCs w:val="20"/>
          <w:lang w:eastAsia="en-US"/>
        </w:rPr>
        <w:t>,</w:t>
      </w:r>
      <w:r w:rsidRPr="005C7F4F">
        <w:rPr>
          <w:rFonts w:eastAsia="Times"/>
          <w:szCs w:val="20"/>
          <w:lang w:eastAsia="en-US"/>
        </w:rPr>
        <w:t xml:space="preserve"> </w:t>
      </w:r>
      <w:r>
        <w:rPr>
          <w:rFonts w:eastAsia="Times"/>
          <w:szCs w:val="20"/>
          <w:lang w:eastAsia="en-US"/>
        </w:rPr>
        <w:t>&amp;</w:t>
      </w:r>
      <w:r w:rsidRPr="005C7F4F">
        <w:rPr>
          <w:rFonts w:eastAsia="Times"/>
          <w:szCs w:val="20"/>
          <w:lang w:eastAsia="en-US"/>
        </w:rPr>
        <w:t xml:space="preserve"> Luck, S.</w:t>
      </w:r>
      <w:r>
        <w:rPr>
          <w:rFonts w:eastAsia="Times"/>
          <w:szCs w:val="20"/>
          <w:lang w:eastAsia="en-US"/>
        </w:rPr>
        <w:t xml:space="preserve"> </w:t>
      </w:r>
      <w:r w:rsidRPr="005C7F4F">
        <w:rPr>
          <w:rFonts w:eastAsia="Times"/>
          <w:szCs w:val="20"/>
          <w:lang w:eastAsia="en-US"/>
        </w:rPr>
        <w:t>J. (2008) Discrete fixed-resolution</w:t>
      </w:r>
      <w:r>
        <w:rPr>
          <w:rFonts w:eastAsia="Times"/>
          <w:szCs w:val="20"/>
          <w:lang w:eastAsia="en-US"/>
        </w:rPr>
        <w:t xml:space="preserve"> </w:t>
      </w:r>
      <w:r w:rsidRPr="005C7F4F">
        <w:rPr>
          <w:rFonts w:eastAsia="Times"/>
          <w:szCs w:val="20"/>
          <w:lang w:eastAsia="en-US"/>
        </w:rPr>
        <w:t xml:space="preserve">representations in visual working memory. </w:t>
      </w:r>
      <w:r w:rsidRPr="005C7F4F">
        <w:rPr>
          <w:rFonts w:eastAsia="Times"/>
          <w:i/>
          <w:szCs w:val="20"/>
          <w:lang w:eastAsia="en-US"/>
        </w:rPr>
        <w:t>Nature</w:t>
      </w:r>
      <w:r>
        <w:rPr>
          <w:rFonts w:eastAsia="Times"/>
          <w:i/>
          <w:szCs w:val="20"/>
          <w:lang w:eastAsia="en-US"/>
        </w:rPr>
        <w:t>,</w:t>
      </w:r>
      <w:r w:rsidRPr="005C7F4F">
        <w:rPr>
          <w:rFonts w:eastAsia="Times"/>
          <w:i/>
          <w:szCs w:val="20"/>
          <w:lang w:eastAsia="en-US"/>
        </w:rPr>
        <w:t xml:space="preserve"> 453</w:t>
      </w:r>
      <w:r w:rsidRPr="005C7F4F">
        <w:rPr>
          <w:rFonts w:eastAsia="Times"/>
          <w:szCs w:val="20"/>
          <w:lang w:eastAsia="en-US"/>
        </w:rPr>
        <w:t>, 233–235</w:t>
      </w:r>
      <w:r>
        <w:rPr>
          <w:rFonts w:eastAsia="Times"/>
          <w:szCs w:val="20"/>
          <w:lang w:eastAsia="en-US"/>
        </w:rPr>
        <w:t xml:space="preserve">. doi: </w:t>
      </w:r>
      <w:r w:rsidRPr="005C7F4F">
        <w:rPr>
          <w:rFonts w:eastAsia="Times"/>
          <w:szCs w:val="20"/>
          <w:lang w:eastAsia="en-US"/>
        </w:rPr>
        <w:t>10.1038/nature06860</w:t>
      </w:r>
    </w:p>
    <w:p w14:paraId="6FB1B1E0" w14:textId="7E6FAC17" w:rsidR="00DC5C24" w:rsidRDefault="00DC5C24">
      <w:pPr>
        <w:rPr>
          <w:b/>
        </w:rPr>
      </w:pPr>
      <w:r>
        <w:rPr>
          <w:b/>
        </w:rPr>
        <w:br w:type="page"/>
      </w:r>
    </w:p>
    <w:p w14:paraId="1D29E86B" w14:textId="4B89529F" w:rsidR="00A751AB" w:rsidRDefault="00DC5C24" w:rsidP="005C7F4F">
      <w:pPr>
        <w:spacing w:line="480" w:lineRule="auto"/>
        <w:rPr>
          <w:b/>
        </w:rPr>
      </w:pPr>
      <w:r>
        <w:rPr>
          <w:b/>
        </w:rPr>
        <w:lastRenderedPageBreak/>
        <w:t>Figure 3</w:t>
      </w:r>
    </w:p>
    <w:p w14:paraId="6E337487" w14:textId="1D6DA367" w:rsidR="00DC5C24" w:rsidRDefault="00DC5C24" w:rsidP="005C7F4F">
      <w:pPr>
        <w:spacing w:line="480" w:lineRule="auto"/>
        <w:rPr>
          <w:b/>
        </w:rPr>
      </w:pPr>
    </w:p>
    <w:p w14:paraId="122258B3" w14:textId="08C72675" w:rsidR="00DC5C24" w:rsidRPr="004B2090" w:rsidRDefault="00DC5C24" w:rsidP="005C7F4F">
      <w:pPr>
        <w:spacing w:line="480" w:lineRule="auto"/>
        <w:rPr>
          <w:b/>
        </w:rPr>
      </w:pPr>
      <w:r w:rsidRPr="00DC5C24">
        <w:rPr>
          <w:b/>
          <w:noProof/>
          <w:lang w:eastAsia="zh-CN"/>
        </w:rPr>
        <w:drawing>
          <wp:inline distT="0" distB="0" distL="0" distR="0" wp14:anchorId="59328311" wp14:editId="3A2115B0">
            <wp:extent cx="5278120" cy="4715431"/>
            <wp:effectExtent l="0" t="0" r="0" b="9525"/>
            <wp:docPr id="1" name="Picture 1" descr="U:\My Documents\Research\Ongoing\ERP Retrieval Data\8 June Resubmission\235589_Riby_Figure_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My Documents\Research\Ongoing\ERP Retrieval Data\8 June Resubmission\235589_Riby_Figure_3.T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8120" cy="4715431"/>
                    </a:xfrm>
                    <a:prstGeom prst="rect">
                      <a:avLst/>
                    </a:prstGeom>
                    <a:noFill/>
                    <a:ln>
                      <a:noFill/>
                    </a:ln>
                  </pic:spPr>
                </pic:pic>
              </a:graphicData>
            </a:graphic>
          </wp:inline>
        </w:drawing>
      </w:r>
      <w:bookmarkStart w:id="0" w:name="_GoBack"/>
      <w:bookmarkEnd w:id="0"/>
    </w:p>
    <w:sectPr w:rsidR="00DC5C24" w:rsidRPr="004B2090" w:rsidSect="0035209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CA147" w14:textId="77777777" w:rsidR="00FE148A" w:rsidRDefault="00FE148A" w:rsidP="000D5D4C">
      <w:r>
        <w:separator/>
      </w:r>
    </w:p>
  </w:endnote>
  <w:endnote w:type="continuationSeparator" w:id="0">
    <w:p w14:paraId="2EAE4066" w14:textId="77777777" w:rsidR="00FE148A" w:rsidRDefault="00FE148A" w:rsidP="000D5D4C">
      <w:r>
        <w:continuationSeparator/>
      </w:r>
    </w:p>
  </w:endnote>
  <w:endnote w:type="continuationNotice" w:id="1">
    <w:p w14:paraId="2D07C674" w14:textId="77777777" w:rsidR="00FE148A" w:rsidRDefault="00FE1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246446"/>
      <w:docPartObj>
        <w:docPartGallery w:val="Page Numbers (Bottom of Page)"/>
        <w:docPartUnique/>
      </w:docPartObj>
    </w:sdtPr>
    <w:sdtEndPr>
      <w:rPr>
        <w:noProof/>
      </w:rPr>
    </w:sdtEndPr>
    <w:sdtContent>
      <w:p w14:paraId="3C6B818D" w14:textId="3BE81884" w:rsidR="007A7E57" w:rsidRDefault="007A7E57">
        <w:pPr>
          <w:pStyle w:val="Footer"/>
          <w:jc w:val="center"/>
        </w:pPr>
        <w:r>
          <w:fldChar w:fldCharType="begin"/>
        </w:r>
        <w:r>
          <w:instrText xml:space="preserve"> PAGE   \* MERGEFORMAT </w:instrText>
        </w:r>
        <w:r>
          <w:fldChar w:fldCharType="separate"/>
        </w:r>
        <w:r w:rsidR="00DC5C24">
          <w:rPr>
            <w:noProof/>
          </w:rPr>
          <w:t>21</w:t>
        </w:r>
        <w:r>
          <w:rPr>
            <w:noProof/>
          </w:rPr>
          <w:fldChar w:fldCharType="end"/>
        </w:r>
      </w:p>
    </w:sdtContent>
  </w:sdt>
  <w:p w14:paraId="17DD857F" w14:textId="77777777" w:rsidR="009F5E38" w:rsidRDefault="009F5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F4B68" w14:textId="77777777" w:rsidR="00FE148A" w:rsidRDefault="00FE148A" w:rsidP="000D5D4C">
      <w:r>
        <w:separator/>
      </w:r>
    </w:p>
  </w:footnote>
  <w:footnote w:type="continuationSeparator" w:id="0">
    <w:p w14:paraId="78448978" w14:textId="77777777" w:rsidR="00FE148A" w:rsidRDefault="00FE148A" w:rsidP="000D5D4C">
      <w:r>
        <w:continuationSeparator/>
      </w:r>
    </w:p>
  </w:footnote>
  <w:footnote w:type="continuationNotice" w:id="1">
    <w:p w14:paraId="4DF65498" w14:textId="77777777" w:rsidR="00FE148A" w:rsidRDefault="00FE148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02BFD" w14:textId="489CBAC7" w:rsidR="003B6013" w:rsidRDefault="003B6013">
    <w:pPr>
      <w:pStyle w:val="Header"/>
    </w:pPr>
    <w:r>
      <w:t>ERP correlates of v</w:t>
    </w:r>
    <w:r w:rsidR="00702926">
      <w:t xml:space="preserve">isual working </w:t>
    </w:r>
    <w:r>
      <w:t>memory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3D971" w14:textId="77777777" w:rsidR="003B6013" w:rsidRDefault="003B6013">
    <w:pPr>
      <w:pStyle w:val="Header"/>
    </w:pPr>
    <w:r>
      <w:t xml:space="preserve">ERP correlates of </w:t>
    </w:r>
    <w:proofErr w:type="spellStart"/>
    <w:r>
      <w:t>visuo</w:t>
    </w:r>
    <w:proofErr w:type="spellEnd"/>
    <w:r>
      <w:t>-spatial memory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5F4BD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A8FA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A8F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6CAD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4260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40AA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00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2A7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1251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F4C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3428E5"/>
    <w:multiLevelType w:val="hybridMultilevel"/>
    <w:tmpl w:val="1DCA499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3EA45331"/>
    <w:multiLevelType w:val="hybridMultilevel"/>
    <w:tmpl w:val="6DA00C28"/>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2" w15:restartNumberingAfterBreak="0">
    <w:nsid w:val="454062DB"/>
    <w:multiLevelType w:val="hybridMultilevel"/>
    <w:tmpl w:val="D598BF0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59666F97"/>
    <w:multiLevelType w:val="hybridMultilevel"/>
    <w:tmpl w:val="7D3A9F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154D35"/>
    <w:multiLevelType w:val="hybridMultilevel"/>
    <w:tmpl w:val="828E0C0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6CDE3CEF"/>
    <w:multiLevelType w:val="hybridMultilevel"/>
    <w:tmpl w:val="C478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DE5D41"/>
    <w:multiLevelType w:val="hybridMultilevel"/>
    <w:tmpl w:val="609A8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3E63CB"/>
    <w:multiLevelType w:val="hybridMultilevel"/>
    <w:tmpl w:val="5FFEE75E"/>
    <w:lvl w:ilvl="0" w:tplc="29BEE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4"/>
  </w:num>
  <w:num w:numId="2">
    <w:abstractNumId w:val="10"/>
  </w:num>
  <w:num w:numId="3">
    <w:abstractNumId w:val="11"/>
  </w:num>
  <w:num w:numId="4">
    <w:abstractNumId w:val="15"/>
  </w:num>
  <w:num w:numId="5">
    <w:abstractNumId w:val="12"/>
  </w:num>
  <w:num w:numId="6">
    <w:abstractNumId w:val="13"/>
  </w:num>
  <w:num w:numId="7">
    <w:abstractNumId w:val="16"/>
  </w:num>
  <w:num w:numId="8">
    <w:abstractNumId w:val="17"/>
  </w:num>
  <w:num w:numId="9">
    <w:abstractNumId w:val="9"/>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560"/>
    <w:rsid w:val="00000EF3"/>
    <w:rsid w:val="000036AE"/>
    <w:rsid w:val="0000497B"/>
    <w:rsid w:val="00005F87"/>
    <w:rsid w:val="00006464"/>
    <w:rsid w:val="000065EB"/>
    <w:rsid w:val="00006B49"/>
    <w:rsid w:val="00007478"/>
    <w:rsid w:val="00010E77"/>
    <w:rsid w:val="00012CFC"/>
    <w:rsid w:val="00013999"/>
    <w:rsid w:val="00013CCE"/>
    <w:rsid w:val="00014AE8"/>
    <w:rsid w:val="00014C8C"/>
    <w:rsid w:val="000152C7"/>
    <w:rsid w:val="00015DA0"/>
    <w:rsid w:val="0002197E"/>
    <w:rsid w:val="00021E70"/>
    <w:rsid w:val="00022CB9"/>
    <w:rsid w:val="00023943"/>
    <w:rsid w:val="00024A60"/>
    <w:rsid w:val="00024D83"/>
    <w:rsid w:val="00025640"/>
    <w:rsid w:val="00026782"/>
    <w:rsid w:val="00026BF7"/>
    <w:rsid w:val="00027018"/>
    <w:rsid w:val="00027BED"/>
    <w:rsid w:val="0003182D"/>
    <w:rsid w:val="00032502"/>
    <w:rsid w:val="00035569"/>
    <w:rsid w:val="00040273"/>
    <w:rsid w:val="00041390"/>
    <w:rsid w:val="0004279F"/>
    <w:rsid w:val="000431E2"/>
    <w:rsid w:val="00043477"/>
    <w:rsid w:val="000440EA"/>
    <w:rsid w:val="00045CBE"/>
    <w:rsid w:val="00046A05"/>
    <w:rsid w:val="00047AD7"/>
    <w:rsid w:val="00050313"/>
    <w:rsid w:val="00050684"/>
    <w:rsid w:val="00051BB6"/>
    <w:rsid w:val="00053FF1"/>
    <w:rsid w:val="00056129"/>
    <w:rsid w:val="00056E9E"/>
    <w:rsid w:val="000572B2"/>
    <w:rsid w:val="0006117A"/>
    <w:rsid w:val="0006147D"/>
    <w:rsid w:val="00063564"/>
    <w:rsid w:val="00066466"/>
    <w:rsid w:val="00066E98"/>
    <w:rsid w:val="00067449"/>
    <w:rsid w:val="00070DC0"/>
    <w:rsid w:val="00071399"/>
    <w:rsid w:val="00071FA7"/>
    <w:rsid w:val="00074966"/>
    <w:rsid w:val="00074999"/>
    <w:rsid w:val="00075390"/>
    <w:rsid w:val="0007594A"/>
    <w:rsid w:val="00075C78"/>
    <w:rsid w:val="00076408"/>
    <w:rsid w:val="00077860"/>
    <w:rsid w:val="00083874"/>
    <w:rsid w:val="000866EC"/>
    <w:rsid w:val="00086E92"/>
    <w:rsid w:val="0009096A"/>
    <w:rsid w:val="00092DFE"/>
    <w:rsid w:val="000934AA"/>
    <w:rsid w:val="0009474B"/>
    <w:rsid w:val="000965E9"/>
    <w:rsid w:val="000A06A6"/>
    <w:rsid w:val="000A1299"/>
    <w:rsid w:val="000A17D5"/>
    <w:rsid w:val="000A33F1"/>
    <w:rsid w:val="000A3C37"/>
    <w:rsid w:val="000A4384"/>
    <w:rsid w:val="000A5DD5"/>
    <w:rsid w:val="000A6921"/>
    <w:rsid w:val="000A6C55"/>
    <w:rsid w:val="000B2994"/>
    <w:rsid w:val="000B3295"/>
    <w:rsid w:val="000B45FC"/>
    <w:rsid w:val="000B4B9F"/>
    <w:rsid w:val="000B4CF5"/>
    <w:rsid w:val="000B5D43"/>
    <w:rsid w:val="000B6007"/>
    <w:rsid w:val="000B6E54"/>
    <w:rsid w:val="000C0528"/>
    <w:rsid w:val="000C06E9"/>
    <w:rsid w:val="000C121A"/>
    <w:rsid w:val="000C161C"/>
    <w:rsid w:val="000C2DE8"/>
    <w:rsid w:val="000C2EC9"/>
    <w:rsid w:val="000C408D"/>
    <w:rsid w:val="000C5EED"/>
    <w:rsid w:val="000D4A78"/>
    <w:rsid w:val="000D4DAF"/>
    <w:rsid w:val="000D5D4C"/>
    <w:rsid w:val="000D5F22"/>
    <w:rsid w:val="000D6BB3"/>
    <w:rsid w:val="000E217D"/>
    <w:rsid w:val="000E3D06"/>
    <w:rsid w:val="000E40E1"/>
    <w:rsid w:val="000E4847"/>
    <w:rsid w:val="000E4B6A"/>
    <w:rsid w:val="000E51DA"/>
    <w:rsid w:val="000E6D39"/>
    <w:rsid w:val="000F07E9"/>
    <w:rsid w:val="000F08C1"/>
    <w:rsid w:val="000F08F9"/>
    <w:rsid w:val="000F2DB1"/>
    <w:rsid w:val="000F3CEF"/>
    <w:rsid w:val="000F60D0"/>
    <w:rsid w:val="00100E73"/>
    <w:rsid w:val="0010123D"/>
    <w:rsid w:val="0010127F"/>
    <w:rsid w:val="0010214D"/>
    <w:rsid w:val="00102960"/>
    <w:rsid w:val="001063A1"/>
    <w:rsid w:val="00106F37"/>
    <w:rsid w:val="00107334"/>
    <w:rsid w:val="00110CE0"/>
    <w:rsid w:val="00111787"/>
    <w:rsid w:val="00113E6E"/>
    <w:rsid w:val="00114C47"/>
    <w:rsid w:val="00120628"/>
    <w:rsid w:val="00121FAF"/>
    <w:rsid w:val="00126974"/>
    <w:rsid w:val="00126EE1"/>
    <w:rsid w:val="00130669"/>
    <w:rsid w:val="0013072C"/>
    <w:rsid w:val="00130853"/>
    <w:rsid w:val="00130A7D"/>
    <w:rsid w:val="00131788"/>
    <w:rsid w:val="00133F2D"/>
    <w:rsid w:val="00134486"/>
    <w:rsid w:val="00135497"/>
    <w:rsid w:val="00137943"/>
    <w:rsid w:val="00137A98"/>
    <w:rsid w:val="001403EF"/>
    <w:rsid w:val="0014344C"/>
    <w:rsid w:val="00143AB6"/>
    <w:rsid w:val="00144723"/>
    <w:rsid w:val="00147DE0"/>
    <w:rsid w:val="001507D4"/>
    <w:rsid w:val="0015232B"/>
    <w:rsid w:val="0015238B"/>
    <w:rsid w:val="00154172"/>
    <w:rsid w:val="0015612D"/>
    <w:rsid w:val="00156B17"/>
    <w:rsid w:val="00157220"/>
    <w:rsid w:val="00157D75"/>
    <w:rsid w:val="001605FF"/>
    <w:rsid w:val="00161680"/>
    <w:rsid w:val="00163F09"/>
    <w:rsid w:val="00165EB0"/>
    <w:rsid w:val="00166C37"/>
    <w:rsid w:val="0016709C"/>
    <w:rsid w:val="001678E8"/>
    <w:rsid w:val="001707FF"/>
    <w:rsid w:val="00170CF3"/>
    <w:rsid w:val="00173348"/>
    <w:rsid w:val="001739C4"/>
    <w:rsid w:val="0017578D"/>
    <w:rsid w:val="00176883"/>
    <w:rsid w:val="00180EEC"/>
    <w:rsid w:val="001818D2"/>
    <w:rsid w:val="00185BE8"/>
    <w:rsid w:val="00185C35"/>
    <w:rsid w:val="00194070"/>
    <w:rsid w:val="00195B9C"/>
    <w:rsid w:val="00196EEA"/>
    <w:rsid w:val="00197BF3"/>
    <w:rsid w:val="001A03A1"/>
    <w:rsid w:val="001A0F2D"/>
    <w:rsid w:val="001A1F32"/>
    <w:rsid w:val="001A27EB"/>
    <w:rsid w:val="001A311F"/>
    <w:rsid w:val="001A4B1D"/>
    <w:rsid w:val="001A54F4"/>
    <w:rsid w:val="001A602C"/>
    <w:rsid w:val="001A6135"/>
    <w:rsid w:val="001A6555"/>
    <w:rsid w:val="001A6DB7"/>
    <w:rsid w:val="001A7774"/>
    <w:rsid w:val="001B0AC5"/>
    <w:rsid w:val="001B3483"/>
    <w:rsid w:val="001B4DAF"/>
    <w:rsid w:val="001B4EB0"/>
    <w:rsid w:val="001B4F67"/>
    <w:rsid w:val="001B5C1A"/>
    <w:rsid w:val="001B7700"/>
    <w:rsid w:val="001C013F"/>
    <w:rsid w:val="001C1791"/>
    <w:rsid w:val="001C204D"/>
    <w:rsid w:val="001C38F3"/>
    <w:rsid w:val="001C3A1E"/>
    <w:rsid w:val="001C4952"/>
    <w:rsid w:val="001C6169"/>
    <w:rsid w:val="001C7F24"/>
    <w:rsid w:val="001D14C4"/>
    <w:rsid w:val="001D2265"/>
    <w:rsid w:val="001D516C"/>
    <w:rsid w:val="001D6ACC"/>
    <w:rsid w:val="001E01CE"/>
    <w:rsid w:val="001E0607"/>
    <w:rsid w:val="001E1A40"/>
    <w:rsid w:val="001E35C0"/>
    <w:rsid w:val="001E516F"/>
    <w:rsid w:val="001E5ED4"/>
    <w:rsid w:val="001E7013"/>
    <w:rsid w:val="001E7A0D"/>
    <w:rsid w:val="001F13F1"/>
    <w:rsid w:val="001F1B6D"/>
    <w:rsid w:val="001F548B"/>
    <w:rsid w:val="001F7235"/>
    <w:rsid w:val="001F7D10"/>
    <w:rsid w:val="00200295"/>
    <w:rsid w:val="00200D0C"/>
    <w:rsid w:val="00202097"/>
    <w:rsid w:val="0020508B"/>
    <w:rsid w:val="0020611A"/>
    <w:rsid w:val="002066C2"/>
    <w:rsid w:val="00206F4D"/>
    <w:rsid w:val="002075FE"/>
    <w:rsid w:val="00211013"/>
    <w:rsid w:val="0021517F"/>
    <w:rsid w:val="002153A0"/>
    <w:rsid w:val="00216BC8"/>
    <w:rsid w:val="00216CF1"/>
    <w:rsid w:val="00216E45"/>
    <w:rsid w:val="00216E4D"/>
    <w:rsid w:val="002176B5"/>
    <w:rsid w:val="00220D54"/>
    <w:rsid w:val="00221079"/>
    <w:rsid w:val="00221E1E"/>
    <w:rsid w:val="00221FCC"/>
    <w:rsid w:val="002230CA"/>
    <w:rsid w:val="00224896"/>
    <w:rsid w:val="00231EC7"/>
    <w:rsid w:val="00233B8A"/>
    <w:rsid w:val="00233EE7"/>
    <w:rsid w:val="00234BF0"/>
    <w:rsid w:val="00235BCB"/>
    <w:rsid w:val="002369EF"/>
    <w:rsid w:val="00236ACF"/>
    <w:rsid w:val="00237C66"/>
    <w:rsid w:val="00240752"/>
    <w:rsid w:val="00240E2C"/>
    <w:rsid w:val="00241FF3"/>
    <w:rsid w:val="00242C37"/>
    <w:rsid w:val="002435A7"/>
    <w:rsid w:val="002461DF"/>
    <w:rsid w:val="0024719E"/>
    <w:rsid w:val="00250488"/>
    <w:rsid w:val="00251F68"/>
    <w:rsid w:val="002525BB"/>
    <w:rsid w:val="002526C6"/>
    <w:rsid w:val="00253D74"/>
    <w:rsid w:val="002548AA"/>
    <w:rsid w:val="0025519F"/>
    <w:rsid w:val="00255CD2"/>
    <w:rsid w:val="00256DD0"/>
    <w:rsid w:val="002606E1"/>
    <w:rsid w:val="00260781"/>
    <w:rsid w:val="00260C2E"/>
    <w:rsid w:val="00261E84"/>
    <w:rsid w:val="0026325A"/>
    <w:rsid w:val="002635AE"/>
    <w:rsid w:val="00265874"/>
    <w:rsid w:val="00267852"/>
    <w:rsid w:val="0027099E"/>
    <w:rsid w:val="00272DE2"/>
    <w:rsid w:val="0027310B"/>
    <w:rsid w:val="002736AB"/>
    <w:rsid w:val="0027752A"/>
    <w:rsid w:val="00277D17"/>
    <w:rsid w:val="00280432"/>
    <w:rsid w:val="00280FC5"/>
    <w:rsid w:val="00282427"/>
    <w:rsid w:val="00282771"/>
    <w:rsid w:val="00283D71"/>
    <w:rsid w:val="002846E5"/>
    <w:rsid w:val="00285953"/>
    <w:rsid w:val="0029046A"/>
    <w:rsid w:val="00290B3D"/>
    <w:rsid w:val="00291306"/>
    <w:rsid w:val="002913DA"/>
    <w:rsid w:val="002916A4"/>
    <w:rsid w:val="002917D9"/>
    <w:rsid w:val="00291B79"/>
    <w:rsid w:val="002933F9"/>
    <w:rsid w:val="002934B9"/>
    <w:rsid w:val="0029354A"/>
    <w:rsid w:val="00293581"/>
    <w:rsid w:val="00293DCB"/>
    <w:rsid w:val="00294091"/>
    <w:rsid w:val="00294B6C"/>
    <w:rsid w:val="002958CD"/>
    <w:rsid w:val="002966A9"/>
    <w:rsid w:val="00297097"/>
    <w:rsid w:val="002A16B5"/>
    <w:rsid w:val="002A2F5F"/>
    <w:rsid w:val="002A4A06"/>
    <w:rsid w:val="002A58B6"/>
    <w:rsid w:val="002A6628"/>
    <w:rsid w:val="002B02BD"/>
    <w:rsid w:val="002B1956"/>
    <w:rsid w:val="002B3CFC"/>
    <w:rsid w:val="002B5170"/>
    <w:rsid w:val="002B67FE"/>
    <w:rsid w:val="002C2B76"/>
    <w:rsid w:val="002C417A"/>
    <w:rsid w:val="002C4CE8"/>
    <w:rsid w:val="002C51B3"/>
    <w:rsid w:val="002C5C66"/>
    <w:rsid w:val="002D0B41"/>
    <w:rsid w:val="002D2524"/>
    <w:rsid w:val="002D3220"/>
    <w:rsid w:val="002D4B39"/>
    <w:rsid w:val="002D504E"/>
    <w:rsid w:val="002D73BA"/>
    <w:rsid w:val="002E065E"/>
    <w:rsid w:val="002E1822"/>
    <w:rsid w:val="002E2372"/>
    <w:rsid w:val="002E2991"/>
    <w:rsid w:val="002E30FB"/>
    <w:rsid w:val="002E4356"/>
    <w:rsid w:val="002E772A"/>
    <w:rsid w:val="002F0503"/>
    <w:rsid w:val="002F0F84"/>
    <w:rsid w:val="002F1341"/>
    <w:rsid w:val="002F3686"/>
    <w:rsid w:val="002F3B90"/>
    <w:rsid w:val="002F4298"/>
    <w:rsid w:val="002F4512"/>
    <w:rsid w:val="002F58EF"/>
    <w:rsid w:val="002F6A4F"/>
    <w:rsid w:val="002F7114"/>
    <w:rsid w:val="002F7DC8"/>
    <w:rsid w:val="00301464"/>
    <w:rsid w:val="0030195B"/>
    <w:rsid w:val="00307253"/>
    <w:rsid w:val="00310B5A"/>
    <w:rsid w:val="00311BA4"/>
    <w:rsid w:val="00311BC6"/>
    <w:rsid w:val="0031313E"/>
    <w:rsid w:val="003148B6"/>
    <w:rsid w:val="003151BB"/>
    <w:rsid w:val="0031550E"/>
    <w:rsid w:val="00315CC1"/>
    <w:rsid w:val="00316429"/>
    <w:rsid w:val="00316582"/>
    <w:rsid w:val="003176AD"/>
    <w:rsid w:val="0031787E"/>
    <w:rsid w:val="00322786"/>
    <w:rsid w:val="003245A9"/>
    <w:rsid w:val="00324861"/>
    <w:rsid w:val="00325667"/>
    <w:rsid w:val="00326C89"/>
    <w:rsid w:val="00330188"/>
    <w:rsid w:val="003312CC"/>
    <w:rsid w:val="00331B5C"/>
    <w:rsid w:val="00331E32"/>
    <w:rsid w:val="00332118"/>
    <w:rsid w:val="00333624"/>
    <w:rsid w:val="00335F73"/>
    <w:rsid w:val="003363CC"/>
    <w:rsid w:val="00336610"/>
    <w:rsid w:val="003368CE"/>
    <w:rsid w:val="0033740A"/>
    <w:rsid w:val="0033757B"/>
    <w:rsid w:val="00340410"/>
    <w:rsid w:val="003405B3"/>
    <w:rsid w:val="0034159F"/>
    <w:rsid w:val="0034232A"/>
    <w:rsid w:val="00342F7B"/>
    <w:rsid w:val="00343927"/>
    <w:rsid w:val="00343D40"/>
    <w:rsid w:val="00345857"/>
    <w:rsid w:val="003460AA"/>
    <w:rsid w:val="003463C1"/>
    <w:rsid w:val="0035125C"/>
    <w:rsid w:val="003519A1"/>
    <w:rsid w:val="00351E63"/>
    <w:rsid w:val="00352097"/>
    <w:rsid w:val="003525B9"/>
    <w:rsid w:val="00353C77"/>
    <w:rsid w:val="0035490B"/>
    <w:rsid w:val="00355562"/>
    <w:rsid w:val="00356751"/>
    <w:rsid w:val="003572A3"/>
    <w:rsid w:val="00362981"/>
    <w:rsid w:val="00362D75"/>
    <w:rsid w:val="00363477"/>
    <w:rsid w:val="003638FE"/>
    <w:rsid w:val="0036444B"/>
    <w:rsid w:val="003657EF"/>
    <w:rsid w:val="00366C10"/>
    <w:rsid w:val="00366E78"/>
    <w:rsid w:val="00373A8B"/>
    <w:rsid w:val="003742EC"/>
    <w:rsid w:val="00374C5F"/>
    <w:rsid w:val="0037686A"/>
    <w:rsid w:val="00377DF8"/>
    <w:rsid w:val="00380FEE"/>
    <w:rsid w:val="00382E9E"/>
    <w:rsid w:val="003839B4"/>
    <w:rsid w:val="00383AA0"/>
    <w:rsid w:val="00386129"/>
    <w:rsid w:val="0038772D"/>
    <w:rsid w:val="00390055"/>
    <w:rsid w:val="003918E0"/>
    <w:rsid w:val="00391A1D"/>
    <w:rsid w:val="0039207D"/>
    <w:rsid w:val="003928FF"/>
    <w:rsid w:val="003970DD"/>
    <w:rsid w:val="003A0090"/>
    <w:rsid w:val="003A1123"/>
    <w:rsid w:val="003A1E20"/>
    <w:rsid w:val="003A3AF5"/>
    <w:rsid w:val="003A3EDC"/>
    <w:rsid w:val="003A52AD"/>
    <w:rsid w:val="003A60E4"/>
    <w:rsid w:val="003A6431"/>
    <w:rsid w:val="003B2230"/>
    <w:rsid w:val="003B52CE"/>
    <w:rsid w:val="003B6013"/>
    <w:rsid w:val="003C0A0E"/>
    <w:rsid w:val="003C13B0"/>
    <w:rsid w:val="003C178C"/>
    <w:rsid w:val="003C3C76"/>
    <w:rsid w:val="003C631B"/>
    <w:rsid w:val="003C6BD6"/>
    <w:rsid w:val="003C7CC6"/>
    <w:rsid w:val="003C7DC1"/>
    <w:rsid w:val="003D00F9"/>
    <w:rsid w:val="003D02E0"/>
    <w:rsid w:val="003D09CC"/>
    <w:rsid w:val="003D0ACF"/>
    <w:rsid w:val="003D0EBD"/>
    <w:rsid w:val="003D10CA"/>
    <w:rsid w:val="003D1820"/>
    <w:rsid w:val="003E1AA1"/>
    <w:rsid w:val="003E2205"/>
    <w:rsid w:val="003E350C"/>
    <w:rsid w:val="003E4411"/>
    <w:rsid w:val="003E5A57"/>
    <w:rsid w:val="003E7387"/>
    <w:rsid w:val="003F003C"/>
    <w:rsid w:val="003F0DE9"/>
    <w:rsid w:val="003F0F31"/>
    <w:rsid w:val="003F22BA"/>
    <w:rsid w:val="003F2EB3"/>
    <w:rsid w:val="003F42D9"/>
    <w:rsid w:val="003F4685"/>
    <w:rsid w:val="003F4C59"/>
    <w:rsid w:val="003F59DD"/>
    <w:rsid w:val="003F6DB7"/>
    <w:rsid w:val="003F7AC4"/>
    <w:rsid w:val="0040022B"/>
    <w:rsid w:val="0040065F"/>
    <w:rsid w:val="0040094F"/>
    <w:rsid w:val="00400D5F"/>
    <w:rsid w:val="004013E1"/>
    <w:rsid w:val="0040299B"/>
    <w:rsid w:val="00403127"/>
    <w:rsid w:val="0040341E"/>
    <w:rsid w:val="0040761D"/>
    <w:rsid w:val="00410525"/>
    <w:rsid w:val="00413A62"/>
    <w:rsid w:val="00420F21"/>
    <w:rsid w:val="00421871"/>
    <w:rsid w:val="0042257E"/>
    <w:rsid w:val="00423418"/>
    <w:rsid w:val="00424451"/>
    <w:rsid w:val="004246D7"/>
    <w:rsid w:val="00424C4B"/>
    <w:rsid w:val="00425B92"/>
    <w:rsid w:val="0042696C"/>
    <w:rsid w:val="00426FA3"/>
    <w:rsid w:val="00431224"/>
    <w:rsid w:val="004347EA"/>
    <w:rsid w:val="0043528F"/>
    <w:rsid w:val="0043709C"/>
    <w:rsid w:val="00440AD3"/>
    <w:rsid w:val="00441153"/>
    <w:rsid w:val="0044139D"/>
    <w:rsid w:val="00445400"/>
    <w:rsid w:val="00447E57"/>
    <w:rsid w:val="004523F2"/>
    <w:rsid w:val="004537BE"/>
    <w:rsid w:val="00455CD4"/>
    <w:rsid w:val="00460748"/>
    <w:rsid w:val="0046264D"/>
    <w:rsid w:val="00462DF6"/>
    <w:rsid w:val="00462E51"/>
    <w:rsid w:val="00465AD4"/>
    <w:rsid w:val="004678C0"/>
    <w:rsid w:val="004700BA"/>
    <w:rsid w:val="00470909"/>
    <w:rsid w:val="00471A77"/>
    <w:rsid w:val="00474F60"/>
    <w:rsid w:val="00475CAE"/>
    <w:rsid w:val="0047720E"/>
    <w:rsid w:val="004774A4"/>
    <w:rsid w:val="004777BE"/>
    <w:rsid w:val="0048275F"/>
    <w:rsid w:val="00483EA0"/>
    <w:rsid w:val="00484227"/>
    <w:rsid w:val="00484838"/>
    <w:rsid w:val="00486701"/>
    <w:rsid w:val="00486DFF"/>
    <w:rsid w:val="00487559"/>
    <w:rsid w:val="0049122F"/>
    <w:rsid w:val="00492208"/>
    <w:rsid w:val="004925A5"/>
    <w:rsid w:val="00492881"/>
    <w:rsid w:val="004956AC"/>
    <w:rsid w:val="00495DD4"/>
    <w:rsid w:val="00496545"/>
    <w:rsid w:val="00497182"/>
    <w:rsid w:val="00497894"/>
    <w:rsid w:val="004A0B1B"/>
    <w:rsid w:val="004A224D"/>
    <w:rsid w:val="004A22D7"/>
    <w:rsid w:val="004A2DAB"/>
    <w:rsid w:val="004A34AC"/>
    <w:rsid w:val="004A48A3"/>
    <w:rsid w:val="004B13C8"/>
    <w:rsid w:val="004B1407"/>
    <w:rsid w:val="004B1DE2"/>
    <w:rsid w:val="004B2090"/>
    <w:rsid w:val="004B2916"/>
    <w:rsid w:val="004B317D"/>
    <w:rsid w:val="004B32B7"/>
    <w:rsid w:val="004B3401"/>
    <w:rsid w:val="004B4416"/>
    <w:rsid w:val="004B4B39"/>
    <w:rsid w:val="004B4D5A"/>
    <w:rsid w:val="004B51BE"/>
    <w:rsid w:val="004B6888"/>
    <w:rsid w:val="004B6CAA"/>
    <w:rsid w:val="004C162E"/>
    <w:rsid w:val="004C1DE1"/>
    <w:rsid w:val="004C1F83"/>
    <w:rsid w:val="004C2519"/>
    <w:rsid w:val="004C4792"/>
    <w:rsid w:val="004C5575"/>
    <w:rsid w:val="004C5936"/>
    <w:rsid w:val="004C72F2"/>
    <w:rsid w:val="004C75EB"/>
    <w:rsid w:val="004C7C91"/>
    <w:rsid w:val="004D1359"/>
    <w:rsid w:val="004D181B"/>
    <w:rsid w:val="004D277F"/>
    <w:rsid w:val="004D3DF8"/>
    <w:rsid w:val="004D5FD7"/>
    <w:rsid w:val="004D6C41"/>
    <w:rsid w:val="004E196E"/>
    <w:rsid w:val="004E1BDD"/>
    <w:rsid w:val="004E25F4"/>
    <w:rsid w:val="004E2AC0"/>
    <w:rsid w:val="004E3974"/>
    <w:rsid w:val="004E3CC3"/>
    <w:rsid w:val="004E4CA1"/>
    <w:rsid w:val="004E650D"/>
    <w:rsid w:val="004E6AA1"/>
    <w:rsid w:val="004E7296"/>
    <w:rsid w:val="004E78A9"/>
    <w:rsid w:val="004F02D8"/>
    <w:rsid w:val="004F0358"/>
    <w:rsid w:val="004F0D36"/>
    <w:rsid w:val="004F1B40"/>
    <w:rsid w:val="004F2896"/>
    <w:rsid w:val="004F3C3E"/>
    <w:rsid w:val="004F5394"/>
    <w:rsid w:val="004F65F6"/>
    <w:rsid w:val="004F680E"/>
    <w:rsid w:val="004F727B"/>
    <w:rsid w:val="004F7A5F"/>
    <w:rsid w:val="005002A3"/>
    <w:rsid w:val="005010F7"/>
    <w:rsid w:val="00502489"/>
    <w:rsid w:val="00502BA5"/>
    <w:rsid w:val="0050339A"/>
    <w:rsid w:val="00503496"/>
    <w:rsid w:val="00504333"/>
    <w:rsid w:val="00506690"/>
    <w:rsid w:val="0050699D"/>
    <w:rsid w:val="00506CEA"/>
    <w:rsid w:val="005079C3"/>
    <w:rsid w:val="00507AB5"/>
    <w:rsid w:val="00507F42"/>
    <w:rsid w:val="00510B0D"/>
    <w:rsid w:val="00511B0E"/>
    <w:rsid w:val="00511BA4"/>
    <w:rsid w:val="00513355"/>
    <w:rsid w:val="00513EE6"/>
    <w:rsid w:val="005141A4"/>
    <w:rsid w:val="005154D2"/>
    <w:rsid w:val="00516DA6"/>
    <w:rsid w:val="00517790"/>
    <w:rsid w:val="00517D1F"/>
    <w:rsid w:val="005213BE"/>
    <w:rsid w:val="00521C6F"/>
    <w:rsid w:val="00524FEA"/>
    <w:rsid w:val="00530F83"/>
    <w:rsid w:val="00531053"/>
    <w:rsid w:val="005318F4"/>
    <w:rsid w:val="00531CDE"/>
    <w:rsid w:val="00531F01"/>
    <w:rsid w:val="00532029"/>
    <w:rsid w:val="00535D7A"/>
    <w:rsid w:val="00540E73"/>
    <w:rsid w:val="005413CF"/>
    <w:rsid w:val="005414B0"/>
    <w:rsid w:val="005422E6"/>
    <w:rsid w:val="00542595"/>
    <w:rsid w:val="005425CD"/>
    <w:rsid w:val="00543758"/>
    <w:rsid w:val="00543C87"/>
    <w:rsid w:val="0054489F"/>
    <w:rsid w:val="00544DB5"/>
    <w:rsid w:val="00544FD6"/>
    <w:rsid w:val="005459A7"/>
    <w:rsid w:val="005459FC"/>
    <w:rsid w:val="0054709E"/>
    <w:rsid w:val="00552EF1"/>
    <w:rsid w:val="00556D6D"/>
    <w:rsid w:val="0056491C"/>
    <w:rsid w:val="00566721"/>
    <w:rsid w:val="00566FE3"/>
    <w:rsid w:val="00570051"/>
    <w:rsid w:val="00572024"/>
    <w:rsid w:val="00572F0E"/>
    <w:rsid w:val="005746C8"/>
    <w:rsid w:val="00574D43"/>
    <w:rsid w:val="00575298"/>
    <w:rsid w:val="00575332"/>
    <w:rsid w:val="00575B37"/>
    <w:rsid w:val="00576475"/>
    <w:rsid w:val="00576DF1"/>
    <w:rsid w:val="0057792C"/>
    <w:rsid w:val="005803CF"/>
    <w:rsid w:val="00580F58"/>
    <w:rsid w:val="00581294"/>
    <w:rsid w:val="00581552"/>
    <w:rsid w:val="00583FEE"/>
    <w:rsid w:val="0058426A"/>
    <w:rsid w:val="0058434F"/>
    <w:rsid w:val="005847B1"/>
    <w:rsid w:val="00586D79"/>
    <w:rsid w:val="005908E9"/>
    <w:rsid w:val="00591F94"/>
    <w:rsid w:val="00594E20"/>
    <w:rsid w:val="005951A5"/>
    <w:rsid w:val="0059575F"/>
    <w:rsid w:val="005A0EF9"/>
    <w:rsid w:val="005A1034"/>
    <w:rsid w:val="005A282E"/>
    <w:rsid w:val="005A2FE8"/>
    <w:rsid w:val="005A39D9"/>
    <w:rsid w:val="005A45C5"/>
    <w:rsid w:val="005A7935"/>
    <w:rsid w:val="005B0756"/>
    <w:rsid w:val="005B0F10"/>
    <w:rsid w:val="005B166E"/>
    <w:rsid w:val="005B1C9A"/>
    <w:rsid w:val="005B24E0"/>
    <w:rsid w:val="005B2920"/>
    <w:rsid w:val="005B3758"/>
    <w:rsid w:val="005B3F65"/>
    <w:rsid w:val="005B560D"/>
    <w:rsid w:val="005C08CE"/>
    <w:rsid w:val="005C0ADF"/>
    <w:rsid w:val="005C10EA"/>
    <w:rsid w:val="005C1865"/>
    <w:rsid w:val="005C3CC0"/>
    <w:rsid w:val="005C46C6"/>
    <w:rsid w:val="005C558B"/>
    <w:rsid w:val="005C61A4"/>
    <w:rsid w:val="005C7F4F"/>
    <w:rsid w:val="005D0017"/>
    <w:rsid w:val="005D180C"/>
    <w:rsid w:val="005D26B7"/>
    <w:rsid w:val="005D3987"/>
    <w:rsid w:val="005D5398"/>
    <w:rsid w:val="005D5509"/>
    <w:rsid w:val="005D58E8"/>
    <w:rsid w:val="005D5BB5"/>
    <w:rsid w:val="005D6870"/>
    <w:rsid w:val="005E06F9"/>
    <w:rsid w:val="005E0877"/>
    <w:rsid w:val="005E3216"/>
    <w:rsid w:val="005E32C6"/>
    <w:rsid w:val="005E3CDC"/>
    <w:rsid w:val="005E7498"/>
    <w:rsid w:val="005F0A7C"/>
    <w:rsid w:val="005F0BCA"/>
    <w:rsid w:val="005F0DB4"/>
    <w:rsid w:val="005F1002"/>
    <w:rsid w:val="005F132C"/>
    <w:rsid w:val="005F3787"/>
    <w:rsid w:val="005F515C"/>
    <w:rsid w:val="005F7C36"/>
    <w:rsid w:val="0060031D"/>
    <w:rsid w:val="0060050D"/>
    <w:rsid w:val="006008D1"/>
    <w:rsid w:val="00600DC9"/>
    <w:rsid w:val="00601B6F"/>
    <w:rsid w:val="00602DD4"/>
    <w:rsid w:val="006037E2"/>
    <w:rsid w:val="00603FB7"/>
    <w:rsid w:val="00605A9C"/>
    <w:rsid w:val="00605DA1"/>
    <w:rsid w:val="00606804"/>
    <w:rsid w:val="00607373"/>
    <w:rsid w:val="00610137"/>
    <w:rsid w:val="00611002"/>
    <w:rsid w:val="006161AC"/>
    <w:rsid w:val="006161D3"/>
    <w:rsid w:val="00616927"/>
    <w:rsid w:val="00620B4A"/>
    <w:rsid w:val="00620B4E"/>
    <w:rsid w:val="006231D2"/>
    <w:rsid w:val="00623E1C"/>
    <w:rsid w:val="006249E5"/>
    <w:rsid w:val="006249FC"/>
    <w:rsid w:val="00624AD5"/>
    <w:rsid w:val="00625E90"/>
    <w:rsid w:val="0062705E"/>
    <w:rsid w:val="00627E7D"/>
    <w:rsid w:val="00630EBD"/>
    <w:rsid w:val="00631CFA"/>
    <w:rsid w:val="00633500"/>
    <w:rsid w:val="0063450D"/>
    <w:rsid w:val="00640172"/>
    <w:rsid w:val="006443F8"/>
    <w:rsid w:val="00645299"/>
    <w:rsid w:val="006469BB"/>
    <w:rsid w:val="00646FB8"/>
    <w:rsid w:val="00650249"/>
    <w:rsid w:val="006509B1"/>
    <w:rsid w:val="0065152B"/>
    <w:rsid w:val="006531CF"/>
    <w:rsid w:val="006533EB"/>
    <w:rsid w:val="006556E6"/>
    <w:rsid w:val="00655BB4"/>
    <w:rsid w:val="00656F18"/>
    <w:rsid w:val="0065708F"/>
    <w:rsid w:val="0065719F"/>
    <w:rsid w:val="00657DD8"/>
    <w:rsid w:val="006630F7"/>
    <w:rsid w:val="00664F8A"/>
    <w:rsid w:val="006669DE"/>
    <w:rsid w:val="006671B9"/>
    <w:rsid w:val="0066790A"/>
    <w:rsid w:val="00671E04"/>
    <w:rsid w:val="0067274F"/>
    <w:rsid w:val="00672926"/>
    <w:rsid w:val="00672CFC"/>
    <w:rsid w:val="00676071"/>
    <w:rsid w:val="00680AA8"/>
    <w:rsid w:val="00680C15"/>
    <w:rsid w:val="00682145"/>
    <w:rsid w:val="0068387F"/>
    <w:rsid w:val="006842C4"/>
    <w:rsid w:val="00684804"/>
    <w:rsid w:val="00685AB6"/>
    <w:rsid w:val="0068629D"/>
    <w:rsid w:val="00687FD1"/>
    <w:rsid w:val="006901DF"/>
    <w:rsid w:val="00690BE9"/>
    <w:rsid w:val="00690D45"/>
    <w:rsid w:val="0069365F"/>
    <w:rsid w:val="0069395B"/>
    <w:rsid w:val="00694D25"/>
    <w:rsid w:val="00696083"/>
    <w:rsid w:val="0069666F"/>
    <w:rsid w:val="00696FE8"/>
    <w:rsid w:val="00697130"/>
    <w:rsid w:val="006A0415"/>
    <w:rsid w:val="006A0CBE"/>
    <w:rsid w:val="006A1B00"/>
    <w:rsid w:val="006A2669"/>
    <w:rsid w:val="006A362D"/>
    <w:rsid w:val="006A3858"/>
    <w:rsid w:val="006A406B"/>
    <w:rsid w:val="006A4E21"/>
    <w:rsid w:val="006A4EA4"/>
    <w:rsid w:val="006A5437"/>
    <w:rsid w:val="006A5701"/>
    <w:rsid w:val="006A7061"/>
    <w:rsid w:val="006B12A9"/>
    <w:rsid w:val="006B2B0D"/>
    <w:rsid w:val="006B530B"/>
    <w:rsid w:val="006C319C"/>
    <w:rsid w:val="006C5F04"/>
    <w:rsid w:val="006C651A"/>
    <w:rsid w:val="006D1B1D"/>
    <w:rsid w:val="006D2B20"/>
    <w:rsid w:val="006D43BB"/>
    <w:rsid w:val="006D466F"/>
    <w:rsid w:val="006D4916"/>
    <w:rsid w:val="006D62B5"/>
    <w:rsid w:val="006D7091"/>
    <w:rsid w:val="006E0D6B"/>
    <w:rsid w:val="006E3E5F"/>
    <w:rsid w:val="006E45B1"/>
    <w:rsid w:val="006E5C6A"/>
    <w:rsid w:val="006E61AA"/>
    <w:rsid w:val="006E7539"/>
    <w:rsid w:val="006F046F"/>
    <w:rsid w:val="006F04CB"/>
    <w:rsid w:val="006F2DF2"/>
    <w:rsid w:val="006F3C41"/>
    <w:rsid w:val="006F4142"/>
    <w:rsid w:val="006F55BE"/>
    <w:rsid w:val="006F5B86"/>
    <w:rsid w:val="006F6EB5"/>
    <w:rsid w:val="006F7C65"/>
    <w:rsid w:val="006F7EDA"/>
    <w:rsid w:val="00700159"/>
    <w:rsid w:val="007005E7"/>
    <w:rsid w:val="00700EA3"/>
    <w:rsid w:val="00702016"/>
    <w:rsid w:val="00702926"/>
    <w:rsid w:val="00702F42"/>
    <w:rsid w:val="0070339A"/>
    <w:rsid w:val="00704A36"/>
    <w:rsid w:val="00704DCC"/>
    <w:rsid w:val="00705304"/>
    <w:rsid w:val="00705AAD"/>
    <w:rsid w:val="007073AC"/>
    <w:rsid w:val="007114F6"/>
    <w:rsid w:val="00713707"/>
    <w:rsid w:val="0071707F"/>
    <w:rsid w:val="00717328"/>
    <w:rsid w:val="00717F36"/>
    <w:rsid w:val="0072080C"/>
    <w:rsid w:val="00721765"/>
    <w:rsid w:val="007220AC"/>
    <w:rsid w:val="00722359"/>
    <w:rsid w:val="00722AB4"/>
    <w:rsid w:val="00722F77"/>
    <w:rsid w:val="00724710"/>
    <w:rsid w:val="00724C2B"/>
    <w:rsid w:val="00725560"/>
    <w:rsid w:val="0072738E"/>
    <w:rsid w:val="00730529"/>
    <w:rsid w:val="007305C2"/>
    <w:rsid w:val="0073179F"/>
    <w:rsid w:val="00731956"/>
    <w:rsid w:val="007319B0"/>
    <w:rsid w:val="00732A70"/>
    <w:rsid w:val="00735190"/>
    <w:rsid w:val="007356FF"/>
    <w:rsid w:val="00742961"/>
    <w:rsid w:val="007466B0"/>
    <w:rsid w:val="00750038"/>
    <w:rsid w:val="007504FD"/>
    <w:rsid w:val="00751D5C"/>
    <w:rsid w:val="00751E43"/>
    <w:rsid w:val="00752991"/>
    <w:rsid w:val="0075399C"/>
    <w:rsid w:val="00754A92"/>
    <w:rsid w:val="00757E32"/>
    <w:rsid w:val="00761BDD"/>
    <w:rsid w:val="007664BA"/>
    <w:rsid w:val="00766702"/>
    <w:rsid w:val="00766870"/>
    <w:rsid w:val="007670C3"/>
    <w:rsid w:val="00767F92"/>
    <w:rsid w:val="007701B0"/>
    <w:rsid w:val="00771A4C"/>
    <w:rsid w:val="00771B7E"/>
    <w:rsid w:val="00773DFC"/>
    <w:rsid w:val="00774105"/>
    <w:rsid w:val="0077562C"/>
    <w:rsid w:val="007779A0"/>
    <w:rsid w:val="00777ABE"/>
    <w:rsid w:val="00780FB5"/>
    <w:rsid w:val="007821DF"/>
    <w:rsid w:val="007828E7"/>
    <w:rsid w:val="00782FF4"/>
    <w:rsid w:val="00783837"/>
    <w:rsid w:val="00783B41"/>
    <w:rsid w:val="007847CA"/>
    <w:rsid w:val="00784CDC"/>
    <w:rsid w:val="00785AC3"/>
    <w:rsid w:val="007867AC"/>
    <w:rsid w:val="00786FB5"/>
    <w:rsid w:val="007902CE"/>
    <w:rsid w:val="0079055B"/>
    <w:rsid w:val="00790931"/>
    <w:rsid w:val="00790F1E"/>
    <w:rsid w:val="00791E9C"/>
    <w:rsid w:val="0079478F"/>
    <w:rsid w:val="00794DBC"/>
    <w:rsid w:val="00795651"/>
    <w:rsid w:val="007956C0"/>
    <w:rsid w:val="00796844"/>
    <w:rsid w:val="00797A66"/>
    <w:rsid w:val="00797E05"/>
    <w:rsid w:val="007A081A"/>
    <w:rsid w:val="007A1EB3"/>
    <w:rsid w:val="007A386E"/>
    <w:rsid w:val="007A3C9C"/>
    <w:rsid w:val="007A6D93"/>
    <w:rsid w:val="007A7583"/>
    <w:rsid w:val="007A7E57"/>
    <w:rsid w:val="007B1D41"/>
    <w:rsid w:val="007B541F"/>
    <w:rsid w:val="007B5875"/>
    <w:rsid w:val="007C266B"/>
    <w:rsid w:val="007C44EE"/>
    <w:rsid w:val="007C6E29"/>
    <w:rsid w:val="007D10F2"/>
    <w:rsid w:val="007D15EB"/>
    <w:rsid w:val="007D1752"/>
    <w:rsid w:val="007D1A40"/>
    <w:rsid w:val="007D2D9A"/>
    <w:rsid w:val="007D349A"/>
    <w:rsid w:val="007D3669"/>
    <w:rsid w:val="007D52B4"/>
    <w:rsid w:val="007D670F"/>
    <w:rsid w:val="007D7CAC"/>
    <w:rsid w:val="007D7CC3"/>
    <w:rsid w:val="007E1C5A"/>
    <w:rsid w:val="007E22B7"/>
    <w:rsid w:val="007E550D"/>
    <w:rsid w:val="007E644A"/>
    <w:rsid w:val="007E7533"/>
    <w:rsid w:val="007E7ABF"/>
    <w:rsid w:val="007F2158"/>
    <w:rsid w:val="007F2166"/>
    <w:rsid w:val="007F2D0A"/>
    <w:rsid w:val="007F3D68"/>
    <w:rsid w:val="007F7657"/>
    <w:rsid w:val="007F7766"/>
    <w:rsid w:val="00800BFB"/>
    <w:rsid w:val="008010E1"/>
    <w:rsid w:val="0080360C"/>
    <w:rsid w:val="0080431D"/>
    <w:rsid w:val="008043B6"/>
    <w:rsid w:val="0080444B"/>
    <w:rsid w:val="00805B0D"/>
    <w:rsid w:val="00806A41"/>
    <w:rsid w:val="00807EE2"/>
    <w:rsid w:val="008120AC"/>
    <w:rsid w:val="008162DF"/>
    <w:rsid w:val="008174B3"/>
    <w:rsid w:val="0082107D"/>
    <w:rsid w:val="0082419B"/>
    <w:rsid w:val="008243F7"/>
    <w:rsid w:val="00824553"/>
    <w:rsid w:val="00824EF4"/>
    <w:rsid w:val="00825137"/>
    <w:rsid w:val="008275F5"/>
    <w:rsid w:val="008300FB"/>
    <w:rsid w:val="00830DDF"/>
    <w:rsid w:val="00831C1C"/>
    <w:rsid w:val="00832610"/>
    <w:rsid w:val="0083390D"/>
    <w:rsid w:val="0083537F"/>
    <w:rsid w:val="0083777D"/>
    <w:rsid w:val="00837CD4"/>
    <w:rsid w:val="00843635"/>
    <w:rsid w:val="008436D4"/>
    <w:rsid w:val="00843E21"/>
    <w:rsid w:val="008458AA"/>
    <w:rsid w:val="00847667"/>
    <w:rsid w:val="008479D0"/>
    <w:rsid w:val="00847D37"/>
    <w:rsid w:val="00850C5A"/>
    <w:rsid w:val="00851FED"/>
    <w:rsid w:val="00852513"/>
    <w:rsid w:val="00852AAD"/>
    <w:rsid w:val="008535F9"/>
    <w:rsid w:val="008538B2"/>
    <w:rsid w:val="00853BD3"/>
    <w:rsid w:val="008541E4"/>
    <w:rsid w:val="00854382"/>
    <w:rsid w:val="00855983"/>
    <w:rsid w:val="00857263"/>
    <w:rsid w:val="008611E5"/>
    <w:rsid w:val="00861497"/>
    <w:rsid w:val="00866932"/>
    <w:rsid w:val="00866A7F"/>
    <w:rsid w:val="00866D2A"/>
    <w:rsid w:val="00871033"/>
    <w:rsid w:val="00871F96"/>
    <w:rsid w:val="00875D6F"/>
    <w:rsid w:val="0087604D"/>
    <w:rsid w:val="00880318"/>
    <w:rsid w:val="0088301C"/>
    <w:rsid w:val="0088312D"/>
    <w:rsid w:val="00883DCE"/>
    <w:rsid w:val="0088445C"/>
    <w:rsid w:val="00884CF4"/>
    <w:rsid w:val="00885071"/>
    <w:rsid w:val="00886DD6"/>
    <w:rsid w:val="00887784"/>
    <w:rsid w:val="00894BD2"/>
    <w:rsid w:val="00895652"/>
    <w:rsid w:val="00896FBB"/>
    <w:rsid w:val="00897B21"/>
    <w:rsid w:val="008A04B7"/>
    <w:rsid w:val="008A083D"/>
    <w:rsid w:val="008A15BB"/>
    <w:rsid w:val="008A35C4"/>
    <w:rsid w:val="008A5AF5"/>
    <w:rsid w:val="008A5E76"/>
    <w:rsid w:val="008B0958"/>
    <w:rsid w:val="008B1880"/>
    <w:rsid w:val="008B3DB2"/>
    <w:rsid w:val="008C0E9D"/>
    <w:rsid w:val="008C1282"/>
    <w:rsid w:val="008C2075"/>
    <w:rsid w:val="008C247A"/>
    <w:rsid w:val="008C247E"/>
    <w:rsid w:val="008C2C4D"/>
    <w:rsid w:val="008C393B"/>
    <w:rsid w:val="008C3A2A"/>
    <w:rsid w:val="008C475F"/>
    <w:rsid w:val="008C4FB4"/>
    <w:rsid w:val="008C6CE4"/>
    <w:rsid w:val="008C7F6C"/>
    <w:rsid w:val="008D208B"/>
    <w:rsid w:val="008E1C1E"/>
    <w:rsid w:val="008E30B9"/>
    <w:rsid w:val="008E3466"/>
    <w:rsid w:val="008E3756"/>
    <w:rsid w:val="008E3A04"/>
    <w:rsid w:val="008E71BD"/>
    <w:rsid w:val="008E74C3"/>
    <w:rsid w:val="008E7A82"/>
    <w:rsid w:val="008F0CC9"/>
    <w:rsid w:val="008F1E2E"/>
    <w:rsid w:val="008F2C50"/>
    <w:rsid w:val="008F56C3"/>
    <w:rsid w:val="008F780A"/>
    <w:rsid w:val="008F7B26"/>
    <w:rsid w:val="0090035F"/>
    <w:rsid w:val="00900817"/>
    <w:rsid w:val="00900A01"/>
    <w:rsid w:val="00901C11"/>
    <w:rsid w:val="00901FEA"/>
    <w:rsid w:val="00902F02"/>
    <w:rsid w:val="00904AA3"/>
    <w:rsid w:val="00905F91"/>
    <w:rsid w:val="00907687"/>
    <w:rsid w:val="00913071"/>
    <w:rsid w:val="009136BA"/>
    <w:rsid w:val="00913B74"/>
    <w:rsid w:val="0091406E"/>
    <w:rsid w:val="00916A32"/>
    <w:rsid w:val="00927C98"/>
    <w:rsid w:val="009307CD"/>
    <w:rsid w:val="0093423E"/>
    <w:rsid w:val="0093490A"/>
    <w:rsid w:val="00936D34"/>
    <w:rsid w:val="00937126"/>
    <w:rsid w:val="00941C5F"/>
    <w:rsid w:val="00942500"/>
    <w:rsid w:val="00944EF5"/>
    <w:rsid w:val="009452FE"/>
    <w:rsid w:val="00950F5C"/>
    <w:rsid w:val="009512EC"/>
    <w:rsid w:val="009514DA"/>
    <w:rsid w:val="00951BBA"/>
    <w:rsid w:val="00952106"/>
    <w:rsid w:val="00955619"/>
    <w:rsid w:val="009605CF"/>
    <w:rsid w:val="00961A39"/>
    <w:rsid w:val="00961E73"/>
    <w:rsid w:val="009626FA"/>
    <w:rsid w:val="00963325"/>
    <w:rsid w:val="009672E5"/>
    <w:rsid w:val="00970C02"/>
    <w:rsid w:val="00970FE5"/>
    <w:rsid w:val="00971037"/>
    <w:rsid w:val="00972417"/>
    <w:rsid w:val="00973379"/>
    <w:rsid w:val="00973E40"/>
    <w:rsid w:val="00977E3A"/>
    <w:rsid w:val="009808DB"/>
    <w:rsid w:val="00981368"/>
    <w:rsid w:val="00981E7A"/>
    <w:rsid w:val="009844AD"/>
    <w:rsid w:val="00984AD6"/>
    <w:rsid w:val="0098571F"/>
    <w:rsid w:val="00986DA7"/>
    <w:rsid w:val="00987422"/>
    <w:rsid w:val="00991AA7"/>
    <w:rsid w:val="00991F8C"/>
    <w:rsid w:val="009940E2"/>
    <w:rsid w:val="00994ACB"/>
    <w:rsid w:val="00995B35"/>
    <w:rsid w:val="009960AB"/>
    <w:rsid w:val="009A0510"/>
    <w:rsid w:val="009A1C1C"/>
    <w:rsid w:val="009A3D38"/>
    <w:rsid w:val="009A3E5B"/>
    <w:rsid w:val="009A46F5"/>
    <w:rsid w:val="009A4966"/>
    <w:rsid w:val="009A5713"/>
    <w:rsid w:val="009A5942"/>
    <w:rsid w:val="009A62A0"/>
    <w:rsid w:val="009A79FD"/>
    <w:rsid w:val="009B0A61"/>
    <w:rsid w:val="009B247C"/>
    <w:rsid w:val="009B29C1"/>
    <w:rsid w:val="009B2B38"/>
    <w:rsid w:val="009B35F5"/>
    <w:rsid w:val="009B3650"/>
    <w:rsid w:val="009B4F19"/>
    <w:rsid w:val="009B5ED6"/>
    <w:rsid w:val="009B6085"/>
    <w:rsid w:val="009B7075"/>
    <w:rsid w:val="009C0779"/>
    <w:rsid w:val="009C0924"/>
    <w:rsid w:val="009C09B2"/>
    <w:rsid w:val="009C233C"/>
    <w:rsid w:val="009C3D70"/>
    <w:rsid w:val="009C4C50"/>
    <w:rsid w:val="009C62FC"/>
    <w:rsid w:val="009C6E1B"/>
    <w:rsid w:val="009D1246"/>
    <w:rsid w:val="009D1620"/>
    <w:rsid w:val="009D2DE8"/>
    <w:rsid w:val="009D35F1"/>
    <w:rsid w:val="009D5AC0"/>
    <w:rsid w:val="009D5C16"/>
    <w:rsid w:val="009D748E"/>
    <w:rsid w:val="009E02D2"/>
    <w:rsid w:val="009E1F3C"/>
    <w:rsid w:val="009E46C2"/>
    <w:rsid w:val="009E5EB8"/>
    <w:rsid w:val="009E656C"/>
    <w:rsid w:val="009F20D7"/>
    <w:rsid w:val="009F2B32"/>
    <w:rsid w:val="009F3B5F"/>
    <w:rsid w:val="009F487E"/>
    <w:rsid w:val="009F5E38"/>
    <w:rsid w:val="009F5ED7"/>
    <w:rsid w:val="009F6F94"/>
    <w:rsid w:val="009F7ADF"/>
    <w:rsid w:val="00A01479"/>
    <w:rsid w:val="00A024CF"/>
    <w:rsid w:val="00A02E76"/>
    <w:rsid w:val="00A04B1F"/>
    <w:rsid w:val="00A05107"/>
    <w:rsid w:val="00A129B3"/>
    <w:rsid w:val="00A13558"/>
    <w:rsid w:val="00A139AC"/>
    <w:rsid w:val="00A13CBB"/>
    <w:rsid w:val="00A14458"/>
    <w:rsid w:val="00A14ABF"/>
    <w:rsid w:val="00A155CD"/>
    <w:rsid w:val="00A16AEE"/>
    <w:rsid w:val="00A16CBF"/>
    <w:rsid w:val="00A16EBC"/>
    <w:rsid w:val="00A2027F"/>
    <w:rsid w:val="00A21937"/>
    <w:rsid w:val="00A24635"/>
    <w:rsid w:val="00A2581C"/>
    <w:rsid w:val="00A275EA"/>
    <w:rsid w:val="00A32523"/>
    <w:rsid w:val="00A32BCD"/>
    <w:rsid w:val="00A3311F"/>
    <w:rsid w:val="00A33681"/>
    <w:rsid w:val="00A34503"/>
    <w:rsid w:val="00A364BD"/>
    <w:rsid w:val="00A36AB7"/>
    <w:rsid w:val="00A37939"/>
    <w:rsid w:val="00A37995"/>
    <w:rsid w:val="00A43605"/>
    <w:rsid w:val="00A43C68"/>
    <w:rsid w:val="00A46C60"/>
    <w:rsid w:val="00A50D93"/>
    <w:rsid w:val="00A53A48"/>
    <w:rsid w:val="00A54F8E"/>
    <w:rsid w:val="00A55732"/>
    <w:rsid w:val="00A579E6"/>
    <w:rsid w:val="00A60177"/>
    <w:rsid w:val="00A60977"/>
    <w:rsid w:val="00A60D34"/>
    <w:rsid w:val="00A60EDC"/>
    <w:rsid w:val="00A61C0F"/>
    <w:rsid w:val="00A638E3"/>
    <w:rsid w:val="00A67DF3"/>
    <w:rsid w:val="00A7142C"/>
    <w:rsid w:val="00A72DE3"/>
    <w:rsid w:val="00A73617"/>
    <w:rsid w:val="00A73C98"/>
    <w:rsid w:val="00A751AB"/>
    <w:rsid w:val="00A758D3"/>
    <w:rsid w:val="00A77D80"/>
    <w:rsid w:val="00A80100"/>
    <w:rsid w:val="00A815A6"/>
    <w:rsid w:val="00A815D7"/>
    <w:rsid w:val="00A8235D"/>
    <w:rsid w:val="00A83E00"/>
    <w:rsid w:val="00A83F55"/>
    <w:rsid w:val="00A84832"/>
    <w:rsid w:val="00A85A12"/>
    <w:rsid w:val="00A91F66"/>
    <w:rsid w:val="00A94FCB"/>
    <w:rsid w:val="00A97DC3"/>
    <w:rsid w:val="00AA329E"/>
    <w:rsid w:val="00AA340E"/>
    <w:rsid w:val="00AA3FB8"/>
    <w:rsid w:val="00AA5B76"/>
    <w:rsid w:val="00AA5E4B"/>
    <w:rsid w:val="00AA62FF"/>
    <w:rsid w:val="00AA6EB3"/>
    <w:rsid w:val="00AA6FBC"/>
    <w:rsid w:val="00AB16A8"/>
    <w:rsid w:val="00AB2F65"/>
    <w:rsid w:val="00AB375F"/>
    <w:rsid w:val="00AB44B3"/>
    <w:rsid w:val="00AB499A"/>
    <w:rsid w:val="00AB5F7E"/>
    <w:rsid w:val="00AC17B9"/>
    <w:rsid w:val="00AC1CAF"/>
    <w:rsid w:val="00AC49B7"/>
    <w:rsid w:val="00AC4A8D"/>
    <w:rsid w:val="00AD0993"/>
    <w:rsid w:val="00AD0BD3"/>
    <w:rsid w:val="00AD2140"/>
    <w:rsid w:val="00AD2EEC"/>
    <w:rsid w:val="00AD3CD7"/>
    <w:rsid w:val="00AD4D67"/>
    <w:rsid w:val="00AD5041"/>
    <w:rsid w:val="00AD6203"/>
    <w:rsid w:val="00AD6A47"/>
    <w:rsid w:val="00AD7678"/>
    <w:rsid w:val="00AD793E"/>
    <w:rsid w:val="00AE10F1"/>
    <w:rsid w:val="00AE1D2D"/>
    <w:rsid w:val="00AE1DE6"/>
    <w:rsid w:val="00AE2052"/>
    <w:rsid w:val="00AE27AB"/>
    <w:rsid w:val="00AE27F7"/>
    <w:rsid w:val="00AE513E"/>
    <w:rsid w:val="00AF1598"/>
    <w:rsid w:val="00AF6803"/>
    <w:rsid w:val="00AF68A1"/>
    <w:rsid w:val="00AF6A3A"/>
    <w:rsid w:val="00AF7087"/>
    <w:rsid w:val="00B01134"/>
    <w:rsid w:val="00B01E38"/>
    <w:rsid w:val="00B0261C"/>
    <w:rsid w:val="00B02B3E"/>
    <w:rsid w:val="00B032A0"/>
    <w:rsid w:val="00B04ABB"/>
    <w:rsid w:val="00B06499"/>
    <w:rsid w:val="00B0714F"/>
    <w:rsid w:val="00B071B5"/>
    <w:rsid w:val="00B0798E"/>
    <w:rsid w:val="00B10204"/>
    <w:rsid w:val="00B10280"/>
    <w:rsid w:val="00B10BFF"/>
    <w:rsid w:val="00B13FE9"/>
    <w:rsid w:val="00B14A4E"/>
    <w:rsid w:val="00B14A9F"/>
    <w:rsid w:val="00B15007"/>
    <w:rsid w:val="00B1584C"/>
    <w:rsid w:val="00B160A8"/>
    <w:rsid w:val="00B16311"/>
    <w:rsid w:val="00B1775B"/>
    <w:rsid w:val="00B17AA3"/>
    <w:rsid w:val="00B17C94"/>
    <w:rsid w:val="00B205A5"/>
    <w:rsid w:val="00B20E69"/>
    <w:rsid w:val="00B21EEC"/>
    <w:rsid w:val="00B22A35"/>
    <w:rsid w:val="00B24925"/>
    <w:rsid w:val="00B306D2"/>
    <w:rsid w:val="00B30B41"/>
    <w:rsid w:val="00B3350F"/>
    <w:rsid w:val="00B35F1D"/>
    <w:rsid w:val="00B414ED"/>
    <w:rsid w:val="00B445C4"/>
    <w:rsid w:val="00B446EB"/>
    <w:rsid w:val="00B465C3"/>
    <w:rsid w:val="00B46852"/>
    <w:rsid w:val="00B46B4E"/>
    <w:rsid w:val="00B47956"/>
    <w:rsid w:val="00B507A0"/>
    <w:rsid w:val="00B50F24"/>
    <w:rsid w:val="00B51284"/>
    <w:rsid w:val="00B5242B"/>
    <w:rsid w:val="00B52777"/>
    <w:rsid w:val="00B5293C"/>
    <w:rsid w:val="00B5344A"/>
    <w:rsid w:val="00B543DF"/>
    <w:rsid w:val="00B56575"/>
    <w:rsid w:val="00B56C8B"/>
    <w:rsid w:val="00B576DC"/>
    <w:rsid w:val="00B57F26"/>
    <w:rsid w:val="00B60568"/>
    <w:rsid w:val="00B62D12"/>
    <w:rsid w:val="00B63DDB"/>
    <w:rsid w:val="00B63F69"/>
    <w:rsid w:val="00B64200"/>
    <w:rsid w:val="00B650C3"/>
    <w:rsid w:val="00B6588A"/>
    <w:rsid w:val="00B66BAD"/>
    <w:rsid w:val="00B6722E"/>
    <w:rsid w:val="00B67941"/>
    <w:rsid w:val="00B67C8B"/>
    <w:rsid w:val="00B71938"/>
    <w:rsid w:val="00B72294"/>
    <w:rsid w:val="00B72FA2"/>
    <w:rsid w:val="00B751D2"/>
    <w:rsid w:val="00B7653A"/>
    <w:rsid w:val="00B76AC7"/>
    <w:rsid w:val="00B77055"/>
    <w:rsid w:val="00B816D9"/>
    <w:rsid w:val="00B82590"/>
    <w:rsid w:val="00B83A71"/>
    <w:rsid w:val="00B83ABC"/>
    <w:rsid w:val="00B83E03"/>
    <w:rsid w:val="00B859FF"/>
    <w:rsid w:val="00B87494"/>
    <w:rsid w:val="00B91CF2"/>
    <w:rsid w:val="00B942B0"/>
    <w:rsid w:val="00B9447A"/>
    <w:rsid w:val="00B97CEE"/>
    <w:rsid w:val="00BA2944"/>
    <w:rsid w:val="00BA322D"/>
    <w:rsid w:val="00BA3533"/>
    <w:rsid w:val="00BA37C4"/>
    <w:rsid w:val="00BA38CE"/>
    <w:rsid w:val="00BA39FE"/>
    <w:rsid w:val="00BA4FCB"/>
    <w:rsid w:val="00BA564A"/>
    <w:rsid w:val="00BA6608"/>
    <w:rsid w:val="00BA69BA"/>
    <w:rsid w:val="00BA735D"/>
    <w:rsid w:val="00BA7D4C"/>
    <w:rsid w:val="00BB0691"/>
    <w:rsid w:val="00BB17B2"/>
    <w:rsid w:val="00BB5B20"/>
    <w:rsid w:val="00BB5C67"/>
    <w:rsid w:val="00BB7E3C"/>
    <w:rsid w:val="00BC198A"/>
    <w:rsid w:val="00BC3228"/>
    <w:rsid w:val="00BC33A5"/>
    <w:rsid w:val="00BC508B"/>
    <w:rsid w:val="00BC782B"/>
    <w:rsid w:val="00BC782D"/>
    <w:rsid w:val="00BD23F7"/>
    <w:rsid w:val="00BD415C"/>
    <w:rsid w:val="00BD5C01"/>
    <w:rsid w:val="00BD5E34"/>
    <w:rsid w:val="00BE0C62"/>
    <w:rsid w:val="00BE3037"/>
    <w:rsid w:val="00BE3F21"/>
    <w:rsid w:val="00BE4D3F"/>
    <w:rsid w:val="00BE57C6"/>
    <w:rsid w:val="00BE767D"/>
    <w:rsid w:val="00BF065A"/>
    <w:rsid w:val="00BF0D95"/>
    <w:rsid w:val="00BF22AF"/>
    <w:rsid w:val="00BF47BA"/>
    <w:rsid w:val="00BF5184"/>
    <w:rsid w:val="00BF52DE"/>
    <w:rsid w:val="00BF73BF"/>
    <w:rsid w:val="00C0077C"/>
    <w:rsid w:val="00C00FC2"/>
    <w:rsid w:val="00C022A7"/>
    <w:rsid w:val="00C0319C"/>
    <w:rsid w:val="00C03447"/>
    <w:rsid w:val="00C03D72"/>
    <w:rsid w:val="00C04567"/>
    <w:rsid w:val="00C049A3"/>
    <w:rsid w:val="00C05E06"/>
    <w:rsid w:val="00C06735"/>
    <w:rsid w:val="00C067E7"/>
    <w:rsid w:val="00C06E58"/>
    <w:rsid w:val="00C06F05"/>
    <w:rsid w:val="00C07640"/>
    <w:rsid w:val="00C121FF"/>
    <w:rsid w:val="00C123F6"/>
    <w:rsid w:val="00C124FD"/>
    <w:rsid w:val="00C125DC"/>
    <w:rsid w:val="00C159D6"/>
    <w:rsid w:val="00C15D33"/>
    <w:rsid w:val="00C17A72"/>
    <w:rsid w:val="00C2030B"/>
    <w:rsid w:val="00C2098E"/>
    <w:rsid w:val="00C2152E"/>
    <w:rsid w:val="00C22DC2"/>
    <w:rsid w:val="00C23312"/>
    <w:rsid w:val="00C23B5B"/>
    <w:rsid w:val="00C23B60"/>
    <w:rsid w:val="00C246BC"/>
    <w:rsid w:val="00C25559"/>
    <w:rsid w:val="00C25A7C"/>
    <w:rsid w:val="00C2779B"/>
    <w:rsid w:val="00C30EFF"/>
    <w:rsid w:val="00C32EE8"/>
    <w:rsid w:val="00C351A4"/>
    <w:rsid w:val="00C355B4"/>
    <w:rsid w:val="00C368E9"/>
    <w:rsid w:val="00C37A88"/>
    <w:rsid w:val="00C37C20"/>
    <w:rsid w:val="00C37CA8"/>
    <w:rsid w:val="00C41E52"/>
    <w:rsid w:val="00C42289"/>
    <w:rsid w:val="00C44748"/>
    <w:rsid w:val="00C44B3C"/>
    <w:rsid w:val="00C45F89"/>
    <w:rsid w:val="00C50CC1"/>
    <w:rsid w:val="00C5225A"/>
    <w:rsid w:val="00C52270"/>
    <w:rsid w:val="00C53F65"/>
    <w:rsid w:val="00C55A1F"/>
    <w:rsid w:val="00C561D5"/>
    <w:rsid w:val="00C61230"/>
    <w:rsid w:val="00C6196A"/>
    <w:rsid w:val="00C634E8"/>
    <w:rsid w:val="00C63EA8"/>
    <w:rsid w:val="00C65D8E"/>
    <w:rsid w:val="00C66302"/>
    <w:rsid w:val="00C67BBA"/>
    <w:rsid w:val="00C70E2A"/>
    <w:rsid w:val="00C74A40"/>
    <w:rsid w:val="00C7653D"/>
    <w:rsid w:val="00C76F4E"/>
    <w:rsid w:val="00C80517"/>
    <w:rsid w:val="00C84A13"/>
    <w:rsid w:val="00C87C1A"/>
    <w:rsid w:val="00C9222A"/>
    <w:rsid w:val="00C93487"/>
    <w:rsid w:val="00C952AE"/>
    <w:rsid w:val="00C95B50"/>
    <w:rsid w:val="00C96C3C"/>
    <w:rsid w:val="00C97D64"/>
    <w:rsid w:val="00CA21AE"/>
    <w:rsid w:val="00CA256B"/>
    <w:rsid w:val="00CA268A"/>
    <w:rsid w:val="00CA2B8F"/>
    <w:rsid w:val="00CA3B1E"/>
    <w:rsid w:val="00CA4480"/>
    <w:rsid w:val="00CA65F8"/>
    <w:rsid w:val="00CB0935"/>
    <w:rsid w:val="00CB0E03"/>
    <w:rsid w:val="00CB2288"/>
    <w:rsid w:val="00CB3569"/>
    <w:rsid w:val="00CB5288"/>
    <w:rsid w:val="00CB57A6"/>
    <w:rsid w:val="00CB6295"/>
    <w:rsid w:val="00CB6D6C"/>
    <w:rsid w:val="00CB7114"/>
    <w:rsid w:val="00CC1B36"/>
    <w:rsid w:val="00CC2307"/>
    <w:rsid w:val="00CC58F0"/>
    <w:rsid w:val="00CC7DE2"/>
    <w:rsid w:val="00CC7DFF"/>
    <w:rsid w:val="00CD04A3"/>
    <w:rsid w:val="00CD14AF"/>
    <w:rsid w:val="00CD1C74"/>
    <w:rsid w:val="00CD2880"/>
    <w:rsid w:val="00CD343C"/>
    <w:rsid w:val="00CD43C9"/>
    <w:rsid w:val="00CD4FC1"/>
    <w:rsid w:val="00CE0974"/>
    <w:rsid w:val="00CE3026"/>
    <w:rsid w:val="00CE316B"/>
    <w:rsid w:val="00CE3BB9"/>
    <w:rsid w:val="00CE4D45"/>
    <w:rsid w:val="00CE5216"/>
    <w:rsid w:val="00CE57AE"/>
    <w:rsid w:val="00CE7616"/>
    <w:rsid w:val="00CF0043"/>
    <w:rsid w:val="00CF08D8"/>
    <w:rsid w:val="00CF26E7"/>
    <w:rsid w:val="00CF4339"/>
    <w:rsid w:val="00CF5A83"/>
    <w:rsid w:val="00CF63B0"/>
    <w:rsid w:val="00D00CF9"/>
    <w:rsid w:val="00D00E71"/>
    <w:rsid w:val="00D012BC"/>
    <w:rsid w:val="00D01702"/>
    <w:rsid w:val="00D0293D"/>
    <w:rsid w:val="00D05C93"/>
    <w:rsid w:val="00D079FF"/>
    <w:rsid w:val="00D118F1"/>
    <w:rsid w:val="00D11FB8"/>
    <w:rsid w:val="00D1216F"/>
    <w:rsid w:val="00D12A59"/>
    <w:rsid w:val="00D13D1A"/>
    <w:rsid w:val="00D141DC"/>
    <w:rsid w:val="00D17278"/>
    <w:rsid w:val="00D173F7"/>
    <w:rsid w:val="00D20458"/>
    <w:rsid w:val="00D20C74"/>
    <w:rsid w:val="00D2413C"/>
    <w:rsid w:val="00D24768"/>
    <w:rsid w:val="00D25001"/>
    <w:rsid w:val="00D30093"/>
    <w:rsid w:val="00D30D93"/>
    <w:rsid w:val="00D34EBA"/>
    <w:rsid w:val="00D37376"/>
    <w:rsid w:val="00D4157F"/>
    <w:rsid w:val="00D41F13"/>
    <w:rsid w:val="00D44780"/>
    <w:rsid w:val="00D452E1"/>
    <w:rsid w:val="00D471D4"/>
    <w:rsid w:val="00D477C7"/>
    <w:rsid w:val="00D47B2E"/>
    <w:rsid w:val="00D47BC8"/>
    <w:rsid w:val="00D50257"/>
    <w:rsid w:val="00D52506"/>
    <w:rsid w:val="00D52887"/>
    <w:rsid w:val="00D5318C"/>
    <w:rsid w:val="00D558B4"/>
    <w:rsid w:val="00D560C9"/>
    <w:rsid w:val="00D65D33"/>
    <w:rsid w:val="00D67D82"/>
    <w:rsid w:val="00D700CA"/>
    <w:rsid w:val="00D707D3"/>
    <w:rsid w:val="00D7340D"/>
    <w:rsid w:val="00D73EF2"/>
    <w:rsid w:val="00D81591"/>
    <w:rsid w:val="00D82BBB"/>
    <w:rsid w:val="00D83293"/>
    <w:rsid w:val="00D84E45"/>
    <w:rsid w:val="00D8785D"/>
    <w:rsid w:val="00D91C59"/>
    <w:rsid w:val="00D91E1F"/>
    <w:rsid w:val="00D924D3"/>
    <w:rsid w:val="00D97715"/>
    <w:rsid w:val="00D97C56"/>
    <w:rsid w:val="00D97CCC"/>
    <w:rsid w:val="00D97F70"/>
    <w:rsid w:val="00DA1599"/>
    <w:rsid w:val="00DA36BF"/>
    <w:rsid w:val="00DA417B"/>
    <w:rsid w:val="00DA453A"/>
    <w:rsid w:val="00DA4A1A"/>
    <w:rsid w:val="00DA4D78"/>
    <w:rsid w:val="00DA4FD1"/>
    <w:rsid w:val="00DA5C0A"/>
    <w:rsid w:val="00DB0A6A"/>
    <w:rsid w:val="00DB20F9"/>
    <w:rsid w:val="00DB26B7"/>
    <w:rsid w:val="00DB2809"/>
    <w:rsid w:val="00DB3894"/>
    <w:rsid w:val="00DB4FD0"/>
    <w:rsid w:val="00DB6E9B"/>
    <w:rsid w:val="00DC29A9"/>
    <w:rsid w:val="00DC2AD6"/>
    <w:rsid w:val="00DC30C1"/>
    <w:rsid w:val="00DC4B26"/>
    <w:rsid w:val="00DC5B1C"/>
    <w:rsid w:val="00DC5C24"/>
    <w:rsid w:val="00DC6777"/>
    <w:rsid w:val="00DC6ABD"/>
    <w:rsid w:val="00DC7564"/>
    <w:rsid w:val="00DD1D19"/>
    <w:rsid w:val="00DD244B"/>
    <w:rsid w:val="00DD3F42"/>
    <w:rsid w:val="00DD6D2D"/>
    <w:rsid w:val="00DE1620"/>
    <w:rsid w:val="00DE2076"/>
    <w:rsid w:val="00DE20E3"/>
    <w:rsid w:val="00DE2808"/>
    <w:rsid w:val="00DE2C73"/>
    <w:rsid w:val="00DE2ECA"/>
    <w:rsid w:val="00DE3B10"/>
    <w:rsid w:val="00DE4A4A"/>
    <w:rsid w:val="00DE4FCF"/>
    <w:rsid w:val="00DE79CD"/>
    <w:rsid w:val="00DF03B5"/>
    <w:rsid w:val="00DF1338"/>
    <w:rsid w:val="00DF2FFC"/>
    <w:rsid w:val="00DF361A"/>
    <w:rsid w:val="00DF36AD"/>
    <w:rsid w:val="00DF3FA4"/>
    <w:rsid w:val="00DF6140"/>
    <w:rsid w:val="00E012A5"/>
    <w:rsid w:val="00E0317A"/>
    <w:rsid w:val="00E05AB0"/>
    <w:rsid w:val="00E10082"/>
    <w:rsid w:val="00E10431"/>
    <w:rsid w:val="00E108AC"/>
    <w:rsid w:val="00E113BB"/>
    <w:rsid w:val="00E116F0"/>
    <w:rsid w:val="00E11B43"/>
    <w:rsid w:val="00E13783"/>
    <w:rsid w:val="00E15268"/>
    <w:rsid w:val="00E15F93"/>
    <w:rsid w:val="00E1702D"/>
    <w:rsid w:val="00E20419"/>
    <w:rsid w:val="00E206B4"/>
    <w:rsid w:val="00E226CD"/>
    <w:rsid w:val="00E2291F"/>
    <w:rsid w:val="00E233AE"/>
    <w:rsid w:val="00E24736"/>
    <w:rsid w:val="00E24ED0"/>
    <w:rsid w:val="00E303B1"/>
    <w:rsid w:val="00E30BF5"/>
    <w:rsid w:val="00E316A2"/>
    <w:rsid w:val="00E31DB8"/>
    <w:rsid w:val="00E32519"/>
    <w:rsid w:val="00E334B2"/>
    <w:rsid w:val="00E35C27"/>
    <w:rsid w:val="00E36A6B"/>
    <w:rsid w:val="00E415AE"/>
    <w:rsid w:val="00E42EBB"/>
    <w:rsid w:val="00E44A54"/>
    <w:rsid w:val="00E44D51"/>
    <w:rsid w:val="00E45999"/>
    <w:rsid w:val="00E46E45"/>
    <w:rsid w:val="00E4769C"/>
    <w:rsid w:val="00E51257"/>
    <w:rsid w:val="00E51920"/>
    <w:rsid w:val="00E5307C"/>
    <w:rsid w:val="00E53298"/>
    <w:rsid w:val="00E54677"/>
    <w:rsid w:val="00E554D8"/>
    <w:rsid w:val="00E558EF"/>
    <w:rsid w:val="00E55A2D"/>
    <w:rsid w:val="00E55BD9"/>
    <w:rsid w:val="00E56AAF"/>
    <w:rsid w:val="00E61792"/>
    <w:rsid w:val="00E627A7"/>
    <w:rsid w:val="00E6294F"/>
    <w:rsid w:val="00E629D7"/>
    <w:rsid w:val="00E63E42"/>
    <w:rsid w:val="00E6577B"/>
    <w:rsid w:val="00E65969"/>
    <w:rsid w:val="00E65C50"/>
    <w:rsid w:val="00E661C2"/>
    <w:rsid w:val="00E70991"/>
    <w:rsid w:val="00E711C7"/>
    <w:rsid w:val="00E72BB3"/>
    <w:rsid w:val="00E73752"/>
    <w:rsid w:val="00E74F0B"/>
    <w:rsid w:val="00E76BA7"/>
    <w:rsid w:val="00E8050F"/>
    <w:rsid w:val="00E81D2E"/>
    <w:rsid w:val="00E823B2"/>
    <w:rsid w:val="00E828AE"/>
    <w:rsid w:val="00E82BF8"/>
    <w:rsid w:val="00E83D8F"/>
    <w:rsid w:val="00E84DB8"/>
    <w:rsid w:val="00E8539D"/>
    <w:rsid w:val="00E85667"/>
    <w:rsid w:val="00E8570F"/>
    <w:rsid w:val="00E866A4"/>
    <w:rsid w:val="00E86F79"/>
    <w:rsid w:val="00E87096"/>
    <w:rsid w:val="00E87698"/>
    <w:rsid w:val="00E87855"/>
    <w:rsid w:val="00E87F64"/>
    <w:rsid w:val="00E90A0F"/>
    <w:rsid w:val="00E93D0C"/>
    <w:rsid w:val="00E93DA2"/>
    <w:rsid w:val="00E96B3F"/>
    <w:rsid w:val="00E96C2B"/>
    <w:rsid w:val="00E97BEE"/>
    <w:rsid w:val="00E97FD2"/>
    <w:rsid w:val="00EA07C3"/>
    <w:rsid w:val="00EA10BA"/>
    <w:rsid w:val="00EA1B8F"/>
    <w:rsid w:val="00EA1FAC"/>
    <w:rsid w:val="00EA20DF"/>
    <w:rsid w:val="00EA3EAC"/>
    <w:rsid w:val="00EA4722"/>
    <w:rsid w:val="00EA48B6"/>
    <w:rsid w:val="00EA4998"/>
    <w:rsid w:val="00EB0C76"/>
    <w:rsid w:val="00EB0ED2"/>
    <w:rsid w:val="00EB31FD"/>
    <w:rsid w:val="00EB4B1B"/>
    <w:rsid w:val="00EB5016"/>
    <w:rsid w:val="00EB5355"/>
    <w:rsid w:val="00EB6357"/>
    <w:rsid w:val="00EB6F4A"/>
    <w:rsid w:val="00EB772D"/>
    <w:rsid w:val="00EC0A1D"/>
    <w:rsid w:val="00EC1273"/>
    <w:rsid w:val="00EC40C6"/>
    <w:rsid w:val="00EC6856"/>
    <w:rsid w:val="00EC6F74"/>
    <w:rsid w:val="00EC73AE"/>
    <w:rsid w:val="00ED2813"/>
    <w:rsid w:val="00ED3200"/>
    <w:rsid w:val="00ED39E5"/>
    <w:rsid w:val="00ED3A7F"/>
    <w:rsid w:val="00ED697C"/>
    <w:rsid w:val="00EE0497"/>
    <w:rsid w:val="00EE10E5"/>
    <w:rsid w:val="00EE1F83"/>
    <w:rsid w:val="00EE23A2"/>
    <w:rsid w:val="00EE34A2"/>
    <w:rsid w:val="00EE3CC6"/>
    <w:rsid w:val="00EE6391"/>
    <w:rsid w:val="00EF288B"/>
    <w:rsid w:val="00EF2C11"/>
    <w:rsid w:val="00EF3486"/>
    <w:rsid w:val="00EF5693"/>
    <w:rsid w:val="00EF5877"/>
    <w:rsid w:val="00EF6A93"/>
    <w:rsid w:val="00EF7646"/>
    <w:rsid w:val="00EF7822"/>
    <w:rsid w:val="00F01377"/>
    <w:rsid w:val="00F01BD3"/>
    <w:rsid w:val="00F02074"/>
    <w:rsid w:val="00F021CF"/>
    <w:rsid w:val="00F02C86"/>
    <w:rsid w:val="00F02CD7"/>
    <w:rsid w:val="00F03B4C"/>
    <w:rsid w:val="00F06163"/>
    <w:rsid w:val="00F06D0E"/>
    <w:rsid w:val="00F0711C"/>
    <w:rsid w:val="00F0745F"/>
    <w:rsid w:val="00F07EEC"/>
    <w:rsid w:val="00F11DF1"/>
    <w:rsid w:val="00F13CE0"/>
    <w:rsid w:val="00F13E6D"/>
    <w:rsid w:val="00F13FD9"/>
    <w:rsid w:val="00F1474B"/>
    <w:rsid w:val="00F14A03"/>
    <w:rsid w:val="00F168A7"/>
    <w:rsid w:val="00F222F1"/>
    <w:rsid w:val="00F22774"/>
    <w:rsid w:val="00F240C7"/>
    <w:rsid w:val="00F24109"/>
    <w:rsid w:val="00F24531"/>
    <w:rsid w:val="00F26C68"/>
    <w:rsid w:val="00F2723F"/>
    <w:rsid w:val="00F27467"/>
    <w:rsid w:val="00F33FFD"/>
    <w:rsid w:val="00F34F6D"/>
    <w:rsid w:val="00F35396"/>
    <w:rsid w:val="00F37A34"/>
    <w:rsid w:val="00F400CF"/>
    <w:rsid w:val="00F403C8"/>
    <w:rsid w:val="00F4118A"/>
    <w:rsid w:val="00F42869"/>
    <w:rsid w:val="00F43E9B"/>
    <w:rsid w:val="00F44192"/>
    <w:rsid w:val="00F4429F"/>
    <w:rsid w:val="00F45293"/>
    <w:rsid w:val="00F46604"/>
    <w:rsid w:val="00F471E9"/>
    <w:rsid w:val="00F4746A"/>
    <w:rsid w:val="00F47817"/>
    <w:rsid w:val="00F518FF"/>
    <w:rsid w:val="00F52A00"/>
    <w:rsid w:val="00F5341F"/>
    <w:rsid w:val="00F5573F"/>
    <w:rsid w:val="00F559A3"/>
    <w:rsid w:val="00F55D5B"/>
    <w:rsid w:val="00F56531"/>
    <w:rsid w:val="00F60677"/>
    <w:rsid w:val="00F61970"/>
    <w:rsid w:val="00F61E77"/>
    <w:rsid w:val="00F65CC7"/>
    <w:rsid w:val="00F66604"/>
    <w:rsid w:val="00F669C3"/>
    <w:rsid w:val="00F712D3"/>
    <w:rsid w:val="00F72673"/>
    <w:rsid w:val="00F7345F"/>
    <w:rsid w:val="00F74157"/>
    <w:rsid w:val="00F75548"/>
    <w:rsid w:val="00F8056D"/>
    <w:rsid w:val="00F80E50"/>
    <w:rsid w:val="00F812F9"/>
    <w:rsid w:val="00F8284B"/>
    <w:rsid w:val="00F82E1F"/>
    <w:rsid w:val="00F840AF"/>
    <w:rsid w:val="00F85266"/>
    <w:rsid w:val="00F85C39"/>
    <w:rsid w:val="00F9265D"/>
    <w:rsid w:val="00F928CB"/>
    <w:rsid w:val="00F92CA7"/>
    <w:rsid w:val="00F93DB7"/>
    <w:rsid w:val="00F94C6B"/>
    <w:rsid w:val="00F95069"/>
    <w:rsid w:val="00F97345"/>
    <w:rsid w:val="00FA0B66"/>
    <w:rsid w:val="00FA3941"/>
    <w:rsid w:val="00FA46A5"/>
    <w:rsid w:val="00FA4BE9"/>
    <w:rsid w:val="00FA5AEF"/>
    <w:rsid w:val="00FA6281"/>
    <w:rsid w:val="00FA70BE"/>
    <w:rsid w:val="00FA7D17"/>
    <w:rsid w:val="00FB0EFA"/>
    <w:rsid w:val="00FB2EC8"/>
    <w:rsid w:val="00FB4908"/>
    <w:rsid w:val="00FB4CC2"/>
    <w:rsid w:val="00FB5652"/>
    <w:rsid w:val="00FB62C3"/>
    <w:rsid w:val="00FB724B"/>
    <w:rsid w:val="00FC32F4"/>
    <w:rsid w:val="00FC34EB"/>
    <w:rsid w:val="00FC49D4"/>
    <w:rsid w:val="00FC6A4A"/>
    <w:rsid w:val="00FD1716"/>
    <w:rsid w:val="00FD1843"/>
    <w:rsid w:val="00FD1CFE"/>
    <w:rsid w:val="00FD322A"/>
    <w:rsid w:val="00FD423B"/>
    <w:rsid w:val="00FD4925"/>
    <w:rsid w:val="00FD50BE"/>
    <w:rsid w:val="00FE001D"/>
    <w:rsid w:val="00FE148A"/>
    <w:rsid w:val="00FE3264"/>
    <w:rsid w:val="00FE36DF"/>
    <w:rsid w:val="00FE6611"/>
    <w:rsid w:val="00FF075E"/>
    <w:rsid w:val="00FF0FDB"/>
    <w:rsid w:val="00FF18C1"/>
    <w:rsid w:val="00FF365D"/>
    <w:rsid w:val="00FF4BDE"/>
    <w:rsid w:val="00FF4F79"/>
    <w:rsid w:val="00FF6F05"/>
    <w:rsid w:val="00FF72BC"/>
    <w:rsid w:val="00FF78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8D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Hyperlink" w:uiPriority="99"/>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0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B2090"/>
    <w:rPr>
      <w:rFonts w:ascii="Arial" w:hAnsi="Arial"/>
      <w:sz w:val="16"/>
      <w:szCs w:val="20"/>
    </w:rPr>
  </w:style>
  <w:style w:type="character" w:customStyle="1" w:styleId="BalloonTextChar">
    <w:name w:val="Balloon Text Char"/>
    <w:link w:val="BalloonText"/>
    <w:uiPriority w:val="99"/>
    <w:semiHidden/>
    <w:locked/>
    <w:rsid w:val="004B2090"/>
    <w:rPr>
      <w:rFonts w:ascii="Arial" w:hAnsi="Arial"/>
      <w:sz w:val="16"/>
    </w:rPr>
  </w:style>
  <w:style w:type="character" w:styleId="CommentReference">
    <w:name w:val="annotation reference"/>
    <w:rsid w:val="00B10BFF"/>
    <w:rPr>
      <w:rFonts w:cs="Times New Roman"/>
      <w:sz w:val="16"/>
      <w:szCs w:val="16"/>
    </w:rPr>
  </w:style>
  <w:style w:type="paragraph" w:styleId="CommentText">
    <w:name w:val="annotation text"/>
    <w:basedOn w:val="Normal"/>
    <w:link w:val="CommentTextChar"/>
    <w:uiPriority w:val="99"/>
    <w:rsid w:val="00B10BFF"/>
    <w:rPr>
      <w:sz w:val="20"/>
      <w:szCs w:val="20"/>
    </w:rPr>
  </w:style>
  <w:style w:type="character" w:customStyle="1" w:styleId="CommentTextChar">
    <w:name w:val="Comment Text Char"/>
    <w:link w:val="CommentText"/>
    <w:uiPriority w:val="99"/>
    <w:locked/>
    <w:rsid w:val="00B10BFF"/>
    <w:rPr>
      <w:rFonts w:cs="Times New Roman"/>
      <w:lang w:val="en-GB" w:eastAsia="en-GB" w:bidi="ar-SA"/>
    </w:rPr>
  </w:style>
  <w:style w:type="table" w:styleId="TableGrid">
    <w:name w:val="Table Grid"/>
    <w:basedOn w:val="TableNormal"/>
    <w:uiPriority w:val="39"/>
    <w:rsid w:val="004F0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rsid w:val="00C06735"/>
    <w:rPr>
      <w:b/>
      <w:bCs/>
    </w:rPr>
  </w:style>
  <w:style w:type="character" w:customStyle="1" w:styleId="CommentSubjectChar">
    <w:name w:val="Comment Subject Char"/>
    <w:link w:val="CommentSubject"/>
    <w:uiPriority w:val="99"/>
    <w:locked/>
    <w:rsid w:val="00C06735"/>
    <w:rPr>
      <w:rFonts w:cs="Times New Roman"/>
      <w:b/>
      <w:bCs/>
      <w:lang w:val="en-GB" w:eastAsia="en-GB" w:bidi="ar-SA"/>
    </w:rPr>
  </w:style>
  <w:style w:type="paragraph" w:styleId="Header">
    <w:name w:val="header"/>
    <w:basedOn w:val="Normal"/>
    <w:link w:val="HeaderChar"/>
    <w:uiPriority w:val="99"/>
    <w:rsid w:val="000D5D4C"/>
    <w:pPr>
      <w:tabs>
        <w:tab w:val="center" w:pos="4513"/>
        <w:tab w:val="right" w:pos="9026"/>
      </w:tabs>
    </w:pPr>
  </w:style>
  <w:style w:type="character" w:customStyle="1" w:styleId="HeaderChar">
    <w:name w:val="Header Char"/>
    <w:link w:val="Header"/>
    <w:uiPriority w:val="99"/>
    <w:locked/>
    <w:rsid w:val="000D5D4C"/>
    <w:rPr>
      <w:rFonts w:cs="Times New Roman"/>
      <w:sz w:val="24"/>
      <w:szCs w:val="24"/>
    </w:rPr>
  </w:style>
  <w:style w:type="paragraph" w:styleId="Footer">
    <w:name w:val="footer"/>
    <w:basedOn w:val="Normal"/>
    <w:link w:val="FooterChar"/>
    <w:uiPriority w:val="99"/>
    <w:rsid w:val="000D5D4C"/>
    <w:pPr>
      <w:tabs>
        <w:tab w:val="center" w:pos="4513"/>
        <w:tab w:val="right" w:pos="9026"/>
      </w:tabs>
    </w:pPr>
  </w:style>
  <w:style w:type="character" w:customStyle="1" w:styleId="FooterChar">
    <w:name w:val="Footer Char"/>
    <w:link w:val="Footer"/>
    <w:uiPriority w:val="99"/>
    <w:locked/>
    <w:rsid w:val="000D5D4C"/>
    <w:rPr>
      <w:rFonts w:cs="Times New Roman"/>
      <w:sz w:val="24"/>
      <w:szCs w:val="24"/>
    </w:rPr>
  </w:style>
  <w:style w:type="paragraph" w:styleId="BodyText2">
    <w:name w:val="Body Text 2"/>
    <w:basedOn w:val="Normal"/>
    <w:link w:val="BodyText2Char"/>
    <w:uiPriority w:val="99"/>
    <w:rsid w:val="00D73EF2"/>
    <w:pPr>
      <w:spacing w:after="120" w:line="480" w:lineRule="auto"/>
    </w:pPr>
    <w:rPr>
      <w:rFonts w:ascii="Tahoma" w:hAnsi="Tahoma"/>
      <w:sz w:val="20"/>
      <w:szCs w:val="20"/>
      <w:lang w:val="en-US" w:eastAsia="en-US"/>
    </w:rPr>
  </w:style>
  <w:style w:type="character" w:customStyle="1" w:styleId="BodyText2Char">
    <w:name w:val="Body Text 2 Char"/>
    <w:link w:val="BodyText2"/>
    <w:uiPriority w:val="99"/>
    <w:locked/>
    <w:rsid w:val="00D73EF2"/>
    <w:rPr>
      <w:rFonts w:ascii="Tahoma" w:hAnsi="Tahoma" w:cs="Times New Roman"/>
      <w:lang w:val="en-US" w:eastAsia="en-US"/>
    </w:rPr>
  </w:style>
  <w:style w:type="paragraph" w:styleId="Revision">
    <w:name w:val="Revision"/>
    <w:hidden/>
    <w:uiPriority w:val="99"/>
    <w:semiHidden/>
    <w:rsid w:val="0070339A"/>
    <w:rPr>
      <w:sz w:val="24"/>
      <w:szCs w:val="24"/>
    </w:rPr>
  </w:style>
  <w:style w:type="character" w:styleId="Strong">
    <w:name w:val="Strong"/>
    <w:uiPriority w:val="22"/>
    <w:qFormat/>
    <w:rsid w:val="003A6431"/>
    <w:rPr>
      <w:rFonts w:cs="Times New Roman"/>
      <w:b/>
      <w:bCs/>
    </w:rPr>
  </w:style>
  <w:style w:type="paragraph" w:styleId="ListParagraph">
    <w:name w:val="List Paragraph"/>
    <w:basedOn w:val="Normal"/>
    <w:uiPriority w:val="34"/>
    <w:qFormat/>
    <w:rsid w:val="003F2EB3"/>
    <w:pPr>
      <w:ind w:left="720"/>
      <w:contextualSpacing/>
    </w:pPr>
  </w:style>
  <w:style w:type="paragraph" w:styleId="Caption">
    <w:name w:val="caption"/>
    <w:basedOn w:val="Normal"/>
    <w:next w:val="Normal"/>
    <w:uiPriority w:val="35"/>
    <w:qFormat/>
    <w:rsid w:val="00507F42"/>
    <w:pPr>
      <w:spacing w:after="200" w:line="276" w:lineRule="auto"/>
    </w:pPr>
    <w:rPr>
      <w:rFonts w:ascii="Calibri" w:hAnsi="Calibri"/>
      <w:b/>
      <w:bCs/>
      <w:sz w:val="20"/>
      <w:szCs w:val="20"/>
      <w:lang w:eastAsia="en-US"/>
    </w:rPr>
  </w:style>
  <w:style w:type="character" w:styleId="Emphasis">
    <w:name w:val="Emphasis"/>
    <w:uiPriority w:val="20"/>
    <w:qFormat/>
    <w:locked/>
    <w:rsid w:val="00631CFA"/>
    <w:rPr>
      <w:rFonts w:cs="Times New Roman"/>
      <w:i/>
      <w:iCs/>
    </w:rPr>
  </w:style>
  <w:style w:type="character" w:styleId="PageNumber">
    <w:name w:val="page number"/>
    <w:uiPriority w:val="99"/>
    <w:rsid w:val="003A1E20"/>
    <w:rPr>
      <w:rFonts w:cs="Times New Roman"/>
    </w:rPr>
  </w:style>
  <w:style w:type="paragraph" w:styleId="NormalWeb">
    <w:name w:val="Normal (Web)"/>
    <w:basedOn w:val="Normal"/>
    <w:uiPriority w:val="99"/>
    <w:rsid w:val="00B446EB"/>
    <w:pPr>
      <w:spacing w:before="100" w:beforeAutospacing="1" w:after="100" w:afterAutospacing="1"/>
    </w:pPr>
    <w:rPr>
      <w:lang w:val="en-US" w:eastAsia="en-US"/>
    </w:rPr>
  </w:style>
  <w:style w:type="character" w:customStyle="1" w:styleId="z3988">
    <w:name w:val="z3988"/>
    <w:rsid w:val="00B446EB"/>
    <w:rPr>
      <w:rFonts w:cs="Times New Roman"/>
    </w:rPr>
  </w:style>
  <w:style w:type="character" w:customStyle="1" w:styleId="apple-style-span">
    <w:name w:val="apple-style-span"/>
    <w:basedOn w:val="DefaultParagraphFont"/>
    <w:rsid w:val="00F5573F"/>
  </w:style>
  <w:style w:type="character" w:styleId="Hyperlink">
    <w:name w:val="Hyperlink"/>
    <w:uiPriority w:val="99"/>
    <w:unhideWhenUsed/>
    <w:rsid w:val="009B4F19"/>
    <w:rPr>
      <w:rFonts w:cs="Times New Roman"/>
      <w:color w:val="0000FF"/>
      <w:u w:val="single"/>
    </w:rPr>
  </w:style>
  <w:style w:type="character" w:customStyle="1" w:styleId="apple-converted-space">
    <w:name w:val="apple-converted-space"/>
    <w:rsid w:val="00AD793E"/>
    <w:rPr>
      <w:rFonts w:cs="Times New Roman"/>
    </w:rPr>
  </w:style>
  <w:style w:type="character" w:styleId="FollowedHyperlink">
    <w:name w:val="FollowedHyperlink"/>
    <w:rsid w:val="006161AC"/>
    <w:rPr>
      <w:color w:val="800080"/>
      <w:u w:val="single"/>
    </w:rPr>
  </w:style>
  <w:style w:type="paragraph" w:customStyle="1" w:styleId="title1">
    <w:name w:val="title1"/>
    <w:basedOn w:val="Normal"/>
    <w:rsid w:val="00CA256B"/>
    <w:rPr>
      <w:sz w:val="29"/>
      <w:szCs w:val="29"/>
    </w:rPr>
  </w:style>
  <w:style w:type="paragraph" w:customStyle="1" w:styleId="reference">
    <w:name w:val="reference"/>
    <w:basedOn w:val="Normal"/>
    <w:rsid w:val="00CA256B"/>
    <w:pPr>
      <w:spacing w:before="100" w:beforeAutospacing="1" w:after="100" w:afterAutospacing="1"/>
    </w:pPr>
  </w:style>
  <w:style w:type="character" w:customStyle="1" w:styleId="StyleArial10ptCustomColorRGB343434PatternClearWh">
    <w:name w:val="Style Arial 10 pt Custom Color(RGB(343434)) Pattern: Clear (Wh..."/>
    <w:rsid w:val="004B2090"/>
    <w:rPr>
      <w:rFonts w:ascii="Calibri" w:hAnsi="Calibri"/>
      <w:color w:val="222222"/>
      <w:sz w:val="20"/>
      <w:shd w:val="clear" w:color="auto" w:fill="FFFFFF"/>
    </w:rPr>
  </w:style>
  <w:style w:type="paragraph" w:styleId="BodyText">
    <w:name w:val="Body Text"/>
    <w:basedOn w:val="Normal"/>
    <w:link w:val="BodyTextChar"/>
    <w:semiHidden/>
    <w:unhideWhenUsed/>
    <w:rsid w:val="00A751AB"/>
    <w:pPr>
      <w:spacing w:after="120"/>
    </w:pPr>
  </w:style>
  <w:style w:type="character" w:customStyle="1" w:styleId="BodyTextChar">
    <w:name w:val="Body Text Char"/>
    <w:link w:val="BodyText"/>
    <w:semiHidden/>
    <w:rsid w:val="00A751AB"/>
    <w:rPr>
      <w:sz w:val="24"/>
      <w:szCs w:val="24"/>
      <w:lang w:val="en-GB" w:eastAsia="en-GB"/>
    </w:rPr>
  </w:style>
  <w:style w:type="table" w:customStyle="1" w:styleId="TableGrid1">
    <w:name w:val="Table Grid1"/>
    <w:basedOn w:val="TableNormal"/>
    <w:next w:val="TableGrid"/>
    <w:uiPriority w:val="39"/>
    <w:rsid w:val="002E77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semiHidden/>
    <w:unhideWhenUsed/>
    <w:rsid w:val="000E4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279618">
      <w:bodyDiv w:val="1"/>
      <w:marLeft w:val="0"/>
      <w:marRight w:val="0"/>
      <w:marTop w:val="0"/>
      <w:marBottom w:val="0"/>
      <w:divBdr>
        <w:top w:val="none" w:sz="0" w:space="0" w:color="auto"/>
        <w:left w:val="none" w:sz="0" w:space="0" w:color="auto"/>
        <w:bottom w:val="none" w:sz="0" w:space="0" w:color="auto"/>
        <w:right w:val="none" w:sz="0" w:space="0" w:color="auto"/>
      </w:divBdr>
    </w:div>
    <w:div w:id="828790066">
      <w:bodyDiv w:val="1"/>
      <w:marLeft w:val="0"/>
      <w:marRight w:val="0"/>
      <w:marTop w:val="0"/>
      <w:marBottom w:val="0"/>
      <w:divBdr>
        <w:top w:val="none" w:sz="0" w:space="0" w:color="auto"/>
        <w:left w:val="none" w:sz="0" w:space="0" w:color="auto"/>
        <w:bottom w:val="none" w:sz="0" w:space="0" w:color="auto"/>
        <w:right w:val="none" w:sz="0" w:space="0" w:color="auto"/>
      </w:divBdr>
    </w:div>
    <w:div w:id="1113136979">
      <w:bodyDiv w:val="1"/>
      <w:marLeft w:val="0"/>
      <w:marRight w:val="0"/>
      <w:marTop w:val="0"/>
      <w:marBottom w:val="0"/>
      <w:divBdr>
        <w:top w:val="none" w:sz="0" w:space="0" w:color="auto"/>
        <w:left w:val="none" w:sz="0" w:space="0" w:color="auto"/>
        <w:bottom w:val="none" w:sz="0" w:space="0" w:color="auto"/>
        <w:right w:val="none" w:sz="0" w:space="0" w:color="auto"/>
      </w:divBdr>
    </w:div>
    <w:div w:id="1834181579">
      <w:marLeft w:val="0"/>
      <w:marRight w:val="0"/>
      <w:marTop w:val="0"/>
      <w:marBottom w:val="0"/>
      <w:divBdr>
        <w:top w:val="none" w:sz="0" w:space="0" w:color="auto"/>
        <w:left w:val="none" w:sz="0" w:space="0" w:color="auto"/>
        <w:bottom w:val="none" w:sz="0" w:space="0" w:color="auto"/>
        <w:right w:val="none" w:sz="0" w:space="0" w:color="auto"/>
      </w:divBdr>
    </w:div>
    <w:div w:id="1834181580">
      <w:marLeft w:val="0"/>
      <w:marRight w:val="0"/>
      <w:marTop w:val="0"/>
      <w:marBottom w:val="0"/>
      <w:divBdr>
        <w:top w:val="none" w:sz="0" w:space="0" w:color="auto"/>
        <w:left w:val="none" w:sz="0" w:space="0" w:color="auto"/>
        <w:bottom w:val="none" w:sz="0" w:space="0" w:color="auto"/>
        <w:right w:val="none" w:sz="0" w:space="0" w:color="auto"/>
      </w:divBdr>
    </w:div>
    <w:div w:id="1834181581">
      <w:marLeft w:val="0"/>
      <w:marRight w:val="0"/>
      <w:marTop w:val="0"/>
      <w:marBottom w:val="0"/>
      <w:divBdr>
        <w:top w:val="none" w:sz="0" w:space="0" w:color="auto"/>
        <w:left w:val="none" w:sz="0" w:space="0" w:color="auto"/>
        <w:bottom w:val="none" w:sz="0" w:space="0" w:color="auto"/>
        <w:right w:val="none" w:sz="0" w:space="0" w:color="auto"/>
      </w:divBdr>
    </w:div>
    <w:div w:id="1834181582">
      <w:marLeft w:val="0"/>
      <w:marRight w:val="0"/>
      <w:marTop w:val="0"/>
      <w:marBottom w:val="0"/>
      <w:divBdr>
        <w:top w:val="none" w:sz="0" w:space="0" w:color="auto"/>
        <w:left w:val="none" w:sz="0" w:space="0" w:color="auto"/>
        <w:bottom w:val="none" w:sz="0" w:space="0" w:color="auto"/>
        <w:right w:val="none" w:sz="0" w:space="0" w:color="auto"/>
      </w:divBdr>
      <w:divsChild>
        <w:div w:id="1834181585">
          <w:marLeft w:val="720"/>
          <w:marRight w:val="0"/>
          <w:marTop w:val="0"/>
          <w:marBottom w:val="0"/>
          <w:divBdr>
            <w:top w:val="none" w:sz="0" w:space="0" w:color="auto"/>
            <w:left w:val="none" w:sz="0" w:space="0" w:color="auto"/>
            <w:bottom w:val="none" w:sz="0" w:space="0" w:color="auto"/>
            <w:right w:val="none" w:sz="0" w:space="0" w:color="auto"/>
          </w:divBdr>
        </w:div>
      </w:divsChild>
    </w:div>
    <w:div w:id="1834181583">
      <w:marLeft w:val="0"/>
      <w:marRight w:val="0"/>
      <w:marTop w:val="0"/>
      <w:marBottom w:val="0"/>
      <w:divBdr>
        <w:top w:val="none" w:sz="0" w:space="0" w:color="auto"/>
        <w:left w:val="none" w:sz="0" w:space="0" w:color="auto"/>
        <w:bottom w:val="none" w:sz="0" w:space="0" w:color="auto"/>
        <w:right w:val="none" w:sz="0" w:space="0" w:color="auto"/>
      </w:divBdr>
      <w:divsChild>
        <w:div w:id="1834181586">
          <w:marLeft w:val="720"/>
          <w:marRight w:val="0"/>
          <w:marTop w:val="0"/>
          <w:marBottom w:val="0"/>
          <w:divBdr>
            <w:top w:val="none" w:sz="0" w:space="0" w:color="auto"/>
            <w:left w:val="none" w:sz="0" w:space="0" w:color="auto"/>
            <w:bottom w:val="none" w:sz="0" w:space="0" w:color="auto"/>
            <w:right w:val="none" w:sz="0" w:space="0" w:color="auto"/>
          </w:divBdr>
        </w:div>
      </w:divsChild>
    </w:div>
    <w:div w:id="1834181584">
      <w:marLeft w:val="0"/>
      <w:marRight w:val="0"/>
      <w:marTop w:val="0"/>
      <w:marBottom w:val="0"/>
      <w:divBdr>
        <w:top w:val="none" w:sz="0" w:space="0" w:color="auto"/>
        <w:left w:val="none" w:sz="0" w:space="0" w:color="auto"/>
        <w:bottom w:val="none" w:sz="0" w:space="0" w:color="auto"/>
        <w:right w:val="none" w:sz="0" w:space="0" w:color="auto"/>
      </w:divBdr>
      <w:divsChild>
        <w:div w:id="1834181589">
          <w:marLeft w:val="720"/>
          <w:marRight w:val="0"/>
          <w:marTop w:val="0"/>
          <w:marBottom w:val="0"/>
          <w:divBdr>
            <w:top w:val="none" w:sz="0" w:space="0" w:color="auto"/>
            <w:left w:val="none" w:sz="0" w:space="0" w:color="auto"/>
            <w:bottom w:val="none" w:sz="0" w:space="0" w:color="auto"/>
            <w:right w:val="none" w:sz="0" w:space="0" w:color="auto"/>
          </w:divBdr>
        </w:div>
      </w:divsChild>
    </w:div>
    <w:div w:id="1834181587">
      <w:marLeft w:val="0"/>
      <w:marRight w:val="0"/>
      <w:marTop w:val="0"/>
      <w:marBottom w:val="0"/>
      <w:divBdr>
        <w:top w:val="none" w:sz="0" w:space="0" w:color="auto"/>
        <w:left w:val="none" w:sz="0" w:space="0" w:color="auto"/>
        <w:bottom w:val="none" w:sz="0" w:space="0" w:color="auto"/>
        <w:right w:val="none" w:sz="0" w:space="0" w:color="auto"/>
      </w:divBdr>
      <w:divsChild>
        <w:div w:id="1834181588">
          <w:marLeft w:val="720"/>
          <w:marRight w:val="0"/>
          <w:marTop w:val="0"/>
          <w:marBottom w:val="0"/>
          <w:divBdr>
            <w:top w:val="none" w:sz="0" w:space="0" w:color="auto"/>
            <w:left w:val="none" w:sz="0" w:space="0" w:color="auto"/>
            <w:bottom w:val="none" w:sz="0" w:space="0" w:color="auto"/>
            <w:right w:val="none" w:sz="0" w:space="0" w:color="auto"/>
          </w:divBdr>
        </w:div>
      </w:divsChild>
    </w:div>
    <w:div w:id="1846750000">
      <w:bodyDiv w:val="1"/>
      <w:marLeft w:val="0"/>
      <w:marRight w:val="0"/>
      <w:marTop w:val="0"/>
      <w:marBottom w:val="0"/>
      <w:divBdr>
        <w:top w:val="none" w:sz="0" w:space="0" w:color="auto"/>
        <w:left w:val="none" w:sz="0" w:space="0" w:color="auto"/>
        <w:bottom w:val="none" w:sz="0" w:space="0" w:color="auto"/>
        <w:right w:val="none" w:sz="0" w:space="0" w:color="auto"/>
      </w:divBdr>
      <w:divsChild>
        <w:div w:id="1989355309">
          <w:marLeft w:val="0"/>
          <w:marRight w:val="0"/>
          <w:marTop w:val="0"/>
          <w:marBottom w:val="0"/>
          <w:divBdr>
            <w:top w:val="none" w:sz="0" w:space="0" w:color="auto"/>
            <w:left w:val="none" w:sz="0" w:space="0" w:color="auto"/>
            <w:bottom w:val="none" w:sz="0" w:space="0" w:color="auto"/>
            <w:right w:val="none" w:sz="0" w:space="0" w:color="auto"/>
          </w:divBdr>
          <w:divsChild>
            <w:div w:id="2128157708">
              <w:marLeft w:val="0"/>
              <w:marRight w:val="0"/>
              <w:marTop w:val="0"/>
              <w:marBottom w:val="0"/>
              <w:divBdr>
                <w:top w:val="none" w:sz="0" w:space="0" w:color="auto"/>
                <w:left w:val="none" w:sz="0" w:space="0" w:color="auto"/>
                <w:bottom w:val="none" w:sz="0" w:space="0" w:color="auto"/>
                <w:right w:val="none" w:sz="0" w:space="0" w:color="auto"/>
              </w:divBdr>
              <w:divsChild>
                <w:div w:id="345249493">
                  <w:marLeft w:val="0"/>
                  <w:marRight w:val="0"/>
                  <w:marTop w:val="0"/>
                  <w:marBottom w:val="0"/>
                  <w:divBdr>
                    <w:top w:val="none" w:sz="0" w:space="0" w:color="auto"/>
                    <w:left w:val="none" w:sz="0" w:space="0" w:color="auto"/>
                    <w:bottom w:val="none" w:sz="0" w:space="0" w:color="auto"/>
                    <w:right w:val="none" w:sz="0" w:space="0" w:color="auto"/>
                  </w:divBdr>
                  <w:divsChild>
                    <w:div w:id="631134878">
                      <w:marLeft w:val="0"/>
                      <w:marRight w:val="0"/>
                      <w:marTop w:val="0"/>
                      <w:marBottom w:val="0"/>
                      <w:divBdr>
                        <w:top w:val="single" w:sz="24" w:space="0" w:color="E8E8E8"/>
                        <w:left w:val="none" w:sz="0" w:space="0" w:color="auto"/>
                        <w:bottom w:val="none" w:sz="0" w:space="0" w:color="auto"/>
                        <w:right w:val="none" w:sz="0" w:space="0" w:color="auto"/>
                      </w:divBdr>
                      <w:divsChild>
                        <w:div w:id="1551459636">
                          <w:marLeft w:val="0"/>
                          <w:marRight w:val="5415"/>
                          <w:marTop w:val="0"/>
                          <w:marBottom w:val="0"/>
                          <w:divBdr>
                            <w:top w:val="none" w:sz="0" w:space="0" w:color="auto"/>
                            <w:left w:val="none" w:sz="0" w:space="0" w:color="auto"/>
                            <w:bottom w:val="none" w:sz="0" w:space="0" w:color="auto"/>
                            <w:right w:val="none" w:sz="0" w:space="0" w:color="auto"/>
                          </w:divBdr>
                          <w:divsChild>
                            <w:div w:id="37512535">
                              <w:marLeft w:val="0"/>
                              <w:marRight w:val="0"/>
                              <w:marTop w:val="0"/>
                              <w:marBottom w:val="0"/>
                              <w:divBdr>
                                <w:top w:val="single" w:sz="6" w:space="0" w:color="9B9B9B"/>
                                <w:left w:val="none" w:sz="0" w:space="0" w:color="auto"/>
                                <w:bottom w:val="none" w:sz="0" w:space="0" w:color="auto"/>
                                <w:right w:val="none" w:sz="0" w:space="0" w:color="auto"/>
                              </w:divBdr>
                              <w:divsChild>
                                <w:div w:id="2021470455">
                                  <w:marLeft w:val="0"/>
                                  <w:marRight w:val="0"/>
                                  <w:marTop w:val="0"/>
                                  <w:marBottom w:val="0"/>
                                  <w:divBdr>
                                    <w:top w:val="single" w:sz="6" w:space="0" w:color="FFFFFF"/>
                                    <w:left w:val="none" w:sz="0" w:space="0" w:color="auto"/>
                                    <w:bottom w:val="none" w:sz="0" w:space="0" w:color="auto"/>
                                    <w:right w:val="none" w:sz="0" w:space="0" w:color="auto"/>
                                  </w:divBdr>
                                  <w:divsChild>
                                    <w:div w:id="796266330">
                                      <w:marLeft w:val="0"/>
                                      <w:marRight w:val="0"/>
                                      <w:marTop w:val="0"/>
                                      <w:marBottom w:val="0"/>
                                      <w:divBdr>
                                        <w:top w:val="none" w:sz="0" w:space="0" w:color="auto"/>
                                        <w:left w:val="none" w:sz="0" w:space="0" w:color="auto"/>
                                        <w:bottom w:val="none" w:sz="0" w:space="0" w:color="auto"/>
                                        <w:right w:val="none" w:sz="0" w:space="0" w:color="auto"/>
                                      </w:divBdr>
                                      <w:divsChild>
                                        <w:div w:id="2089040311">
                                          <w:marLeft w:val="0"/>
                                          <w:marRight w:val="0"/>
                                          <w:marTop w:val="0"/>
                                          <w:marBottom w:val="0"/>
                                          <w:divBdr>
                                            <w:top w:val="none" w:sz="0" w:space="0" w:color="auto"/>
                                            <w:left w:val="none" w:sz="0" w:space="0" w:color="auto"/>
                                            <w:bottom w:val="none" w:sz="0" w:space="0" w:color="auto"/>
                                            <w:right w:val="none" w:sz="0" w:space="0" w:color="auto"/>
                                          </w:divBdr>
                                          <w:divsChild>
                                            <w:div w:id="1304696403">
                                              <w:marLeft w:val="0"/>
                                              <w:marRight w:val="0"/>
                                              <w:marTop w:val="0"/>
                                              <w:marBottom w:val="0"/>
                                              <w:divBdr>
                                                <w:top w:val="none" w:sz="0" w:space="0" w:color="auto"/>
                                                <w:left w:val="none" w:sz="0" w:space="0" w:color="auto"/>
                                                <w:bottom w:val="none" w:sz="0" w:space="0" w:color="auto"/>
                                                <w:right w:val="none" w:sz="0" w:space="0" w:color="auto"/>
                                              </w:divBdr>
                                              <w:divsChild>
                                                <w:div w:id="1160537040">
                                                  <w:marLeft w:val="45"/>
                                                  <w:marRight w:val="75"/>
                                                  <w:marTop w:val="0"/>
                                                  <w:marBottom w:val="0"/>
                                                  <w:divBdr>
                                                    <w:top w:val="none" w:sz="0" w:space="0" w:color="auto"/>
                                                    <w:left w:val="none" w:sz="0" w:space="0" w:color="auto"/>
                                                    <w:bottom w:val="none" w:sz="0" w:space="0" w:color="auto"/>
                                                    <w:right w:val="none" w:sz="0" w:space="0" w:color="auto"/>
                                                  </w:divBdr>
                                                  <w:divsChild>
                                                    <w:div w:id="1643080546">
                                                      <w:marLeft w:val="0"/>
                                                      <w:marRight w:val="0"/>
                                                      <w:marTop w:val="0"/>
                                                      <w:marBottom w:val="0"/>
                                                      <w:divBdr>
                                                        <w:top w:val="none" w:sz="0" w:space="0" w:color="auto"/>
                                                        <w:left w:val="none" w:sz="0" w:space="0" w:color="auto"/>
                                                        <w:bottom w:val="none" w:sz="0" w:space="0" w:color="auto"/>
                                                        <w:right w:val="none" w:sz="0" w:space="0" w:color="auto"/>
                                                      </w:divBdr>
                                                      <w:divsChild>
                                                        <w:div w:id="312956626">
                                                          <w:marLeft w:val="0"/>
                                                          <w:marRight w:val="-24000"/>
                                                          <w:marTop w:val="0"/>
                                                          <w:marBottom w:val="0"/>
                                                          <w:divBdr>
                                                            <w:top w:val="none" w:sz="0" w:space="0" w:color="auto"/>
                                                            <w:left w:val="none" w:sz="0" w:space="0" w:color="auto"/>
                                                            <w:bottom w:val="none" w:sz="0" w:space="0" w:color="auto"/>
                                                            <w:right w:val="none" w:sz="0" w:space="0" w:color="auto"/>
                                                          </w:divBdr>
                                                          <w:divsChild>
                                                            <w:div w:id="1590851679">
                                                              <w:marLeft w:val="0"/>
                                                              <w:marRight w:val="0"/>
                                                              <w:marTop w:val="0"/>
                                                              <w:marBottom w:val="0"/>
                                                              <w:divBdr>
                                                                <w:top w:val="none" w:sz="0" w:space="0" w:color="auto"/>
                                                                <w:left w:val="none" w:sz="0" w:space="0" w:color="auto"/>
                                                                <w:bottom w:val="none" w:sz="0" w:space="0" w:color="auto"/>
                                                                <w:right w:val="none" w:sz="0" w:space="0" w:color="auto"/>
                                                              </w:divBdr>
                                                              <w:divsChild>
                                                                <w:div w:id="1076052972">
                                                                  <w:marLeft w:val="0"/>
                                                                  <w:marRight w:val="0"/>
                                                                  <w:marTop w:val="0"/>
                                                                  <w:marBottom w:val="0"/>
                                                                  <w:divBdr>
                                                                    <w:top w:val="none" w:sz="0" w:space="0" w:color="auto"/>
                                                                    <w:left w:val="none" w:sz="0" w:space="0" w:color="auto"/>
                                                                    <w:bottom w:val="none" w:sz="0" w:space="0" w:color="auto"/>
                                                                    <w:right w:val="none" w:sz="0" w:space="0" w:color="auto"/>
                                                                  </w:divBdr>
                                                                </w:div>
                                                                <w:div w:id="1404596328">
                                                                  <w:marLeft w:val="0"/>
                                                                  <w:marRight w:val="0"/>
                                                                  <w:marTop w:val="0"/>
                                                                  <w:marBottom w:val="0"/>
                                                                  <w:divBdr>
                                                                    <w:top w:val="none" w:sz="0" w:space="0" w:color="auto"/>
                                                                    <w:left w:val="none" w:sz="0" w:space="0" w:color="auto"/>
                                                                    <w:bottom w:val="none" w:sz="0" w:space="0" w:color="auto"/>
                                                                    <w:right w:val="none" w:sz="0" w:space="0" w:color="auto"/>
                                                                  </w:divBdr>
                                                                  <w:divsChild>
                                                                    <w:div w:id="1113328282">
                                                                      <w:marLeft w:val="0"/>
                                                                      <w:marRight w:val="0"/>
                                                                      <w:marTop w:val="0"/>
                                                                      <w:marBottom w:val="0"/>
                                                                      <w:divBdr>
                                                                        <w:top w:val="none" w:sz="0" w:space="0" w:color="auto"/>
                                                                        <w:left w:val="none" w:sz="0" w:space="0" w:color="auto"/>
                                                                        <w:bottom w:val="none" w:sz="0" w:space="0" w:color="auto"/>
                                                                        <w:right w:val="none" w:sz="0" w:space="0" w:color="auto"/>
                                                                      </w:divBdr>
                                                                    </w:div>
                                                                    <w:div w:id="12773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tif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ileFormat xmlns="ad6050de-b204-4cd9-b492-5bc34f5a8a79">DOCX</FileFormat>
    <DocumentId xmlns="ad6050de-b204-4cd9-b492-5bc34f5a8a79">Manuscript.DOCX</DocumentId>
    <IsDeleted xmlns="ad6050de-b204-4cd9-b492-5bc34f5a8a79">false</IsDeleted>
    <Checked_x0020_Out_x0020_To xmlns="ad6050de-b204-4cd9-b492-5bc34f5a8a79">
      <UserInfo>
        <DisplayName/>
        <AccountId xsi:nil="true"/>
        <AccountType/>
      </UserInfo>
    </Checked_x0020_Out_x0020_To>
    <DocumentType xmlns="ad6050de-b204-4cd9-b492-5bc34f5a8a79">Manuscript</DocumentType>
    <TitleName xmlns="ad6050de-b204-4cd9-b492-5bc34f5a8a79">Manuscript.DOCX</TitleName>
    <StageName xmlns="ad6050de-b204-4cd9-b492-5bc34f5a8a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45540C5CC05F49B9F102AC9006ABC0" ma:contentTypeVersion="7" ma:contentTypeDescription="Create a new document." ma:contentTypeScope="" ma:versionID="13dd8d8b02aecb40adc89552bf514269">
  <xsd:schema xmlns:xsd="http://www.w3.org/2001/XMLSchema" xmlns:p="http://schemas.microsoft.com/office/2006/metadata/properties" xmlns:ns2="ad6050de-b204-4cd9-b492-5bc34f5a8a79" targetNamespace="http://schemas.microsoft.com/office/2006/metadata/properties" ma:root="true" ma:fieldsID="ba31fb450d54352de63754597d7a3f68" ns2:_="">
    <xsd:import namespace="ad6050de-b204-4cd9-b492-5bc34f5a8a79"/>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ad6050de-b204-4cd9-b492-5bc34f5a8a79"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D47C9DE-8800-46A6-81BA-52F5E45EDB31}">
  <ds:schemaRefs>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ad6050de-b204-4cd9-b492-5bc34f5a8a79"/>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3127672-DA76-4A33-85E9-54D49A1EF174}">
  <ds:schemaRefs>
    <ds:schemaRef ds:uri="http://schemas.microsoft.com/sharepoint/v3/contenttype/forms"/>
  </ds:schemaRefs>
</ds:datastoreItem>
</file>

<file path=customXml/itemProps3.xml><?xml version="1.0" encoding="utf-8"?>
<ds:datastoreItem xmlns:ds="http://schemas.openxmlformats.org/officeDocument/2006/customXml" ds:itemID="{0EA85ACA-A006-4117-8F70-B15865BF2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050de-b204-4cd9-b492-5bc34f5a8a7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A4D5C02-6472-4BD9-9679-E8303842C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7544</Words>
  <Characters>44097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2017-06-14T14:43:00Z</dcterms:created>
  <dcterms:modified xsi:type="dcterms:W3CDTF">2017-06-14T14:44:00Z</dcterms:modified>
</cp:coreProperties>
</file>